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C76A0">
      <w:pPr>
        <w:spacing w:line="360" w:lineRule="auto"/>
        <w:jc w:val="both"/>
        <w:rPr>
          <w:rFonts w:ascii="宋体" w:hAnsi="宋体"/>
          <w:b/>
          <w:sz w:val="48"/>
          <w:szCs w:val="48"/>
          <w:highlight w:val="none"/>
        </w:rPr>
      </w:pPr>
    </w:p>
    <w:p w14:paraId="31C944DD">
      <w:pPr>
        <w:pStyle w:val="2"/>
        <w:ind w:firstLine="0" w:firstLineChars="0"/>
        <w:jc w:val="center"/>
        <w:rPr>
          <w:rFonts w:hint="eastAsia" w:hAnsi="宋体" w:cs="宋体"/>
          <w:b w:val="0"/>
          <w:color w:val="auto"/>
          <w:sz w:val="52"/>
          <w:szCs w:val="52"/>
          <w:highlight w:val="none"/>
          <w:lang w:eastAsia="zh-CN"/>
        </w:rPr>
      </w:pPr>
      <w:r>
        <w:rPr>
          <w:rFonts w:hint="eastAsia" w:hAnsi="宋体" w:cs="宋体"/>
          <w:b w:val="0"/>
          <w:color w:val="auto"/>
          <w:sz w:val="52"/>
          <w:szCs w:val="52"/>
          <w:highlight w:val="none"/>
          <w:lang w:eastAsia="zh-CN"/>
        </w:rPr>
        <w:t>深圳建筑产业生态智谷总部基</w:t>
      </w:r>
    </w:p>
    <w:p w14:paraId="7144FE03">
      <w:pPr>
        <w:pStyle w:val="2"/>
        <w:ind w:firstLine="0" w:firstLineChars="0"/>
        <w:jc w:val="center"/>
        <w:rPr>
          <w:rFonts w:hint="eastAsia" w:hAnsi="宋体" w:cs="宋体"/>
          <w:b w:val="0"/>
          <w:color w:val="auto"/>
          <w:sz w:val="52"/>
          <w:szCs w:val="52"/>
          <w:highlight w:val="none"/>
          <w:lang w:eastAsia="zh-CN"/>
        </w:rPr>
      </w:pPr>
      <w:r>
        <w:rPr>
          <w:rFonts w:hint="eastAsia" w:hAnsi="宋体" w:cs="宋体"/>
          <w:b w:val="0"/>
          <w:color w:val="auto"/>
          <w:sz w:val="52"/>
          <w:szCs w:val="52"/>
          <w:highlight w:val="none"/>
          <w:lang w:eastAsia="zh-CN"/>
        </w:rPr>
        <w:t>地一期二单元15、16层办公用</w:t>
      </w:r>
    </w:p>
    <w:p w14:paraId="6E3D6959">
      <w:pPr>
        <w:pStyle w:val="2"/>
        <w:ind w:firstLine="0" w:firstLineChars="0"/>
        <w:jc w:val="center"/>
        <w:rPr>
          <w:rFonts w:hint="eastAsia" w:ascii="宋体" w:hAnsi="宋体" w:eastAsia="宋体" w:cs="宋体"/>
          <w:color w:val="auto"/>
          <w:sz w:val="44"/>
          <w:szCs w:val="44"/>
          <w:highlight w:val="none"/>
          <w:lang w:val="en-US" w:eastAsia="zh-CN"/>
        </w:rPr>
      </w:pPr>
      <w:r>
        <w:rPr>
          <w:rFonts w:hint="eastAsia" w:hAnsi="宋体" w:cs="宋体"/>
          <w:b w:val="0"/>
          <w:color w:val="auto"/>
          <w:sz w:val="52"/>
          <w:szCs w:val="52"/>
          <w:highlight w:val="none"/>
          <w:lang w:eastAsia="zh-CN"/>
        </w:rPr>
        <w:t>房提升工程</w:t>
      </w:r>
      <w:r>
        <w:rPr>
          <w:rFonts w:hint="eastAsia" w:hAnsi="宋体" w:cs="宋体"/>
          <w:b w:val="0"/>
          <w:color w:val="auto"/>
          <w:sz w:val="52"/>
          <w:szCs w:val="52"/>
          <w:highlight w:val="none"/>
          <w:lang w:val="en-US" w:eastAsia="zh-CN"/>
        </w:rPr>
        <w:t>招标代理</w:t>
      </w:r>
    </w:p>
    <w:p w14:paraId="53EC0AA6">
      <w:pPr>
        <w:pStyle w:val="3"/>
        <w:rPr>
          <w:rFonts w:hint="eastAsia" w:ascii="宋体" w:hAnsi="宋体" w:eastAsia="宋体" w:cs="宋体"/>
          <w:color w:val="auto"/>
          <w:sz w:val="44"/>
          <w:szCs w:val="44"/>
          <w:highlight w:val="none"/>
          <w:lang w:val="en-US" w:eastAsia="zh-CN"/>
        </w:rPr>
      </w:pPr>
    </w:p>
    <w:p w14:paraId="613ECEAC">
      <w:pPr>
        <w:rPr>
          <w:rFonts w:hint="eastAsia"/>
          <w:highlight w:val="none"/>
          <w:lang w:val="en-US" w:eastAsia="zh-CN"/>
        </w:rPr>
      </w:pPr>
    </w:p>
    <w:p w14:paraId="6509B7BE">
      <w:pPr>
        <w:rPr>
          <w:rFonts w:hint="eastAsia"/>
          <w:highlight w:val="none"/>
          <w:lang w:val="en-US" w:eastAsia="zh-CN"/>
        </w:rPr>
      </w:pPr>
    </w:p>
    <w:p w14:paraId="3745EFC1">
      <w:pPr>
        <w:rPr>
          <w:rFonts w:hint="eastAsia"/>
          <w:highlight w:val="none"/>
          <w:lang w:val="en-US" w:eastAsia="zh-CN"/>
        </w:rPr>
      </w:pPr>
    </w:p>
    <w:p w14:paraId="65C9513A">
      <w:pPr>
        <w:spacing w:before="120" w:beforeLines="50" w:after="240" w:afterLines="100" w:line="360" w:lineRule="auto"/>
        <w:jc w:val="center"/>
        <w:rPr>
          <w:rFonts w:ascii="宋体" w:hAnsi="宋体"/>
          <w:b/>
          <w:sz w:val="72"/>
          <w:szCs w:val="72"/>
          <w:highlight w:val="none"/>
        </w:rPr>
      </w:pPr>
      <w:r>
        <w:rPr>
          <w:rFonts w:hint="eastAsia" w:ascii="宋体" w:hAnsi="宋体"/>
          <w:b/>
          <w:sz w:val="72"/>
          <w:szCs w:val="72"/>
          <w:highlight w:val="none"/>
        </w:rPr>
        <w:t>公开招标（自主）文件</w:t>
      </w:r>
    </w:p>
    <w:p w14:paraId="358E9A64">
      <w:pPr>
        <w:spacing w:line="360" w:lineRule="auto"/>
        <w:jc w:val="center"/>
        <w:rPr>
          <w:rFonts w:ascii="宋体" w:hAnsi="宋体"/>
          <w:b/>
          <w:sz w:val="32"/>
          <w:szCs w:val="32"/>
          <w:highlight w:val="none"/>
        </w:rPr>
      </w:pPr>
    </w:p>
    <w:p w14:paraId="5676D44E">
      <w:pPr>
        <w:spacing w:line="360" w:lineRule="auto"/>
        <w:jc w:val="center"/>
        <w:rPr>
          <w:rFonts w:ascii="宋体" w:hAnsi="宋体"/>
          <w:b/>
          <w:sz w:val="32"/>
          <w:szCs w:val="32"/>
          <w:highlight w:val="none"/>
        </w:rPr>
      </w:pPr>
    </w:p>
    <w:p w14:paraId="0B66551B">
      <w:pPr>
        <w:spacing w:line="360" w:lineRule="auto"/>
        <w:jc w:val="center"/>
        <w:rPr>
          <w:rFonts w:ascii="宋体" w:hAnsi="宋体"/>
          <w:b/>
          <w:sz w:val="32"/>
          <w:szCs w:val="32"/>
          <w:highlight w:val="none"/>
        </w:rPr>
      </w:pPr>
    </w:p>
    <w:p w14:paraId="42F81773">
      <w:pPr>
        <w:spacing w:line="360" w:lineRule="auto"/>
        <w:jc w:val="center"/>
        <w:rPr>
          <w:rFonts w:ascii="宋体" w:hAnsi="宋体"/>
          <w:b/>
          <w:sz w:val="32"/>
          <w:szCs w:val="32"/>
          <w:highlight w:val="none"/>
        </w:rPr>
      </w:pPr>
    </w:p>
    <w:p w14:paraId="59B3B688">
      <w:pPr>
        <w:rPr>
          <w:rFonts w:ascii="宋体" w:hAnsi="宋体"/>
          <w:b/>
          <w:sz w:val="32"/>
          <w:szCs w:val="32"/>
          <w:highlight w:val="none"/>
        </w:rPr>
      </w:pPr>
    </w:p>
    <w:p w14:paraId="4E760F72">
      <w:pPr>
        <w:pStyle w:val="24"/>
        <w:rPr>
          <w:rFonts w:ascii="宋体" w:hAnsi="宋体"/>
          <w:b/>
          <w:sz w:val="32"/>
          <w:szCs w:val="32"/>
          <w:highlight w:val="none"/>
        </w:rPr>
      </w:pPr>
    </w:p>
    <w:p w14:paraId="19FF7676">
      <w:pPr>
        <w:rPr>
          <w:highlight w:val="none"/>
        </w:rPr>
      </w:pPr>
    </w:p>
    <w:p w14:paraId="61259E5A">
      <w:pPr>
        <w:spacing w:line="360" w:lineRule="auto"/>
        <w:jc w:val="center"/>
        <w:rPr>
          <w:rFonts w:ascii="宋体" w:hAnsi="宋体"/>
          <w:b/>
          <w:sz w:val="32"/>
          <w:szCs w:val="32"/>
          <w:highlight w:val="none"/>
        </w:rPr>
      </w:pPr>
    </w:p>
    <w:p w14:paraId="03FC1B01">
      <w:pPr>
        <w:spacing w:line="360" w:lineRule="auto"/>
        <w:jc w:val="center"/>
        <w:rPr>
          <w:rFonts w:hint="eastAsia" w:ascii="仿宋_GB2312" w:hAnsi="宋体" w:eastAsia="仿宋_GB2312" w:cs="Times New Roman"/>
          <w:b w:val="0"/>
          <w:bCs/>
          <w:kern w:val="2"/>
          <w:sz w:val="30"/>
          <w:szCs w:val="30"/>
          <w:highlight w:val="none"/>
          <w:lang w:val="en-US" w:eastAsia="zh-CN" w:bidi="ar-SA"/>
        </w:rPr>
      </w:pPr>
      <w:r>
        <w:rPr>
          <w:rFonts w:hint="eastAsia" w:ascii="仿宋_GB2312" w:hAnsi="宋体" w:eastAsia="仿宋_GB2312"/>
          <w:b w:val="0"/>
          <w:bCs/>
          <w:sz w:val="30"/>
          <w:szCs w:val="30"/>
          <w:highlight w:val="none"/>
        </w:rPr>
        <w:t>招标人：</w:t>
      </w:r>
      <w:r>
        <w:rPr>
          <w:rFonts w:hint="eastAsia" w:ascii="仿宋_GB2312" w:hAnsi="宋体" w:eastAsia="仿宋_GB2312" w:cs="Times New Roman"/>
          <w:b w:val="0"/>
          <w:bCs/>
          <w:kern w:val="2"/>
          <w:sz w:val="30"/>
          <w:szCs w:val="30"/>
          <w:highlight w:val="none"/>
          <w:lang w:val="en-US" w:eastAsia="zh-CN" w:bidi="ar-SA"/>
        </w:rPr>
        <w:t>深圳市龙岗区城投新基础设施建设管理有限公司</w:t>
      </w:r>
    </w:p>
    <w:p w14:paraId="48CD65B4">
      <w:pPr>
        <w:spacing w:line="360" w:lineRule="auto"/>
        <w:jc w:val="center"/>
        <w:rPr>
          <w:rFonts w:ascii="宋体" w:hAnsi="宋体"/>
          <w:sz w:val="30"/>
          <w:szCs w:val="30"/>
          <w:highlight w:val="none"/>
        </w:rPr>
      </w:pPr>
      <w:r>
        <w:rPr>
          <w:rFonts w:hint="eastAsia" w:ascii="宋体" w:hAnsi="宋体"/>
          <w:sz w:val="30"/>
          <w:szCs w:val="30"/>
          <w:highlight w:val="none"/>
        </w:rPr>
        <w:t xml:space="preserve">   二〇二</w:t>
      </w:r>
      <w:r>
        <w:rPr>
          <w:rFonts w:hint="eastAsia" w:ascii="宋体" w:hAnsi="宋体"/>
          <w:sz w:val="30"/>
          <w:szCs w:val="30"/>
          <w:highlight w:val="none"/>
          <w:lang w:val="en-US" w:eastAsia="zh-CN"/>
        </w:rPr>
        <w:t>六</w:t>
      </w:r>
      <w:r>
        <w:rPr>
          <w:rFonts w:hint="eastAsia" w:ascii="宋体" w:hAnsi="宋体"/>
          <w:sz w:val="30"/>
          <w:szCs w:val="30"/>
          <w:highlight w:val="none"/>
        </w:rPr>
        <w:t>年</w:t>
      </w:r>
      <w:r>
        <w:rPr>
          <w:rFonts w:hint="eastAsia" w:ascii="宋体" w:hAnsi="宋体"/>
          <w:sz w:val="30"/>
          <w:szCs w:val="30"/>
          <w:highlight w:val="none"/>
          <w:lang w:val="en-US" w:eastAsia="zh-CN"/>
        </w:rPr>
        <w:t>八</w:t>
      </w:r>
      <w:r>
        <w:rPr>
          <w:rFonts w:hint="eastAsia" w:ascii="宋体" w:hAnsi="宋体"/>
          <w:sz w:val="30"/>
          <w:szCs w:val="30"/>
          <w:highlight w:val="none"/>
        </w:rPr>
        <w:t>月</w:t>
      </w:r>
    </w:p>
    <w:p w14:paraId="10EFF518">
      <w:pPr>
        <w:widowControl/>
        <w:spacing w:before="60" w:beforeLines="25" w:after="60" w:afterLines="25" w:line="360" w:lineRule="auto"/>
        <w:jc w:val="center"/>
        <w:rPr>
          <w:rFonts w:ascii="宋体" w:hAnsi="宋体"/>
          <w:b/>
          <w:sz w:val="32"/>
          <w:szCs w:val="32"/>
          <w:highlight w:val="none"/>
          <w:lang w:val="zh-CN"/>
        </w:rPr>
        <w:sectPr>
          <w:headerReference r:id="rId3" w:type="default"/>
          <w:pgSz w:w="11906" w:h="16838"/>
          <w:pgMar w:top="1440" w:right="1800" w:bottom="1440" w:left="1800" w:header="1247" w:footer="737" w:gutter="0"/>
          <w:pgNumType w:start="1"/>
          <w:cols w:space="720" w:num="1"/>
          <w:docGrid w:linePitch="380" w:charSpace="-4301"/>
        </w:sectPr>
      </w:pPr>
    </w:p>
    <w:p w14:paraId="3E31FF5B">
      <w:pPr>
        <w:widowControl/>
        <w:spacing w:before="78" w:beforeLines="25" w:after="78" w:afterLines="25" w:line="360" w:lineRule="auto"/>
        <w:jc w:val="center"/>
        <w:rPr>
          <w:rFonts w:ascii="宋体" w:hAnsi="宋体"/>
          <w:b/>
          <w:sz w:val="32"/>
          <w:szCs w:val="32"/>
          <w:highlight w:val="none"/>
          <w:lang w:val="zh-CN"/>
        </w:rPr>
      </w:pPr>
      <w:r>
        <w:rPr>
          <w:rFonts w:ascii="宋体" w:hAnsi="宋体"/>
          <w:b/>
          <w:sz w:val="32"/>
          <w:szCs w:val="32"/>
          <w:highlight w:val="none"/>
          <w:lang w:val="zh-CN"/>
        </w:rPr>
        <w:t>目</w:t>
      </w:r>
      <w:r>
        <w:rPr>
          <w:rFonts w:hint="eastAsia" w:ascii="宋体" w:hAnsi="宋体"/>
          <w:b/>
          <w:sz w:val="32"/>
          <w:szCs w:val="32"/>
          <w:highlight w:val="none"/>
          <w:lang w:val="zh-CN"/>
        </w:rPr>
        <w:t>　</w:t>
      </w:r>
      <w:r>
        <w:rPr>
          <w:rFonts w:ascii="宋体" w:hAnsi="宋体"/>
          <w:b/>
          <w:sz w:val="32"/>
          <w:szCs w:val="32"/>
          <w:highlight w:val="none"/>
          <w:lang w:val="zh-CN"/>
        </w:rPr>
        <w:t>录</w:t>
      </w:r>
    </w:p>
    <w:p w14:paraId="61B1C2D2">
      <w:pPr>
        <w:spacing w:line="480" w:lineRule="auto"/>
        <w:jc w:val="left"/>
        <w:rPr>
          <w:rFonts w:ascii="宋体" w:hAnsi="宋体"/>
          <w:sz w:val="24"/>
          <w:szCs w:val="24"/>
          <w:highlight w:val="none"/>
        </w:rPr>
      </w:pPr>
      <w:r>
        <w:rPr>
          <w:rFonts w:hint="eastAsia" w:ascii="宋体" w:hAnsi="宋体"/>
          <w:sz w:val="24"/>
          <w:szCs w:val="24"/>
          <w:highlight w:val="none"/>
          <w:lang w:val="zh-CN"/>
        </w:rPr>
        <w:t>第一章</w:t>
      </w:r>
      <w:r>
        <w:rPr>
          <w:rFonts w:ascii="宋体" w:hAnsi="宋体"/>
          <w:sz w:val="24"/>
          <w:szCs w:val="24"/>
          <w:highlight w:val="none"/>
          <w:lang w:val="zh-CN"/>
        </w:rPr>
        <w:tab/>
      </w:r>
      <w:r>
        <w:rPr>
          <w:rFonts w:hint="eastAsia" w:ascii="宋体" w:hAnsi="宋体"/>
          <w:sz w:val="24"/>
          <w:szCs w:val="24"/>
          <w:highlight w:val="none"/>
          <w:lang w:val="zh-CN"/>
        </w:rPr>
        <w:t xml:space="preserve"> 公开招标（自主）公</w:t>
      </w:r>
      <w:r>
        <w:rPr>
          <w:rFonts w:hint="eastAsia" w:ascii="宋体" w:hAnsi="宋体"/>
          <w:sz w:val="24"/>
          <w:szCs w:val="24"/>
          <w:highlight w:val="none"/>
        </w:rPr>
        <w:t>告</w:t>
      </w:r>
      <w:r>
        <w:rPr>
          <w:rFonts w:ascii="宋体" w:hAnsi="宋体"/>
          <w:sz w:val="24"/>
          <w:szCs w:val="24"/>
          <w:highlight w:val="none"/>
          <w:lang w:val="zh-CN"/>
        </w:rPr>
        <w:t>…………………………………………………</w:t>
      </w:r>
      <w:r>
        <w:rPr>
          <w:rFonts w:hint="eastAsia" w:ascii="宋体" w:hAnsi="宋体"/>
          <w:sz w:val="24"/>
          <w:szCs w:val="24"/>
          <w:highlight w:val="none"/>
        </w:rPr>
        <w:t>3</w:t>
      </w:r>
    </w:p>
    <w:p w14:paraId="71FD79FE">
      <w:pPr>
        <w:spacing w:line="480" w:lineRule="auto"/>
        <w:rPr>
          <w:rFonts w:ascii="宋体" w:hAnsi="宋体"/>
          <w:sz w:val="24"/>
          <w:szCs w:val="24"/>
          <w:highlight w:val="none"/>
        </w:rPr>
      </w:pPr>
      <w:r>
        <w:rPr>
          <w:rFonts w:hint="eastAsia" w:ascii="宋体" w:hAnsi="宋体"/>
          <w:sz w:val="24"/>
          <w:szCs w:val="24"/>
          <w:highlight w:val="none"/>
          <w:lang w:val="zh-CN"/>
        </w:rPr>
        <w:t>第二章  投标须知</w:t>
      </w:r>
      <w:r>
        <w:rPr>
          <w:rFonts w:ascii="宋体" w:hAnsi="宋体"/>
          <w:sz w:val="24"/>
          <w:szCs w:val="24"/>
          <w:highlight w:val="none"/>
          <w:lang w:val="zh-CN"/>
        </w:rPr>
        <w:t>…………………………………………………………………</w:t>
      </w:r>
      <w:r>
        <w:rPr>
          <w:rFonts w:hint="eastAsia" w:ascii="宋体" w:hAnsi="宋体"/>
          <w:sz w:val="24"/>
          <w:szCs w:val="24"/>
          <w:highlight w:val="none"/>
        </w:rPr>
        <w:t>6</w:t>
      </w:r>
    </w:p>
    <w:p w14:paraId="5D8DB8A1">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一、总</w:t>
      </w:r>
      <w:r>
        <w:rPr>
          <w:rFonts w:ascii="宋体" w:hAnsi="宋体"/>
          <w:sz w:val="24"/>
          <w:szCs w:val="24"/>
          <w:highlight w:val="none"/>
          <w:lang w:val="zh-CN"/>
        </w:rPr>
        <w:t xml:space="preserve">  </w:t>
      </w:r>
      <w:r>
        <w:rPr>
          <w:rFonts w:hint="eastAsia" w:ascii="宋体" w:hAnsi="宋体"/>
          <w:sz w:val="24"/>
          <w:szCs w:val="24"/>
          <w:highlight w:val="none"/>
          <w:lang w:val="zh-CN"/>
        </w:rPr>
        <w:t>则</w:t>
      </w:r>
      <w:r>
        <w:rPr>
          <w:rFonts w:ascii="宋体" w:hAnsi="宋体"/>
          <w:sz w:val="24"/>
          <w:szCs w:val="24"/>
          <w:highlight w:val="none"/>
          <w:lang w:val="zh-CN"/>
        </w:rPr>
        <w:t>………………………………………………………………………</w:t>
      </w:r>
      <w:r>
        <w:rPr>
          <w:rFonts w:hint="eastAsia" w:ascii="宋体" w:hAnsi="宋体"/>
          <w:sz w:val="24"/>
          <w:szCs w:val="24"/>
          <w:highlight w:val="none"/>
        </w:rPr>
        <w:t>7</w:t>
      </w:r>
    </w:p>
    <w:p w14:paraId="2617C64C">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二、</w:t>
      </w:r>
      <w:r>
        <w:rPr>
          <w:rFonts w:hint="eastAsia" w:ascii="宋体" w:hAnsi="宋体"/>
          <w:sz w:val="24"/>
          <w:szCs w:val="24"/>
          <w:highlight w:val="none"/>
          <w:lang w:val="en-US" w:eastAsia="zh-CN"/>
        </w:rPr>
        <w:t>投标</w:t>
      </w:r>
      <w:r>
        <w:rPr>
          <w:rFonts w:hint="eastAsia" w:ascii="宋体" w:hAnsi="宋体"/>
          <w:sz w:val="24"/>
          <w:szCs w:val="24"/>
          <w:highlight w:val="none"/>
          <w:lang w:val="zh-CN"/>
        </w:rPr>
        <w:t>文件的编制</w:t>
      </w:r>
      <w:r>
        <w:rPr>
          <w:rFonts w:ascii="宋体" w:hAnsi="宋体"/>
          <w:sz w:val="24"/>
          <w:szCs w:val="24"/>
          <w:highlight w:val="none"/>
          <w:lang w:val="zh-CN"/>
        </w:rPr>
        <w:t>……………………………………………………………</w:t>
      </w:r>
      <w:r>
        <w:rPr>
          <w:rFonts w:hint="eastAsia" w:ascii="宋体" w:hAnsi="宋体"/>
          <w:sz w:val="24"/>
          <w:szCs w:val="24"/>
          <w:highlight w:val="none"/>
        </w:rPr>
        <w:t>8</w:t>
      </w:r>
    </w:p>
    <w:p w14:paraId="2FC5771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三、投标文件的</w:t>
      </w:r>
      <w:r>
        <w:rPr>
          <w:rFonts w:hint="eastAsia" w:ascii="宋体" w:hAnsi="宋体"/>
          <w:sz w:val="24"/>
          <w:szCs w:val="24"/>
          <w:highlight w:val="none"/>
        </w:rPr>
        <w:t>递</w:t>
      </w:r>
      <w:r>
        <w:rPr>
          <w:rFonts w:hint="eastAsia" w:ascii="宋体" w:hAnsi="宋体"/>
          <w:sz w:val="24"/>
          <w:szCs w:val="24"/>
          <w:highlight w:val="none"/>
          <w:lang w:val="zh-CN"/>
        </w:rPr>
        <w:t>交</w:t>
      </w:r>
      <w:r>
        <w:rPr>
          <w:rFonts w:ascii="宋体" w:hAnsi="宋体"/>
          <w:sz w:val="24"/>
          <w:szCs w:val="24"/>
          <w:highlight w:val="none"/>
          <w:lang w:val="zh-CN"/>
        </w:rPr>
        <w:t>……………………………………………………………</w:t>
      </w:r>
      <w:r>
        <w:rPr>
          <w:rFonts w:hint="eastAsia" w:ascii="宋体" w:hAnsi="宋体"/>
          <w:sz w:val="24"/>
          <w:szCs w:val="24"/>
          <w:highlight w:val="none"/>
        </w:rPr>
        <w:t>8</w:t>
      </w:r>
    </w:p>
    <w:p w14:paraId="1CD847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四、开</w:t>
      </w:r>
      <w:r>
        <w:rPr>
          <w:rFonts w:ascii="宋体" w:hAnsi="宋体"/>
          <w:sz w:val="24"/>
          <w:szCs w:val="24"/>
          <w:highlight w:val="none"/>
          <w:lang w:val="zh-CN"/>
        </w:rPr>
        <w:t xml:space="preserve">  </w:t>
      </w:r>
      <w:r>
        <w:rPr>
          <w:rFonts w:hint="eastAsia" w:ascii="宋体" w:hAnsi="宋体"/>
          <w:sz w:val="24"/>
          <w:szCs w:val="24"/>
          <w:highlight w:val="none"/>
          <w:lang w:val="zh-CN"/>
        </w:rPr>
        <w:t>标</w:t>
      </w:r>
      <w:r>
        <w:rPr>
          <w:rFonts w:ascii="宋体" w:hAnsi="宋体"/>
          <w:sz w:val="24"/>
          <w:szCs w:val="24"/>
          <w:highlight w:val="none"/>
          <w:lang w:val="zh-CN"/>
        </w:rPr>
        <w:t>………………………………………………………………………</w:t>
      </w:r>
      <w:r>
        <w:rPr>
          <w:rFonts w:hint="eastAsia" w:ascii="宋体" w:hAnsi="宋体"/>
          <w:sz w:val="24"/>
          <w:szCs w:val="24"/>
          <w:highlight w:val="none"/>
        </w:rPr>
        <w:t>9</w:t>
      </w:r>
    </w:p>
    <w:p w14:paraId="058C4D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五、资格审查</w:t>
      </w:r>
      <w:r>
        <w:rPr>
          <w:rFonts w:ascii="宋体" w:hAnsi="宋体"/>
          <w:sz w:val="24"/>
          <w:szCs w:val="24"/>
          <w:highlight w:val="none"/>
          <w:lang w:val="zh-CN"/>
        </w:rPr>
        <w:t>……………………………………………………………………</w:t>
      </w:r>
      <w:r>
        <w:rPr>
          <w:rFonts w:hint="eastAsia" w:ascii="宋体" w:hAnsi="宋体"/>
          <w:sz w:val="24"/>
          <w:szCs w:val="24"/>
          <w:highlight w:val="none"/>
        </w:rPr>
        <w:t>9</w:t>
      </w:r>
    </w:p>
    <w:p w14:paraId="24C99FB8">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六、评标</w:t>
      </w:r>
      <w:r>
        <w:rPr>
          <w:rFonts w:ascii="宋体" w:hAnsi="宋体"/>
          <w:sz w:val="24"/>
          <w:szCs w:val="24"/>
          <w:highlight w:val="none"/>
          <w:lang w:val="zh-CN"/>
        </w:rPr>
        <w:t>…………………………………………………………………………</w:t>
      </w:r>
      <w:r>
        <w:rPr>
          <w:rFonts w:hint="eastAsia" w:ascii="宋体" w:hAnsi="宋体"/>
          <w:sz w:val="24"/>
          <w:szCs w:val="24"/>
          <w:highlight w:val="none"/>
        </w:rPr>
        <w:t>9</w:t>
      </w:r>
    </w:p>
    <w:p w14:paraId="1BFCFB74">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七、签订合同</w:t>
      </w:r>
      <w:r>
        <w:rPr>
          <w:rFonts w:ascii="宋体" w:hAnsi="宋体"/>
          <w:sz w:val="24"/>
          <w:szCs w:val="24"/>
          <w:highlight w:val="none"/>
          <w:lang w:val="zh-CN"/>
        </w:rPr>
        <w:t>……………………………………………………………………</w:t>
      </w:r>
      <w:r>
        <w:rPr>
          <w:rFonts w:hint="eastAsia" w:ascii="宋体" w:hAnsi="宋体"/>
          <w:sz w:val="24"/>
          <w:szCs w:val="24"/>
          <w:highlight w:val="none"/>
        </w:rPr>
        <w:t>10</w:t>
      </w:r>
    </w:p>
    <w:p w14:paraId="575C336E">
      <w:pPr>
        <w:spacing w:line="480" w:lineRule="auto"/>
        <w:rPr>
          <w:rFonts w:hint="eastAsia" w:ascii="宋体" w:hAnsi="宋体" w:eastAsia="宋体"/>
          <w:sz w:val="24"/>
          <w:szCs w:val="24"/>
          <w:highlight w:val="none"/>
          <w:lang w:val="en-US" w:eastAsia="zh-CN"/>
        </w:rPr>
      </w:pPr>
      <w:r>
        <w:rPr>
          <w:rFonts w:hint="eastAsia" w:ascii="宋体" w:hAnsi="宋体"/>
          <w:sz w:val="24"/>
          <w:szCs w:val="24"/>
          <w:highlight w:val="none"/>
          <w:lang w:val="zh-CN"/>
        </w:rPr>
        <w:t>第三章</w:t>
      </w:r>
      <w:r>
        <w:rPr>
          <w:rFonts w:hint="eastAsia" w:ascii="宋体" w:hAnsi="宋体"/>
          <w:sz w:val="24"/>
          <w:szCs w:val="24"/>
          <w:highlight w:val="none"/>
          <w:lang w:val="en-US"/>
        </w:rPr>
        <w:t xml:space="preserve">  </w:t>
      </w:r>
      <w:r>
        <w:rPr>
          <w:rFonts w:hint="eastAsia" w:ascii="宋体" w:hAnsi="宋体"/>
          <w:sz w:val="24"/>
          <w:szCs w:val="24"/>
          <w:highlight w:val="none"/>
        </w:rPr>
        <w:t>合同文件</w:t>
      </w:r>
      <w:r>
        <w:rPr>
          <w:rFonts w:ascii="宋体" w:hAnsi="宋体"/>
          <w:sz w:val="24"/>
          <w:szCs w:val="24"/>
          <w:highlight w:val="none"/>
          <w:lang w:val="en-US"/>
        </w:rPr>
        <w:t>…………………………………………………………………</w:t>
      </w:r>
      <w:r>
        <w:rPr>
          <w:rFonts w:hint="eastAsia" w:ascii="宋体" w:hAnsi="宋体"/>
          <w:sz w:val="24"/>
          <w:szCs w:val="24"/>
          <w:highlight w:val="none"/>
        </w:rPr>
        <w:t>1</w:t>
      </w:r>
      <w:r>
        <w:rPr>
          <w:rFonts w:hint="eastAsia" w:ascii="宋体" w:hAnsi="宋体"/>
          <w:sz w:val="24"/>
          <w:szCs w:val="24"/>
          <w:highlight w:val="none"/>
          <w:lang w:val="en-US" w:eastAsia="zh-CN"/>
        </w:rPr>
        <w:t>2</w:t>
      </w:r>
    </w:p>
    <w:p w14:paraId="1C33202A">
      <w:pPr>
        <w:spacing w:line="480" w:lineRule="auto"/>
        <w:rPr>
          <w:rFonts w:hint="default" w:ascii="宋体" w:hAnsi="宋体" w:eastAsia="宋体"/>
          <w:sz w:val="24"/>
          <w:szCs w:val="24"/>
          <w:highlight w:val="none"/>
          <w:lang w:val="en-US" w:eastAsia="zh-CN"/>
        </w:rPr>
      </w:pPr>
      <w:r>
        <w:rPr>
          <w:rFonts w:hint="eastAsia" w:ascii="宋体" w:hAnsi="宋体"/>
          <w:sz w:val="24"/>
          <w:szCs w:val="24"/>
          <w:highlight w:val="none"/>
        </w:rPr>
        <w:t>第四章  投标文件格式</w:t>
      </w:r>
      <w:r>
        <w:rPr>
          <w:rFonts w:ascii="宋体" w:hAnsi="宋体"/>
          <w:sz w:val="24"/>
          <w:szCs w:val="24"/>
          <w:highlight w:val="none"/>
          <w:lang w:val="zh-CN"/>
        </w:rPr>
        <w:t>……………………………………………………………</w:t>
      </w:r>
      <w:r>
        <w:rPr>
          <w:rFonts w:hint="eastAsia" w:ascii="宋体" w:hAnsi="宋体"/>
          <w:sz w:val="24"/>
          <w:szCs w:val="24"/>
          <w:highlight w:val="none"/>
          <w:lang w:val="en-US" w:eastAsia="zh-CN"/>
        </w:rPr>
        <w:t>30</w:t>
      </w:r>
    </w:p>
    <w:p w14:paraId="261C2BDA">
      <w:pPr>
        <w:rPr>
          <w:rFonts w:ascii="宋体" w:hAnsi="宋体"/>
          <w:sz w:val="24"/>
          <w:szCs w:val="24"/>
          <w:highlight w:val="none"/>
          <w:lang w:val="zh-CN"/>
        </w:rPr>
      </w:pPr>
      <w:r>
        <w:rPr>
          <w:rFonts w:ascii="宋体" w:hAnsi="宋体"/>
          <w:sz w:val="24"/>
          <w:szCs w:val="24"/>
          <w:highlight w:val="none"/>
        </w:rPr>
        <w:t xml:space="preserve"> </w:t>
      </w:r>
      <w:r>
        <w:rPr>
          <w:rFonts w:hint="eastAsia" w:ascii="宋体" w:hAnsi="宋体"/>
          <w:sz w:val="24"/>
          <w:szCs w:val="24"/>
          <w:highlight w:val="none"/>
        </w:rPr>
        <w:t xml:space="preserve"> </w:t>
      </w:r>
    </w:p>
    <w:p w14:paraId="3FBEE8AF">
      <w:pPr>
        <w:pStyle w:val="29"/>
        <w:tabs>
          <w:tab w:val="right" w:leader="dot" w:pos="9141"/>
        </w:tabs>
        <w:rPr>
          <w:rFonts w:hint="eastAsia" w:ascii="宋体" w:hAnsi="宋体"/>
          <w:highlight w:val="none"/>
        </w:rPr>
      </w:pPr>
    </w:p>
    <w:p w14:paraId="309A28EC">
      <w:pPr>
        <w:pStyle w:val="29"/>
        <w:tabs>
          <w:tab w:val="right" w:leader="dot" w:pos="9141"/>
        </w:tabs>
        <w:rPr>
          <w:rFonts w:hint="eastAsia" w:ascii="宋体" w:hAnsi="宋体"/>
          <w:highlight w:val="none"/>
        </w:rPr>
      </w:pPr>
    </w:p>
    <w:p w14:paraId="5AAB41DD">
      <w:pPr>
        <w:pStyle w:val="29"/>
        <w:tabs>
          <w:tab w:val="right" w:leader="dot" w:pos="9141"/>
        </w:tabs>
        <w:rPr>
          <w:rFonts w:hint="eastAsia" w:ascii="宋体" w:hAnsi="宋体"/>
          <w:highlight w:val="none"/>
        </w:rPr>
      </w:pPr>
    </w:p>
    <w:p w14:paraId="2B23ECAA">
      <w:pPr>
        <w:pStyle w:val="29"/>
        <w:tabs>
          <w:tab w:val="right" w:leader="dot" w:pos="9141"/>
        </w:tabs>
        <w:rPr>
          <w:rFonts w:hint="eastAsia" w:ascii="宋体" w:hAnsi="宋体"/>
          <w:highlight w:val="none"/>
        </w:rPr>
      </w:pPr>
    </w:p>
    <w:p w14:paraId="74C3F0C9">
      <w:pPr>
        <w:pStyle w:val="29"/>
        <w:tabs>
          <w:tab w:val="right" w:leader="dot" w:pos="9141"/>
        </w:tabs>
        <w:rPr>
          <w:rFonts w:hint="eastAsia" w:ascii="宋体" w:hAnsi="宋体"/>
          <w:highlight w:val="none"/>
        </w:rPr>
      </w:pPr>
    </w:p>
    <w:p w14:paraId="40CB04CC">
      <w:pPr>
        <w:pStyle w:val="29"/>
        <w:tabs>
          <w:tab w:val="right" w:leader="dot" w:pos="9141"/>
        </w:tabs>
        <w:rPr>
          <w:rFonts w:hint="eastAsia" w:ascii="宋体" w:hAnsi="宋体"/>
          <w:highlight w:val="none"/>
        </w:rPr>
      </w:pPr>
    </w:p>
    <w:p w14:paraId="7F1FAE77">
      <w:pPr>
        <w:pStyle w:val="29"/>
        <w:tabs>
          <w:tab w:val="right" w:leader="dot" w:pos="9141"/>
        </w:tabs>
        <w:rPr>
          <w:rFonts w:hint="eastAsia" w:ascii="宋体" w:hAnsi="宋体"/>
          <w:highlight w:val="none"/>
        </w:rPr>
      </w:pPr>
    </w:p>
    <w:p w14:paraId="5AD6E4CE">
      <w:pPr>
        <w:pStyle w:val="29"/>
        <w:tabs>
          <w:tab w:val="right" w:leader="dot" w:pos="9141"/>
        </w:tabs>
        <w:rPr>
          <w:rFonts w:hint="eastAsia" w:ascii="宋体" w:hAnsi="宋体"/>
          <w:highlight w:val="none"/>
        </w:rPr>
      </w:pPr>
    </w:p>
    <w:p w14:paraId="420676A3">
      <w:pPr>
        <w:pStyle w:val="29"/>
        <w:tabs>
          <w:tab w:val="right" w:leader="dot" w:pos="9141"/>
        </w:tabs>
        <w:rPr>
          <w:rFonts w:hint="eastAsia" w:ascii="宋体" w:hAnsi="宋体"/>
          <w:highlight w:val="none"/>
        </w:rPr>
      </w:pPr>
    </w:p>
    <w:p w14:paraId="6B46F696">
      <w:pPr>
        <w:pStyle w:val="29"/>
        <w:tabs>
          <w:tab w:val="right" w:leader="dot" w:pos="9141"/>
        </w:tabs>
        <w:rPr>
          <w:rFonts w:hint="eastAsia" w:ascii="宋体" w:hAnsi="宋体"/>
          <w:highlight w:val="none"/>
        </w:rPr>
      </w:pPr>
    </w:p>
    <w:p w14:paraId="4C38EBB1">
      <w:pPr>
        <w:pStyle w:val="29"/>
        <w:tabs>
          <w:tab w:val="right" w:leader="dot" w:pos="9141"/>
        </w:tabs>
        <w:rPr>
          <w:rFonts w:hint="eastAsia" w:ascii="宋体" w:hAnsi="宋体"/>
          <w:highlight w:val="none"/>
        </w:rPr>
      </w:pPr>
    </w:p>
    <w:p w14:paraId="521301B8">
      <w:pPr>
        <w:pStyle w:val="29"/>
        <w:tabs>
          <w:tab w:val="right" w:leader="dot" w:pos="9141"/>
        </w:tabs>
        <w:rPr>
          <w:rFonts w:hint="eastAsia" w:ascii="宋体" w:hAnsi="宋体"/>
          <w:highlight w:val="none"/>
        </w:rPr>
      </w:pPr>
    </w:p>
    <w:p w14:paraId="0DF08CA2">
      <w:pPr>
        <w:pStyle w:val="29"/>
        <w:tabs>
          <w:tab w:val="right" w:leader="dot" w:pos="9141"/>
        </w:tabs>
        <w:rPr>
          <w:rFonts w:hint="eastAsia" w:ascii="宋体" w:hAnsi="宋体"/>
          <w:highlight w:val="none"/>
        </w:rPr>
      </w:pPr>
    </w:p>
    <w:p w14:paraId="0C1B8265">
      <w:pPr>
        <w:pStyle w:val="29"/>
        <w:tabs>
          <w:tab w:val="right" w:leader="dot" w:pos="9141"/>
        </w:tabs>
        <w:rPr>
          <w:rFonts w:hint="eastAsia" w:ascii="宋体" w:hAnsi="宋体"/>
          <w:highlight w:val="none"/>
        </w:rPr>
      </w:pPr>
    </w:p>
    <w:p w14:paraId="06F6B927">
      <w:pPr>
        <w:pStyle w:val="29"/>
        <w:tabs>
          <w:tab w:val="right" w:leader="dot" w:pos="9141"/>
        </w:tabs>
        <w:rPr>
          <w:rFonts w:hint="eastAsia" w:ascii="宋体" w:hAnsi="宋体"/>
          <w:highlight w:val="none"/>
        </w:rPr>
      </w:pPr>
    </w:p>
    <w:p w14:paraId="238F61C0">
      <w:pPr>
        <w:pStyle w:val="29"/>
        <w:tabs>
          <w:tab w:val="right" w:leader="dot" w:pos="9141"/>
        </w:tabs>
        <w:rPr>
          <w:rFonts w:hint="eastAsia" w:ascii="宋体" w:hAnsi="宋体"/>
          <w:highlight w:val="none"/>
        </w:rPr>
      </w:pPr>
    </w:p>
    <w:p w14:paraId="33D8B15D">
      <w:pPr>
        <w:pStyle w:val="29"/>
        <w:tabs>
          <w:tab w:val="right" w:leader="dot" w:pos="9141"/>
        </w:tabs>
        <w:rPr>
          <w:rFonts w:hint="eastAsia" w:ascii="宋体" w:hAnsi="宋体"/>
          <w:highlight w:val="none"/>
        </w:rPr>
      </w:pPr>
    </w:p>
    <w:p w14:paraId="70DA8D9D">
      <w:pPr>
        <w:pStyle w:val="29"/>
        <w:tabs>
          <w:tab w:val="right" w:leader="dot" w:pos="9141"/>
        </w:tabs>
        <w:rPr>
          <w:rFonts w:hint="eastAsia" w:ascii="宋体" w:hAnsi="宋体"/>
          <w:highlight w:val="none"/>
        </w:rPr>
      </w:pPr>
    </w:p>
    <w:p w14:paraId="0C959F90">
      <w:pPr>
        <w:pStyle w:val="29"/>
        <w:tabs>
          <w:tab w:val="right" w:leader="dot" w:pos="9141"/>
        </w:tabs>
        <w:rPr>
          <w:rFonts w:hint="eastAsia" w:ascii="宋体" w:hAnsi="宋体"/>
          <w:highlight w:val="none"/>
        </w:rPr>
      </w:pPr>
    </w:p>
    <w:p w14:paraId="179B1DFE">
      <w:pPr>
        <w:spacing w:line="360" w:lineRule="auto"/>
        <w:jc w:val="center"/>
        <w:outlineLvl w:val="2"/>
        <w:rPr>
          <w:rFonts w:hint="eastAsia" w:ascii="宋体" w:hAnsi="宋体"/>
          <w:b/>
          <w:snapToGrid w:val="0"/>
          <w:kern w:val="0"/>
          <w:sz w:val="32"/>
          <w:szCs w:val="32"/>
          <w:highlight w:val="none"/>
          <w:lang w:val="en-US" w:eastAsia="zh-CN"/>
        </w:rPr>
      </w:pPr>
      <w:bookmarkStart w:id="0" w:name="_Toc509669684"/>
      <w:r>
        <w:rPr>
          <w:rFonts w:hint="eastAsia" w:ascii="宋体" w:hAnsi="宋体"/>
          <w:b/>
          <w:snapToGrid w:val="0"/>
          <w:kern w:val="0"/>
          <w:sz w:val="32"/>
          <w:szCs w:val="32"/>
          <w:highlight w:val="none"/>
          <w:lang w:val="en-US" w:eastAsia="zh-CN"/>
        </w:rPr>
        <w:t xml:space="preserve">第一章  </w:t>
      </w:r>
      <w:bookmarkEnd w:id="0"/>
      <w:r>
        <w:rPr>
          <w:rFonts w:hint="eastAsia" w:ascii="宋体" w:hAnsi="宋体"/>
          <w:b/>
          <w:snapToGrid w:val="0"/>
          <w:kern w:val="0"/>
          <w:sz w:val="32"/>
          <w:szCs w:val="32"/>
          <w:highlight w:val="none"/>
          <w:lang w:val="en-US" w:eastAsia="zh-CN"/>
        </w:rPr>
        <w:t>公开招标（自主）公告</w:t>
      </w:r>
    </w:p>
    <w:p w14:paraId="255CDD4F">
      <w:pPr>
        <w:keepNext w:val="0"/>
        <w:keepLines w:val="0"/>
        <w:pageBreakBefore w:val="0"/>
        <w:kinsoku/>
        <w:wordWrap/>
        <w:overflowPunct/>
        <w:topLinePunct w:val="0"/>
        <w:autoSpaceDE/>
        <w:autoSpaceDN/>
        <w:bidi w:val="0"/>
        <w:adjustRightInd/>
        <w:snapToGrid/>
        <w:spacing w:line="300" w:lineRule="auto"/>
        <w:ind w:firstLine="0" w:firstLineChars="0"/>
        <w:textAlignment w:val="auto"/>
        <w:rPr>
          <w:rFonts w:hint="eastAsia" w:ascii="仿宋_GB2312" w:hAnsi="仿宋_GB2312" w:eastAsia="仿宋_GB2312" w:cs="仿宋_GB2312"/>
          <w:b w:val="0"/>
          <w:bCs w:val="0"/>
          <w:sz w:val="28"/>
          <w:szCs w:val="28"/>
          <w:highlight w:val="none"/>
          <w:lang w:val="en-US" w:eastAsia="zh-CN"/>
        </w:rPr>
      </w:pPr>
      <w:bookmarkStart w:id="1" w:name="_Toc509669685"/>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项目名称：</w:t>
      </w:r>
      <w:r>
        <w:rPr>
          <w:rFonts w:hint="eastAsia" w:ascii="仿宋_GB2312" w:hAnsi="仿宋_GB2312" w:eastAsia="仿宋_GB2312" w:cs="仿宋_GB2312"/>
          <w:b w:val="0"/>
          <w:bCs w:val="0"/>
          <w:sz w:val="28"/>
          <w:szCs w:val="28"/>
          <w:highlight w:val="none"/>
          <w:lang w:val="en-US" w:eastAsia="zh-CN"/>
        </w:rPr>
        <w:t>深圳建筑产业生态智谷总部基地一期二单元15、16层办公用房提升工程招标代理</w:t>
      </w:r>
    </w:p>
    <w:p w14:paraId="041C8BA7">
      <w:pPr>
        <w:keepNext w:val="0"/>
        <w:keepLines w:val="0"/>
        <w:pageBreakBefore w:val="0"/>
        <w:kinsoku/>
        <w:wordWrap/>
        <w:overflowPunct/>
        <w:topLinePunct w:val="0"/>
        <w:autoSpaceDE/>
        <w:autoSpaceDN/>
        <w:bidi w:val="0"/>
        <w:adjustRightInd/>
        <w:snapToGrid/>
        <w:spacing w:line="300" w:lineRule="auto"/>
        <w:ind w:firstLine="0" w:firstLineChars="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项目概况：</w:t>
      </w:r>
      <w:r>
        <w:rPr>
          <w:rFonts w:hint="eastAsia" w:ascii="仿宋_GB2312" w:hAnsi="仿宋_GB2312" w:eastAsia="仿宋_GB2312" w:cs="仿宋_GB2312"/>
          <w:color w:val="auto"/>
          <w:sz w:val="28"/>
          <w:szCs w:val="28"/>
          <w:highlight w:val="none"/>
          <w:u w:val="none"/>
        </w:rPr>
        <w:t>本工程主要是对深圳建筑产业生态智谷总部基地一期1栋二单元15及16层，五单元3层、六单元半地下一层局部区域（深圳市龙岗区建筑科技公司）办公用房进行装修，总装修建筑面积约为4477平方米，其中二单元15及16层为办公室，五单元3层为档案室，六单元半地下一层局部区域为食堂。</w:t>
      </w:r>
    </w:p>
    <w:p w14:paraId="73A63CD7">
      <w:pPr>
        <w:keepNext w:val="0"/>
        <w:keepLines w:val="0"/>
        <w:pageBreakBefore w:val="0"/>
        <w:kinsoku/>
        <w:wordWrap/>
        <w:overflowPunct/>
        <w:topLinePunct w:val="0"/>
        <w:autoSpaceDE/>
        <w:autoSpaceDN/>
        <w:bidi w:val="0"/>
        <w:adjustRightInd/>
        <w:snapToGrid/>
        <w:spacing w:line="300" w:lineRule="auto"/>
        <w:ind w:firstLine="0" w:firstLineChars="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主要建设内容包含室内装修、水电安装、暖通工程、办公网络信息系统、机房设备、会议系统、标识标牌等内容。</w:t>
      </w:r>
    </w:p>
    <w:p w14:paraId="26240746">
      <w:pPr>
        <w:spacing w:line="300" w:lineRule="auto"/>
        <w:ind w:left="0" w:leftChars="0" w:firstLine="638" w:firstLineChars="228"/>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u w:val="none"/>
        </w:rPr>
        <w:t>估算总投资671.55万元</w:t>
      </w:r>
      <w:r>
        <w:rPr>
          <w:rFonts w:hint="eastAsia" w:ascii="仿宋_GB2312" w:hAnsi="仿宋_GB2312" w:eastAsia="仿宋_GB2312" w:cs="仿宋_GB2312"/>
          <w:bCs w:val="0"/>
          <w:color w:val="auto"/>
          <w:kern w:val="2"/>
          <w:sz w:val="28"/>
          <w:szCs w:val="28"/>
          <w:highlight w:val="none"/>
          <w:lang w:val="en-US" w:eastAsia="zh-CN" w:bidi="ar-SA"/>
        </w:rPr>
        <w:t>。</w:t>
      </w:r>
    </w:p>
    <w:p w14:paraId="24DFD082">
      <w:pPr>
        <w:spacing w:line="300" w:lineRule="auto"/>
        <w:ind w:left="0" w:leftChars="0" w:firstLine="0" w:firstLineChars="0"/>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三、</w:t>
      </w:r>
      <w:r>
        <w:rPr>
          <w:rFonts w:hint="eastAsia" w:ascii="仿宋_GB2312" w:hAnsi="仿宋_GB2312" w:eastAsia="仿宋_GB2312" w:cs="仿宋_GB2312"/>
          <w:b/>
          <w:bCs/>
          <w:sz w:val="28"/>
          <w:szCs w:val="28"/>
          <w:highlight w:val="none"/>
        </w:rPr>
        <w:t>工作</w:t>
      </w:r>
      <w:r>
        <w:rPr>
          <w:rFonts w:hint="eastAsia" w:ascii="仿宋_GB2312" w:hAnsi="仿宋_GB2312" w:eastAsia="仿宋_GB2312" w:cs="仿宋_GB2312"/>
          <w:b/>
          <w:bCs/>
          <w:sz w:val="28"/>
          <w:szCs w:val="28"/>
          <w:highlight w:val="none"/>
          <w:lang w:val="en-US" w:eastAsia="zh-CN"/>
        </w:rPr>
        <w:t>内容</w:t>
      </w:r>
      <w:r>
        <w:rPr>
          <w:rFonts w:hint="eastAsia" w:ascii="仿宋_GB2312" w:hAnsi="仿宋_GB2312" w:eastAsia="仿宋_GB2312" w:cs="仿宋_GB2312"/>
          <w:b w:val="0"/>
          <w:bCs w:val="0"/>
          <w:sz w:val="28"/>
          <w:szCs w:val="28"/>
          <w:highlight w:val="none"/>
        </w:rPr>
        <w:t>：</w:t>
      </w:r>
    </w:p>
    <w:p w14:paraId="6FEEF4A3">
      <w:pPr>
        <w:spacing w:line="300" w:lineRule="auto"/>
        <w:ind w:left="0" w:leftChars="0" w:firstLine="638" w:firstLineChars="228"/>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color w:val="auto"/>
          <w:sz w:val="28"/>
          <w:szCs w:val="28"/>
          <w:highlight w:val="none"/>
          <w:u w:val="none"/>
        </w:rPr>
        <w:t>工程施工总承包招标代理。</w:t>
      </w:r>
    </w:p>
    <w:p w14:paraId="2836CC79">
      <w:pPr>
        <w:spacing w:line="300" w:lineRule="auto"/>
        <w:ind w:left="0" w:leftChars="0" w:firstLine="0" w:firstLineChars="0"/>
        <w:rPr>
          <w:rFonts w:hint="default" w:ascii="仿宋_GB2312" w:hAnsi="仿宋_GB2312" w:eastAsia="仿宋_GB2312" w:cs="仿宋_GB2312"/>
          <w:b/>
          <w:bCs/>
          <w:sz w:val="28"/>
          <w:szCs w:val="28"/>
          <w:highlight w:val="none"/>
          <w:lang w:val="en-US"/>
        </w:rPr>
      </w:pPr>
      <w:r>
        <w:rPr>
          <w:rFonts w:hint="eastAsia" w:ascii="仿宋_GB2312" w:hAnsi="仿宋_GB2312" w:eastAsia="仿宋_GB2312" w:cs="仿宋_GB2312"/>
          <w:b/>
          <w:bCs/>
          <w:sz w:val="28"/>
          <w:szCs w:val="28"/>
          <w:highlight w:val="none"/>
        </w:rPr>
        <w:t>四、</w:t>
      </w:r>
      <w:r>
        <w:rPr>
          <w:rFonts w:hint="eastAsia" w:ascii="仿宋_GB2312" w:hAnsi="仿宋_GB2312" w:eastAsia="仿宋_GB2312" w:cs="仿宋_GB2312"/>
          <w:b/>
          <w:bCs/>
          <w:sz w:val="28"/>
          <w:szCs w:val="28"/>
          <w:highlight w:val="none"/>
          <w:lang w:val="en-US" w:eastAsia="zh-CN"/>
        </w:rPr>
        <w:t>投标报价上限价：</w:t>
      </w:r>
      <w:r>
        <w:rPr>
          <w:rFonts w:hint="eastAsia" w:ascii="仿宋_GB2312" w:hAnsi="仿宋_GB2312" w:eastAsia="仿宋_GB2312" w:cs="仿宋_GB2312"/>
          <w:b/>
          <w:bCs/>
          <w:color w:val="auto"/>
          <w:sz w:val="28"/>
          <w:szCs w:val="28"/>
          <w:highlight w:val="none"/>
          <w:lang w:val="en-US" w:eastAsia="zh-CN"/>
        </w:rPr>
        <w:t>为 4.35</w:t>
      </w:r>
      <w:r>
        <w:rPr>
          <w:rFonts w:hint="eastAsia" w:ascii="仿宋_GB2312" w:hAnsi="仿宋_GB2312" w:eastAsia="仿宋_GB2312" w:cs="仿宋_GB2312"/>
          <w:b/>
          <w:bCs/>
          <w:sz w:val="28"/>
          <w:szCs w:val="28"/>
          <w:highlight w:val="none"/>
          <w:lang w:val="en-US" w:eastAsia="zh-CN"/>
        </w:rPr>
        <w:t>万元</w:t>
      </w:r>
    </w:p>
    <w:p w14:paraId="04F9269D">
      <w:pPr>
        <w:keepNext w:val="0"/>
        <w:keepLines w:val="0"/>
        <w:pageBreakBefore w:val="0"/>
        <w:kinsoku/>
        <w:wordWrap/>
        <w:overflowPunct/>
        <w:topLinePunct w:val="0"/>
        <w:bidi w:val="0"/>
        <w:spacing w:before="0" w:line="300" w:lineRule="auto"/>
        <w:ind w:left="120" w:firstLine="638" w:firstLineChars="228"/>
        <w:jc w:val="left"/>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投标人在限价范围内，自主报价。以 600 万为基数，按费率报价。</w:t>
      </w:r>
    </w:p>
    <w:p w14:paraId="1D072F2D">
      <w:pPr>
        <w:spacing w:line="30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五、报价要求</w:t>
      </w:r>
      <w:r>
        <w:rPr>
          <w:rFonts w:hint="eastAsia" w:ascii="仿宋_GB2312" w:hAnsi="仿宋_GB2312" w:eastAsia="仿宋_GB2312" w:cs="仿宋_GB2312"/>
          <w:sz w:val="28"/>
          <w:szCs w:val="28"/>
          <w:highlight w:val="none"/>
        </w:rPr>
        <w:t>：投标人在</w:t>
      </w:r>
      <w:r>
        <w:rPr>
          <w:rFonts w:hint="eastAsia" w:ascii="仿宋_GB2312" w:hAnsi="仿宋_GB2312" w:eastAsia="仿宋_GB2312" w:cs="仿宋_GB2312"/>
          <w:sz w:val="28"/>
          <w:szCs w:val="28"/>
          <w:highlight w:val="none"/>
          <w:lang w:val="en-US" w:eastAsia="zh-CN"/>
        </w:rPr>
        <w:t>投标报价上限价</w:t>
      </w:r>
      <w:r>
        <w:rPr>
          <w:rFonts w:hint="eastAsia" w:ascii="仿宋_GB2312" w:hAnsi="仿宋_GB2312" w:eastAsia="仿宋_GB2312" w:cs="仿宋_GB2312"/>
          <w:sz w:val="28"/>
          <w:szCs w:val="28"/>
          <w:highlight w:val="none"/>
        </w:rPr>
        <w:t>范围内，自主报价。</w:t>
      </w:r>
    </w:p>
    <w:p w14:paraId="3611CC6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w:t>
      </w:r>
      <w:r>
        <w:rPr>
          <w:rFonts w:hint="eastAsia" w:ascii="仿宋_GB2312" w:hAnsi="仿宋_GB2312" w:eastAsia="仿宋_GB2312" w:cs="仿宋_GB2312"/>
          <w:b/>
          <w:bCs/>
          <w:sz w:val="28"/>
          <w:szCs w:val="28"/>
          <w:highlight w:val="none"/>
          <w:lang w:val="en-US" w:eastAsia="zh-CN"/>
        </w:rPr>
        <w:t>投标人</w:t>
      </w:r>
      <w:r>
        <w:rPr>
          <w:rFonts w:hint="eastAsia" w:ascii="仿宋_GB2312" w:hAnsi="仿宋_GB2312" w:eastAsia="仿宋_GB2312" w:cs="仿宋_GB2312"/>
          <w:b/>
          <w:bCs/>
          <w:sz w:val="28"/>
          <w:szCs w:val="28"/>
          <w:highlight w:val="none"/>
        </w:rPr>
        <w:t>资格要求：</w:t>
      </w:r>
    </w:p>
    <w:p w14:paraId="75802EBF">
      <w:pPr>
        <w:keepNext w:val="0"/>
        <w:keepLines w:val="0"/>
        <w:pageBreakBefore w:val="0"/>
        <w:kinsoku/>
        <w:wordWrap/>
        <w:overflowPunct/>
        <w:topLinePunct w:val="0"/>
        <w:bidi w:val="0"/>
        <w:spacing w:line="300" w:lineRule="auto"/>
        <w:ind w:firstLine="560" w:firstLineChars="200"/>
        <w:textAlignment w:val="auto"/>
        <w:rPr>
          <w:rStyle w:val="58"/>
          <w:rFonts w:hint="eastAsia" w:ascii="仿宋_GB2312" w:hAnsi="仿宋_GB2312" w:eastAsia="仿宋_GB2312" w:cs="仿宋_GB2312"/>
          <w:color w:val="auto"/>
          <w:sz w:val="28"/>
          <w:szCs w:val="28"/>
          <w:highlight w:val="none"/>
        </w:rPr>
      </w:pPr>
      <w:r>
        <w:rPr>
          <w:rStyle w:val="58"/>
          <w:rFonts w:hint="eastAsia" w:ascii="仿宋_GB2312" w:hAnsi="仿宋_GB2312" w:eastAsia="仿宋_GB2312" w:cs="仿宋_GB2312"/>
          <w:color w:val="auto"/>
          <w:sz w:val="28"/>
          <w:szCs w:val="28"/>
          <w:highlight w:val="none"/>
        </w:rPr>
        <w:t>1</w:t>
      </w:r>
      <w:r>
        <w:rPr>
          <w:rStyle w:val="58"/>
          <w:rFonts w:hint="eastAsia" w:ascii="仿宋_GB2312" w:hAnsi="仿宋_GB2312" w:eastAsia="仿宋_GB2312" w:cs="仿宋_GB2312"/>
          <w:color w:val="auto"/>
          <w:sz w:val="28"/>
          <w:szCs w:val="28"/>
          <w:highlight w:val="none"/>
          <w:lang w:val="en-US" w:eastAsia="zh-CN"/>
        </w:rPr>
        <w:t>.</w:t>
      </w:r>
      <w:r>
        <w:rPr>
          <w:rStyle w:val="58"/>
          <w:rFonts w:hint="eastAsia" w:ascii="仿宋_GB2312" w:hAnsi="仿宋_GB2312" w:eastAsia="仿宋_GB2312" w:cs="仿宋_GB2312"/>
          <w:color w:val="auto"/>
          <w:sz w:val="28"/>
          <w:szCs w:val="28"/>
          <w:highlight w:val="none"/>
        </w:rPr>
        <w:t>企业资</w:t>
      </w:r>
      <w:r>
        <w:rPr>
          <w:rStyle w:val="58"/>
          <w:rFonts w:hint="eastAsia" w:ascii="仿宋_GB2312" w:hAnsi="仿宋_GB2312" w:eastAsia="仿宋_GB2312" w:cs="仿宋_GB2312"/>
          <w:color w:val="auto"/>
          <w:sz w:val="28"/>
          <w:szCs w:val="28"/>
          <w:highlight w:val="none"/>
          <w:lang w:val="en-US" w:eastAsia="zh-CN"/>
        </w:rPr>
        <w:t>信</w:t>
      </w:r>
      <w:r>
        <w:rPr>
          <w:rStyle w:val="58"/>
          <w:rFonts w:hint="eastAsia" w:ascii="仿宋_GB2312" w:hAnsi="仿宋_GB2312" w:eastAsia="仿宋_GB2312" w:cs="仿宋_GB2312"/>
          <w:color w:val="auto"/>
          <w:sz w:val="28"/>
          <w:szCs w:val="28"/>
          <w:highlight w:val="none"/>
        </w:rPr>
        <w:t>要求</w:t>
      </w:r>
      <w:r>
        <w:rPr>
          <w:rStyle w:val="58"/>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投标人须为中华人民共和国境内注册的独立法人资格企业或合伙制企业或其他组织</w:t>
      </w:r>
      <w:r>
        <w:rPr>
          <w:rStyle w:val="58"/>
          <w:rFonts w:hint="eastAsia" w:ascii="仿宋_GB2312" w:hAnsi="仿宋_GB2312" w:eastAsia="仿宋_GB2312" w:cs="仿宋_GB2312"/>
          <w:color w:val="auto"/>
          <w:sz w:val="28"/>
          <w:szCs w:val="28"/>
          <w:highlight w:val="none"/>
        </w:rPr>
        <w:t>；</w:t>
      </w:r>
    </w:p>
    <w:p w14:paraId="43962D49">
      <w:pPr>
        <w:keepNext w:val="0"/>
        <w:keepLines w:val="0"/>
        <w:pageBreakBefore w:val="0"/>
        <w:kinsoku/>
        <w:wordWrap/>
        <w:overflowPunct/>
        <w:topLinePunct w:val="0"/>
        <w:bidi w:val="0"/>
        <w:spacing w:line="300" w:lineRule="auto"/>
        <w:ind w:firstLine="640"/>
        <w:textAlignment w:val="auto"/>
        <w:rPr>
          <w:rStyle w:val="58"/>
          <w:rFonts w:hint="eastAsia" w:ascii="仿宋_GB2312" w:hAnsi="仿宋_GB2312" w:eastAsia="仿宋_GB2312" w:cs="仿宋_GB2312"/>
          <w:sz w:val="28"/>
          <w:szCs w:val="28"/>
          <w:highlight w:val="none"/>
        </w:rPr>
      </w:pPr>
      <w:r>
        <w:rPr>
          <w:rStyle w:val="58"/>
          <w:rFonts w:hint="eastAsia" w:ascii="仿宋_GB2312" w:hAnsi="仿宋_GB2312" w:eastAsia="仿宋_GB2312" w:cs="仿宋_GB2312"/>
          <w:sz w:val="28"/>
          <w:szCs w:val="28"/>
          <w:highlight w:val="none"/>
          <w:lang w:val="en-US" w:eastAsia="zh-CN"/>
        </w:rPr>
        <w:t>2.</w:t>
      </w:r>
      <w:r>
        <w:rPr>
          <w:rStyle w:val="58"/>
          <w:rFonts w:hint="eastAsia" w:ascii="仿宋_GB2312" w:hAnsi="仿宋_GB2312" w:eastAsia="仿宋_GB2312" w:cs="仿宋_GB2312"/>
          <w:sz w:val="28"/>
          <w:szCs w:val="28"/>
          <w:highlight w:val="none"/>
        </w:rPr>
        <w:t>不接受联合体投标。</w:t>
      </w:r>
    </w:p>
    <w:p w14:paraId="4A7F32A4">
      <w:pPr>
        <w:spacing w:line="300" w:lineRule="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rPr>
        <w:t>七、评审方法：</w:t>
      </w:r>
      <w:r>
        <w:rPr>
          <w:rFonts w:hint="eastAsia" w:ascii="仿宋_GB2312" w:hAnsi="仿宋_GB2312" w:eastAsia="仿宋_GB2312" w:cs="仿宋_GB2312"/>
          <w:b w:val="0"/>
          <w:bCs w:val="0"/>
          <w:sz w:val="28"/>
          <w:szCs w:val="28"/>
          <w:highlight w:val="none"/>
          <w:lang w:val="en-US" w:eastAsia="zh-CN"/>
        </w:rPr>
        <w:t>定性评审，票决定标。</w:t>
      </w:r>
    </w:p>
    <w:p w14:paraId="7F937FA2">
      <w:pPr>
        <w:pStyle w:val="52"/>
        <w:spacing w:after="0" w:line="300" w:lineRule="auto"/>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八、评审要素：</w:t>
      </w:r>
      <w:r>
        <w:rPr>
          <w:rFonts w:hint="eastAsia" w:ascii="仿宋_GB2312" w:hAnsi="仿宋_GB2312" w:eastAsia="仿宋_GB2312" w:cs="仿宋_GB2312"/>
          <w:b w:val="0"/>
          <w:bCs w:val="0"/>
          <w:kern w:val="2"/>
          <w:sz w:val="28"/>
          <w:szCs w:val="28"/>
          <w:highlight w:val="none"/>
          <w:lang w:val="en-US" w:eastAsia="zh-CN" w:bidi="ar-SA"/>
        </w:rPr>
        <w:t>投标报价、投标人类似工程业绩、项目负责人类似工程业绩、履约评价、投标人诚信、实施方案</w:t>
      </w:r>
    </w:p>
    <w:p w14:paraId="75DE2AB7">
      <w:pPr>
        <w:spacing w:line="300" w:lineRule="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九、合同支付及结算原则</w:t>
      </w:r>
      <w:r>
        <w:rPr>
          <w:rFonts w:hint="eastAsia" w:ascii="仿宋_GB2312" w:hAnsi="仿宋_GB2312" w:eastAsia="仿宋_GB2312" w:cs="仿宋_GB2312"/>
          <w:b/>
          <w:bCs/>
          <w:sz w:val="28"/>
          <w:szCs w:val="28"/>
          <w:highlight w:val="none"/>
        </w:rPr>
        <w:t>：</w:t>
      </w:r>
    </w:p>
    <w:p w14:paraId="07CFBFE8">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val="en-US" w:eastAsia="zh-CN"/>
        </w:rPr>
      </w:pPr>
      <w:r>
        <w:rPr>
          <w:rFonts w:hint="eastAsia" w:ascii="仿宋_GB2312" w:hAnsi="仿宋_GB2312" w:eastAsia="仿宋_GB2312" w:cs="仿宋_GB2312"/>
          <w:bCs w:val="0"/>
          <w:color w:val="auto"/>
          <w:sz w:val="28"/>
          <w:szCs w:val="28"/>
          <w:highlight w:val="none"/>
          <w:lang w:val="en-US" w:eastAsia="zh-CN"/>
        </w:rPr>
        <w:t>（一）结算原则：以项目公开招标中标价为取费基数，依据计价格〔2002〕1980号文、发改价格〔2011〕534 号文乘以中标下浮率进行结算。</w:t>
      </w:r>
    </w:p>
    <w:p w14:paraId="02F39FBC">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lang w:val="en-US" w:eastAsia="zh-CN"/>
        </w:rPr>
        <w:t>（二）付款方式：乙方协助甲方完成本项目施工招标工作，并取得中标通知书后，支付合同价的 70%；剩余款项待本合同结算审核完成后按合同最终审定价支付。</w:t>
      </w:r>
    </w:p>
    <w:p w14:paraId="7B8480AA">
      <w:pPr>
        <w:spacing w:line="300" w:lineRule="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十、招标公告地址</w:t>
      </w:r>
    </w:p>
    <w:p w14:paraId="7C87EDAD">
      <w:pPr>
        <w:keepNext w:val="0"/>
        <w:keepLines w:val="0"/>
        <w:pageBreakBefore w:val="0"/>
        <w:kinsoku/>
        <w:wordWrap/>
        <w:overflowPunct/>
        <w:topLinePunct w:val="0"/>
        <w:bidi w:val="0"/>
        <w:spacing w:line="300" w:lineRule="auto"/>
        <w:ind w:firstLine="640"/>
        <w:textAlignment w:val="auto"/>
        <w:rPr>
          <w:rFonts w:hint="default"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龙岗区城投集团官方网站</w:t>
      </w:r>
    </w:p>
    <w:p w14:paraId="67DE2D4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十一</w:t>
      </w:r>
      <w:r>
        <w:rPr>
          <w:rFonts w:hint="eastAsia" w:ascii="仿宋_GB2312" w:hAnsi="仿宋_GB2312" w:eastAsia="仿宋_GB2312" w:cs="仿宋_GB2312"/>
          <w:b/>
          <w:bCs/>
          <w:sz w:val="28"/>
          <w:szCs w:val="28"/>
          <w:highlight w:val="none"/>
        </w:rPr>
        <w:t>、响应文件要求：</w:t>
      </w:r>
    </w:p>
    <w:p w14:paraId="597BF874">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color w:val="auto"/>
          <w:sz w:val="28"/>
          <w:szCs w:val="28"/>
          <w:highlight w:val="none"/>
        </w:rPr>
        <w:t>本次公告时间从202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8月14日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22</w:t>
      </w:r>
      <w:r>
        <w:rPr>
          <w:rFonts w:hint="eastAsia" w:ascii="仿宋_GB2312" w:hAnsi="仿宋_GB2312" w:eastAsia="仿宋_GB2312" w:cs="仿宋_GB2312"/>
          <w:color w:val="auto"/>
          <w:sz w:val="28"/>
          <w:szCs w:val="28"/>
          <w:highlight w:val="none"/>
        </w:rPr>
        <w:t>日止，响应承包商应于</w:t>
      </w:r>
      <w:r>
        <w:rPr>
          <w:rFonts w:hint="eastAsia" w:ascii="仿宋_GB2312" w:hAnsi="仿宋_GB2312" w:eastAsia="仿宋_GB2312" w:cs="仿宋_GB2312"/>
          <w:color w:val="auto"/>
          <w:sz w:val="28"/>
          <w:szCs w:val="28"/>
          <w:highlight w:val="none"/>
          <w:lang w:val="en-US" w:eastAsia="zh-CN"/>
        </w:rPr>
        <w:t>8月25日</w:t>
      </w: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:00</w:t>
      </w:r>
      <w:r>
        <w:rPr>
          <w:rFonts w:ascii="仿宋_GB2312" w:hAnsi="仿宋_GB2312" w:eastAsia="仿宋_GB2312" w:cs="仿宋_GB2312"/>
          <w:color w:val="auto"/>
          <w:sz w:val="28"/>
          <w:szCs w:val="28"/>
          <w:highlight w:val="none"/>
        </w:rPr>
        <w:t>前</w:t>
      </w:r>
      <w:r>
        <w:rPr>
          <w:rFonts w:hint="eastAsia" w:ascii="仿宋_GB2312" w:hAnsi="仿宋_GB2312" w:eastAsia="仿宋_GB2312" w:cs="仿宋_GB2312"/>
          <w:sz w:val="28"/>
          <w:szCs w:val="28"/>
          <w:highlight w:val="none"/>
        </w:rPr>
        <w:t>将响应文件1正4副密封（统一密封，密封处加盖公章）送交到龙岗区中心城腾飞路创投大厦22</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室（</w:t>
      </w:r>
      <w:r>
        <w:rPr>
          <w:rFonts w:hint="eastAsia" w:ascii="仿宋_GB2312" w:hAnsi="仿宋_GB2312" w:eastAsia="仿宋_GB2312" w:cs="仿宋_GB2312"/>
          <w:sz w:val="28"/>
          <w:szCs w:val="28"/>
          <w:highlight w:val="none"/>
          <w:lang w:val="en-US" w:eastAsia="zh-CN"/>
        </w:rPr>
        <w:t>合约造价部</w:t>
      </w: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邹工</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15820472526</w:t>
      </w:r>
      <w:r>
        <w:rPr>
          <w:rFonts w:hint="eastAsia" w:ascii="仿宋_GB2312" w:hAnsi="仿宋_GB2312" w:eastAsia="仿宋_GB2312" w:cs="仿宋_GB2312"/>
          <w:sz w:val="28"/>
          <w:szCs w:val="28"/>
          <w:highlight w:val="none"/>
        </w:rPr>
        <w:t>），逾期送达或未按要求密封将予以拒收或原封退回给报价人。</w:t>
      </w:r>
    </w:p>
    <w:p w14:paraId="7F43F3A9">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响应文件包含承诺函、委托人要求提供的资料等，详见公开招标（自主）文件。</w:t>
      </w:r>
    </w:p>
    <w:p w14:paraId="305545AB">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本次递交响应文件截止时间后，若有效响应单位不足3家的，则发布二次公告（原则不少于一次公告发布时间的50%），若二次公告期满后，有效响应单位仅有2家的，则拆封响应文件继续评审，有效响应单位仅有1家的，则直接选定承包单位。</w:t>
      </w:r>
    </w:p>
    <w:p w14:paraId="55CF0C66">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、公开招标（自主）结果公示</w:t>
      </w:r>
    </w:p>
    <w:p w14:paraId="5814A406">
      <w:p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递交响应文件截止后，委托人将自行组织响应文件开启、评审等工作，确定承包单位后将在龙岗区城投集团官方网站进行公示。</w:t>
      </w:r>
    </w:p>
    <w:p w14:paraId="1BD915F3">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开标时间：截标时间之后，具体以招标人时间安排为准。</w:t>
      </w:r>
    </w:p>
    <w:p w14:paraId="654E11F0">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开标地址：深圳市龙岗区城市建设投资集团有限公司会议室</w:t>
      </w:r>
    </w:p>
    <w:p w14:paraId="42F4B565">
      <w:pPr>
        <w:pStyle w:val="24"/>
        <w:spacing w:line="360" w:lineRule="auto"/>
        <w:rPr>
          <w:highlight w:val="none"/>
        </w:rPr>
      </w:pPr>
    </w:p>
    <w:p w14:paraId="6C3F3A3A">
      <w:pPr>
        <w:spacing w:line="360" w:lineRule="auto"/>
        <w:rPr>
          <w:highlight w:val="none"/>
        </w:rPr>
      </w:pPr>
    </w:p>
    <w:p w14:paraId="7DBD978C">
      <w:pPr>
        <w:spacing w:line="360" w:lineRule="auto"/>
        <w:rPr>
          <w:highlight w:val="none"/>
        </w:rPr>
      </w:pPr>
    </w:p>
    <w:p w14:paraId="30F26B8C">
      <w:pPr>
        <w:spacing w:line="360" w:lineRule="auto"/>
        <w:rPr>
          <w:highlight w:val="none"/>
        </w:rPr>
      </w:pPr>
    </w:p>
    <w:p w14:paraId="2E1E3600">
      <w:pPr>
        <w:spacing w:line="360" w:lineRule="auto"/>
        <w:ind w:left="1687" w:hanging="1687" w:hangingChars="6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特别说明：1.资格不符合要求的投标人不能进入比选程序。</w:t>
      </w:r>
    </w:p>
    <w:p w14:paraId="52130EF8">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所有响应单位视为同意上述公告内容，确定为承包单位后按公告约定与委托人签署合同。</w:t>
      </w:r>
    </w:p>
    <w:p w14:paraId="68D1F76C">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公开招标（自主）评审后，如承包单位放弃中选资格或者拒不签订合同的，委托人可以从资格审查合格的其他投标单位中采用原评审方法，由原评审小组确定承包单位。</w:t>
      </w:r>
    </w:p>
    <w:p w14:paraId="3893AE84">
      <w:pPr>
        <w:spacing w:line="360" w:lineRule="auto"/>
        <w:ind w:left="1687" w:hanging="1687" w:hangingChars="600"/>
        <w:rPr>
          <w:rFonts w:ascii="仿宋_GB2312" w:hAnsi="仿宋_GB2312" w:eastAsia="仿宋_GB2312" w:cs="仿宋_GB2312"/>
          <w:b/>
          <w:bCs/>
          <w:sz w:val="28"/>
          <w:szCs w:val="28"/>
          <w:highlight w:val="none"/>
        </w:rPr>
      </w:pPr>
    </w:p>
    <w:p w14:paraId="6B1D67F2">
      <w:pPr>
        <w:adjustRightInd/>
        <w:snapToGrid/>
        <w:spacing w:line="360" w:lineRule="auto"/>
        <w:ind w:left="0" w:firstLine="0" w:firstLineChars="0"/>
        <w:jc w:val="center"/>
        <w:rPr>
          <w:rFonts w:hint="eastAsia" w:ascii="仿宋_GB2312" w:hAnsi="宋体" w:eastAsia="仿宋_GB2312" w:cs="Times New Roman"/>
          <w:b/>
          <w:bCs w:val="0"/>
          <w:sz w:val="30"/>
          <w:szCs w:val="30"/>
          <w:highlight w:val="none"/>
          <w:lang w:val="en-US" w:eastAsia="zh-CN"/>
        </w:rPr>
      </w:pPr>
      <w:r>
        <w:rPr>
          <w:rFonts w:ascii="仿宋_GB2312" w:hAnsi="仿宋_GB2312" w:eastAsia="仿宋_GB2312" w:cs="仿宋_GB2312"/>
          <w:b/>
          <w:bCs/>
          <w:sz w:val="28"/>
          <w:szCs w:val="28"/>
          <w:highlight w:val="none"/>
        </w:rPr>
        <w:t xml:space="preserve">        </w:t>
      </w: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宋体" w:eastAsia="仿宋_GB2312" w:cs="Times New Roman"/>
          <w:b/>
          <w:bCs w:val="0"/>
          <w:sz w:val="30"/>
          <w:szCs w:val="30"/>
          <w:highlight w:val="none"/>
          <w:lang w:val="en-US" w:eastAsia="zh-CN"/>
        </w:rPr>
        <w:t>深圳市龙岗区城投新基础设施建设管理有限公司</w:t>
      </w:r>
    </w:p>
    <w:p w14:paraId="3EA6FE10">
      <w:pPr>
        <w:spacing w:line="360" w:lineRule="auto"/>
        <w:ind w:firstLine="480"/>
        <w:rPr>
          <w:rFonts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b/>
          <w:bCs/>
          <w:sz w:val="28"/>
          <w:szCs w:val="28"/>
          <w:highlight w:val="none"/>
        </w:rPr>
        <w:t>202</w:t>
      </w:r>
      <w:r>
        <w:rPr>
          <w:rFonts w:hint="eastAsia" w:ascii="仿宋_GB2312" w:hAnsi="仿宋_GB2312" w:eastAsia="仿宋_GB2312" w:cs="仿宋_GB2312"/>
          <w:b/>
          <w:bCs/>
          <w:sz w:val="28"/>
          <w:szCs w:val="28"/>
          <w:highlight w:val="none"/>
          <w:lang w:val="en-US" w:eastAsia="zh-CN"/>
        </w:rPr>
        <w:t>6</w:t>
      </w:r>
      <w:r>
        <w:rPr>
          <w:rFonts w:hint="eastAsia" w:ascii="仿宋_GB2312" w:hAnsi="仿宋_GB2312" w:eastAsia="仿宋_GB2312" w:cs="仿宋_GB2312"/>
          <w:b/>
          <w:bCs/>
          <w:sz w:val="28"/>
          <w:szCs w:val="28"/>
          <w:highlight w:val="none"/>
        </w:rPr>
        <w:t>年</w:t>
      </w:r>
      <w:r>
        <w:rPr>
          <w:rFonts w:hint="eastAsia" w:ascii="仿宋_GB2312" w:hAnsi="仿宋_GB2312" w:eastAsia="仿宋_GB2312" w:cs="仿宋_GB2312"/>
          <w:b/>
          <w:bCs/>
          <w:sz w:val="28"/>
          <w:szCs w:val="28"/>
          <w:highlight w:val="none"/>
          <w:lang w:val="en-US" w:eastAsia="zh-CN"/>
        </w:rPr>
        <w:t>8</w:t>
      </w:r>
      <w:r>
        <w:rPr>
          <w:rFonts w:hint="eastAsia" w:ascii="仿宋_GB2312" w:hAnsi="仿宋_GB2312" w:eastAsia="仿宋_GB2312" w:cs="仿宋_GB2312"/>
          <w:b/>
          <w:bCs/>
          <w:sz w:val="28"/>
          <w:szCs w:val="28"/>
          <w:highlight w:val="none"/>
        </w:rPr>
        <w:t>月</w:t>
      </w:r>
      <w:r>
        <w:rPr>
          <w:rFonts w:hint="eastAsia" w:ascii="仿宋_GB2312" w:hAnsi="仿宋_GB2312" w:eastAsia="仿宋_GB2312" w:cs="仿宋_GB2312"/>
          <w:b/>
          <w:bCs/>
          <w:sz w:val="28"/>
          <w:szCs w:val="28"/>
          <w:highlight w:val="none"/>
          <w:lang w:val="en-US" w:eastAsia="zh-CN"/>
        </w:rPr>
        <w:t>14</w:t>
      </w:r>
      <w:r>
        <w:rPr>
          <w:rFonts w:hint="eastAsia" w:ascii="仿宋_GB2312" w:hAnsi="仿宋_GB2312" w:eastAsia="仿宋_GB2312" w:cs="仿宋_GB2312"/>
          <w:b/>
          <w:bCs/>
          <w:sz w:val="28"/>
          <w:szCs w:val="28"/>
          <w:highlight w:val="none"/>
        </w:rPr>
        <w:t>日</w:t>
      </w:r>
    </w:p>
    <w:p w14:paraId="094B0A85">
      <w:pPr>
        <w:rPr>
          <w:highlight w:val="none"/>
        </w:rPr>
      </w:pPr>
      <w:r>
        <w:rPr>
          <w:highlight w:val="none"/>
        </w:rPr>
        <w:br w:type="page"/>
      </w:r>
    </w:p>
    <w:p w14:paraId="5BD361D1">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第二章　</w:t>
      </w:r>
      <w:bookmarkStart w:id="2" w:name="_Toc306716052"/>
      <w:r>
        <w:rPr>
          <w:rFonts w:hint="eastAsia" w:ascii="宋体" w:hAnsi="宋体"/>
          <w:b/>
          <w:snapToGrid w:val="0"/>
          <w:kern w:val="0"/>
          <w:sz w:val="32"/>
          <w:szCs w:val="32"/>
          <w:highlight w:val="none"/>
          <w:lang w:val="en-US" w:eastAsia="zh-CN"/>
        </w:rPr>
        <w:t>投标须知</w:t>
      </w:r>
      <w:bookmarkEnd w:id="1"/>
      <w:bookmarkEnd w:id="2"/>
    </w:p>
    <w:p w14:paraId="42BE0DE4">
      <w:pPr>
        <w:spacing w:line="360" w:lineRule="auto"/>
        <w:jc w:val="center"/>
        <w:outlineLvl w:val="3"/>
        <w:rPr>
          <w:rFonts w:ascii="宋体" w:hAnsi="宋体"/>
          <w:b/>
          <w:snapToGrid w:val="0"/>
          <w:kern w:val="0"/>
          <w:sz w:val="32"/>
          <w:szCs w:val="32"/>
          <w:highlight w:val="none"/>
        </w:rPr>
      </w:pPr>
      <w:bookmarkStart w:id="3" w:name="_Toc15270"/>
      <w:bookmarkStart w:id="4" w:name="_Toc509669687"/>
      <w:r>
        <w:rPr>
          <w:rFonts w:hint="eastAsia" w:ascii="宋体" w:hAnsi="宋体"/>
          <w:b/>
          <w:snapToGrid w:val="0"/>
          <w:kern w:val="0"/>
          <w:sz w:val="32"/>
          <w:szCs w:val="32"/>
          <w:highlight w:val="none"/>
          <w:lang w:val="en-US" w:eastAsia="zh-CN"/>
        </w:rPr>
        <w:t>一</w:t>
      </w:r>
      <w:r>
        <w:rPr>
          <w:rFonts w:hint="eastAsia" w:ascii="宋体" w:hAnsi="宋体"/>
          <w:b/>
          <w:snapToGrid w:val="0"/>
          <w:kern w:val="0"/>
          <w:sz w:val="32"/>
          <w:szCs w:val="32"/>
          <w:highlight w:val="none"/>
        </w:rPr>
        <w:t>、投标文件的编制</w:t>
      </w:r>
      <w:bookmarkEnd w:id="3"/>
      <w:bookmarkEnd w:id="4"/>
    </w:p>
    <w:p w14:paraId="0C0B97A2">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1</w:t>
      </w:r>
      <w:r>
        <w:rPr>
          <w:rFonts w:hint="eastAsia" w:ascii="宋体" w:hAnsi="宋体"/>
          <w:b/>
          <w:snapToGrid w:val="0"/>
          <w:kern w:val="0"/>
          <w:sz w:val="28"/>
          <w:szCs w:val="28"/>
          <w:highlight w:val="none"/>
        </w:rPr>
        <w:t>.投标文件的语言及度量单位</w:t>
      </w:r>
    </w:p>
    <w:p w14:paraId="7D80583A">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.1投标人与招标人之间与投标有关的所有往来通知、函件和投标文件均应用中文。投标人随投标文件提供的证明文件和资料可以为其他语言，但必须附中文译文。在此，为了解释投标文件，应以中文为准。</w:t>
      </w:r>
    </w:p>
    <w:p w14:paraId="46889353">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.2 除技术规范另有规定外，投标文件使用的度量单位，均采用中华人民共和国法定计量单位。</w:t>
      </w:r>
    </w:p>
    <w:p w14:paraId="3955BAD2">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.3公开招标（自主）文件中所出现的日期为自然日，货币单位为人民币。</w:t>
      </w:r>
    </w:p>
    <w:p w14:paraId="4B9E4AD7">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2</w:t>
      </w:r>
      <w:r>
        <w:rPr>
          <w:rFonts w:hint="eastAsia" w:ascii="宋体" w:hAnsi="宋体"/>
          <w:b/>
          <w:snapToGrid w:val="0"/>
          <w:kern w:val="0"/>
          <w:sz w:val="28"/>
          <w:szCs w:val="28"/>
          <w:highlight w:val="none"/>
        </w:rPr>
        <w:t>.投标有效期</w:t>
      </w:r>
    </w:p>
    <w:p w14:paraId="74F79453">
      <w:pPr>
        <w:spacing w:line="360" w:lineRule="auto"/>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lang w:val="en-US" w:eastAsia="zh-CN"/>
        </w:rPr>
        <w:t>2</w:t>
      </w:r>
      <w:r>
        <w:rPr>
          <w:rFonts w:hint="eastAsia" w:ascii="宋体" w:hAnsi="宋体"/>
          <w:snapToGrid w:val="0"/>
          <w:kern w:val="0"/>
          <w:sz w:val="28"/>
          <w:szCs w:val="28"/>
          <w:highlight w:val="none"/>
        </w:rPr>
        <w:t>.1投标有效期60天。在此期间，所有投标均保持有效。</w:t>
      </w:r>
    </w:p>
    <w:p w14:paraId="31CB1B59">
      <w:pPr>
        <w:spacing w:line="52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3.投标费用</w:t>
      </w:r>
    </w:p>
    <w:p w14:paraId="3AE8762F">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投标人应自行承担所有准备及参加投标相关的费用。不论投标的结果如何，招标人均无承担相应的义务和责任。</w:t>
      </w:r>
    </w:p>
    <w:p w14:paraId="2D650246">
      <w:pPr>
        <w:spacing w:line="52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4.踏勘现场</w:t>
      </w:r>
    </w:p>
    <w:p w14:paraId="07AC7EB1">
      <w:pPr>
        <w:spacing w:line="360" w:lineRule="auto"/>
        <w:ind w:firstLine="560" w:firstLineChars="200"/>
        <w:jc w:val="left"/>
        <w:rPr>
          <w:rFonts w:ascii="宋体" w:hAnsi="宋体"/>
          <w:snapToGrid w:val="0"/>
          <w:kern w:val="0"/>
          <w:sz w:val="28"/>
          <w:szCs w:val="28"/>
          <w:highlight w:val="none"/>
        </w:rPr>
      </w:pPr>
      <w:r>
        <w:rPr>
          <w:rFonts w:ascii="宋体" w:hAnsi="宋体"/>
          <w:snapToGrid w:val="0"/>
          <w:kern w:val="0"/>
          <w:sz w:val="28"/>
          <w:szCs w:val="28"/>
          <w:highlight w:val="none"/>
        </w:rPr>
        <w:t>本项目不组织现场踏</w:t>
      </w:r>
      <w:r>
        <w:rPr>
          <w:rFonts w:hint="eastAsia" w:ascii="宋体" w:hAnsi="宋体"/>
          <w:snapToGrid w:val="0"/>
          <w:kern w:val="0"/>
          <w:sz w:val="28"/>
          <w:szCs w:val="28"/>
          <w:highlight w:val="none"/>
        </w:rPr>
        <w:t>勘。</w:t>
      </w:r>
    </w:p>
    <w:p w14:paraId="5DB79D9A">
      <w:pPr>
        <w:spacing w:line="360" w:lineRule="auto"/>
        <w:ind w:firstLine="420" w:firstLineChars="200"/>
        <w:jc w:val="left"/>
        <w:rPr>
          <w:rFonts w:hint="eastAsia" w:ascii="宋体" w:hAnsi="宋体"/>
          <w:snapToGrid w:val="0"/>
          <w:kern w:val="0"/>
          <w:szCs w:val="21"/>
          <w:highlight w:val="none"/>
        </w:rPr>
      </w:pPr>
    </w:p>
    <w:p w14:paraId="7F66440D">
      <w:pPr>
        <w:spacing w:line="360" w:lineRule="auto"/>
        <w:ind w:firstLine="420" w:firstLineChars="200"/>
        <w:jc w:val="left"/>
        <w:rPr>
          <w:rFonts w:ascii="宋体" w:hAnsi="宋体"/>
          <w:snapToGrid w:val="0"/>
          <w:kern w:val="0"/>
          <w:szCs w:val="21"/>
          <w:highlight w:val="none"/>
        </w:rPr>
      </w:pPr>
    </w:p>
    <w:p w14:paraId="3C6A7198">
      <w:pPr>
        <w:spacing w:line="360" w:lineRule="auto"/>
        <w:jc w:val="center"/>
        <w:outlineLvl w:val="3"/>
        <w:rPr>
          <w:rFonts w:ascii="宋体" w:hAnsi="宋体"/>
          <w:b/>
          <w:snapToGrid w:val="0"/>
          <w:kern w:val="0"/>
          <w:sz w:val="32"/>
          <w:szCs w:val="32"/>
          <w:highlight w:val="none"/>
        </w:rPr>
      </w:pPr>
      <w:bookmarkStart w:id="5" w:name="_Toc18627"/>
      <w:bookmarkStart w:id="6" w:name="_Toc509669688"/>
      <w:r>
        <w:rPr>
          <w:rFonts w:hint="eastAsia" w:ascii="宋体" w:hAnsi="宋体"/>
          <w:b/>
          <w:snapToGrid w:val="0"/>
          <w:kern w:val="0"/>
          <w:sz w:val="32"/>
          <w:szCs w:val="32"/>
          <w:highlight w:val="none"/>
          <w:lang w:val="en-US" w:eastAsia="zh-CN"/>
        </w:rPr>
        <w:t>二</w:t>
      </w:r>
      <w:r>
        <w:rPr>
          <w:rFonts w:hint="eastAsia" w:ascii="宋体" w:hAnsi="宋体"/>
          <w:b/>
          <w:snapToGrid w:val="0"/>
          <w:kern w:val="0"/>
          <w:sz w:val="32"/>
          <w:szCs w:val="32"/>
          <w:highlight w:val="none"/>
        </w:rPr>
        <w:t>、投标文件的递交</w:t>
      </w:r>
      <w:bookmarkEnd w:id="5"/>
      <w:bookmarkEnd w:id="6"/>
    </w:p>
    <w:p w14:paraId="167E740E">
      <w:pPr>
        <w:spacing w:line="360" w:lineRule="auto"/>
        <w:ind w:firstLine="560" w:firstLineChars="200"/>
        <w:jc w:val="left"/>
        <w:rPr>
          <w:rFonts w:hint="default" w:ascii="宋体" w:hAnsi="宋体" w:eastAsia="宋体"/>
          <w:snapToGrid w:val="0"/>
          <w:kern w:val="0"/>
          <w:sz w:val="28"/>
          <w:szCs w:val="28"/>
          <w:highlight w:val="none"/>
          <w:lang w:val="en-US" w:eastAsia="zh-CN"/>
        </w:rPr>
      </w:pPr>
      <w:r>
        <w:rPr>
          <w:rFonts w:hint="eastAsia" w:ascii="宋体" w:hAnsi="宋体"/>
          <w:b/>
          <w:snapToGrid w:val="0"/>
          <w:kern w:val="0"/>
          <w:sz w:val="28"/>
          <w:szCs w:val="28"/>
          <w:highlight w:val="none"/>
          <w:lang w:val="en-US" w:eastAsia="zh-CN"/>
        </w:rPr>
        <w:t>5</w:t>
      </w:r>
      <w:r>
        <w:rPr>
          <w:rFonts w:hint="eastAsia" w:ascii="宋体" w:hAnsi="宋体"/>
          <w:b/>
          <w:snapToGrid w:val="0"/>
          <w:kern w:val="0"/>
          <w:sz w:val="28"/>
          <w:szCs w:val="28"/>
          <w:highlight w:val="none"/>
        </w:rPr>
        <w:t>.投标文件</w:t>
      </w:r>
      <w:r>
        <w:rPr>
          <w:rFonts w:hint="eastAsia" w:ascii="宋体" w:hAnsi="宋体"/>
          <w:b/>
          <w:snapToGrid w:val="0"/>
          <w:kern w:val="0"/>
          <w:sz w:val="28"/>
          <w:szCs w:val="28"/>
          <w:highlight w:val="none"/>
          <w:lang w:val="en-US" w:eastAsia="zh-CN"/>
        </w:rPr>
        <w:t>要求</w:t>
      </w:r>
    </w:p>
    <w:p w14:paraId="12D70BFA">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投标文件的密封和标记</w:t>
      </w:r>
    </w:p>
    <w:p w14:paraId="6AF62EBD">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1投标文件1正4副，1个密封袋密封。将密封包装好的投标文件密封袋上注明工程名称、招标人、投标人名称、时间等，并在密封袋的封口处和标签上应加盖投标人公章，同时1正4副投标文件封面加盖公章及骑缝章。</w:t>
      </w:r>
    </w:p>
    <w:p w14:paraId="36AFD8D5">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.2投标文件若未按规定进行密封及标志，招标人不承担投标文件错放或提前开封的责任。</w:t>
      </w:r>
    </w:p>
    <w:p w14:paraId="59AE19B3">
      <w:pPr>
        <w:spacing w:line="360" w:lineRule="auto"/>
        <w:ind w:firstLine="560" w:firstLineChars="200"/>
        <w:jc w:val="left"/>
        <w:rPr>
          <w:rFonts w:ascii="宋体" w:hAnsi="宋体"/>
          <w:b/>
          <w:bCs/>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2</w:t>
      </w:r>
      <w:r>
        <w:rPr>
          <w:rFonts w:hint="eastAsia" w:ascii="宋体" w:hAnsi="宋体"/>
          <w:b/>
          <w:bCs/>
          <w:snapToGrid w:val="0"/>
          <w:kern w:val="0"/>
          <w:sz w:val="28"/>
          <w:szCs w:val="28"/>
          <w:highlight w:val="none"/>
        </w:rPr>
        <w:t>一次公告后，递交资审文件或资格审查合格投标人少于3家的，重新发布公开招标（自主）公告（原则不少于一次公告发布时间的50%）。二次公告后，递交资审文件或资格审查合格投标人数量不足3家的，将按定标规则横向对比后选取1家；递交资审文件或资格审查合格投标人数量不足2家的，将进入直接委托程序。</w:t>
      </w:r>
    </w:p>
    <w:p w14:paraId="5969BF7A">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.4迟交的投标文件</w:t>
      </w:r>
    </w:p>
    <w:p w14:paraId="47F631CF">
      <w:pPr>
        <w:spacing w:line="360" w:lineRule="auto"/>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rPr>
        <w:t>招标人在本须知规定的投标截止日期以后收到的投标文件，将被拒绝或原封退回给投标人。</w:t>
      </w:r>
    </w:p>
    <w:p w14:paraId="638A89F0">
      <w:pPr>
        <w:spacing w:line="360" w:lineRule="auto"/>
        <w:ind w:firstLine="560" w:firstLineChars="200"/>
        <w:jc w:val="left"/>
        <w:rPr>
          <w:rFonts w:hint="eastAsia" w:ascii="宋体" w:hAnsi="宋体"/>
          <w:snapToGrid w:val="0"/>
          <w:kern w:val="0"/>
          <w:sz w:val="28"/>
          <w:szCs w:val="28"/>
          <w:highlight w:val="none"/>
        </w:rPr>
      </w:pPr>
    </w:p>
    <w:p w14:paraId="79476D7E">
      <w:pPr>
        <w:spacing w:line="360" w:lineRule="auto"/>
        <w:jc w:val="center"/>
        <w:outlineLvl w:val="3"/>
        <w:rPr>
          <w:rFonts w:ascii="宋体" w:hAnsi="宋体"/>
          <w:b/>
          <w:snapToGrid w:val="0"/>
          <w:kern w:val="0"/>
          <w:sz w:val="32"/>
          <w:szCs w:val="32"/>
          <w:highlight w:val="none"/>
        </w:rPr>
      </w:pPr>
      <w:bookmarkStart w:id="7" w:name="_Toc512"/>
      <w:bookmarkStart w:id="8" w:name="_Toc509669689"/>
      <w:r>
        <w:rPr>
          <w:rFonts w:hint="eastAsia" w:ascii="宋体" w:hAnsi="宋体"/>
          <w:b/>
          <w:snapToGrid w:val="0"/>
          <w:kern w:val="0"/>
          <w:sz w:val="32"/>
          <w:szCs w:val="32"/>
          <w:highlight w:val="none"/>
          <w:lang w:val="en-US" w:eastAsia="zh-CN"/>
        </w:rPr>
        <w:t>三</w:t>
      </w:r>
      <w:r>
        <w:rPr>
          <w:rFonts w:hint="eastAsia" w:ascii="宋体" w:hAnsi="宋体"/>
          <w:b/>
          <w:snapToGrid w:val="0"/>
          <w:kern w:val="0"/>
          <w:sz w:val="32"/>
          <w:szCs w:val="32"/>
          <w:highlight w:val="none"/>
        </w:rPr>
        <w:t>、开  标</w:t>
      </w:r>
      <w:bookmarkEnd w:id="7"/>
      <w:bookmarkEnd w:id="8"/>
    </w:p>
    <w:p w14:paraId="6C71A4DE">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6</w:t>
      </w:r>
      <w:r>
        <w:rPr>
          <w:rFonts w:hint="eastAsia" w:ascii="宋体" w:hAnsi="宋体"/>
          <w:b/>
          <w:snapToGrid w:val="0"/>
          <w:kern w:val="0"/>
          <w:sz w:val="28"/>
          <w:szCs w:val="28"/>
          <w:highlight w:val="none"/>
        </w:rPr>
        <w:t>.开标</w:t>
      </w:r>
    </w:p>
    <w:p w14:paraId="69C9759B">
      <w:pPr>
        <w:pStyle w:val="100"/>
        <w:tabs>
          <w:tab w:val="left" w:pos="14"/>
          <w:tab w:val="left" w:pos="1232"/>
        </w:tabs>
        <w:spacing w:line="360" w:lineRule="auto"/>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6</w:t>
      </w:r>
      <w:r>
        <w:rPr>
          <w:rFonts w:hint="eastAsia" w:ascii="宋体" w:hAnsi="宋体"/>
          <w:snapToGrid w:val="0"/>
          <w:kern w:val="0"/>
          <w:sz w:val="28"/>
          <w:szCs w:val="28"/>
          <w:highlight w:val="none"/>
        </w:rPr>
        <w:t>.1招标人计划</w:t>
      </w:r>
      <w:r>
        <w:rPr>
          <w:rFonts w:hint="eastAsia" w:ascii="宋体" w:hAnsi="宋体" w:eastAsia="宋体"/>
          <w:snapToGrid w:val="0"/>
          <w:kern w:val="0"/>
          <w:sz w:val="28"/>
          <w:szCs w:val="28"/>
          <w:highlight w:val="none"/>
        </w:rPr>
        <w:t>在龙岗</w:t>
      </w:r>
      <w:r>
        <w:rPr>
          <w:rFonts w:ascii="宋体" w:hAnsi="宋体" w:cs="宋体"/>
          <w:kern w:val="0"/>
          <w:sz w:val="28"/>
          <w:szCs w:val="28"/>
          <w:highlight w:val="none"/>
        </w:rPr>
        <w:t>区中心城腾飞路创投大厦</w:t>
      </w:r>
      <w:r>
        <w:rPr>
          <w:rFonts w:hint="eastAsia" w:ascii="宋体" w:hAnsi="宋体"/>
          <w:sz w:val="28"/>
          <w:szCs w:val="28"/>
          <w:highlight w:val="none"/>
        </w:rPr>
        <w:t>深圳市龙岗区城市建设投资集团有限公司会议室</w:t>
      </w:r>
      <w:r>
        <w:rPr>
          <w:rFonts w:hint="eastAsia" w:ascii="宋体" w:hAnsi="宋体"/>
          <w:b/>
          <w:snapToGrid w:val="0"/>
          <w:color w:val="000000"/>
          <w:kern w:val="0"/>
          <w:sz w:val="28"/>
          <w:szCs w:val="28"/>
          <w:highlight w:val="none"/>
        </w:rPr>
        <w:t>开标</w:t>
      </w:r>
      <w:r>
        <w:rPr>
          <w:rFonts w:hint="eastAsia" w:ascii="宋体" w:hAnsi="宋体"/>
          <w:snapToGrid w:val="0"/>
          <w:kern w:val="0"/>
          <w:sz w:val="28"/>
          <w:szCs w:val="28"/>
          <w:highlight w:val="none"/>
        </w:rPr>
        <w:t>，并邀请</w:t>
      </w:r>
      <w:r>
        <w:rPr>
          <w:rFonts w:hint="eastAsia" w:ascii="宋体" w:hAnsi="宋体"/>
          <w:sz w:val="28"/>
          <w:szCs w:val="28"/>
          <w:highlight w:val="none"/>
        </w:rPr>
        <w:t>评标委员会委员和监督小组成员</w:t>
      </w:r>
      <w:r>
        <w:rPr>
          <w:rFonts w:hint="eastAsia" w:ascii="宋体" w:hAnsi="宋体"/>
          <w:snapToGrid w:val="0"/>
          <w:kern w:val="0"/>
          <w:sz w:val="28"/>
          <w:szCs w:val="28"/>
          <w:highlight w:val="none"/>
        </w:rPr>
        <w:t>参加。</w:t>
      </w:r>
    </w:p>
    <w:p w14:paraId="2DD760E8">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6</w:t>
      </w:r>
      <w:r>
        <w:rPr>
          <w:rFonts w:hint="eastAsia" w:ascii="宋体" w:hAnsi="宋体"/>
          <w:snapToGrid w:val="0"/>
          <w:kern w:val="0"/>
          <w:sz w:val="28"/>
          <w:szCs w:val="28"/>
          <w:highlight w:val="none"/>
        </w:rPr>
        <w:t>.2开标会由招标人主持。</w:t>
      </w:r>
    </w:p>
    <w:p w14:paraId="65A45511">
      <w:pPr>
        <w:spacing w:line="360" w:lineRule="auto"/>
        <w:ind w:firstLine="560" w:firstLineChars="200"/>
        <w:jc w:val="left"/>
        <w:rPr>
          <w:rFonts w:hint="eastAsia" w:ascii="宋体" w:hAnsi="宋体"/>
          <w:sz w:val="28"/>
          <w:szCs w:val="28"/>
          <w:highlight w:val="none"/>
        </w:rPr>
      </w:pPr>
      <w:r>
        <w:rPr>
          <w:rFonts w:hint="eastAsia" w:ascii="宋体" w:hAnsi="宋体"/>
          <w:snapToGrid w:val="0"/>
          <w:kern w:val="0"/>
          <w:sz w:val="28"/>
          <w:szCs w:val="28"/>
          <w:highlight w:val="none"/>
          <w:lang w:val="en-US" w:eastAsia="zh-CN"/>
        </w:rPr>
        <w:t>6</w:t>
      </w:r>
      <w:r>
        <w:rPr>
          <w:rFonts w:hint="eastAsia" w:ascii="宋体" w:hAnsi="宋体"/>
          <w:snapToGrid w:val="0"/>
          <w:kern w:val="0"/>
          <w:sz w:val="28"/>
          <w:szCs w:val="28"/>
          <w:highlight w:val="none"/>
        </w:rPr>
        <w:t>.3</w:t>
      </w:r>
      <w:r>
        <w:rPr>
          <w:rFonts w:hint="eastAsia" w:ascii="宋体" w:hAnsi="宋体"/>
          <w:sz w:val="28"/>
          <w:szCs w:val="28"/>
          <w:highlight w:val="none"/>
        </w:rPr>
        <w:t>开标会结束，相关资料送交评标委员会。</w:t>
      </w:r>
    </w:p>
    <w:p w14:paraId="5331A9C8">
      <w:pPr>
        <w:spacing w:line="360" w:lineRule="auto"/>
        <w:ind w:firstLine="560" w:firstLineChars="200"/>
        <w:jc w:val="left"/>
        <w:rPr>
          <w:rFonts w:hint="eastAsia" w:ascii="宋体" w:hAnsi="宋体"/>
          <w:sz w:val="28"/>
          <w:szCs w:val="28"/>
          <w:highlight w:val="none"/>
        </w:rPr>
      </w:pPr>
    </w:p>
    <w:p w14:paraId="2499E6A6">
      <w:pPr>
        <w:spacing w:line="360" w:lineRule="auto"/>
        <w:jc w:val="center"/>
        <w:outlineLvl w:val="3"/>
        <w:rPr>
          <w:rFonts w:ascii="宋体" w:hAnsi="宋体"/>
          <w:b/>
          <w:snapToGrid w:val="0"/>
          <w:kern w:val="0"/>
          <w:sz w:val="32"/>
          <w:szCs w:val="32"/>
          <w:highlight w:val="none"/>
        </w:rPr>
      </w:pPr>
      <w:bookmarkStart w:id="9" w:name="_Toc23872"/>
      <w:bookmarkStart w:id="10" w:name="_Toc509669690"/>
      <w:r>
        <w:rPr>
          <w:rFonts w:hint="eastAsia" w:ascii="宋体" w:hAnsi="宋体"/>
          <w:b/>
          <w:snapToGrid w:val="0"/>
          <w:kern w:val="0"/>
          <w:sz w:val="32"/>
          <w:szCs w:val="32"/>
          <w:highlight w:val="none"/>
          <w:lang w:val="en-US" w:eastAsia="zh-CN"/>
        </w:rPr>
        <w:t>四</w:t>
      </w:r>
      <w:r>
        <w:rPr>
          <w:rFonts w:hint="eastAsia" w:ascii="宋体" w:hAnsi="宋体"/>
          <w:b/>
          <w:snapToGrid w:val="0"/>
          <w:kern w:val="0"/>
          <w:sz w:val="32"/>
          <w:szCs w:val="32"/>
          <w:highlight w:val="none"/>
        </w:rPr>
        <w:t>、资格审查</w:t>
      </w:r>
      <w:bookmarkEnd w:id="9"/>
      <w:bookmarkEnd w:id="10"/>
    </w:p>
    <w:p w14:paraId="3A29D04C">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7</w:t>
      </w:r>
      <w:r>
        <w:rPr>
          <w:rFonts w:hint="eastAsia" w:ascii="宋体" w:hAnsi="宋体"/>
          <w:b/>
          <w:snapToGrid w:val="0"/>
          <w:kern w:val="0"/>
          <w:sz w:val="28"/>
          <w:szCs w:val="28"/>
          <w:highlight w:val="none"/>
        </w:rPr>
        <w:t>.资格审查按以下规定进行</w:t>
      </w:r>
    </w:p>
    <w:p w14:paraId="1F312996">
      <w:pPr>
        <w:spacing w:line="360" w:lineRule="auto"/>
        <w:ind w:firstLine="560" w:firstLineChars="200"/>
        <w:jc w:val="left"/>
        <w:rPr>
          <w:rFonts w:ascii="宋体" w:hAnsi="宋体"/>
          <w:snapToGrid w:val="0"/>
          <w:color w:val="000000"/>
          <w:kern w:val="0"/>
          <w:sz w:val="28"/>
          <w:szCs w:val="28"/>
          <w:highlight w:val="none"/>
        </w:rPr>
      </w:pPr>
      <w:r>
        <w:rPr>
          <w:rFonts w:hint="eastAsia" w:ascii="宋体" w:hAnsi="宋体"/>
          <w:snapToGrid w:val="0"/>
          <w:color w:val="000000"/>
          <w:kern w:val="0"/>
          <w:sz w:val="28"/>
          <w:szCs w:val="28"/>
          <w:highlight w:val="none"/>
          <w:lang w:val="en-US" w:eastAsia="zh-CN"/>
        </w:rPr>
        <w:t>7</w:t>
      </w:r>
      <w:r>
        <w:rPr>
          <w:rFonts w:hint="eastAsia" w:ascii="宋体" w:hAnsi="宋体"/>
          <w:snapToGrid w:val="0"/>
          <w:color w:val="000000"/>
          <w:kern w:val="0"/>
          <w:sz w:val="28"/>
          <w:szCs w:val="28"/>
          <w:highlight w:val="none"/>
        </w:rPr>
        <w:t>.1资格审查由评标委员会负责。</w:t>
      </w:r>
    </w:p>
    <w:p w14:paraId="2599F676">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7</w:t>
      </w:r>
      <w:r>
        <w:rPr>
          <w:rFonts w:hint="eastAsia" w:ascii="宋体" w:hAnsi="宋体"/>
          <w:snapToGrid w:val="0"/>
          <w:kern w:val="0"/>
          <w:sz w:val="28"/>
          <w:szCs w:val="28"/>
          <w:highlight w:val="none"/>
        </w:rPr>
        <w:t>.2评标委员严格对照公开招标（自主）要求的投标人资格条件，逐个审查投标人递交的资格审查文件，审核判断投标人是否满足该资格条件。</w:t>
      </w:r>
    </w:p>
    <w:p w14:paraId="4234A59E">
      <w:pPr>
        <w:spacing w:line="360" w:lineRule="auto"/>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lang w:val="en-US" w:eastAsia="zh-CN"/>
        </w:rPr>
        <w:t>7</w:t>
      </w:r>
      <w:r>
        <w:rPr>
          <w:rFonts w:hint="eastAsia" w:ascii="宋体" w:hAnsi="宋体"/>
          <w:snapToGrid w:val="0"/>
          <w:kern w:val="0"/>
          <w:sz w:val="28"/>
          <w:szCs w:val="28"/>
          <w:highlight w:val="none"/>
        </w:rPr>
        <w:t>.3全部投标人的资格审查材料审查完毕后，</w:t>
      </w:r>
      <w:r>
        <w:rPr>
          <w:rFonts w:hint="eastAsia" w:ascii="宋体" w:hAnsi="宋体"/>
          <w:b/>
          <w:snapToGrid w:val="0"/>
          <w:color w:val="000000"/>
          <w:kern w:val="0"/>
          <w:sz w:val="28"/>
          <w:szCs w:val="28"/>
          <w:highlight w:val="none"/>
        </w:rPr>
        <w:t>评标委员会出具资格审查报告</w:t>
      </w:r>
      <w:r>
        <w:rPr>
          <w:rFonts w:hint="eastAsia" w:ascii="宋体" w:hAnsi="宋体"/>
          <w:snapToGrid w:val="0"/>
          <w:kern w:val="0"/>
          <w:sz w:val="28"/>
          <w:szCs w:val="28"/>
          <w:highlight w:val="none"/>
        </w:rPr>
        <w:t>。资格审查合格投标人少于3家的，不再进行后续公开招标（自主）投标程序。</w:t>
      </w:r>
      <w:bookmarkStart w:id="11" w:name="_Toc509669691"/>
    </w:p>
    <w:p w14:paraId="053D5D86">
      <w:pPr>
        <w:spacing w:line="360" w:lineRule="auto"/>
        <w:ind w:firstLine="420" w:firstLineChars="200"/>
        <w:jc w:val="left"/>
        <w:rPr>
          <w:rFonts w:hint="eastAsia" w:ascii="宋体" w:hAnsi="宋体"/>
          <w:snapToGrid w:val="0"/>
          <w:kern w:val="0"/>
          <w:szCs w:val="21"/>
          <w:highlight w:val="none"/>
        </w:rPr>
      </w:pPr>
    </w:p>
    <w:p w14:paraId="65041D0D">
      <w:pPr>
        <w:spacing w:line="360" w:lineRule="auto"/>
        <w:jc w:val="center"/>
        <w:outlineLvl w:val="3"/>
        <w:rPr>
          <w:rFonts w:ascii="宋体" w:hAnsi="宋体"/>
          <w:b/>
          <w:snapToGrid w:val="0"/>
          <w:kern w:val="0"/>
          <w:sz w:val="32"/>
          <w:szCs w:val="32"/>
          <w:highlight w:val="none"/>
        </w:rPr>
      </w:pPr>
      <w:bookmarkStart w:id="12" w:name="_Toc31878"/>
      <w:r>
        <w:rPr>
          <w:rFonts w:hint="eastAsia" w:ascii="宋体" w:hAnsi="宋体"/>
          <w:b/>
          <w:snapToGrid w:val="0"/>
          <w:kern w:val="0"/>
          <w:sz w:val="32"/>
          <w:szCs w:val="32"/>
          <w:highlight w:val="none"/>
          <w:lang w:val="en-US" w:eastAsia="zh-CN"/>
        </w:rPr>
        <w:t>五</w:t>
      </w:r>
      <w:r>
        <w:rPr>
          <w:rFonts w:hint="eastAsia" w:ascii="宋体" w:hAnsi="宋体"/>
          <w:b/>
          <w:snapToGrid w:val="0"/>
          <w:kern w:val="0"/>
          <w:sz w:val="32"/>
          <w:szCs w:val="32"/>
          <w:highlight w:val="none"/>
        </w:rPr>
        <w:t>、评标</w:t>
      </w:r>
      <w:bookmarkEnd w:id="11"/>
      <w:bookmarkEnd w:id="12"/>
    </w:p>
    <w:p w14:paraId="38936D90">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8</w:t>
      </w:r>
      <w:r>
        <w:rPr>
          <w:rFonts w:hint="eastAsia" w:ascii="宋体" w:hAnsi="宋体"/>
          <w:b/>
          <w:snapToGrid w:val="0"/>
          <w:kern w:val="0"/>
          <w:sz w:val="28"/>
          <w:szCs w:val="28"/>
          <w:highlight w:val="none"/>
        </w:rPr>
        <w:t>.评标委员会和评标</w:t>
      </w:r>
    </w:p>
    <w:p w14:paraId="4A1AAD54">
      <w:pPr>
        <w:spacing w:line="360" w:lineRule="auto"/>
        <w:ind w:firstLine="560" w:firstLineChars="200"/>
        <w:jc w:val="left"/>
        <w:rPr>
          <w:rFonts w:hAnsi="宋体"/>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.1评标委员会的组建：招标人依法组建评标委员会，负责该公开招标（自主）项目的评标活动。</w:t>
      </w:r>
    </w:p>
    <w:p w14:paraId="49403400">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.2评标委员会的职责：评标委员会应根据公开招标（自主）文件规定的评标方法和标准，对投标文件进行系统地评审。评标委员会根据公开招标（自主）文件的规定直接确定中标人。</w:t>
      </w:r>
    </w:p>
    <w:p w14:paraId="10172B5D">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.3评标委员会的原则：</w:t>
      </w:r>
      <w:r>
        <w:rPr>
          <w:rFonts w:ascii="宋体" w:hAnsi="宋体"/>
          <w:snapToGrid w:val="0"/>
          <w:kern w:val="0"/>
          <w:sz w:val="28"/>
          <w:szCs w:val="28"/>
          <w:highlight w:val="none"/>
        </w:rPr>
        <w:t>评标活动</w:t>
      </w:r>
      <w:r>
        <w:rPr>
          <w:rFonts w:hint="eastAsia" w:ascii="宋体" w:hAnsi="宋体"/>
          <w:snapToGrid w:val="0"/>
          <w:kern w:val="0"/>
          <w:sz w:val="28"/>
          <w:szCs w:val="28"/>
          <w:highlight w:val="none"/>
        </w:rPr>
        <w:t>应</w:t>
      </w:r>
      <w:r>
        <w:rPr>
          <w:rFonts w:ascii="宋体" w:hAnsi="宋体"/>
          <w:snapToGrid w:val="0"/>
          <w:kern w:val="0"/>
          <w:sz w:val="28"/>
          <w:szCs w:val="28"/>
          <w:highlight w:val="none"/>
        </w:rPr>
        <w:t>遵循公开、公正、公平、科学、择优的原则。</w:t>
      </w:r>
      <w:r>
        <w:rPr>
          <w:rFonts w:hint="eastAsia" w:ascii="宋体" w:hAnsi="宋体"/>
          <w:snapToGrid w:val="0"/>
          <w:kern w:val="0"/>
          <w:sz w:val="28"/>
          <w:szCs w:val="28"/>
          <w:highlight w:val="none"/>
        </w:rPr>
        <w:t>评标委员会的评审应实行少数服从多数的原则，经评标委员会成员实名表决半数以上通过的评标结果有效。</w:t>
      </w:r>
    </w:p>
    <w:p w14:paraId="24B01E06">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.4招标人应向评标委员会提供以下资料，供评标使用：</w:t>
      </w:r>
    </w:p>
    <w:p w14:paraId="5D0E765C">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(1)公开招标（自主）文件，包括公开招标（自主）文件的补充、修改或澄清文件；</w:t>
      </w:r>
    </w:p>
    <w:p w14:paraId="0DB2A6BC">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(2)其他评标必需的资料。</w:t>
      </w:r>
    </w:p>
    <w:p w14:paraId="120A6407">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9</w:t>
      </w:r>
      <w:r>
        <w:rPr>
          <w:rFonts w:hint="eastAsia" w:ascii="宋体" w:hAnsi="宋体"/>
          <w:b/>
          <w:snapToGrid w:val="0"/>
          <w:kern w:val="0"/>
          <w:sz w:val="28"/>
          <w:szCs w:val="28"/>
          <w:highlight w:val="none"/>
        </w:rPr>
        <w:t>.投标文件的澄清和对答辩人的要求（此次不要求）</w:t>
      </w:r>
    </w:p>
    <w:p w14:paraId="568A9A1C">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.1可以要求投标人对投标文件含义不明确的内容作必要的澄清、说明。澄清、说明应以书面方式进行并不得超出投标文件的范围或改变投标文件的实质性内容。</w:t>
      </w:r>
    </w:p>
    <w:p w14:paraId="043A3C6E">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.2</w:t>
      </w:r>
      <w:r>
        <w:rPr>
          <w:rFonts w:ascii="宋体" w:hAnsi="宋体"/>
          <w:snapToGrid w:val="0"/>
          <w:kern w:val="0"/>
          <w:sz w:val="28"/>
          <w:szCs w:val="28"/>
          <w:highlight w:val="none"/>
        </w:rPr>
        <w:t>投标</w:t>
      </w:r>
      <w:r>
        <w:rPr>
          <w:rFonts w:hint="eastAsia" w:ascii="宋体" w:hAnsi="宋体"/>
          <w:snapToGrid w:val="0"/>
          <w:kern w:val="0"/>
          <w:sz w:val="28"/>
          <w:szCs w:val="28"/>
          <w:highlight w:val="none"/>
        </w:rPr>
        <w:t>人委派</w:t>
      </w:r>
      <w:r>
        <w:rPr>
          <w:rFonts w:ascii="宋体" w:hAnsi="宋体"/>
          <w:snapToGrid w:val="0"/>
          <w:kern w:val="0"/>
          <w:sz w:val="28"/>
          <w:szCs w:val="28"/>
          <w:highlight w:val="none"/>
        </w:rPr>
        <w:t>的答辩人</w:t>
      </w:r>
      <w:r>
        <w:rPr>
          <w:rFonts w:hint="eastAsia" w:ascii="宋体" w:hAnsi="宋体"/>
          <w:snapToGrid w:val="0"/>
          <w:kern w:val="0"/>
          <w:sz w:val="28"/>
          <w:szCs w:val="28"/>
          <w:highlight w:val="none"/>
        </w:rPr>
        <w:t>应符合以</w:t>
      </w:r>
      <w:r>
        <w:rPr>
          <w:rFonts w:ascii="宋体" w:hAnsi="宋体"/>
          <w:snapToGrid w:val="0"/>
          <w:kern w:val="0"/>
          <w:sz w:val="28"/>
          <w:szCs w:val="28"/>
          <w:highlight w:val="none"/>
        </w:rPr>
        <w:t>下</w:t>
      </w:r>
      <w:r>
        <w:rPr>
          <w:rFonts w:hint="eastAsia" w:ascii="宋体" w:hAnsi="宋体"/>
          <w:snapToGrid w:val="0"/>
          <w:kern w:val="0"/>
          <w:sz w:val="28"/>
          <w:szCs w:val="28"/>
          <w:highlight w:val="none"/>
        </w:rPr>
        <w:t>条件</w:t>
      </w:r>
      <w:r>
        <w:rPr>
          <w:rFonts w:ascii="宋体" w:hAnsi="宋体"/>
          <w:snapToGrid w:val="0"/>
          <w:kern w:val="0"/>
          <w:sz w:val="28"/>
          <w:szCs w:val="28"/>
          <w:highlight w:val="none"/>
        </w:rPr>
        <w:t>：</w:t>
      </w:r>
    </w:p>
    <w:p w14:paraId="0B133EC9">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.2.1拟进行投标</w:t>
      </w:r>
      <w:r>
        <w:rPr>
          <w:rFonts w:ascii="宋体" w:hAnsi="宋体"/>
          <w:snapToGrid w:val="0"/>
          <w:kern w:val="0"/>
          <w:sz w:val="28"/>
          <w:szCs w:val="28"/>
          <w:highlight w:val="none"/>
        </w:rPr>
        <w:t>答辩</w:t>
      </w:r>
      <w:r>
        <w:rPr>
          <w:rFonts w:hint="eastAsia" w:ascii="宋体" w:hAnsi="宋体"/>
          <w:snapToGrid w:val="0"/>
          <w:kern w:val="0"/>
          <w:sz w:val="28"/>
          <w:szCs w:val="28"/>
          <w:highlight w:val="none"/>
        </w:rPr>
        <w:t>的，答辩人必须是投标人拟派往本公开招标（自主）项目的项目负责人、其法定代表人或者法定代表人委托代理人。</w:t>
      </w:r>
    </w:p>
    <w:p w14:paraId="133CC717">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.3要求投标人进行答辩，但投标人在规定时间内未派出答辩人的，将根据公开招标（自主）文件规定作出不利于投标人的判定，且投标人不得因此提出任何异议。</w:t>
      </w:r>
    </w:p>
    <w:p w14:paraId="210DD6BE">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0</w:t>
      </w:r>
      <w:r>
        <w:rPr>
          <w:rFonts w:hint="eastAsia" w:ascii="宋体" w:hAnsi="宋体"/>
          <w:b/>
          <w:snapToGrid w:val="0"/>
          <w:kern w:val="0"/>
          <w:sz w:val="28"/>
          <w:szCs w:val="28"/>
          <w:highlight w:val="none"/>
        </w:rPr>
        <w:t>.评标方法</w:t>
      </w:r>
    </w:p>
    <w:p w14:paraId="5635B9B6">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评标委员会对进入评标环节的全部投标文件进行评审，给出评审意见，评委采用投票方式推荐综合评价最优的1名投标单位为中标候选人。</w:t>
      </w:r>
    </w:p>
    <w:p w14:paraId="51BA0171">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1</w:t>
      </w:r>
      <w:r>
        <w:rPr>
          <w:rFonts w:hint="eastAsia" w:ascii="宋体" w:hAnsi="宋体"/>
          <w:b/>
          <w:snapToGrid w:val="0"/>
          <w:kern w:val="0"/>
          <w:sz w:val="28"/>
          <w:szCs w:val="28"/>
          <w:highlight w:val="none"/>
        </w:rPr>
        <w:t>．投标人的推荐</w:t>
      </w:r>
    </w:p>
    <w:p w14:paraId="0BD87112">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1</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1评标委员会完成评标后，应向招标人提出书面评标报告。评标报告由评标委员会全体成员签字。按为“优”项数多少选取排名第一(且得票超过半数以上)的投标人作为中标候选人.如得优数量一致不能满足要求，则根据评审人对本项目的理解，再次投票确定中标候选人。</w:t>
      </w:r>
    </w:p>
    <w:p w14:paraId="07CA5AB3">
      <w:pPr>
        <w:spacing w:line="360" w:lineRule="auto"/>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rPr>
        <w:t>1</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.2本次公开招标（自主）如果评标委员会已推荐投标人，无论随后出现何种情形，招标人在本次公开招标（自主）中不再接受另外的投标人，除非重新组织公开招标（自主）投标。</w:t>
      </w:r>
      <w:bookmarkStart w:id="13" w:name="_Toc509669692"/>
    </w:p>
    <w:p w14:paraId="41A1FE62">
      <w:pPr>
        <w:spacing w:line="360" w:lineRule="auto"/>
        <w:ind w:firstLine="420" w:firstLineChars="200"/>
        <w:jc w:val="left"/>
        <w:rPr>
          <w:rFonts w:hint="eastAsia" w:ascii="宋体" w:hAnsi="宋体"/>
          <w:snapToGrid w:val="0"/>
          <w:kern w:val="0"/>
          <w:szCs w:val="21"/>
          <w:highlight w:val="none"/>
        </w:rPr>
      </w:pPr>
    </w:p>
    <w:p w14:paraId="59A311A5">
      <w:pPr>
        <w:spacing w:line="360" w:lineRule="auto"/>
        <w:jc w:val="center"/>
        <w:outlineLvl w:val="3"/>
        <w:rPr>
          <w:rFonts w:ascii="宋体" w:hAnsi="宋体"/>
          <w:b/>
          <w:snapToGrid w:val="0"/>
          <w:kern w:val="0"/>
          <w:sz w:val="32"/>
          <w:szCs w:val="32"/>
          <w:highlight w:val="none"/>
        </w:rPr>
      </w:pPr>
      <w:bookmarkStart w:id="14" w:name="_Toc31188"/>
      <w:r>
        <w:rPr>
          <w:rFonts w:hint="eastAsia" w:ascii="宋体" w:hAnsi="宋体"/>
          <w:b/>
          <w:snapToGrid w:val="0"/>
          <w:kern w:val="0"/>
          <w:sz w:val="32"/>
          <w:szCs w:val="32"/>
          <w:highlight w:val="none"/>
          <w:lang w:val="en-US" w:eastAsia="zh-CN"/>
        </w:rPr>
        <w:t>六</w:t>
      </w:r>
      <w:r>
        <w:rPr>
          <w:rFonts w:hint="eastAsia" w:ascii="宋体" w:hAnsi="宋体"/>
          <w:b/>
          <w:snapToGrid w:val="0"/>
          <w:kern w:val="0"/>
          <w:sz w:val="32"/>
          <w:szCs w:val="32"/>
          <w:highlight w:val="none"/>
        </w:rPr>
        <w:t>、签订合同</w:t>
      </w:r>
      <w:bookmarkEnd w:id="13"/>
      <w:bookmarkEnd w:id="14"/>
    </w:p>
    <w:p w14:paraId="6AC4FA6D">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2</w:t>
      </w:r>
      <w:r>
        <w:rPr>
          <w:rFonts w:hint="eastAsia" w:ascii="宋体" w:hAnsi="宋体"/>
          <w:b/>
          <w:snapToGrid w:val="0"/>
          <w:kern w:val="0"/>
          <w:sz w:val="28"/>
          <w:szCs w:val="28"/>
          <w:highlight w:val="none"/>
        </w:rPr>
        <w:t>.中标通知</w:t>
      </w:r>
    </w:p>
    <w:p w14:paraId="4F0429B2">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招标人应在确定中标人后，发出委托函。委托函是本公开招标（自主）项目合同的组成部分。如接到有关投诉的，招标人将可能暂停发出委托函。</w:t>
      </w:r>
    </w:p>
    <w:p w14:paraId="5D0C2BF6">
      <w:pPr>
        <w:spacing w:line="360" w:lineRule="auto"/>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3</w:t>
      </w:r>
      <w:r>
        <w:rPr>
          <w:rFonts w:hint="eastAsia" w:ascii="宋体" w:hAnsi="宋体"/>
          <w:b/>
          <w:snapToGrid w:val="0"/>
          <w:kern w:val="0"/>
          <w:sz w:val="28"/>
          <w:szCs w:val="28"/>
          <w:highlight w:val="none"/>
        </w:rPr>
        <w:t>.签订合同</w:t>
      </w:r>
    </w:p>
    <w:p w14:paraId="7C9C17B1">
      <w:pPr>
        <w:spacing w:line="360" w:lineRule="auto"/>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招标人和中标人应当按在委托函</w:t>
      </w:r>
      <w:r>
        <w:rPr>
          <w:rFonts w:hint="eastAsia" w:ascii="宋体" w:hAnsi="宋体"/>
          <w:snapToGrid w:val="0"/>
          <w:color w:val="auto"/>
          <w:kern w:val="0"/>
          <w:sz w:val="28"/>
          <w:szCs w:val="28"/>
          <w:highlight w:val="none"/>
        </w:rPr>
        <w:t>发出30日内</w:t>
      </w:r>
      <w:r>
        <w:rPr>
          <w:rFonts w:hint="eastAsia" w:ascii="宋体" w:hAnsi="宋体"/>
          <w:snapToGrid w:val="0"/>
          <w:kern w:val="0"/>
          <w:sz w:val="28"/>
          <w:szCs w:val="28"/>
          <w:highlight w:val="none"/>
        </w:rPr>
        <w:t>，依据公开招标（自主）文件和中标人的投标文件订立书面合同。</w:t>
      </w:r>
    </w:p>
    <w:p w14:paraId="72D1017F">
      <w:pPr>
        <w:spacing w:line="360" w:lineRule="auto"/>
        <w:ind w:firstLine="560" w:firstLineChars="200"/>
        <w:jc w:val="left"/>
        <w:rPr>
          <w:rFonts w:hint="default" w:ascii="仿宋" w:hAnsi="仿宋" w:eastAsia="仿宋"/>
          <w:sz w:val="30"/>
          <w:szCs w:val="30"/>
          <w:highlight w:val="none"/>
        </w:rPr>
      </w:pPr>
      <w:r>
        <w:rPr>
          <w:rFonts w:hAnsi="宋体"/>
          <w:b/>
          <w:sz w:val="28"/>
          <w:szCs w:val="28"/>
          <w:highlight w:val="none"/>
        </w:rPr>
        <w:br w:type="page"/>
      </w:r>
      <w:r>
        <w:rPr>
          <w:rFonts w:ascii="仿宋" w:hAnsi="仿宋" w:eastAsia="仿宋"/>
          <w:b/>
          <w:sz w:val="30"/>
          <w:szCs w:val="30"/>
          <w:highlight w:val="none"/>
        </w:rPr>
        <w:t>投标文件一览表</w:t>
      </w:r>
    </w:p>
    <w:tbl>
      <w:tblPr>
        <w:tblStyle w:val="54"/>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234"/>
        <w:gridCol w:w="5095"/>
      </w:tblGrid>
      <w:tr w14:paraId="2EFE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4E6BBA95">
            <w:pPr>
              <w:pStyle w:val="100"/>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序号</w:t>
            </w:r>
          </w:p>
        </w:tc>
        <w:tc>
          <w:tcPr>
            <w:tcW w:w="3234" w:type="dxa"/>
            <w:vAlign w:val="center"/>
          </w:tcPr>
          <w:p w14:paraId="37463680">
            <w:pPr>
              <w:pStyle w:val="100"/>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文件名称</w:t>
            </w:r>
          </w:p>
        </w:tc>
        <w:tc>
          <w:tcPr>
            <w:tcW w:w="5095" w:type="dxa"/>
            <w:vAlign w:val="center"/>
          </w:tcPr>
          <w:p w14:paraId="6C5C88AC">
            <w:pPr>
              <w:pStyle w:val="100"/>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要求说明</w:t>
            </w:r>
          </w:p>
        </w:tc>
      </w:tr>
      <w:tr w14:paraId="2D0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702" w:type="dxa"/>
            <w:vAlign w:val="center"/>
          </w:tcPr>
          <w:p w14:paraId="63525E4A">
            <w:pPr>
              <w:pStyle w:val="100"/>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1</w:t>
            </w:r>
          </w:p>
        </w:tc>
        <w:tc>
          <w:tcPr>
            <w:tcW w:w="3234" w:type="dxa"/>
            <w:vAlign w:val="center"/>
          </w:tcPr>
          <w:p w14:paraId="4A91ECC9">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基本情况资料</w:t>
            </w:r>
          </w:p>
        </w:tc>
        <w:tc>
          <w:tcPr>
            <w:tcW w:w="5095" w:type="dxa"/>
            <w:vAlign w:val="center"/>
          </w:tcPr>
          <w:p w14:paraId="203403DB">
            <w:pPr>
              <w:pStyle w:val="2"/>
              <w:ind w:firstLine="0" w:firstLineChars="0"/>
              <w:rPr>
                <w:highlight w:val="none"/>
              </w:rPr>
            </w:pPr>
            <w:r>
              <w:rPr>
                <w:rFonts w:ascii="宋体" w:hAnsi="宋体" w:eastAsia="宋体" w:cs="Times New Roman"/>
                <w:sz w:val="24"/>
                <w:szCs w:val="24"/>
                <w:highlight w:val="none"/>
              </w:rPr>
              <w:t>提供营业执照复印件、资质证书复印件、法定代表人证明书及身份证复印件、法定代表人授权委托书及身份证复印件（如有）</w:t>
            </w:r>
          </w:p>
        </w:tc>
      </w:tr>
      <w:tr w14:paraId="025F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031FB846">
            <w:pPr>
              <w:pStyle w:val="100"/>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2</w:t>
            </w:r>
          </w:p>
        </w:tc>
        <w:tc>
          <w:tcPr>
            <w:tcW w:w="3234" w:type="dxa"/>
            <w:vAlign w:val="center"/>
          </w:tcPr>
          <w:p w14:paraId="7FF2963F">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承诺函</w:t>
            </w:r>
          </w:p>
        </w:tc>
        <w:tc>
          <w:tcPr>
            <w:tcW w:w="5095" w:type="dxa"/>
            <w:vAlign w:val="center"/>
          </w:tcPr>
          <w:p w14:paraId="00F3ED6B">
            <w:pPr>
              <w:pStyle w:val="100"/>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格式附后</w:t>
            </w:r>
          </w:p>
        </w:tc>
      </w:tr>
      <w:tr w14:paraId="5435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0CE54997">
            <w:pPr>
              <w:pStyle w:val="100"/>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3</w:t>
            </w:r>
          </w:p>
        </w:tc>
        <w:tc>
          <w:tcPr>
            <w:tcW w:w="3234" w:type="dxa"/>
            <w:vAlign w:val="center"/>
          </w:tcPr>
          <w:p w14:paraId="30B30F29">
            <w:pPr>
              <w:pStyle w:val="100"/>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龙岗区进一步规范政商交往行为告知书</w:t>
            </w:r>
          </w:p>
        </w:tc>
        <w:tc>
          <w:tcPr>
            <w:tcW w:w="5095" w:type="dxa"/>
            <w:vAlign w:val="center"/>
          </w:tcPr>
          <w:p w14:paraId="1D4F1795">
            <w:pPr>
              <w:pStyle w:val="100"/>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提供法定代表人或者法定代表人授权人签字版</w:t>
            </w:r>
          </w:p>
          <w:p w14:paraId="2F72A160">
            <w:pPr>
              <w:pStyle w:val="100"/>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格式见后附件</w:t>
            </w:r>
          </w:p>
        </w:tc>
      </w:tr>
      <w:tr w14:paraId="1254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B9B6B74">
            <w:pPr>
              <w:pStyle w:val="100"/>
              <w:spacing w:line="360" w:lineRule="exact"/>
              <w:ind w:firstLine="0" w:firstLineChars="0"/>
              <w:jc w:val="center"/>
              <w:rPr>
                <w:rFonts w:ascii="宋体" w:hAnsi="宋体"/>
                <w:sz w:val="24"/>
                <w:szCs w:val="24"/>
                <w:highlight w:val="none"/>
              </w:rPr>
            </w:pPr>
            <w:r>
              <w:rPr>
                <w:rFonts w:ascii="宋体" w:hAnsi="宋体"/>
                <w:sz w:val="24"/>
                <w:szCs w:val="24"/>
                <w:highlight w:val="none"/>
              </w:rPr>
              <w:t>4</w:t>
            </w:r>
          </w:p>
        </w:tc>
        <w:tc>
          <w:tcPr>
            <w:tcW w:w="3234" w:type="dxa"/>
            <w:vAlign w:val="center"/>
          </w:tcPr>
          <w:p w14:paraId="4856C2FA">
            <w:pPr>
              <w:pStyle w:val="100"/>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资信与方案要求</w:t>
            </w:r>
          </w:p>
        </w:tc>
        <w:tc>
          <w:tcPr>
            <w:tcW w:w="5095" w:type="dxa"/>
            <w:vAlign w:val="center"/>
          </w:tcPr>
          <w:p w14:paraId="7CCC0C51">
            <w:pPr>
              <w:pStyle w:val="100"/>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按</w:t>
            </w:r>
            <w:r>
              <w:rPr>
                <w:rFonts w:ascii="宋体" w:hAnsi="宋体"/>
                <w:sz w:val="24"/>
                <w:szCs w:val="24"/>
                <w:highlight w:val="none"/>
              </w:rPr>
              <w:t>“</w:t>
            </w:r>
            <w:r>
              <w:rPr>
                <w:rFonts w:hint="eastAsia" w:ascii="宋体" w:hAnsi="宋体"/>
                <w:sz w:val="24"/>
                <w:szCs w:val="24"/>
                <w:highlight w:val="none"/>
              </w:rPr>
              <w:t>资信与方案要求</w:t>
            </w:r>
            <w:r>
              <w:rPr>
                <w:rFonts w:ascii="宋体" w:hAnsi="宋体"/>
                <w:sz w:val="24"/>
                <w:szCs w:val="24"/>
                <w:highlight w:val="none"/>
              </w:rPr>
              <w:t>”</w:t>
            </w:r>
            <w:r>
              <w:rPr>
                <w:rFonts w:hint="eastAsia" w:ascii="宋体" w:hAnsi="宋体"/>
                <w:sz w:val="24"/>
                <w:szCs w:val="24"/>
                <w:highlight w:val="none"/>
              </w:rPr>
              <w:t>提供</w:t>
            </w:r>
          </w:p>
        </w:tc>
      </w:tr>
      <w:tr w14:paraId="1D86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atLeast"/>
        </w:trPr>
        <w:tc>
          <w:tcPr>
            <w:tcW w:w="702" w:type="dxa"/>
            <w:vAlign w:val="center"/>
          </w:tcPr>
          <w:p w14:paraId="4EBA07C2">
            <w:pPr>
              <w:pStyle w:val="100"/>
              <w:spacing w:line="360" w:lineRule="exact"/>
              <w:ind w:firstLine="0" w:firstLineChars="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5</w:t>
            </w:r>
          </w:p>
        </w:tc>
        <w:tc>
          <w:tcPr>
            <w:tcW w:w="3234" w:type="dxa"/>
            <w:vAlign w:val="center"/>
          </w:tcPr>
          <w:p w14:paraId="4A7F230B">
            <w:pPr>
              <w:pStyle w:val="100"/>
              <w:spacing w:line="360" w:lineRule="exact"/>
              <w:ind w:firstLine="0" w:firstLineChars="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商务标</w:t>
            </w:r>
          </w:p>
        </w:tc>
        <w:tc>
          <w:tcPr>
            <w:tcW w:w="5095" w:type="dxa"/>
            <w:vAlign w:val="center"/>
          </w:tcPr>
          <w:p w14:paraId="7BD7379F">
            <w:pPr>
              <w:pStyle w:val="100"/>
              <w:spacing w:line="360" w:lineRule="exact"/>
              <w:ind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按要求提供</w:t>
            </w:r>
          </w:p>
        </w:tc>
      </w:tr>
      <w:tr w14:paraId="56B6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02" w:type="dxa"/>
            <w:vAlign w:val="center"/>
          </w:tcPr>
          <w:p w14:paraId="77414CC1">
            <w:pPr>
              <w:pStyle w:val="100"/>
              <w:spacing w:line="360" w:lineRule="exact"/>
              <w:ind w:firstLine="0" w:firstLineChars="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6</w:t>
            </w:r>
          </w:p>
        </w:tc>
        <w:tc>
          <w:tcPr>
            <w:tcW w:w="3234" w:type="dxa"/>
            <w:vAlign w:val="center"/>
          </w:tcPr>
          <w:p w14:paraId="1FAD329F">
            <w:pPr>
              <w:pStyle w:val="100"/>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报价人认为需要加以说明的其他内容</w:t>
            </w:r>
          </w:p>
        </w:tc>
        <w:tc>
          <w:tcPr>
            <w:tcW w:w="5095" w:type="dxa"/>
            <w:vAlign w:val="center"/>
          </w:tcPr>
          <w:p w14:paraId="513A94C1">
            <w:pPr>
              <w:pStyle w:val="2"/>
              <w:ind w:firstLine="0" w:firstLineChars="0"/>
              <w:rPr>
                <w:highlight w:val="none"/>
              </w:rPr>
            </w:pPr>
            <w:r>
              <w:rPr>
                <w:rFonts w:ascii="宋体" w:hAnsi="宋体" w:eastAsia="宋体" w:cs="Times New Roman"/>
                <w:sz w:val="24"/>
                <w:szCs w:val="24"/>
                <w:highlight w:val="none"/>
              </w:rPr>
              <w:t>如有</w:t>
            </w:r>
          </w:p>
        </w:tc>
      </w:tr>
    </w:tbl>
    <w:p w14:paraId="4451D899">
      <w:pPr>
        <w:pStyle w:val="100"/>
        <w:tabs>
          <w:tab w:val="left" w:pos="426"/>
          <w:tab w:val="left" w:pos="567"/>
        </w:tabs>
        <w:spacing w:line="560" w:lineRule="exact"/>
        <w:ind w:left="622" w:firstLine="0" w:firstLineChars="0"/>
        <w:outlineLvl w:val="0"/>
        <w:rPr>
          <w:rFonts w:ascii="仿宋" w:hAnsi="仿宋" w:eastAsia="仿宋"/>
          <w:b/>
          <w:sz w:val="30"/>
          <w:szCs w:val="30"/>
          <w:highlight w:val="none"/>
        </w:rPr>
      </w:pPr>
    </w:p>
    <w:p w14:paraId="22EC8901">
      <w:pPr>
        <w:widowControl/>
        <w:jc w:val="left"/>
        <w:rPr>
          <w:rFonts w:ascii="黑体" w:eastAsia="黑体"/>
          <w:snapToGrid w:val="0"/>
          <w:kern w:val="0"/>
          <w:sz w:val="32"/>
          <w:szCs w:val="32"/>
          <w:highlight w:val="none"/>
        </w:rPr>
      </w:pPr>
    </w:p>
    <w:p w14:paraId="23FB6063">
      <w:pPr>
        <w:pStyle w:val="103"/>
        <w:widowControl/>
        <w:spacing w:line="560" w:lineRule="exact"/>
        <w:rPr>
          <w:rFonts w:hint="default" w:ascii="仿宋" w:hAnsi="仿宋" w:eastAsia="仿宋"/>
          <w:b/>
          <w:sz w:val="30"/>
          <w:szCs w:val="30"/>
          <w:highlight w:val="none"/>
        </w:rPr>
      </w:pPr>
    </w:p>
    <w:p w14:paraId="54AC55E0">
      <w:pPr>
        <w:rPr>
          <w:rFonts w:ascii="仿宋" w:hAnsi="仿宋" w:eastAsia="仿宋"/>
          <w:b/>
          <w:sz w:val="30"/>
          <w:szCs w:val="30"/>
          <w:highlight w:val="none"/>
        </w:rPr>
      </w:pPr>
      <w:r>
        <w:rPr>
          <w:rFonts w:ascii="仿宋" w:hAnsi="仿宋" w:eastAsia="仿宋"/>
          <w:b/>
          <w:sz w:val="30"/>
          <w:szCs w:val="30"/>
          <w:highlight w:val="none"/>
        </w:rPr>
        <w:br w:type="page"/>
      </w:r>
    </w:p>
    <w:p w14:paraId="55598483">
      <w:pPr>
        <w:pStyle w:val="103"/>
        <w:widowControl/>
        <w:spacing w:line="560" w:lineRule="exact"/>
        <w:rPr>
          <w:rFonts w:hint="default" w:ascii="仿宋" w:hAnsi="仿宋" w:eastAsia="仿宋"/>
          <w:b/>
          <w:sz w:val="30"/>
          <w:szCs w:val="30"/>
          <w:highlight w:val="none"/>
        </w:rPr>
      </w:pPr>
      <w:r>
        <w:rPr>
          <w:rFonts w:ascii="仿宋" w:hAnsi="仿宋" w:eastAsia="仿宋"/>
          <w:b/>
          <w:sz w:val="30"/>
          <w:szCs w:val="30"/>
          <w:highlight w:val="none"/>
        </w:rPr>
        <w:t>资信与方案要求</w:t>
      </w:r>
      <w:bookmarkStart w:id="15" w:name="_Toc509669694"/>
      <w:bookmarkStart w:id="16" w:name="_Toc306716037"/>
      <w:bookmarkStart w:id="17" w:name="_Toc151020524"/>
    </w:p>
    <w:tbl>
      <w:tblPr>
        <w:tblStyle w:val="5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46"/>
        <w:gridCol w:w="6012"/>
      </w:tblGrid>
      <w:tr w14:paraId="0A3D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61" w:type="dxa"/>
            <w:vAlign w:val="center"/>
          </w:tcPr>
          <w:p w14:paraId="7956B778">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序号</w:t>
            </w:r>
          </w:p>
        </w:tc>
        <w:tc>
          <w:tcPr>
            <w:tcW w:w="1746" w:type="dxa"/>
            <w:vAlign w:val="center"/>
          </w:tcPr>
          <w:p w14:paraId="4F63F1B1">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要素名称</w:t>
            </w:r>
          </w:p>
        </w:tc>
        <w:tc>
          <w:tcPr>
            <w:tcW w:w="6012" w:type="dxa"/>
            <w:vAlign w:val="center"/>
          </w:tcPr>
          <w:p w14:paraId="78546EFA">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有关要求或说明</w:t>
            </w:r>
          </w:p>
        </w:tc>
      </w:tr>
      <w:tr w14:paraId="4399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761" w:type="dxa"/>
            <w:shd w:val="clear" w:color="auto" w:fill="auto"/>
            <w:vAlign w:val="center"/>
          </w:tcPr>
          <w:p w14:paraId="11DB0A1B">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w:t>
            </w:r>
          </w:p>
        </w:tc>
        <w:tc>
          <w:tcPr>
            <w:tcW w:w="1746" w:type="dxa"/>
            <w:shd w:val="clear" w:color="auto" w:fill="auto"/>
            <w:vAlign w:val="center"/>
          </w:tcPr>
          <w:p w14:paraId="2C3432ED">
            <w:pPr>
              <w:widowControl/>
              <w:adjustRightInd w:val="0"/>
              <w:snapToGrid w:val="0"/>
              <w:spacing w:before="80" w:after="8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投标人</w:t>
            </w:r>
            <w:r>
              <w:rPr>
                <w:rFonts w:hint="eastAsia" w:ascii="仿宋_GB2312" w:hAnsi="仿宋_GB2312" w:eastAsia="仿宋_GB2312" w:cs="仿宋_GB2312"/>
                <w:color w:val="auto"/>
                <w:kern w:val="0"/>
                <w:sz w:val="24"/>
                <w:szCs w:val="24"/>
                <w:highlight w:val="none"/>
                <w:lang w:val="en-US" w:eastAsia="zh-CN"/>
              </w:rPr>
              <w:t>类似工程业绩</w:t>
            </w:r>
          </w:p>
        </w:tc>
        <w:tc>
          <w:tcPr>
            <w:tcW w:w="6012" w:type="dxa"/>
            <w:shd w:val="clear" w:color="auto" w:fill="auto"/>
            <w:vAlign w:val="center"/>
          </w:tcPr>
          <w:p w14:paraId="55C118BB">
            <w:pPr>
              <w:keepNext w:val="0"/>
              <w:keepLines w:val="0"/>
              <w:pageBreakBefore w:val="0"/>
              <w:widowControl/>
              <w:kinsoku/>
              <w:wordWrap/>
              <w:overflowPunct/>
              <w:topLinePunct w:val="0"/>
              <w:autoSpaceDE/>
              <w:autoSpaceDN/>
              <w:bidi w:val="0"/>
              <w:spacing w:line="0" w:lineRule="atLeas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p>
          <w:p w14:paraId="36C164F7">
            <w:pPr>
              <w:keepNext w:val="0"/>
              <w:keepLines w:val="0"/>
              <w:pageBreakBefore w:val="0"/>
              <w:widowControl/>
              <w:kinsoku/>
              <w:wordWrap/>
              <w:overflowPunct/>
              <w:topLinePunct w:val="0"/>
              <w:autoSpaceDE/>
              <w:autoSpaceDN/>
              <w:bidi w:val="0"/>
              <w:spacing w:line="0" w:lineRule="atLeas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2023年1月1日至今，投标人类似工程业绩（不超过3项，若超过3项，招标人仅对前3项业绩进行复核及统计，以合同签订时间为准，合同未体现签订时间的，则不予统计此项业绩）</w:t>
            </w:r>
          </w:p>
          <w:p w14:paraId="1EF9FD60">
            <w:pPr>
              <w:keepNext w:val="0"/>
              <w:keepLines w:val="0"/>
              <w:pageBreakBefore w:val="0"/>
              <w:widowControl/>
              <w:kinsoku/>
              <w:wordWrap/>
              <w:overflowPunct/>
              <w:topLinePunct w:val="0"/>
              <w:autoSpaceDE/>
              <w:autoSpaceDN/>
              <w:bidi w:val="0"/>
              <w:spacing w:line="0" w:lineRule="atLeast"/>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4"/>
                <w:szCs w:val="24"/>
                <w:highlight w:val="none"/>
              </w:rPr>
              <w:t>（证明资料为相关合同，应包含工程名称、委托单位名称、受托单位名称、合同金额等信息，可提供合同关键页扫描件，若未体现以上信息，可提供其他相关证明材料。）</w:t>
            </w:r>
          </w:p>
        </w:tc>
      </w:tr>
      <w:tr w14:paraId="20E6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761" w:type="dxa"/>
            <w:shd w:val="clear" w:color="auto" w:fill="auto"/>
            <w:vAlign w:val="center"/>
          </w:tcPr>
          <w:p w14:paraId="7F16D12E">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p w14:paraId="38C8EF3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p>
        </w:tc>
        <w:tc>
          <w:tcPr>
            <w:tcW w:w="1746" w:type="dxa"/>
            <w:shd w:val="clear" w:color="auto" w:fill="auto"/>
            <w:vAlign w:val="center"/>
          </w:tcPr>
          <w:p w14:paraId="29606BA3">
            <w:pPr>
              <w:widowControl/>
              <w:adjustRightInd w:val="0"/>
              <w:snapToGrid w:val="0"/>
              <w:spacing w:before="80" w:after="8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项目负责人</w:t>
            </w:r>
            <w:r>
              <w:rPr>
                <w:rFonts w:hint="eastAsia" w:ascii="仿宋_GB2312" w:hAnsi="仿宋_GB2312" w:eastAsia="仿宋_GB2312" w:cs="仿宋_GB2312"/>
                <w:color w:val="auto"/>
                <w:sz w:val="24"/>
                <w:szCs w:val="24"/>
                <w:highlight w:val="none"/>
                <w:lang w:eastAsia="zh-CN"/>
              </w:rPr>
              <w:t>类似工程业绩</w:t>
            </w:r>
          </w:p>
        </w:tc>
        <w:tc>
          <w:tcPr>
            <w:tcW w:w="6012" w:type="dxa"/>
            <w:shd w:val="clear" w:color="auto" w:fill="auto"/>
            <w:vAlign w:val="center"/>
          </w:tcPr>
          <w:p w14:paraId="4D47EA14">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p>
          <w:p w14:paraId="58D28C0A">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2023年1月1日至今，项目负责人类似工程业绩（不超过3项，若超过3项，招标人仅对前3项业绩进行复核及统计，以合同签订时间为准，合同未体现签订时间的，则不予统计此项业绩。）</w:t>
            </w:r>
          </w:p>
          <w:p w14:paraId="218211C7">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sz w:val="24"/>
                <w:szCs w:val="24"/>
                <w:highlight w:val="none"/>
              </w:rPr>
              <w:t>（证明资料为合同关键页等证明文件扫描件，须体现合同签订时间、合同签订金额和项目负责人任职信息等，如无法体现任职信息，需提供业主证明等证明材料。）</w:t>
            </w:r>
          </w:p>
        </w:tc>
      </w:tr>
      <w:tr w14:paraId="08A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9" w:hRule="atLeast"/>
        </w:trPr>
        <w:tc>
          <w:tcPr>
            <w:tcW w:w="761" w:type="dxa"/>
            <w:shd w:val="clear" w:color="auto" w:fill="auto"/>
            <w:vAlign w:val="center"/>
          </w:tcPr>
          <w:p w14:paraId="1B477F0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3</w:t>
            </w:r>
          </w:p>
        </w:tc>
        <w:tc>
          <w:tcPr>
            <w:tcW w:w="1746" w:type="dxa"/>
            <w:shd w:val="clear" w:color="auto" w:fill="auto"/>
            <w:vAlign w:val="center"/>
          </w:tcPr>
          <w:p w14:paraId="21F018BB">
            <w:pPr>
              <w:widowControl/>
              <w:adjustRightInd w:val="0"/>
              <w:snapToGrid w:val="0"/>
              <w:spacing w:before="80" w:after="8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履约评价</w:t>
            </w:r>
          </w:p>
        </w:tc>
        <w:tc>
          <w:tcPr>
            <w:tcW w:w="6012" w:type="dxa"/>
            <w:shd w:val="clear" w:color="auto" w:fill="auto"/>
            <w:vAlign w:val="center"/>
          </w:tcPr>
          <w:p w14:paraId="44F27800">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p>
          <w:p w14:paraId="24D548DD">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2023年1月1日至今，类似工程合同履约情况；（不超过3项，若超过3项，招标人仅对前3项履约进行复核及统计）。</w:t>
            </w:r>
          </w:p>
          <w:p w14:paraId="6A46E352">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sz w:val="24"/>
                <w:szCs w:val="24"/>
                <w:highlight w:val="none"/>
              </w:rPr>
            </w:pPr>
          </w:p>
          <w:p w14:paraId="1D091CC8">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sz w:val="24"/>
                <w:szCs w:val="24"/>
                <w:highlight w:val="none"/>
              </w:rPr>
              <w:t>证明材料：履约证明等扫描件（应包含工程名称、评价单位名称、被评价单位名称、评价结论、评价单位盖章等，若未体现以上信息，可提供其他相关证明材料），以履约证明上载明的时间为准，未体现履约评价时间的，则不予统计此项履约。一个项目的履约评价只计1项。若未附证明材料或证明材料中未能清晰体现关键信息或证明材料前后不一致，招标人有可能做出对投标人不利的判断。。</w:t>
            </w:r>
          </w:p>
        </w:tc>
      </w:tr>
      <w:tr w14:paraId="79D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761" w:type="dxa"/>
            <w:shd w:val="clear" w:color="auto" w:fill="auto"/>
            <w:vAlign w:val="center"/>
          </w:tcPr>
          <w:p w14:paraId="4967CD32">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4</w:t>
            </w:r>
          </w:p>
        </w:tc>
        <w:tc>
          <w:tcPr>
            <w:tcW w:w="1746" w:type="dxa"/>
            <w:shd w:val="clear" w:color="auto" w:fill="auto"/>
            <w:vAlign w:val="center"/>
          </w:tcPr>
          <w:p w14:paraId="658A7C15">
            <w:pPr>
              <w:widowControl/>
              <w:adjustRightInd w:val="0"/>
              <w:snapToGrid w:val="0"/>
              <w:spacing w:before="80" w:after="8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投标人诚信</w:t>
            </w:r>
          </w:p>
        </w:tc>
        <w:tc>
          <w:tcPr>
            <w:tcW w:w="6012" w:type="dxa"/>
            <w:shd w:val="clear" w:color="auto" w:fill="auto"/>
            <w:vAlign w:val="center"/>
          </w:tcPr>
          <w:p w14:paraId="5C35BD1A">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提供通</w:t>
            </w:r>
            <w:r>
              <w:rPr>
                <w:rFonts w:hint="eastAsia" w:ascii="仿宋_GB2312" w:hAnsi="仿宋_GB2312" w:eastAsia="仿宋_GB2312" w:cs="仿宋_GB2312"/>
                <w:color w:val="auto"/>
                <w:kern w:val="2"/>
                <w:sz w:val="24"/>
                <w:szCs w:val="24"/>
                <w:highlight w:val="none"/>
              </w:rPr>
              <w:t>过“国家企业信用信息公示系统”、“</w:t>
            </w:r>
            <w:r>
              <w:rPr>
                <w:rFonts w:hint="eastAsia" w:ascii="仿宋_GB2312" w:hAnsi="仿宋_GB2312" w:eastAsia="仿宋_GB2312" w:cs="仿宋_GB2312"/>
                <w:color w:val="auto"/>
                <w:sz w:val="24"/>
                <w:szCs w:val="24"/>
                <w:highlight w:val="none"/>
              </w:rPr>
              <w:t>信用中国”、中国政府采购网（www.ccgp.gov.cn）严重违法失信行为查询截图。</w:t>
            </w:r>
          </w:p>
          <w:p w14:paraId="2DC309BF">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2"/>
                <w:sz w:val="24"/>
                <w:szCs w:val="24"/>
                <w:highlight w:val="none"/>
              </w:rPr>
              <w:t>证明资料为相关查询结果截图</w:t>
            </w:r>
            <w:r>
              <w:rPr>
                <w:rFonts w:hint="eastAsia" w:ascii="仿宋_GB2312" w:hAnsi="仿宋_GB2312" w:eastAsia="仿宋_GB2312" w:cs="仿宋_GB2312"/>
                <w:color w:val="auto"/>
                <w:sz w:val="24"/>
                <w:szCs w:val="24"/>
                <w:highlight w:val="none"/>
              </w:rPr>
              <w:t>）</w:t>
            </w:r>
          </w:p>
        </w:tc>
      </w:tr>
      <w:tr w14:paraId="3036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761" w:type="dxa"/>
            <w:shd w:val="clear" w:color="auto" w:fill="auto"/>
            <w:vAlign w:val="center"/>
          </w:tcPr>
          <w:p w14:paraId="024AB5EC">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5</w:t>
            </w:r>
          </w:p>
        </w:tc>
        <w:tc>
          <w:tcPr>
            <w:tcW w:w="1746" w:type="dxa"/>
            <w:shd w:val="clear" w:color="auto" w:fill="auto"/>
            <w:vAlign w:val="center"/>
          </w:tcPr>
          <w:p w14:paraId="2EFFD32A">
            <w:pPr>
              <w:widowControl/>
              <w:adjustRightInd w:val="0"/>
              <w:snapToGrid w:val="0"/>
              <w:spacing w:before="80" w:after="80"/>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实施方案</w:t>
            </w:r>
          </w:p>
        </w:tc>
        <w:tc>
          <w:tcPr>
            <w:tcW w:w="6012" w:type="dxa"/>
            <w:shd w:val="clear" w:color="auto" w:fill="auto"/>
            <w:vAlign w:val="center"/>
          </w:tcPr>
          <w:p w14:paraId="4B349DAA">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投标人结合自身情况，依据本招标文件要求，编写招标代理服务实施方案。根据项目实际情况，方案应包含服务需求任务分解情况、资源投入、进度计划及管控、档案整理等方面。</w:t>
            </w:r>
          </w:p>
        </w:tc>
      </w:tr>
    </w:tbl>
    <w:p w14:paraId="517AF752">
      <w:pPr>
        <w:pStyle w:val="26"/>
        <w:jc w:val="center"/>
        <w:rPr>
          <w:b/>
          <w:sz w:val="36"/>
          <w:szCs w:val="36"/>
          <w:highlight w:val="none"/>
        </w:rPr>
      </w:pPr>
    </w:p>
    <w:p w14:paraId="253BAE47">
      <w:pPr>
        <w:rPr>
          <w:b/>
          <w:sz w:val="36"/>
          <w:szCs w:val="36"/>
          <w:highlight w:val="none"/>
        </w:rPr>
      </w:pPr>
      <w:r>
        <w:rPr>
          <w:rFonts w:hint="eastAsia"/>
          <w:b/>
          <w:sz w:val="36"/>
          <w:szCs w:val="36"/>
          <w:highlight w:val="none"/>
        </w:rPr>
        <w:br w:type="page"/>
      </w:r>
    </w:p>
    <w:p w14:paraId="0A355D1A">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第三章  合同文件</w:t>
      </w:r>
    </w:p>
    <w:p w14:paraId="2A1AE08D">
      <w:pPr>
        <w:spacing w:line="400" w:lineRule="exact"/>
        <w:jc w:val="right"/>
        <w:rPr>
          <w:rFonts w:ascii="宋体" w:hAnsi="宋体" w:cs="宋体"/>
          <w:b/>
          <w:bCs/>
          <w:highlight w:val="none"/>
          <w:u w:val="single"/>
        </w:rPr>
      </w:pPr>
      <w:r>
        <w:rPr>
          <w:rFonts w:hint="eastAsia" w:ascii="宋体" w:hAnsi="宋体" w:cs="宋体"/>
          <w:b/>
          <w:bCs/>
          <w:highlight w:val="none"/>
        </w:rPr>
        <w:t xml:space="preserve"> </w:t>
      </w:r>
      <w:r>
        <w:rPr>
          <w:rFonts w:hint="eastAsia" w:ascii="宋体" w:hAnsi="宋体" w:cs="宋体"/>
          <w:b/>
          <w:bCs/>
          <w:sz w:val="24"/>
          <w:highlight w:val="none"/>
        </w:rPr>
        <w:t xml:space="preserve">     合同编号     </w:t>
      </w:r>
      <w:r>
        <w:rPr>
          <w:rFonts w:hint="eastAsia" w:ascii="宋体" w:hAnsi="宋体" w:cs="宋体"/>
          <w:b/>
          <w:bCs/>
          <w:highlight w:val="none"/>
        </w:rPr>
        <w:t xml:space="preserve">    </w:t>
      </w:r>
    </w:p>
    <w:p w14:paraId="32443BFC">
      <w:pPr>
        <w:spacing w:line="480" w:lineRule="auto"/>
        <w:ind w:left="0" w:leftChars="0" w:right="0" w:rightChars="0" w:firstLineChars="400"/>
        <w:rPr>
          <w:rFonts w:hint="eastAsia" w:ascii="宋体" w:hAnsi="宋体" w:cs="宋体"/>
          <w:b/>
          <w:bCs/>
          <w:sz w:val="44"/>
          <w:szCs w:val="44"/>
          <w:highlight w:val="none"/>
        </w:rPr>
      </w:pPr>
    </w:p>
    <w:p w14:paraId="65DBF18F">
      <w:pPr>
        <w:spacing w:line="480" w:lineRule="auto"/>
        <w:ind w:left="0" w:leftChars="0" w:right="0" w:rightChars="0" w:firstLineChars="300"/>
        <w:rPr>
          <w:rFonts w:hint="eastAsia" w:ascii="黑体" w:hAnsi="黑体" w:eastAsia="黑体" w:cs="黑体"/>
          <w:b/>
          <w:bCs/>
          <w:sz w:val="52"/>
          <w:szCs w:val="52"/>
          <w:highlight w:val="none"/>
        </w:rPr>
      </w:pPr>
    </w:p>
    <w:p w14:paraId="516EBCB7">
      <w:pPr>
        <w:spacing w:line="480" w:lineRule="auto"/>
        <w:ind w:left="0" w:leftChars="0" w:right="0" w:rightChars="0" w:firstLineChars="300"/>
        <w:rPr>
          <w:rFonts w:hint="eastAsia" w:ascii="黑体" w:hAnsi="黑体" w:eastAsia="黑体" w:cs="黑体"/>
          <w:b/>
          <w:bCs/>
          <w:sz w:val="52"/>
          <w:szCs w:val="52"/>
          <w:highlight w:val="none"/>
        </w:rPr>
      </w:pPr>
      <w:r>
        <w:rPr>
          <w:rFonts w:hint="eastAsia" w:ascii="黑体" w:hAnsi="黑体" w:eastAsia="黑体" w:cs="黑体"/>
          <w:b/>
          <w:bCs/>
          <w:sz w:val="52"/>
          <w:szCs w:val="52"/>
          <w:highlight w:val="none"/>
        </w:rPr>
        <w:t>建设工程招标代理合同</w:t>
      </w:r>
    </w:p>
    <w:p w14:paraId="6B2D2F28">
      <w:pPr>
        <w:spacing w:line="480" w:lineRule="auto"/>
        <w:ind w:leftChars="1043" w:right="0" w:rightChars="0" w:firstLineChars="124"/>
        <w:rPr>
          <w:rFonts w:hint="eastAsia" w:ascii="宋体" w:hAnsi="宋体" w:eastAsia="黑体" w:cs="宋体"/>
          <w:b/>
          <w:bCs/>
          <w:sz w:val="44"/>
          <w:szCs w:val="44"/>
          <w:highlight w:val="none"/>
        </w:rPr>
      </w:pPr>
    </w:p>
    <w:p w14:paraId="6E7EF809">
      <w:pPr>
        <w:spacing w:line="400" w:lineRule="exact"/>
        <w:rPr>
          <w:rFonts w:hint="eastAsia" w:ascii="宋体" w:hAnsi="宋体" w:cs="宋体"/>
          <w:b/>
          <w:bCs/>
          <w:sz w:val="44"/>
          <w:szCs w:val="44"/>
          <w:highlight w:val="none"/>
        </w:rPr>
      </w:pPr>
    </w:p>
    <w:p w14:paraId="6C9AFEC2">
      <w:pPr>
        <w:spacing w:line="400" w:lineRule="exact"/>
        <w:rPr>
          <w:rFonts w:hint="eastAsia" w:ascii="宋体" w:hAnsi="宋体" w:cs="宋体"/>
          <w:b/>
          <w:bCs/>
          <w:highlight w:val="none"/>
        </w:rPr>
      </w:pPr>
    </w:p>
    <w:p w14:paraId="2536D4D7">
      <w:pPr>
        <w:pStyle w:val="24"/>
        <w:rPr>
          <w:rFonts w:hint="eastAsia" w:ascii="宋体" w:hAnsi="宋体" w:cs="宋体"/>
          <w:b w:val="0"/>
          <w:bCs/>
          <w:highlight w:val="none"/>
        </w:rPr>
      </w:pPr>
    </w:p>
    <w:p w14:paraId="60C2D364">
      <w:pPr>
        <w:spacing w:line="400" w:lineRule="exact"/>
        <w:rPr>
          <w:rFonts w:hint="eastAsia" w:ascii="宋体" w:hAnsi="宋体" w:cs="宋体"/>
          <w:b/>
          <w:bCs/>
          <w:highlight w:val="none"/>
        </w:rPr>
      </w:pPr>
    </w:p>
    <w:p w14:paraId="04968CD1">
      <w:pPr>
        <w:spacing w:line="400" w:lineRule="exact"/>
        <w:rPr>
          <w:rFonts w:hint="eastAsia" w:ascii="宋体" w:hAnsi="宋体" w:cs="宋体"/>
          <w:b/>
          <w:bCs/>
          <w:highlight w:val="none"/>
        </w:rPr>
      </w:pPr>
    </w:p>
    <w:p w14:paraId="1CD68EC9">
      <w:pPr>
        <w:widowControl/>
        <w:spacing w:line="600" w:lineRule="exact"/>
        <w:ind w:leftChars="268" w:right="0" w:rightChars="0" w:hangingChars="500"/>
        <w:jc w:val="left"/>
        <w:rPr>
          <w:rFonts w:hint="eastAsia" w:ascii="宋体" w:hAnsi="宋体" w:cs="宋体"/>
          <w:b/>
          <w:bCs/>
          <w:kern w:val="0"/>
          <w:sz w:val="30"/>
          <w:szCs w:val="30"/>
          <w:highlight w:val="none"/>
          <w:u w:val="single"/>
        </w:rPr>
      </w:pPr>
      <w:r>
        <w:rPr>
          <w:rFonts w:hint="eastAsia" w:ascii="宋体" w:hAnsi="宋体" w:cs="宋体"/>
          <w:b/>
          <w:bCs/>
          <w:kern w:val="0"/>
          <w:sz w:val="30"/>
          <w:szCs w:val="30"/>
          <w:highlight w:val="none"/>
        </w:rPr>
        <w:t>工程名称：深圳建筑产业生态智谷总部基地一期二单元15、16层办公用房提升工程</w:t>
      </w:r>
      <w:r>
        <w:rPr>
          <w:rFonts w:hint="eastAsia" w:ascii="宋体" w:hAnsi="宋体" w:cs="宋体"/>
          <w:b/>
          <w:bCs/>
          <w:kern w:val="0"/>
          <w:sz w:val="30"/>
          <w:szCs w:val="30"/>
          <w:highlight w:val="none"/>
          <w:u w:val="single"/>
        </w:rPr>
        <w:t xml:space="preserve">                                   </w:t>
      </w:r>
    </w:p>
    <w:p w14:paraId="7E9BF016">
      <w:pPr>
        <w:widowControl/>
        <w:spacing w:line="600" w:lineRule="exact"/>
        <w:ind w:leftChars="284" w:right="0" w:rightChars="0" w:hangingChars="500"/>
        <w:rPr>
          <w:rFonts w:hint="eastAsia" w:ascii="宋体" w:hAnsi="宋体" w:cs="宋体"/>
          <w:b/>
          <w:bCs/>
          <w:kern w:val="0"/>
          <w:sz w:val="30"/>
          <w:szCs w:val="30"/>
          <w:highlight w:val="none"/>
          <w:u w:val="single"/>
        </w:rPr>
      </w:pPr>
      <w:r>
        <w:rPr>
          <w:rFonts w:hint="eastAsia" w:ascii="宋体" w:hAnsi="宋体" w:cs="宋体"/>
          <w:b/>
          <w:bCs/>
          <w:kern w:val="0"/>
          <w:sz w:val="30"/>
          <w:szCs w:val="30"/>
          <w:highlight w:val="none"/>
        </w:rPr>
        <w:t>工程地点：深圳市龙岗区龙城街道</w:t>
      </w:r>
      <w:r>
        <w:rPr>
          <w:rFonts w:hint="eastAsia" w:ascii="宋体" w:hAnsi="宋体" w:cs="宋体"/>
          <w:b/>
          <w:bCs/>
          <w:kern w:val="0"/>
          <w:sz w:val="30"/>
          <w:szCs w:val="30"/>
          <w:highlight w:val="none"/>
          <w:u w:val="single"/>
        </w:rPr>
        <w:t xml:space="preserve">                                 </w:t>
      </w:r>
    </w:p>
    <w:p w14:paraId="0C34201A">
      <w:pPr>
        <w:widowControl/>
        <w:spacing w:line="600" w:lineRule="exact"/>
        <w:ind w:left="0" w:leftChars="0" w:right="0" w:rightChars="0" w:firstLineChars="200"/>
        <w:rPr>
          <w:rFonts w:hint="eastAsia" w:ascii="宋体" w:hAnsi="宋体" w:cs="宋体"/>
          <w:b/>
          <w:bCs/>
          <w:kern w:val="0"/>
          <w:sz w:val="30"/>
          <w:szCs w:val="30"/>
          <w:highlight w:val="none"/>
          <w:u w:val="single"/>
        </w:rPr>
      </w:pPr>
      <w:r>
        <w:rPr>
          <w:rFonts w:hint="eastAsia" w:ascii="宋体" w:hAnsi="宋体" w:cs="宋体"/>
          <w:b/>
          <w:bCs/>
          <w:kern w:val="0"/>
          <w:sz w:val="30"/>
          <w:szCs w:val="30"/>
          <w:highlight w:val="none"/>
        </w:rPr>
        <w:t xml:space="preserve">委 托 人：深圳市龙岗区城投新基础设施建设管理有限公司           </w:t>
      </w:r>
      <w:r>
        <w:rPr>
          <w:rFonts w:hint="eastAsia" w:ascii="宋体" w:hAnsi="宋体" w:cs="宋体"/>
          <w:b/>
          <w:bCs/>
          <w:kern w:val="0"/>
          <w:sz w:val="30"/>
          <w:szCs w:val="30"/>
          <w:highlight w:val="none"/>
          <w:u w:val="single"/>
        </w:rPr>
        <w:t xml:space="preserve">                    </w:t>
      </w:r>
    </w:p>
    <w:p w14:paraId="7B936122">
      <w:pPr>
        <w:widowControl/>
        <w:spacing w:line="600" w:lineRule="exact"/>
        <w:ind w:left="0" w:leftChars="0" w:right="0" w:rightChars="0" w:firstLineChars="200"/>
        <w:rPr>
          <w:rFonts w:hint="eastAsia" w:ascii="宋体" w:hAnsi="宋体" w:cs="宋体"/>
          <w:b/>
          <w:bCs/>
          <w:kern w:val="0"/>
          <w:sz w:val="30"/>
          <w:szCs w:val="30"/>
          <w:highlight w:val="none"/>
          <w:u w:val="single"/>
        </w:rPr>
      </w:pPr>
      <w:r>
        <w:rPr>
          <w:rFonts w:hint="eastAsia" w:ascii="宋体" w:hAnsi="宋体" w:cs="宋体"/>
          <w:b/>
          <w:bCs/>
          <w:kern w:val="0"/>
          <w:sz w:val="30"/>
          <w:szCs w:val="30"/>
          <w:highlight w:val="none"/>
        </w:rPr>
        <w:t>受 托 人：</w:t>
      </w:r>
      <w:r>
        <w:rPr>
          <w:rFonts w:hint="eastAsia" w:ascii="宋体" w:hAnsi="宋体" w:cs="宋体"/>
          <w:b/>
          <w:bCs/>
          <w:kern w:val="0"/>
          <w:sz w:val="30"/>
          <w:szCs w:val="30"/>
          <w:highlight w:val="none"/>
          <w:u w:val="single"/>
        </w:rPr>
        <w:t xml:space="preserve">   </w:t>
      </w:r>
    </w:p>
    <w:p w14:paraId="28EE81C7">
      <w:pPr>
        <w:widowControl/>
        <w:spacing w:line="600" w:lineRule="exact"/>
        <w:ind w:left="0" w:leftChars="0" w:right="0" w:rightChars="0" w:firstLineChars="200"/>
        <w:rPr>
          <w:rFonts w:hint="eastAsia" w:ascii="宋体" w:hAnsi="宋体" w:cs="宋体"/>
          <w:b/>
          <w:bCs/>
          <w:kern w:val="0"/>
          <w:sz w:val="28"/>
          <w:szCs w:val="28"/>
          <w:highlight w:val="none"/>
          <w:u w:val="single"/>
        </w:rPr>
      </w:pPr>
      <w:r>
        <w:rPr>
          <w:rFonts w:hint="eastAsia" w:ascii="宋体" w:hAnsi="宋体" w:cs="宋体"/>
          <w:b/>
          <w:bCs/>
          <w:kern w:val="0"/>
          <w:sz w:val="28"/>
          <w:szCs w:val="28"/>
          <w:highlight w:val="none"/>
          <w:u w:val="single"/>
        </w:rPr>
        <w:t xml:space="preserve">                              </w:t>
      </w:r>
    </w:p>
    <w:p w14:paraId="64D95FE7">
      <w:pPr>
        <w:pStyle w:val="5"/>
        <w:numPr>
          <w:ilvl w:val="0"/>
          <w:numId w:val="0"/>
        </w:numPr>
        <w:tabs>
          <w:tab w:val="left" w:pos="576"/>
          <w:tab w:val="clear" w:pos="720"/>
        </w:tabs>
        <w:snapToGrid w:val="0"/>
        <w:spacing w:before="120" w:after="260" w:line="700" w:lineRule="exact"/>
        <w:ind w:left="501" w:leftChars="0" w:right="0" w:rightChars="0" w:hangingChars="179"/>
        <w:rPr>
          <w:rFonts w:hint="eastAsia" w:ascii="宋体" w:hAnsi="宋体" w:cs="宋体"/>
          <w:sz w:val="28"/>
          <w:szCs w:val="28"/>
          <w:highlight w:val="none"/>
        </w:rPr>
      </w:pPr>
      <w:r>
        <w:rPr>
          <w:rFonts w:hint="eastAsia" w:ascii="宋体" w:hAnsi="宋体" w:cs="宋体"/>
          <w:sz w:val="28"/>
          <w:szCs w:val="28"/>
          <w:highlight w:val="none"/>
        </w:rPr>
        <w:t xml:space="preserve">     </w:t>
      </w:r>
    </w:p>
    <w:p w14:paraId="7F378E4E">
      <w:pPr>
        <w:pStyle w:val="5"/>
        <w:numPr>
          <w:ilvl w:val="0"/>
          <w:numId w:val="0"/>
        </w:numPr>
        <w:tabs>
          <w:tab w:val="left" w:pos="576"/>
          <w:tab w:val="clear" w:pos="720"/>
        </w:tabs>
        <w:snapToGrid w:val="0"/>
        <w:spacing w:before="120" w:after="260" w:line="700" w:lineRule="exact"/>
        <w:ind w:left="501" w:leftChars="0" w:right="0" w:rightChars="0" w:hangingChars="179"/>
        <w:rPr>
          <w:rFonts w:hint="eastAsia" w:ascii="宋体" w:hAnsi="宋体" w:cs="宋体"/>
          <w:sz w:val="28"/>
          <w:szCs w:val="28"/>
          <w:highlight w:val="none"/>
        </w:rPr>
      </w:pPr>
    </w:p>
    <w:p w14:paraId="5A95B515">
      <w:pPr>
        <w:pStyle w:val="5"/>
        <w:numPr>
          <w:ilvl w:val="0"/>
          <w:numId w:val="0"/>
        </w:numPr>
        <w:tabs>
          <w:tab w:val="left" w:pos="576"/>
          <w:tab w:val="clear" w:pos="720"/>
        </w:tabs>
        <w:snapToGrid w:val="0"/>
        <w:spacing w:before="120" w:after="260" w:line="700" w:lineRule="exact"/>
        <w:ind w:left="501" w:leftChars="0" w:right="0" w:rightChars="0" w:hangingChars="179"/>
        <w:rPr>
          <w:rFonts w:hint="eastAsia" w:ascii="宋体" w:hAnsi="宋体" w:eastAsia="宋体" w:cs="宋体"/>
          <w:sz w:val="44"/>
          <w:szCs w:val="44"/>
          <w:highlight w:val="none"/>
        </w:rPr>
      </w:pPr>
      <w:r>
        <w:rPr>
          <w:rFonts w:hint="eastAsia" w:ascii="宋体" w:hAnsi="宋体" w:cs="宋体"/>
          <w:sz w:val="28"/>
          <w:szCs w:val="28"/>
          <w:highlight w:val="none"/>
        </w:rPr>
        <w:t xml:space="preserve">   </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 xml:space="preserve"> </w:t>
      </w:r>
      <w:r>
        <w:rPr>
          <w:rFonts w:hint="eastAsia" w:ascii="宋体" w:hAnsi="宋体" w:eastAsia="宋体" w:cs="宋体"/>
          <w:sz w:val="44"/>
          <w:szCs w:val="44"/>
          <w:highlight w:val="none"/>
        </w:rPr>
        <w:t xml:space="preserve"> 目   录</w:t>
      </w:r>
    </w:p>
    <w:p w14:paraId="62B5E8DE">
      <w:pPr>
        <w:pStyle w:val="174"/>
        <w:snapToGrid/>
        <w:spacing w:before="120" w:after="260" w:line="480" w:lineRule="auto"/>
        <w:ind w:left="0" w:leftChars="0" w:right="0" w:rightChars="0" w:firstLineChars="0"/>
        <w:jc w:val="left"/>
        <w:rPr>
          <w:rFonts w:hint="eastAsia" w:ascii="方正公文黑体" w:hAnsi="方正公文黑体" w:eastAsia="方正公文黑体" w:cs="方正公文黑体"/>
          <w:sz w:val="36"/>
          <w:szCs w:val="36"/>
          <w:highlight w:val="none"/>
        </w:rPr>
      </w:pPr>
      <w:r>
        <w:rPr>
          <w:rFonts w:hint="eastAsia" w:ascii="方正公文黑体" w:hAnsi="方正公文黑体" w:eastAsia="方正公文黑体" w:cs="方正公文黑体"/>
          <w:sz w:val="36"/>
          <w:szCs w:val="36"/>
          <w:highlight w:val="none"/>
        </w:rPr>
        <w:t>第一部分 协议书…………………………………3</w:t>
      </w:r>
    </w:p>
    <w:p w14:paraId="0E3FFCEE">
      <w:pPr>
        <w:pStyle w:val="174"/>
        <w:snapToGrid/>
        <w:spacing w:before="120" w:after="260" w:line="480" w:lineRule="auto"/>
        <w:ind w:left="0" w:leftChars="0" w:right="0" w:rightChars="0" w:firstLineChars="0"/>
        <w:jc w:val="left"/>
        <w:rPr>
          <w:rFonts w:hint="eastAsia" w:ascii="方正公文黑体" w:hAnsi="方正公文黑体" w:eastAsia="方正公文黑体" w:cs="方正公文黑体"/>
          <w:sz w:val="36"/>
          <w:szCs w:val="36"/>
          <w:highlight w:val="none"/>
        </w:rPr>
      </w:pPr>
      <w:r>
        <w:rPr>
          <w:rFonts w:hint="eastAsia" w:ascii="方正公文黑体" w:hAnsi="方正公文黑体" w:eastAsia="方正公文黑体" w:cs="方正公文黑体"/>
          <w:sz w:val="36"/>
          <w:szCs w:val="36"/>
          <w:highlight w:val="none"/>
        </w:rPr>
        <w:t>第二部分 委托文件………………………………7</w:t>
      </w:r>
    </w:p>
    <w:p w14:paraId="7D0E7A46">
      <w:pPr>
        <w:pStyle w:val="174"/>
        <w:snapToGrid/>
        <w:spacing w:before="120" w:after="260" w:line="480" w:lineRule="auto"/>
        <w:ind w:left="0"/>
        <w:jc w:val="left"/>
        <w:rPr>
          <w:rFonts w:hint="eastAsia" w:ascii="方正公文黑体" w:hAnsi="方正公文黑体" w:eastAsia="方正公文黑体" w:cs="方正公文黑体"/>
          <w:sz w:val="36"/>
          <w:szCs w:val="36"/>
          <w:highlight w:val="none"/>
        </w:rPr>
      </w:pPr>
      <w:r>
        <w:rPr>
          <w:rFonts w:hint="eastAsia" w:ascii="方正公文黑体" w:hAnsi="方正公文黑体" w:eastAsia="方正公文黑体" w:cs="方正公文黑体"/>
          <w:sz w:val="36"/>
          <w:szCs w:val="36"/>
          <w:highlight w:val="none"/>
        </w:rPr>
        <w:t>第三部分 通用条款…………………………………8</w:t>
      </w:r>
    </w:p>
    <w:p w14:paraId="30D2F9DC">
      <w:pPr>
        <w:pStyle w:val="174"/>
        <w:snapToGrid/>
        <w:spacing w:before="120" w:after="260" w:line="480" w:lineRule="auto"/>
        <w:ind w:left="0" w:leftChars="0" w:right="0" w:rightChars="0" w:firstLineChars="0"/>
        <w:jc w:val="left"/>
        <w:rPr>
          <w:rFonts w:hint="eastAsia" w:ascii="方正公文黑体" w:hAnsi="方正公文黑体" w:eastAsia="方正公文黑体" w:cs="方正公文黑体"/>
          <w:sz w:val="36"/>
          <w:szCs w:val="36"/>
          <w:highlight w:val="none"/>
        </w:rPr>
      </w:pPr>
      <w:r>
        <w:rPr>
          <w:rFonts w:hint="eastAsia" w:ascii="方正公文黑体" w:hAnsi="方正公文黑体" w:eastAsia="方正公文黑体" w:cs="方正公文黑体"/>
          <w:sz w:val="36"/>
          <w:szCs w:val="36"/>
          <w:highlight w:val="none"/>
        </w:rPr>
        <w:t>第四部分 专用条款………………………………18</w:t>
      </w:r>
    </w:p>
    <w:p w14:paraId="53962C72">
      <w:pPr>
        <w:pStyle w:val="174"/>
        <w:snapToGrid w:val="0"/>
        <w:spacing w:before="120" w:after="260"/>
        <w:ind w:left="0" w:leftChars="0" w:right="0" w:rightChars="0" w:firstLineChars="100"/>
        <w:rPr>
          <w:rFonts w:hint="eastAsia"/>
          <w:highlight w:val="none"/>
        </w:rPr>
      </w:pPr>
    </w:p>
    <w:p w14:paraId="500EDEC1">
      <w:pPr>
        <w:rPr>
          <w:rFonts w:hint="eastAsia" w:ascii="宋体" w:hAnsi="宋体" w:eastAsia="宋体" w:cs="宋体"/>
          <w:highlight w:val="none"/>
        </w:rPr>
      </w:pPr>
    </w:p>
    <w:p w14:paraId="375D907F">
      <w:pPr>
        <w:rPr>
          <w:rFonts w:hint="eastAsia" w:ascii="宋体" w:hAnsi="宋体" w:cs="宋体"/>
          <w:highlight w:val="none"/>
        </w:rPr>
        <w:sectPr>
          <w:headerReference r:id="rId5" w:type="first"/>
          <w:footerReference r:id="rId7" w:type="first"/>
          <w:headerReference r:id="rId4" w:type="default"/>
          <w:footerReference r:id="rId6" w:type="default"/>
          <w:pgSz w:w="11906" w:h="16838"/>
          <w:pgMar w:top="1558" w:right="1826" w:bottom="1246" w:left="1800" w:header="851" w:footer="992" w:gutter="0"/>
          <w:pgNumType w:fmt="decimal" w:start="1"/>
          <w:cols w:space="720" w:num="1"/>
          <w:formProt w:val="0"/>
          <w:titlePg/>
          <w:docGrid w:type="lines" w:linePitch="312" w:charSpace="0"/>
        </w:sectPr>
      </w:pPr>
    </w:p>
    <w:p w14:paraId="64E713D8">
      <w:pPr>
        <w:pStyle w:val="174"/>
        <w:ind w:left="0" w:firstLine="2880" w:firstLineChars="800"/>
        <w:jc w:val="both"/>
        <w:rPr>
          <w:rFonts w:hint="eastAsia" w:ascii="宋体" w:hAnsi="宋体" w:cs="宋体"/>
          <w:kern w:val="2"/>
          <w:sz w:val="36"/>
          <w:szCs w:val="36"/>
          <w:highlight w:val="none"/>
        </w:rPr>
      </w:pPr>
      <w:r>
        <w:rPr>
          <w:rFonts w:hint="eastAsia" w:ascii="宋体" w:hAnsi="宋体" w:cs="宋体"/>
          <w:kern w:val="2"/>
          <w:sz w:val="36"/>
          <w:szCs w:val="36"/>
          <w:highlight w:val="none"/>
        </w:rPr>
        <w:t>第一部分　协议书</w:t>
      </w:r>
    </w:p>
    <w:p w14:paraId="51721477">
      <w:pPr>
        <w:spacing w:line="560" w:lineRule="exact"/>
        <w:ind w:left="0" w:leftChars="0" w:right="0" w:rightChars="0" w:firstLineChars="200"/>
        <w:rPr>
          <w:rFonts w:hint="eastAsia"/>
          <w:highlight w:val="none"/>
        </w:rPr>
      </w:pPr>
      <w:r>
        <w:rPr>
          <w:rFonts w:hint="eastAsia" w:ascii="宋体" w:hAnsi="宋体" w:cs="宋体"/>
          <w:sz w:val="24"/>
          <w:highlight w:val="none"/>
          <w:u w:val="single"/>
          <w:lang w:val="en-US" w:eastAsia="zh-CN"/>
        </w:rPr>
        <w:t xml:space="preserve"> </w:t>
      </w:r>
      <w:r>
        <w:rPr>
          <w:rFonts w:hint="eastAsia" w:ascii="宋体" w:hAnsi="宋体" w:cs="宋体"/>
          <w:sz w:val="24"/>
          <w:highlight w:val="none"/>
        </w:rPr>
        <w:t>依照《中华人民共和国民法典》、《中华人民共和国招标投标法》、《深圳经济特区建设工程施工招标投标条例》及国家的有关法律、行政法规，遵循平等、自愿、公平和诚实信用的原则，双方就</w:t>
      </w:r>
      <w:r>
        <w:rPr>
          <w:rFonts w:hint="eastAsia" w:ascii="宋体" w:hAnsi="宋体" w:cs="宋体"/>
          <w:sz w:val="24"/>
          <w:highlight w:val="none"/>
          <w:u w:val="single"/>
        </w:rPr>
        <w:t>深圳建筑产业生态智谷总部基地一期二单元15、16层办公用房提升工程</w:t>
      </w:r>
      <w:r>
        <w:rPr>
          <w:rFonts w:hint="eastAsia" w:ascii="宋体" w:hAnsi="宋体" w:cs="宋体"/>
          <w:sz w:val="24"/>
          <w:highlight w:val="none"/>
        </w:rPr>
        <w:t>招标代理事项协商一致，订立本合同。</w:t>
      </w:r>
      <w:r>
        <w:rPr>
          <w:rFonts w:hint="eastAsia" w:ascii="宋体" w:hAnsi="宋体" w:cs="宋体"/>
          <w:sz w:val="28"/>
          <w:highlight w:val="none"/>
        </w:rPr>
        <w:t xml:space="preserve"> </w:t>
      </w:r>
    </w:p>
    <w:p w14:paraId="0D138ECF">
      <w:pPr>
        <w:tabs>
          <w:tab w:val="left" w:pos="540"/>
        </w:tabs>
        <w:spacing w:line="560" w:lineRule="exact"/>
        <w:ind w:leftChars="228" w:right="0" w:rightChars="0" w:hangingChars="300"/>
        <w:rPr>
          <w:rFonts w:hint="eastAsia" w:ascii="宋体" w:hAnsi="宋体" w:cs="宋体"/>
          <w:b/>
          <w:bCs/>
          <w:sz w:val="24"/>
          <w:highlight w:val="none"/>
          <w:u w:val="single"/>
        </w:rPr>
      </w:pPr>
      <w:r>
        <w:rPr>
          <w:rFonts w:hint="eastAsia" w:ascii="宋体" w:hAnsi="宋体" w:cs="宋体"/>
          <w:b/>
          <w:bCs/>
          <w:sz w:val="24"/>
          <w:highlight w:val="none"/>
        </w:rPr>
        <w:t>一、工程概况</w:t>
      </w:r>
    </w:p>
    <w:p w14:paraId="5A7D1487">
      <w:pPr>
        <w:tabs>
          <w:tab w:val="left" w:pos="540"/>
        </w:tabs>
        <w:spacing w:line="560" w:lineRule="exact"/>
        <w:ind w:leftChars="8" w:right="0" w:rightChars="0" w:firstLineChars="191"/>
        <w:rPr>
          <w:rFonts w:hint="eastAsia" w:ascii="宋体" w:hAnsi="宋体" w:cs="宋体"/>
          <w:sz w:val="24"/>
          <w:highlight w:val="none"/>
          <w:u w:val="single"/>
        </w:rPr>
      </w:pPr>
      <w:r>
        <w:rPr>
          <w:rFonts w:hint="eastAsia" w:ascii="宋体" w:hAnsi="宋体" w:cs="宋体"/>
          <w:sz w:val="24"/>
          <w:highlight w:val="none"/>
        </w:rPr>
        <w:t>工程名称：深圳建筑产业生态智谷总部基地一期二单元15、16层办公用房提升工程</w:t>
      </w:r>
      <w:r>
        <w:rPr>
          <w:rFonts w:hint="eastAsia" w:ascii="宋体" w:hAnsi="宋体" w:cs="宋体"/>
          <w:sz w:val="24"/>
          <w:highlight w:val="none"/>
          <w:u w:val="single"/>
        </w:rPr>
        <w:t xml:space="preserve"> </w:t>
      </w:r>
    </w:p>
    <w:p w14:paraId="2883CB20">
      <w:pPr>
        <w:tabs>
          <w:tab w:val="left" w:pos="540"/>
        </w:tabs>
        <w:spacing w:line="560" w:lineRule="exact"/>
        <w:ind w:leftChars="8" w:right="0" w:rightChars="0" w:firstLineChars="191"/>
        <w:rPr>
          <w:rFonts w:hint="eastAsia" w:ascii="宋体" w:hAnsi="宋体" w:cs="宋体"/>
          <w:sz w:val="24"/>
          <w:highlight w:val="none"/>
        </w:rPr>
      </w:pPr>
      <w:r>
        <w:rPr>
          <w:rFonts w:hint="eastAsia" w:ascii="宋体" w:hAnsi="宋体" w:cs="宋体"/>
          <w:sz w:val="24"/>
          <w:highlight w:val="none"/>
        </w:rPr>
        <w:t>工程地点：深圳市龙岗区龙城街道</w:t>
      </w:r>
    </w:p>
    <w:p w14:paraId="1A214C99">
      <w:pPr>
        <w:tabs>
          <w:tab w:val="left" w:pos="540"/>
        </w:tabs>
        <w:spacing w:line="560" w:lineRule="exact"/>
        <w:ind w:leftChars="8" w:right="0" w:rightChars="0" w:firstLineChars="191"/>
        <w:rPr>
          <w:rFonts w:hint="eastAsia" w:ascii="宋体" w:hAnsi="宋体" w:cs="宋体"/>
          <w:sz w:val="24"/>
          <w:highlight w:val="none"/>
        </w:rPr>
      </w:pPr>
      <w:r>
        <w:rPr>
          <w:rFonts w:hint="eastAsia" w:ascii="宋体" w:hAnsi="宋体" w:cs="宋体"/>
          <w:sz w:val="24"/>
          <w:highlight w:val="none"/>
        </w:rPr>
        <w:t>工程规模：</w:t>
      </w:r>
      <w:bookmarkStart w:id="18" w:name="_Hlk159839223"/>
      <w:r>
        <w:rPr>
          <w:rFonts w:hint="eastAsia" w:ascii="宋体" w:hAnsi="宋体" w:cs="宋体"/>
          <w:sz w:val="24"/>
          <w:highlight w:val="none"/>
        </w:rPr>
        <w:t>本工程主要对对深圳建筑产业生态智谷总部基地一期1栋二单元15及16层，五单元3层、六单元半地下一层局部区域（深圳市龙岗区建筑科技公司）办公用房进行装修，总装修建筑面积约为4477平方米（具体以房源实际测绘面积为准），其中二单元15及16层为办公室，五单元3层为档案室，六单元半地下一层局部区域为食堂。</w:t>
      </w:r>
    </w:p>
    <w:p w14:paraId="5D48B500">
      <w:pPr>
        <w:tabs>
          <w:tab w:val="left" w:pos="540"/>
        </w:tabs>
        <w:spacing w:line="560" w:lineRule="exact"/>
        <w:ind w:leftChars="8" w:right="0" w:rightChars="0" w:firstLineChars="191"/>
        <w:rPr>
          <w:rFonts w:hint="eastAsia" w:ascii="宋体" w:hAnsi="宋体" w:cs="宋体"/>
          <w:sz w:val="24"/>
          <w:highlight w:val="none"/>
        </w:rPr>
      </w:pPr>
      <w:r>
        <w:rPr>
          <w:rFonts w:hint="eastAsia" w:ascii="宋体" w:hAnsi="宋体" w:cs="宋体"/>
          <w:sz w:val="24"/>
          <w:highlight w:val="none"/>
        </w:rPr>
        <w:t>主要建设内容：包含室内装修、水电安装、暖通工程、办公网络信息系统、机房设备、会议系统、标识标牌等内容。</w:t>
      </w:r>
    </w:p>
    <w:p w14:paraId="454F8F07">
      <w:pPr>
        <w:tabs>
          <w:tab w:val="left" w:pos="540"/>
        </w:tabs>
        <w:spacing w:line="560" w:lineRule="exact"/>
        <w:ind w:leftChars="8" w:right="0" w:rightChars="0" w:firstLineChars="191"/>
        <w:rPr>
          <w:rFonts w:hint="eastAsia" w:ascii="宋体" w:hAnsi="宋体" w:cs="宋体"/>
          <w:sz w:val="24"/>
          <w:highlight w:val="none"/>
        </w:rPr>
      </w:pPr>
      <w:r>
        <w:rPr>
          <w:rFonts w:hint="eastAsia" w:ascii="宋体" w:hAnsi="宋体" w:cs="宋体"/>
          <w:sz w:val="24"/>
          <w:highlight w:val="none"/>
        </w:rPr>
        <w:t>估算总投资：671.55万元。</w:t>
      </w:r>
    </w:p>
    <w:bookmarkEnd w:id="18"/>
    <w:p w14:paraId="45F20AA7">
      <w:pPr>
        <w:numPr>
          <w:ilvl w:val="0"/>
          <w:numId w:val="0"/>
        </w:numPr>
        <w:tabs>
          <w:tab w:val="left" w:pos="540"/>
        </w:tabs>
        <w:spacing w:line="560" w:lineRule="exact"/>
        <w:ind w:leftChars="228" w:right="0" w:rightChars="0" w:hangingChars="300"/>
        <w:rPr>
          <w:rFonts w:hint="eastAsia" w:ascii="宋体" w:hAnsi="宋体" w:eastAsia="宋体" w:cs="宋体"/>
          <w:b/>
          <w:bCs/>
          <w:sz w:val="24"/>
          <w:highlight w:val="none"/>
        </w:rPr>
      </w:pPr>
      <w:r>
        <w:rPr>
          <w:rFonts w:hint="eastAsia" w:ascii="宋体" w:hAnsi="宋体" w:cs="宋体"/>
          <w:b/>
          <w:bCs/>
          <w:sz w:val="24"/>
          <w:highlight w:val="none"/>
        </w:rPr>
        <w:t>二、招标代理业务服务类别</w:t>
      </w:r>
    </w:p>
    <w:p w14:paraId="06D5B718">
      <w:pPr>
        <w:tabs>
          <w:tab w:val="left" w:pos="540"/>
        </w:tabs>
        <w:spacing w:line="560" w:lineRule="exact"/>
        <w:ind w:left="0" w:leftChars="0" w:right="0" w:rightChars="0" w:firstLineChars="200"/>
        <w:rPr>
          <w:rFonts w:hint="eastAsia" w:ascii="宋体" w:hAnsi="宋体" w:cs="宋体"/>
          <w:b/>
          <w:bCs/>
          <w:sz w:val="24"/>
          <w:highlight w:val="none"/>
        </w:rPr>
      </w:pPr>
      <w:r>
        <w:rPr>
          <w:rFonts w:hint="eastAsia" w:ascii="宋体" w:hAnsi="宋体" w:cs="宋体"/>
          <w:sz w:val="24"/>
          <w:highlight w:val="none"/>
        </w:rPr>
        <w:t>委托人委托受托人作为本建设项目的招标代理机构，承担</w:t>
      </w:r>
      <w:r>
        <w:rPr>
          <w:rFonts w:hint="eastAsia" w:ascii="宋体" w:hAnsi="宋体" w:cs="宋体"/>
          <w:sz w:val="24"/>
          <w:highlight w:val="none"/>
          <w:u w:val="single"/>
        </w:rPr>
        <w:t>本项目工程招标代理及相关服务</w:t>
      </w:r>
      <w:r>
        <w:rPr>
          <w:rFonts w:hint="eastAsia" w:ascii="宋体" w:hAnsi="宋体" w:cs="宋体"/>
          <w:sz w:val="24"/>
          <w:highlight w:val="none"/>
        </w:rPr>
        <w:t>招标代理工作。</w:t>
      </w:r>
    </w:p>
    <w:p w14:paraId="158FFAD8">
      <w:pPr>
        <w:tabs>
          <w:tab w:val="left" w:pos="540"/>
        </w:tabs>
        <w:spacing w:line="560" w:lineRule="exact"/>
        <w:ind w:left="420" w:right="0"/>
        <w:rPr>
          <w:rFonts w:hint="eastAsia" w:ascii="宋体" w:hAnsi="宋体" w:cs="宋体"/>
          <w:sz w:val="24"/>
          <w:highlight w:val="none"/>
        </w:rPr>
      </w:pPr>
      <w:r>
        <w:rPr>
          <w:rFonts w:hint="eastAsia" w:ascii="宋体" w:hAnsi="宋体" w:cs="宋体"/>
          <w:sz w:val="24"/>
          <w:highlight w:val="none"/>
        </w:rPr>
        <w:t>□ A类：工程勘察招标代理；</w:t>
      </w:r>
    </w:p>
    <w:p w14:paraId="34F7171D">
      <w:pPr>
        <w:tabs>
          <w:tab w:val="left" w:pos="540"/>
        </w:tabs>
        <w:spacing w:line="560" w:lineRule="exact"/>
        <w:ind w:left="420" w:right="0"/>
        <w:rPr>
          <w:rFonts w:hint="eastAsia" w:ascii="宋体" w:hAnsi="宋体" w:cs="宋体"/>
          <w:sz w:val="24"/>
          <w:highlight w:val="none"/>
        </w:rPr>
      </w:pPr>
      <w:r>
        <w:rPr>
          <w:rFonts w:hint="eastAsia" w:ascii="宋体" w:hAnsi="宋体" w:cs="宋体"/>
          <w:sz w:val="24"/>
          <w:highlight w:val="none"/>
        </w:rPr>
        <w:t>□ B类：工程设计招标代理；</w:t>
      </w:r>
    </w:p>
    <w:p w14:paraId="520E7BE0">
      <w:pPr>
        <w:tabs>
          <w:tab w:val="left" w:pos="540"/>
        </w:tabs>
        <w:spacing w:line="560" w:lineRule="exact"/>
        <w:ind w:left="420" w:right="0"/>
        <w:rPr>
          <w:rFonts w:hint="eastAsia" w:ascii="宋体" w:hAnsi="宋体" w:cs="宋体"/>
          <w:sz w:val="24"/>
          <w:highlight w:val="none"/>
        </w:rPr>
      </w:pPr>
      <w:r>
        <w:rPr>
          <w:rFonts w:hint="eastAsia" w:ascii="宋体" w:hAnsi="宋体" w:cs="宋体"/>
          <w:sz w:val="24"/>
          <w:highlight w:val="none"/>
        </w:rPr>
        <w:t>□ C类：工程监理招标代理；</w:t>
      </w:r>
    </w:p>
    <w:p w14:paraId="2B87C4CE">
      <w:pPr>
        <w:tabs>
          <w:tab w:val="left" w:pos="540"/>
        </w:tabs>
        <w:spacing w:line="560" w:lineRule="exact"/>
        <w:ind w:left="420" w:right="0"/>
        <w:rPr>
          <w:rFonts w:hint="eastAsia" w:ascii="宋体" w:hAnsi="宋体" w:eastAsia="宋体" w:cs="宋体"/>
          <w:sz w:val="24"/>
          <w:highlight w:val="none"/>
        </w:rPr>
      </w:pPr>
      <w:r>
        <w:rPr>
          <w:rFonts w:hint="eastAsia" w:ascii="宋体" w:hAnsi="宋体" w:cs="宋体"/>
          <w:sz w:val="24"/>
          <w:highlight w:val="none"/>
        </w:rPr>
        <w:t xml:space="preserve">☑  D类：工程施工总承包招标代理； </w:t>
      </w:r>
    </w:p>
    <w:p w14:paraId="52DBA526">
      <w:pPr>
        <w:tabs>
          <w:tab w:val="left" w:pos="540"/>
        </w:tabs>
        <w:spacing w:line="560" w:lineRule="exact"/>
        <w:ind w:left="420" w:right="0"/>
        <w:rPr>
          <w:rFonts w:hint="eastAsia" w:ascii="宋体" w:hAnsi="宋体" w:cs="宋体"/>
          <w:sz w:val="24"/>
          <w:highlight w:val="none"/>
        </w:rPr>
      </w:pPr>
      <w:r>
        <w:rPr>
          <w:rFonts w:hint="eastAsia" w:ascii="宋体" w:hAnsi="宋体" w:cs="宋体"/>
          <w:sz w:val="24"/>
          <w:highlight w:val="none"/>
        </w:rPr>
        <w:t>□ E类：工程施工专业承包招标代理；</w:t>
      </w:r>
    </w:p>
    <w:p w14:paraId="6F61C68B">
      <w:pPr>
        <w:tabs>
          <w:tab w:val="left" w:pos="540"/>
        </w:tabs>
        <w:spacing w:line="560" w:lineRule="exact"/>
        <w:ind w:left="420" w:right="0"/>
        <w:rPr>
          <w:rFonts w:hint="eastAsia" w:ascii="宋体" w:hAnsi="宋体" w:cs="宋体"/>
          <w:sz w:val="24"/>
          <w:highlight w:val="none"/>
        </w:rPr>
      </w:pPr>
      <w:r>
        <w:rPr>
          <w:rFonts w:hint="eastAsia" w:ascii="宋体" w:hAnsi="宋体" w:cs="宋体"/>
          <w:sz w:val="24"/>
          <w:highlight w:val="none"/>
        </w:rPr>
        <w:t>□ F类：工程施工劳务分包招标代理；</w:t>
      </w:r>
    </w:p>
    <w:p w14:paraId="4AA33D55">
      <w:pPr>
        <w:tabs>
          <w:tab w:val="left" w:pos="540"/>
        </w:tabs>
        <w:spacing w:line="560" w:lineRule="exact"/>
        <w:ind w:left="420" w:right="0"/>
        <w:rPr>
          <w:rFonts w:hint="eastAsia" w:ascii="宋体" w:hAnsi="宋体" w:cs="宋体"/>
          <w:sz w:val="24"/>
          <w:highlight w:val="none"/>
        </w:rPr>
      </w:pPr>
      <w:r>
        <w:rPr>
          <w:rFonts w:hint="eastAsia" w:ascii="宋体" w:hAnsi="宋体" w:cs="宋体"/>
          <w:sz w:val="24"/>
          <w:highlight w:val="none"/>
        </w:rPr>
        <w:t>□ G类：建筑材料或设备招标代理。</w:t>
      </w:r>
    </w:p>
    <w:p w14:paraId="611B08F2">
      <w:pPr>
        <w:numPr>
          <w:ilvl w:val="0"/>
          <w:numId w:val="3"/>
        </w:numPr>
        <w:tabs>
          <w:tab w:val="left" w:pos="540"/>
          <w:tab w:val="left" w:pos="720"/>
        </w:tabs>
        <w:spacing w:line="560" w:lineRule="exact"/>
        <w:rPr>
          <w:rFonts w:hint="eastAsia" w:ascii="宋体" w:hAnsi="宋体" w:cs="宋体"/>
          <w:sz w:val="24"/>
          <w:highlight w:val="none"/>
        </w:rPr>
      </w:pPr>
      <w:r>
        <w:rPr>
          <w:rFonts w:hint="eastAsia" w:ascii="宋体" w:hAnsi="宋体" w:cs="宋体"/>
          <w:sz w:val="24"/>
          <w:highlight w:val="none"/>
        </w:rPr>
        <w:t>H类：工程标底编制；</w:t>
      </w:r>
    </w:p>
    <w:p w14:paraId="6B733D1C">
      <w:pPr>
        <w:tabs>
          <w:tab w:val="left" w:pos="861"/>
        </w:tabs>
        <w:spacing w:line="560" w:lineRule="exact"/>
        <w:ind w:left="426" w:right="0"/>
        <w:rPr>
          <w:rFonts w:hint="eastAsia" w:ascii="宋体" w:hAnsi="宋体" w:cs="宋体"/>
          <w:sz w:val="24"/>
          <w:highlight w:val="none"/>
        </w:rPr>
      </w:pPr>
      <w:r>
        <w:rPr>
          <w:rFonts w:hint="eastAsia" w:ascii="Wingdings" w:hAnsi="Wingdings" w:eastAsia="Wingdings" w:cs="Wingdings"/>
          <w:sz w:val="24"/>
          <w:highlight w:val="none"/>
        </w:rPr>
        <w:sym w:font="Wingdings" w:char="00A8"/>
      </w:r>
      <w:r>
        <w:rPr>
          <w:rFonts w:hint="eastAsia" w:ascii="宋体" w:hAnsi="宋体" w:cs="宋体"/>
          <w:sz w:val="24"/>
          <w:highlight w:val="none"/>
        </w:rPr>
        <w:t xml:space="preserve"> I类：其它类，本项目所有涉及公开招标（不包括在深圳阳光采购平台开展的公开招标）的相关工作，包括全过程项目管理咨询、勘察、设计、监理、施工及造价咨询等</w:t>
      </w:r>
    </w:p>
    <w:p w14:paraId="485A35C4">
      <w:pPr>
        <w:numPr>
          <w:ilvl w:val="0"/>
          <w:numId w:val="0"/>
        </w:numPr>
        <w:tabs>
          <w:tab w:val="left" w:pos="540"/>
        </w:tabs>
        <w:spacing w:line="560" w:lineRule="exact"/>
        <w:ind w:left="0" w:leftChars="0" w:right="0" w:rightChars="0" w:firstLineChars="200"/>
        <w:rPr>
          <w:rFonts w:hint="eastAsia" w:ascii="宋体" w:hAnsi="宋体" w:cs="宋体"/>
          <w:b/>
          <w:bCs/>
          <w:sz w:val="24"/>
          <w:highlight w:val="none"/>
        </w:rPr>
      </w:pPr>
      <w:r>
        <w:rPr>
          <w:rFonts w:hint="eastAsia" w:ascii="宋体" w:hAnsi="宋体" w:cs="宋体"/>
          <w:b/>
          <w:bCs/>
          <w:sz w:val="24"/>
          <w:highlight w:val="none"/>
        </w:rPr>
        <w:t>三、招标代理服务具体范围和内容：</w:t>
      </w:r>
    </w:p>
    <w:p w14:paraId="24783CF7">
      <w:pPr>
        <w:tabs>
          <w:tab w:val="left" w:pos="540"/>
        </w:tabs>
        <w:spacing w:line="560" w:lineRule="exact"/>
        <w:ind w:leftChars="8" w:right="0" w:rightChars="0" w:firstLineChars="191"/>
        <w:rPr>
          <w:rFonts w:hint="eastAsia" w:ascii="宋体" w:hAnsi="宋体" w:cs="宋体"/>
          <w:sz w:val="24"/>
          <w:highlight w:val="none"/>
        </w:rPr>
      </w:pPr>
      <w:r>
        <w:rPr>
          <w:rFonts w:hint="eastAsia" w:ascii="宋体" w:hAnsi="宋体" w:cs="宋体"/>
          <w:sz w:val="24"/>
          <w:highlight w:val="none"/>
        </w:rPr>
        <w:t>1、服务具体范围：深圳建筑产业生态智谷总部基地一期二单元15、16层办公用房提升工程</w:t>
      </w:r>
      <w:r>
        <w:rPr>
          <w:rFonts w:hint="eastAsia" w:ascii="宋体" w:hAnsi="宋体" w:cs="宋体"/>
          <w:sz w:val="24"/>
          <w:highlight w:val="none"/>
          <w:u w:val="single"/>
        </w:rPr>
        <w:t xml:space="preserve">招标代理及相关服务，垫付评标专家评审、交通、误餐等相关费用（后续由对应中标单位向招标代理单位据实支付）。   </w:t>
      </w:r>
    </w:p>
    <w:p w14:paraId="50F1089D">
      <w:pPr>
        <w:tabs>
          <w:tab w:val="left" w:pos="540"/>
        </w:tabs>
        <w:spacing w:line="560" w:lineRule="exact"/>
        <w:ind w:leftChars="8" w:right="0" w:rightChars="0" w:firstLineChars="191"/>
        <w:rPr>
          <w:rFonts w:hint="eastAsia" w:ascii="宋体" w:hAnsi="宋体" w:cs="宋体"/>
          <w:sz w:val="24"/>
          <w:highlight w:val="none"/>
        </w:rPr>
      </w:pPr>
      <w:r>
        <w:rPr>
          <w:rFonts w:hint="eastAsia" w:ascii="宋体" w:hAnsi="宋体" w:cs="宋体"/>
          <w:sz w:val="24"/>
          <w:highlight w:val="none"/>
        </w:rPr>
        <w:t>2、服务内容包括：</w:t>
      </w:r>
    </w:p>
    <w:p w14:paraId="4C524F68">
      <w:pPr>
        <w:tabs>
          <w:tab w:val="left" w:pos="540"/>
        </w:tabs>
        <w:spacing w:line="560" w:lineRule="exact"/>
        <w:ind w:left="0" w:leftChars="0" w:right="0" w:rightChars="0" w:firstLineChars="175"/>
        <w:rPr>
          <w:rFonts w:hint="eastAsia" w:ascii="宋体" w:hAnsi="宋体" w:cs="宋体"/>
          <w:sz w:val="24"/>
          <w:highlight w:val="none"/>
        </w:rPr>
      </w:pPr>
      <w:r>
        <w:rPr>
          <w:rFonts w:hint="eastAsia" w:ascii="宋体" w:hAnsi="宋体" w:eastAsia="Times New Roman" w:cs="宋体"/>
          <w:sz w:val="24"/>
          <w:highlight w:val="none"/>
        </w:rPr>
        <w:t>发布招标公告</w:t>
      </w:r>
    </w:p>
    <w:p w14:paraId="56CC1933">
      <w:pPr>
        <w:spacing w:line="560" w:lineRule="exact"/>
        <w:ind w:left="420" w:right="0"/>
        <w:rPr>
          <w:rFonts w:hint="eastAsia" w:ascii="宋体" w:hAnsi="宋体" w:cs="宋体"/>
          <w:sz w:val="24"/>
          <w:highlight w:val="none"/>
        </w:rPr>
      </w:pPr>
      <w:r>
        <w:rPr>
          <w:rFonts w:hint="eastAsia" w:ascii="宋体" w:hAnsi="宋体" w:eastAsia="Times New Roman" w:cs="宋体"/>
          <w:sz w:val="24"/>
          <w:highlight w:val="none"/>
        </w:rPr>
        <w:t>编制招标文件（包括□编制资格预审文件、□标底及□工程量清单）</w:t>
      </w:r>
    </w:p>
    <w:p w14:paraId="38B2B552">
      <w:pPr>
        <w:tabs>
          <w:tab w:val="left" w:pos="540"/>
        </w:tabs>
        <w:spacing w:line="560" w:lineRule="exact"/>
        <w:ind w:right="0" w:firstLine="420"/>
        <w:rPr>
          <w:rFonts w:hint="eastAsia" w:ascii="宋体" w:hAnsi="宋体" w:cs="宋体"/>
          <w:sz w:val="24"/>
          <w:highlight w:val="none"/>
        </w:rPr>
      </w:pPr>
      <w:r>
        <w:rPr>
          <w:rFonts w:hint="eastAsia" w:ascii="宋体" w:hAnsi="宋体" w:eastAsia="Times New Roman" w:cs="宋体"/>
          <w:sz w:val="24"/>
          <w:highlight w:val="none"/>
        </w:rPr>
        <w:t>审查投标人资格</w:t>
      </w:r>
    </w:p>
    <w:p w14:paraId="393D6A82">
      <w:pPr>
        <w:tabs>
          <w:tab w:val="left" w:pos="540"/>
        </w:tabs>
        <w:spacing w:line="560" w:lineRule="exact"/>
        <w:ind w:right="0" w:firstLine="420"/>
        <w:rPr>
          <w:rFonts w:hint="eastAsia" w:ascii="宋体" w:hAnsi="宋体" w:cs="宋体"/>
          <w:sz w:val="24"/>
          <w:highlight w:val="none"/>
        </w:rPr>
      </w:pPr>
      <w:r>
        <w:rPr>
          <w:rFonts w:hint="eastAsia" w:ascii="宋体" w:hAnsi="宋体" w:eastAsia="Times New Roman" w:cs="宋体"/>
          <w:sz w:val="24"/>
          <w:highlight w:val="none"/>
        </w:rPr>
        <w:t>□组织投标人踏勘现场并答疑</w:t>
      </w:r>
    </w:p>
    <w:p w14:paraId="540224CB">
      <w:pPr>
        <w:tabs>
          <w:tab w:val="left" w:pos="540"/>
        </w:tabs>
        <w:spacing w:line="560" w:lineRule="exact"/>
        <w:ind w:right="0" w:firstLine="420"/>
        <w:rPr>
          <w:rFonts w:hint="eastAsia" w:ascii="宋体" w:hAnsi="宋体" w:cs="宋体"/>
          <w:sz w:val="24"/>
          <w:highlight w:val="none"/>
        </w:rPr>
      </w:pPr>
      <w:r>
        <w:rPr>
          <w:rFonts w:hint="eastAsia" w:ascii="宋体" w:hAnsi="宋体" w:eastAsia="Times New Roman" w:cs="宋体"/>
          <w:sz w:val="24"/>
          <w:highlight w:val="none"/>
        </w:rPr>
        <w:t>组织开标、评标、定标</w:t>
      </w:r>
    </w:p>
    <w:p w14:paraId="0436F1EE">
      <w:pPr>
        <w:tabs>
          <w:tab w:val="left" w:pos="540"/>
        </w:tabs>
        <w:spacing w:line="560" w:lineRule="exact"/>
        <w:ind w:left="420" w:right="0"/>
        <w:rPr>
          <w:rFonts w:hint="eastAsia" w:ascii="宋体" w:hAnsi="宋体" w:cs="宋体"/>
          <w:sz w:val="24"/>
          <w:highlight w:val="none"/>
        </w:rPr>
      </w:pPr>
      <w:r>
        <w:rPr>
          <w:rFonts w:hint="eastAsia" w:ascii="宋体" w:hAnsi="宋体" w:eastAsia="Times New Roman" w:cs="宋体"/>
          <w:sz w:val="24"/>
          <w:highlight w:val="none"/>
        </w:rPr>
        <w:t>协调合同的签订</w:t>
      </w:r>
    </w:p>
    <w:p w14:paraId="5EEF4B20">
      <w:pPr>
        <w:numPr>
          <w:ilvl w:val="0"/>
          <w:numId w:val="4"/>
        </w:numPr>
        <w:tabs>
          <w:tab w:val="left" w:pos="540"/>
          <w:tab w:val="left" w:pos="786"/>
        </w:tabs>
        <w:spacing w:line="560" w:lineRule="exact"/>
        <w:rPr>
          <w:rFonts w:hint="eastAsia" w:ascii="宋体" w:hAnsi="宋体" w:eastAsia="Times New Roman" w:cs="宋体"/>
          <w:sz w:val="24"/>
          <w:highlight w:val="none"/>
        </w:rPr>
      </w:pPr>
      <w:r>
        <w:rPr>
          <w:rFonts w:hint="eastAsia" w:ascii="宋体" w:hAnsi="宋体" w:eastAsia="Times New Roman" w:cs="宋体"/>
          <w:sz w:val="24"/>
          <w:highlight w:val="none"/>
        </w:rPr>
        <w:t>其它：</w:t>
      </w:r>
      <w:r>
        <w:rPr>
          <w:rFonts w:hint="eastAsia" w:ascii="宋体" w:hAnsi="宋体" w:eastAsia="Times New Roman" w:cs="宋体"/>
          <w:sz w:val="24"/>
          <w:highlight w:val="none"/>
          <w:u w:val="single"/>
        </w:rPr>
        <w:t xml:space="preserve">    / 。                                    </w:t>
      </w:r>
    </w:p>
    <w:p w14:paraId="68996073">
      <w:pPr>
        <w:tabs>
          <w:tab w:val="left" w:pos="540"/>
        </w:tabs>
        <w:spacing w:line="560" w:lineRule="exact"/>
        <w:ind w:right="0" w:firstLine="420"/>
        <w:rPr>
          <w:rFonts w:hint="eastAsia" w:ascii="宋体" w:hAnsi="宋体" w:cs="宋体"/>
          <w:sz w:val="24"/>
          <w:highlight w:val="none"/>
          <w:u w:val="single"/>
        </w:rPr>
      </w:pPr>
      <w:r>
        <w:rPr>
          <w:rFonts w:hint="eastAsia" w:ascii="宋体" w:hAnsi="宋体" w:eastAsia="Times New Roman" w:cs="宋体"/>
          <w:b/>
          <w:bCs/>
          <w:sz w:val="24"/>
          <w:highlight w:val="none"/>
        </w:rPr>
        <w:t>四、招标代理期限：</w:t>
      </w:r>
      <w:r>
        <w:rPr>
          <w:rFonts w:hint="eastAsia" w:ascii="宋体" w:hAnsi="宋体" w:eastAsia="Times New Roman" w:cs="宋体"/>
          <w:sz w:val="24"/>
          <w:highlight w:val="none"/>
          <w:u w:val="single"/>
        </w:rPr>
        <w:t>自招标代理合同签订之日起，至完成全部招投标程序并移交招投标资料止。</w:t>
      </w:r>
    </w:p>
    <w:p w14:paraId="64297ED5">
      <w:pPr>
        <w:tabs>
          <w:tab w:val="left" w:pos="540"/>
        </w:tabs>
        <w:spacing w:line="560" w:lineRule="exact"/>
        <w:ind w:right="0" w:firstLine="420"/>
        <w:rPr>
          <w:rFonts w:hint="eastAsia" w:ascii="宋体" w:hAnsi="宋体" w:cs="宋体"/>
          <w:b/>
          <w:bCs/>
          <w:sz w:val="24"/>
          <w:highlight w:val="none"/>
        </w:rPr>
      </w:pPr>
      <w:r>
        <w:rPr>
          <w:rFonts w:hint="eastAsia" w:ascii="宋体" w:hAnsi="宋体" w:eastAsia="Times New Roman" w:cs="宋体"/>
          <w:b/>
          <w:bCs/>
          <w:sz w:val="24"/>
          <w:highlight w:val="none"/>
        </w:rPr>
        <w:t>五、合同价款：</w:t>
      </w:r>
    </w:p>
    <w:p w14:paraId="67E3492C">
      <w:pPr>
        <w:spacing w:line="560" w:lineRule="exact"/>
        <w:ind w:left="0" w:leftChars="0" w:right="0" w:rightChars="0" w:firstLineChars="200"/>
        <w:rPr>
          <w:rFonts w:hint="eastAsia" w:ascii="仿宋_GB2312" w:hAnsi="仿宋_GB2312" w:eastAsia="仿宋_GB2312" w:cs="仿宋_GB2312"/>
          <w:sz w:val="32"/>
          <w:szCs w:val="32"/>
          <w:highlight w:val="none"/>
          <w:u w:val="single"/>
        </w:rPr>
      </w:pPr>
      <w:r>
        <w:rPr>
          <w:rFonts w:hint="eastAsia" w:ascii="宋体" w:hAnsi="宋体" w:eastAsia="Times New Roman" w:cs="宋体"/>
          <w:sz w:val="24"/>
          <w:highlight w:val="none"/>
        </w:rPr>
        <w:t>服务报酬暂定为人</w:t>
      </w:r>
      <w:r>
        <w:rPr>
          <w:rFonts w:hint="eastAsia" w:ascii="宋体" w:hAnsi="宋体" w:eastAsia="Times New Roman" w:cs="宋体"/>
          <w:color w:val="000000"/>
          <w:sz w:val="24"/>
          <w:highlight w:val="none"/>
        </w:rPr>
        <w:t>民币</w:t>
      </w:r>
      <w:r>
        <w:rPr>
          <w:rFonts w:hint="eastAsia" w:ascii="宋体" w:hAnsi="宋体" w:eastAsia="Times New Roman" w:cs="宋体"/>
          <w:color w:val="000000"/>
          <w:sz w:val="24"/>
          <w:highlight w:val="none"/>
          <w:u w:val="single"/>
        </w:rPr>
        <w:t xml:space="preserve">       </w:t>
      </w:r>
      <w:r>
        <w:rPr>
          <w:rFonts w:hint="eastAsia" w:ascii="宋体" w:hAnsi="宋体" w:eastAsia="Times New Roman" w:cs="宋体"/>
          <w:color w:val="000000"/>
          <w:sz w:val="24"/>
          <w:highlight w:val="none"/>
        </w:rPr>
        <w:t>（小写：</w:t>
      </w:r>
      <w:r>
        <w:rPr>
          <w:rFonts w:hint="eastAsia" w:ascii="宋体" w:hAnsi="宋体" w:eastAsia="Times New Roman" w:cs="宋体"/>
          <w:strike w:val="0"/>
          <w:dstrike w:val="0"/>
          <w:color w:val="000000"/>
          <w:sz w:val="24"/>
          <w:highlight w:val="none"/>
          <w:u w:val="single"/>
        </w:rPr>
        <w:t xml:space="preserve">      </w:t>
      </w:r>
      <w:r>
        <w:rPr>
          <w:rFonts w:hint="eastAsia" w:ascii="宋体" w:hAnsi="宋体" w:eastAsia="Times New Roman" w:cs="宋体"/>
          <w:color w:val="000000"/>
          <w:sz w:val="24"/>
          <w:highlight w:val="none"/>
        </w:rPr>
        <w:t>万元）（含税），具体计算方式见专用条款。</w:t>
      </w:r>
      <w:r>
        <w:rPr>
          <w:rFonts w:hint="eastAsia" w:ascii="宋体" w:hAnsi="宋体" w:eastAsia="Times New Roman" w:cs="宋体"/>
          <w:color w:val="000000"/>
          <w:sz w:val="24"/>
          <w:highlight w:val="none"/>
          <w:u w:val="single"/>
        </w:rPr>
        <w:t>评</w:t>
      </w:r>
      <w:r>
        <w:rPr>
          <w:rFonts w:hint="eastAsia" w:ascii="宋体" w:hAnsi="宋体" w:eastAsia="Times New Roman" w:cs="宋体"/>
          <w:sz w:val="24"/>
          <w:highlight w:val="none"/>
          <w:u w:val="single"/>
        </w:rPr>
        <w:t>标专家评审、交通、误餐等相关费用由受托人先行垫付，待招标结束后由对应中标单位向受托人据实支付。受托人应在相关招标文件中明确该费用的承担主体及支付方式；未明确或中标单位未支付的，不得转由委托人承担。</w:t>
      </w:r>
    </w:p>
    <w:p w14:paraId="12C10E97">
      <w:pPr>
        <w:tabs>
          <w:tab w:val="left" w:pos="540"/>
        </w:tabs>
        <w:spacing w:line="560" w:lineRule="exact"/>
        <w:ind w:right="0" w:firstLine="420"/>
        <w:rPr>
          <w:rFonts w:hint="eastAsia" w:ascii="宋体" w:hAnsi="宋体" w:cs="宋体"/>
          <w:b/>
          <w:bCs/>
          <w:sz w:val="24"/>
          <w:highlight w:val="none"/>
        </w:rPr>
      </w:pPr>
      <w:r>
        <w:rPr>
          <w:rFonts w:hint="eastAsia" w:ascii="宋体" w:hAnsi="宋体" w:cs="宋体"/>
          <w:b/>
          <w:bCs/>
          <w:sz w:val="24"/>
          <w:highlight w:val="none"/>
        </w:rPr>
        <w:t>六、</w:t>
      </w:r>
      <w:r>
        <w:rPr>
          <w:rFonts w:hint="eastAsia" w:ascii="宋体" w:hAnsi="宋体" w:cs="宋体"/>
          <w:sz w:val="24"/>
          <w:highlight w:val="none"/>
        </w:rPr>
        <w:t>本合同由以下文件组成，以下文件存在前后不一致，以下列排序在前的文件为准：</w:t>
      </w:r>
    </w:p>
    <w:p w14:paraId="75E57D67">
      <w:pPr>
        <w:tabs>
          <w:tab w:val="left" w:pos="540"/>
        </w:tabs>
        <w:spacing w:line="560" w:lineRule="exact"/>
        <w:ind w:right="0" w:firstLine="42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u w:val="single"/>
        </w:rPr>
        <w:t>本合同协议书</w:t>
      </w:r>
      <w:r>
        <w:rPr>
          <w:rFonts w:hint="eastAsia" w:ascii="宋体" w:hAnsi="宋体" w:cs="宋体"/>
          <w:sz w:val="24"/>
          <w:highlight w:val="none"/>
        </w:rPr>
        <w:t>；</w:t>
      </w:r>
    </w:p>
    <w:p w14:paraId="2814ACB8">
      <w:pPr>
        <w:tabs>
          <w:tab w:val="left" w:pos="540"/>
        </w:tabs>
        <w:spacing w:line="560" w:lineRule="exact"/>
        <w:ind w:right="0" w:firstLine="42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u w:val="single"/>
        </w:rPr>
        <w:t>委托文件</w:t>
      </w:r>
      <w:r>
        <w:rPr>
          <w:rFonts w:hint="eastAsia" w:ascii="宋体" w:hAnsi="宋体" w:cs="宋体"/>
          <w:sz w:val="24"/>
          <w:highlight w:val="none"/>
        </w:rPr>
        <w:t>；</w:t>
      </w:r>
    </w:p>
    <w:p w14:paraId="590C68B0">
      <w:pPr>
        <w:tabs>
          <w:tab w:val="left" w:pos="540"/>
        </w:tabs>
        <w:spacing w:line="560" w:lineRule="exact"/>
        <w:ind w:right="0" w:firstLine="42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u w:val="single"/>
        </w:rPr>
        <w:t>本合同专用条款</w:t>
      </w:r>
      <w:r>
        <w:rPr>
          <w:rFonts w:hint="eastAsia" w:ascii="宋体" w:hAnsi="宋体" w:cs="宋体"/>
          <w:sz w:val="24"/>
          <w:highlight w:val="none"/>
        </w:rPr>
        <w:t>；</w:t>
      </w:r>
    </w:p>
    <w:p w14:paraId="4D16892C">
      <w:pPr>
        <w:tabs>
          <w:tab w:val="left" w:pos="540"/>
        </w:tabs>
        <w:spacing w:line="560" w:lineRule="exact"/>
        <w:ind w:right="0" w:firstLine="42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u w:val="single"/>
        </w:rPr>
        <w:t>本合同通用条款</w:t>
      </w:r>
      <w:r>
        <w:rPr>
          <w:rFonts w:hint="eastAsia" w:ascii="宋体" w:hAnsi="宋体" w:cs="宋体"/>
          <w:sz w:val="24"/>
          <w:highlight w:val="none"/>
        </w:rPr>
        <w:t>。</w:t>
      </w:r>
    </w:p>
    <w:p w14:paraId="0D8D67CB">
      <w:pPr>
        <w:tabs>
          <w:tab w:val="left" w:pos="540"/>
        </w:tabs>
        <w:spacing w:line="560" w:lineRule="exact"/>
        <w:ind w:right="0" w:firstLine="420"/>
        <w:rPr>
          <w:rFonts w:hint="eastAsia" w:ascii="宋体" w:hAnsi="宋体" w:cs="宋体"/>
          <w:sz w:val="24"/>
          <w:highlight w:val="none"/>
        </w:rPr>
      </w:pPr>
      <w:r>
        <w:rPr>
          <w:rFonts w:hint="eastAsia" w:ascii="宋体" w:hAnsi="宋体" w:cs="宋体"/>
          <w:sz w:val="24"/>
          <w:highlight w:val="none"/>
          <w:u w:val="single"/>
        </w:rPr>
        <w:t>本合同签订后，双方签订的补充协议与本合同发生矛盾或歧义时，应以最新签署的为准</w:t>
      </w:r>
      <w:r>
        <w:rPr>
          <w:rFonts w:hint="eastAsia" w:ascii="宋体" w:hAnsi="宋体" w:cs="宋体"/>
          <w:sz w:val="24"/>
          <w:highlight w:val="none"/>
        </w:rPr>
        <w:t>。</w:t>
      </w:r>
    </w:p>
    <w:p w14:paraId="4D9D57AD">
      <w:pPr>
        <w:tabs>
          <w:tab w:val="left" w:pos="540"/>
        </w:tabs>
        <w:spacing w:line="560" w:lineRule="exact"/>
        <w:ind w:right="0" w:firstLine="420"/>
        <w:rPr>
          <w:rFonts w:hint="eastAsia" w:ascii="宋体" w:hAnsi="宋体" w:cs="宋体"/>
          <w:sz w:val="24"/>
          <w:highlight w:val="none"/>
        </w:rPr>
      </w:pPr>
      <w:r>
        <w:rPr>
          <w:rFonts w:hint="eastAsia" w:ascii="宋体" w:hAnsi="宋体" w:cs="宋体"/>
          <w:b/>
          <w:bCs/>
          <w:sz w:val="24"/>
          <w:highlight w:val="none"/>
        </w:rPr>
        <w:t>七</w:t>
      </w:r>
      <w:r>
        <w:rPr>
          <w:rFonts w:hint="eastAsia" w:ascii="宋体" w:hAnsi="宋体" w:cs="宋体"/>
          <w:sz w:val="24"/>
          <w:highlight w:val="none"/>
        </w:rPr>
        <w:t>、本协议书中的有关词语定义与本合同第一部分《通用条款》中分别赋予它们的定义相同。</w:t>
      </w:r>
    </w:p>
    <w:p w14:paraId="4B891EFE">
      <w:pPr>
        <w:pStyle w:val="26"/>
        <w:tabs>
          <w:tab w:val="left" w:pos="540"/>
        </w:tabs>
        <w:spacing w:line="560" w:lineRule="exact"/>
        <w:ind w:right="0" w:rightChars="0"/>
        <w:rPr>
          <w:rFonts w:hint="eastAsia" w:ascii="宋体" w:hAnsi="宋体" w:eastAsia="宋体" w:cs="宋体"/>
          <w:sz w:val="24"/>
          <w:highlight w:val="none"/>
        </w:rPr>
      </w:pPr>
      <w:r>
        <w:rPr>
          <w:rFonts w:hint="eastAsia" w:ascii="宋体" w:hAnsi="宋体" w:eastAsia="宋体" w:cs="宋体"/>
          <w:b/>
          <w:bCs/>
          <w:sz w:val="24"/>
          <w:highlight w:val="none"/>
        </w:rPr>
        <w:t>八、</w:t>
      </w:r>
      <w:r>
        <w:rPr>
          <w:rFonts w:hint="eastAsia" w:ascii="宋体" w:hAnsi="宋体" w:eastAsia="宋体" w:cs="宋体"/>
          <w:sz w:val="24"/>
          <w:highlight w:val="none"/>
        </w:rPr>
        <w:t>受托人向委托人承诺，按照本合同的约定，承担承担本协议书第二条约定范围内的招标代理业务。</w:t>
      </w:r>
    </w:p>
    <w:p w14:paraId="0955E032">
      <w:pPr>
        <w:tabs>
          <w:tab w:val="left" w:pos="540"/>
        </w:tabs>
        <w:spacing w:line="560" w:lineRule="exact"/>
        <w:ind w:left="0" w:leftChars="0" w:right="0" w:rightChars="0" w:firstLineChars="200"/>
        <w:rPr>
          <w:rFonts w:hint="eastAsia" w:ascii="宋体" w:hAnsi="宋体" w:cs="宋体"/>
          <w:sz w:val="24"/>
          <w:highlight w:val="none"/>
        </w:rPr>
      </w:pPr>
      <w:r>
        <w:rPr>
          <w:rFonts w:hint="eastAsia" w:ascii="宋体" w:hAnsi="宋体" w:cs="宋体"/>
          <w:b/>
          <w:bCs/>
          <w:sz w:val="24"/>
          <w:highlight w:val="none"/>
        </w:rPr>
        <w:t>九、</w:t>
      </w:r>
      <w:r>
        <w:rPr>
          <w:rFonts w:hint="eastAsia" w:ascii="宋体" w:hAnsi="宋体" w:cs="宋体"/>
          <w:sz w:val="24"/>
          <w:highlight w:val="none"/>
        </w:rPr>
        <w:t>委托人向受托人承诺，按照本合同约定的额度、币种、方式、期限向受托人支付酬金及其他应支付的款项，确保代理报酬的支付。</w:t>
      </w:r>
    </w:p>
    <w:p w14:paraId="0461E706">
      <w:pPr>
        <w:tabs>
          <w:tab w:val="left" w:pos="540"/>
        </w:tabs>
        <w:spacing w:line="560" w:lineRule="exact"/>
        <w:ind w:left="0" w:leftChars="0" w:right="0" w:rightChars="0" w:firstLineChars="200"/>
        <w:rPr>
          <w:rFonts w:hint="eastAsia" w:ascii="宋体" w:hAnsi="宋体" w:cs="宋体"/>
          <w:sz w:val="24"/>
          <w:highlight w:val="none"/>
        </w:rPr>
      </w:pPr>
      <w:r>
        <w:rPr>
          <w:rFonts w:hint="eastAsia" w:ascii="宋体" w:hAnsi="宋体" w:cs="宋体"/>
          <w:b/>
          <w:bCs/>
          <w:sz w:val="24"/>
          <w:highlight w:val="none"/>
        </w:rPr>
        <w:t>十、</w:t>
      </w:r>
      <w:r>
        <w:rPr>
          <w:rFonts w:hint="eastAsia" w:ascii="宋体" w:hAnsi="宋体" w:cs="宋体"/>
          <w:sz w:val="24"/>
          <w:highlight w:val="none"/>
        </w:rPr>
        <w:t>合同订立</w:t>
      </w:r>
    </w:p>
    <w:p w14:paraId="2EF7FCC1">
      <w:pPr>
        <w:tabs>
          <w:tab w:val="left" w:pos="540"/>
        </w:tabs>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 xml:space="preserve">合同订立时间：  </w:t>
      </w:r>
      <w:r>
        <w:rPr>
          <w:rFonts w:hint="eastAsia" w:ascii="宋体" w:hAnsi="宋体" w:cs="宋体"/>
          <w:sz w:val="24"/>
          <w:highlight w:val="none"/>
          <w:u w:val="single"/>
        </w:rPr>
        <w:t xml:space="preserve">        </w:t>
      </w:r>
      <w:r>
        <w:rPr>
          <w:rFonts w:hint="eastAsia" w:ascii="宋体" w:hAnsi="宋体" w:cs="宋体"/>
          <w:sz w:val="24"/>
          <w:highlight w:val="none"/>
        </w:rPr>
        <w:t xml:space="preserve">年  </w:t>
      </w:r>
      <w:r>
        <w:rPr>
          <w:rFonts w:hint="eastAsia" w:ascii="宋体" w:hAnsi="宋体" w:cs="宋体"/>
          <w:sz w:val="24"/>
          <w:highlight w:val="none"/>
          <w:u w:val="single"/>
        </w:rPr>
        <w:t xml:space="preserve">    </w:t>
      </w:r>
      <w:r>
        <w:rPr>
          <w:rFonts w:hint="eastAsia" w:ascii="宋体" w:hAnsi="宋体" w:cs="宋体"/>
          <w:sz w:val="24"/>
          <w:highlight w:val="none"/>
        </w:rPr>
        <w:t xml:space="preserve">月  </w:t>
      </w:r>
      <w:r>
        <w:rPr>
          <w:rFonts w:hint="eastAsia" w:ascii="宋体" w:hAnsi="宋体" w:cs="宋体"/>
          <w:sz w:val="24"/>
          <w:highlight w:val="none"/>
          <w:u w:val="single"/>
        </w:rPr>
        <w:t xml:space="preserve">       </w:t>
      </w:r>
      <w:r>
        <w:rPr>
          <w:rFonts w:hint="eastAsia" w:ascii="宋体" w:hAnsi="宋体" w:cs="宋体"/>
          <w:sz w:val="24"/>
          <w:highlight w:val="none"/>
        </w:rPr>
        <w:t>日</w:t>
      </w:r>
    </w:p>
    <w:p w14:paraId="17366720">
      <w:pPr>
        <w:tabs>
          <w:tab w:val="left" w:pos="540"/>
        </w:tabs>
        <w:spacing w:line="560" w:lineRule="exact"/>
        <w:ind w:left="0" w:leftChars="0" w:right="0" w:rightChars="0" w:firstLineChars="200"/>
        <w:rPr>
          <w:rFonts w:hint="eastAsia" w:ascii="宋体" w:hAnsi="宋体" w:cs="宋体"/>
          <w:sz w:val="24"/>
          <w:highlight w:val="none"/>
          <w:u w:val="single"/>
        </w:rPr>
      </w:pPr>
      <w:r>
        <w:rPr>
          <w:rFonts w:hint="eastAsia" w:ascii="宋体" w:hAnsi="宋体" w:cs="宋体"/>
          <w:sz w:val="24"/>
          <w:highlight w:val="none"/>
        </w:rPr>
        <w:t xml:space="preserve">合同订立地点： </w:t>
      </w:r>
      <w:r>
        <w:rPr>
          <w:rFonts w:hint="eastAsia" w:ascii="宋体" w:hAnsi="宋体" w:cs="宋体"/>
          <w:sz w:val="24"/>
          <w:highlight w:val="none"/>
          <w:u w:val="single"/>
        </w:rPr>
        <w:t xml:space="preserve">深圳市龙岗区                  </w:t>
      </w:r>
    </w:p>
    <w:p w14:paraId="0C2CEF3A">
      <w:pPr>
        <w:tabs>
          <w:tab w:val="left" w:pos="540"/>
        </w:tabs>
        <w:spacing w:line="560" w:lineRule="exact"/>
        <w:ind w:left="0" w:leftChars="0" w:right="0" w:rightChars="0" w:firstLineChars="200"/>
        <w:rPr>
          <w:rFonts w:hint="eastAsia" w:ascii="宋体" w:hAnsi="宋体" w:cs="宋体"/>
          <w:sz w:val="24"/>
          <w:highlight w:val="none"/>
        </w:rPr>
      </w:pPr>
      <w:r>
        <w:rPr>
          <w:rFonts w:hint="eastAsia" w:ascii="宋体" w:hAnsi="宋体" w:cs="宋体"/>
          <w:b/>
          <w:bCs/>
          <w:sz w:val="24"/>
          <w:highlight w:val="none"/>
        </w:rPr>
        <w:t>十一、</w:t>
      </w:r>
      <w:r>
        <w:rPr>
          <w:rFonts w:hint="eastAsia" w:ascii="宋体" w:hAnsi="宋体" w:cs="宋体"/>
          <w:sz w:val="24"/>
          <w:highlight w:val="none"/>
        </w:rPr>
        <w:t>合同生效：</w:t>
      </w:r>
    </w:p>
    <w:p w14:paraId="1F1F1586">
      <w:pPr>
        <w:tabs>
          <w:tab w:val="left" w:pos="540"/>
        </w:tabs>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本合同</w:t>
      </w:r>
      <w:r>
        <w:rPr>
          <w:rFonts w:hint="eastAsia" w:ascii="宋体" w:hAnsi="宋体" w:cs="宋体"/>
          <w:b/>
          <w:bCs/>
          <w:sz w:val="24"/>
          <w:highlight w:val="none"/>
        </w:rPr>
        <w:t>双方法定代表或其授权代理人签字并加盖公章后</w:t>
      </w:r>
      <w:r>
        <w:rPr>
          <w:rFonts w:hint="eastAsia" w:ascii="宋体" w:hAnsi="宋体" w:cs="宋体"/>
          <w:sz w:val="24"/>
          <w:highlight w:val="none"/>
        </w:rPr>
        <w:t>生效。</w:t>
      </w:r>
    </w:p>
    <w:p w14:paraId="64C35D73">
      <w:pPr>
        <w:tabs>
          <w:tab w:val="left" w:pos="540"/>
        </w:tabs>
        <w:spacing w:line="560" w:lineRule="exact"/>
        <w:ind w:left="0" w:leftChars="0" w:right="0" w:rightChars="0" w:firstLineChars="200"/>
        <w:rPr>
          <w:rFonts w:hint="eastAsia" w:ascii="宋体" w:hAnsi="宋体" w:cs="宋体"/>
          <w:sz w:val="24"/>
          <w:highlight w:val="none"/>
        </w:rPr>
      </w:pPr>
    </w:p>
    <w:p w14:paraId="2396D72C">
      <w:pPr>
        <w:pStyle w:val="185"/>
        <w:rPr>
          <w:rFonts w:hint="eastAsia" w:ascii="宋体" w:hAnsi="宋体" w:cs="宋体"/>
          <w:sz w:val="24"/>
          <w:highlight w:val="none"/>
        </w:rPr>
      </w:pPr>
    </w:p>
    <w:p w14:paraId="7DA9A5A7">
      <w:pPr>
        <w:pStyle w:val="186"/>
        <w:ind w:right="0" w:rightChars="0"/>
        <w:rPr>
          <w:rFonts w:hint="eastAsia" w:ascii="宋体" w:hAnsi="宋体" w:cs="宋体"/>
          <w:sz w:val="24"/>
          <w:highlight w:val="none"/>
        </w:rPr>
      </w:pPr>
    </w:p>
    <w:p w14:paraId="05557919">
      <w:pPr>
        <w:pStyle w:val="185"/>
        <w:rPr>
          <w:rFonts w:hint="eastAsia" w:ascii="宋体" w:hAnsi="宋体" w:cs="宋体"/>
          <w:sz w:val="24"/>
          <w:highlight w:val="none"/>
        </w:rPr>
      </w:pPr>
      <w:r>
        <w:rPr>
          <w:highlight w:val="none"/>
        </w:rPr>
        <w:br w:type="page"/>
      </w:r>
    </w:p>
    <w:p w14:paraId="45F019F7">
      <w:pPr>
        <w:pStyle w:val="186"/>
        <w:ind w:left="0" w:leftChars="0" w:right="0" w:rightChars="0"/>
        <w:rPr>
          <w:rFonts w:hint="eastAsia"/>
          <w:highlight w:val="none"/>
        </w:rPr>
      </w:pPr>
      <w:r>
        <w:rPr>
          <w:rFonts w:hint="eastAsia" w:ascii="宋体" w:hAnsi="宋体" w:cs="宋体"/>
          <w:sz w:val="24"/>
          <w:highlight w:val="none"/>
        </w:rPr>
        <w:t>（此页为签字盖章页）</w:t>
      </w:r>
    </w:p>
    <w:p w14:paraId="1A0F0836">
      <w:pPr>
        <w:tabs>
          <w:tab w:val="left" w:pos="540"/>
        </w:tabs>
        <w:spacing w:line="560" w:lineRule="exact"/>
        <w:ind w:left="6483" w:leftChars="0" w:right="0" w:rightChars="0" w:hangingChars="2700"/>
        <w:rPr>
          <w:rFonts w:hint="eastAsia" w:ascii="宋体" w:hAnsi="宋体" w:cs="宋体"/>
          <w:sz w:val="24"/>
          <w:highlight w:val="none"/>
        </w:rPr>
      </w:pPr>
      <w:r>
        <w:rPr>
          <w:rFonts w:hint="eastAsia" w:ascii="宋体" w:hAnsi="宋体" w:cs="宋体"/>
          <w:b/>
          <w:bCs/>
          <w:sz w:val="24"/>
          <w:highlight w:val="none"/>
        </w:rPr>
        <w:t>双方签字盖章：</w:t>
      </w:r>
    </w:p>
    <w:p w14:paraId="165E6757">
      <w:pPr>
        <w:tabs>
          <w:tab w:val="left" w:pos="540"/>
        </w:tabs>
        <w:spacing w:line="560" w:lineRule="exact"/>
        <w:ind w:left="6480" w:leftChars="0" w:right="0" w:rightChars="0" w:hangingChars="2700"/>
        <w:rPr>
          <w:rFonts w:hint="eastAsia" w:ascii="宋体" w:hAnsi="宋体" w:cs="宋体"/>
          <w:sz w:val="24"/>
          <w:highlight w:val="none"/>
        </w:rPr>
      </w:pPr>
      <w:r>
        <w:rPr>
          <w:rFonts w:hint="eastAsia" w:ascii="宋体" w:hAnsi="宋体" w:cs="宋体"/>
          <w:sz w:val="24"/>
          <w:highlight w:val="none"/>
        </w:rPr>
        <w:t>委托人（盖章）：                     受托人（盖章）：  </w:t>
      </w:r>
    </w:p>
    <w:p w14:paraId="47012B3B">
      <w:pPr>
        <w:tabs>
          <w:tab w:val="left" w:pos="540"/>
        </w:tabs>
        <w:spacing w:line="560" w:lineRule="exact"/>
        <w:ind w:left="4560" w:leftChars="0" w:right="0" w:rightChars="0" w:hangingChars="1900"/>
        <w:rPr>
          <w:rFonts w:hint="eastAsia" w:ascii="宋体" w:hAnsi="宋体" w:cs="宋体"/>
          <w:sz w:val="24"/>
          <w:highlight w:val="none"/>
        </w:rPr>
      </w:pPr>
      <w:r>
        <w:rPr>
          <w:rFonts w:hint="eastAsia" w:ascii="宋体" w:hAnsi="宋体" w:cs="宋体"/>
          <w:sz w:val="24"/>
          <w:highlight w:val="none"/>
        </w:rPr>
        <w:t xml:space="preserve"> 深圳市龙岗区城投新基础设施建</w:t>
      </w:r>
    </w:p>
    <w:p w14:paraId="6B6A8486">
      <w:pPr>
        <w:tabs>
          <w:tab w:val="left" w:pos="540"/>
        </w:tabs>
        <w:spacing w:line="560" w:lineRule="exact"/>
        <w:ind w:left="4560" w:leftChars="0" w:right="0" w:rightChars="0" w:hangingChars="1900"/>
        <w:rPr>
          <w:rFonts w:hint="eastAsia" w:ascii="宋体" w:hAnsi="宋体" w:cs="宋体"/>
          <w:sz w:val="24"/>
          <w:highlight w:val="none"/>
        </w:rPr>
      </w:pPr>
      <w:r>
        <w:rPr>
          <w:rFonts w:hint="eastAsia" w:ascii="宋体" w:hAnsi="宋体" w:cs="宋体"/>
          <w:sz w:val="24"/>
          <w:highlight w:val="none"/>
        </w:rPr>
        <w:t>设管理有限公司</w:t>
      </w:r>
    </w:p>
    <w:p w14:paraId="3770DEBC">
      <w:pPr>
        <w:tabs>
          <w:tab w:val="left" w:pos="540"/>
        </w:tabs>
        <w:spacing w:line="560" w:lineRule="exact"/>
        <w:rPr>
          <w:rFonts w:hint="eastAsia" w:ascii="宋体" w:hAnsi="宋体" w:cs="宋体"/>
          <w:sz w:val="24"/>
          <w:highlight w:val="none"/>
        </w:rPr>
      </w:pPr>
    </w:p>
    <w:p w14:paraId="588E2BA8">
      <w:pPr>
        <w:tabs>
          <w:tab w:val="left" w:pos="540"/>
        </w:tabs>
        <w:spacing w:line="560" w:lineRule="exact"/>
        <w:rPr>
          <w:rFonts w:hint="eastAsia" w:ascii="宋体" w:hAnsi="宋体" w:cs="宋体"/>
          <w:sz w:val="24"/>
          <w:highlight w:val="none"/>
        </w:rPr>
      </w:pPr>
      <w:r>
        <w:rPr>
          <w:rFonts w:hint="eastAsia" w:ascii="宋体" w:hAnsi="宋体" w:cs="宋体"/>
          <w:sz w:val="24"/>
          <w:highlight w:val="none"/>
        </w:rPr>
        <w:t>法定代表人                           法定代表人</w:t>
      </w:r>
    </w:p>
    <w:p w14:paraId="660D301B">
      <w:pPr>
        <w:tabs>
          <w:tab w:val="left" w:pos="540"/>
        </w:tabs>
        <w:spacing w:line="560" w:lineRule="exact"/>
        <w:rPr>
          <w:rFonts w:hint="eastAsia" w:ascii="宋体" w:hAnsi="宋体" w:cs="宋体"/>
          <w:sz w:val="24"/>
          <w:highlight w:val="none"/>
        </w:rPr>
      </w:pPr>
      <w:r>
        <w:rPr>
          <w:rFonts w:hint="eastAsia" w:ascii="宋体" w:hAnsi="宋体" w:cs="宋体"/>
          <w:sz w:val="24"/>
          <w:highlight w:val="none"/>
        </w:rPr>
        <w:t>（或授权代表）签字：               （或授权代表）签字：</w:t>
      </w:r>
    </w:p>
    <w:p w14:paraId="73E86B7D">
      <w:pPr>
        <w:tabs>
          <w:tab w:val="left" w:pos="540"/>
        </w:tabs>
        <w:spacing w:line="560" w:lineRule="exact"/>
        <w:rPr>
          <w:rFonts w:hint="eastAsia" w:ascii="宋体" w:hAnsi="宋体" w:cs="宋体"/>
          <w:sz w:val="24"/>
          <w:highlight w:val="none"/>
        </w:rPr>
      </w:pPr>
    </w:p>
    <w:p w14:paraId="0FCB515C">
      <w:pPr>
        <w:tabs>
          <w:tab w:val="left" w:pos="540"/>
        </w:tabs>
        <w:spacing w:line="560" w:lineRule="exact"/>
        <w:ind w:left="5040" w:leftChars="0" w:right="0" w:rightChars="0" w:hangingChars="2100"/>
        <w:rPr>
          <w:rFonts w:hint="eastAsia" w:ascii="宋体" w:hAnsi="宋体" w:cs="宋体"/>
          <w:sz w:val="24"/>
          <w:highlight w:val="none"/>
        </w:rPr>
      </w:pPr>
      <w:r>
        <w:rPr>
          <w:rFonts w:hint="eastAsia" w:ascii="宋体" w:hAnsi="宋体" w:cs="宋体"/>
          <w:sz w:val="24"/>
          <w:highlight w:val="none"/>
        </w:rPr>
        <w:t xml:space="preserve">地址：深圳市龙岗区腾飞路创投大厦     地址：        </w:t>
      </w:r>
    </w:p>
    <w:p w14:paraId="2951534B">
      <w:pPr>
        <w:tabs>
          <w:tab w:val="left" w:pos="540"/>
        </w:tabs>
        <w:spacing w:line="560" w:lineRule="exact"/>
        <w:ind w:left="0" w:leftChars="0" w:right="0" w:rightChars="0" w:firstLineChars="300"/>
        <w:rPr>
          <w:rFonts w:hint="eastAsia" w:ascii="宋体" w:hAnsi="宋体" w:cs="宋体"/>
          <w:sz w:val="24"/>
          <w:highlight w:val="none"/>
        </w:rPr>
      </w:pPr>
      <w:r>
        <w:rPr>
          <w:rFonts w:hint="eastAsia" w:ascii="宋体" w:hAnsi="宋体" w:cs="宋体"/>
          <w:sz w:val="24"/>
          <w:highlight w:val="none"/>
        </w:rPr>
        <w:t xml:space="preserve">22楼                                                            </w:t>
      </w:r>
    </w:p>
    <w:p w14:paraId="00AE58D2">
      <w:pPr>
        <w:tabs>
          <w:tab w:val="left" w:pos="540"/>
        </w:tabs>
        <w:spacing w:line="560" w:lineRule="exact"/>
        <w:rPr>
          <w:rFonts w:hint="eastAsia" w:ascii="宋体" w:hAnsi="宋体" w:cs="宋体"/>
          <w:sz w:val="24"/>
          <w:highlight w:val="none"/>
        </w:rPr>
      </w:pPr>
      <w:r>
        <w:rPr>
          <w:rFonts w:hint="eastAsia" w:ascii="宋体" w:hAnsi="宋体" w:cs="宋体"/>
          <w:sz w:val="24"/>
          <w:highlight w:val="none"/>
        </w:rPr>
        <w:t>邮政编码：518172                      邮政编码：</w:t>
      </w:r>
    </w:p>
    <w:p w14:paraId="42096336">
      <w:pPr>
        <w:tabs>
          <w:tab w:val="left" w:pos="540"/>
        </w:tabs>
        <w:spacing w:line="560" w:lineRule="exact"/>
        <w:rPr>
          <w:rFonts w:hint="eastAsia" w:ascii="宋体" w:hAnsi="宋体" w:cs="宋体"/>
          <w:sz w:val="24"/>
          <w:highlight w:val="none"/>
        </w:rPr>
      </w:pPr>
      <w:r>
        <w:rPr>
          <w:rFonts w:hint="eastAsia" w:ascii="宋体" w:hAnsi="宋体" w:cs="宋体"/>
          <w:sz w:val="24"/>
          <w:highlight w:val="none"/>
        </w:rPr>
        <w:t>联系电话：                            联系电话：</w:t>
      </w:r>
    </w:p>
    <w:p w14:paraId="46627322">
      <w:pPr>
        <w:tabs>
          <w:tab w:val="left" w:pos="540"/>
        </w:tabs>
        <w:spacing w:line="560" w:lineRule="exact"/>
        <w:rPr>
          <w:rFonts w:hint="eastAsia" w:ascii="宋体" w:hAnsi="宋体" w:cs="宋体"/>
          <w:sz w:val="24"/>
          <w:highlight w:val="none"/>
        </w:rPr>
      </w:pPr>
      <w:r>
        <w:rPr>
          <w:rFonts w:hint="eastAsia" w:ascii="宋体" w:hAnsi="宋体" w:cs="宋体"/>
          <w:sz w:val="24"/>
          <w:highlight w:val="none"/>
        </w:rPr>
        <w:t xml:space="preserve">开户银行：                            开户银行： </w:t>
      </w:r>
    </w:p>
    <w:p w14:paraId="1F4FCE2C">
      <w:pPr>
        <w:tabs>
          <w:tab w:val="left" w:pos="540"/>
        </w:tabs>
        <w:spacing w:line="560" w:lineRule="exact"/>
        <w:rPr>
          <w:rFonts w:hint="eastAsia" w:ascii="宋体" w:hAnsi="宋体" w:cs="宋体"/>
          <w:sz w:val="24"/>
          <w:highlight w:val="none"/>
        </w:rPr>
      </w:pPr>
      <w:r>
        <w:rPr>
          <w:rFonts w:hint="eastAsia" w:ascii="宋体" w:hAnsi="宋体" w:cs="宋体"/>
          <w:sz w:val="24"/>
          <w:highlight w:val="none"/>
        </w:rPr>
        <w:t>帐    号：                            帐    号：</w:t>
      </w:r>
    </w:p>
    <w:p w14:paraId="2DAB7EF3">
      <w:pPr>
        <w:tabs>
          <w:tab w:val="left" w:pos="540"/>
        </w:tabs>
        <w:spacing w:line="560" w:lineRule="exact"/>
        <w:rPr>
          <w:rFonts w:hint="eastAsia" w:ascii="宋体" w:hAnsi="宋体" w:cs="宋体"/>
          <w:sz w:val="24"/>
          <w:highlight w:val="none"/>
        </w:rPr>
      </w:pPr>
    </w:p>
    <w:p w14:paraId="06FBB1C3">
      <w:pPr>
        <w:tabs>
          <w:tab w:val="left" w:pos="540"/>
        </w:tabs>
        <w:spacing w:line="560" w:lineRule="exact"/>
        <w:rPr>
          <w:rFonts w:hint="eastAsia" w:ascii="宋体" w:hAnsi="宋体" w:cs="宋体"/>
          <w:sz w:val="24"/>
          <w:highlight w:val="none"/>
        </w:rPr>
      </w:pPr>
      <w:r>
        <w:rPr>
          <w:rFonts w:hint="eastAsia" w:ascii="宋体" w:hAnsi="宋体" w:cs="宋体"/>
          <w:sz w:val="24"/>
          <w:highlight w:val="none"/>
        </w:rPr>
        <w:t>签约日期：   年   月   日</w:t>
      </w:r>
    </w:p>
    <w:p w14:paraId="69E4313F">
      <w:pPr>
        <w:tabs>
          <w:tab w:val="left" w:pos="540"/>
        </w:tabs>
        <w:spacing w:line="560" w:lineRule="exact"/>
        <w:rPr>
          <w:rFonts w:ascii="宋体" w:hAnsi="宋体" w:cs="宋体"/>
          <w:sz w:val="24"/>
          <w:highlight w:val="none"/>
        </w:rPr>
      </w:pPr>
      <w:r>
        <w:rPr>
          <w:rFonts w:hint="eastAsia" w:ascii="宋体" w:hAnsi="宋体" w:cs="宋体"/>
          <w:sz w:val="24"/>
          <w:highlight w:val="none"/>
        </w:rPr>
        <w:t>签约地点：深圳市龙岗区</w:t>
      </w:r>
      <w:r>
        <w:rPr>
          <w:highlight w:val="none"/>
        </w:rPr>
        <w:br w:type="page"/>
      </w:r>
    </w:p>
    <w:p w14:paraId="451FA5D3">
      <w:pPr>
        <w:tabs>
          <w:tab w:val="left" w:pos="540"/>
        </w:tabs>
        <w:spacing w:line="560" w:lineRule="exact"/>
        <w:jc w:val="center"/>
        <w:rPr>
          <w:rFonts w:hint="eastAsia" w:ascii="宋体" w:hAnsi="宋体" w:cs="宋体"/>
          <w:sz w:val="44"/>
          <w:szCs w:val="44"/>
          <w:highlight w:val="none"/>
        </w:rPr>
      </w:pPr>
      <w:r>
        <w:rPr>
          <w:rFonts w:hint="eastAsia" w:ascii="宋体" w:hAnsi="宋体" w:cs="宋体"/>
          <w:b/>
          <w:bCs/>
          <w:sz w:val="36"/>
          <w:szCs w:val="36"/>
          <w:highlight w:val="none"/>
        </w:rPr>
        <w:t>第二部分  委托文件</w:t>
      </w:r>
    </w:p>
    <w:p w14:paraId="04FF7DBD">
      <w:pPr>
        <w:widowControl/>
        <w:spacing w:line="560" w:lineRule="exact"/>
        <w:ind w:left="0" w:leftChars="0" w:right="0" w:rightChars="0" w:firstLineChars="100"/>
        <w:rPr>
          <w:rFonts w:hint="eastAsia" w:ascii="宋体" w:hAnsi="宋体" w:cs="宋体"/>
          <w:b/>
          <w:sz w:val="36"/>
          <w:szCs w:val="36"/>
          <w:highlight w:val="none"/>
        </w:rPr>
      </w:pPr>
      <w:r>
        <w:rPr>
          <w:highlight w:val="none"/>
        </w:rPr>
        <w:br w:type="page"/>
      </w:r>
    </w:p>
    <w:p w14:paraId="3DC12CE3">
      <w:pPr>
        <w:pStyle w:val="174"/>
        <w:ind w:left="0" w:firstLine="2161" w:firstLineChars="600"/>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第三部分  通用条款</w:t>
      </w:r>
    </w:p>
    <w:p w14:paraId="2F5C7D24">
      <w:pPr>
        <w:pStyle w:val="174"/>
        <w:ind w:left="0"/>
        <w:jc w:val="both"/>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一、词语定义和适用法律</w:t>
      </w:r>
    </w:p>
    <w:p w14:paraId="6AC6A95A">
      <w:pPr>
        <w:spacing w:line="560" w:lineRule="exact"/>
        <w:ind w:right="0" w:firstLine="540"/>
        <w:jc w:val="both"/>
        <w:rPr>
          <w:rFonts w:hint="eastAsia" w:ascii="宋体" w:hAnsi="宋体" w:cs="宋体"/>
          <w:b/>
          <w:bCs/>
          <w:sz w:val="24"/>
          <w:highlight w:val="none"/>
        </w:rPr>
      </w:pPr>
      <w:r>
        <w:rPr>
          <w:rFonts w:hint="eastAsia" w:ascii="宋体" w:hAnsi="宋体" w:cs="宋体"/>
          <w:b/>
          <w:bCs/>
          <w:sz w:val="24"/>
          <w:highlight w:val="none"/>
        </w:rPr>
        <w:t>1、词语定义</w:t>
      </w:r>
    </w:p>
    <w:p w14:paraId="1810098E">
      <w:pPr>
        <w:spacing w:line="560" w:lineRule="exact"/>
        <w:ind w:left="0" w:leftChars="0" w:right="0" w:rightChars="0" w:firstLineChars="257"/>
        <w:jc w:val="both"/>
        <w:rPr>
          <w:rFonts w:hint="eastAsia" w:ascii="宋体" w:hAnsi="宋体" w:cs="宋体"/>
          <w:sz w:val="24"/>
          <w:highlight w:val="none"/>
        </w:rPr>
      </w:pPr>
      <w:r>
        <w:rPr>
          <w:rFonts w:hint="eastAsia" w:ascii="宋体" w:hAnsi="宋体" w:cs="宋体"/>
          <w:sz w:val="24"/>
          <w:highlight w:val="none"/>
        </w:rPr>
        <w:t>下列词语除本合同专用条款另有约定外，应具有本条款所赋予的定义：</w:t>
      </w:r>
    </w:p>
    <w:p w14:paraId="2853289B">
      <w:pPr>
        <w:spacing w:line="560" w:lineRule="exact"/>
        <w:ind w:left="0" w:leftChars="0" w:right="0" w:rightChars="0" w:firstLineChars="257"/>
        <w:jc w:val="both"/>
        <w:rPr>
          <w:rFonts w:hint="eastAsia" w:ascii="宋体" w:hAnsi="宋体" w:cs="宋体"/>
          <w:sz w:val="24"/>
          <w:highlight w:val="none"/>
        </w:rPr>
      </w:pPr>
      <w:r>
        <w:rPr>
          <w:rFonts w:hint="eastAsia" w:ascii="宋体" w:hAnsi="宋体" w:cs="宋体"/>
          <w:sz w:val="24"/>
          <w:highlight w:val="none"/>
        </w:rPr>
        <w:t>l</w:t>
      </w:r>
      <w:r>
        <w:rPr>
          <w:rFonts w:hint="eastAsia" w:ascii="宋体" w:hAnsi="宋体" w:cs="宋体"/>
          <w:sz w:val="24"/>
          <w:highlight w:val="none"/>
          <w:lang w:val="zh-CN"/>
        </w:rPr>
        <w:t>.</w:t>
      </w:r>
      <w:r>
        <w:rPr>
          <w:rFonts w:hint="eastAsia" w:ascii="宋体" w:hAnsi="宋体" w:cs="宋体"/>
          <w:sz w:val="24"/>
          <w:highlight w:val="none"/>
        </w:rPr>
        <w:t>1 招标代理合同：委托人将工程建设项目招标工作委托给具有相应</w:t>
      </w:r>
      <w:r>
        <w:rPr>
          <w:rFonts w:hint="eastAsia" w:ascii="宋体" w:hAnsi="宋体" w:cs="宋体"/>
          <w:color w:val="000000"/>
          <w:sz w:val="24"/>
          <w:highlight w:val="none"/>
        </w:rPr>
        <w:t>招标代理资质</w:t>
      </w:r>
      <w:r>
        <w:rPr>
          <w:rFonts w:hint="eastAsia" w:ascii="宋体" w:hAnsi="宋体" w:cs="宋体"/>
          <w:sz w:val="24"/>
          <w:highlight w:val="none"/>
        </w:rPr>
        <w:t>的受托人，实施招标活动签订的委托合同，</w:t>
      </w:r>
    </w:p>
    <w:p w14:paraId="073A68D2">
      <w:pPr>
        <w:spacing w:line="560" w:lineRule="exact"/>
        <w:ind w:left="0" w:leftChars="0" w:right="0" w:rightChars="0" w:firstLineChars="257"/>
        <w:jc w:val="both"/>
        <w:rPr>
          <w:rFonts w:hint="eastAsia" w:ascii="宋体" w:hAnsi="宋体" w:cs="宋体"/>
          <w:sz w:val="24"/>
          <w:highlight w:val="none"/>
        </w:rPr>
      </w:pPr>
      <w:r>
        <w:rPr>
          <w:rFonts w:hint="eastAsia" w:ascii="宋体" w:hAnsi="宋体" w:cs="宋体"/>
          <w:sz w:val="24"/>
          <w:highlight w:val="none"/>
        </w:rPr>
        <w:t>l</w:t>
      </w:r>
      <w:r>
        <w:rPr>
          <w:rFonts w:hint="eastAsia" w:ascii="宋体" w:hAnsi="宋体" w:cs="宋体"/>
          <w:sz w:val="24"/>
          <w:highlight w:val="none"/>
          <w:lang w:val="zh-CN"/>
        </w:rPr>
        <w:t>.</w:t>
      </w:r>
      <w:r>
        <w:rPr>
          <w:rFonts w:hint="eastAsia" w:ascii="宋体" w:hAnsi="宋体" w:cs="宋体"/>
          <w:sz w:val="24"/>
          <w:highlight w:val="none"/>
        </w:rPr>
        <w:t>2通用条款：是根据有关法律、行政法规和工程建设项目招标代理的需要所订立，通用于各类工程建设项目招标代理的条款。</w:t>
      </w:r>
    </w:p>
    <w:p w14:paraId="15F27DA2">
      <w:pPr>
        <w:spacing w:line="560" w:lineRule="exact"/>
        <w:ind w:left="0" w:leftChars="0" w:right="0" w:rightChars="0" w:firstLineChars="257"/>
        <w:jc w:val="both"/>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zh-CN"/>
        </w:rPr>
        <w:t>.</w:t>
      </w:r>
      <w:r>
        <w:rPr>
          <w:rFonts w:hint="eastAsia" w:ascii="宋体" w:hAnsi="宋体" w:cs="宋体"/>
          <w:sz w:val="24"/>
          <w:highlight w:val="none"/>
        </w:rPr>
        <w:t>3专用条款：是委托人与受托人根据有关法律、行政法规规定，结合具体工程建设项目招标代理的实际，经协商达成一致意见的条款，是对通用条款的具体化、补充。</w:t>
      </w:r>
    </w:p>
    <w:p w14:paraId="46FB59C0">
      <w:pPr>
        <w:tabs>
          <w:tab w:val="left" w:pos="540"/>
        </w:tabs>
        <w:spacing w:line="560" w:lineRule="exact"/>
        <w:ind w:left="0" w:leftChars="0" w:right="0" w:rightChars="0" w:firstLineChars="257"/>
        <w:jc w:val="both"/>
        <w:rPr>
          <w:rFonts w:hint="eastAsia" w:ascii="宋体" w:hAnsi="宋体" w:cs="宋体"/>
          <w:sz w:val="24"/>
          <w:highlight w:val="none"/>
        </w:rPr>
      </w:pPr>
      <w:r>
        <w:rPr>
          <w:rFonts w:hint="eastAsia" w:ascii="宋体" w:hAnsi="宋体" w:cs="宋体"/>
          <w:sz w:val="24"/>
          <w:highlight w:val="none"/>
        </w:rPr>
        <w:t>l</w:t>
      </w:r>
      <w:r>
        <w:rPr>
          <w:rFonts w:hint="eastAsia" w:ascii="宋体" w:hAnsi="宋体" w:cs="宋体"/>
          <w:sz w:val="24"/>
          <w:highlight w:val="none"/>
          <w:lang w:val="zh-CN"/>
        </w:rPr>
        <w:t>.</w:t>
      </w:r>
      <w:r>
        <w:rPr>
          <w:rFonts w:hint="eastAsia" w:ascii="宋体" w:hAnsi="宋体" w:cs="宋体"/>
          <w:sz w:val="24"/>
          <w:highlight w:val="none"/>
        </w:rPr>
        <w:t>4委托人：指在合同中约定的，具有建设项目招标委托主体资格的当事人，以及取得该当事人资格的合法继承人。</w:t>
      </w:r>
    </w:p>
    <w:p w14:paraId="23C59888">
      <w:pPr>
        <w:tabs>
          <w:tab w:val="left" w:pos="360"/>
          <w:tab w:val="left" w:pos="540"/>
        </w:tabs>
        <w:spacing w:line="560" w:lineRule="exact"/>
        <w:ind w:left="0" w:leftChars="0" w:right="0" w:rightChars="0" w:firstLineChars="257"/>
        <w:jc w:val="both"/>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zh-CN"/>
        </w:rPr>
        <w:t>.</w:t>
      </w:r>
      <w:r>
        <w:rPr>
          <w:rFonts w:hint="eastAsia" w:ascii="宋体" w:hAnsi="宋体" w:cs="宋体"/>
          <w:sz w:val="24"/>
          <w:highlight w:val="none"/>
        </w:rPr>
        <w:t>5  受托人：指在合同中约定的，被委托人接受的具有建设项目招标代理主体资格的当事人，以及取得该当事人资格的合法继承人。</w:t>
      </w:r>
    </w:p>
    <w:p w14:paraId="3A64127F">
      <w:pPr>
        <w:tabs>
          <w:tab w:val="left" w:pos="360"/>
          <w:tab w:val="left" w:pos="540"/>
        </w:tabs>
        <w:spacing w:line="560" w:lineRule="exact"/>
        <w:ind w:left="0" w:leftChars="0" w:right="0" w:rightChars="0" w:firstLineChars="257"/>
        <w:jc w:val="both"/>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zh-CN"/>
        </w:rPr>
        <w:t>.</w:t>
      </w:r>
      <w:r>
        <w:rPr>
          <w:rFonts w:hint="eastAsia" w:ascii="宋体" w:hAnsi="宋体" w:cs="宋体"/>
          <w:sz w:val="24"/>
          <w:highlight w:val="none"/>
        </w:rPr>
        <w:t>6  招标代理项目负责人：指受托人在专用条款中指定的负责合同履行的代表。</w:t>
      </w:r>
    </w:p>
    <w:p w14:paraId="7F07A690">
      <w:pPr>
        <w:spacing w:line="560" w:lineRule="exact"/>
        <w:ind w:right="0" w:firstLine="180"/>
        <w:jc w:val="both"/>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7  工程建设项目：指由委托人和受托人在合同中约定的委托代理招标的工程。</w:t>
      </w:r>
    </w:p>
    <w:p w14:paraId="08563BEB">
      <w:pPr>
        <w:spacing w:line="560" w:lineRule="exact"/>
        <w:ind w:right="0" w:firstLine="180"/>
        <w:jc w:val="both"/>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8  招标代理业务：委托人委托受托人代理实施工程建设项目招标的工作内容。</w:t>
      </w:r>
    </w:p>
    <w:p w14:paraId="4B3DA5CE">
      <w:pPr>
        <w:spacing w:line="560" w:lineRule="exact"/>
        <w:ind w:right="0" w:firstLine="360"/>
        <w:jc w:val="both"/>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9  附加服务：指委托人和受托人在本合同通用条款4</w:t>
      </w:r>
      <w:r>
        <w:rPr>
          <w:rFonts w:hint="eastAsia" w:ascii="宋体" w:hAnsi="宋体" w:cs="宋体"/>
          <w:sz w:val="24"/>
          <w:highlight w:val="none"/>
          <w:lang w:val="zh-CN"/>
        </w:rPr>
        <w:t>.</w:t>
      </w:r>
      <w:r>
        <w:rPr>
          <w:rFonts w:hint="eastAsia" w:ascii="宋体" w:hAnsi="宋体" w:cs="宋体"/>
          <w:sz w:val="24"/>
          <w:highlight w:val="none"/>
        </w:rPr>
        <w:t>1款和专用条款4</w:t>
      </w:r>
      <w:r>
        <w:rPr>
          <w:rFonts w:hint="eastAsia" w:ascii="宋体" w:hAnsi="宋体" w:cs="宋体"/>
          <w:sz w:val="24"/>
          <w:highlight w:val="none"/>
          <w:lang w:val="zh-CN"/>
        </w:rPr>
        <w:t>.</w:t>
      </w:r>
      <w:r>
        <w:rPr>
          <w:rFonts w:hint="eastAsia" w:ascii="宋体" w:hAnsi="宋体" w:cs="宋体"/>
          <w:sz w:val="24"/>
          <w:highlight w:val="none"/>
        </w:rPr>
        <w:t>1款中双方约定工作范围之外的附加工作。</w:t>
      </w:r>
    </w:p>
    <w:p w14:paraId="7F30B6BA">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10  代理报酬：委托人和受托人在合同中约定的，受托人按照约定应收取的代理报酬总额。</w:t>
      </w:r>
    </w:p>
    <w:p w14:paraId="6D3C8E3C">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11  图纸：指由委托人提供的满足招标需要的所有图纸、计算书、配套说明以及相关的技术资料。</w:t>
      </w:r>
    </w:p>
    <w:p w14:paraId="02BCC2F6">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12书面形式：指具有公章、法定代表人或授权代理人签字的合同书、信件和数据电文（包括电报、电传、传真）等可以有形地表现所载内容的形式。</w:t>
      </w:r>
    </w:p>
    <w:p w14:paraId="111C6684">
      <w:pPr>
        <w:tabs>
          <w:tab w:val="left" w:pos="540"/>
        </w:tabs>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13违约责任：指合同一方不履行合同义务或履行合同义务不符合约定所应承担的责任。</w:t>
      </w:r>
    </w:p>
    <w:p w14:paraId="646071CB">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14索赔：指在合同履行过程中，对于并非自己的过错，而是应由对方承担责任的情况造成的实际损失，向对方提出经济补偿或其他的要求。</w:t>
      </w:r>
    </w:p>
    <w:p w14:paraId="583F8E35">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15不可抗力：指双方无法控制和不可预见的事件，但不包括双方的违约或疏忽。这些事件包括但不限于战争、严重火灾、洪水、台风、地震，或其他双方一致认为属于不可抗力的事件。</w:t>
      </w:r>
    </w:p>
    <w:p w14:paraId="5DE7554B">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1</w:t>
      </w:r>
      <w:r>
        <w:rPr>
          <w:rFonts w:hint="eastAsia" w:ascii="宋体" w:hAnsi="宋体" w:cs="宋体"/>
          <w:sz w:val="24"/>
          <w:highlight w:val="none"/>
          <w:lang w:val="zh-CN"/>
        </w:rPr>
        <w:t>.</w:t>
      </w:r>
      <w:r>
        <w:rPr>
          <w:rFonts w:hint="eastAsia" w:ascii="宋体" w:hAnsi="宋体" w:cs="宋体"/>
          <w:sz w:val="24"/>
          <w:highlight w:val="none"/>
        </w:rPr>
        <w:t>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14:paraId="6AAE9D98">
      <w:pPr>
        <w:spacing w:line="560" w:lineRule="exact"/>
        <w:ind w:right="0" w:firstLine="180"/>
        <w:rPr>
          <w:rFonts w:hint="eastAsia"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2、合同文件及解释顺序</w:t>
      </w:r>
    </w:p>
    <w:p w14:paraId="26AE51D7">
      <w:pPr>
        <w:tabs>
          <w:tab w:val="left" w:pos="540"/>
        </w:tabs>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2</w:t>
      </w:r>
      <w:r>
        <w:rPr>
          <w:rFonts w:hint="eastAsia" w:ascii="宋体" w:hAnsi="宋体" w:cs="宋体"/>
          <w:sz w:val="24"/>
          <w:highlight w:val="none"/>
          <w:lang w:val="zh-CN"/>
        </w:rPr>
        <w:t>.</w:t>
      </w:r>
      <w:r>
        <w:rPr>
          <w:rFonts w:hint="eastAsia" w:ascii="宋体" w:hAnsi="宋体" w:cs="宋体"/>
          <w:sz w:val="24"/>
          <w:highlight w:val="none"/>
        </w:rPr>
        <w:t>l  合同文件应能互相解释，互为说明。除本合同专用条款另有约定外，组成本合同的文件及优先解释顺序如下：</w:t>
      </w:r>
    </w:p>
    <w:p w14:paraId="7A952E50">
      <w:pPr>
        <w:tabs>
          <w:tab w:val="left" w:pos="360"/>
        </w:tabs>
        <w:spacing w:line="560" w:lineRule="exact"/>
        <w:rPr>
          <w:rFonts w:hint="eastAsia" w:ascii="宋体" w:hAnsi="宋体" w:cs="宋体"/>
          <w:sz w:val="24"/>
          <w:highlight w:val="none"/>
        </w:rPr>
      </w:pPr>
      <w:r>
        <w:rPr>
          <w:rFonts w:hint="eastAsia" w:ascii="宋体" w:hAnsi="宋体" w:cs="宋体"/>
          <w:sz w:val="24"/>
          <w:highlight w:val="none"/>
        </w:rPr>
        <w:t xml:space="preserve">   （1）本合同履行过程中双方以书面形式签署的补充和修正文件；</w:t>
      </w:r>
    </w:p>
    <w:p w14:paraId="56136F4C">
      <w:pPr>
        <w:spacing w:line="560" w:lineRule="exact"/>
        <w:rPr>
          <w:rFonts w:hint="eastAsia" w:ascii="宋体" w:hAnsi="宋体" w:cs="宋体"/>
          <w:sz w:val="24"/>
          <w:highlight w:val="none"/>
        </w:rPr>
      </w:pPr>
      <w:r>
        <w:rPr>
          <w:rFonts w:hint="eastAsia" w:ascii="宋体" w:hAnsi="宋体" w:cs="宋体"/>
          <w:sz w:val="24"/>
          <w:highlight w:val="none"/>
        </w:rPr>
        <w:t xml:space="preserve">   （2）本合同协议书：</w:t>
      </w:r>
    </w:p>
    <w:p w14:paraId="32D72798">
      <w:pPr>
        <w:spacing w:line="560" w:lineRule="exact"/>
        <w:rPr>
          <w:rFonts w:hint="eastAsia" w:ascii="宋体" w:hAnsi="宋体" w:cs="宋体"/>
          <w:sz w:val="24"/>
          <w:highlight w:val="none"/>
        </w:rPr>
      </w:pPr>
      <w:r>
        <w:rPr>
          <w:rFonts w:hint="eastAsia" w:ascii="宋体" w:hAnsi="宋体" w:cs="宋体"/>
          <w:sz w:val="24"/>
          <w:highlight w:val="none"/>
        </w:rPr>
        <w:t xml:space="preserve">   （3）本合同专用条款；</w:t>
      </w:r>
    </w:p>
    <w:p w14:paraId="6E08E2A3">
      <w:pPr>
        <w:spacing w:line="560" w:lineRule="exact"/>
        <w:rPr>
          <w:rFonts w:hint="eastAsia" w:ascii="宋体" w:hAnsi="宋体" w:cs="宋体"/>
          <w:sz w:val="24"/>
          <w:highlight w:val="none"/>
        </w:rPr>
      </w:pPr>
      <w:r>
        <w:rPr>
          <w:rFonts w:hint="eastAsia" w:ascii="宋体" w:hAnsi="宋体" w:cs="宋体"/>
          <w:sz w:val="24"/>
          <w:highlight w:val="none"/>
        </w:rPr>
        <w:t xml:space="preserve">   （4）本合同通用条款。</w:t>
      </w:r>
    </w:p>
    <w:p w14:paraId="748767DE">
      <w:pPr>
        <w:tabs>
          <w:tab w:val="left" w:pos="540"/>
        </w:tabs>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2</w:t>
      </w:r>
      <w:r>
        <w:rPr>
          <w:rFonts w:hint="eastAsia" w:ascii="宋体" w:hAnsi="宋体" w:cs="宋体"/>
          <w:sz w:val="24"/>
          <w:highlight w:val="none"/>
          <w:lang w:val="zh-CN"/>
        </w:rPr>
        <w:t>.</w:t>
      </w:r>
      <w:r>
        <w:rPr>
          <w:rFonts w:hint="eastAsia" w:ascii="宋体" w:hAnsi="宋体" w:cs="宋体"/>
          <w:sz w:val="24"/>
          <w:highlight w:val="none"/>
        </w:rPr>
        <w:t>2  当合同文件内容出现含糊不清或不相一致时，应在不影响招标代理业务正常进行的情况下，由委托人和受托人协商解决。双方协商不成时，按本合同通用条款第12条关于争议的约定处理。</w:t>
      </w:r>
    </w:p>
    <w:p w14:paraId="1C29C2AC">
      <w:pPr>
        <w:spacing w:line="560" w:lineRule="exact"/>
        <w:ind w:right="0" w:firstLine="180"/>
        <w:rPr>
          <w:rFonts w:hint="eastAsia"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 xml:space="preserve"> 3、语言文字和适用法律</w:t>
      </w:r>
    </w:p>
    <w:p w14:paraId="5D769B64">
      <w:pPr>
        <w:tabs>
          <w:tab w:val="left" w:pos="540"/>
        </w:tabs>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3</w:t>
      </w:r>
      <w:r>
        <w:rPr>
          <w:rFonts w:hint="eastAsia" w:ascii="宋体" w:hAnsi="宋体" w:cs="宋体"/>
          <w:sz w:val="24"/>
          <w:highlight w:val="none"/>
          <w:lang w:val="zh-CN"/>
        </w:rPr>
        <w:t>.</w:t>
      </w:r>
      <w:r>
        <w:rPr>
          <w:rFonts w:hint="eastAsia" w:ascii="宋体" w:hAnsi="宋体" w:cs="宋体"/>
          <w:sz w:val="24"/>
          <w:highlight w:val="none"/>
        </w:rPr>
        <w:t>1  语言文字</w:t>
      </w:r>
    </w:p>
    <w:p w14:paraId="77F52494">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除本合同专用条款中另有约定，本合同文件使用汉语语言文字书写、解释和说明。如本合同专用条款约定使用两种以上（含两种）语言文字时，汉语应为解释和说明本合同的标准语言文字。</w:t>
      </w:r>
    </w:p>
    <w:p w14:paraId="3C5E65C9">
      <w:pPr>
        <w:tabs>
          <w:tab w:val="left" w:pos="360"/>
        </w:tabs>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3</w:t>
      </w:r>
      <w:r>
        <w:rPr>
          <w:rFonts w:hint="eastAsia" w:ascii="宋体" w:hAnsi="宋体" w:cs="宋体"/>
          <w:sz w:val="24"/>
          <w:highlight w:val="none"/>
          <w:lang w:val="zh-CN"/>
        </w:rPr>
        <w:t>.</w:t>
      </w:r>
      <w:r>
        <w:rPr>
          <w:rFonts w:hint="eastAsia" w:ascii="宋体" w:hAnsi="宋体" w:cs="宋体"/>
          <w:sz w:val="24"/>
          <w:highlight w:val="none"/>
        </w:rPr>
        <w:t>2 适用法律和行政法规</w:t>
      </w:r>
    </w:p>
    <w:p w14:paraId="3C18EF61">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本合同文件适用中华人民共和国有关法律和行政法规。需要明示的法律和行政法规，双方可在本合同专用条款中约定。</w:t>
      </w:r>
    </w:p>
    <w:p w14:paraId="4CE623AF">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二、双方一般权利和义务</w:t>
      </w:r>
    </w:p>
    <w:p w14:paraId="55952B9F">
      <w:pPr>
        <w:tabs>
          <w:tab w:val="left" w:pos="360"/>
        </w:tabs>
        <w:spacing w:line="560" w:lineRule="exact"/>
        <w:rPr>
          <w:rFonts w:hint="eastAsia"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4、委托人的义务</w:t>
      </w:r>
    </w:p>
    <w:p w14:paraId="6EA1022F">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4</w:t>
      </w:r>
      <w:r>
        <w:rPr>
          <w:rFonts w:hint="eastAsia" w:ascii="宋体" w:hAnsi="宋体" w:cs="宋体"/>
          <w:sz w:val="24"/>
          <w:highlight w:val="none"/>
          <w:lang w:val="zh-CN"/>
        </w:rPr>
        <w:t>.</w:t>
      </w:r>
      <w:r>
        <w:rPr>
          <w:rFonts w:hint="eastAsia" w:ascii="宋体" w:hAnsi="宋体" w:cs="宋体"/>
          <w:sz w:val="24"/>
          <w:highlight w:val="none"/>
        </w:rPr>
        <w:t>1 委托人将委托招标代理工作的具体范围和内容在本合同专用条款中约定。</w:t>
      </w:r>
    </w:p>
    <w:p w14:paraId="20A6F595">
      <w:pPr>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4</w:t>
      </w:r>
      <w:r>
        <w:rPr>
          <w:rFonts w:hint="eastAsia" w:ascii="宋体" w:hAnsi="宋体" w:cs="宋体"/>
          <w:sz w:val="24"/>
          <w:highlight w:val="none"/>
          <w:lang w:val="zh-CN"/>
        </w:rPr>
        <w:t>.</w:t>
      </w:r>
      <w:r>
        <w:rPr>
          <w:rFonts w:hint="eastAsia" w:ascii="宋体" w:hAnsi="宋体" w:cs="宋体"/>
          <w:sz w:val="24"/>
          <w:highlight w:val="none"/>
        </w:rPr>
        <w:t>2 委托人按本合同专用条款约定的内容和时间完成下列工作：</w:t>
      </w:r>
    </w:p>
    <w:p w14:paraId="0E9ED06F">
      <w:pPr>
        <w:spacing w:line="560" w:lineRule="exact"/>
        <w:rPr>
          <w:rFonts w:hint="eastAsia" w:ascii="宋体" w:hAnsi="宋体" w:cs="宋体"/>
          <w:sz w:val="24"/>
          <w:highlight w:val="none"/>
        </w:rPr>
      </w:pPr>
      <w:r>
        <w:rPr>
          <w:rFonts w:hint="eastAsia" w:ascii="宋体" w:hAnsi="宋体" w:cs="宋体"/>
          <w:sz w:val="24"/>
          <w:highlight w:val="none"/>
        </w:rPr>
        <w:t xml:space="preserve">    （1）向受托人提供本工程招标代理业务应具备的相关工程前期资料（如立项批准手续、规划许可、报建证等）及资金落实情况资料；</w:t>
      </w:r>
    </w:p>
    <w:p w14:paraId="3CFB3C45">
      <w:pPr>
        <w:spacing w:line="560" w:lineRule="exact"/>
        <w:rPr>
          <w:rFonts w:hint="eastAsia" w:ascii="宋体" w:hAnsi="宋体" w:cs="宋体"/>
          <w:sz w:val="24"/>
          <w:highlight w:val="none"/>
        </w:rPr>
      </w:pPr>
      <w:r>
        <w:rPr>
          <w:rFonts w:hint="eastAsia" w:ascii="宋体" w:hAnsi="宋体" w:cs="宋体"/>
          <w:sz w:val="24"/>
          <w:highlight w:val="none"/>
        </w:rPr>
        <w:t xml:space="preserve">    （2）向受托人提供完成本工程招标代理业务所需的全部技术资料和图纸，需要交底的须向受托人详细交底，并对提供资料的真实性、完整性、准确性负责；</w:t>
      </w:r>
    </w:p>
    <w:p w14:paraId="2E7FD14C">
      <w:pPr>
        <w:spacing w:line="560" w:lineRule="exact"/>
        <w:rPr>
          <w:rFonts w:hint="eastAsia" w:ascii="宋体" w:hAnsi="宋体" w:cs="宋体"/>
          <w:sz w:val="24"/>
          <w:highlight w:val="none"/>
        </w:rPr>
      </w:pPr>
      <w:r>
        <w:rPr>
          <w:rFonts w:hint="eastAsia" w:ascii="宋体" w:hAnsi="宋体" w:cs="宋体"/>
          <w:sz w:val="24"/>
          <w:highlight w:val="none"/>
        </w:rPr>
        <w:t xml:space="preserve">    （3）向受托人提供保证招标工作顺利完成的条件，提供的条件在本合同专用条款内约定；</w:t>
      </w:r>
    </w:p>
    <w:p w14:paraId="2046090B">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（4）指定专人与受托人联系，指定人员的姓名、职务、职称在本合同专用条款内约定；</w:t>
      </w:r>
    </w:p>
    <w:p w14:paraId="59ED422C">
      <w:pPr>
        <w:spacing w:line="560" w:lineRule="exact"/>
        <w:rPr>
          <w:rFonts w:hint="eastAsia" w:ascii="宋体" w:hAnsi="宋体" w:cs="宋体"/>
          <w:sz w:val="24"/>
          <w:highlight w:val="none"/>
        </w:rPr>
      </w:pPr>
      <w:r>
        <w:rPr>
          <w:rFonts w:hint="eastAsia" w:ascii="宋体" w:hAnsi="宋体" w:cs="宋体"/>
          <w:sz w:val="24"/>
          <w:highlight w:val="none"/>
        </w:rPr>
        <w:t xml:space="preserve">   （5）根据需要，作好与第三方的协调工作；</w:t>
      </w:r>
    </w:p>
    <w:p w14:paraId="69C8092E">
      <w:pPr>
        <w:spacing w:line="560" w:lineRule="exact"/>
        <w:ind w:left="0" w:leftChars="0" w:right="0" w:rightChars="0" w:firstLineChars="175"/>
        <w:rPr>
          <w:rFonts w:hint="eastAsia" w:ascii="宋体" w:hAnsi="宋体" w:cs="宋体"/>
          <w:sz w:val="24"/>
          <w:highlight w:val="none"/>
        </w:rPr>
      </w:pPr>
      <w:r>
        <w:rPr>
          <w:rFonts w:hint="eastAsia" w:ascii="宋体" w:hAnsi="宋体" w:cs="宋体"/>
          <w:sz w:val="24"/>
          <w:highlight w:val="none"/>
        </w:rPr>
        <w:t>（6）按本合同专用条款的约定支付代理报酬；</w:t>
      </w:r>
    </w:p>
    <w:p w14:paraId="17955927">
      <w:pPr>
        <w:spacing w:line="560" w:lineRule="exact"/>
        <w:ind w:left="0" w:leftChars="0" w:right="0" w:rightChars="0" w:firstLineChars="175"/>
        <w:rPr>
          <w:rFonts w:hint="eastAsia" w:ascii="宋体" w:hAnsi="宋体" w:cs="宋体"/>
          <w:sz w:val="24"/>
          <w:highlight w:val="none"/>
        </w:rPr>
      </w:pPr>
      <w:r>
        <w:rPr>
          <w:rFonts w:hint="eastAsia" w:ascii="宋体" w:hAnsi="宋体" w:cs="宋体"/>
          <w:sz w:val="24"/>
          <w:highlight w:val="none"/>
        </w:rPr>
        <w:t>（7）依法应尽的其他义务，双方在本合同专用条款内约定。</w:t>
      </w:r>
    </w:p>
    <w:p w14:paraId="591981B4">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4</w:t>
      </w:r>
      <w:r>
        <w:rPr>
          <w:rFonts w:hint="eastAsia" w:ascii="宋体" w:hAnsi="宋体" w:cs="宋体"/>
          <w:sz w:val="24"/>
          <w:highlight w:val="none"/>
          <w:lang w:val="zh-CN"/>
        </w:rPr>
        <w:t>.</w:t>
      </w:r>
      <w:r>
        <w:rPr>
          <w:rFonts w:hint="eastAsia" w:ascii="宋体" w:hAnsi="宋体" w:cs="宋体"/>
          <w:sz w:val="24"/>
          <w:highlight w:val="none"/>
        </w:rPr>
        <w:t>3受托人在履行招标代理业务过程中，提出的超出招标代理范围的合理化建议，经委托人书面同意并取得经济效益后，委托人可视情况给予受托人一定的经济奖励。</w:t>
      </w:r>
    </w:p>
    <w:p w14:paraId="0CA5ED38">
      <w:pPr>
        <w:spacing w:line="560" w:lineRule="exact"/>
        <w:rPr>
          <w:rFonts w:hint="eastAsia" w:ascii="宋体" w:hAnsi="宋体" w:cs="宋体"/>
          <w:sz w:val="24"/>
          <w:highlight w:val="none"/>
        </w:rPr>
      </w:pPr>
      <w:r>
        <w:rPr>
          <w:rFonts w:hint="eastAsia" w:ascii="宋体" w:hAnsi="宋体" w:cs="宋体"/>
          <w:sz w:val="24"/>
          <w:highlight w:val="none"/>
        </w:rPr>
        <w:t xml:space="preserve">    4</w:t>
      </w:r>
      <w:r>
        <w:rPr>
          <w:rFonts w:hint="eastAsia" w:ascii="宋体" w:hAnsi="宋体" w:cs="宋体"/>
          <w:sz w:val="24"/>
          <w:highlight w:val="none"/>
          <w:lang w:val="zh-CN"/>
        </w:rPr>
        <w:t>.</w:t>
      </w:r>
      <w:r>
        <w:rPr>
          <w:rFonts w:hint="eastAsia" w:ascii="宋体" w:hAnsi="宋体" w:cs="宋体"/>
          <w:sz w:val="24"/>
          <w:highlight w:val="none"/>
        </w:rPr>
        <w:t>4 委托人负有对受托人为本合同提供的技术服务进行知识产权保护的责任。</w:t>
      </w:r>
    </w:p>
    <w:p w14:paraId="77CC0BFE">
      <w:pPr>
        <w:spacing w:line="560" w:lineRule="exact"/>
        <w:rPr>
          <w:rFonts w:hint="eastAsia" w:ascii="宋体" w:hAnsi="宋体" w:cs="宋体"/>
          <w:sz w:val="24"/>
          <w:highlight w:val="none"/>
        </w:rPr>
      </w:pPr>
      <w:r>
        <w:rPr>
          <w:rFonts w:hint="eastAsia" w:ascii="宋体" w:hAnsi="宋体" w:cs="宋体"/>
          <w:sz w:val="24"/>
          <w:highlight w:val="none"/>
        </w:rPr>
        <w:t xml:space="preserve">    4</w:t>
      </w:r>
      <w:r>
        <w:rPr>
          <w:rFonts w:hint="eastAsia" w:ascii="宋体" w:hAnsi="宋体" w:cs="宋体"/>
          <w:sz w:val="24"/>
          <w:highlight w:val="none"/>
          <w:lang w:val="zh-CN"/>
        </w:rPr>
        <w:t>.</w:t>
      </w:r>
      <w:r>
        <w:rPr>
          <w:rFonts w:hint="eastAsia" w:ascii="宋体" w:hAnsi="宋体" w:cs="宋体"/>
          <w:sz w:val="24"/>
          <w:highlight w:val="none"/>
        </w:rPr>
        <w:t>5委托人未能履行以上各项义务，给受托人造成损失的，应当赔偿受托人的有关损失。</w:t>
      </w:r>
    </w:p>
    <w:p w14:paraId="05D4FD29">
      <w:pPr>
        <w:tabs>
          <w:tab w:val="left" w:pos="360"/>
        </w:tabs>
        <w:spacing w:line="560" w:lineRule="exact"/>
        <w:ind w:left="0" w:leftChars="0" w:right="0" w:rightChars="0" w:firstLineChars="200"/>
        <w:rPr>
          <w:rFonts w:hint="eastAsia" w:ascii="宋体" w:hAnsi="宋体" w:cs="宋体"/>
          <w:b/>
          <w:bCs/>
          <w:sz w:val="24"/>
          <w:highlight w:val="none"/>
        </w:rPr>
      </w:pPr>
      <w:r>
        <w:rPr>
          <w:rFonts w:hint="eastAsia" w:ascii="宋体" w:hAnsi="宋体" w:cs="宋体"/>
          <w:b/>
          <w:bCs/>
          <w:sz w:val="24"/>
          <w:highlight w:val="none"/>
        </w:rPr>
        <w:t>5、受托人的义务</w:t>
      </w:r>
    </w:p>
    <w:p w14:paraId="556BED33">
      <w:pPr>
        <w:tabs>
          <w:tab w:val="left" w:pos="360"/>
        </w:tabs>
        <w:spacing w:line="560" w:lineRule="exact"/>
        <w:rPr>
          <w:rFonts w:hint="eastAsia" w:ascii="宋体" w:hAnsi="宋体" w:cs="宋体"/>
          <w:sz w:val="24"/>
          <w:highlight w:val="none"/>
        </w:rPr>
      </w:pPr>
      <w:r>
        <w:rPr>
          <w:rFonts w:hint="eastAsia" w:ascii="宋体" w:hAnsi="宋体" w:cs="宋体"/>
          <w:sz w:val="24"/>
          <w:highlight w:val="none"/>
        </w:rPr>
        <w:t xml:space="preserve">    5</w:t>
      </w:r>
      <w:r>
        <w:rPr>
          <w:rFonts w:hint="eastAsia" w:ascii="宋体" w:hAnsi="宋体" w:cs="宋体"/>
          <w:sz w:val="24"/>
          <w:highlight w:val="none"/>
          <w:lang w:val="zh-CN"/>
        </w:rPr>
        <w:t>.</w:t>
      </w:r>
      <w:r>
        <w:rPr>
          <w:rFonts w:hint="eastAsia" w:ascii="宋体" w:hAnsi="宋体" w:cs="宋体"/>
          <w:sz w:val="24"/>
          <w:highlight w:val="none"/>
        </w:rPr>
        <w:t>1受托人应根据本合同专用条款中约定的委托招标代理业务的工作范围和内容，选择有足够经验的专职技术经济人员担任招标代理项目负责人。招标代理项目负责人的姓名、身份证号在专用条款内写明。</w:t>
      </w:r>
    </w:p>
    <w:p w14:paraId="51CB1185">
      <w:pPr>
        <w:tabs>
          <w:tab w:val="left" w:pos="360"/>
        </w:tabs>
        <w:spacing w:line="560" w:lineRule="exact"/>
        <w:ind w:right="0" w:firstLine="180"/>
        <w:rPr>
          <w:rFonts w:hint="eastAsia" w:ascii="宋体" w:hAnsi="宋体" w:cs="宋体"/>
          <w:sz w:val="24"/>
          <w:highlight w:val="none"/>
        </w:rPr>
      </w:pPr>
      <w:r>
        <w:rPr>
          <w:rFonts w:hint="eastAsia" w:ascii="宋体" w:hAnsi="宋体" w:cs="宋体"/>
          <w:sz w:val="24"/>
          <w:highlight w:val="none"/>
        </w:rPr>
        <w:t xml:space="preserve">  5</w:t>
      </w:r>
      <w:r>
        <w:rPr>
          <w:rFonts w:hint="eastAsia" w:ascii="宋体" w:hAnsi="宋体" w:cs="宋体"/>
          <w:sz w:val="24"/>
          <w:highlight w:val="none"/>
          <w:lang w:val="zh-CN"/>
        </w:rPr>
        <w:t>.</w:t>
      </w:r>
      <w:r>
        <w:rPr>
          <w:rFonts w:hint="eastAsia" w:ascii="宋体" w:hAnsi="宋体" w:cs="宋体"/>
          <w:sz w:val="24"/>
          <w:highlight w:val="none"/>
        </w:rPr>
        <w:t>2受托人按本合同专用条款约定的内容和时间完成下列工作：</w:t>
      </w:r>
    </w:p>
    <w:p w14:paraId="38C4E3B4">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（1）依法按照公开、公平、公正和诚实信用原则， 组织招标工作，维护各方的合法权益；</w:t>
      </w:r>
    </w:p>
    <w:p w14:paraId="7AA541BE">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（2）应用专业技术与技能为委托人提供完成招标工作相关的咨询服务；</w:t>
      </w:r>
    </w:p>
    <w:p w14:paraId="56622E2E">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（3）向委托人宣传有关工程招标的法律、行政法规和规章，解释合理的招标程序，  以便得到委托人的支持和配合；</w:t>
      </w:r>
    </w:p>
    <w:p w14:paraId="706205CC">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（4）依法应尽的其他义务，双方在本合同专用条款内约定。</w:t>
      </w:r>
    </w:p>
    <w:p w14:paraId="6465E3FD">
      <w:pPr>
        <w:tabs>
          <w:tab w:val="left" w:pos="360"/>
        </w:tabs>
        <w:spacing w:line="560" w:lineRule="exact"/>
        <w:rPr>
          <w:rFonts w:hint="eastAsia" w:ascii="宋体" w:hAnsi="宋体" w:cs="宋体"/>
          <w:sz w:val="24"/>
          <w:highlight w:val="none"/>
        </w:rPr>
      </w:pPr>
      <w:r>
        <w:rPr>
          <w:rFonts w:hint="eastAsia" w:ascii="宋体" w:hAnsi="宋体" w:cs="宋体"/>
          <w:sz w:val="24"/>
          <w:highlight w:val="none"/>
        </w:rPr>
        <w:t xml:space="preserve">    5</w:t>
      </w:r>
      <w:r>
        <w:rPr>
          <w:rFonts w:hint="eastAsia" w:ascii="宋体" w:hAnsi="宋体" w:cs="宋体"/>
          <w:sz w:val="24"/>
          <w:highlight w:val="none"/>
          <w:lang w:val="zh-CN"/>
        </w:rPr>
        <w:t>.</w:t>
      </w:r>
      <w:r>
        <w:rPr>
          <w:rFonts w:hint="eastAsia" w:ascii="宋体" w:hAnsi="宋体" w:cs="宋体"/>
          <w:sz w:val="24"/>
          <w:highlight w:val="none"/>
        </w:rPr>
        <w:t>3受托人应对招标工作中受托人所出具有关数据的计算、技术经济资料等的科学性和准确性负责。</w:t>
      </w:r>
    </w:p>
    <w:p w14:paraId="5336111B">
      <w:pPr>
        <w:spacing w:line="560" w:lineRule="exact"/>
        <w:rPr>
          <w:rFonts w:hint="eastAsia" w:ascii="宋体" w:hAnsi="宋体" w:cs="宋体"/>
          <w:sz w:val="24"/>
          <w:highlight w:val="none"/>
        </w:rPr>
      </w:pPr>
      <w:r>
        <w:rPr>
          <w:rFonts w:hint="eastAsia" w:ascii="宋体" w:hAnsi="宋体" w:cs="宋体"/>
          <w:sz w:val="24"/>
          <w:highlight w:val="none"/>
        </w:rPr>
        <w:t xml:space="preserve">    5</w:t>
      </w:r>
      <w:r>
        <w:rPr>
          <w:rFonts w:hint="eastAsia" w:ascii="宋体" w:hAnsi="宋体" w:cs="宋体"/>
          <w:sz w:val="24"/>
          <w:highlight w:val="none"/>
          <w:lang w:val="zh-CN"/>
        </w:rPr>
        <w:t>.</w:t>
      </w:r>
      <w:r>
        <w:rPr>
          <w:rFonts w:hint="eastAsia" w:ascii="宋体" w:hAnsi="宋体" w:cs="宋体"/>
          <w:sz w:val="24"/>
          <w:highlight w:val="none"/>
        </w:rPr>
        <w:t>4受托人不得接受与本合同工程建设项目中委托招标范围之内的相关的投标咨询业务。</w:t>
      </w:r>
    </w:p>
    <w:p w14:paraId="21E3EE42">
      <w:pPr>
        <w:spacing w:line="560" w:lineRule="exact"/>
        <w:rPr>
          <w:rFonts w:ascii="宋体" w:hAnsi="宋体" w:eastAsia="宋体" w:cs="宋体"/>
          <w:sz w:val="24"/>
          <w:highlight w:val="none"/>
        </w:rPr>
      </w:pPr>
      <w:r>
        <w:rPr>
          <w:rFonts w:hint="eastAsia" w:ascii="宋体" w:hAnsi="宋体" w:cs="宋体"/>
          <w:sz w:val="24"/>
          <w:highlight w:val="none"/>
        </w:rPr>
        <w:t xml:space="preserve">    5</w:t>
      </w:r>
      <w:r>
        <w:rPr>
          <w:rFonts w:hint="eastAsia" w:ascii="宋体" w:hAnsi="宋体" w:cs="宋体"/>
          <w:sz w:val="24"/>
          <w:highlight w:val="none"/>
          <w:lang w:val="zh-CN"/>
        </w:rPr>
        <w:t>.</w:t>
      </w:r>
      <w:r>
        <w:rPr>
          <w:rFonts w:hint="eastAsia" w:ascii="宋体" w:hAnsi="宋体" w:cs="宋体"/>
          <w:sz w:val="24"/>
          <w:highlight w:val="none"/>
        </w:rPr>
        <w:t>5受托人为本合同提供技术服务的知识产权应属受托人专有。任何第三方如果提出侵权指控，受托人须与第三方交涉并承担由此而引起的一切法律责任和费用。</w:t>
      </w:r>
    </w:p>
    <w:p w14:paraId="547B9383">
      <w:pPr>
        <w:spacing w:line="560" w:lineRule="exact"/>
        <w:rPr>
          <w:rFonts w:hint="eastAsia" w:ascii="宋体" w:hAnsi="宋体" w:cs="宋体"/>
          <w:sz w:val="24"/>
          <w:highlight w:val="none"/>
        </w:rPr>
      </w:pPr>
      <w:r>
        <w:rPr>
          <w:rFonts w:hint="eastAsia" w:ascii="宋体" w:hAnsi="宋体" w:cs="宋体"/>
          <w:sz w:val="24"/>
          <w:highlight w:val="none"/>
        </w:rPr>
        <w:t xml:space="preserve">    5</w:t>
      </w:r>
      <w:r>
        <w:rPr>
          <w:rFonts w:hint="eastAsia" w:ascii="宋体" w:hAnsi="宋体" w:cs="宋体"/>
          <w:sz w:val="24"/>
          <w:highlight w:val="none"/>
          <w:lang w:val="zh-CN"/>
        </w:rPr>
        <w:t>.</w:t>
      </w:r>
      <w:r>
        <w:rPr>
          <w:rFonts w:hint="eastAsia" w:ascii="宋体" w:hAnsi="宋体" w:cs="宋体"/>
          <w:sz w:val="24"/>
          <w:highlight w:val="none"/>
        </w:rPr>
        <w:t>6 未经委托人同意，受托人不得分包或转让本合同的任何权利和义务。</w:t>
      </w:r>
    </w:p>
    <w:p w14:paraId="14AAF82B">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5</w:t>
      </w:r>
      <w:r>
        <w:rPr>
          <w:rFonts w:hint="eastAsia" w:ascii="宋体" w:hAnsi="宋体" w:cs="宋体"/>
          <w:sz w:val="24"/>
          <w:highlight w:val="none"/>
          <w:lang w:val="zh-CN"/>
        </w:rPr>
        <w:t>.</w:t>
      </w:r>
      <w:r>
        <w:rPr>
          <w:rFonts w:hint="eastAsia" w:ascii="宋体" w:hAnsi="宋体" w:cs="宋体"/>
          <w:sz w:val="24"/>
          <w:highlight w:val="none"/>
        </w:rPr>
        <w:t>7受托人不得接受所有投标人的礼品、宴请和任何其它好处；受托人应当保守因从事本合同业务而获得本合同项目及委托人业务等方面的信息，未经委托人书面同意，不得泄露招标投标过程中依法需要保密的任何内容；不得利用其从事任何其他赢利或非赢利事项。</w:t>
      </w:r>
    </w:p>
    <w:p w14:paraId="7C9B886D">
      <w:pPr>
        <w:spacing w:line="560" w:lineRule="exact"/>
        <w:ind w:left="0" w:leftChars="0" w:right="0" w:rightChars="0" w:firstLineChars="171"/>
        <w:rPr>
          <w:rFonts w:hint="eastAsia" w:ascii="宋体" w:hAnsi="宋体" w:cs="宋体"/>
          <w:sz w:val="24"/>
          <w:highlight w:val="none"/>
        </w:rPr>
      </w:pPr>
      <w:r>
        <w:rPr>
          <w:rFonts w:hint="eastAsia" w:ascii="宋体" w:hAnsi="宋体" w:cs="宋体"/>
          <w:bCs/>
          <w:sz w:val="24"/>
          <w:highlight w:val="none"/>
        </w:rPr>
        <w:t>5.8</w:t>
      </w:r>
      <w:r>
        <w:rPr>
          <w:rFonts w:hint="eastAsia" w:ascii="宋体" w:hAnsi="宋体" w:cs="宋体"/>
          <w:sz w:val="24"/>
          <w:highlight w:val="none"/>
        </w:rPr>
        <w:t>受托人未能履行以上各项义务，给委托人造成损失的，应当赔偿委托人的有关损失。</w:t>
      </w:r>
    </w:p>
    <w:p w14:paraId="0C566F20">
      <w:pPr>
        <w:spacing w:line="560" w:lineRule="exact"/>
        <w:rPr>
          <w:rFonts w:hint="eastAsia"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 xml:space="preserve"> 6、委托人的权利</w:t>
      </w:r>
    </w:p>
    <w:p w14:paraId="61016461">
      <w:pPr>
        <w:spacing w:line="560" w:lineRule="exact"/>
        <w:rPr>
          <w:rFonts w:hint="eastAsia" w:ascii="宋体" w:hAnsi="宋体" w:cs="宋体"/>
          <w:sz w:val="24"/>
          <w:highlight w:val="none"/>
        </w:rPr>
      </w:pPr>
      <w:r>
        <w:rPr>
          <w:rFonts w:hint="eastAsia" w:ascii="宋体" w:hAnsi="宋体" w:cs="宋体"/>
          <w:sz w:val="24"/>
          <w:highlight w:val="none"/>
        </w:rPr>
        <w:t xml:space="preserve">    6</w:t>
      </w:r>
      <w:r>
        <w:rPr>
          <w:rFonts w:hint="eastAsia" w:ascii="宋体" w:hAnsi="宋体" w:cs="宋体"/>
          <w:sz w:val="24"/>
          <w:highlight w:val="none"/>
          <w:lang w:val="zh-CN"/>
        </w:rPr>
        <w:t>.</w:t>
      </w:r>
      <w:r>
        <w:rPr>
          <w:rFonts w:hint="eastAsia" w:ascii="宋体" w:hAnsi="宋体" w:cs="宋体"/>
          <w:sz w:val="24"/>
          <w:highlight w:val="none"/>
        </w:rPr>
        <w:t>1委托人拥有下列权利：</w:t>
      </w:r>
    </w:p>
    <w:p w14:paraId="3CA20B4D">
      <w:pPr>
        <w:spacing w:line="560" w:lineRule="exact"/>
        <w:rPr>
          <w:rFonts w:hint="eastAsia" w:ascii="宋体" w:hAnsi="宋体" w:cs="宋体"/>
          <w:sz w:val="24"/>
          <w:highlight w:val="none"/>
        </w:rPr>
      </w:pPr>
      <w:r>
        <w:rPr>
          <w:rFonts w:hint="eastAsia" w:ascii="宋体" w:hAnsi="宋体" w:cs="宋体"/>
          <w:sz w:val="24"/>
          <w:highlight w:val="none"/>
        </w:rPr>
        <w:t xml:space="preserve">    （1）按合同约定，接收招标代理成果；</w:t>
      </w:r>
    </w:p>
    <w:p w14:paraId="64DE96F0">
      <w:pPr>
        <w:spacing w:line="560" w:lineRule="exact"/>
        <w:rPr>
          <w:rFonts w:hint="eastAsia" w:ascii="宋体" w:hAnsi="宋体" w:cs="宋体"/>
          <w:sz w:val="24"/>
          <w:highlight w:val="none"/>
        </w:rPr>
      </w:pPr>
      <w:r>
        <w:rPr>
          <w:rFonts w:hint="eastAsia" w:ascii="宋体" w:hAnsi="宋体" w:cs="宋体"/>
          <w:sz w:val="24"/>
          <w:highlight w:val="none"/>
        </w:rPr>
        <w:t xml:space="preserve">    （2）向受托人询问本合同工程招标工作进展情况和相关内容或提出不违反法律、行政法规的建议；</w:t>
      </w:r>
    </w:p>
    <w:p w14:paraId="2B35EB56">
      <w:pPr>
        <w:spacing w:line="560" w:lineRule="exact"/>
        <w:rPr>
          <w:rFonts w:hint="eastAsia" w:ascii="宋体" w:hAnsi="宋体" w:cs="宋体"/>
          <w:sz w:val="24"/>
          <w:highlight w:val="none"/>
        </w:rPr>
      </w:pPr>
      <w:r>
        <w:rPr>
          <w:rFonts w:hint="eastAsia" w:ascii="宋体" w:hAnsi="宋体" w:cs="宋体"/>
          <w:sz w:val="24"/>
          <w:highlight w:val="none"/>
        </w:rPr>
        <w:t xml:space="preserve">    （3）审查受托人为本合同工程编制的各种文件，并提出修正意见；</w:t>
      </w:r>
    </w:p>
    <w:p w14:paraId="558BFEC9">
      <w:pPr>
        <w:spacing w:line="560" w:lineRule="exact"/>
        <w:rPr>
          <w:rFonts w:hint="eastAsia" w:ascii="宋体" w:hAnsi="宋体" w:cs="宋体"/>
          <w:sz w:val="24"/>
          <w:highlight w:val="none"/>
        </w:rPr>
      </w:pPr>
      <w:r>
        <w:rPr>
          <w:rFonts w:hint="eastAsia" w:ascii="宋体" w:hAnsi="宋体" w:cs="宋体"/>
          <w:sz w:val="24"/>
          <w:highlight w:val="none"/>
        </w:rPr>
        <w:t xml:space="preserve">    （4）要求受托人提交招标代理业务工作报告；</w:t>
      </w:r>
    </w:p>
    <w:p w14:paraId="7AC8CE09">
      <w:pPr>
        <w:spacing w:line="560" w:lineRule="exact"/>
        <w:rPr>
          <w:rFonts w:hint="eastAsia" w:ascii="宋体" w:hAnsi="宋体" w:cs="宋体"/>
          <w:sz w:val="24"/>
          <w:highlight w:val="none"/>
        </w:rPr>
      </w:pPr>
      <w:r>
        <w:rPr>
          <w:rFonts w:hint="eastAsia" w:ascii="宋体" w:hAnsi="宋体" w:cs="宋体"/>
          <w:sz w:val="24"/>
          <w:highlight w:val="none"/>
        </w:rPr>
        <w:t xml:space="preserve">    （5）与受托人协商，建议更换其不称职的招标代理从业人员；</w:t>
      </w:r>
    </w:p>
    <w:p w14:paraId="2A7C3542">
      <w:pPr>
        <w:spacing w:line="560" w:lineRule="exact"/>
        <w:rPr>
          <w:rFonts w:hint="eastAsia" w:ascii="宋体" w:hAnsi="宋体" w:cs="宋体"/>
          <w:sz w:val="24"/>
          <w:highlight w:val="none"/>
        </w:rPr>
      </w:pPr>
      <w:r>
        <w:rPr>
          <w:rFonts w:hint="eastAsia" w:ascii="宋体" w:hAnsi="宋体" w:cs="宋体"/>
          <w:sz w:val="24"/>
          <w:highlight w:val="none"/>
        </w:rPr>
        <w:t xml:space="preserve">    （6）依法选择中标人；</w:t>
      </w:r>
    </w:p>
    <w:p w14:paraId="1BDE7020">
      <w:pPr>
        <w:spacing w:line="560" w:lineRule="exact"/>
        <w:rPr>
          <w:rFonts w:hint="eastAsia" w:ascii="宋体" w:hAnsi="宋体" w:cs="宋体"/>
          <w:sz w:val="24"/>
          <w:highlight w:val="none"/>
        </w:rPr>
      </w:pPr>
      <w:r>
        <w:rPr>
          <w:rFonts w:hint="eastAsia" w:ascii="宋体" w:hAnsi="宋体" w:cs="宋体"/>
          <w:sz w:val="24"/>
          <w:highlight w:val="none"/>
        </w:rPr>
        <w:t xml:space="preserve">    （7）本合同履行期间，由于受托人不履行合同约定的内容，给委托人造成损失或影响招标工作正常进行的，委托人有权终止本合同，并依法向受托人追索经济赔偿，直至追究法律责任；</w:t>
      </w:r>
    </w:p>
    <w:p w14:paraId="7F67AE4A">
      <w:pPr>
        <w:spacing w:line="560" w:lineRule="exact"/>
        <w:rPr>
          <w:rFonts w:hint="eastAsia" w:ascii="宋体" w:hAnsi="宋体" w:cs="宋体"/>
          <w:sz w:val="24"/>
          <w:highlight w:val="none"/>
        </w:rPr>
      </w:pPr>
      <w:r>
        <w:rPr>
          <w:rFonts w:hint="eastAsia" w:ascii="宋体" w:hAnsi="宋体" w:cs="宋体"/>
          <w:sz w:val="24"/>
          <w:highlight w:val="none"/>
        </w:rPr>
        <w:t xml:space="preserve">    （8）依法享有的其他权利，双方在本合同专用条款内约定。</w:t>
      </w:r>
    </w:p>
    <w:p w14:paraId="1A076165">
      <w:pPr>
        <w:spacing w:line="560" w:lineRule="exact"/>
        <w:ind w:left="0" w:leftChars="0" w:right="0" w:rightChars="0" w:firstLineChars="200"/>
        <w:rPr>
          <w:rFonts w:hint="eastAsia" w:ascii="宋体" w:hAnsi="宋体" w:cs="宋体"/>
          <w:b/>
          <w:bCs/>
          <w:sz w:val="24"/>
          <w:highlight w:val="none"/>
        </w:rPr>
      </w:pPr>
      <w:r>
        <w:rPr>
          <w:rFonts w:hint="eastAsia" w:ascii="宋体" w:hAnsi="宋体" w:cs="宋体"/>
          <w:b/>
          <w:bCs/>
          <w:sz w:val="24"/>
          <w:highlight w:val="none"/>
        </w:rPr>
        <w:t>7、受托人的权利</w:t>
      </w:r>
    </w:p>
    <w:p w14:paraId="35621431">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7</w:t>
      </w:r>
      <w:r>
        <w:rPr>
          <w:rFonts w:hint="eastAsia" w:ascii="宋体" w:hAnsi="宋体" w:cs="宋体"/>
          <w:sz w:val="24"/>
          <w:highlight w:val="none"/>
          <w:lang w:val="zh-CN"/>
        </w:rPr>
        <w:t>.</w:t>
      </w:r>
      <w:r>
        <w:rPr>
          <w:rFonts w:hint="eastAsia" w:ascii="宋体" w:hAnsi="宋体" w:cs="宋体"/>
          <w:sz w:val="24"/>
          <w:highlight w:val="none"/>
        </w:rPr>
        <w:t>1受托人拥有下列权利：</w:t>
      </w:r>
    </w:p>
    <w:p w14:paraId="6DC237E9">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（1）按合同约定收取委托代理报酬；</w:t>
      </w:r>
    </w:p>
    <w:p w14:paraId="0BEA2DF1">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（2）对招标过程中应由委托人做出的决定，受托人有权提出建议；</w:t>
      </w:r>
    </w:p>
    <w:p w14:paraId="0D1FE6E1">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（3）当委托人提供的资料不足或不明确时，有权要求委托人补足资料或作出明确的答复；</w:t>
      </w:r>
    </w:p>
    <w:p w14:paraId="6E5A2393">
      <w:pPr>
        <w:spacing w:line="560" w:lineRule="exact"/>
        <w:rPr>
          <w:rFonts w:hint="eastAsia" w:ascii="宋体" w:hAnsi="宋体" w:cs="宋体"/>
          <w:sz w:val="24"/>
          <w:highlight w:val="none"/>
        </w:rPr>
      </w:pPr>
      <w:r>
        <w:rPr>
          <w:rFonts w:hint="eastAsia" w:ascii="宋体" w:hAnsi="宋体" w:cs="宋体"/>
          <w:sz w:val="24"/>
          <w:highlight w:val="none"/>
        </w:rPr>
        <w:t xml:space="preserve">    （4）拒绝委托人提出的违反法律、行政法规的要求，并向委托人作出解释；</w:t>
      </w:r>
    </w:p>
    <w:p w14:paraId="739DA4F9">
      <w:pPr>
        <w:spacing w:line="560" w:lineRule="exact"/>
        <w:rPr>
          <w:rFonts w:hint="eastAsia" w:ascii="宋体" w:hAnsi="宋体" w:cs="宋体"/>
          <w:sz w:val="24"/>
          <w:highlight w:val="none"/>
        </w:rPr>
      </w:pPr>
      <w:r>
        <w:rPr>
          <w:rFonts w:hint="eastAsia" w:ascii="宋体" w:hAnsi="宋体" w:cs="宋体"/>
          <w:sz w:val="24"/>
          <w:highlight w:val="none"/>
        </w:rPr>
        <w:t xml:space="preserve">    （5）有权参加委托人组织的涉及招标工作的所有会议和活动；    </w:t>
      </w:r>
    </w:p>
    <w:p w14:paraId="0E0297F9">
      <w:pPr>
        <w:spacing w:line="560" w:lineRule="exact"/>
        <w:rPr>
          <w:rFonts w:hint="eastAsia" w:ascii="宋体" w:hAnsi="宋体" w:cs="宋体"/>
          <w:sz w:val="24"/>
          <w:highlight w:val="none"/>
        </w:rPr>
      </w:pPr>
      <w:r>
        <w:rPr>
          <w:rFonts w:hint="eastAsia" w:ascii="宋体" w:hAnsi="宋体" w:cs="宋体"/>
          <w:sz w:val="24"/>
          <w:highlight w:val="none"/>
        </w:rPr>
        <w:t xml:space="preserve">    （6）对于为本合同工程编制的所有文件拥有知识产权，委托人有权为本项目招标、建设、备案、审计、结算、运营及争议解决之目的无偿使用、复制、修改并向相关第三方提供；</w:t>
      </w:r>
    </w:p>
    <w:p w14:paraId="541F626C">
      <w:pPr>
        <w:spacing w:line="560" w:lineRule="exact"/>
        <w:ind w:right="0" w:firstLine="480"/>
        <w:rPr>
          <w:rFonts w:hint="eastAsia" w:ascii="宋体" w:hAnsi="宋体" w:cs="宋体"/>
          <w:sz w:val="24"/>
          <w:highlight w:val="none"/>
        </w:rPr>
      </w:pPr>
      <w:r>
        <w:rPr>
          <w:rFonts w:hint="eastAsia" w:ascii="宋体" w:hAnsi="宋体" w:cs="宋体"/>
          <w:sz w:val="24"/>
          <w:highlight w:val="none"/>
        </w:rPr>
        <w:t>（7）依法享有的其他权利，双方在本合同专用条款内约定。</w:t>
      </w:r>
    </w:p>
    <w:p w14:paraId="1075967C">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三、委托代理报酬与收取</w:t>
      </w:r>
    </w:p>
    <w:p w14:paraId="7A178E8E">
      <w:pPr>
        <w:spacing w:line="560" w:lineRule="exact"/>
        <w:ind w:left="0" w:leftChars="0" w:right="0" w:rightChars="0" w:firstLineChars="200"/>
        <w:rPr>
          <w:rFonts w:hint="eastAsia" w:ascii="宋体" w:hAnsi="宋体" w:cs="宋体"/>
          <w:b/>
          <w:bCs/>
          <w:sz w:val="24"/>
          <w:highlight w:val="none"/>
        </w:rPr>
      </w:pPr>
      <w:r>
        <w:rPr>
          <w:rFonts w:hint="eastAsia" w:ascii="宋体" w:hAnsi="宋体" w:cs="宋体"/>
          <w:b/>
          <w:bCs/>
          <w:sz w:val="24"/>
          <w:highlight w:val="none"/>
        </w:rPr>
        <w:t>8、委托代理报酬</w:t>
      </w:r>
    </w:p>
    <w:p w14:paraId="02357989">
      <w:pPr>
        <w:tabs>
          <w:tab w:val="left" w:pos="540"/>
        </w:tabs>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8</w:t>
      </w:r>
      <w:r>
        <w:rPr>
          <w:rFonts w:hint="eastAsia" w:ascii="宋体" w:hAnsi="宋体" w:cs="宋体"/>
          <w:sz w:val="24"/>
          <w:highlight w:val="none"/>
          <w:lang w:val="zh-CN"/>
        </w:rPr>
        <w:t>.</w:t>
      </w:r>
      <w:r>
        <w:rPr>
          <w:rFonts w:hint="eastAsia" w:ascii="宋体" w:hAnsi="宋体" w:cs="宋体"/>
          <w:sz w:val="24"/>
          <w:highlight w:val="none"/>
        </w:rPr>
        <w:t xml:space="preserve">1双方按照本合同约定的招标代理业务范围，在本合同专用条款内约定委托代理报酬的计算方法、金额、币种、汇率和支付方式、支付时间。   </w:t>
      </w:r>
    </w:p>
    <w:p w14:paraId="10325FAB">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8</w:t>
      </w:r>
      <w:r>
        <w:rPr>
          <w:rFonts w:hint="eastAsia" w:ascii="宋体" w:hAnsi="宋体" w:cs="宋体"/>
          <w:sz w:val="24"/>
          <w:highlight w:val="none"/>
          <w:lang w:val="zh-CN"/>
        </w:rPr>
        <w:t>.</w:t>
      </w:r>
      <w:r>
        <w:rPr>
          <w:rFonts w:hint="eastAsia" w:ascii="宋体" w:hAnsi="宋体" w:cs="宋体"/>
          <w:sz w:val="24"/>
          <w:highlight w:val="none"/>
        </w:rPr>
        <w:t>2受托人对所承接的招标代理业务需要出外考察的，其外出人员数量和费用，经委托人书面同意后，向委托人实报实销。</w:t>
      </w:r>
    </w:p>
    <w:p w14:paraId="4C9AB057">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8</w:t>
      </w:r>
      <w:r>
        <w:rPr>
          <w:rFonts w:hint="eastAsia" w:ascii="宋体" w:hAnsi="宋体" w:cs="宋体"/>
          <w:sz w:val="24"/>
          <w:highlight w:val="none"/>
          <w:lang w:val="zh-CN"/>
        </w:rPr>
        <w:t>.</w:t>
      </w:r>
      <w:r>
        <w:rPr>
          <w:rFonts w:hint="eastAsia" w:ascii="宋体" w:hAnsi="宋体" w:cs="宋体"/>
          <w:sz w:val="24"/>
          <w:highlight w:val="none"/>
        </w:rPr>
        <w:t>3在招标代理业务范围内所发生的其他费用（如：评标会务费、评标专家的差旅费、劳务费、公证费等），由委托人与受托人在补充条款中约定。</w:t>
      </w:r>
    </w:p>
    <w:p w14:paraId="3A28AC8F">
      <w:pPr>
        <w:spacing w:line="560" w:lineRule="exact"/>
        <w:ind w:right="0" w:firstLine="240"/>
        <w:rPr>
          <w:rFonts w:hint="eastAsia"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 xml:space="preserve"> 9、委托代理报酬的收取</w:t>
      </w:r>
    </w:p>
    <w:p w14:paraId="515E3A48">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9</w:t>
      </w:r>
      <w:r>
        <w:rPr>
          <w:rFonts w:hint="eastAsia" w:ascii="宋体" w:hAnsi="宋体" w:cs="宋体"/>
          <w:sz w:val="24"/>
          <w:highlight w:val="none"/>
          <w:lang w:val="zh-CN"/>
        </w:rPr>
        <w:t>.</w:t>
      </w:r>
      <w:r>
        <w:rPr>
          <w:rFonts w:hint="eastAsia" w:ascii="宋体" w:hAnsi="宋体" w:cs="宋体"/>
          <w:sz w:val="24"/>
          <w:highlight w:val="none"/>
        </w:rPr>
        <w:t>1由委托人支付代理报酬的，在本合同签订后10日内，委托人应向受托人支付不少于全部代理报酬</w:t>
      </w:r>
      <w:r>
        <w:rPr>
          <w:rFonts w:hint="eastAsia" w:ascii="宋体" w:hAnsi="宋体" w:cs="宋体"/>
          <w:sz w:val="24"/>
          <w:highlight w:val="none"/>
          <w:u w:val="single"/>
        </w:rPr>
        <w:t xml:space="preserve">  ／ </w:t>
      </w:r>
      <w:r>
        <w:rPr>
          <w:rFonts w:hint="eastAsia" w:ascii="宋体" w:hAnsi="宋体" w:cs="宋体"/>
          <w:sz w:val="24"/>
          <w:highlight w:val="none"/>
        </w:rPr>
        <w:t xml:space="preserve"> 的代理预付款，具体额度（或比例）双方在专用条款内约定。</w:t>
      </w:r>
    </w:p>
    <w:p w14:paraId="58249AE9">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由中标人支付代理报酬的，在中标人与委托人签订承包合同5日内，将本合同约定的全部委托代理报酬一次性支付给受托人。</w:t>
      </w:r>
    </w:p>
    <w:p w14:paraId="361D60C9">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9</w:t>
      </w:r>
      <w:r>
        <w:rPr>
          <w:rFonts w:hint="eastAsia" w:ascii="宋体" w:hAnsi="宋体" w:cs="宋体"/>
          <w:sz w:val="24"/>
          <w:highlight w:val="none"/>
          <w:lang w:val="zh-CN"/>
        </w:rPr>
        <w:t>.</w:t>
      </w:r>
      <w:r>
        <w:rPr>
          <w:rFonts w:hint="eastAsia" w:ascii="宋体" w:hAnsi="宋体" w:cs="宋体"/>
          <w:sz w:val="24"/>
          <w:highlight w:val="none"/>
        </w:rPr>
        <w:t>2经委托人书面同意后，受托人完成委托人委托的招标代理工作范围以外的工作，为附加服务项目，应收取的报酬由双方协商，签订补充协议。</w:t>
      </w:r>
    </w:p>
    <w:p w14:paraId="7AD13264">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9</w:t>
      </w:r>
      <w:r>
        <w:rPr>
          <w:rFonts w:hint="eastAsia" w:ascii="宋体" w:hAnsi="宋体" w:cs="宋体"/>
          <w:sz w:val="24"/>
          <w:highlight w:val="none"/>
          <w:lang w:val="zh-CN"/>
        </w:rPr>
        <w:t>.</w:t>
      </w:r>
      <w:r>
        <w:rPr>
          <w:rFonts w:hint="eastAsia" w:ascii="宋体" w:hAnsi="宋体" w:cs="宋体"/>
          <w:sz w:val="24"/>
          <w:highlight w:val="none"/>
        </w:rPr>
        <w:t>3委托人在本合同专用条款约定的支付时间内，未能如期支付代理预付费用，自应支付之日起，按同期银行贷款利率，计算支付代理预付费用的利息。</w:t>
      </w:r>
    </w:p>
    <w:p w14:paraId="54230695">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9</w:t>
      </w:r>
      <w:r>
        <w:rPr>
          <w:rFonts w:hint="eastAsia" w:ascii="宋体" w:hAnsi="宋体" w:cs="宋体"/>
          <w:sz w:val="24"/>
          <w:highlight w:val="none"/>
          <w:lang w:val="zh-CN"/>
        </w:rPr>
        <w:t>.</w:t>
      </w:r>
      <w:r>
        <w:rPr>
          <w:rFonts w:hint="eastAsia" w:ascii="宋体" w:hAnsi="宋体" w:cs="宋体"/>
          <w:sz w:val="24"/>
          <w:highlight w:val="none"/>
        </w:rPr>
        <w:t>4委托人在本合同专用条款约定的支付时间内，未能如期支付代理报酬，除应承担违约责任外，还应按同期银行贷款利率，计算支付应付代理报酬的利息。</w:t>
      </w:r>
    </w:p>
    <w:p w14:paraId="74AE4130">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9</w:t>
      </w:r>
      <w:r>
        <w:rPr>
          <w:rFonts w:hint="eastAsia" w:ascii="宋体" w:hAnsi="宋体" w:cs="宋体"/>
          <w:sz w:val="24"/>
          <w:highlight w:val="none"/>
          <w:lang w:val="zh-CN"/>
        </w:rPr>
        <w:t>.</w:t>
      </w:r>
      <w:r>
        <w:rPr>
          <w:rFonts w:hint="eastAsia" w:ascii="宋体" w:hAnsi="宋体" w:cs="宋体"/>
          <w:sz w:val="24"/>
          <w:highlight w:val="none"/>
        </w:rPr>
        <w:t>5委托代理报酬应由委托人按本合同专用条款约定的支付方法和时间，直接向受托人支付；或受托人按照约定直接向中标人收取。</w:t>
      </w:r>
    </w:p>
    <w:p w14:paraId="0DF8153A">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四、违约、索赔和争议</w:t>
      </w:r>
    </w:p>
    <w:p w14:paraId="1117CAF1">
      <w:pPr>
        <w:spacing w:line="560" w:lineRule="exact"/>
        <w:ind w:right="0" w:firstLine="240"/>
        <w:rPr>
          <w:rFonts w:hint="eastAsia"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10、违约</w:t>
      </w:r>
    </w:p>
    <w:p w14:paraId="55C75D1D">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10</w:t>
      </w:r>
      <w:r>
        <w:rPr>
          <w:rFonts w:hint="eastAsia" w:ascii="宋体" w:hAnsi="宋体" w:cs="宋体"/>
          <w:sz w:val="24"/>
          <w:highlight w:val="none"/>
          <w:lang w:val="zh-CN"/>
        </w:rPr>
        <w:t>.</w:t>
      </w:r>
      <w:r>
        <w:rPr>
          <w:rFonts w:hint="eastAsia" w:ascii="宋体" w:hAnsi="宋体" w:cs="宋体"/>
          <w:sz w:val="24"/>
          <w:highlight w:val="none"/>
        </w:rPr>
        <w:t>1 委托人违约。 当发生下列情况时：</w:t>
      </w:r>
    </w:p>
    <w:p w14:paraId="00356656">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（1）本合同通用条款第4</w:t>
      </w:r>
      <w:r>
        <w:rPr>
          <w:rFonts w:hint="eastAsia" w:ascii="宋体" w:hAnsi="宋体" w:cs="宋体"/>
          <w:sz w:val="24"/>
          <w:highlight w:val="none"/>
          <w:lang w:val="zh-CN"/>
        </w:rPr>
        <w:t>.</w:t>
      </w:r>
      <w:r>
        <w:rPr>
          <w:rFonts w:hint="eastAsia" w:ascii="宋体" w:hAnsi="宋体" w:cs="宋体"/>
          <w:sz w:val="24"/>
          <w:highlight w:val="none"/>
        </w:rPr>
        <w:t>2（3）款提到的委托人未按本合同专用条款的约定向委托人提供为保证招标工作顺利完成的条件，致使招标工作无法进行；</w:t>
      </w:r>
    </w:p>
    <w:p w14:paraId="30868F10">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（2）本合同通用条款第4</w:t>
      </w:r>
      <w:r>
        <w:rPr>
          <w:rFonts w:hint="eastAsia" w:ascii="宋体" w:hAnsi="宋体" w:cs="宋体"/>
          <w:sz w:val="24"/>
          <w:highlight w:val="none"/>
          <w:lang w:val="zh-CN"/>
        </w:rPr>
        <w:t>.</w:t>
      </w:r>
      <w:r>
        <w:rPr>
          <w:rFonts w:hint="eastAsia" w:ascii="宋体" w:hAnsi="宋体" w:cs="宋体"/>
          <w:sz w:val="24"/>
          <w:highlight w:val="none"/>
        </w:rPr>
        <w:t>2（6）款提到的委托人未按本合同专用条款的约定向受托人支付委托代理报酬；</w:t>
      </w:r>
    </w:p>
    <w:p w14:paraId="431B176D">
      <w:pPr>
        <w:spacing w:line="560" w:lineRule="exact"/>
        <w:ind w:right="0" w:firstLine="240"/>
        <w:rPr>
          <w:rFonts w:hint="eastAsia" w:ascii="宋体" w:hAnsi="宋体" w:cs="宋体"/>
          <w:sz w:val="24"/>
          <w:highlight w:val="none"/>
        </w:rPr>
      </w:pPr>
      <w:r>
        <w:rPr>
          <w:rFonts w:hint="eastAsia" w:ascii="宋体" w:hAnsi="宋体" w:cs="宋体"/>
          <w:sz w:val="24"/>
          <w:highlight w:val="none"/>
        </w:rPr>
        <w:t xml:space="preserve"> （3）委托人不履行合同义务或不按合同约定履行义务的其他情况。</w:t>
      </w:r>
    </w:p>
    <w:p w14:paraId="3DA98142">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委托人承担违约责任，赔偿因其违约给受托人造成的经济损失，双方在本合同专用条款内约定委托人赔偿受托人损失的计算方法或委托人应当支付违约金的数额或计算方法。</w:t>
      </w:r>
    </w:p>
    <w:p w14:paraId="0D933FA0">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10</w:t>
      </w:r>
      <w:r>
        <w:rPr>
          <w:rFonts w:hint="eastAsia" w:ascii="宋体" w:hAnsi="宋体" w:cs="宋体"/>
          <w:sz w:val="24"/>
          <w:highlight w:val="none"/>
          <w:lang w:val="zh-CN"/>
        </w:rPr>
        <w:t>.</w:t>
      </w:r>
      <w:r>
        <w:rPr>
          <w:rFonts w:hint="eastAsia" w:ascii="宋体" w:hAnsi="宋体" w:cs="宋体"/>
          <w:sz w:val="24"/>
          <w:highlight w:val="none"/>
        </w:rPr>
        <w:t>2  受托人违约。 当发生下列情况时：</w:t>
      </w:r>
    </w:p>
    <w:p w14:paraId="5E7313FA">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（1）本合同通用条款第5</w:t>
      </w:r>
      <w:r>
        <w:rPr>
          <w:rFonts w:hint="eastAsia" w:ascii="宋体" w:hAnsi="宋体" w:cs="宋体"/>
          <w:sz w:val="24"/>
          <w:highlight w:val="none"/>
          <w:lang w:val="zh-CN"/>
        </w:rPr>
        <w:t>.</w:t>
      </w:r>
      <w:r>
        <w:rPr>
          <w:rFonts w:hint="eastAsia" w:ascii="宋体" w:hAnsi="宋体" w:cs="宋体"/>
          <w:sz w:val="24"/>
          <w:highlight w:val="none"/>
        </w:rPr>
        <w:t>2（2）款提到的受托人未按本合同专用条款的约定，向委托人提供为完成招标工作的咨询服务；</w:t>
      </w:r>
    </w:p>
    <w:p w14:paraId="2EB1E22B">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（2）本合同通用条款第5.3款提到的受托人未按本合同专用条款的约定，受托人未出具科学、准确的有关数据的计算、技术经济资料等；</w:t>
      </w:r>
    </w:p>
    <w:p w14:paraId="268115EE">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（3）本合同通用条款第5.4款提到的受托人未按本合同专用条款的约定，接受了与本合同工程建设项目有关的投标代理业务；</w:t>
      </w:r>
    </w:p>
    <w:p w14:paraId="1A8E7166">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（4）本合同通用条款第5.6款提到的受托人未按本合同专用条款的约定，分包或转让本合同的任何权利和义务；</w:t>
      </w:r>
    </w:p>
    <w:p w14:paraId="448AA72C">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（5）本合同通用条款第5.7款提到的受托人未按本合同专用条款的约定，泄露了与本合同工程相关的任何招标资料和情况或</w:t>
      </w:r>
      <w:r>
        <w:rPr>
          <w:rFonts w:hint="eastAsia" w:ascii="宋体" w:hAnsi="宋体" w:cs="宋体"/>
          <w:bCs/>
          <w:sz w:val="24"/>
          <w:highlight w:val="none"/>
        </w:rPr>
        <w:t>利用他们从事任何其他盈利或非赢利事项</w:t>
      </w:r>
      <w:r>
        <w:rPr>
          <w:rFonts w:hint="eastAsia" w:ascii="宋体" w:hAnsi="宋体" w:cs="宋体"/>
          <w:sz w:val="24"/>
          <w:highlight w:val="none"/>
        </w:rPr>
        <w:t>或接受投标人的礼品、宴请和任何其它好处；</w:t>
      </w:r>
    </w:p>
    <w:p w14:paraId="3242FAEB">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（6）受托人的员工、雇员或劳务派遣人员等不按招标代理合同履行其职责，或与第三人串通试图影响招标结果的，均视为受托人违约（无论是否给委托人造成经济损失）。</w:t>
      </w:r>
    </w:p>
    <w:p w14:paraId="7FE7AA22">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（7）受托人不履行合同义务或不按合同约定履行义务的其他情况。</w:t>
      </w:r>
    </w:p>
    <w:p w14:paraId="71472BE6">
      <w:pPr>
        <w:spacing w:line="560" w:lineRule="exact"/>
        <w:ind w:right="0" w:firstLine="480"/>
        <w:rPr>
          <w:rFonts w:hint="eastAsia" w:ascii="宋体" w:hAnsi="宋体" w:cs="宋体"/>
          <w:sz w:val="24"/>
          <w:highlight w:val="none"/>
        </w:rPr>
      </w:pPr>
      <w:r>
        <w:rPr>
          <w:rFonts w:hint="eastAsia" w:ascii="宋体" w:hAnsi="宋体" w:cs="宋体"/>
          <w:sz w:val="24"/>
          <w:highlight w:val="none"/>
        </w:rPr>
        <w:t>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但因受托人故意或重大过失、违反保密义务、侵犯知识产权、串通投标等造成损失的，不适用前述限额，受托人应按实际损失赔偿。</w:t>
      </w:r>
    </w:p>
    <w:p w14:paraId="5E6DC51D">
      <w:pPr>
        <w:spacing w:line="560" w:lineRule="exact"/>
        <w:ind w:right="0" w:firstLine="480"/>
        <w:rPr>
          <w:rFonts w:ascii="宋体" w:hAnsi="宋体" w:eastAsia="宋体" w:cs="宋体"/>
          <w:sz w:val="24"/>
          <w:highlight w:val="none"/>
        </w:rPr>
      </w:pPr>
      <w:r>
        <w:rPr>
          <w:rFonts w:hint="eastAsia" w:ascii="宋体" w:hAnsi="宋体" w:cs="宋体"/>
          <w:sz w:val="24"/>
          <w:highlight w:val="none"/>
        </w:rPr>
        <w:t>10</w:t>
      </w:r>
      <w:r>
        <w:rPr>
          <w:rFonts w:hint="eastAsia" w:ascii="宋体" w:hAnsi="宋体" w:cs="宋体"/>
          <w:sz w:val="24"/>
          <w:highlight w:val="none"/>
          <w:lang w:val="zh-CN"/>
        </w:rPr>
        <w:t>.</w:t>
      </w:r>
      <w:r>
        <w:rPr>
          <w:rFonts w:hint="eastAsia" w:ascii="宋体" w:hAnsi="宋体" w:cs="宋体"/>
          <w:sz w:val="24"/>
          <w:highlight w:val="none"/>
        </w:rPr>
        <w:t>3 第三方违约。如果一方的违约被认定为是与第三方共同造成的，则应由合同双方中有违约的一方先行向另一方承担全部违约责任，再由承担违约责任的一方向第三方追索。</w:t>
      </w:r>
    </w:p>
    <w:p w14:paraId="23CD65C2">
      <w:pPr>
        <w:spacing w:line="560" w:lineRule="exact"/>
        <w:ind w:right="0" w:firstLine="480"/>
        <w:rPr>
          <w:rFonts w:hint="eastAsia" w:ascii="宋体" w:hAnsi="宋体" w:cs="宋体"/>
          <w:b/>
          <w:bCs/>
          <w:sz w:val="24"/>
          <w:highlight w:val="none"/>
        </w:rPr>
      </w:pPr>
      <w:r>
        <w:rPr>
          <w:rFonts w:hint="eastAsia" w:ascii="宋体" w:hAnsi="宋体" w:cs="宋体"/>
          <w:b/>
          <w:bCs/>
          <w:sz w:val="24"/>
          <w:highlight w:val="none"/>
        </w:rPr>
        <w:t>11、索赔</w:t>
      </w:r>
    </w:p>
    <w:p w14:paraId="0E884759">
      <w:pPr>
        <w:spacing w:line="560" w:lineRule="exact"/>
        <w:ind w:right="0" w:firstLine="480"/>
        <w:rPr>
          <w:rFonts w:hint="eastAsia" w:ascii="宋体" w:hAnsi="宋体" w:cs="宋体"/>
          <w:sz w:val="24"/>
          <w:highlight w:val="none"/>
        </w:rPr>
      </w:pPr>
      <w:r>
        <w:rPr>
          <w:rFonts w:hint="eastAsia" w:ascii="宋体" w:hAnsi="宋体" w:cs="宋体"/>
          <w:sz w:val="24"/>
          <w:highlight w:val="none"/>
        </w:rPr>
        <w:t>11</w:t>
      </w:r>
      <w:r>
        <w:rPr>
          <w:rFonts w:hint="eastAsia" w:ascii="宋体" w:hAnsi="宋体" w:cs="宋体"/>
          <w:sz w:val="24"/>
          <w:highlight w:val="none"/>
          <w:lang w:val="zh-CN"/>
        </w:rPr>
        <w:t>.</w:t>
      </w:r>
      <w:r>
        <w:rPr>
          <w:rFonts w:hint="eastAsia" w:ascii="宋体" w:hAnsi="宋体" w:cs="宋体"/>
          <w:sz w:val="24"/>
          <w:highlight w:val="none"/>
        </w:rPr>
        <w:t>1当事人一方向另一方提出索赔时，要有正当的索赔理由，且有索赔事件发生时的有效证据。</w:t>
      </w:r>
    </w:p>
    <w:p w14:paraId="73840BE5">
      <w:pPr>
        <w:spacing w:line="560" w:lineRule="exact"/>
        <w:ind w:right="0" w:firstLine="480"/>
        <w:rPr>
          <w:rFonts w:hint="eastAsia" w:ascii="宋体" w:hAnsi="宋体" w:cs="宋体"/>
          <w:sz w:val="24"/>
          <w:highlight w:val="none"/>
        </w:rPr>
      </w:pPr>
      <w:r>
        <w:rPr>
          <w:rFonts w:hint="eastAsia" w:ascii="宋体" w:hAnsi="宋体" w:cs="宋体"/>
          <w:sz w:val="24"/>
          <w:highlight w:val="none"/>
        </w:rPr>
        <w:t>11</w:t>
      </w:r>
      <w:r>
        <w:rPr>
          <w:rFonts w:hint="eastAsia" w:ascii="宋体" w:hAnsi="宋体" w:cs="宋体"/>
          <w:sz w:val="24"/>
          <w:highlight w:val="none"/>
          <w:lang w:val="zh-CN"/>
        </w:rPr>
        <w:t>.</w:t>
      </w:r>
      <w:r>
        <w:rPr>
          <w:rFonts w:hint="eastAsia" w:ascii="宋体" w:hAnsi="宋体" w:cs="宋体"/>
          <w:sz w:val="24"/>
          <w:highlight w:val="none"/>
        </w:rPr>
        <w:t>2委托人未能按合同约定履行自己的各项义务，或者发生应由委托人承担责任的其他情况，给受托人造成损失，受托人可按下列程序以书面形式向委托人索赔：</w:t>
      </w:r>
    </w:p>
    <w:p w14:paraId="799AA117">
      <w:pPr>
        <w:spacing w:line="560" w:lineRule="exact"/>
        <w:ind w:right="0" w:firstLine="480"/>
        <w:rPr>
          <w:rFonts w:hint="eastAsia" w:ascii="宋体" w:hAnsi="宋体" w:cs="宋体"/>
          <w:sz w:val="24"/>
          <w:highlight w:val="none"/>
        </w:rPr>
      </w:pPr>
      <w:r>
        <w:rPr>
          <w:rFonts w:hint="eastAsia" w:ascii="宋体" w:hAnsi="宋体" w:cs="宋体"/>
          <w:sz w:val="24"/>
          <w:highlight w:val="none"/>
        </w:rPr>
        <w:t>（1）索赔事件发生后7天内，向委托人发出索赔报告及有关资料；</w:t>
      </w:r>
    </w:p>
    <w:p w14:paraId="5CC13DAF">
      <w:pPr>
        <w:spacing w:line="560" w:lineRule="exact"/>
        <w:ind w:right="0" w:firstLine="480"/>
        <w:rPr>
          <w:rFonts w:hint="eastAsia" w:ascii="宋体" w:hAnsi="宋体" w:cs="宋体"/>
          <w:sz w:val="24"/>
          <w:highlight w:val="none"/>
        </w:rPr>
      </w:pPr>
      <w:r>
        <w:rPr>
          <w:rFonts w:hint="eastAsia" w:ascii="宋体" w:hAnsi="宋体" w:cs="宋体"/>
          <w:sz w:val="24"/>
          <w:highlight w:val="none"/>
        </w:rPr>
        <w:t>（2）委托人收到受托人的索赔报告及有关资料后，于7天内给予答复，或要求受托人进一步补充索赔理由和证据；</w:t>
      </w:r>
    </w:p>
    <w:p w14:paraId="39004ED1">
      <w:pPr>
        <w:spacing w:line="560" w:lineRule="exact"/>
        <w:ind w:right="0" w:firstLine="480"/>
        <w:rPr>
          <w:rFonts w:hint="eastAsia" w:ascii="宋体" w:hAnsi="宋体" w:cs="宋体"/>
          <w:sz w:val="24"/>
          <w:highlight w:val="none"/>
        </w:rPr>
      </w:pPr>
      <w:r>
        <w:rPr>
          <w:rFonts w:hint="eastAsia" w:ascii="宋体" w:hAnsi="宋体" w:cs="宋体"/>
          <w:sz w:val="24"/>
          <w:highlight w:val="none"/>
        </w:rPr>
        <w:t>（3）委托人在收到受托人送交的索赔报告和有关资料后7天内未予答复，或未对受托人作进一步要求，不视为委托人认可，受托人仍应就其主张承担举证责任。</w:t>
      </w:r>
    </w:p>
    <w:p w14:paraId="29BD1004">
      <w:pPr>
        <w:spacing w:line="560" w:lineRule="exact"/>
        <w:rPr>
          <w:rFonts w:hint="eastAsia" w:ascii="宋体" w:hAnsi="宋体" w:cs="宋体"/>
          <w:sz w:val="24"/>
          <w:highlight w:val="none"/>
        </w:rPr>
      </w:pPr>
      <w:r>
        <w:rPr>
          <w:rFonts w:hint="eastAsia" w:ascii="宋体" w:hAnsi="宋体" w:cs="宋体"/>
          <w:sz w:val="24"/>
          <w:highlight w:val="none"/>
        </w:rPr>
        <w:t xml:space="preserve">    11</w:t>
      </w:r>
      <w:r>
        <w:rPr>
          <w:rFonts w:hint="eastAsia" w:ascii="宋体" w:hAnsi="宋体" w:cs="宋体"/>
          <w:sz w:val="24"/>
          <w:highlight w:val="none"/>
          <w:lang w:val="zh-CN"/>
        </w:rPr>
        <w:t>.</w:t>
      </w:r>
      <w:r>
        <w:rPr>
          <w:rFonts w:hint="eastAsia" w:ascii="宋体" w:hAnsi="宋体" w:cs="宋体"/>
          <w:sz w:val="24"/>
          <w:highlight w:val="none"/>
        </w:rPr>
        <w:t>3受托人未能按合同约定履行自己的各项义务，或者发生应由受托人承担责任的其他情况，给委托人造成经济损失，委托人可按11</w:t>
      </w:r>
      <w:r>
        <w:rPr>
          <w:rFonts w:hint="eastAsia" w:ascii="宋体" w:hAnsi="宋体" w:cs="宋体"/>
          <w:sz w:val="24"/>
          <w:highlight w:val="none"/>
          <w:lang w:val="zh-CN"/>
        </w:rPr>
        <w:t>.</w:t>
      </w:r>
      <w:r>
        <w:rPr>
          <w:rFonts w:hint="eastAsia" w:ascii="宋体" w:hAnsi="宋体" w:cs="宋体"/>
          <w:sz w:val="24"/>
          <w:highlight w:val="none"/>
        </w:rPr>
        <w:t>2款确定的时限和程序向受托人提出索赔。</w:t>
      </w:r>
    </w:p>
    <w:p w14:paraId="5535E0CF">
      <w:pPr>
        <w:spacing w:line="560" w:lineRule="exact"/>
        <w:rPr>
          <w:rFonts w:hint="eastAsia"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12、争议</w:t>
      </w:r>
    </w:p>
    <w:p w14:paraId="67E3A00B">
      <w:pPr>
        <w:spacing w:line="560" w:lineRule="exact"/>
        <w:ind w:right="0" w:firstLine="480"/>
        <w:rPr>
          <w:rFonts w:hint="eastAsia" w:ascii="宋体" w:hAnsi="宋体" w:cs="宋体"/>
          <w:sz w:val="24"/>
          <w:highlight w:val="none"/>
        </w:rPr>
      </w:pPr>
      <w:r>
        <w:rPr>
          <w:rFonts w:hint="eastAsia" w:ascii="宋体" w:hAnsi="宋体" w:cs="宋体"/>
          <w:sz w:val="24"/>
          <w:highlight w:val="none"/>
        </w:rPr>
        <w:t>12</w:t>
      </w:r>
      <w:r>
        <w:rPr>
          <w:rFonts w:hint="eastAsia" w:ascii="宋体" w:hAnsi="宋体" w:cs="宋体"/>
          <w:sz w:val="24"/>
          <w:highlight w:val="none"/>
          <w:lang w:val="zh-CN"/>
        </w:rPr>
        <w:t>.</w:t>
      </w:r>
      <w:r>
        <w:rPr>
          <w:rFonts w:hint="eastAsia" w:ascii="宋体" w:hAnsi="宋体" w:cs="宋体"/>
          <w:sz w:val="24"/>
          <w:highlight w:val="none"/>
        </w:rPr>
        <w:t>1  委托人和受托人履行合同时发生争议，可以和解或者向有关部门或机构申请调解。当事人不愿和解、调解或者和解、调解不成的，双方可以在本合同专用条款约定以下一种方式解决争议：</w:t>
      </w:r>
    </w:p>
    <w:p w14:paraId="3A8C48C3">
      <w:pPr>
        <w:spacing w:line="560" w:lineRule="exact"/>
        <w:ind w:right="0" w:firstLine="480"/>
        <w:rPr>
          <w:rFonts w:hint="eastAsia" w:ascii="宋体" w:hAnsi="宋体" w:cs="宋体"/>
          <w:sz w:val="24"/>
          <w:highlight w:val="none"/>
        </w:rPr>
      </w:pPr>
      <w:r>
        <w:rPr>
          <w:rFonts w:hint="eastAsia" w:ascii="宋体" w:hAnsi="宋体" w:cs="宋体"/>
          <w:sz w:val="24"/>
          <w:highlight w:val="none"/>
        </w:rPr>
        <w:t>（1）双方达成仲裁协议，向约定的仲裁委员会申请仲裁；</w:t>
      </w:r>
    </w:p>
    <w:p w14:paraId="31739591">
      <w:pPr>
        <w:spacing w:line="560" w:lineRule="exact"/>
        <w:ind w:left="480" w:right="0"/>
        <w:rPr>
          <w:rFonts w:hint="eastAsia" w:ascii="宋体" w:hAnsi="宋体" w:cs="宋体"/>
          <w:sz w:val="24"/>
          <w:highlight w:val="none"/>
        </w:rPr>
      </w:pPr>
      <w:r>
        <w:rPr>
          <w:rFonts w:hint="eastAsia" w:ascii="宋体" w:hAnsi="宋体" w:cs="宋体"/>
          <w:sz w:val="24"/>
          <w:highlight w:val="none"/>
        </w:rPr>
        <w:t>（2）向有管辖权的人民法院起诉。</w:t>
      </w:r>
    </w:p>
    <w:p w14:paraId="5D0198AC">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五、合同变更、生效与终止</w:t>
      </w:r>
    </w:p>
    <w:p w14:paraId="2C19F372">
      <w:pPr>
        <w:spacing w:line="560" w:lineRule="exact"/>
        <w:ind w:left="480" w:right="0"/>
        <w:rPr>
          <w:rFonts w:ascii="宋体" w:hAnsi="宋体" w:cs="宋体"/>
          <w:b/>
          <w:bCs/>
          <w:sz w:val="24"/>
          <w:highlight w:val="none"/>
        </w:rPr>
      </w:pPr>
      <w:r>
        <w:rPr>
          <w:rFonts w:hint="eastAsia" w:ascii="宋体" w:hAnsi="宋体" w:cs="宋体"/>
          <w:b/>
          <w:bCs/>
          <w:sz w:val="24"/>
          <w:highlight w:val="none"/>
        </w:rPr>
        <w:t>13、合同变更</w:t>
      </w:r>
    </w:p>
    <w:p w14:paraId="3B9DE3B9">
      <w:pPr>
        <w:spacing w:line="560" w:lineRule="exact"/>
        <w:ind w:right="0" w:firstLine="480"/>
        <w:rPr>
          <w:rFonts w:hint="eastAsia" w:ascii="宋体" w:hAnsi="宋体" w:cs="宋体"/>
          <w:sz w:val="24"/>
          <w:highlight w:val="none"/>
        </w:rPr>
      </w:pPr>
      <w:r>
        <w:rPr>
          <w:rFonts w:hint="eastAsia" w:ascii="宋体" w:hAnsi="宋体" w:cs="宋体"/>
          <w:sz w:val="24"/>
          <w:highlight w:val="none"/>
        </w:rPr>
        <w:t>13</w:t>
      </w:r>
      <w:r>
        <w:rPr>
          <w:rFonts w:hint="eastAsia" w:ascii="宋体" w:hAnsi="宋体" w:cs="宋体"/>
          <w:sz w:val="24"/>
          <w:highlight w:val="none"/>
          <w:lang w:val="zh-CN"/>
        </w:rPr>
        <w:t>.</w:t>
      </w:r>
      <w:r>
        <w:rPr>
          <w:rFonts w:hint="eastAsia" w:ascii="宋体" w:hAnsi="宋体" w:cs="宋体"/>
          <w:sz w:val="24"/>
          <w:highlight w:val="none"/>
        </w:rPr>
        <w:t>1本合同签订后，由于委托人原因，使得受托人不能持续履行招标代理业务时，委托人应及时通知受托人暂停招标代理业务。当需要恢复招标代理业务时，应当在正式恢复前7天通知受托人。</w:t>
      </w:r>
    </w:p>
    <w:p w14:paraId="5FEDDE5A">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rPr>
        <w:t>若暂停时间超过六个月，当需要恢复招标代理业务时，委托人应</w:t>
      </w:r>
      <w:r>
        <w:rPr>
          <w:rFonts w:hint="eastAsia" w:ascii="宋体" w:hAnsi="宋体" w:cs="宋体"/>
          <w:sz w:val="24"/>
          <w:highlight w:val="none"/>
          <w:lang w:val="zh-CN"/>
        </w:rPr>
        <w:t>支付重新启动该招标代理工作一定的补偿费用，具体计算方式经双方协商以补充协议确定。</w:t>
      </w:r>
    </w:p>
    <w:p w14:paraId="568AF993">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13.2 本合同签订后，如因法律、行政法规发生变化或由于任何后续新颁布的法律、行政法规导致服务所需的成本或时间发生改变，则本合同约定的服务报酬和服务期限由双方签订补充协议进行相应调整。</w:t>
      </w:r>
    </w:p>
    <w:p w14:paraId="2F2CE470">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13.3 本合同当事人一方要求变更或解除合同时，除法律、行政法规另有规定外，应与对方当事人协商一致并达成书面协议。未达成书面协议的，本合同依然有效。</w:t>
      </w:r>
    </w:p>
    <w:p w14:paraId="69DDD7E9">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13.4 因解除合同使当事人一放遭受损失的，除依法可以免除责任外，应由责任方负责赔偿对方的损失，赔偿方法与金额由双方在协议书约定。</w:t>
      </w:r>
    </w:p>
    <w:p w14:paraId="0C434AB3">
      <w:pPr>
        <w:autoSpaceDE w:val="0"/>
        <w:spacing w:line="560" w:lineRule="exact"/>
        <w:ind w:right="0" w:firstLine="480"/>
        <w:rPr>
          <w:rFonts w:hint="eastAsia" w:ascii="宋体" w:hAnsi="宋体" w:cs="宋体"/>
          <w:b/>
          <w:bCs/>
          <w:sz w:val="24"/>
          <w:highlight w:val="none"/>
          <w:lang w:val="zh-CN"/>
        </w:rPr>
      </w:pPr>
      <w:r>
        <w:rPr>
          <w:rFonts w:hint="eastAsia" w:ascii="宋体" w:hAnsi="宋体" w:cs="宋体"/>
          <w:b/>
          <w:bCs/>
          <w:sz w:val="24"/>
          <w:highlight w:val="none"/>
          <w:lang w:val="zh-CN"/>
        </w:rPr>
        <w:t>14、合同生效</w:t>
      </w:r>
    </w:p>
    <w:p w14:paraId="0D917A92">
      <w:pPr>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14.1除生效条件双方在协议书中另有约定外，本合同自双方签字盖章之日起生效。</w:t>
      </w:r>
    </w:p>
    <w:p w14:paraId="15D7365D">
      <w:pPr>
        <w:autoSpaceDE w:val="0"/>
        <w:spacing w:line="560" w:lineRule="exact"/>
        <w:ind w:right="0" w:firstLine="480"/>
        <w:rPr>
          <w:rFonts w:hint="eastAsia" w:ascii="宋体" w:hAnsi="宋体" w:cs="宋体"/>
          <w:b/>
          <w:bCs/>
          <w:sz w:val="24"/>
          <w:highlight w:val="none"/>
          <w:lang w:val="zh-CN"/>
        </w:rPr>
      </w:pPr>
      <w:r>
        <w:rPr>
          <w:rFonts w:hint="eastAsia" w:ascii="宋体" w:hAnsi="宋体" w:cs="宋体"/>
          <w:b/>
          <w:bCs/>
          <w:sz w:val="24"/>
          <w:highlight w:val="none"/>
          <w:lang w:val="zh-CN"/>
        </w:rPr>
        <w:t>15、合同终止</w:t>
      </w:r>
    </w:p>
    <w:p w14:paraId="491A3563">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15.1 受托人完成委托人全部委托招标代理业务，且委托人或中标人支付了全部代理报酬（含附加服务的报酬）后本合同终止。</w:t>
      </w:r>
    </w:p>
    <w:p w14:paraId="105F4DB8">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15.2 本合同终止并不影响各方应有的权利和应承担的义务。</w:t>
      </w:r>
    </w:p>
    <w:p w14:paraId="3AAC3573">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14:paraId="577DC9E6">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15.4 本合同的权利和义务终止后，委托人和受托人应当遵循诚实信用原则，履行通知、协助、保密等义务。</w:t>
      </w:r>
    </w:p>
    <w:p w14:paraId="471A291E">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六、其他</w:t>
      </w:r>
    </w:p>
    <w:p w14:paraId="14F2E016">
      <w:pPr>
        <w:autoSpaceDE w:val="0"/>
        <w:spacing w:line="560" w:lineRule="exact"/>
        <w:ind w:right="0" w:firstLine="480"/>
        <w:rPr>
          <w:rFonts w:hint="eastAsia" w:ascii="宋体" w:hAnsi="宋体" w:cs="宋体"/>
          <w:b/>
          <w:bCs/>
          <w:sz w:val="24"/>
          <w:highlight w:val="none"/>
          <w:lang w:val="zh-CN"/>
        </w:rPr>
      </w:pPr>
      <w:r>
        <w:rPr>
          <w:rFonts w:hint="eastAsia" w:ascii="宋体" w:hAnsi="宋体" w:cs="宋体"/>
          <w:b/>
          <w:bCs/>
          <w:sz w:val="24"/>
          <w:highlight w:val="none"/>
          <w:lang w:val="zh-CN"/>
        </w:rPr>
        <w:t>16、补充条款</w:t>
      </w:r>
    </w:p>
    <w:p w14:paraId="4ACE69D4">
      <w:pPr>
        <w:autoSpaceDE w:val="0"/>
        <w:spacing w:line="560" w:lineRule="exact"/>
        <w:ind w:right="0" w:firstLine="480"/>
        <w:rPr>
          <w:rFonts w:hint="eastAsia" w:ascii="宋体" w:hAnsi="宋体" w:cs="宋体"/>
          <w:sz w:val="24"/>
          <w:highlight w:val="none"/>
          <w:lang w:val="zh-CN"/>
        </w:rPr>
      </w:pPr>
      <w:r>
        <w:rPr>
          <w:rFonts w:hint="eastAsia" w:ascii="宋体" w:hAnsi="宋体" w:cs="宋体"/>
          <w:sz w:val="24"/>
          <w:highlight w:val="none"/>
          <w:lang w:val="zh-CN"/>
        </w:rPr>
        <w:t>双方根据有关法律、行政法规规定，结合本合同招标工程实际，经协商一致后，可对本合同通用条款未涉及的内容进行补充。</w:t>
      </w:r>
    </w:p>
    <w:p w14:paraId="201534D0">
      <w:pPr>
        <w:autoSpaceDE w:val="0"/>
        <w:spacing w:line="560" w:lineRule="exact"/>
        <w:ind w:right="0" w:firstLine="480"/>
        <w:rPr>
          <w:rFonts w:hint="eastAsia" w:ascii="宋体" w:hAnsi="宋体" w:cs="宋体"/>
          <w:sz w:val="24"/>
          <w:highlight w:val="none"/>
          <w:lang w:val="zh-CN"/>
        </w:rPr>
      </w:pPr>
    </w:p>
    <w:p w14:paraId="19026783">
      <w:pPr>
        <w:pStyle w:val="174"/>
        <w:ind w:left="0" w:leftChars="0" w:right="0" w:rightChars="0" w:firstLine="2161" w:firstLineChars="600"/>
        <w:rPr>
          <w:rFonts w:hint="eastAsia" w:ascii="宋体" w:hAnsi="宋体" w:eastAsia="宋体" w:cs="宋体"/>
          <w:b/>
          <w:bCs/>
          <w:kern w:val="2"/>
          <w:sz w:val="36"/>
          <w:szCs w:val="36"/>
          <w:highlight w:val="none"/>
        </w:rPr>
      </w:pPr>
    </w:p>
    <w:p w14:paraId="67135026">
      <w:pPr>
        <w:pStyle w:val="174"/>
        <w:ind w:left="0" w:leftChars="0" w:right="0" w:rightChars="0" w:firstLine="2161" w:firstLineChars="600"/>
        <w:rPr>
          <w:rFonts w:hint="eastAsia" w:ascii="宋体" w:hAnsi="宋体" w:eastAsia="宋体" w:cs="宋体"/>
          <w:b/>
          <w:bCs/>
          <w:kern w:val="2"/>
          <w:sz w:val="36"/>
          <w:szCs w:val="36"/>
          <w:highlight w:val="none"/>
        </w:rPr>
      </w:pPr>
    </w:p>
    <w:p w14:paraId="2067867D">
      <w:pPr>
        <w:pStyle w:val="174"/>
        <w:ind w:left="0" w:leftChars="0" w:right="0" w:rightChars="0" w:firstLine="2161" w:firstLineChars="600"/>
        <w:rPr>
          <w:rFonts w:hint="eastAsia" w:ascii="宋体" w:hAnsi="宋体" w:eastAsia="宋体" w:cs="宋体"/>
          <w:b/>
          <w:bCs/>
          <w:sz w:val="36"/>
          <w:szCs w:val="36"/>
          <w:highlight w:val="none"/>
          <w:lang w:val="zh-CN"/>
        </w:rPr>
      </w:pPr>
      <w:r>
        <w:rPr>
          <w:rFonts w:hint="eastAsia" w:ascii="宋体" w:hAnsi="宋体" w:eastAsia="宋体" w:cs="宋体"/>
          <w:b/>
          <w:bCs/>
          <w:kern w:val="2"/>
          <w:sz w:val="36"/>
          <w:szCs w:val="36"/>
          <w:highlight w:val="none"/>
        </w:rPr>
        <w:t>第四部分   专用条款</w:t>
      </w:r>
    </w:p>
    <w:p w14:paraId="5F875B47">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一、词语定义和适用法律</w:t>
      </w:r>
    </w:p>
    <w:p w14:paraId="206D4482">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1</w:t>
      </w:r>
      <w:r>
        <w:rPr>
          <w:rFonts w:hint="eastAsia" w:ascii="宋体" w:hAnsi="宋体" w:cs="宋体"/>
          <w:b/>
          <w:bCs/>
          <w:sz w:val="24"/>
          <w:highlight w:val="none"/>
          <w:lang w:val="zh-CN"/>
        </w:rPr>
        <w:t>、语言文字和适用法律</w:t>
      </w:r>
    </w:p>
    <w:p w14:paraId="2BB4D7C3">
      <w:pPr>
        <w:autoSpaceDE w:val="0"/>
        <w:spacing w:line="560" w:lineRule="exact"/>
        <w:ind w:right="0" w:firstLine="540"/>
        <w:rPr>
          <w:rFonts w:hint="eastAsia" w:ascii="宋体" w:hAnsi="宋体" w:cs="宋体"/>
          <w:sz w:val="24"/>
          <w:highlight w:val="none"/>
          <w:lang w:val="zh-CN"/>
        </w:rPr>
      </w:pPr>
      <w:r>
        <w:rPr>
          <w:rFonts w:hint="eastAsia" w:ascii="宋体" w:hAnsi="宋体" w:cs="宋体"/>
          <w:sz w:val="24"/>
          <w:highlight w:val="none"/>
        </w:rPr>
        <w:t>1</w:t>
      </w:r>
      <w:r>
        <w:rPr>
          <w:rFonts w:hint="eastAsia" w:ascii="宋体" w:hAnsi="宋体" w:cs="宋体"/>
          <w:sz w:val="24"/>
          <w:highlight w:val="none"/>
          <w:lang w:val="zh-CN"/>
        </w:rPr>
        <w:t>.1 语言文字</w:t>
      </w:r>
    </w:p>
    <w:p w14:paraId="0C61A209">
      <w:pPr>
        <w:autoSpaceDE w:val="0"/>
        <w:spacing w:line="560" w:lineRule="exact"/>
        <w:ind w:left="0" w:leftChars="0" w:right="0" w:rightChars="0" w:firstLineChars="400"/>
        <w:rPr>
          <w:rFonts w:hint="eastAsia" w:ascii="宋体" w:hAnsi="宋体" w:cs="宋体"/>
          <w:sz w:val="24"/>
          <w:highlight w:val="none"/>
          <w:lang w:val="zh-CN"/>
        </w:rPr>
      </w:pPr>
      <w:r>
        <w:rPr>
          <w:rFonts w:hint="eastAsia" w:ascii="宋体" w:hAnsi="宋体" w:cs="宋体"/>
          <w:sz w:val="24"/>
          <w:highlight w:val="none"/>
          <w:lang w:val="zh-CN"/>
        </w:rPr>
        <w:t>本合同采用的文字为：</w:t>
      </w:r>
      <w:r>
        <w:rPr>
          <w:rFonts w:hint="eastAsia" w:ascii="宋体" w:hAnsi="宋体" w:cs="宋体"/>
          <w:sz w:val="24"/>
          <w:highlight w:val="none"/>
          <w:u w:val="single"/>
          <w:lang w:val="zh-CN"/>
        </w:rPr>
        <w:t xml:space="preserve"> 汉  语     </w:t>
      </w:r>
    </w:p>
    <w:p w14:paraId="601E2B9A">
      <w:pPr>
        <w:autoSpaceDE w:val="0"/>
        <w:spacing w:line="560" w:lineRule="exact"/>
        <w:ind w:right="0" w:firstLine="540"/>
        <w:rPr>
          <w:rFonts w:hint="eastAsia" w:ascii="宋体" w:hAnsi="宋体" w:cs="宋体"/>
          <w:sz w:val="24"/>
          <w:highlight w:val="none"/>
          <w:u w:val="single"/>
          <w:lang w:val="zh-CN"/>
        </w:rPr>
      </w:pPr>
      <w:r>
        <w:rPr>
          <w:rFonts w:hint="eastAsia" w:ascii="宋体" w:hAnsi="宋体" w:cs="宋体"/>
          <w:sz w:val="24"/>
          <w:highlight w:val="none"/>
        </w:rPr>
        <w:t>1</w:t>
      </w:r>
      <w:r>
        <w:rPr>
          <w:rFonts w:hint="eastAsia" w:ascii="宋体" w:hAnsi="宋体" w:cs="宋体"/>
          <w:sz w:val="24"/>
          <w:highlight w:val="none"/>
          <w:lang w:val="zh-CN"/>
        </w:rPr>
        <w:t>.2 本合同需要明示的法律、行政法规：</w:t>
      </w:r>
      <w:r>
        <w:rPr>
          <w:rFonts w:hint="eastAsia" w:ascii="宋体" w:hAnsi="宋体" w:cs="宋体"/>
          <w:sz w:val="24"/>
          <w:highlight w:val="none"/>
          <w:u w:val="single"/>
          <w:lang w:val="zh-CN"/>
        </w:rPr>
        <w:t xml:space="preserve"> 《中华人民共和国民法典》、《中华人民共和国招标投标法》、《中华人民共和国建筑法》、《深圳经济特区建设工程施工招标投标条例》、《建设工程勘察设计招标投标条例》及深圳市、龙岗区的建设工程招标投标有关规定。</w:t>
      </w:r>
    </w:p>
    <w:p w14:paraId="17AB9803">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二、双方一般权利和义务</w:t>
      </w:r>
    </w:p>
    <w:p w14:paraId="3DBC08F6">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2</w:t>
      </w:r>
      <w:r>
        <w:rPr>
          <w:rFonts w:hint="eastAsia" w:ascii="宋体" w:hAnsi="宋体" w:cs="宋体"/>
          <w:b/>
          <w:bCs/>
          <w:sz w:val="24"/>
          <w:highlight w:val="none"/>
          <w:lang w:val="zh-CN"/>
        </w:rPr>
        <w:t>、委托人的义务</w:t>
      </w:r>
    </w:p>
    <w:p w14:paraId="5887E368">
      <w:pPr>
        <w:autoSpaceDE w:val="0"/>
        <w:spacing w:line="560" w:lineRule="exact"/>
        <w:ind w:right="0" w:firstLine="540"/>
        <w:rPr>
          <w:rFonts w:hint="eastAsia" w:ascii="宋体" w:hAnsi="宋体" w:eastAsia="宋体" w:cs="宋体"/>
          <w:sz w:val="24"/>
          <w:highlight w:val="none"/>
          <w:u w:val="single"/>
        </w:rPr>
      </w:pPr>
      <w:r>
        <w:rPr>
          <w:rFonts w:hint="eastAsia" w:ascii="宋体" w:hAnsi="宋体" w:cs="宋体"/>
          <w:sz w:val="24"/>
          <w:highlight w:val="none"/>
        </w:rPr>
        <w:t>2</w:t>
      </w:r>
      <w:r>
        <w:rPr>
          <w:rFonts w:hint="eastAsia" w:ascii="宋体" w:hAnsi="宋体" w:cs="宋体"/>
          <w:sz w:val="24"/>
          <w:highlight w:val="none"/>
          <w:lang w:val="zh-CN"/>
        </w:rPr>
        <w:t>.1 委托招标代理工作的具体范围和内容(包括但不限于以下工作)：</w:t>
      </w:r>
      <w:r>
        <w:rPr>
          <w:rFonts w:hint="eastAsia" w:ascii="宋体" w:hAnsi="宋体" w:cs="宋体"/>
          <w:sz w:val="24"/>
          <w:highlight w:val="none"/>
          <w:u w:val="single"/>
          <w:lang w:val="zh-CN"/>
        </w:rPr>
        <w:t>（1）起草招标公告、办理招标公告备案并发布；（2）编制招标文件报送委托人审核批准，办理招标文件备案并发布；（3）办理招标控制价公示；（4）组织审查投标人资格；（5）组织协调开标、评标、定标等会务工作；提出定标意见，协助委托人定标；（6）办理中标结果公示；（7）整理归档招标资料；（8）协助委托人签订合同。</w:t>
      </w:r>
      <w:r>
        <w:rPr>
          <w:rFonts w:hint="eastAsia" w:ascii="宋体" w:hAnsi="宋体" w:cs="宋体"/>
          <w:sz w:val="24"/>
          <w:highlight w:val="none"/>
          <w:u w:val="single"/>
        </w:rPr>
        <w:t xml:space="preserve">  </w:t>
      </w:r>
    </w:p>
    <w:p w14:paraId="4314A90F">
      <w:pPr>
        <w:autoSpaceDE w:val="0"/>
        <w:spacing w:line="560" w:lineRule="exact"/>
        <w:ind w:right="0" w:firstLine="540"/>
        <w:rPr>
          <w:rFonts w:hint="eastAsia" w:ascii="宋体" w:hAnsi="宋体" w:cs="宋体"/>
          <w:sz w:val="24"/>
          <w:highlight w:val="none"/>
          <w:lang w:val="zh-CN"/>
        </w:rPr>
      </w:pPr>
      <w:r>
        <w:rPr>
          <w:rFonts w:hint="eastAsia" w:ascii="宋体" w:hAnsi="宋体" w:cs="宋体"/>
          <w:sz w:val="24"/>
          <w:highlight w:val="none"/>
        </w:rPr>
        <w:t>2</w:t>
      </w:r>
      <w:r>
        <w:rPr>
          <w:rFonts w:hint="eastAsia" w:ascii="宋体" w:hAnsi="宋体" w:cs="宋体"/>
          <w:sz w:val="24"/>
          <w:highlight w:val="none"/>
          <w:lang w:val="zh-CN"/>
        </w:rPr>
        <w:t>.2 委托人应按约定的时间和要求完成下列工作：</w:t>
      </w:r>
    </w:p>
    <w:p w14:paraId="12373D23">
      <w:pPr>
        <w:autoSpaceDE w:val="0"/>
        <w:spacing w:line="560" w:lineRule="exact"/>
        <w:ind w:left="0" w:leftChars="0" w:right="0" w:rightChars="0" w:firstLineChars="200"/>
        <w:jc w:val="left"/>
        <w:rPr>
          <w:rFonts w:hint="eastAsia" w:ascii="宋体" w:hAnsi="宋体" w:cs="宋体"/>
          <w:sz w:val="24"/>
          <w:highlight w:val="none"/>
          <w:vertAlign w:val="subscript"/>
        </w:rPr>
      </w:pPr>
      <w:r>
        <w:rPr>
          <w:rFonts w:hint="eastAsia" w:ascii="宋体" w:hAnsi="宋体" w:cs="宋体"/>
          <w:sz w:val="24"/>
          <w:highlight w:val="none"/>
          <w:lang w:val="zh-CN"/>
        </w:rPr>
        <w:t>（1）向受托人提供本工程招标代理业务应具备的相关工作前期资料（如立项批准手续、规划许可、报建证等）及资金落实情况资料的时间：</w:t>
      </w:r>
      <w:r>
        <w:rPr>
          <w:rFonts w:hint="eastAsia" w:ascii="宋体" w:hAnsi="宋体" w:cs="宋体"/>
          <w:sz w:val="24"/>
          <w:highlight w:val="none"/>
          <w:u w:val="single"/>
          <w:lang w:val="zh-CN"/>
        </w:rPr>
        <w:t xml:space="preserve">     /       </w:t>
      </w:r>
      <w:r>
        <w:rPr>
          <w:rFonts w:hint="eastAsia" w:ascii="宋体" w:hAnsi="宋体" w:cs="宋体"/>
          <w:sz w:val="24"/>
          <w:highlight w:val="none"/>
          <w:lang w:val="zh-CN"/>
        </w:rPr>
        <w:t>。</w:t>
      </w:r>
    </w:p>
    <w:p w14:paraId="438D93B9">
      <w:pPr>
        <w:autoSpaceDE w:val="0"/>
        <w:spacing w:line="560" w:lineRule="exact"/>
        <w:ind w:left="0" w:leftChars="0" w:right="0" w:rightChars="0" w:firstLineChars="200"/>
        <w:jc w:val="left"/>
        <w:rPr>
          <w:rFonts w:hint="eastAsia" w:ascii="宋体" w:hAnsi="宋体" w:cs="宋体"/>
          <w:sz w:val="24"/>
          <w:highlight w:val="none"/>
          <w:lang w:val="zh-CN"/>
        </w:rPr>
      </w:pPr>
      <w:r>
        <w:rPr>
          <w:rFonts w:hint="eastAsia" w:ascii="宋体" w:hAnsi="宋体" w:cs="宋体"/>
          <w:sz w:val="24"/>
          <w:highlight w:val="none"/>
          <w:lang w:val="zh-CN"/>
        </w:rPr>
        <w:t>（2）向受托人提供完成代理招标业务所需的全部资料的时间：</w:t>
      </w:r>
      <w:r>
        <w:rPr>
          <w:rFonts w:hint="eastAsia" w:ascii="宋体" w:hAnsi="宋体" w:cs="宋体"/>
          <w:sz w:val="24"/>
          <w:highlight w:val="none"/>
          <w:u w:val="single"/>
          <w:lang w:val="zh-CN"/>
        </w:rPr>
        <w:t xml:space="preserve">    /    </w:t>
      </w:r>
      <w:r>
        <w:rPr>
          <w:rFonts w:hint="eastAsia" w:ascii="宋体" w:hAnsi="宋体" w:cs="宋体"/>
          <w:sz w:val="24"/>
          <w:highlight w:val="none"/>
          <w:lang w:val="zh-CN"/>
        </w:rPr>
        <w:t xml:space="preserve">。   </w:t>
      </w:r>
    </w:p>
    <w:p w14:paraId="0C58A5D4">
      <w:pPr>
        <w:autoSpaceDE w:val="0"/>
        <w:spacing w:line="560" w:lineRule="exact"/>
        <w:ind w:left="0" w:leftChars="0" w:right="0" w:rightChars="0" w:firstLineChars="200"/>
        <w:jc w:val="left"/>
        <w:rPr>
          <w:rFonts w:hint="eastAsia" w:ascii="宋体" w:hAnsi="宋体" w:cs="宋体"/>
          <w:sz w:val="24"/>
          <w:highlight w:val="none"/>
          <w:u w:val="single"/>
          <w:vertAlign w:val="subscript"/>
        </w:rPr>
      </w:pPr>
      <w:r>
        <w:rPr>
          <w:rFonts w:hint="eastAsia" w:ascii="宋体" w:hAnsi="宋体" w:cs="宋体"/>
          <w:sz w:val="24"/>
          <w:highlight w:val="none"/>
          <w:lang w:val="zh-CN"/>
        </w:rPr>
        <w:t>（3）向受托人提供保证招标工作顺利完成的条件：</w:t>
      </w:r>
      <w:r>
        <w:rPr>
          <w:rFonts w:hint="eastAsia" w:ascii="宋体" w:hAnsi="宋体" w:cs="宋体"/>
          <w:sz w:val="24"/>
          <w:highlight w:val="none"/>
          <w:u w:val="single"/>
          <w:lang w:val="zh-CN"/>
        </w:rPr>
        <w:t xml:space="preserve">          </w:t>
      </w:r>
      <w:r>
        <w:rPr>
          <w:rFonts w:hint="eastAsia" w:ascii="宋体" w:hAnsi="宋体" w:cs="宋体"/>
          <w:spacing w:val="20"/>
          <w:sz w:val="24"/>
          <w:highlight w:val="none"/>
          <w:u w:val="single"/>
        </w:rPr>
        <w:t xml:space="preserve">/      </w:t>
      </w:r>
      <w:r>
        <w:rPr>
          <w:rFonts w:hint="eastAsia" w:ascii="宋体" w:hAnsi="宋体" w:cs="宋体"/>
          <w:sz w:val="24"/>
          <w:highlight w:val="none"/>
          <w:lang w:val="zh-CN"/>
        </w:rPr>
        <w:t xml:space="preserve">。  </w:t>
      </w:r>
    </w:p>
    <w:p w14:paraId="7C3A6205">
      <w:pPr>
        <w:autoSpaceDE w:val="0"/>
        <w:spacing w:line="560" w:lineRule="exact"/>
        <w:ind w:left="0" w:leftChars="0" w:right="0" w:rightChars="0" w:firstLineChars="200"/>
        <w:jc w:val="left"/>
        <w:rPr>
          <w:rFonts w:hint="eastAsia" w:ascii="宋体" w:hAnsi="宋体" w:cs="宋体"/>
          <w:color w:val="000000"/>
          <w:sz w:val="24"/>
          <w:highlight w:val="none"/>
          <w:lang w:val="zh-CN"/>
        </w:rPr>
      </w:pPr>
      <w:r>
        <w:rPr>
          <w:rFonts w:hint="eastAsia" w:ascii="宋体" w:hAnsi="宋体" w:cs="宋体"/>
          <w:color w:val="000000"/>
          <w:sz w:val="24"/>
          <w:highlight w:val="none"/>
          <w:lang w:val="zh-CN"/>
        </w:rPr>
        <w:t>（4）指定的与受托人联系的人员</w:t>
      </w:r>
    </w:p>
    <w:p w14:paraId="4CA21DA7">
      <w:pPr>
        <w:autoSpaceDE w:val="0"/>
        <w:spacing w:line="460" w:lineRule="atLeast"/>
        <w:ind w:left="0" w:leftChars="0" w:right="0" w:rightChars="0" w:firstLineChars="400"/>
        <w:rPr>
          <w:rFonts w:hint="eastAsia" w:ascii="宋体" w:hAnsi="宋体" w:cs="宋体"/>
          <w:color w:val="000000"/>
          <w:sz w:val="24"/>
          <w:highlight w:val="none"/>
          <w:lang w:val="zh-CN"/>
        </w:rPr>
      </w:pPr>
      <w:r>
        <w:rPr>
          <w:rFonts w:hint="eastAsia" w:ascii="宋体" w:hAnsi="宋体" w:cs="宋体"/>
          <w:color w:val="000000"/>
          <w:sz w:val="24"/>
          <w:highlight w:val="none"/>
          <w:lang w:val="zh-CN"/>
        </w:rPr>
        <w:t xml:space="preserve">姓名： </w:t>
      </w:r>
      <w:r>
        <w:rPr>
          <w:rFonts w:hint="eastAsia" w:ascii="宋体" w:hAnsi="宋体" w:cs="宋体"/>
          <w:color w:val="000000"/>
          <w:sz w:val="24"/>
          <w:highlight w:val="none"/>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zh-CN"/>
        </w:rPr>
        <w:t xml:space="preserve">  </w:t>
      </w:r>
    </w:p>
    <w:p w14:paraId="2E7B687C">
      <w:pPr>
        <w:autoSpaceDE w:val="0"/>
        <w:spacing w:line="560" w:lineRule="exact"/>
        <w:ind w:left="0" w:leftChars="0" w:right="0" w:rightChars="0" w:firstLineChars="400"/>
        <w:rPr>
          <w:rFonts w:hint="eastAsia" w:ascii="宋体" w:hAnsi="宋体" w:cs="宋体"/>
          <w:color w:val="000000"/>
          <w:sz w:val="24"/>
          <w:highlight w:val="none"/>
          <w:u w:val="single"/>
          <w:lang w:val="zh-CN"/>
        </w:rPr>
      </w:pPr>
      <w:r>
        <w:rPr>
          <w:rFonts w:hint="eastAsia" w:ascii="宋体" w:hAnsi="宋体" w:cs="宋体"/>
          <w:color w:val="000000"/>
          <w:sz w:val="24"/>
          <w:highlight w:val="none"/>
          <w:lang w:val="zh-CN"/>
        </w:rPr>
        <w:t>电话：</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rPr>
        <w:t xml:space="preserve">     </w:t>
      </w:r>
      <w:r>
        <w:rPr>
          <w:rFonts w:ascii="宋体" w:hAnsi="宋体" w:cs="宋体"/>
          <w:color w:val="000000"/>
          <w:sz w:val="24"/>
          <w:highlight w:val="none"/>
          <w:u w:val="single"/>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zh-CN"/>
        </w:rPr>
        <w:t xml:space="preserve">   </w:t>
      </w:r>
      <w:r>
        <w:rPr>
          <w:rFonts w:hint="eastAsia" w:ascii="宋体" w:hAnsi="宋体" w:cs="宋体"/>
          <w:color w:val="000000"/>
          <w:sz w:val="24"/>
          <w:highlight w:val="none"/>
          <w:u w:val="single"/>
        </w:rPr>
        <w:t xml:space="preserve"> </w:t>
      </w:r>
    </w:p>
    <w:p w14:paraId="5DC1AC4B">
      <w:pPr>
        <w:autoSpaceDE w:val="0"/>
        <w:spacing w:line="560" w:lineRule="exact"/>
        <w:ind w:left="0" w:leftChars="0" w:right="0" w:rightChars="0" w:firstLineChars="200"/>
        <w:rPr>
          <w:rFonts w:hint="eastAsia" w:ascii="宋体" w:hAnsi="宋体" w:cs="宋体"/>
          <w:color w:val="000000"/>
          <w:sz w:val="24"/>
          <w:highlight w:val="none"/>
          <w:vertAlign w:val="subscript"/>
        </w:rPr>
      </w:pPr>
      <w:r>
        <w:rPr>
          <w:rFonts w:hint="eastAsia" w:ascii="宋体" w:hAnsi="宋体" w:cs="宋体"/>
          <w:color w:val="000000"/>
          <w:sz w:val="24"/>
          <w:highlight w:val="none"/>
          <w:lang w:val="zh-CN"/>
        </w:rPr>
        <w:t>（5）需要与第三方协调的工作：</w:t>
      </w:r>
      <w:r>
        <w:rPr>
          <w:rFonts w:hint="eastAsia" w:ascii="宋体" w:hAnsi="宋体" w:cs="宋体"/>
          <w:color w:val="000000"/>
          <w:sz w:val="24"/>
          <w:highlight w:val="none"/>
          <w:u w:val="single"/>
          <w:lang w:val="zh-CN"/>
        </w:rPr>
        <w:t xml:space="preserve">  </w:t>
      </w:r>
      <w:r>
        <w:rPr>
          <w:rFonts w:hint="eastAsia" w:ascii="宋体" w:hAnsi="宋体" w:cs="宋体"/>
          <w:color w:val="000000"/>
          <w:spacing w:val="20"/>
          <w:sz w:val="24"/>
          <w:highlight w:val="none"/>
          <w:u w:val="single"/>
        </w:rPr>
        <w:t>/</w:t>
      </w:r>
      <w:r>
        <w:rPr>
          <w:rFonts w:hint="eastAsia" w:ascii="宋体" w:hAnsi="宋体" w:cs="宋体"/>
          <w:color w:val="000000"/>
          <w:sz w:val="24"/>
          <w:highlight w:val="none"/>
          <w:u w:val="single"/>
          <w:lang w:val="zh-CN"/>
        </w:rPr>
        <w:t xml:space="preserve">                 </w:t>
      </w:r>
    </w:p>
    <w:p w14:paraId="55A5A163">
      <w:pPr>
        <w:autoSpaceDE w:val="0"/>
        <w:spacing w:line="560" w:lineRule="exact"/>
        <w:ind w:left="0" w:leftChars="0" w:right="0" w:rightChars="0" w:firstLineChars="200"/>
        <w:jc w:val="left"/>
        <w:rPr>
          <w:rFonts w:hint="eastAsia" w:ascii="宋体" w:hAnsi="宋体" w:cs="宋体"/>
          <w:color w:val="000000"/>
          <w:sz w:val="24"/>
          <w:highlight w:val="none"/>
          <w:u w:val="single"/>
          <w:lang w:val="zh-CN"/>
        </w:rPr>
      </w:pPr>
      <w:r>
        <w:rPr>
          <w:rFonts w:hint="eastAsia" w:ascii="宋体" w:hAnsi="宋体" w:cs="宋体"/>
          <w:color w:val="000000"/>
          <w:sz w:val="24"/>
          <w:highlight w:val="none"/>
          <w:lang w:val="zh-CN"/>
        </w:rPr>
        <w:t>（</w:t>
      </w:r>
      <w:r>
        <w:rPr>
          <w:rFonts w:hint="eastAsia" w:ascii="宋体" w:hAnsi="宋体" w:cs="宋体"/>
          <w:color w:val="000000"/>
          <w:sz w:val="24"/>
          <w:highlight w:val="none"/>
        </w:rPr>
        <w:t>6</w:t>
      </w:r>
      <w:r>
        <w:rPr>
          <w:rFonts w:hint="eastAsia" w:ascii="宋体" w:hAnsi="宋体" w:cs="宋体"/>
          <w:color w:val="000000"/>
          <w:sz w:val="24"/>
          <w:highlight w:val="none"/>
          <w:lang w:val="zh-CN"/>
        </w:rPr>
        <w:t>）应尽的其他义务：（1）</w:t>
      </w:r>
      <w:r>
        <w:rPr>
          <w:rFonts w:hint="eastAsia" w:ascii="宋体" w:hAnsi="宋体" w:cs="宋体"/>
          <w:color w:val="000000"/>
          <w:sz w:val="24"/>
          <w:highlight w:val="none"/>
          <w:u w:val="single"/>
          <w:lang w:val="zh-CN"/>
        </w:rPr>
        <w:t>向受托人提供实施代理业务范围内所需的有关资料；（2）参与代理业务实施过程中的相关审查、监督工作，受托人提出的需委托人以书面形式审批的文件资料，委托人应在7天内作出书面回答；（3）按合同约定支付招标代理报酬。</w:t>
      </w:r>
    </w:p>
    <w:p w14:paraId="1F7FED30">
      <w:pPr>
        <w:autoSpaceDE w:val="0"/>
        <w:spacing w:line="560" w:lineRule="exact"/>
        <w:ind w:right="0" w:firstLine="540"/>
        <w:rPr>
          <w:rFonts w:hint="eastAsia" w:ascii="宋体" w:hAnsi="宋体" w:cs="宋体"/>
          <w:color w:val="000000"/>
          <w:sz w:val="24"/>
          <w:highlight w:val="none"/>
          <w:lang w:val="zh-CN"/>
        </w:rPr>
      </w:pPr>
      <w:r>
        <w:rPr>
          <w:rFonts w:hint="eastAsia" w:ascii="宋体" w:hAnsi="宋体" w:cs="宋体"/>
          <w:b/>
          <w:bCs/>
          <w:color w:val="000000"/>
          <w:sz w:val="24"/>
          <w:highlight w:val="none"/>
        </w:rPr>
        <w:t>3</w:t>
      </w:r>
      <w:r>
        <w:rPr>
          <w:rFonts w:hint="eastAsia" w:ascii="宋体" w:hAnsi="宋体" w:cs="宋体"/>
          <w:b/>
          <w:bCs/>
          <w:color w:val="000000"/>
          <w:sz w:val="24"/>
          <w:highlight w:val="none"/>
          <w:lang w:val="zh-CN"/>
        </w:rPr>
        <w:t>、受托人的义务</w:t>
      </w:r>
    </w:p>
    <w:p w14:paraId="556E2D6E">
      <w:pPr>
        <w:autoSpaceDE w:val="0"/>
        <w:spacing w:line="560" w:lineRule="exact"/>
        <w:ind w:right="0" w:firstLine="540"/>
        <w:rPr>
          <w:rFonts w:hint="eastAsia" w:ascii="宋体" w:hAnsi="宋体" w:cs="宋体"/>
          <w:color w:val="FF0000"/>
          <w:sz w:val="24"/>
          <w:highlight w:val="none"/>
          <w:u w:val="single"/>
          <w:lang w:val="zh-CN"/>
        </w:rPr>
      </w:pPr>
      <w:r>
        <w:rPr>
          <w:rFonts w:hint="eastAsia" w:ascii="宋体" w:hAnsi="宋体" w:cs="宋体"/>
          <w:color w:val="000000"/>
          <w:sz w:val="24"/>
          <w:highlight w:val="none"/>
        </w:rPr>
        <w:t>3</w:t>
      </w:r>
      <w:r>
        <w:rPr>
          <w:rFonts w:hint="eastAsia" w:ascii="宋体" w:hAnsi="宋体" w:cs="宋体"/>
          <w:color w:val="000000"/>
          <w:sz w:val="24"/>
          <w:highlight w:val="none"/>
          <w:lang w:val="zh-CN"/>
        </w:rPr>
        <w:t>.1 招标代理项目负责人姓名：</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lang w:val="zh-CN"/>
        </w:rPr>
        <w:t>，身份证号：</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lang w:val="zh-CN"/>
        </w:rPr>
        <w:t>。</w:t>
      </w:r>
      <w:r>
        <w:rPr>
          <w:rFonts w:hint="eastAsia" w:ascii="宋体" w:hAnsi="宋体" w:cs="宋体"/>
          <w:color w:val="000000"/>
          <w:sz w:val="24"/>
          <w:highlight w:val="none"/>
          <w:u w:val="single"/>
          <w:lang w:val="zh-CN"/>
        </w:rPr>
        <w:t xml:space="preserve">    </w:t>
      </w:r>
      <w:r>
        <w:rPr>
          <w:rFonts w:hint="eastAsia" w:ascii="宋体" w:hAnsi="宋体" w:cs="宋体"/>
          <w:color w:val="FF0000"/>
          <w:sz w:val="24"/>
          <w:highlight w:val="none"/>
          <w:u w:val="single"/>
          <w:lang w:val="zh-CN"/>
        </w:rPr>
        <w:t xml:space="preserve">       </w:t>
      </w:r>
      <w:r>
        <w:rPr>
          <w:rFonts w:hint="eastAsia" w:ascii="宋体" w:hAnsi="宋体" w:cs="宋体"/>
          <w:color w:val="FF0000"/>
          <w:sz w:val="24"/>
          <w:highlight w:val="none"/>
          <w:u w:val="single"/>
        </w:rPr>
        <w:t xml:space="preserve">        </w:t>
      </w:r>
      <w:r>
        <w:rPr>
          <w:rFonts w:hint="eastAsia" w:ascii="宋体" w:hAnsi="宋体" w:cs="宋体"/>
          <w:color w:val="FF0000"/>
          <w:sz w:val="24"/>
          <w:highlight w:val="none"/>
          <w:u w:val="single"/>
          <w:lang w:val="zh-CN"/>
        </w:rPr>
        <w:t xml:space="preserve"> </w:t>
      </w:r>
      <w:r>
        <w:rPr>
          <w:rFonts w:hint="eastAsia" w:ascii="宋体" w:hAnsi="宋体" w:cs="宋体"/>
          <w:color w:val="FF0000"/>
          <w:sz w:val="24"/>
          <w:highlight w:val="none"/>
          <w:u w:val="single"/>
        </w:rPr>
        <w:t xml:space="preserve">                   </w:t>
      </w:r>
      <w:r>
        <w:rPr>
          <w:rFonts w:hint="eastAsia" w:ascii="宋体" w:hAnsi="宋体" w:cs="宋体"/>
          <w:color w:val="FF0000"/>
          <w:sz w:val="24"/>
          <w:highlight w:val="none"/>
          <w:u w:val="single"/>
          <w:lang w:val="zh-CN"/>
        </w:rPr>
        <w:t xml:space="preserve">  </w:t>
      </w:r>
    </w:p>
    <w:p w14:paraId="7D55376E">
      <w:pPr>
        <w:autoSpaceDE w:val="0"/>
        <w:spacing w:line="560" w:lineRule="exact"/>
        <w:ind w:right="0" w:firstLine="540"/>
        <w:rPr>
          <w:rFonts w:hint="eastAsia" w:ascii="宋体" w:hAnsi="宋体" w:cs="宋体"/>
          <w:sz w:val="24"/>
          <w:highlight w:val="none"/>
          <w:lang w:val="zh-CN"/>
        </w:rPr>
      </w:pPr>
      <w:r>
        <w:rPr>
          <w:rFonts w:hint="eastAsia" w:ascii="宋体" w:hAnsi="宋体" w:cs="宋体"/>
          <w:sz w:val="24"/>
          <w:highlight w:val="none"/>
        </w:rPr>
        <w:t>3</w:t>
      </w:r>
      <w:r>
        <w:rPr>
          <w:rFonts w:hint="eastAsia" w:ascii="宋体" w:hAnsi="宋体" w:cs="宋体"/>
          <w:sz w:val="24"/>
          <w:highlight w:val="none"/>
          <w:lang w:val="zh-CN"/>
        </w:rPr>
        <w:t>.2 受托人应按约定的时间和要求完成下列工作：</w:t>
      </w:r>
    </w:p>
    <w:p w14:paraId="7C57C97D">
      <w:pPr>
        <w:spacing w:line="560" w:lineRule="exact"/>
        <w:ind w:left="0" w:leftChars="0" w:right="0" w:rightChars="0" w:firstLineChars="300"/>
        <w:rPr>
          <w:rFonts w:hint="eastAsia" w:ascii="宋体" w:hAnsi="宋体" w:cs="宋体"/>
          <w:sz w:val="24"/>
          <w:highlight w:val="none"/>
          <w:u w:val="single"/>
          <w:lang w:val="zh-CN"/>
        </w:rPr>
      </w:pPr>
      <w:r>
        <w:rPr>
          <w:rFonts w:hint="eastAsia" w:ascii="宋体" w:hAnsi="宋体" w:cs="宋体"/>
          <w:sz w:val="24"/>
          <w:highlight w:val="none"/>
          <w:lang w:val="zh-CN"/>
        </w:rPr>
        <w:t>（1）组织招标工作的内容和时间：</w:t>
      </w:r>
      <w:r>
        <w:rPr>
          <w:rFonts w:hint="eastAsia" w:ascii="宋体" w:hAnsi="宋体" w:cs="宋体"/>
          <w:sz w:val="24"/>
          <w:highlight w:val="none"/>
          <w:u w:val="single"/>
          <w:lang w:val="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zh-CN"/>
        </w:rPr>
        <w:t xml:space="preserve">         </w:t>
      </w:r>
      <w:r>
        <w:rPr>
          <w:rFonts w:hint="eastAsia" w:ascii="宋体" w:hAnsi="宋体" w:cs="宋体"/>
          <w:spacing w:val="20"/>
          <w:sz w:val="24"/>
          <w:highlight w:val="none"/>
          <w:u w:val="single"/>
        </w:rPr>
        <w:t>/</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w:t>
      </w:r>
    </w:p>
    <w:p w14:paraId="4E4492EC">
      <w:pPr>
        <w:spacing w:line="560" w:lineRule="exact"/>
        <w:ind w:left="0" w:leftChars="0" w:right="0" w:rightChars="0" w:firstLineChars="300"/>
        <w:rPr>
          <w:rFonts w:hint="eastAsia" w:ascii="宋体" w:hAnsi="宋体" w:cs="宋体"/>
          <w:sz w:val="24"/>
          <w:highlight w:val="none"/>
          <w:lang w:val="zh-CN"/>
        </w:rPr>
      </w:pPr>
      <w:r>
        <w:rPr>
          <w:rFonts w:hint="eastAsia" w:ascii="宋体" w:hAnsi="宋体" w:cs="宋体"/>
          <w:sz w:val="24"/>
          <w:highlight w:val="none"/>
          <w:lang w:val="zh-CN"/>
        </w:rPr>
        <w:t>（2）为招标人提供的为完成招标工作的相关咨询服务的内容和时间：</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w:t>
      </w:r>
    </w:p>
    <w:p w14:paraId="35848BCB">
      <w:pPr>
        <w:spacing w:line="560" w:lineRule="exact"/>
        <w:ind w:left="0" w:leftChars="0" w:right="0" w:rightChars="0" w:firstLineChars="300"/>
        <w:rPr>
          <w:rFonts w:hint="eastAsia" w:ascii="宋体" w:hAnsi="宋体" w:cs="宋体"/>
          <w:sz w:val="24"/>
          <w:highlight w:val="none"/>
          <w:lang w:val="zh-CN"/>
        </w:rPr>
      </w:pPr>
      <w:r>
        <w:rPr>
          <w:rFonts w:hint="eastAsia" w:ascii="宋体" w:hAnsi="宋体" w:cs="宋体"/>
          <w:sz w:val="24"/>
          <w:highlight w:val="none"/>
          <w:lang w:val="zh-CN"/>
        </w:rPr>
        <w:t>（3）向受托人宣传、有关法规和程序的内容和时间解释：</w:t>
      </w:r>
      <w:r>
        <w:rPr>
          <w:rFonts w:hint="eastAsia" w:ascii="宋体" w:hAnsi="宋体" w:cs="宋体"/>
          <w:sz w:val="24"/>
          <w:highlight w:val="none"/>
          <w:u w:val="single"/>
          <w:lang w:val="zh-CN"/>
        </w:rPr>
        <w:t xml:space="preserve">    </w:t>
      </w:r>
      <w:r>
        <w:rPr>
          <w:rFonts w:hint="eastAsia" w:ascii="宋体" w:hAnsi="宋体" w:cs="宋体"/>
          <w:spacing w:val="20"/>
          <w:sz w:val="24"/>
          <w:highlight w:val="none"/>
          <w:u w:val="single"/>
        </w:rPr>
        <w:t>/</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w:t>
      </w:r>
    </w:p>
    <w:p w14:paraId="77B94133">
      <w:pPr>
        <w:pStyle w:val="115"/>
        <w:tabs>
          <w:tab w:val="clear" w:pos="720"/>
        </w:tabs>
        <w:spacing w:line="560" w:lineRule="exact"/>
        <w:ind w:left="0" w:leftChars="0" w:right="0" w:rightChars="0" w:firstLineChars="300"/>
        <w:rPr>
          <w:rFonts w:hint="eastAsia" w:ascii="宋体" w:hAnsi="宋体" w:cs="宋体"/>
          <w:sz w:val="24"/>
          <w:highlight w:val="none"/>
          <w:u w:val="single"/>
          <w:lang w:val="zh-CN"/>
        </w:rPr>
      </w:pPr>
      <w:r>
        <w:rPr>
          <w:rFonts w:hint="eastAsia" w:ascii="宋体" w:hAnsi="宋体" w:cs="宋体"/>
          <w:sz w:val="24"/>
          <w:highlight w:val="none"/>
          <w:lang w:val="zh-CN"/>
        </w:rPr>
        <w:t>（4）</w:t>
      </w:r>
      <w:r>
        <w:rPr>
          <w:rFonts w:hint="eastAsia" w:ascii="宋体" w:hAnsi="宋体" w:cs="宋体"/>
          <w:sz w:val="24"/>
          <w:highlight w:val="none"/>
          <w:u w:val="single"/>
          <w:lang w:val="zh-CN"/>
        </w:rPr>
        <w:t>应尽的其他义务：按照招标活动有关法律、法规和规章，保证代理及招标过程的真实、合法、规范、有效。</w:t>
      </w:r>
    </w:p>
    <w:p w14:paraId="60F0BB1F">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4</w:t>
      </w:r>
      <w:r>
        <w:rPr>
          <w:rFonts w:hint="eastAsia" w:ascii="宋体" w:hAnsi="宋体" w:cs="宋体"/>
          <w:b/>
          <w:bCs/>
          <w:sz w:val="24"/>
          <w:highlight w:val="none"/>
          <w:lang w:val="zh-CN"/>
        </w:rPr>
        <w:t>、委托人的权利</w:t>
      </w:r>
    </w:p>
    <w:p w14:paraId="7611AAFE">
      <w:pPr>
        <w:autoSpaceDE w:val="0"/>
        <w:spacing w:line="560" w:lineRule="exact"/>
        <w:ind w:right="0" w:firstLine="540"/>
        <w:rPr>
          <w:rFonts w:hint="eastAsia" w:ascii="宋体" w:hAnsi="宋体" w:cs="宋体"/>
          <w:sz w:val="24"/>
          <w:highlight w:val="none"/>
          <w:vertAlign w:val="subscript"/>
        </w:rPr>
      </w:pPr>
      <w:r>
        <w:rPr>
          <w:rFonts w:hint="eastAsia" w:ascii="宋体" w:hAnsi="宋体" w:cs="宋体"/>
          <w:sz w:val="24"/>
          <w:highlight w:val="none"/>
        </w:rPr>
        <w:t>4</w:t>
      </w:r>
      <w:r>
        <w:rPr>
          <w:rFonts w:hint="eastAsia" w:ascii="宋体" w:hAnsi="宋体" w:cs="宋体"/>
          <w:sz w:val="24"/>
          <w:highlight w:val="none"/>
          <w:lang w:val="zh-CN"/>
        </w:rPr>
        <w:t>.1 委托人拥有的其他权利：</w:t>
      </w:r>
      <w:r>
        <w:rPr>
          <w:rFonts w:hint="eastAsia" w:ascii="宋体" w:hAnsi="宋体" w:cs="宋体"/>
          <w:sz w:val="24"/>
          <w:highlight w:val="none"/>
          <w:u w:val="single"/>
          <w:lang w:val="zh-CN"/>
        </w:rPr>
        <w:t>（1）对委托项目的招标程序有知情权和监督权；（2）对拟发出的招标公告有审批权；（3）有权要求受托人提供一套完整的招标档案；（4）收回在实施委托业务过程中借给受托人的全部资料；（5）有权要求受托人更换不按法律、法规及规章和本合同的规定履行其职责的受托人的从业人员。</w:t>
      </w:r>
    </w:p>
    <w:p w14:paraId="4FAA2BBF">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5</w:t>
      </w:r>
      <w:r>
        <w:rPr>
          <w:rFonts w:hint="eastAsia" w:ascii="宋体" w:hAnsi="宋体" w:cs="宋体"/>
          <w:b/>
          <w:bCs/>
          <w:sz w:val="24"/>
          <w:highlight w:val="none"/>
          <w:lang w:val="zh-CN"/>
        </w:rPr>
        <w:t>、受托人的权利</w:t>
      </w:r>
    </w:p>
    <w:p w14:paraId="4602D135">
      <w:pPr>
        <w:tabs>
          <w:tab w:val="left" w:pos="720"/>
          <w:tab w:val="left" w:pos="900"/>
        </w:tabs>
        <w:autoSpaceDE w:val="0"/>
        <w:spacing w:line="560" w:lineRule="exact"/>
        <w:ind w:leftChars="100" w:right="0" w:rightChars="0" w:firstLineChars="100"/>
        <w:rPr>
          <w:rFonts w:hint="eastAsia" w:ascii="宋体" w:hAnsi="宋体" w:cs="宋体"/>
          <w:sz w:val="24"/>
          <w:highlight w:val="none"/>
          <w:u w:val="single"/>
          <w:lang w:val="zh-CN"/>
        </w:rPr>
      </w:pPr>
      <w:r>
        <w:rPr>
          <w:rFonts w:hint="eastAsia" w:ascii="宋体" w:hAnsi="宋体" w:cs="宋体"/>
          <w:sz w:val="24"/>
          <w:highlight w:val="none"/>
        </w:rPr>
        <w:t>5</w:t>
      </w:r>
      <w:r>
        <w:rPr>
          <w:rFonts w:hint="eastAsia" w:ascii="宋体" w:hAnsi="宋体" w:cs="宋体"/>
          <w:sz w:val="24"/>
          <w:highlight w:val="none"/>
          <w:lang w:val="zh-CN"/>
        </w:rPr>
        <w:t>.1</w:t>
      </w:r>
      <w:r>
        <w:rPr>
          <w:rFonts w:hint="eastAsia" w:ascii="宋体" w:hAnsi="宋体" w:cs="宋体"/>
          <w:sz w:val="24"/>
          <w:highlight w:val="none"/>
        </w:rPr>
        <w:t xml:space="preserve"> </w:t>
      </w:r>
      <w:r>
        <w:rPr>
          <w:rFonts w:hint="eastAsia" w:ascii="宋体" w:hAnsi="宋体" w:cs="宋体"/>
          <w:sz w:val="24"/>
          <w:highlight w:val="none"/>
          <w:lang w:val="zh-CN"/>
        </w:rPr>
        <w:t>受托人拥有的其他权利：</w:t>
      </w:r>
      <w:r>
        <w:rPr>
          <w:rFonts w:hint="eastAsia" w:ascii="宋体" w:hAnsi="宋体" w:cs="宋体"/>
          <w:sz w:val="24"/>
          <w:highlight w:val="none"/>
          <w:u w:val="single"/>
          <w:lang w:val="zh-CN"/>
        </w:rPr>
        <w:t>（1）有权要求委托人对委托工作提供必要的协助；（2）在有关法律、法规和规章规定的范围内，依据本合同代理内容，开展代理服务工作（3）按合同约定收取招标代理报酬。</w:t>
      </w:r>
    </w:p>
    <w:p w14:paraId="7E2C8A66">
      <w:pPr>
        <w:pStyle w:val="174"/>
        <w:spacing w:before="120" w:after="120"/>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三、服务报酬与支付方式</w:t>
      </w:r>
    </w:p>
    <w:p w14:paraId="54A0AF33">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6</w:t>
      </w:r>
      <w:r>
        <w:rPr>
          <w:rFonts w:hint="eastAsia" w:ascii="宋体" w:hAnsi="宋体" w:cs="宋体"/>
          <w:b/>
          <w:bCs/>
          <w:sz w:val="24"/>
          <w:highlight w:val="none"/>
          <w:lang w:val="zh-CN"/>
        </w:rPr>
        <w:t>、服务报酬</w:t>
      </w:r>
    </w:p>
    <w:p w14:paraId="6B9216CE">
      <w:pPr>
        <w:autoSpaceDE w:val="0"/>
        <w:spacing w:line="560" w:lineRule="exact"/>
        <w:ind w:right="0" w:firstLine="540"/>
        <w:rPr>
          <w:rFonts w:hint="eastAsia" w:ascii="宋体" w:hAnsi="宋体" w:cs="宋体"/>
          <w:sz w:val="24"/>
          <w:highlight w:val="none"/>
          <w:lang w:val="zh-CN"/>
        </w:rPr>
      </w:pPr>
      <w:r>
        <w:rPr>
          <w:rFonts w:hint="eastAsia" w:ascii="宋体" w:hAnsi="宋体" w:cs="宋体"/>
          <w:sz w:val="24"/>
          <w:highlight w:val="none"/>
        </w:rPr>
        <w:t>6</w:t>
      </w:r>
      <w:r>
        <w:rPr>
          <w:rFonts w:hint="eastAsia" w:ascii="宋体" w:hAnsi="宋体" w:cs="宋体"/>
          <w:sz w:val="24"/>
          <w:highlight w:val="none"/>
          <w:lang w:val="zh-CN"/>
        </w:rPr>
        <w:t>.1 服务报酬的计算方法：</w:t>
      </w:r>
    </w:p>
    <w:p w14:paraId="38EF3153">
      <w:pPr>
        <w:spacing w:line="360" w:lineRule="auto"/>
        <w:ind w:left="0" w:leftChars="0" w:right="0" w:rightChars="0" w:firstLineChars="200"/>
        <w:rPr>
          <w:rFonts w:hint="eastAsia" w:ascii="宋体" w:hAnsi="宋体" w:cs="宋体"/>
          <w:sz w:val="24"/>
          <w:highlight w:val="none"/>
          <w:u w:val="single"/>
        </w:rPr>
      </w:pPr>
      <w:r>
        <w:rPr>
          <w:rFonts w:hint="eastAsia" w:ascii="宋体" w:hAnsi="宋体" w:cs="宋体"/>
          <w:sz w:val="24"/>
          <w:highlight w:val="none"/>
          <w:lang w:val="zh-CN"/>
        </w:rPr>
        <w:t>①服务报酬的计费基数：</w:t>
      </w:r>
      <w:r>
        <w:rPr>
          <w:rFonts w:hint="eastAsia" w:ascii="宋体" w:hAnsi="宋体" w:cs="宋体"/>
          <w:sz w:val="24"/>
          <w:highlight w:val="none"/>
          <w:u w:val="single"/>
        </w:rPr>
        <w:t>以招标估价为计费基数。</w:t>
      </w:r>
    </w:p>
    <w:p w14:paraId="3B30F2FB">
      <w:pPr>
        <w:widowControl/>
        <w:spacing w:line="360" w:lineRule="auto"/>
        <w:ind w:left="0" w:leftChars="0" w:right="0" w:rightChars="0" w:firstLineChars="200"/>
        <w:rPr>
          <w:rFonts w:hint="eastAsia" w:ascii="宋体" w:hAnsi="宋体" w:cs="宋体"/>
          <w:sz w:val="24"/>
          <w:highlight w:val="none"/>
          <w:u w:val="single"/>
        </w:rPr>
      </w:pPr>
      <w:r>
        <w:rPr>
          <w:rFonts w:hint="eastAsia" w:ascii="宋体" w:hAnsi="宋体" w:cs="宋体"/>
          <w:sz w:val="24"/>
          <w:highlight w:val="none"/>
          <w:lang w:val="zh-CN"/>
        </w:rPr>
        <w:t>②服务报酬的计取：</w:t>
      </w:r>
      <w:r>
        <w:rPr>
          <w:rFonts w:hint="eastAsia" w:ascii="宋体" w:hAnsi="宋体" w:cs="宋体"/>
          <w:sz w:val="24"/>
          <w:highlight w:val="none"/>
          <w:u w:val="single"/>
          <w:lang w:val="en-US" w:eastAsia="zh-CN"/>
        </w:rPr>
        <w:t>参照</w:t>
      </w:r>
      <w:r>
        <w:rPr>
          <w:rFonts w:hint="eastAsia" w:ascii="宋体" w:hAnsi="宋体" w:cs="宋体"/>
          <w:sz w:val="24"/>
          <w:highlight w:val="none"/>
          <w:u w:val="single"/>
          <w:lang w:val="zh-CN"/>
        </w:rPr>
        <w:t>计价格[2002]1980号</w:t>
      </w:r>
      <w:r>
        <w:rPr>
          <w:rFonts w:hint="eastAsia" w:ascii="宋体" w:hAnsi="宋体" w:cs="宋体"/>
          <w:sz w:val="24"/>
          <w:highlight w:val="none"/>
          <w:lang w:val="zh-CN"/>
        </w:rPr>
        <w:t>文规定</w:t>
      </w:r>
      <w:r>
        <w:rPr>
          <w:rFonts w:hint="eastAsia" w:ascii="宋体" w:hAnsi="宋体" w:cs="宋体"/>
          <w:sz w:val="24"/>
          <w:highlight w:val="none"/>
          <w:u w:val="single"/>
        </w:rPr>
        <w:t>发改价格[2011]534号</w:t>
      </w:r>
      <w:r>
        <w:rPr>
          <w:rFonts w:hint="eastAsia" w:ascii="宋体" w:hAnsi="宋体" w:cs="宋体"/>
          <w:sz w:val="24"/>
          <w:highlight w:val="none"/>
          <w:u w:val="single"/>
          <w:lang w:val="zh-CN"/>
        </w:rPr>
        <w:t>所载收费标准并结合本合同约定的下浮率计取。</w:t>
      </w:r>
    </w:p>
    <w:p w14:paraId="60EB048F">
      <w:pPr>
        <w:autoSpaceDE w:val="0"/>
        <w:spacing w:line="560" w:lineRule="exact"/>
        <w:ind w:right="0" w:firstLine="540"/>
        <w:jc w:val="left"/>
        <w:rPr>
          <w:rFonts w:hint="eastAsia" w:ascii="宋体" w:hAnsi="宋体" w:cs="宋体"/>
          <w:sz w:val="24"/>
          <w:highlight w:val="none"/>
        </w:rPr>
      </w:pPr>
      <w:r>
        <w:rPr>
          <w:rFonts w:hint="eastAsia" w:ascii="宋体" w:hAnsi="宋体" w:cs="宋体"/>
          <w:sz w:val="24"/>
          <w:highlight w:val="none"/>
          <w:lang w:val="zh-CN"/>
        </w:rPr>
        <w:t>③</w:t>
      </w:r>
      <w:r>
        <w:rPr>
          <w:rFonts w:hint="eastAsia" w:ascii="宋体" w:hAnsi="宋体" w:cs="宋体"/>
          <w:sz w:val="24"/>
          <w:highlight w:val="none"/>
        </w:rPr>
        <w:t>本合同暂定金额计算式：</w:t>
      </w:r>
    </w:p>
    <w:p w14:paraId="31C010C6">
      <w:pPr>
        <w:pStyle w:val="24"/>
        <w:rPr>
          <w:rFonts w:hint="eastAsia" w:ascii="宋体" w:hAnsi="宋体" w:cs="宋体"/>
          <w:sz w:val="24"/>
          <w:highlight w:val="none"/>
        </w:rPr>
      </w:pPr>
    </w:p>
    <w:p w14:paraId="4E38B390">
      <w:pPr>
        <w:spacing w:line="360" w:lineRule="auto"/>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lang w:val="zh-CN"/>
        </w:rPr>
        <w:t>本合同暂定金额为</w:t>
      </w:r>
      <w:r>
        <w:rPr>
          <w:rFonts w:hint="eastAsia" w:ascii="宋体" w:hAnsi="宋体" w:cs="宋体"/>
          <w:sz w:val="24"/>
          <w:highlight w:val="none"/>
          <w:u w:val="single"/>
        </w:rPr>
        <w:t xml:space="preserve">    </w:t>
      </w:r>
      <w:r>
        <w:rPr>
          <w:rFonts w:hint="eastAsia" w:ascii="宋体" w:hAnsi="宋体" w:cs="宋体"/>
          <w:sz w:val="24"/>
          <w:highlight w:val="none"/>
        </w:rPr>
        <w:t>万元，最终结算以</w:t>
      </w:r>
      <w:r>
        <w:rPr>
          <w:rFonts w:hint="eastAsia" w:ascii="宋体" w:hAnsi="宋体" w:cs="宋体"/>
          <w:sz w:val="24"/>
          <w:highlight w:val="none"/>
          <w:u w:val="single"/>
        </w:rPr>
        <w:t>公开招标的中标价为取费基数</w:t>
      </w:r>
      <w:r>
        <w:rPr>
          <w:rFonts w:hint="eastAsia" w:ascii="宋体" w:hAnsi="宋体" w:cs="宋体"/>
          <w:sz w:val="24"/>
          <w:highlight w:val="none"/>
          <w:lang w:val="zh-CN"/>
        </w:rPr>
        <w:t>，按</w:t>
      </w:r>
      <w:r>
        <w:rPr>
          <w:rFonts w:hint="eastAsia" w:ascii="宋体" w:hAnsi="宋体" w:cs="宋体"/>
          <w:sz w:val="24"/>
          <w:highlight w:val="none"/>
          <w:u w:val="single"/>
        </w:rPr>
        <w:t>计价格[2002]1980号文、发改价格[2011]534号</w:t>
      </w:r>
      <w:r>
        <w:rPr>
          <w:rFonts w:hint="eastAsia" w:ascii="宋体" w:hAnsi="宋体" w:cs="宋体"/>
          <w:sz w:val="24"/>
          <w:highlight w:val="none"/>
          <w:u w:val="single"/>
          <w:lang w:val="en-US" w:eastAsia="zh-CN"/>
        </w:rPr>
        <w:t>所载收费标准</w:t>
      </w:r>
      <w:r>
        <w:rPr>
          <w:rFonts w:hint="eastAsia" w:ascii="宋体" w:hAnsi="宋体" w:cs="宋体"/>
          <w:sz w:val="24"/>
          <w:highlight w:val="none"/>
          <w:lang w:val="en-US" w:eastAsia="zh-CN"/>
        </w:rPr>
        <w:t>并结合</w:t>
      </w:r>
      <w:r>
        <w:rPr>
          <w:rFonts w:hint="eastAsia" w:ascii="宋体" w:hAnsi="宋体" w:cs="宋体"/>
          <w:sz w:val="24"/>
          <w:highlight w:val="none"/>
        </w:rPr>
        <w:t>下浮率</w:t>
      </w:r>
      <w:r>
        <w:rPr>
          <w:rFonts w:hint="eastAsia" w:ascii="宋体" w:hAnsi="宋体" w:cs="宋体"/>
          <w:sz w:val="24"/>
          <w:highlight w:val="none"/>
          <w:u w:val="single"/>
        </w:rPr>
        <w:t xml:space="preserve">   </w:t>
      </w:r>
      <w:r>
        <w:rPr>
          <w:rFonts w:hint="eastAsia" w:ascii="宋体" w:hAnsi="宋体" w:cs="宋体"/>
          <w:sz w:val="24"/>
          <w:highlight w:val="none"/>
        </w:rPr>
        <w:t>%按实计取。</w:t>
      </w:r>
    </w:p>
    <w:p w14:paraId="76114B47">
      <w:pPr>
        <w:autoSpaceDE w:val="0"/>
        <w:spacing w:line="560" w:lineRule="exact"/>
        <w:ind w:left="0" w:leftChars="0" w:right="0" w:rightChars="0" w:firstLineChars="200"/>
        <w:rPr>
          <w:rFonts w:hint="eastAsia" w:ascii="宋体" w:hAnsi="宋体" w:cs="宋体"/>
          <w:sz w:val="24"/>
          <w:highlight w:val="none"/>
          <w:u w:val="single"/>
        </w:rPr>
      </w:pPr>
      <w:r>
        <w:rPr>
          <w:rFonts w:hint="eastAsia" w:ascii="宋体" w:hAnsi="宋体" w:cs="宋体"/>
          <w:sz w:val="24"/>
          <w:highlight w:val="none"/>
          <w:lang w:val="zh-CN"/>
        </w:rPr>
        <w:t>代理报酬的币种：</w:t>
      </w:r>
      <w:r>
        <w:rPr>
          <w:rFonts w:hint="eastAsia" w:ascii="宋体" w:hAnsi="宋体" w:cs="宋体"/>
          <w:sz w:val="24"/>
          <w:highlight w:val="none"/>
          <w:u w:val="single"/>
          <w:lang w:val="zh-CN"/>
        </w:rPr>
        <w:t xml:space="preserve">   人民币      </w:t>
      </w:r>
      <w:r>
        <w:rPr>
          <w:rFonts w:hint="eastAsia" w:ascii="宋体" w:hAnsi="宋体" w:cs="宋体"/>
          <w:sz w:val="24"/>
          <w:highlight w:val="none"/>
          <w:lang w:val="zh-CN"/>
        </w:rPr>
        <w:t xml:space="preserve">  </w:t>
      </w:r>
      <w:r>
        <w:rPr>
          <w:rFonts w:hint="eastAsia" w:ascii="宋体" w:hAnsi="宋体" w:cs="宋体"/>
          <w:sz w:val="24"/>
          <w:highlight w:val="none"/>
        </w:rPr>
        <w:t>汇率</w:t>
      </w:r>
      <w:r>
        <w:rPr>
          <w:rFonts w:hint="eastAsia" w:ascii="宋体" w:hAnsi="宋体" w:cs="宋体"/>
          <w:sz w:val="24"/>
          <w:highlight w:val="none"/>
          <w:u w:val="single"/>
        </w:rPr>
        <w:t xml:space="preserve">      ╱                    </w:t>
      </w:r>
    </w:p>
    <w:p w14:paraId="323E62E8">
      <w:pPr>
        <w:autoSpaceDE w:val="0"/>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lang w:val="zh-CN"/>
        </w:rPr>
        <w:t>代理报酬的支付方式：</w:t>
      </w:r>
      <w:r>
        <w:rPr>
          <w:rFonts w:hint="eastAsia" w:ascii="宋体" w:hAnsi="宋体" w:cs="宋体"/>
          <w:sz w:val="24"/>
          <w:highlight w:val="none"/>
          <w:u w:val="single"/>
          <w:lang w:val="zh-CN"/>
        </w:rPr>
        <w:t xml:space="preserve">  银行</w:t>
      </w:r>
      <w:bookmarkStart w:id="23" w:name="_GoBack"/>
      <w:bookmarkEnd w:id="23"/>
      <w:r>
        <w:rPr>
          <w:rFonts w:hint="eastAsia" w:ascii="宋体" w:hAnsi="宋体" w:cs="宋体"/>
          <w:sz w:val="24"/>
          <w:highlight w:val="none"/>
          <w:u w:val="single"/>
          <w:lang w:val="zh-CN"/>
        </w:rPr>
        <w:t xml:space="preserve">转账  </w:t>
      </w:r>
    </w:p>
    <w:p w14:paraId="4CAE5A2E">
      <w:pPr>
        <w:spacing w:line="560" w:lineRule="exact"/>
        <w:ind w:left="0" w:leftChars="0" w:right="0" w:rightChars="0" w:firstLineChars="200"/>
        <w:rPr>
          <w:rFonts w:hint="eastAsia" w:ascii="宋体" w:hAnsi="宋体" w:cs="宋体"/>
          <w:sz w:val="24"/>
          <w:highlight w:val="none"/>
          <w:u w:val="single"/>
          <w:lang w:val="zh-CN"/>
        </w:rPr>
      </w:pPr>
      <w:r>
        <w:rPr>
          <w:rFonts w:hint="eastAsia" w:ascii="宋体" w:hAnsi="宋体" w:cs="宋体"/>
          <w:sz w:val="24"/>
          <w:highlight w:val="none"/>
          <w:lang w:val="zh-CN"/>
        </w:rPr>
        <w:t>代理报酬的支付时间：</w:t>
      </w:r>
      <w:r>
        <w:rPr>
          <w:rFonts w:hint="eastAsia" w:ascii="宋体" w:hAnsi="宋体" w:cs="宋体"/>
          <w:sz w:val="24"/>
          <w:highlight w:val="none"/>
          <w:u w:val="single"/>
        </w:rPr>
        <w:t>乙方完成本项目施工招标工作，并取得中标通知书后，支付合同价的70%；剩余款项待本合同结算审核完成后按合同最终审定价支付。</w:t>
      </w:r>
    </w:p>
    <w:p w14:paraId="0F80A3EC">
      <w:pPr>
        <w:autoSpaceDE w:val="0"/>
        <w:spacing w:line="560" w:lineRule="exact"/>
        <w:ind w:right="0" w:firstLine="540"/>
        <w:rPr>
          <w:rFonts w:hint="eastAsia" w:ascii="宋体" w:hAnsi="宋体" w:cs="宋体"/>
          <w:sz w:val="24"/>
          <w:highlight w:val="none"/>
          <w:lang w:val="zh-CN"/>
        </w:rPr>
      </w:pPr>
      <w:r>
        <w:rPr>
          <w:rFonts w:hint="eastAsia" w:ascii="宋体" w:hAnsi="宋体" w:cs="宋体"/>
          <w:sz w:val="24"/>
          <w:highlight w:val="none"/>
        </w:rPr>
        <w:t>6</w:t>
      </w:r>
      <w:r>
        <w:rPr>
          <w:rFonts w:hint="eastAsia" w:ascii="宋体" w:hAnsi="宋体" w:cs="宋体"/>
          <w:sz w:val="24"/>
          <w:highlight w:val="none"/>
          <w:lang w:val="zh-CN"/>
        </w:rPr>
        <w:t>.2、在招标代理业务范围内所发生的其他费用</w:t>
      </w:r>
      <w:r>
        <w:rPr>
          <w:rFonts w:hint="eastAsia" w:ascii="宋体" w:hAnsi="宋体" w:cs="宋体"/>
          <w:sz w:val="24"/>
          <w:highlight w:val="none"/>
          <w:u w:val="single"/>
          <w:lang w:val="zh-CN"/>
        </w:rPr>
        <w:t xml:space="preserve">    ／      </w:t>
      </w:r>
      <w:r>
        <w:rPr>
          <w:rFonts w:hint="eastAsia" w:ascii="宋体" w:hAnsi="宋体" w:cs="宋体"/>
          <w:sz w:val="24"/>
          <w:highlight w:val="none"/>
          <w:lang w:val="zh-CN"/>
        </w:rPr>
        <w:t>。</w:t>
      </w:r>
    </w:p>
    <w:p w14:paraId="4B3A89F4">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7</w:t>
      </w:r>
      <w:r>
        <w:rPr>
          <w:rFonts w:hint="eastAsia" w:ascii="宋体" w:hAnsi="宋体" w:cs="宋体"/>
          <w:b/>
          <w:bCs/>
          <w:sz w:val="24"/>
          <w:highlight w:val="none"/>
          <w:lang w:val="zh-CN"/>
        </w:rPr>
        <w:t>、委托服务报酬的收取</w:t>
      </w:r>
    </w:p>
    <w:p w14:paraId="17DFFB4D">
      <w:pPr>
        <w:autoSpaceDE w:val="0"/>
        <w:spacing w:line="560" w:lineRule="exact"/>
        <w:ind w:right="0" w:firstLine="540"/>
        <w:rPr>
          <w:rFonts w:hint="eastAsia" w:ascii="宋体" w:hAnsi="宋体" w:cs="宋体"/>
          <w:sz w:val="24"/>
          <w:highlight w:val="none"/>
          <w:lang w:val="zh-CN"/>
        </w:rPr>
      </w:pPr>
      <w:r>
        <w:rPr>
          <w:rFonts w:hint="eastAsia" w:ascii="宋体" w:hAnsi="宋体" w:cs="宋体"/>
          <w:sz w:val="24"/>
          <w:highlight w:val="none"/>
        </w:rPr>
        <w:t>7</w:t>
      </w:r>
      <w:r>
        <w:rPr>
          <w:rFonts w:hint="eastAsia" w:ascii="宋体" w:hAnsi="宋体" w:cs="宋体"/>
          <w:sz w:val="24"/>
          <w:highlight w:val="none"/>
          <w:lang w:val="zh-CN"/>
        </w:rPr>
        <w:t>.1 预付委托服务费用额度（或比例）：</w:t>
      </w:r>
      <w:r>
        <w:rPr>
          <w:rFonts w:hint="eastAsia" w:ascii="宋体" w:hAnsi="宋体" w:cs="宋体"/>
          <w:sz w:val="24"/>
          <w:highlight w:val="none"/>
          <w:u w:val="single"/>
          <w:lang w:val="zh-CN"/>
        </w:rPr>
        <w:t xml:space="preserve">                 </w:t>
      </w:r>
      <w:r>
        <w:rPr>
          <w:rFonts w:hint="eastAsia" w:ascii="宋体" w:hAnsi="宋体" w:cs="宋体"/>
          <w:sz w:val="24"/>
          <w:highlight w:val="none"/>
          <w:u w:val="single"/>
        </w:rPr>
        <w:t>╱</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w:t>
      </w:r>
    </w:p>
    <w:p w14:paraId="5F2BC034">
      <w:pPr>
        <w:autoSpaceDE w:val="0"/>
        <w:spacing w:line="560" w:lineRule="exact"/>
        <w:ind w:right="0" w:firstLine="540"/>
        <w:rPr>
          <w:rFonts w:ascii="宋体" w:hAnsi="宋体" w:cs="宋体"/>
          <w:sz w:val="24"/>
          <w:highlight w:val="none"/>
        </w:rPr>
      </w:pPr>
      <w:r>
        <w:rPr>
          <w:rFonts w:hint="eastAsia" w:ascii="宋体" w:hAnsi="宋体" w:cs="宋体"/>
          <w:sz w:val="24"/>
          <w:highlight w:val="none"/>
        </w:rPr>
        <w:t>通用条款9.2条款不适用本合同。</w:t>
      </w:r>
    </w:p>
    <w:p w14:paraId="781B4CF2">
      <w:pPr>
        <w:pStyle w:val="174"/>
        <w:spacing w:before="120" w:after="120"/>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四、违约、索赔和争议</w:t>
      </w:r>
    </w:p>
    <w:p w14:paraId="3DF31D43">
      <w:pPr>
        <w:autoSpaceDE w:val="0"/>
        <w:spacing w:line="560" w:lineRule="exact"/>
        <w:ind w:right="0" w:firstLine="540"/>
        <w:rPr>
          <w:rFonts w:hint="eastAsia" w:ascii="宋体" w:hAnsi="宋体" w:cs="宋体"/>
          <w:b/>
          <w:bCs/>
          <w:sz w:val="24"/>
          <w:highlight w:val="none"/>
          <w:lang w:val="zh-CN"/>
        </w:rPr>
      </w:pPr>
      <w:r>
        <w:rPr>
          <w:rFonts w:hint="eastAsia" w:ascii="宋体" w:hAnsi="宋体" w:cs="宋体"/>
          <w:b/>
          <w:bCs/>
          <w:sz w:val="24"/>
          <w:highlight w:val="none"/>
        </w:rPr>
        <w:t>8</w:t>
      </w:r>
      <w:r>
        <w:rPr>
          <w:rFonts w:hint="eastAsia" w:ascii="宋体" w:hAnsi="宋体" w:cs="宋体"/>
          <w:b/>
          <w:bCs/>
          <w:sz w:val="24"/>
          <w:highlight w:val="none"/>
          <w:lang w:val="zh-CN"/>
        </w:rPr>
        <w:t>、违约</w:t>
      </w:r>
    </w:p>
    <w:p w14:paraId="47CC7E4A">
      <w:pPr>
        <w:autoSpaceDE w:val="0"/>
        <w:spacing w:line="560" w:lineRule="exact"/>
        <w:ind w:right="0" w:firstLine="540"/>
        <w:rPr>
          <w:rFonts w:hint="eastAsia" w:ascii="宋体" w:hAnsi="宋体" w:cs="宋体"/>
          <w:sz w:val="24"/>
          <w:highlight w:val="none"/>
          <w:lang w:val="zh-CN"/>
        </w:rPr>
      </w:pPr>
      <w:r>
        <w:rPr>
          <w:rFonts w:hint="eastAsia" w:ascii="宋体" w:hAnsi="宋体" w:cs="宋体"/>
          <w:sz w:val="24"/>
          <w:highlight w:val="none"/>
        </w:rPr>
        <w:t>8</w:t>
      </w:r>
      <w:r>
        <w:rPr>
          <w:rFonts w:hint="eastAsia" w:ascii="宋体" w:hAnsi="宋体" w:cs="宋体"/>
          <w:sz w:val="24"/>
          <w:highlight w:val="none"/>
          <w:lang w:val="zh-CN"/>
        </w:rPr>
        <w:t xml:space="preserve">.1 本合同关于委托人违约的具体责任： </w:t>
      </w:r>
    </w:p>
    <w:p w14:paraId="1DBD3703">
      <w:pPr>
        <w:autoSpaceDE w:val="0"/>
        <w:spacing w:line="560" w:lineRule="exact"/>
        <w:ind w:right="0" w:firstLine="540"/>
        <w:rPr>
          <w:rFonts w:hint="eastAsia" w:ascii="宋体" w:hAnsi="宋体" w:cs="宋体"/>
          <w:sz w:val="24"/>
          <w:highlight w:val="none"/>
          <w:u w:val="single"/>
          <w:lang w:val="zh-CN"/>
        </w:rPr>
      </w:pPr>
      <w:r>
        <w:rPr>
          <w:rFonts w:hint="eastAsia" w:ascii="宋体" w:hAnsi="宋体" w:cs="宋体"/>
          <w:sz w:val="24"/>
          <w:highlight w:val="none"/>
          <w:u w:val="single"/>
          <w:lang w:val="zh-CN"/>
        </w:rPr>
        <w:t>（1）委托人未按照本合同通用条款第4.2－（3）款的约定向受托人提供保证招标工作顺利完成的条件，应承担的违约责任：如因非受托人的责任造成进度的推迟或延误而超过约定的日期，双方应进一步约定相应延长时间。</w:t>
      </w:r>
    </w:p>
    <w:p w14:paraId="6D35CDAC">
      <w:pPr>
        <w:autoSpaceDE w:val="0"/>
        <w:spacing w:line="560" w:lineRule="exact"/>
        <w:ind w:left="0" w:leftChars="0" w:right="0" w:rightChars="0" w:firstLineChars="200"/>
        <w:rPr>
          <w:rFonts w:hint="eastAsia" w:ascii="宋体" w:hAnsi="宋体" w:cs="宋体"/>
          <w:sz w:val="24"/>
          <w:highlight w:val="none"/>
          <w:u w:val="single"/>
          <w:lang w:val="zh-CN"/>
        </w:rPr>
      </w:pPr>
      <w:r>
        <w:rPr>
          <w:rFonts w:hint="eastAsia" w:ascii="宋体" w:hAnsi="宋体" w:cs="宋体"/>
          <w:sz w:val="24"/>
          <w:highlight w:val="none"/>
          <w:u w:val="single"/>
          <w:lang w:val="zh-CN"/>
        </w:rPr>
        <w:t>（2）委托人未按本合同通用条款第4.2－（6）款的约定向受托人支付委托代理报酬，应承担的违约责任；受托人有义务提供相关付款申请的凭证，因受托人提供的资料不齐全或不及时导致付款延迟的，概由受托人自行承担。因上级部门对实施要求改变导致本工程无法按期开展的情况不属于委托人的违约，受托人不得向委托人要求赔偿。</w:t>
      </w:r>
    </w:p>
    <w:p w14:paraId="1EF5705A">
      <w:pPr>
        <w:autoSpaceDE w:val="0"/>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lang w:val="zh-CN"/>
        </w:rPr>
        <w:t>（3）双方约定的委托人的其他违约责任：</w:t>
      </w:r>
      <w:r>
        <w:rPr>
          <w:rFonts w:hint="eastAsia" w:ascii="宋体" w:hAnsi="宋体" w:cs="宋体"/>
          <w:sz w:val="24"/>
          <w:highlight w:val="none"/>
          <w:u w:val="single"/>
          <w:lang w:val="zh-CN"/>
        </w:rPr>
        <w:t xml:space="preserve">           </w:t>
      </w:r>
      <w:r>
        <w:rPr>
          <w:rFonts w:hint="eastAsia" w:ascii="宋体" w:hAnsi="宋体" w:cs="宋体"/>
          <w:sz w:val="24"/>
          <w:highlight w:val="none"/>
          <w:u w:val="single"/>
        </w:rPr>
        <w:t>╱</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 xml:space="preserve">。 </w:t>
      </w:r>
    </w:p>
    <w:p w14:paraId="39B6D4A1">
      <w:pPr>
        <w:autoSpaceDE w:val="0"/>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rPr>
        <w:t>8</w:t>
      </w:r>
      <w:r>
        <w:rPr>
          <w:rFonts w:hint="eastAsia" w:ascii="宋体" w:hAnsi="宋体" w:cs="宋体"/>
          <w:sz w:val="24"/>
          <w:highlight w:val="none"/>
          <w:lang w:val="zh-CN"/>
        </w:rPr>
        <w:t xml:space="preserve">.2 本合同关于受托人违约的具体责任： </w:t>
      </w:r>
    </w:p>
    <w:p w14:paraId="7EB8C580">
      <w:pPr>
        <w:autoSpaceDE w:val="0"/>
        <w:spacing w:line="560" w:lineRule="exact"/>
        <w:ind w:left="0" w:leftChars="0" w:right="0" w:rightChars="0" w:firstLineChars="200"/>
        <w:rPr>
          <w:rFonts w:hint="eastAsia" w:ascii="宋体" w:hAnsi="宋体" w:cs="宋体"/>
          <w:sz w:val="24"/>
          <w:highlight w:val="none"/>
          <w:u w:val="single"/>
          <w:lang w:val="zh-CN"/>
        </w:rPr>
      </w:pPr>
      <w:r>
        <w:rPr>
          <w:rFonts w:hint="eastAsia" w:ascii="宋体" w:hAnsi="宋体" w:cs="宋体"/>
          <w:sz w:val="24"/>
          <w:highlight w:val="none"/>
          <w:lang w:val="zh-CN"/>
        </w:rPr>
        <w:t>（1）受托人未按照本合同通用条款第5.2（2）款的约定，向委托人提供为完成招标工作的咨询服务应承担的责任：</w:t>
      </w:r>
      <w:r>
        <w:rPr>
          <w:rFonts w:hint="eastAsia" w:ascii="宋体" w:hAnsi="宋体" w:cs="宋体"/>
          <w:sz w:val="24"/>
          <w:highlight w:val="none"/>
          <w:u w:val="single"/>
          <w:lang w:val="zh-CN"/>
        </w:rPr>
        <w:t>受托人在约定时间内，应当履行本合同中约定的义务，完成成果达到协议书中约定的质量要求。否则，视受托人违约，应赔偿委托人合同价款的20%作为违约金，如该违约金不足以弥补委托人损失的，受托人还须额外赔偿委托人的损失。</w:t>
      </w:r>
    </w:p>
    <w:p w14:paraId="1FA81F5A">
      <w:pPr>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lang w:val="zh-CN"/>
        </w:rPr>
        <w:t>（2）受托人违反</w:t>
      </w:r>
      <w:r>
        <w:rPr>
          <w:rFonts w:hint="eastAsia" w:ascii="宋体" w:hAnsi="宋体" w:cs="宋体"/>
          <w:sz w:val="24"/>
          <w:highlight w:val="none"/>
        </w:rPr>
        <w:t>本合同通用条款第5</w:t>
      </w:r>
      <w:r>
        <w:rPr>
          <w:rFonts w:hint="eastAsia" w:ascii="宋体" w:hAnsi="宋体" w:cs="宋体"/>
          <w:sz w:val="24"/>
          <w:highlight w:val="none"/>
          <w:lang w:val="zh-CN"/>
        </w:rPr>
        <w:t>.</w:t>
      </w:r>
      <w:r>
        <w:rPr>
          <w:rFonts w:hint="eastAsia" w:ascii="宋体" w:hAnsi="宋体" w:cs="宋体"/>
          <w:sz w:val="24"/>
          <w:highlight w:val="none"/>
        </w:rPr>
        <w:t>3款</w:t>
      </w:r>
      <w:r>
        <w:rPr>
          <w:rFonts w:hint="eastAsia" w:ascii="宋体" w:hAnsi="宋体" w:cs="宋体"/>
          <w:sz w:val="24"/>
          <w:highlight w:val="none"/>
          <w:lang w:val="zh-CN"/>
        </w:rPr>
        <w:t>的约定</w:t>
      </w:r>
      <w:r>
        <w:rPr>
          <w:rFonts w:hint="eastAsia" w:ascii="宋体" w:hAnsi="宋体" w:cs="宋体"/>
          <w:sz w:val="24"/>
          <w:highlight w:val="none"/>
        </w:rPr>
        <w:t>，未出具科学、准确的有关数据的计算、技术经济资料</w:t>
      </w:r>
      <w:r>
        <w:rPr>
          <w:rFonts w:hint="eastAsia" w:ascii="宋体" w:hAnsi="宋体" w:cs="宋体"/>
          <w:sz w:val="24"/>
          <w:highlight w:val="none"/>
          <w:lang w:val="zh-CN"/>
        </w:rPr>
        <w:t>应承担的违约责任：</w:t>
      </w:r>
      <w:r>
        <w:rPr>
          <w:rFonts w:hint="eastAsia" w:ascii="宋体" w:hAnsi="宋体" w:cs="宋体"/>
          <w:sz w:val="24"/>
          <w:highlight w:val="none"/>
          <w:u w:val="single"/>
          <w:lang w:val="zh-CN"/>
        </w:rPr>
        <w:t>应赔偿委托人合同价款的20%作为违约金，如该违约金不足以弥补委托人损失的，受托人还须额外赔偿。</w:t>
      </w:r>
    </w:p>
    <w:p w14:paraId="42462636">
      <w:pPr>
        <w:autoSpaceDE w:val="0"/>
        <w:spacing w:line="560" w:lineRule="exact"/>
        <w:ind w:left="0" w:leftChars="0" w:right="0" w:rightChars="0" w:firstLineChars="200"/>
        <w:rPr>
          <w:rFonts w:hint="eastAsia"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lang w:val="zh-CN"/>
        </w:rPr>
        <w:t>受托人违反本合同通用条款第5.4款的约定，接受了与本合同工程建设项目有关的投标咨询业务应承担的违约责任：</w:t>
      </w:r>
      <w:r>
        <w:rPr>
          <w:rFonts w:hint="eastAsia" w:ascii="宋体" w:hAnsi="宋体" w:cs="宋体"/>
          <w:sz w:val="24"/>
          <w:highlight w:val="none"/>
          <w:u w:val="single"/>
          <w:lang w:val="zh-CN"/>
        </w:rPr>
        <w:t>应赔偿委托人合同价款的20%作为违约金，如该违约金不足以弥补委托人损失的，受托人还须额外赔偿。</w:t>
      </w:r>
    </w:p>
    <w:p w14:paraId="09B6D7CB">
      <w:pPr>
        <w:spacing w:line="560" w:lineRule="exact"/>
        <w:ind w:left="0" w:leftChars="0" w:right="0" w:rightChars="0" w:firstLineChars="200"/>
        <w:rPr>
          <w:rFonts w:hint="eastAsia" w:ascii="宋体" w:hAnsi="宋体" w:cs="宋体"/>
          <w:sz w:val="24"/>
          <w:highlight w:val="none"/>
          <w:u w:val="single"/>
          <w:lang w:val="zh-CN"/>
        </w:rPr>
      </w:pPr>
      <w:r>
        <w:rPr>
          <w:rFonts w:hint="eastAsia" w:ascii="宋体" w:hAnsi="宋体" w:cs="宋体"/>
          <w:sz w:val="24"/>
          <w:highlight w:val="none"/>
          <w:lang w:val="zh-CN"/>
        </w:rPr>
        <w:t>（4）受托人违反本合同通用条款第5.6款的约定，</w:t>
      </w:r>
      <w:r>
        <w:rPr>
          <w:rFonts w:hint="eastAsia" w:ascii="宋体" w:hAnsi="宋体" w:cs="宋体"/>
          <w:sz w:val="24"/>
          <w:highlight w:val="none"/>
        </w:rPr>
        <w:t>未经委托人同意，受托人分包或转让本合同的任何权利和义务</w:t>
      </w:r>
      <w:r>
        <w:rPr>
          <w:rFonts w:hint="eastAsia" w:ascii="宋体" w:hAnsi="宋体" w:cs="宋体"/>
          <w:sz w:val="24"/>
          <w:highlight w:val="none"/>
          <w:lang w:val="zh-CN"/>
        </w:rPr>
        <w:t>应承担的违约责任：</w:t>
      </w:r>
      <w:r>
        <w:rPr>
          <w:rFonts w:hint="eastAsia" w:ascii="宋体" w:hAnsi="宋体" w:cs="宋体"/>
          <w:sz w:val="24"/>
          <w:highlight w:val="none"/>
          <w:u w:val="single"/>
          <w:lang w:val="zh-CN"/>
        </w:rPr>
        <w:t>应赔偿委托人合同价款的20%作为违约金，如该违约金不足以弥补委托人损失，受托人还须额外赔偿。</w:t>
      </w:r>
    </w:p>
    <w:p w14:paraId="665ADE77">
      <w:pPr>
        <w:spacing w:line="560" w:lineRule="exact"/>
        <w:ind w:left="0" w:leftChars="0" w:right="0" w:rightChars="0" w:firstLineChars="200"/>
        <w:rPr>
          <w:rFonts w:hint="eastAsia" w:ascii="宋体" w:hAnsi="宋体" w:cs="宋体"/>
          <w:sz w:val="24"/>
          <w:highlight w:val="none"/>
          <w:u w:val="single"/>
          <w:lang w:val="zh-CN"/>
        </w:rPr>
      </w:pPr>
      <w:r>
        <w:rPr>
          <w:rFonts w:hint="eastAsia" w:ascii="宋体" w:hAnsi="宋体" w:cs="宋体"/>
          <w:sz w:val="24"/>
          <w:highlight w:val="none"/>
          <w:lang w:val="zh-CN"/>
        </w:rPr>
        <w:t>（5）受托人违反本合同通用条款第5.7款的约定，泄露了与本合同工程有关的任何不应泄露的招标资料和情况</w:t>
      </w:r>
      <w:r>
        <w:rPr>
          <w:rFonts w:hint="eastAsia" w:ascii="宋体" w:hAnsi="宋体" w:cs="宋体"/>
          <w:sz w:val="24"/>
          <w:highlight w:val="none"/>
        </w:rPr>
        <w:t>或</w:t>
      </w:r>
      <w:r>
        <w:rPr>
          <w:rFonts w:hint="eastAsia" w:ascii="宋体" w:hAnsi="宋体" w:cs="宋体"/>
          <w:bCs/>
          <w:sz w:val="24"/>
          <w:highlight w:val="none"/>
        </w:rPr>
        <w:t>利用他们从事任何其他盈利或非赢利事项</w:t>
      </w:r>
      <w:r>
        <w:rPr>
          <w:rFonts w:hint="eastAsia" w:ascii="宋体" w:hAnsi="宋体" w:cs="宋体"/>
          <w:sz w:val="24"/>
          <w:highlight w:val="none"/>
        </w:rPr>
        <w:t>或接受投标人的礼品、宴请和任何其它好处</w:t>
      </w:r>
      <w:r>
        <w:rPr>
          <w:rFonts w:hint="eastAsia" w:ascii="宋体" w:hAnsi="宋体" w:cs="宋体"/>
          <w:sz w:val="24"/>
          <w:highlight w:val="none"/>
          <w:lang w:val="zh-CN"/>
        </w:rPr>
        <w:t>应承担的违约责任：</w:t>
      </w:r>
      <w:r>
        <w:rPr>
          <w:rFonts w:hint="eastAsia" w:ascii="宋体" w:hAnsi="宋体" w:cs="宋体"/>
          <w:sz w:val="24"/>
          <w:highlight w:val="none"/>
          <w:u w:val="single"/>
          <w:lang w:val="zh-CN"/>
        </w:rPr>
        <w:t>应赔偿委托人合同价款的20%作为违约金，如该违约金不足以弥补委托人损失的，受托人还须额外赔偿。</w:t>
      </w:r>
    </w:p>
    <w:p w14:paraId="7B087E17">
      <w:pPr>
        <w:spacing w:line="560" w:lineRule="exact"/>
        <w:ind w:left="0" w:leftChars="0" w:right="0" w:rightChars="0" w:firstLineChars="200"/>
        <w:rPr>
          <w:rFonts w:ascii="宋体" w:hAnsi="宋体" w:cs="宋体"/>
          <w:sz w:val="24"/>
          <w:highlight w:val="none"/>
          <w:u w:val="single"/>
        </w:rPr>
      </w:pPr>
      <w:r>
        <w:rPr>
          <w:rFonts w:hint="eastAsia" w:ascii="宋体" w:hAnsi="宋体" w:cs="宋体"/>
          <w:sz w:val="24"/>
          <w:highlight w:val="none"/>
        </w:rPr>
        <w:t>（6）受托人的员工、雇员或劳务派遣人员等不按招标代理合同履行其职责，或与第三人串通试图影响招标结果的，均视为受托人违约。（无论是否给委托人造成经济损失）</w:t>
      </w:r>
      <w:r>
        <w:rPr>
          <w:rFonts w:hint="eastAsia" w:ascii="宋体" w:hAnsi="宋体" w:cs="宋体"/>
          <w:sz w:val="24"/>
          <w:highlight w:val="none"/>
          <w:u w:val="single"/>
        </w:rPr>
        <w:t>：委托人有权视情况将相关人员移交司法机关，并有权选择与受托人解除合同，或要求受托人按照委托人要求重新招标，如委托人选择解除合同的，受托人应当退还委托人已经支付的所有服务报酬，并按服务报酬暂定金额的20%向委托支付违约金。</w:t>
      </w:r>
    </w:p>
    <w:p w14:paraId="3FE7EAE8">
      <w:pPr>
        <w:spacing w:line="560" w:lineRule="exact"/>
        <w:ind w:left="0" w:leftChars="0" w:right="0" w:rightChars="0" w:firstLineChars="200"/>
        <w:rPr>
          <w:rFonts w:hint="eastAsia" w:ascii="宋体" w:hAnsi="宋体" w:cs="宋体"/>
          <w:sz w:val="24"/>
          <w:highlight w:val="none"/>
          <w:u w:val="single"/>
          <w:lang w:val="zh-CN"/>
        </w:rPr>
      </w:pPr>
      <w:r>
        <w:rPr>
          <w:rFonts w:hint="eastAsia" w:ascii="宋体" w:hAnsi="宋体" w:cs="宋体"/>
          <w:sz w:val="24"/>
          <w:highlight w:val="none"/>
          <w:lang w:val="zh-CN"/>
        </w:rPr>
        <w:t>（</w:t>
      </w:r>
      <w:r>
        <w:rPr>
          <w:rFonts w:hint="eastAsia" w:ascii="宋体" w:hAnsi="宋体" w:cs="宋体"/>
          <w:sz w:val="24"/>
          <w:highlight w:val="none"/>
        </w:rPr>
        <w:t>7</w:t>
      </w:r>
      <w:r>
        <w:rPr>
          <w:rFonts w:hint="eastAsia" w:ascii="宋体" w:hAnsi="宋体" w:cs="宋体"/>
          <w:sz w:val="24"/>
          <w:highlight w:val="none"/>
          <w:lang w:val="zh-CN"/>
        </w:rPr>
        <w:t>）双方约定的受托人的其他违约责任：</w:t>
      </w:r>
      <w:r>
        <w:rPr>
          <w:rFonts w:hint="eastAsia" w:ascii="宋体" w:hAnsi="宋体" w:cs="宋体"/>
          <w:sz w:val="24"/>
          <w:highlight w:val="none"/>
          <w:u w:val="single"/>
        </w:rPr>
        <w:t>如受托人违约的，委托人因维权付出的所有费用，包括但不限于律师代理费、诉讼费、差旅费、材料费、调查费、评估费、鉴定费等均由受托人支付，给委托人造成损失的受托人还应另行赔偿。</w:t>
      </w:r>
    </w:p>
    <w:p w14:paraId="564C5A7F">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9</w:t>
      </w:r>
      <w:r>
        <w:rPr>
          <w:rFonts w:hint="eastAsia" w:ascii="宋体" w:hAnsi="宋体" w:cs="宋体"/>
          <w:b/>
          <w:bCs/>
          <w:sz w:val="24"/>
          <w:highlight w:val="none"/>
          <w:lang w:val="zh-CN"/>
        </w:rPr>
        <w:t>、争议</w:t>
      </w:r>
    </w:p>
    <w:p w14:paraId="401F7253">
      <w:pPr>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rPr>
        <w:t>9</w:t>
      </w:r>
      <w:r>
        <w:rPr>
          <w:rFonts w:hint="eastAsia" w:ascii="宋体" w:hAnsi="宋体" w:cs="宋体"/>
          <w:sz w:val="24"/>
          <w:highlight w:val="none"/>
          <w:lang w:val="zh-CN"/>
        </w:rPr>
        <w:t>.1 双方约定，凡因执行本合同所发生的与本合同有关的一切争议，当和解或调解不成时，任何一方均可选择下列第</w:t>
      </w:r>
      <w:r>
        <w:rPr>
          <w:rFonts w:hint="eastAsia" w:ascii="宋体" w:hAnsi="宋体" w:cs="宋体"/>
          <w:sz w:val="24"/>
          <w:highlight w:val="none"/>
          <w:u w:val="single"/>
          <w:lang w:val="zh-CN"/>
        </w:rPr>
        <w:t xml:space="preserve">  （2）  </w:t>
      </w:r>
      <w:r>
        <w:rPr>
          <w:rFonts w:hint="eastAsia" w:ascii="宋体" w:hAnsi="宋体" w:cs="宋体"/>
          <w:sz w:val="24"/>
          <w:highlight w:val="none"/>
          <w:lang w:val="zh-CN"/>
        </w:rPr>
        <w:t>种方式解决：</w:t>
      </w:r>
    </w:p>
    <w:p w14:paraId="67031A5B">
      <w:pPr>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lang w:val="zh-CN"/>
        </w:rPr>
        <w:t>（1）将争议提交</w:t>
      </w:r>
      <w:r>
        <w:rPr>
          <w:rFonts w:hint="eastAsia" w:ascii="宋体" w:hAnsi="宋体" w:cs="宋体"/>
          <w:sz w:val="24"/>
          <w:highlight w:val="none"/>
          <w:u w:val="single"/>
          <w:lang w:val="zh-CN"/>
        </w:rPr>
        <w:t xml:space="preserve">       /        </w:t>
      </w:r>
      <w:r>
        <w:rPr>
          <w:rFonts w:hint="eastAsia" w:ascii="宋体" w:hAnsi="宋体" w:cs="宋体"/>
          <w:sz w:val="24"/>
          <w:highlight w:val="none"/>
          <w:lang w:val="zh-CN"/>
        </w:rPr>
        <w:t>依该会规则仲裁；</w:t>
      </w:r>
    </w:p>
    <w:p w14:paraId="429127B6">
      <w:pPr>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lang w:val="zh-CN"/>
        </w:rPr>
        <w:t>（2）依法向</w:t>
      </w:r>
      <w:r>
        <w:rPr>
          <w:rFonts w:hint="eastAsia" w:ascii="宋体" w:hAnsi="宋体" w:cs="宋体"/>
          <w:sz w:val="24"/>
          <w:highlight w:val="none"/>
          <w:u w:val="single"/>
          <w:lang w:val="zh-CN"/>
        </w:rPr>
        <w:t xml:space="preserve">    </w:t>
      </w:r>
      <w:r>
        <w:rPr>
          <w:rFonts w:hint="eastAsia" w:ascii="宋体" w:hAnsi="宋体" w:cs="宋体"/>
          <w:sz w:val="24"/>
          <w:highlight w:val="none"/>
          <w:u w:val="single"/>
        </w:rPr>
        <w:t>委托人住所地</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人民法院提起诉讼。</w:t>
      </w:r>
    </w:p>
    <w:p w14:paraId="73BE14BD">
      <w:pPr>
        <w:autoSpaceDE w:val="0"/>
        <w:spacing w:line="560" w:lineRule="exact"/>
        <w:ind w:right="0" w:firstLine="540"/>
        <w:rPr>
          <w:rFonts w:ascii="宋体" w:hAnsi="宋体" w:cs="宋体"/>
          <w:b/>
          <w:bCs/>
          <w:sz w:val="24"/>
          <w:highlight w:val="none"/>
        </w:rPr>
      </w:pPr>
      <w:r>
        <w:rPr>
          <w:rFonts w:hint="eastAsia" w:ascii="宋体" w:hAnsi="宋体" w:cs="宋体"/>
          <w:b/>
          <w:bCs/>
          <w:sz w:val="24"/>
          <w:highlight w:val="none"/>
        </w:rPr>
        <w:t>10、合同终止</w:t>
      </w:r>
    </w:p>
    <w:p w14:paraId="3772DC6B">
      <w:pPr>
        <w:widowControl/>
        <w:snapToGrid w:val="0"/>
        <w:spacing w:line="560" w:lineRule="exact"/>
        <w:ind w:left="0" w:leftChars="0" w:right="0" w:rightChars="0" w:firstLineChars="200"/>
        <w:rPr>
          <w:rFonts w:hint="eastAsia" w:ascii="宋体" w:hAnsi="宋体" w:cs="宋体"/>
          <w:sz w:val="24"/>
          <w:highlight w:val="none"/>
        </w:rPr>
      </w:pPr>
      <w:r>
        <w:rPr>
          <w:rFonts w:hint="eastAsia" w:ascii="宋体" w:hAnsi="宋体" w:cs="宋体"/>
          <w:b/>
          <w:bCs/>
          <w:sz w:val="24"/>
          <w:highlight w:val="none"/>
        </w:rPr>
        <w:t>10.1</w:t>
      </w:r>
      <w:r>
        <w:rPr>
          <w:rFonts w:hint="eastAsia" w:ascii="宋体" w:hAnsi="宋体" w:cs="宋体"/>
          <w:sz w:val="24"/>
          <w:highlight w:val="none"/>
        </w:rPr>
        <w:t>本合同生效后，委托人有权单方提前终止或解除合同。因委托人原因导致本合同提前终止或解除，如受托人尚未开始服务工作的，委托人不予支付任何费用，已支付的，受托人应当在委托人书面终止合同通知后五日内返还给委托人。受托人已开始服务工作的，委托人按照受托人已完成且经委托人确认的工作量结算合同费用，除此之外，委托人不再承担支付任何违约金、补偿金或赔偿金等经济责任。</w:t>
      </w:r>
    </w:p>
    <w:p w14:paraId="79E3B032">
      <w:pPr>
        <w:pStyle w:val="174"/>
        <w:ind w:left="0"/>
        <w:rPr>
          <w:rFonts w:hint="eastAsia" w:ascii="方正小标宋简体" w:hAnsi="方正小标宋简体" w:eastAsia="方正小标宋简体" w:cs="方正小标宋简体"/>
          <w:b/>
          <w:bCs/>
          <w:sz w:val="24"/>
          <w:szCs w:val="24"/>
          <w:highlight w:val="none"/>
          <w:lang w:val="zh-CN"/>
        </w:rPr>
      </w:pPr>
      <w:r>
        <w:rPr>
          <w:rFonts w:hint="eastAsia" w:ascii="方正小标宋简体" w:hAnsi="方正小标宋简体" w:eastAsia="方正小标宋简体" w:cs="方正小标宋简体"/>
          <w:b/>
          <w:bCs/>
          <w:sz w:val="24"/>
          <w:szCs w:val="24"/>
          <w:highlight w:val="none"/>
          <w:lang w:val="zh-CN"/>
        </w:rPr>
        <w:t>六、其他</w:t>
      </w:r>
    </w:p>
    <w:p w14:paraId="18951F57">
      <w:pPr>
        <w:autoSpaceDE w:val="0"/>
        <w:spacing w:line="560" w:lineRule="exact"/>
        <w:ind w:right="0" w:firstLine="540"/>
        <w:rPr>
          <w:rFonts w:hint="eastAsia" w:ascii="宋体" w:hAnsi="宋体" w:cs="宋体"/>
          <w:sz w:val="24"/>
          <w:highlight w:val="none"/>
          <w:lang w:val="zh-CN"/>
        </w:rPr>
      </w:pPr>
      <w:r>
        <w:rPr>
          <w:rFonts w:hint="eastAsia" w:ascii="宋体" w:hAnsi="宋体" w:cs="宋体"/>
          <w:b/>
          <w:bCs/>
          <w:sz w:val="24"/>
          <w:highlight w:val="none"/>
        </w:rPr>
        <w:t>11</w:t>
      </w:r>
      <w:r>
        <w:rPr>
          <w:rFonts w:hint="eastAsia" w:ascii="宋体" w:hAnsi="宋体" w:cs="宋体"/>
          <w:b/>
          <w:bCs/>
          <w:sz w:val="24"/>
          <w:highlight w:val="none"/>
          <w:lang w:val="zh-CN"/>
        </w:rPr>
        <w:t>、合同份数</w:t>
      </w:r>
    </w:p>
    <w:p w14:paraId="5625ECA3">
      <w:pPr>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sz w:val="24"/>
          <w:highlight w:val="none"/>
        </w:rPr>
        <w:t>11</w:t>
      </w:r>
      <w:r>
        <w:rPr>
          <w:rFonts w:hint="eastAsia" w:ascii="宋体" w:hAnsi="宋体" w:cs="宋体"/>
          <w:sz w:val="24"/>
          <w:highlight w:val="none"/>
          <w:lang w:val="zh-CN"/>
        </w:rPr>
        <w:t>.1 双方约定本合同正本</w:t>
      </w:r>
      <w:r>
        <w:rPr>
          <w:rFonts w:hint="eastAsia" w:ascii="宋体" w:hAnsi="宋体" w:cs="宋体"/>
          <w:sz w:val="24"/>
          <w:highlight w:val="none"/>
          <w:u w:val="single"/>
          <w:lang w:val="zh-CN"/>
        </w:rPr>
        <w:t xml:space="preserve"> 贰 </w:t>
      </w:r>
      <w:r>
        <w:rPr>
          <w:rFonts w:hint="eastAsia" w:ascii="宋体" w:hAnsi="宋体" w:cs="宋体"/>
          <w:sz w:val="24"/>
          <w:highlight w:val="none"/>
          <w:lang w:val="zh-CN"/>
        </w:rPr>
        <w:t>份，双方各持</w:t>
      </w:r>
      <w:r>
        <w:rPr>
          <w:rFonts w:hint="eastAsia" w:ascii="宋体" w:hAnsi="宋体" w:cs="宋体"/>
          <w:sz w:val="24"/>
          <w:highlight w:val="none"/>
          <w:u w:val="single"/>
          <w:lang w:val="zh-CN"/>
        </w:rPr>
        <w:t xml:space="preserve"> 壹 </w:t>
      </w:r>
      <w:r>
        <w:rPr>
          <w:rFonts w:hint="eastAsia" w:ascii="宋体" w:hAnsi="宋体" w:cs="宋体"/>
          <w:sz w:val="24"/>
          <w:highlight w:val="none"/>
          <w:lang w:val="zh-CN"/>
        </w:rPr>
        <w:t>份；副本</w:t>
      </w:r>
      <w:r>
        <w:rPr>
          <w:rFonts w:hint="eastAsia" w:ascii="宋体" w:hAnsi="宋体" w:cs="宋体"/>
          <w:sz w:val="24"/>
          <w:highlight w:val="none"/>
          <w:u w:val="single"/>
          <w:lang w:val="zh-CN"/>
        </w:rPr>
        <w:t xml:space="preserve"> 壹拾 </w:t>
      </w:r>
      <w:r>
        <w:rPr>
          <w:rFonts w:hint="eastAsia" w:ascii="宋体" w:hAnsi="宋体" w:cs="宋体"/>
          <w:sz w:val="24"/>
          <w:highlight w:val="none"/>
          <w:lang w:val="zh-CN"/>
        </w:rPr>
        <w:t>份，其中，委托人</w:t>
      </w:r>
      <w:r>
        <w:rPr>
          <w:rFonts w:hint="eastAsia" w:ascii="宋体" w:hAnsi="宋体" w:cs="宋体"/>
          <w:sz w:val="24"/>
          <w:highlight w:val="none"/>
          <w:u w:val="single"/>
        </w:rPr>
        <w:t xml:space="preserve">柒 </w:t>
      </w:r>
      <w:r>
        <w:rPr>
          <w:rFonts w:hint="eastAsia" w:ascii="宋体" w:hAnsi="宋体" w:cs="宋体"/>
          <w:sz w:val="24"/>
          <w:highlight w:val="none"/>
          <w:lang w:val="zh-CN"/>
        </w:rPr>
        <w:t>份，受托人</w:t>
      </w:r>
      <w:r>
        <w:rPr>
          <w:rFonts w:hint="eastAsia" w:ascii="宋体" w:hAnsi="宋体" w:cs="宋体"/>
          <w:sz w:val="24"/>
          <w:highlight w:val="none"/>
          <w:u w:val="single"/>
          <w:lang w:val="zh-CN"/>
        </w:rPr>
        <w:t xml:space="preserve"> 叁 </w:t>
      </w:r>
      <w:r>
        <w:rPr>
          <w:rFonts w:hint="eastAsia" w:ascii="宋体" w:hAnsi="宋体" w:cs="宋体"/>
          <w:sz w:val="24"/>
          <w:highlight w:val="none"/>
          <w:lang w:val="zh-CN"/>
        </w:rPr>
        <w:t>份。</w:t>
      </w:r>
    </w:p>
    <w:p w14:paraId="33108197">
      <w:pPr>
        <w:spacing w:line="560" w:lineRule="exact"/>
        <w:ind w:left="0" w:leftChars="0" w:right="0" w:rightChars="0" w:firstLineChars="200"/>
        <w:rPr>
          <w:rFonts w:hint="eastAsia" w:ascii="宋体" w:hAnsi="宋体" w:cs="宋体"/>
          <w:sz w:val="24"/>
          <w:highlight w:val="none"/>
          <w:lang w:val="zh-CN"/>
        </w:rPr>
      </w:pPr>
      <w:r>
        <w:rPr>
          <w:rFonts w:hint="eastAsia" w:ascii="宋体" w:hAnsi="宋体" w:cs="宋体"/>
          <w:b/>
          <w:bCs/>
          <w:sz w:val="24"/>
          <w:highlight w:val="none"/>
          <w:lang w:val="zh-CN"/>
        </w:rPr>
        <w:t>1</w:t>
      </w:r>
      <w:r>
        <w:rPr>
          <w:rFonts w:hint="eastAsia" w:ascii="宋体" w:hAnsi="宋体" w:cs="宋体"/>
          <w:b/>
          <w:bCs/>
          <w:sz w:val="24"/>
          <w:highlight w:val="none"/>
        </w:rPr>
        <w:t>2</w:t>
      </w:r>
      <w:r>
        <w:rPr>
          <w:rFonts w:hint="eastAsia" w:ascii="宋体" w:hAnsi="宋体" w:cs="宋体"/>
          <w:b/>
          <w:bCs/>
          <w:sz w:val="24"/>
          <w:highlight w:val="none"/>
          <w:lang w:val="zh-CN"/>
        </w:rPr>
        <w:t>、补充条款</w:t>
      </w:r>
      <w:r>
        <w:rPr>
          <w:rFonts w:hint="eastAsia" w:ascii="宋体" w:hAnsi="宋体" w:cs="宋体"/>
          <w:sz w:val="24"/>
          <w:highlight w:val="none"/>
          <w:lang w:val="zh-CN"/>
        </w:rPr>
        <w:t xml:space="preserve">： </w:t>
      </w:r>
    </w:p>
    <w:p w14:paraId="0281F941">
      <w:pPr>
        <w:spacing w:line="560" w:lineRule="exact"/>
        <w:ind w:left="0" w:leftChars="0" w:right="0" w:rightChars="0" w:firstLineChars="200"/>
        <w:rPr>
          <w:rFonts w:hint="eastAsia" w:ascii="宋体" w:hAnsi="宋体" w:cs="宋体"/>
          <w:bCs/>
          <w:sz w:val="24"/>
          <w:highlight w:val="none"/>
        </w:rPr>
      </w:pPr>
      <w:r>
        <w:rPr>
          <w:rFonts w:hint="eastAsia" w:ascii="宋体" w:hAnsi="宋体" w:cs="宋体"/>
          <w:bCs/>
          <w:sz w:val="24"/>
          <w:highlight w:val="none"/>
        </w:rPr>
        <w:t>12.1</w:t>
      </w:r>
      <w:r>
        <w:rPr>
          <w:rFonts w:hint="eastAsia" w:ascii="宋体" w:hAnsi="宋体" w:cs="宋体"/>
          <w:sz w:val="24"/>
          <w:highlight w:val="none"/>
          <w:lang w:val="zh-CN"/>
        </w:rPr>
        <w:t>若</w:t>
      </w:r>
      <w:r>
        <w:rPr>
          <w:rFonts w:hint="eastAsia" w:ascii="宋体" w:hAnsi="宋体" w:cs="宋体"/>
          <w:bCs/>
          <w:sz w:val="24"/>
          <w:highlight w:val="none"/>
        </w:rPr>
        <w:t>因受托人及其雇员的代理行为不当造成委托人损失的，代理机构应当按委托人的实际损失承担赔偿责任，若构成犯罪的应依法移交司法机关处理。</w:t>
      </w:r>
    </w:p>
    <w:p w14:paraId="14EA2A58">
      <w:pPr>
        <w:spacing w:line="560" w:lineRule="exact"/>
        <w:ind w:right="0" w:firstLine="420"/>
        <w:rPr>
          <w:rFonts w:hint="eastAsia" w:ascii="宋体" w:hAnsi="宋体" w:eastAsia="宋体" w:cs="宋体"/>
          <w:bCs/>
          <w:sz w:val="24"/>
          <w:highlight w:val="none"/>
        </w:rPr>
      </w:pPr>
      <w:r>
        <w:rPr>
          <w:rFonts w:hint="eastAsia" w:ascii="宋体" w:hAnsi="宋体" w:cs="宋体"/>
          <w:bCs/>
          <w:sz w:val="24"/>
          <w:highlight w:val="none"/>
        </w:rPr>
        <w:t>12.2本合同约定招标事宜完成后，受托人应当及时将应当归还委托人的所有文件资料档案等归还委托人，并办理移交手续。受托人存留的一切与本合同的履行</w:t>
      </w:r>
      <w:r>
        <w:rPr>
          <w:rFonts w:hint="eastAsia" w:ascii="宋体" w:hAnsi="宋体" w:eastAsia="宋体" w:cs="宋体"/>
          <w:bCs/>
          <w:sz w:val="24"/>
          <w:highlight w:val="none"/>
        </w:rPr>
        <w:t>有关的文件资料档案应当妥善封存，未经委托人书面同意，不得自行处理。</w:t>
      </w:r>
    </w:p>
    <w:p w14:paraId="21106F25">
      <w:pPr>
        <w:spacing w:line="560" w:lineRule="exact"/>
        <w:ind w:right="0" w:firstLine="420"/>
        <w:rPr>
          <w:rFonts w:hint="eastAsia" w:ascii="宋体" w:hAnsi="宋体" w:eastAsia="宋体" w:cs="宋体"/>
          <w:b w:val="0"/>
          <w:bCs/>
          <w:kern w:val="2"/>
          <w:sz w:val="24"/>
          <w:szCs w:val="24"/>
          <w:highlight w:val="none"/>
        </w:rPr>
      </w:pPr>
      <w:r>
        <w:rPr>
          <w:rFonts w:hint="eastAsia" w:ascii="宋体" w:hAnsi="宋体" w:eastAsia="宋体" w:cs="宋体"/>
          <w:b w:val="0"/>
          <w:bCs/>
          <w:kern w:val="2"/>
          <w:sz w:val="24"/>
          <w:szCs w:val="24"/>
          <w:highlight w:val="none"/>
        </w:rPr>
        <w:t>12.3合同终止条款：若因政府、不可抗力等客观原因或甲方因项目实际情况决定终止本合同；甲乙双方遵循实事求是、诚实信用原则，甲方按照乙方已完成的公开招标工作（以取得中标通知书为准）进行本合同结算。</w:t>
      </w:r>
      <w:r>
        <w:rPr>
          <w:highlight w:val="none"/>
        </w:rPr>
        <w:br w:type="page"/>
      </w:r>
    </w:p>
    <w:p w14:paraId="7149BB04">
      <w:pPr>
        <w:spacing w:line="560" w:lineRule="exact"/>
        <w:ind w:right="0"/>
        <w:rPr>
          <w:rFonts w:hint="eastAsia" w:ascii="宋体" w:hAnsi="宋体" w:cs="宋体"/>
          <w:sz w:val="24"/>
          <w:szCs w:val="24"/>
          <w:highlight w:val="none"/>
        </w:rPr>
      </w:pPr>
      <w:r>
        <w:rPr>
          <w:rFonts w:hint="eastAsia" w:ascii="宋体" w:hAnsi="宋体" w:cs="宋体"/>
          <w:sz w:val="24"/>
          <w:szCs w:val="24"/>
          <w:highlight w:val="none"/>
        </w:rPr>
        <w:t>附件1：廉政协议</w:t>
      </w:r>
    </w:p>
    <w:p w14:paraId="22AB35A3">
      <w:pPr>
        <w:spacing w:line="360" w:lineRule="auto"/>
        <w:jc w:val="center"/>
        <w:rPr>
          <w:rFonts w:ascii="宋体" w:hAnsi="宋体"/>
          <w:b/>
          <w:sz w:val="24"/>
          <w:highlight w:val="none"/>
        </w:rPr>
      </w:pPr>
      <w:r>
        <w:rPr>
          <w:rFonts w:hint="eastAsia" w:ascii="宋体" w:hAnsi="宋体"/>
          <w:b/>
          <w:spacing w:val="20"/>
          <w:sz w:val="24"/>
          <w:highlight w:val="none"/>
        </w:rPr>
        <w:t>廉政协议</w:t>
      </w:r>
    </w:p>
    <w:p w14:paraId="1A894E65">
      <w:pPr>
        <w:spacing w:before="156" w:after="156" w:line="360" w:lineRule="auto"/>
        <w:contextualSpacing/>
        <w:rPr>
          <w:rFonts w:ascii="宋体" w:hAnsi="宋体"/>
          <w:sz w:val="24"/>
          <w:highlight w:val="none"/>
        </w:rPr>
      </w:pPr>
      <w:r>
        <w:rPr>
          <w:rFonts w:hint="eastAsia" w:ascii="宋体" w:hAnsi="宋体" w:cs="宋体"/>
          <w:sz w:val="24"/>
          <w:highlight w:val="none"/>
        </w:rPr>
        <w:t xml:space="preserve">    委托人及受托人为加强阳光合作，保证职员职业安全，双方经协商签</w:t>
      </w:r>
      <w:r>
        <w:rPr>
          <w:rFonts w:hint="eastAsia" w:ascii="宋体" w:hAnsi="宋体" w:cs="宋体"/>
          <w:sz w:val="24"/>
          <w:highlight w:val="none"/>
          <w:lang w:eastAsia="zh-CN"/>
        </w:rPr>
        <w:t>订</w:t>
      </w:r>
      <w:r>
        <w:rPr>
          <w:rFonts w:hint="eastAsia" w:ascii="宋体" w:hAnsi="宋体" w:cs="宋体"/>
          <w:sz w:val="24"/>
          <w:highlight w:val="none"/>
        </w:rPr>
        <w:t>本协议并作为双方共同遵守的廉政行为准则。</w:t>
      </w:r>
    </w:p>
    <w:p w14:paraId="244D25E8">
      <w:pPr>
        <w:widowControl/>
        <w:numPr>
          <w:ilvl w:val="0"/>
          <w:numId w:val="5"/>
        </w:numPr>
        <w:spacing w:before="156" w:after="156" w:line="360" w:lineRule="auto"/>
        <w:contextualSpacing/>
        <w:rPr>
          <w:rFonts w:ascii="宋体" w:hAnsi="宋体" w:cs="宋体"/>
          <w:b/>
          <w:sz w:val="24"/>
          <w:highlight w:val="none"/>
        </w:rPr>
      </w:pPr>
      <w:r>
        <w:rPr>
          <w:rFonts w:hint="eastAsia" w:ascii="宋体" w:hAnsi="宋体" w:cs="宋体"/>
          <w:b/>
          <w:sz w:val="24"/>
          <w:highlight w:val="none"/>
        </w:rPr>
        <w:t>委托人责任</w:t>
      </w:r>
    </w:p>
    <w:p w14:paraId="527A7F4E">
      <w:pPr>
        <w:spacing w:before="156" w:after="156" w:line="360" w:lineRule="auto"/>
        <w:ind w:left="0" w:leftChars="0" w:right="0" w:rightChars="0" w:firstLineChars="200"/>
        <w:contextualSpacing/>
        <w:rPr>
          <w:rFonts w:ascii="宋体" w:hAnsi="宋体" w:cs="宋体"/>
          <w:sz w:val="24"/>
          <w:highlight w:val="none"/>
        </w:rPr>
      </w:pPr>
      <w:r>
        <w:rPr>
          <w:rFonts w:hint="eastAsia" w:ascii="宋体" w:hAnsi="宋体" w:cs="宋体"/>
          <w:sz w:val="24"/>
          <w:highlight w:val="none"/>
        </w:rPr>
        <w:t>1.委托人从事业务活动必须坚持公开、公平、公正、诚信、透明的原则（除法律法规认定的商业秘密和合同文件另有规定者外）。</w:t>
      </w:r>
    </w:p>
    <w:p w14:paraId="2C2B5959">
      <w:pPr>
        <w:spacing w:before="156" w:after="156" w:line="360" w:lineRule="auto"/>
        <w:ind w:left="0" w:leftChars="0" w:right="0" w:rightChars="0" w:firstLineChars="200"/>
        <w:contextualSpacing/>
        <w:rPr>
          <w:rFonts w:hint="eastAsia" w:ascii="宋体" w:hAnsi="宋体" w:eastAsia="宋体" w:cs="Times New Roman"/>
          <w:sz w:val="24"/>
          <w:highlight w:val="none"/>
        </w:rPr>
      </w:pPr>
      <w:r>
        <w:rPr>
          <w:rFonts w:hint="eastAsia" w:ascii="宋体" w:hAnsi="宋体" w:cs="宋体"/>
          <w:sz w:val="24"/>
          <w:highlight w:val="none"/>
        </w:rPr>
        <w:t>2.委托人人员应严格遵守本单位有廉政管理的规定，不得接受受托人任何</w:t>
      </w:r>
      <w:r>
        <w:rPr>
          <w:rFonts w:hint="eastAsia" w:ascii="宋体" w:hAnsi="宋体" w:eastAsia="宋体" w:cs="Times New Roman"/>
          <w:sz w:val="24"/>
          <w:highlight w:val="none"/>
        </w:rPr>
        <w:t xml:space="preserve">形式的回扣、实物、现金、有价证券、礼券等有价物品，不得参加受托人提供的旅游或其他可能影响职务行为公正履行的活动。 </w:t>
      </w:r>
    </w:p>
    <w:p w14:paraId="3375C1ED">
      <w:pPr>
        <w:spacing w:before="156" w:after="156" w:line="360" w:lineRule="auto"/>
        <w:ind w:left="0" w:leftChars="0" w:right="0" w:rightChars="0" w:firstLineChars="200"/>
        <w:contextualSpacing/>
        <w:rPr>
          <w:rFonts w:hint="eastAsia" w:ascii="宋体" w:hAnsi="宋体" w:eastAsia="宋体" w:cs="Times New Roman"/>
          <w:sz w:val="24"/>
          <w:highlight w:val="none"/>
        </w:rPr>
      </w:pPr>
      <w:r>
        <w:rPr>
          <w:rFonts w:hint="eastAsia" w:ascii="宋体" w:hAnsi="宋体" w:eastAsia="宋体" w:cs="Times New Roman"/>
          <w:sz w:val="24"/>
          <w:highlight w:val="none"/>
        </w:rPr>
        <w:t>3.委托人人员如违反廉政管理制度及本协议规定，委托人视情节轻重、影响大小给予处罚，或移交司法机关处理。</w:t>
      </w:r>
    </w:p>
    <w:p w14:paraId="5DD423DE">
      <w:pPr>
        <w:spacing w:before="156" w:after="156" w:line="360" w:lineRule="auto"/>
        <w:ind w:left="0" w:leftChars="0" w:right="0" w:rightChars="0" w:firstLineChars="200"/>
        <w:contextualSpacing/>
        <w:rPr>
          <w:rFonts w:hint="eastAsia" w:ascii="宋体" w:hAnsi="宋体" w:eastAsia="宋体" w:cs="Times New Roman"/>
          <w:sz w:val="24"/>
          <w:highlight w:val="none"/>
        </w:rPr>
      </w:pPr>
      <w:r>
        <w:rPr>
          <w:rFonts w:hint="eastAsia" w:ascii="宋体" w:hAnsi="宋体" w:eastAsia="宋体" w:cs="Times New Roman"/>
          <w:sz w:val="24"/>
          <w:highlight w:val="none"/>
        </w:rPr>
        <w:t>4．对于受托人举报委托人人员违反廉政规定的情况，委托人应及时进行调查，根据调查情况进行处理，并将调查结果向受托人反馈。</w:t>
      </w:r>
    </w:p>
    <w:p w14:paraId="7F125022">
      <w:pPr>
        <w:spacing w:before="156" w:after="156" w:line="360" w:lineRule="auto"/>
        <w:ind w:left="0" w:leftChars="0" w:right="0" w:rightChars="0" w:firstLineChars="200"/>
        <w:contextualSpacing/>
        <w:rPr>
          <w:rFonts w:ascii="宋体" w:hAnsi="宋体" w:cs="宋体"/>
          <w:sz w:val="24"/>
          <w:highlight w:val="none"/>
        </w:rPr>
      </w:pPr>
      <w:r>
        <w:rPr>
          <w:rFonts w:hint="eastAsia" w:ascii="宋体" w:hAnsi="宋体" w:eastAsia="宋体" w:cs="Times New Roman"/>
          <w:sz w:val="24"/>
          <w:highlight w:val="none"/>
        </w:rPr>
        <w:t>5.接受举报的一方应为举报方保密，不得对举报方进行报复。</w:t>
      </w:r>
    </w:p>
    <w:p w14:paraId="7F890943">
      <w:pPr>
        <w:widowControl/>
        <w:numPr>
          <w:ilvl w:val="0"/>
          <w:numId w:val="5"/>
        </w:numPr>
        <w:spacing w:before="156" w:after="156" w:line="360" w:lineRule="auto"/>
        <w:contextualSpacing/>
        <w:rPr>
          <w:rFonts w:ascii="宋体" w:hAnsi="宋体" w:cs="宋体"/>
          <w:b/>
          <w:sz w:val="24"/>
          <w:highlight w:val="none"/>
        </w:rPr>
      </w:pPr>
      <w:r>
        <w:rPr>
          <w:rFonts w:hint="eastAsia" w:ascii="宋体" w:hAnsi="宋体" w:cs="宋体"/>
          <w:b/>
          <w:sz w:val="24"/>
          <w:highlight w:val="none"/>
        </w:rPr>
        <w:t>受托人责任</w:t>
      </w:r>
    </w:p>
    <w:p w14:paraId="7B9EDE82">
      <w:pPr>
        <w:spacing w:before="156" w:after="156" w:line="360" w:lineRule="auto"/>
        <w:ind w:leftChars="50" w:right="0" w:rightChars="0" w:firstLine="0" w:firstLineChars="0"/>
        <w:contextualSpacing/>
        <w:rPr>
          <w:rFonts w:hint="eastAsia" w:ascii="宋体" w:hAnsi="宋体" w:cs="宋体"/>
          <w:sz w:val="24"/>
          <w:highlight w:val="none"/>
        </w:rPr>
      </w:pPr>
      <w:r>
        <w:rPr>
          <w:rFonts w:hint="eastAsia" w:ascii="宋体" w:hAnsi="宋体" w:cs="宋体"/>
          <w:sz w:val="24"/>
          <w:highlight w:val="none"/>
        </w:rPr>
        <w:t>受托人应与委托人保持正常的业务交往，按照有关法律法规和程序开展业务活动。</w:t>
      </w:r>
    </w:p>
    <w:p w14:paraId="0D0868C6">
      <w:pPr>
        <w:spacing w:before="156" w:after="156" w:line="360" w:lineRule="auto"/>
        <w:ind w:leftChars="50" w:right="0" w:rightChars="0" w:firstLineChars="200"/>
        <w:contextualSpacing/>
        <w:rPr>
          <w:rFonts w:hint="eastAsia" w:ascii="宋体" w:hAnsi="宋体" w:cs="宋体"/>
          <w:sz w:val="24"/>
          <w:highlight w:val="none"/>
        </w:rPr>
      </w:pPr>
      <w:r>
        <w:rPr>
          <w:rFonts w:hint="eastAsia" w:ascii="宋体" w:hAnsi="宋体" w:cs="宋体"/>
          <w:sz w:val="24"/>
          <w:highlight w:val="none"/>
        </w:rPr>
        <w:t>1.受托人不得以任何形式给予委托人人员回扣、赠送实物、现金、有价证券、礼券等有价物品或提供旅游等其他可能影响职务行为公正履行的活动（以下统称“财物”）。</w:t>
      </w:r>
    </w:p>
    <w:p w14:paraId="56A2CF3B">
      <w:pPr>
        <w:spacing w:before="156" w:after="156" w:line="360" w:lineRule="auto"/>
        <w:ind w:leftChars="50" w:right="0" w:rightChars="0" w:firstLineChars="200"/>
        <w:contextualSpacing/>
        <w:rPr>
          <w:rFonts w:hint="eastAsia" w:ascii="宋体" w:hAnsi="宋体" w:cs="宋体"/>
          <w:sz w:val="24"/>
          <w:highlight w:val="none"/>
        </w:rPr>
      </w:pPr>
      <w:r>
        <w:rPr>
          <w:rFonts w:hint="eastAsia" w:ascii="宋体" w:hAnsi="宋体" w:cs="宋体"/>
          <w:sz w:val="24"/>
          <w:highlight w:val="none"/>
        </w:rPr>
        <w:t>2.受托人有责任接受委托人对受托人在合作期间廉政管理执行情况的监督，并对委托人相关调查工作主动配合。</w:t>
      </w:r>
    </w:p>
    <w:p w14:paraId="251F14C2">
      <w:pPr>
        <w:spacing w:before="156" w:after="156" w:line="360" w:lineRule="auto"/>
        <w:ind w:leftChars="50" w:right="0" w:rightChars="0" w:firstLineChars="200"/>
        <w:contextualSpacing/>
        <w:rPr>
          <w:rFonts w:ascii="宋体" w:hAnsi="宋体" w:cs="宋体"/>
          <w:sz w:val="24"/>
          <w:highlight w:val="none"/>
        </w:rPr>
      </w:pPr>
      <w:r>
        <w:rPr>
          <w:rFonts w:hint="eastAsia" w:ascii="宋体" w:hAnsi="宋体" w:cs="宋体"/>
          <w:sz w:val="24"/>
          <w:highlight w:val="none"/>
        </w:rPr>
        <w:t>3.受托人有义务就委托人人员任何形式的索取或收受财物行为及时向委托人举报。如受托人或其人员向委托人人员给予财物，或委托人人员向受托人索取财物，受托人满足其要求并且未向委托人举报的，一经查实（包括但不限于被委托人核实属实，或者被司法机关或第三方核实属实的），委托人将在内部通报；受托人除应向委托人赔偿由此给委托人造成的损失外，受托人还应向委托人支付相当于原合同总价的10%的违约金，并对受托人知情不报人员进行相应处罚，被司法机关立案查处核实属实的，委托人有权解除原合同，如委托人解除原合同的，则受托人应退还委托人所支付的所有款项并按原合同与本合同约定承担违约责任。</w:t>
      </w:r>
    </w:p>
    <w:p w14:paraId="03D4B18B">
      <w:pPr>
        <w:spacing w:before="156" w:after="156" w:line="360" w:lineRule="auto"/>
        <w:ind w:leftChars="50" w:right="0" w:rightChars="0" w:firstLineChars="200"/>
        <w:contextualSpacing/>
        <w:rPr>
          <w:sz w:val="24"/>
          <w:highlight w:val="none"/>
        </w:rPr>
      </w:pPr>
      <w:r>
        <w:rPr>
          <w:rFonts w:hint="eastAsia" w:ascii="宋体" w:hAnsi="宋体" w:cs="宋体"/>
          <w:sz w:val="24"/>
          <w:highlight w:val="none"/>
        </w:rPr>
        <w:t>4．委托人接受受托人实名或匿名举报，保证为举报者的信息保密。</w:t>
      </w:r>
    </w:p>
    <w:p w14:paraId="0C2C0D25">
      <w:pPr>
        <w:widowControl/>
        <w:numPr>
          <w:ilvl w:val="0"/>
          <w:numId w:val="5"/>
        </w:numPr>
        <w:spacing w:before="156" w:after="156" w:line="360" w:lineRule="auto"/>
        <w:contextualSpacing/>
        <w:rPr>
          <w:rFonts w:ascii="宋体" w:hAnsi="宋体" w:cs="宋体"/>
          <w:b/>
          <w:sz w:val="24"/>
          <w:highlight w:val="none"/>
        </w:rPr>
      </w:pPr>
      <w:r>
        <w:rPr>
          <w:rFonts w:hint="eastAsia" w:ascii="宋体" w:hAnsi="宋体" w:cs="宋体"/>
          <w:b/>
          <w:sz w:val="24"/>
          <w:highlight w:val="none"/>
        </w:rPr>
        <w:t>其他</w:t>
      </w:r>
    </w:p>
    <w:p w14:paraId="1BCD7C5B">
      <w:pPr>
        <w:spacing w:before="156" w:after="156" w:line="360" w:lineRule="auto"/>
        <w:ind w:leftChars="50" w:right="0" w:rightChars="0" w:firstLineChars="200"/>
        <w:contextualSpacing/>
        <w:rPr>
          <w:rFonts w:ascii="宋体" w:hAnsi="宋体" w:cs="宋体"/>
          <w:sz w:val="24"/>
          <w:highlight w:val="none"/>
        </w:rPr>
      </w:pPr>
      <w:r>
        <w:rPr>
          <w:rFonts w:hint="eastAsia" w:ascii="宋体" w:hAnsi="宋体" w:cs="宋体"/>
          <w:sz w:val="24"/>
          <w:highlight w:val="none"/>
        </w:rPr>
        <w:t>本协议经双方签署后生效。</w:t>
      </w:r>
    </w:p>
    <w:p w14:paraId="23A336D5">
      <w:pPr>
        <w:spacing w:before="156" w:after="156" w:line="360" w:lineRule="auto"/>
        <w:ind w:right="26"/>
        <w:contextualSpacing/>
        <w:rPr>
          <w:rFonts w:ascii="宋体" w:hAnsi="宋体" w:cs="宋体"/>
          <w:sz w:val="24"/>
          <w:highlight w:val="none"/>
        </w:rPr>
      </w:pPr>
    </w:p>
    <w:p w14:paraId="1B32DA4B">
      <w:pPr>
        <w:spacing w:before="156" w:after="156" w:line="360" w:lineRule="auto"/>
        <w:ind w:left="0" w:leftChars="0" w:right="0" w:rightChars="0" w:firstLineChars="150"/>
        <w:contextualSpacing/>
        <w:rPr>
          <w:rFonts w:ascii="宋体" w:hAnsi="宋体"/>
          <w:sz w:val="24"/>
          <w:highlight w:val="none"/>
        </w:rPr>
      </w:pPr>
      <w:r>
        <w:rPr>
          <w:rFonts w:hint="eastAsia" w:ascii="宋体" w:hAnsi="宋体" w:cs="宋体"/>
          <w:sz w:val="24"/>
          <w:highlight w:val="none"/>
        </w:rPr>
        <w:t>委托人（公章）：</w:t>
      </w:r>
      <w:r>
        <w:rPr>
          <w:rFonts w:hint="eastAsia" w:ascii="宋体" w:hAnsi="宋体"/>
          <w:sz w:val="24"/>
          <w:highlight w:val="none"/>
        </w:rPr>
        <w:tab/>
      </w:r>
      <w:r>
        <w:rPr>
          <w:rFonts w:hint="eastAsia" w:ascii="宋体" w:hAnsi="宋体"/>
          <w:sz w:val="24"/>
          <w:highlight w:val="none"/>
        </w:rPr>
        <w:tab/>
      </w:r>
      <w:r>
        <w:rPr>
          <w:rFonts w:hint="eastAsia" w:ascii="宋体" w:hAnsi="宋体"/>
          <w:sz w:val="24"/>
          <w:highlight w:val="none"/>
        </w:rPr>
        <w:tab/>
      </w:r>
      <w:r>
        <w:rPr>
          <w:rFonts w:hint="eastAsia" w:ascii="宋体" w:hAnsi="宋体"/>
          <w:sz w:val="24"/>
          <w:highlight w:val="none"/>
        </w:rPr>
        <w:tab/>
      </w:r>
      <w:r>
        <w:rPr>
          <w:rFonts w:hint="eastAsia" w:ascii="宋体" w:hAnsi="宋体"/>
          <w:sz w:val="24"/>
          <w:highlight w:val="none"/>
        </w:rPr>
        <w:tab/>
      </w:r>
      <w:r>
        <w:rPr>
          <w:rFonts w:hint="eastAsia" w:ascii="宋体" w:hAnsi="宋体" w:cs="宋体"/>
          <w:sz w:val="24"/>
          <w:highlight w:val="none"/>
        </w:rPr>
        <w:t xml:space="preserve">          受托人（公章）：</w:t>
      </w:r>
    </w:p>
    <w:p w14:paraId="626A4449">
      <w:pPr>
        <w:spacing w:before="156" w:after="156" w:line="360" w:lineRule="auto"/>
        <w:ind w:left="0" w:leftChars="0" w:right="0" w:rightChars="0" w:firstLineChars="400"/>
        <w:contextualSpacing/>
        <w:rPr>
          <w:rFonts w:ascii="宋体" w:hAnsi="宋体" w:cs="宋体"/>
          <w:sz w:val="24"/>
          <w:highlight w:val="none"/>
        </w:rPr>
      </w:pPr>
    </w:p>
    <w:p w14:paraId="6EED1BA6">
      <w:pPr>
        <w:spacing w:before="156" w:after="156" w:line="360" w:lineRule="auto"/>
        <w:ind w:left="0" w:leftChars="0" w:right="0" w:rightChars="0" w:firstLineChars="150"/>
        <w:contextualSpacing/>
        <w:rPr>
          <w:rFonts w:ascii="宋体" w:hAnsi="宋体"/>
          <w:sz w:val="24"/>
          <w:highlight w:val="none"/>
        </w:rPr>
      </w:pPr>
      <w:r>
        <w:rPr>
          <w:rFonts w:hint="eastAsia" w:ascii="宋体" w:hAnsi="宋体" w:cs="宋体"/>
          <w:sz w:val="24"/>
          <w:highlight w:val="none"/>
        </w:rPr>
        <w:t>法定代表人（授权代表）：</w:t>
      </w:r>
      <w:r>
        <w:rPr>
          <w:rFonts w:hint="eastAsia" w:ascii="宋体" w:hAnsi="宋体"/>
          <w:sz w:val="24"/>
          <w:highlight w:val="none"/>
        </w:rPr>
        <w:tab/>
      </w:r>
      <w:r>
        <w:rPr>
          <w:rFonts w:hint="eastAsia" w:ascii="宋体" w:hAnsi="宋体"/>
          <w:sz w:val="24"/>
          <w:highlight w:val="none"/>
        </w:rPr>
        <w:tab/>
      </w:r>
      <w:r>
        <w:rPr>
          <w:rFonts w:hint="eastAsia" w:ascii="宋体" w:hAnsi="宋体"/>
          <w:sz w:val="24"/>
          <w:highlight w:val="none"/>
        </w:rPr>
        <w:tab/>
      </w:r>
      <w:r>
        <w:rPr>
          <w:rFonts w:hint="eastAsia" w:ascii="宋体" w:hAnsi="宋体"/>
          <w:sz w:val="24"/>
          <w:highlight w:val="none"/>
        </w:rPr>
        <w:tab/>
      </w:r>
      <w:r>
        <w:rPr>
          <w:rFonts w:hint="eastAsia" w:ascii="宋体" w:hAnsi="宋体"/>
          <w:sz w:val="24"/>
          <w:highlight w:val="none"/>
        </w:rPr>
        <w:t xml:space="preserve">     </w:t>
      </w:r>
      <w:r>
        <w:rPr>
          <w:rFonts w:hint="eastAsia" w:ascii="宋体" w:hAnsi="宋体" w:cs="宋体"/>
          <w:sz w:val="24"/>
          <w:highlight w:val="none"/>
        </w:rPr>
        <w:t>法定代表人（授权代表）：</w:t>
      </w:r>
    </w:p>
    <w:p w14:paraId="36AD2D9E">
      <w:pPr>
        <w:spacing w:before="156" w:after="156" w:line="360" w:lineRule="auto"/>
        <w:ind w:left="0" w:leftChars="0" w:right="0" w:rightChars="0" w:firstLineChars="400"/>
        <w:contextualSpacing/>
        <w:rPr>
          <w:rFonts w:ascii="宋体" w:hAnsi="宋体" w:cs="宋体"/>
          <w:sz w:val="24"/>
          <w:highlight w:val="none"/>
        </w:rPr>
      </w:pPr>
    </w:p>
    <w:p w14:paraId="4729B78B">
      <w:pPr>
        <w:spacing w:before="156" w:after="156" w:line="360" w:lineRule="auto"/>
        <w:ind w:left="0" w:leftChars="0" w:right="0" w:rightChars="0" w:firstLineChars="150"/>
        <w:contextualSpacing/>
        <w:rPr>
          <w:sz w:val="24"/>
          <w:highlight w:val="none"/>
        </w:rPr>
      </w:pPr>
      <w:r>
        <w:rPr>
          <w:rFonts w:hint="eastAsia" w:ascii="宋体" w:hAnsi="宋体" w:cs="宋体"/>
          <w:sz w:val="24"/>
          <w:highlight w:val="none"/>
        </w:rPr>
        <w:t>签订日期：   年   月   日</w:t>
      </w:r>
      <w:r>
        <w:rPr>
          <w:sz w:val="24"/>
          <w:highlight w:val="none"/>
        </w:rPr>
        <w:tab/>
      </w:r>
    </w:p>
    <w:p w14:paraId="531511FA">
      <w:pPr>
        <w:rPr>
          <w:sz w:val="24"/>
          <w:highlight w:val="none"/>
        </w:rPr>
      </w:pPr>
    </w:p>
    <w:p w14:paraId="5DFD03D5">
      <w:pPr>
        <w:rPr>
          <w:highlight w:val="none"/>
        </w:rPr>
      </w:pPr>
    </w:p>
    <w:p w14:paraId="33963A6D">
      <w:pPr>
        <w:pStyle w:val="44"/>
        <w:rPr>
          <w:highlight w:val="none"/>
        </w:rPr>
      </w:pPr>
    </w:p>
    <w:p w14:paraId="7E8BC3A4">
      <w:pPr>
        <w:rPr>
          <w:highlight w:val="none"/>
        </w:rPr>
      </w:pPr>
    </w:p>
    <w:p w14:paraId="5214B557">
      <w:pPr>
        <w:pStyle w:val="44"/>
        <w:rPr>
          <w:highlight w:val="none"/>
        </w:rPr>
      </w:pPr>
    </w:p>
    <w:p w14:paraId="33AB653B">
      <w:pPr>
        <w:rPr>
          <w:highlight w:val="none"/>
        </w:rPr>
      </w:pPr>
    </w:p>
    <w:p w14:paraId="1F43F78A">
      <w:pPr>
        <w:pStyle w:val="44"/>
        <w:rPr>
          <w:highlight w:val="none"/>
        </w:rPr>
      </w:pPr>
    </w:p>
    <w:p w14:paraId="036D4C0C">
      <w:pPr>
        <w:rPr>
          <w:rFonts w:ascii="宋体" w:hAnsi="宋体" w:cs="宋体"/>
          <w:b/>
          <w:bCs/>
          <w:kern w:val="2"/>
          <w:sz w:val="24"/>
          <w:highlight w:val="none"/>
        </w:rPr>
      </w:pPr>
      <w:r>
        <w:rPr>
          <w:rFonts w:hint="eastAsia" w:ascii="宋体" w:hAnsi="宋体" w:cs="宋体"/>
          <w:b/>
          <w:bCs/>
          <w:kern w:val="2"/>
          <w:sz w:val="24"/>
          <w:highlight w:val="none"/>
        </w:rPr>
        <w:t>附件2：告知书</w:t>
      </w:r>
    </w:p>
    <w:p w14:paraId="3734391C">
      <w:pPr>
        <w:pStyle w:val="44"/>
        <w:rPr>
          <w:rFonts w:hint="eastAsia" w:ascii="宋体" w:hAnsi="宋体" w:cs="宋体"/>
          <w:b/>
          <w:bCs/>
          <w:kern w:val="2"/>
          <w:sz w:val="24"/>
          <w:highlight w:val="none"/>
        </w:rPr>
      </w:pPr>
      <w:r>
        <w:rPr>
          <w:rFonts w:hint="eastAsia" w:ascii="宋体" w:hAnsi="宋体" w:cs="宋体"/>
          <w:b/>
          <w:bCs/>
          <w:kern w:val="2"/>
          <w:sz w:val="24"/>
          <w:highlight w:val="none"/>
        </w:rPr>
        <w:t xml:space="preserve">                   </w:t>
      </w:r>
    </w:p>
    <w:p w14:paraId="42D09ABE">
      <w:pPr>
        <w:pStyle w:val="185"/>
        <w:spacing w:line="520" w:lineRule="exact"/>
        <w:ind w:left="0" w:leftChars="0" w:right="0" w:rightChars="0" w:firstLineChars="500"/>
        <w:rPr>
          <w:rStyle w:val="152"/>
          <w:rFonts w:hint="eastAsia" w:ascii="宋体" w:hAnsi="宋体" w:eastAsia="宋体" w:cs="宋体"/>
          <w:color w:val="000000"/>
          <w:sz w:val="24"/>
          <w:szCs w:val="24"/>
          <w:highlight w:val="none"/>
        </w:rPr>
      </w:pPr>
      <w:r>
        <w:rPr>
          <w:rStyle w:val="151"/>
          <w:rFonts w:hint="eastAsia" w:ascii="宋体" w:hAnsi="宋体" w:cs="宋体"/>
          <w:b/>
          <w:bCs/>
          <w:color w:val="000000"/>
          <w:sz w:val="32"/>
          <w:szCs w:val="32"/>
          <w:highlight w:val="none"/>
        </w:rPr>
        <w:t>龙岗区进一步规范政商交往行为告知书</w:t>
      </w:r>
      <w:r>
        <w:rPr>
          <w:rStyle w:val="151"/>
          <w:rFonts w:hint="eastAsia" w:eastAsia="宋体" w:cs="宋体"/>
          <w:b/>
          <w:bCs/>
          <w:color w:val="000000"/>
          <w:sz w:val="32"/>
          <w:szCs w:val="32"/>
          <w:highlight w:val="none"/>
        </w:rPr>
        <w:br w:type="textWrapping"/>
      </w:r>
      <w:r>
        <w:rPr>
          <w:rFonts w:hint="eastAsia" w:cs="宋体"/>
          <w:sz w:val="24"/>
          <w:szCs w:val="24"/>
          <w:highlight w:val="none"/>
        </w:rPr>
        <w:t xml:space="preserve">    </w:t>
      </w:r>
      <w:r>
        <w:rPr>
          <w:rStyle w:val="152"/>
          <w:rFonts w:hint="eastAsia" w:ascii="宋体" w:hAnsi="宋体" w:cs="宋体"/>
          <w:color w:val="000000"/>
          <w:sz w:val="24"/>
          <w:szCs w:val="24"/>
          <w:highlight w:val="none"/>
        </w:rPr>
        <w:t>为深入构建</w:t>
      </w:r>
      <w:r>
        <w:rPr>
          <w:rStyle w:val="152"/>
          <w:rFonts w:hint="eastAsia" w:ascii="宋体" w:hAnsi="宋体" w:cs="宋体"/>
          <w:color w:val="000000"/>
          <w:sz w:val="24"/>
          <w:szCs w:val="24"/>
          <w:highlight w:val="none"/>
          <w:lang w:val="en-US" w:eastAsia="zh-CN"/>
        </w:rPr>
        <w:t>“亲”“清”新型政商关系</w:t>
      </w:r>
      <w:r>
        <w:rPr>
          <w:rStyle w:val="152"/>
          <w:rFonts w:hint="eastAsia" w:ascii="宋体" w:hAnsi="宋体" w:cs="宋体"/>
          <w:color w:val="000000"/>
          <w:sz w:val="24"/>
          <w:szCs w:val="24"/>
          <w:highlight w:val="none"/>
        </w:rPr>
        <w:t>，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一、 不得向公职人员赠送礼品、 礼金、 消费卡等财物。</w:t>
      </w:r>
    </w:p>
    <w:p w14:paraId="0D166E03">
      <w:pPr>
        <w:pStyle w:val="185"/>
        <w:numPr>
          <w:ilvl w:val="0"/>
          <w:numId w:val="6"/>
        </w:numPr>
        <w:spacing w:line="520" w:lineRule="exact"/>
        <w:ind w:left="0" w:leftChars="0" w:right="0" w:rightChars="0" w:firstLineChars="200"/>
        <w:rPr>
          <w:rStyle w:val="152"/>
          <w:rFonts w:hint="eastAsia" w:ascii="宋体" w:hAnsi="宋体" w:eastAsia="宋体" w:cs="宋体"/>
          <w:color w:val="000000"/>
          <w:sz w:val="24"/>
          <w:szCs w:val="24"/>
          <w:highlight w:val="none"/>
        </w:rPr>
      </w:pPr>
      <w:r>
        <w:rPr>
          <w:rStyle w:val="152"/>
          <w:rFonts w:hint="eastAsia" w:ascii="宋体" w:hAnsi="宋体" w:cs="宋体"/>
          <w:color w:val="000000"/>
          <w:sz w:val="24"/>
          <w:szCs w:val="24"/>
          <w:highlight w:val="none"/>
        </w:rPr>
        <w:t>不得违规向公职人员提供宴请、 旅游、 娱乐等安排。</w:t>
      </w:r>
    </w:p>
    <w:p w14:paraId="117BF0C1">
      <w:pPr>
        <w:pStyle w:val="185"/>
        <w:numPr>
          <w:ilvl w:val="0"/>
          <w:numId w:val="6"/>
        </w:numPr>
        <w:spacing w:line="520" w:lineRule="exact"/>
        <w:ind w:left="0" w:leftChars="0" w:right="0" w:rightChars="0" w:firstLineChars="200"/>
        <w:rPr>
          <w:rStyle w:val="152"/>
          <w:rFonts w:hint="eastAsia" w:ascii="宋体" w:hAnsi="宋体" w:eastAsia="宋体" w:cs="宋体"/>
          <w:color w:val="000000"/>
          <w:sz w:val="24"/>
          <w:szCs w:val="24"/>
          <w:highlight w:val="none"/>
        </w:rPr>
      </w:pPr>
      <w:r>
        <w:rPr>
          <w:rStyle w:val="152"/>
          <w:rFonts w:hint="eastAsia" w:ascii="宋体" w:hAnsi="宋体" w:cs="宋体"/>
          <w:color w:val="000000"/>
          <w:sz w:val="24"/>
          <w:szCs w:val="24"/>
          <w:highlight w:val="none"/>
        </w:rPr>
        <w:t>不得通过打麻将等形式向公职人员输送利益。</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四、 不得为公职人员报销应由其个人支付的费用。</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五、 不得违规向公职人员及其亲友借贷款。</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六、 不得违规将车辆、 住房等借给公职人员使用。</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七、 不得在招投标中与公职人员搞暗箱操作、 围标串标。</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八、 不得为利益相关人和公职人员牵线搭桥或者代为传递信息、 传递财物。</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九、 不得让公职人员在企业违规兼职取酬。</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十、 不得为公职人员亲友违规承揽业务提供便利。</w:t>
      </w:r>
    </w:p>
    <w:p w14:paraId="3331FFEB">
      <w:pPr>
        <w:pStyle w:val="185"/>
        <w:spacing w:line="520" w:lineRule="exact"/>
        <w:ind w:left="0" w:leftChars="0" w:right="0" w:rightChars="0" w:firstLineChars="200"/>
        <w:jc w:val="left"/>
        <w:rPr>
          <w:rStyle w:val="152"/>
          <w:rFonts w:hint="eastAsia" w:ascii="宋体" w:hAnsi="宋体" w:cs="宋体"/>
          <w:color w:val="000000"/>
          <w:sz w:val="24"/>
          <w:szCs w:val="24"/>
          <w:highlight w:val="none"/>
        </w:rPr>
      </w:pPr>
      <w:r>
        <w:rPr>
          <w:rStyle w:val="152"/>
          <w:rFonts w:hint="eastAsia" w:ascii="宋体" w:hAnsi="宋体" w:cs="宋体"/>
          <w:color w:val="000000"/>
          <w:sz w:val="24"/>
          <w:szCs w:val="24"/>
          <w:highlight w:val="none"/>
        </w:rPr>
        <w:t xml:space="preserve">上述“十个不得” ， 请您严格遵守。 同时， 在政商交往中，如有发现我区公职人员存在违反“十个不准” 的问题， 请及时通过网络举报平台或者 </w:t>
      </w:r>
      <w:r>
        <w:rPr>
          <w:rStyle w:val="152"/>
          <w:rFonts w:hint="eastAsia" w:eastAsia="宋体" w:cs="宋体"/>
          <w:color w:val="000000"/>
          <w:sz w:val="24"/>
          <w:szCs w:val="24"/>
          <w:highlight w:val="none"/>
        </w:rPr>
        <w:t xml:space="preserve">12388 </w:t>
      </w:r>
      <w:r>
        <w:rPr>
          <w:rStyle w:val="152"/>
          <w:rFonts w:hint="eastAsia" w:ascii="宋体" w:hAnsi="宋体" w:cs="宋体"/>
          <w:color w:val="000000"/>
          <w:sz w:val="24"/>
          <w:szCs w:val="24"/>
          <w:highlight w:val="none"/>
        </w:rPr>
        <w:t>举报电话等方式， 向纪检监察机关反映举报， 我们将一律严格保密、 一律优先处置、 一律严肃查处。</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p>
    <w:p w14:paraId="652F5C0B">
      <w:pPr>
        <w:pStyle w:val="185"/>
        <w:spacing w:line="520" w:lineRule="exact"/>
        <w:ind w:left="0" w:leftChars="0" w:right="0" w:rightChars="0" w:firstLineChars="200"/>
        <w:jc w:val="left"/>
        <w:rPr>
          <w:rStyle w:val="152"/>
          <w:rFonts w:hint="eastAsia" w:ascii="宋体" w:hAnsi="宋体" w:cs="宋体"/>
          <w:color w:val="000000"/>
          <w:sz w:val="24"/>
          <w:szCs w:val="24"/>
          <w:highlight w:val="none"/>
        </w:rPr>
      </w:pPr>
      <w:r>
        <w:rPr>
          <w:rStyle w:val="152"/>
          <w:rFonts w:hint="eastAsia" w:ascii="宋体" w:hAnsi="宋体" w:cs="宋体"/>
          <w:color w:val="000000"/>
          <w:sz w:val="24"/>
          <w:szCs w:val="24"/>
          <w:highlight w:val="none"/>
        </w:rPr>
        <w:t>本人已知晓上述告知内容， 并愿意遵照执行（签名） ：</w:t>
      </w:r>
      <w:r>
        <w:rPr>
          <w:rStyle w:val="152"/>
          <w:rFonts w:hint="eastAsia" w:eastAsia="宋体" w:cs="宋体"/>
          <w:color w:val="000000"/>
          <w:sz w:val="24"/>
          <w:szCs w:val="24"/>
          <w:highlight w:val="none"/>
        </w:rPr>
        <w:br w:type="textWrapping"/>
      </w:r>
      <w:r>
        <w:rPr>
          <w:rStyle w:val="152"/>
          <w:rFonts w:hint="eastAsia" w:cs="宋体"/>
          <w:color w:val="000000"/>
          <w:sz w:val="24"/>
          <w:szCs w:val="24"/>
          <w:highlight w:val="none"/>
        </w:rPr>
        <w:t xml:space="preserve">                                          </w:t>
      </w:r>
    </w:p>
    <w:p w14:paraId="5069FC41">
      <w:pPr>
        <w:pStyle w:val="185"/>
        <w:spacing w:line="520" w:lineRule="exact"/>
        <w:ind w:left="0" w:leftChars="0" w:right="0" w:rightChars="0" w:firstLineChars="2200"/>
        <w:jc w:val="left"/>
        <w:rPr>
          <w:rStyle w:val="152"/>
          <w:rFonts w:hint="eastAsia" w:ascii="宋体" w:hAnsi="宋体" w:eastAsia="宋体" w:cs="宋体"/>
          <w:color w:val="000000"/>
          <w:sz w:val="24"/>
          <w:szCs w:val="24"/>
          <w:highlight w:val="none"/>
        </w:rPr>
        <w:sectPr>
          <w:headerReference r:id="rId9" w:type="first"/>
          <w:footerReference r:id="rId11" w:type="first"/>
          <w:headerReference r:id="rId8" w:type="default"/>
          <w:footerReference r:id="rId10" w:type="default"/>
          <w:pgSz w:w="11906" w:h="16838"/>
          <w:pgMar w:top="1558" w:right="1826" w:bottom="1246" w:left="1800" w:header="851" w:footer="992" w:gutter="0"/>
          <w:pgNumType w:fmt="decimal" w:start="1"/>
          <w:cols w:space="720" w:num="1"/>
          <w:formProt w:val="0"/>
          <w:titlePg/>
          <w:docGrid w:type="lines" w:linePitch="312" w:charSpace="0"/>
        </w:sectPr>
      </w:pPr>
      <w:r>
        <w:rPr>
          <w:rStyle w:val="152"/>
          <w:rFonts w:hint="eastAsia" w:ascii="宋体" w:hAnsi="宋体" w:cs="宋体"/>
          <w:color w:val="000000"/>
          <w:sz w:val="24"/>
          <w:szCs w:val="24"/>
          <w:highlight w:val="none"/>
        </w:rPr>
        <w:t xml:space="preserve">  </w:t>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 xml:space="preserve"> 年 </w:t>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月</w:t>
      </w:r>
      <w:r>
        <w:rPr>
          <w:rStyle w:val="152"/>
          <w:rFonts w:hint="eastAsia" w:cs="宋体"/>
          <w:color w:val="000000"/>
          <w:sz w:val="24"/>
          <w:szCs w:val="24"/>
          <w:highlight w:val="none"/>
        </w:rPr>
        <w:t xml:space="preserve">  </w:t>
      </w:r>
      <w:r>
        <w:rPr>
          <w:rStyle w:val="152"/>
          <w:rFonts w:hint="eastAsia" w:ascii="宋体" w:hAnsi="宋体" w:cs="宋体"/>
          <w:color w:val="000000"/>
          <w:sz w:val="24"/>
          <w:szCs w:val="24"/>
          <w:highlight w:val="none"/>
        </w:rPr>
        <w:t xml:space="preserve"> 日</w:t>
      </w:r>
    </w:p>
    <w:p w14:paraId="205A09E9">
      <w:pPr>
        <w:pStyle w:val="4"/>
        <w:numPr>
          <w:ilvl w:val="0"/>
          <w:numId w:val="0"/>
        </w:numPr>
        <w:tabs>
          <w:tab w:val="clear" w:pos="1080"/>
        </w:tabs>
        <w:spacing w:line="360" w:lineRule="auto"/>
        <w:ind w:left="0" w:right="0" w:firstLine="0"/>
        <w:rPr>
          <w:rFonts w:ascii="宋体" w:hAnsi="宋体" w:eastAsia="宋体" w:cs="宋体"/>
          <w:b/>
          <w:bCs/>
          <w:color w:val="000000"/>
          <w:sz w:val="24"/>
          <w:szCs w:val="24"/>
          <w:highlight w:val="none"/>
        </w:rPr>
      </w:pPr>
      <w:r>
        <w:rPr>
          <w:rFonts w:hint="eastAsia" w:ascii="宋体" w:hAnsi="宋体" w:cs="宋体"/>
          <w:b/>
          <w:bCs/>
          <w:color w:val="000000"/>
          <w:sz w:val="24"/>
          <w:szCs w:val="24"/>
          <w:highlight w:val="none"/>
        </w:rPr>
        <w:t>附件</w:t>
      </w:r>
      <w:r>
        <w:rPr>
          <w:rFonts w:hint="eastAsia" w:ascii="宋体" w:hAnsi="宋体" w:eastAsia="宋体" w:cs="宋体"/>
          <w:b/>
          <w:bCs/>
          <w:color w:val="000000"/>
          <w:sz w:val="24"/>
          <w:szCs w:val="24"/>
          <w:highlight w:val="none"/>
        </w:rPr>
        <w:t>3</w:t>
      </w:r>
      <w:r>
        <w:rPr>
          <w:rFonts w:hint="eastAsia" w:ascii="宋体" w:hAnsi="宋体" w:cs="宋体"/>
          <w:b/>
          <w:bCs/>
          <w:color w:val="000000"/>
          <w:sz w:val="24"/>
          <w:szCs w:val="24"/>
          <w:highlight w:val="none"/>
        </w:rPr>
        <w:t>：履约评价</w:t>
      </w:r>
    </w:p>
    <w:p w14:paraId="69E29638">
      <w:pPr>
        <w:pStyle w:val="149"/>
        <w:spacing w:line="360" w:lineRule="auto"/>
        <w:ind w:left="0" w:leftChars="0" w:right="0" w:rightChars="0" w:firstLineChars="200"/>
        <w:rPr>
          <w:rFonts w:hint="eastAsia" w:ascii="宋体" w:hAnsi="宋体" w:eastAsia="宋体" w:cs="宋体"/>
          <w:color w:val="000000"/>
          <w:kern w:val="2"/>
          <w:sz w:val="24"/>
          <w:szCs w:val="24"/>
          <w:highlight w:val="none"/>
          <w:u w:val="single"/>
        </w:rPr>
      </w:pPr>
      <w:r>
        <w:rPr>
          <w:rFonts w:hint="eastAsia" w:ascii="宋体" w:hAnsi="宋体" w:eastAsia="宋体" w:cs="宋体"/>
          <w:color w:val="000000"/>
          <w:kern w:val="2"/>
          <w:sz w:val="24"/>
          <w:szCs w:val="24"/>
          <w:highlight w:val="none"/>
          <w:u w:val="single"/>
        </w:rPr>
        <w:t>1</w:t>
      </w:r>
      <w:r>
        <w:rPr>
          <w:rFonts w:hint="eastAsia" w:ascii="宋体" w:hAnsi="宋体" w:cs="宋体"/>
          <w:color w:val="000000"/>
          <w:kern w:val="2"/>
          <w:sz w:val="24"/>
          <w:szCs w:val="24"/>
          <w:highlight w:val="none"/>
          <w:u w:val="single"/>
        </w:rPr>
        <w:t>、本办法以受托人的实际工作为根据，通过量化的方式对其工作进行履约评价，以提高受托人合同履约工作整体质量。</w:t>
      </w:r>
    </w:p>
    <w:p w14:paraId="5E3B8A38">
      <w:pPr>
        <w:pStyle w:val="149"/>
        <w:spacing w:line="360" w:lineRule="auto"/>
        <w:ind w:left="0" w:leftChars="0" w:right="0" w:rightChars="0" w:firstLineChars="200"/>
        <w:rPr>
          <w:rFonts w:hint="eastAsia" w:ascii="宋体" w:hAnsi="宋体" w:eastAsia="宋体" w:cs="宋体"/>
          <w:bCs w:val="0"/>
          <w:color w:val="000000"/>
          <w:spacing w:val="4"/>
          <w:sz w:val="24"/>
          <w:szCs w:val="24"/>
          <w:highlight w:val="none"/>
          <w:u w:val="single"/>
        </w:rPr>
      </w:pPr>
      <w:r>
        <w:rPr>
          <w:rFonts w:hint="eastAsia" w:ascii="宋体" w:hAnsi="宋体" w:eastAsia="宋体" w:cs="宋体"/>
          <w:color w:val="000000"/>
          <w:kern w:val="2"/>
          <w:sz w:val="24"/>
          <w:szCs w:val="24"/>
          <w:highlight w:val="none"/>
        </w:rPr>
        <w:t>2</w:t>
      </w:r>
      <w:r>
        <w:rPr>
          <w:rFonts w:hint="eastAsia" w:ascii="宋体" w:hAnsi="宋体" w:cs="宋体"/>
          <w:color w:val="000000"/>
          <w:kern w:val="2"/>
          <w:sz w:val="24"/>
          <w:szCs w:val="24"/>
          <w:highlight w:val="none"/>
        </w:rPr>
        <w:t>、</w:t>
      </w:r>
      <w:r>
        <w:rPr>
          <w:rFonts w:hint="eastAsia" w:ascii="宋体" w:hAnsi="宋体" w:cs="宋体"/>
          <w:bCs w:val="0"/>
          <w:color w:val="000000"/>
          <w:spacing w:val="4"/>
          <w:sz w:val="24"/>
          <w:szCs w:val="24"/>
          <w:highlight w:val="none"/>
          <w:u w:val="single"/>
        </w:rPr>
        <w:t>委托人有权依据其印发的《工程建设项目合同履约评价管理办法》及本合同约定对评价内容进行修订、补充和完善，受托人应无条件接受修订后的评价内容。</w:t>
      </w:r>
    </w:p>
    <w:p w14:paraId="2DA95DDE">
      <w:pPr>
        <w:pStyle w:val="149"/>
        <w:spacing w:line="360" w:lineRule="auto"/>
        <w:ind w:left="0" w:leftChars="0" w:right="0" w:rightChars="0" w:firstLineChars="200"/>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rPr>
        <w:t>3</w:t>
      </w:r>
      <w:r>
        <w:rPr>
          <w:rFonts w:hint="eastAsia" w:ascii="宋体" w:hAnsi="宋体" w:cs="宋体"/>
          <w:color w:val="000000"/>
          <w:kern w:val="2"/>
          <w:sz w:val="24"/>
          <w:szCs w:val="24"/>
          <w:highlight w:val="none"/>
        </w:rPr>
        <w:t>、</w:t>
      </w:r>
      <w:r>
        <w:rPr>
          <w:rFonts w:hint="eastAsia" w:ascii="宋体" w:hAnsi="宋体" w:cs="宋体"/>
          <w:bCs w:val="0"/>
          <w:color w:val="000000"/>
          <w:spacing w:val="4"/>
          <w:sz w:val="24"/>
          <w:szCs w:val="24"/>
          <w:highlight w:val="none"/>
          <w:u w:val="single"/>
        </w:rPr>
        <w:t>评价工作由委托人牵头，受托人应无条件配合委托人对其进行评价，并无条件接受评价结果以及委托人依据《工程建设项目合同履约评价管理办法》对结果进行的应用，受托人承诺不会因此提出任何延期、索赔等要求。</w:t>
      </w:r>
    </w:p>
    <w:p w14:paraId="2628172B">
      <w:pPr>
        <w:pStyle w:val="149"/>
        <w:spacing w:line="360" w:lineRule="auto"/>
        <w:ind w:left="0" w:leftChars="0" w:right="0" w:rightChars="0" w:firstLineChars="200"/>
        <w:rPr>
          <w:rFonts w:hint="eastAsia" w:ascii="宋体" w:hAnsi="宋体" w:eastAsia="宋体" w:cs="宋体"/>
          <w:color w:val="000000"/>
          <w:kern w:val="2"/>
          <w:sz w:val="24"/>
          <w:szCs w:val="24"/>
          <w:highlight w:val="none"/>
        </w:rPr>
      </w:pPr>
      <w:r>
        <w:rPr>
          <w:rFonts w:hint="eastAsia" w:ascii="宋体" w:hAnsi="宋体" w:cs="宋体"/>
          <w:color w:val="000000"/>
          <w:kern w:val="2"/>
          <w:sz w:val="24"/>
          <w:szCs w:val="24"/>
          <w:highlight w:val="none"/>
        </w:rPr>
        <w:t>4、评分细则</w:t>
      </w:r>
    </w:p>
    <w:p w14:paraId="11AE67E6">
      <w:pPr>
        <w:pStyle w:val="149"/>
        <w:spacing w:line="360" w:lineRule="auto"/>
        <w:ind w:left="0" w:leftChars="0" w:right="0" w:rightChars="0" w:firstLineChars="200"/>
        <w:rPr>
          <w:rFonts w:hint="eastAsia" w:ascii="宋体" w:hAnsi="宋体" w:eastAsia="宋体" w:cs="宋体"/>
          <w:color w:val="000000"/>
          <w:kern w:val="2"/>
          <w:sz w:val="24"/>
          <w:szCs w:val="24"/>
          <w:highlight w:val="none"/>
        </w:rPr>
      </w:pPr>
      <w:r>
        <w:rPr>
          <w:rFonts w:hint="eastAsia" w:ascii="宋体" w:hAnsi="宋体" w:eastAsia="宋体" w:cs="宋体"/>
          <w:bCs w:val="0"/>
          <w:color w:val="000000"/>
          <w:spacing w:val="4"/>
          <w:sz w:val="24"/>
          <w:szCs w:val="24"/>
          <w:highlight w:val="none"/>
          <w:u w:val="single"/>
        </w:rPr>
        <w:t>4.1</w:t>
      </w:r>
      <w:r>
        <w:rPr>
          <w:rFonts w:hint="eastAsia" w:ascii="宋体" w:hAnsi="宋体" w:cs="宋体"/>
          <w:bCs w:val="0"/>
          <w:color w:val="000000"/>
          <w:spacing w:val="4"/>
          <w:sz w:val="24"/>
          <w:szCs w:val="24"/>
          <w:highlight w:val="none"/>
          <w:u w:val="single"/>
        </w:rPr>
        <w:t>委托人依据《工程建设项目合同履约评价管理办法》及本合同约定对受托人进行履约评价。</w:t>
      </w:r>
    </w:p>
    <w:p w14:paraId="5583F0A2">
      <w:pPr>
        <w:pStyle w:val="149"/>
        <w:spacing w:line="360" w:lineRule="auto"/>
        <w:ind w:left="0" w:leftChars="0" w:right="0" w:rightChars="0" w:firstLineChars="200"/>
        <w:rPr>
          <w:rFonts w:hint="eastAsia" w:ascii="宋体" w:hAnsi="宋体" w:eastAsia="宋体" w:cs="宋体"/>
          <w:color w:val="000000"/>
          <w:kern w:val="2"/>
          <w:sz w:val="24"/>
          <w:szCs w:val="24"/>
          <w:highlight w:val="none"/>
          <w:u w:val="single"/>
        </w:rPr>
      </w:pPr>
      <w:r>
        <w:rPr>
          <w:rFonts w:hint="eastAsia" w:ascii="宋体" w:hAnsi="宋体" w:cs="宋体"/>
          <w:color w:val="000000"/>
          <w:kern w:val="2"/>
          <w:sz w:val="24"/>
          <w:szCs w:val="24"/>
          <w:highlight w:val="none"/>
          <w:u w:val="single"/>
        </w:rPr>
        <w:t>4</w:t>
      </w:r>
      <w:r>
        <w:rPr>
          <w:rFonts w:hint="eastAsia" w:ascii="宋体" w:hAnsi="宋体" w:eastAsia="宋体" w:cs="宋体"/>
          <w:color w:val="000000"/>
          <w:kern w:val="2"/>
          <w:sz w:val="24"/>
          <w:szCs w:val="24"/>
          <w:highlight w:val="none"/>
          <w:u w:val="single"/>
        </w:rPr>
        <w:t>.</w:t>
      </w:r>
      <w:r>
        <w:rPr>
          <w:rFonts w:hint="eastAsia" w:ascii="宋体" w:hAnsi="宋体" w:cs="宋体"/>
          <w:color w:val="000000"/>
          <w:kern w:val="2"/>
          <w:sz w:val="24"/>
          <w:szCs w:val="24"/>
          <w:highlight w:val="none"/>
          <w:u w:val="single"/>
        </w:rPr>
        <w:t>2每个类别根据各评分项目规定的评分细则进行打分。</w:t>
      </w:r>
    </w:p>
    <w:p w14:paraId="0C475844">
      <w:pPr>
        <w:pStyle w:val="100"/>
        <w:spacing w:line="360" w:lineRule="auto"/>
        <w:ind w:right="0" w:rightChars="0"/>
        <w:jc w:val="left"/>
        <w:rPr>
          <w:rFonts w:hint="eastAsia" w:ascii="宋体" w:hAnsi="宋体" w:eastAsia="宋体" w:cs="宋体"/>
          <w:color w:val="000000"/>
          <w:kern w:val="2"/>
          <w:sz w:val="24"/>
          <w:szCs w:val="24"/>
          <w:highlight w:val="none"/>
        </w:rPr>
      </w:pPr>
      <w:r>
        <w:rPr>
          <w:rFonts w:hint="eastAsia" w:ascii="宋体" w:hAnsi="宋体" w:cs="宋体"/>
          <w:color w:val="000000"/>
          <w:kern w:val="2"/>
          <w:sz w:val="24"/>
          <w:szCs w:val="24"/>
          <w:highlight w:val="none"/>
          <w:u w:val="single"/>
        </w:rPr>
        <w:t>4</w:t>
      </w:r>
      <w:r>
        <w:rPr>
          <w:rFonts w:hint="eastAsia" w:ascii="宋体" w:hAnsi="宋体" w:eastAsia="宋体" w:cs="宋体"/>
          <w:color w:val="000000"/>
          <w:kern w:val="2"/>
          <w:sz w:val="24"/>
          <w:szCs w:val="24"/>
          <w:highlight w:val="none"/>
          <w:u w:val="single"/>
        </w:rPr>
        <w:t>.</w:t>
      </w:r>
      <w:r>
        <w:rPr>
          <w:rFonts w:hint="eastAsia" w:ascii="宋体" w:hAnsi="宋体" w:cs="宋体"/>
          <w:color w:val="000000"/>
          <w:kern w:val="2"/>
          <w:sz w:val="24"/>
          <w:szCs w:val="24"/>
          <w:highlight w:val="none"/>
          <w:u w:val="single"/>
        </w:rPr>
        <w:t>3每个评分项目的打分不得超过该项目的标准分，每个项目的扣分按评分项目直至扣到零分为止。</w:t>
      </w:r>
    </w:p>
    <w:p w14:paraId="7AD9287C">
      <w:pPr>
        <w:pStyle w:val="100"/>
        <w:spacing w:line="360" w:lineRule="auto"/>
        <w:ind w:right="0" w:rightChars="0"/>
        <w:jc w:val="left"/>
        <w:rPr>
          <w:rFonts w:ascii="宋体" w:hAnsi="宋体" w:eastAsia="宋体" w:cs="宋体"/>
          <w:color w:val="000000"/>
          <w:kern w:val="2"/>
          <w:sz w:val="24"/>
          <w:szCs w:val="24"/>
          <w:highlight w:val="none"/>
        </w:rPr>
      </w:pPr>
      <w:r>
        <w:rPr>
          <w:rFonts w:hint="eastAsia" w:ascii="宋体" w:hAnsi="宋体" w:cs="宋体"/>
          <w:color w:val="000000"/>
          <w:kern w:val="2"/>
          <w:sz w:val="24"/>
          <w:szCs w:val="24"/>
          <w:highlight w:val="none"/>
        </w:rPr>
        <w:t>5、考核时间</w:t>
      </w:r>
    </w:p>
    <w:p w14:paraId="6170A750">
      <w:pPr>
        <w:pStyle w:val="100"/>
        <w:numPr>
          <w:ilvl w:val="0"/>
          <w:numId w:val="0"/>
        </w:numPr>
        <w:spacing w:line="360" w:lineRule="auto"/>
        <w:ind w:left="0" w:leftChars="0" w:right="0" w:rightChars="0" w:firstLineChars="200"/>
        <w:jc w:val="left"/>
        <w:rPr>
          <w:rFonts w:hint="eastAsia" w:ascii="宋体" w:hAnsi="宋体" w:cs="宋体"/>
          <w:color w:val="000000"/>
          <w:kern w:val="2"/>
          <w:sz w:val="24"/>
          <w:szCs w:val="24"/>
          <w:highlight w:val="none"/>
          <w:u w:val="single"/>
        </w:rPr>
      </w:pPr>
      <w:r>
        <w:rPr>
          <w:rFonts w:hint="eastAsia" w:ascii="宋体" w:hAnsi="宋体" w:cs="宋体"/>
          <w:color w:val="000000"/>
          <w:kern w:val="2"/>
          <w:sz w:val="24"/>
          <w:szCs w:val="24"/>
          <w:highlight w:val="none"/>
          <w:u w:val="single"/>
        </w:rPr>
        <w:t>受托人完成所有招标工作后，委托人组织一次性履约评价。</w:t>
      </w:r>
    </w:p>
    <w:p w14:paraId="10FFCF60">
      <w:pPr>
        <w:pStyle w:val="149"/>
        <w:numPr>
          <w:ilvl w:val="0"/>
          <w:numId w:val="0"/>
        </w:numPr>
        <w:spacing w:line="360" w:lineRule="auto"/>
        <w:ind w:left="0" w:leftChars="0" w:right="0" w:rightChars="0" w:firstLine="0" w:firstLineChars="0"/>
        <w:rPr>
          <w:rFonts w:ascii="宋体" w:hAnsi="宋体" w:eastAsia="宋体" w:cs="宋体"/>
          <w:bCs w:val="0"/>
          <w:color w:val="000000"/>
          <w:spacing w:val="4"/>
          <w:sz w:val="24"/>
          <w:szCs w:val="24"/>
          <w:highlight w:val="none"/>
          <w:u w:val="single"/>
        </w:rPr>
      </w:pPr>
      <w:r>
        <w:rPr>
          <w:rFonts w:hint="eastAsia" w:ascii="宋体" w:hAnsi="宋体" w:cs="宋体"/>
          <w:bCs w:val="0"/>
          <w:color w:val="000000"/>
          <w:spacing w:val="4"/>
          <w:sz w:val="24"/>
          <w:szCs w:val="24"/>
          <w:highlight w:val="none"/>
          <w:u w:val="single"/>
        </w:rPr>
        <w:t>6、评价结果</w:t>
      </w:r>
    </w:p>
    <w:p w14:paraId="62E47932">
      <w:pPr>
        <w:pStyle w:val="149"/>
        <w:ind w:left="0" w:leftChars="0" w:right="0" w:rightChars="0" w:firstLineChars="200"/>
        <w:rPr>
          <w:rFonts w:hint="eastAsia" w:ascii="宋体" w:hAnsi="宋体" w:eastAsia="宋体" w:cs="宋体"/>
          <w:bCs w:val="0"/>
          <w:color w:val="000000"/>
          <w:spacing w:val="4"/>
          <w:sz w:val="24"/>
          <w:szCs w:val="24"/>
          <w:highlight w:val="none"/>
          <w:u w:val="single"/>
        </w:rPr>
      </w:pPr>
      <w:r>
        <w:rPr>
          <w:rFonts w:hint="eastAsia" w:ascii="宋体" w:hAnsi="宋体" w:cs="宋体"/>
          <w:bCs w:val="0"/>
          <w:color w:val="000000"/>
          <w:spacing w:val="4"/>
          <w:sz w:val="24"/>
          <w:szCs w:val="24"/>
          <w:highlight w:val="none"/>
          <w:u w:val="single"/>
        </w:rPr>
        <w:t>履约评价结果将按照委托人印发的《工程建设项目合同履约评价管理办法》进行运用。</w:t>
      </w:r>
    </w:p>
    <w:p w14:paraId="51573D70">
      <w:pPr>
        <w:pageBreakBefore w:val="0"/>
        <w:widowControl w:val="0"/>
        <w:kinsoku/>
        <w:overflowPunct/>
        <w:bidi w:val="0"/>
        <w:spacing w:line="560" w:lineRule="exact"/>
        <w:ind w:right="0" w:firstLine="420"/>
        <w:textAlignment w:val="auto"/>
        <w:rPr>
          <w:rFonts w:hint="eastAsia" w:ascii="宋体" w:hAnsi="宋体" w:eastAsia="宋体" w:cs="宋体"/>
          <w:bCs/>
          <w:color w:val="000000"/>
          <w:spacing w:val="4"/>
          <w:sz w:val="24"/>
          <w:szCs w:val="24"/>
          <w:highlight w:val="none"/>
          <w:u w:val="single"/>
        </w:rPr>
      </w:pPr>
    </w:p>
    <w:p w14:paraId="3D716263">
      <w:pPr>
        <w:pStyle w:val="24"/>
        <w:rPr>
          <w:rFonts w:hint="eastAsia"/>
          <w:highlight w:val="none"/>
        </w:rPr>
      </w:pPr>
    </w:p>
    <w:p w14:paraId="6F4FFA7F">
      <w:pPr>
        <w:numPr>
          <w:ilvl w:val="0"/>
          <w:numId w:val="0"/>
        </w:numPr>
        <w:outlineLvl w:val="0"/>
        <w:rPr>
          <w:rFonts w:ascii="宋体" w:hAnsi="宋体" w:cs="宋体"/>
          <w:b/>
          <w:color w:val="000000"/>
          <w:sz w:val="36"/>
          <w:szCs w:val="36"/>
          <w:highlight w:val="none"/>
        </w:rPr>
      </w:pPr>
      <w:r>
        <w:rPr>
          <w:rFonts w:hint="eastAsia" w:ascii="宋体" w:hAnsi="宋体" w:cs="宋体"/>
          <w:b/>
          <w:color w:val="000000"/>
          <w:sz w:val="36"/>
          <w:szCs w:val="36"/>
          <w:highlight w:val="none"/>
        </w:rPr>
        <w:t xml:space="preserve"> 建设工程承包商（招标代理）履约评分表</w:t>
      </w:r>
    </w:p>
    <w:tbl>
      <w:tblPr>
        <w:tblStyle w:val="54"/>
        <w:tblpPr w:leftFromText="180" w:rightFromText="180" w:vertAnchor="text" w:horzAnchor="page" w:tblpX="1163" w:tblpY="306"/>
        <w:tblOverlap w:val="never"/>
        <w:tblW w:w="9133" w:type="dxa"/>
        <w:tblInd w:w="0" w:type="dxa"/>
        <w:tblLayout w:type="fixed"/>
        <w:tblCellMar>
          <w:top w:w="0" w:type="dxa"/>
          <w:left w:w="108" w:type="dxa"/>
          <w:bottom w:w="0" w:type="dxa"/>
          <w:right w:w="108" w:type="dxa"/>
        </w:tblCellMar>
      </w:tblPr>
      <w:tblGrid>
        <w:gridCol w:w="2166"/>
        <w:gridCol w:w="3033"/>
        <w:gridCol w:w="1400"/>
        <w:gridCol w:w="2534"/>
      </w:tblGrid>
      <w:tr w14:paraId="5C72D64A">
        <w:tblPrEx>
          <w:tblCellMar>
            <w:top w:w="0" w:type="dxa"/>
            <w:left w:w="108" w:type="dxa"/>
            <w:bottom w:w="0" w:type="dxa"/>
            <w:right w:w="108" w:type="dxa"/>
          </w:tblCellMar>
        </w:tblPrEx>
        <w:trPr>
          <w:trHeight w:val="300" w:hRule="atLeast"/>
        </w:trPr>
        <w:tc>
          <w:tcPr>
            <w:tcW w:w="2166" w:type="dxa"/>
            <w:tcBorders>
              <w:top w:val="single" w:color="000000" w:sz="4" w:space="0"/>
              <w:left w:val="single" w:color="000000" w:sz="4" w:space="0"/>
              <w:bottom w:val="single" w:color="000000" w:sz="4" w:space="0"/>
              <w:right w:val="single" w:color="000000" w:sz="4" w:space="0"/>
            </w:tcBorders>
            <w:vAlign w:val="center"/>
          </w:tcPr>
          <w:p w14:paraId="55889A6C">
            <w:pPr>
              <w:rPr>
                <w:rFonts w:ascii="宋体" w:hAnsi="宋体" w:cs="宋体"/>
                <w:b/>
                <w:color w:val="000000"/>
                <w:sz w:val="18"/>
                <w:szCs w:val="18"/>
                <w:highlight w:val="none"/>
              </w:rPr>
            </w:pPr>
            <w:r>
              <w:rPr>
                <w:rFonts w:hint="eastAsia" w:ascii="宋体" w:hAnsi="宋体" w:cs="宋体"/>
                <w:color w:val="000000"/>
                <w:sz w:val="18"/>
                <w:szCs w:val="18"/>
                <w:highlight w:val="none"/>
              </w:rPr>
              <w:t>合同名称</w:t>
            </w:r>
          </w:p>
        </w:tc>
        <w:tc>
          <w:tcPr>
            <w:tcW w:w="3033" w:type="dxa"/>
            <w:tcBorders>
              <w:top w:val="single" w:color="000000" w:sz="4" w:space="0"/>
              <w:left w:val="single" w:color="000000" w:sz="4" w:space="0"/>
              <w:bottom w:val="single" w:color="000000" w:sz="4" w:space="0"/>
              <w:right w:val="single" w:color="000000" w:sz="4" w:space="0"/>
            </w:tcBorders>
            <w:vAlign w:val="center"/>
          </w:tcPr>
          <w:p w14:paraId="701215E6">
            <w:pPr>
              <w:snapToGrid w:val="0"/>
              <w:rPr>
                <w:rFonts w:ascii="宋体" w:hAnsi="宋体" w:cs="宋体"/>
                <w:b/>
                <w:color w:val="000000"/>
                <w:sz w:val="18"/>
                <w:szCs w:val="18"/>
                <w:highlight w:val="none"/>
              </w:rPr>
            </w:pPr>
          </w:p>
        </w:tc>
        <w:tc>
          <w:tcPr>
            <w:tcW w:w="1400" w:type="dxa"/>
            <w:tcBorders>
              <w:top w:val="single" w:color="000000" w:sz="4" w:space="0"/>
              <w:left w:val="single" w:color="000000" w:sz="4" w:space="0"/>
              <w:bottom w:val="single" w:color="000000" w:sz="4" w:space="0"/>
              <w:right w:val="single" w:color="000000" w:sz="4" w:space="0"/>
            </w:tcBorders>
            <w:vAlign w:val="center"/>
          </w:tcPr>
          <w:p w14:paraId="682AF9D6">
            <w:pPr>
              <w:rPr>
                <w:rFonts w:ascii="宋体" w:hAnsi="宋体" w:cs="宋体"/>
                <w:b/>
                <w:color w:val="000000"/>
                <w:sz w:val="18"/>
                <w:szCs w:val="18"/>
                <w:highlight w:val="none"/>
              </w:rPr>
            </w:pPr>
            <w:r>
              <w:rPr>
                <w:rFonts w:hint="eastAsia" w:ascii="宋体" w:hAnsi="宋体" w:cs="宋体"/>
                <w:color w:val="000000"/>
                <w:sz w:val="18"/>
                <w:szCs w:val="18"/>
                <w:highlight w:val="none"/>
              </w:rPr>
              <w:t>承 包 商</w:t>
            </w:r>
          </w:p>
        </w:tc>
        <w:tc>
          <w:tcPr>
            <w:tcW w:w="2534" w:type="dxa"/>
            <w:tcBorders>
              <w:top w:val="single" w:color="000000" w:sz="4" w:space="0"/>
              <w:left w:val="single" w:color="000000" w:sz="4" w:space="0"/>
              <w:bottom w:val="single" w:color="000000" w:sz="4" w:space="0"/>
              <w:right w:val="single" w:color="000000" w:sz="4" w:space="0"/>
            </w:tcBorders>
            <w:vAlign w:val="center"/>
          </w:tcPr>
          <w:p w14:paraId="2092A078">
            <w:pPr>
              <w:snapToGrid w:val="0"/>
              <w:rPr>
                <w:rFonts w:ascii="宋体" w:hAnsi="宋体" w:cs="宋体"/>
                <w:b/>
                <w:color w:val="000000"/>
                <w:sz w:val="18"/>
                <w:szCs w:val="18"/>
                <w:highlight w:val="none"/>
              </w:rPr>
            </w:pPr>
          </w:p>
        </w:tc>
      </w:tr>
      <w:tr w14:paraId="1F7A756B">
        <w:tblPrEx>
          <w:tblCellMar>
            <w:top w:w="0" w:type="dxa"/>
            <w:left w:w="108" w:type="dxa"/>
            <w:bottom w:w="0" w:type="dxa"/>
            <w:right w:w="108" w:type="dxa"/>
          </w:tblCellMar>
        </w:tblPrEx>
        <w:trPr>
          <w:trHeight w:val="315" w:hRule="atLeast"/>
        </w:trPr>
        <w:tc>
          <w:tcPr>
            <w:tcW w:w="2166" w:type="dxa"/>
            <w:tcBorders>
              <w:top w:val="single" w:color="000000" w:sz="4" w:space="0"/>
              <w:left w:val="single" w:color="000000" w:sz="4" w:space="0"/>
              <w:bottom w:val="single" w:color="000000" w:sz="4" w:space="0"/>
              <w:right w:val="single" w:color="000000" w:sz="4" w:space="0"/>
            </w:tcBorders>
            <w:vAlign w:val="center"/>
          </w:tcPr>
          <w:p w14:paraId="0A453D07">
            <w:pPr>
              <w:rPr>
                <w:rFonts w:ascii="宋体" w:hAnsi="宋体" w:cs="宋体"/>
                <w:b/>
                <w:color w:val="000000"/>
                <w:sz w:val="18"/>
                <w:szCs w:val="18"/>
                <w:highlight w:val="none"/>
              </w:rPr>
            </w:pPr>
            <w:r>
              <w:rPr>
                <w:rFonts w:hint="eastAsia" w:ascii="宋体" w:hAnsi="宋体" w:cs="宋体"/>
                <w:color w:val="000000"/>
                <w:sz w:val="18"/>
                <w:szCs w:val="18"/>
                <w:highlight w:val="none"/>
              </w:rPr>
              <w:t>合同编号</w:t>
            </w:r>
          </w:p>
        </w:tc>
        <w:tc>
          <w:tcPr>
            <w:tcW w:w="3033" w:type="dxa"/>
            <w:tcBorders>
              <w:top w:val="single" w:color="000000" w:sz="4" w:space="0"/>
              <w:left w:val="single" w:color="000000" w:sz="4" w:space="0"/>
              <w:bottom w:val="single" w:color="000000" w:sz="4" w:space="0"/>
              <w:right w:val="single" w:color="000000" w:sz="4" w:space="0"/>
            </w:tcBorders>
            <w:vAlign w:val="center"/>
          </w:tcPr>
          <w:p w14:paraId="052D485A">
            <w:pPr>
              <w:snapToGrid w:val="0"/>
              <w:rPr>
                <w:rFonts w:ascii="宋体" w:hAnsi="宋体" w:cs="宋体"/>
                <w:b/>
                <w:color w:val="000000"/>
                <w:sz w:val="18"/>
                <w:szCs w:val="18"/>
                <w:highlight w:val="none"/>
              </w:rPr>
            </w:pPr>
          </w:p>
        </w:tc>
        <w:tc>
          <w:tcPr>
            <w:tcW w:w="1400" w:type="dxa"/>
            <w:tcBorders>
              <w:top w:val="single" w:color="000000" w:sz="4" w:space="0"/>
              <w:left w:val="single" w:color="000000" w:sz="4" w:space="0"/>
              <w:bottom w:val="single" w:color="000000" w:sz="4" w:space="0"/>
              <w:right w:val="single" w:color="000000" w:sz="4" w:space="0"/>
            </w:tcBorders>
            <w:vAlign w:val="center"/>
          </w:tcPr>
          <w:p w14:paraId="21A76FF6">
            <w:pPr>
              <w:rPr>
                <w:rFonts w:ascii="宋体" w:hAnsi="宋体" w:cs="宋体"/>
                <w:b/>
                <w:color w:val="000000"/>
                <w:sz w:val="18"/>
                <w:szCs w:val="18"/>
                <w:highlight w:val="none"/>
              </w:rPr>
            </w:pPr>
            <w:r>
              <w:rPr>
                <w:rFonts w:hint="eastAsia" w:ascii="宋体" w:hAnsi="宋体" w:cs="宋体"/>
                <w:color w:val="000000"/>
                <w:sz w:val="18"/>
                <w:szCs w:val="18"/>
                <w:highlight w:val="none"/>
              </w:rPr>
              <w:t>组织单位</w:t>
            </w:r>
          </w:p>
        </w:tc>
        <w:tc>
          <w:tcPr>
            <w:tcW w:w="2534" w:type="dxa"/>
            <w:tcBorders>
              <w:top w:val="single" w:color="000000" w:sz="4" w:space="0"/>
              <w:left w:val="single" w:color="000000" w:sz="4" w:space="0"/>
              <w:bottom w:val="single" w:color="000000" w:sz="4" w:space="0"/>
              <w:right w:val="single" w:color="000000" w:sz="4" w:space="0"/>
            </w:tcBorders>
            <w:vAlign w:val="center"/>
          </w:tcPr>
          <w:p w14:paraId="760BCBF9">
            <w:pPr>
              <w:snapToGrid w:val="0"/>
              <w:rPr>
                <w:rFonts w:ascii="宋体" w:hAnsi="宋体" w:cs="宋体"/>
                <w:b/>
                <w:color w:val="000000"/>
                <w:sz w:val="18"/>
                <w:szCs w:val="18"/>
                <w:highlight w:val="none"/>
              </w:rPr>
            </w:pPr>
          </w:p>
        </w:tc>
      </w:tr>
      <w:tr w14:paraId="0576995A">
        <w:tblPrEx>
          <w:tblCellMar>
            <w:top w:w="0" w:type="dxa"/>
            <w:left w:w="108" w:type="dxa"/>
            <w:bottom w:w="0" w:type="dxa"/>
            <w:right w:w="108" w:type="dxa"/>
          </w:tblCellMar>
        </w:tblPrEx>
        <w:trPr>
          <w:trHeight w:val="315" w:hRule="atLeast"/>
        </w:trPr>
        <w:tc>
          <w:tcPr>
            <w:tcW w:w="2166" w:type="dxa"/>
            <w:tcBorders>
              <w:top w:val="single" w:color="000000" w:sz="4" w:space="0"/>
              <w:left w:val="single" w:color="000000" w:sz="4" w:space="0"/>
              <w:bottom w:val="single" w:color="000000" w:sz="4" w:space="0"/>
              <w:right w:val="single" w:color="000000" w:sz="4" w:space="0"/>
            </w:tcBorders>
            <w:vAlign w:val="center"/>
          </w:tcPr>
          <w:p w14:paraId="460FAF5D">
            <w:pPr>
              <w:rPr>
                <w:rFonts w:ascii="宋体" w:hAnsi="宋体" w:cs="宋体"/>
                <w:b/>
                <w:color w:val="000000"/>
                <w:sz w:val="18"/>
                <w:szCs w:val="18"/>
                <w:highlight w:val="none"/>
              </w:rPr>
            </w:pPr>
            <w:r>
              <w:rPr>
                <w:rFonts w:hint="eastAsia" w:ascii="宋体" w:hAnsi="宋体" w:cs="宋体"/>
                <w:color w:val="000000"/>
                <w:sz w:val="18"/>
                <w:szCs w:val="18"/>
                <w:highlight w:val="none"/>
              </w:rPr>
              <w:t>评价类型</w:t>
            </w:r>
          </w:p>
        </w:tc>
        <w:tc>
          <w:tcPr>
            <w:tcW w:w="3033" w:type="dxa"/>
            <w:tcBorders>
              <w:top w:val="single" w:color="000000" w:sz="4" w:space="0"/>
              <w:left w:val="single" w:color="000000" w:sz="4" w:space="0"/>
              <w:bottom w:val="single" w:color="000000" w:sz="4" w:space="0"/>
              <w:right w:val="single" w:color="000000" w:sz="4" w:space="0"/>
            </w:tcBorders>
            <w:vAlign w:val="center"/>
          </w:tcPr>
          <w:p w14:paraId="73AE2037">
            <w:pPr>
              <w:snapToGrid w:val="0"/>
              <w:rPr>
                <w:rFonts w:ascii="宋体" w:hAnsi="宋体" w:cs="宋体"/>
                <w:b/>
                <w:color w:val="000000"/>
                <w:sz w:val="18"/>
                <w:szCs w:val="18"/>
                <w:highlight w:val="none"/>
              </w:rPr>
            </w:pPr>
          </w:p>
        </w:tc>
        <w:tc>
          <w:tcPr>
            <w:tcW w:w="1400" w:type="dxa"/>
            <w:tcBorders>
              <w:top w:val="single" w:color="000000" w:sz="4" w:space="0"/>
              <w:left w:val="single" w:color="000000" w:sz="4" w:space="0"/>
              <w:bottom w:val="single" w:color="000000" w:sz="4" w:space="0"/>
              <w:right w:val="single" w:color="000000" w:sz="4" w:space="0"/>
            </w:tcBorders>
            <w:vAlign w:val="center"/>
          </w:tcPr>
          <w:p w14:paraId="1D6F3A65">
            <w:pPr>
              <w:rPr>
                <w:rFonts w:ascii="宋体" w:hAnsi="宋体" w:cs="宋体"/>
                <w:b/>
                <w:color w:val="000000"/>
                <w:sz w:val="18"/>
                <w:szCs w:val="18"/>
                <w:highlight w:val="none"/>
              </w:rPr>
            </w:pPr>
            <w:r>
              <w:rPr>
                <w:rFonts w:hint="eastAsia" w:ascii="宋体" w:hAnsi="宋体" w:cs="宋体"/>
                <w:color w:val="000000"/>
                <w:sz w:val="18"/>
                <w:szCs w:val="18"/>
                <w:highlight w:val="none"/>
              </w:rPr>
              <w:t>评价时间</w:t>
            </w:r>
          </w:p>
        </w:tc>
        <w:tc>
          <w:tcPr>
            <w:tcW w:w="2534" w:type="dxa"/>
            <w:tcBorders>
              <w:top w:val="single" w:color="000000" w:sz="4" w:space="0"/>
              <w:left w:val="single" w:color="000000" w:sz="4" w:space="0"/>
              <w:bottom w:val="single" w:color="000000" w:sz="4" w:space="0"/>
              <w:right w:val="single" w:color="000000" w:sz="4" w:space="0"/>
            </w:tcBorders>
            <w:vAlign w:val="center"/>
          </w:tcPr>
          <w:p w14:paraId="09D157B3">
            <w:pPr>
              <w:ind w:left="0" w:leftChars="0" w:right="0" w:rightChars="0" w:firstLineChars="600"/>
              <w:rPr>
                <w:rFonts w:ascii="宋体" w:hAnsi="宋体" w:cs="宋体"/>
                <w:b/>
                <w:color w:val="000000"/>
                <w:sz w:val="18"/>
                <w:szCs w:val="18"/>
                <w:highlight w:val="none"/>
              </w:rPr>
            </w:pPr>
            <w:r>
              <w:rPr>
                <w:rFonts w:hint="eastAsia" w:ascii="宋体" w:hAnsi="宋体" w:cs="宋体"/>
                <w:color w:val="000000"/>
                <w:sz w:val="18"/>
                <w:szCs w:val="18"/>
                <w:highlight w:val="none"/>
              </w:rPr>
              <w:t>年   月   日</w:t>
            </w:r>
          </w:p>
        </w:tc>
      </w:tr>
    </w:tbl>
    <w:tbl>
      <w:tblPr>
        <w:tblStyle w:val="54"/>
        <w:tblW w:w="9126" w:type="dxa"/>
        <w:tblInd w:w="-252" w:type="dxa"/>
        <w:tblLayout w:type="fixed"/>
        <w:tblCellMar>
          <w:top w:w="0" w:type="dxa"/>
          <w:left w:w="108" w:type="dxa"/>
          <w:bottom w:w="0" w:type="dxa"/>
          <w:right w:w="108" w:type="dxa"/>
        </w:tblCellMar>
      </w:tblPr>
      <w:tblGrid>
        <w:gridCol w:w="720"/>
        <w:gridCol w:w="1440"/>
        <w:gridCol w:w="720"/>
        <w:gridCol w:w="4860"/>
        <w:gridCol w:w="614"/>
        <w:gridCol w:w="772"/>
      </w:tblGrid>
      <w:tr w14:paraId="732950E4">
        <w:tblPrEx>
          <w:tblCellMar>
            <w:top w:w="0" w:type="dxa"/>
            <w:left w:w="108" w:type="dxa"/>
            <w:bottom w:w="0" w:type="dxa"/>
            <w:right w:w="108" w:type="dxa"/>
          </w:tblCellMar>
        </w:tblPrEx>
        <w:trPr>
          <w:trHeight w:val="309"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5AAFF">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序号</w:t>
            </w:r>
          </w:p>
        </w:tc>
        <w:tc>
          <w:tcPr>
            <w:tcW w:w="1440" w:type="dxa"/>
            <w:tcBorders>
              <w:top w:val="single" w:color="000000" w:sz="4" w:space="0"/>
              <w:bottom w:val="single" w:color="000000" w:sz="4" w:space="0"/>
              <w:right w:val="single" w:color="000000" w:sz="4" w:space="0"/>
            </w:tcBorders>
            <w:shd w:val="clear" w:color="auto" w:fill="FFFFFF"/>
            <w:vAlign w:val="center"/>
          </w:tcPr>
          <w:p w14:paraId="4739EC48">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分项内容</w:t>
            </w:r>
          </w:p>
        </w:tc>
        <w:tc>
          <w:tcPr>
            <w:tcW w:w="720" w:type="dxa"/>
            <w:tcBorders>
              <w:top w:val="single" w:color="000000" w:sz="4" w:space="0"/>
              <w:bottom w:val="single" w:color="000000" w:sz="4" w:space="0"/>
              <w:right w:val="single" w:color="000000" w:sz="4" w:space="0"/>
            </w:tcBorders>
            <w:shd w:val="clear" w:color="auto" w:fill="FFFFFF"/>
            <w:vAlign w:val="center"/>
          </w:tcPr>
          <w:p w14:paraId="5C66E5ED">
            <w:pPr>
              <w:widowControl/>
              <w:rPr>
                <w:rFonts w:ascii="宋体" w:hAnsi="宋体" w:cs="宋体"/>
                <w:color w:val="000000"/>
                <w:spacing w:val="-10"/>
                <w:kern w:val="0"/>
                <w:sz w:val="18"/>
                <w:szCs w:val="18"/>
                <w:highlight w:val="none"/>
              </w:rPr>
            </w:pPr>
            <w:r>
              <w:rPr>
                <w:rFonts w:hint="eastAsia" w:ascii="宋体" w:hAnsi="宋体" w:cs="宋体"/>
                <w:color w:val="000000"/>
                <w:spacing w:val="-10"/>
                <w:kern w:val="0"/>
                <w:sz w:val="18"/>
                <w:szCs w:val="18"/>
                <w:highlight w:val="none"/>
              </w:rPr>
              <w:t>满分值</w:t>
            </w:r>
          </w:p>
        </w:tc>
        <w:tc>
          <w:tcPr>
            <w:tcW w:w="4860" w:type="dxa"/>
            <w:tcBorders>
              <w:top w:val="single" w:color="000000" w:sz="4" w:space="0"/>
              <w:bottom w:val="single" w:color="000000" w:sz="4" w:space="0"/>
              <w:right w:val="single" w:color="000000" w:sz="4" w:space="0"/>
            </w:tcBorders>
            <w:shd w:val="clear" w:color="auto" w:fill="FFFFFF"/>
            <w:vAlign w:val="center"/>
          </w:tcPr>
          <w:p w14:paraId="14B9AD61">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评 价 指 标</w:t>
            </w:r>
          </w:p>
        </w:tc>
        <w:tc>
          <w:tcPr>
            <w:tcW w:w="614" w:type="dxa"/>
            <w:tcBorders>
              <w:top w:val="single" w:color="000000" w:sz="4" w:space="0"/>
              <w:bottom w:val="single" w:color="000000" w:sz="4" w:space="0"/>
              <w:right w:val="single" w:color="000000" w:sz="4" w:space="0"/>
            </w:tcBorders>
            <w:shd w:val="clear" w:color="auto" w:fill="FFFFFF"/>
            <w:vAlign w:val="center"/>
          </w:tcPr>
          <w:p w14:paraId="224F86CD">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分值分配</w:t>
            </w:r>
          </w:p>
        </w:tc>
        <w:tc>
          <w:tcPr>
            <w:tcW w:w="772" w:type="dxa"/>
            <w:tcBorders>
              <w:top w:val="single" w:color="000000" w:sz="4" w:space="0"/>
              <w:bottom w:val="single" w:color="000000" w:sz="4" w:space="0"/>
              <w:right w:val="single" w:color="000000" w:sz="4" w:space="0"/>
            </w:tcBorders>
            <w:shd w:val="clear" w:color="auto" w:fill="FFFFFF"/>
            <w:vAlign w:val="center"/>
          </w:tcPr>
          <w:p w14:paraId="199F91E7">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得 分</w:t>
            </w:r>
          </w:p>
        </w:tc>
      </w:tr>
      <w:tr w14:paraId="46FFD8D7">
        <w:tblPrEx>
          <w:tblCellMar>
            <w:top w:w="0" w:type="dxa"/>
            <w:left w:w="108" w:type="dxa"/>
            <w:bottom w:w="0" w:type="dxa"/>
            <w:right w:w="108" w:type="dxa"/>
          </w:tblCellMar>
        </w:tblPrEx>
        <w:trPr>
          <w:trHeight w:val="303" w:hRule="atLeast"/>
        </w:trPr>
        <w:tc>
          <w:tcPr>
            <w:tcW w:w="720" w:type="dxa"/>
            <w:tcBorders>
              <w:left w:val="single" w:color="000000" w:sz="4" w:space="0"/>
              <w:bottom w:val="single" w:color="000000" w:sz="4" w:space="0"/>
              <w:right w:val="single" w:color="000000" w:sz="4" w:space="0"/>
            </w:tcBorders>
            <w:shd w:val="clear" w:color="auto" w:fill="FFFFFF"/>
            <w:vAlign w:val="center"/>
          </w:tcPr>
          <w:p w14:paraId="44DFE3AA">
            <w:pPr>
              <w:widowControl/>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 xml:space="preserve">一  </w:t>
            </w:r>
          </w:p>
        </w:tc>
        <w:tc>
          <w:tcPr>
            <w:tcW w:w="1440" w:type="dxa"/>
            <w:tcBorders>
              <w:bottom w:val="single" w:color="000000" w:sz="4" w:space="0"/>
              <w:right w:val="single" w:color="000000" w:sz="4" w:space="0"/>
            </w:tcBorders>
            <w:shd w:val="clear" w:color="auto" w:fill="FFFFFF"/>
            <w:vAlign w:val="center"/>
          </w:tcPr>
          <w:p w14:paraId="7B73D0CC">
            <w:pPr>
              <w:widowControl/>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机构人员配备</w:t>
            </w:r>
          </w:p>
        </w:tc>
        <w:tc>
          <w:tcPr>
            <w:tcW w:w="720" w:type="dxa"/>
            <w:tcBorders>
              <w:bottom w:val="single" w:color="000000" w:sz="4" w:space="0"/>
              <w:right w:val="single" w:color="000000" w:sz="4" w:space="0"/>
            </w:tcBorders>
            <w:shd w:val="clear" w:color="auto" w:fill="FFFFFF"/>
            <w:vAlign w:val="center"/>
          </w:tcPr>
          <w:p w14:paraId="7A6A9C3D">
            <w:pPr>
              <w:widowControl/>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15</w:t>
            </w:r>
          </w:p>
        </w:tc>
        <w:tc>
          <w:tcPr>
            <w:tcW w:w="4860" w:type="dxa"/>
            <w:tcBorders>
              <w:bottom w:val="single" w:color="000000" w:sz="4" w:space="0"/>
              <w:right w:val="single" w:color="000000" w:sz="4" w:space="0"/>
            </w:tcBorders>
            <w:shd w:val="clear" w:color="auto" w:fill="FFFFFF"/>
            <w:vAlign w:val="center"/>
          </w:tcPr>
          <w:p w14:paraId="7A955ACB">
            <w:pPr>
              <w:widowControl/>
              <w:snapToGrid w:val="0"/>
              <w:rPr>
                <w:rFonts w:ascii="宋体" w:hAnsi="宋体" w:cs="宋体"/>
                <w:b/>
                <w:bCs/>
                <w:color w:val="000000"/>
                <w:kern w:val="0"/>
                <w:sz w:val="18"/>
                <w:szCs w:val="18"/>
                <w:highlight w:val="none"/>
              </w:rPr>
            </w:pPr>
          </w:p>
        </w:tc>
        <w:tc>
          <w:tcPr>
            <w:tcW w:w="614" w:type="dxa"/>
            <w:tcBorders>
              <w:bottom w:val="single" w:color="000000" w:sz="4" w:space="0"/>
              <w:right w:val="single" w:color="000000" w:sz="4" w:space="0"/>
            </w:tcBorders>
            <w:shd w:val="clear" w:color="auto" w:fill="FFFFFF"/>
            <w:vAlign w:val="center"/>
          </w:tcPr>
          <w:p w14:paraId="0BFDF47A">
            <w:pPr>
              <w:widowControl/>
              <w:snapToGrid w:val="0"/>
              <w:rPr>
                <w:rFonts w:ascii="宋体" w:hAnsi="宋体" w:cs="宋体"/>
                <w:b/>
                <w:bCs/>
                <w:color w:val="000000"/>
                <w:kern w:val="0"/>
                <w:sz w:val="18"/>
                <w:szCs w:val="18"/>
                <w:highlight w:val="none"/>
              </w:rPr>
            </w:pPr>
          </w:p>
        </w:tc>
        <w:tc>
          <w:tcPr>
            <w:tcW w:w="772" w:type="dxa"/>
            <w:tcBorders>
              <w:bottom w:val="single" w:color="000000" w:sz="4" w:space="0"/>
              <w:right w:val="single" w:color="000000" w:sz="4" w:space="0"/>
            </w:tcBorders>
            <w:shd w:val="clear" w:color="auto" w:fill="FFFFFF"/>
            <w:vAlign w:val="center"/>
          </w:tcPr>
          <w:p w14:paraId="672CDF63">
            <w:pPr>
              <w:widowControl/>
              <w:snapToGrid w:val="0"/>
              <w:ind w:leftChars="-15" w:rightChars="-100" w:firstLine="0" w:firstLineChars="0"/>
              <w:rPr>
                <w:rFonts w:ascii="宋体" w:hAnsi="宋体" w:cs="宋体"/>
                <w:b/>
                <w:bCs/>
                <w:color w:val="000000"/>
                <w:kern w:val="0"/>
                <w:sz w:val="18"/>
                <w:szCs w:val="18"/>
                <w:highlight w:val="none"/>
              </w:rPr>
            </w:pPr>
          </w:p>
        </w:tc>
      </w:tr>
      <w:tr w14:paraId="377086D9">
        <w:tblPrEx>
          <w:tblCellMar>
            <w:top w:w="0" w:type="dxa"/>
            <w:left w:w="108" w:type="dxa"/>
            <w:bottom w:w="0" w:type="dxa"/>
            <w:right w:w="108" w:type="dxa"/>
          </w:tblCellMar>
        </w:tblPrEx>
        <w:trPr>
          <w:trHeight w:val="308" w:hRule="atLeast"/>
        </w:trPr>
        <w:tc>
          <w:tcPr>
            <w:tcW w:w="720" w:type="dxa"/>
            <w:vMerge w:val="restart"/>
            <w:tcBorders>
              <w:left w:val="single" w:color="000000" w:sz="4" w:space="0"/>
              <w:right w:val="single" w:color="000000" w:sz="4" w:space="0"/>
            </w:tcBorders>
            <w:shd w:val="clear" w:color="auto" w:fill="FFFFFF"/>
            <w:vAlign w:val="center"/>
          </w:tcPr>
          <w:p w14:paraId="457AB127">
            <w:pPr>
              <w:widowControl/>
              <w:ind w:left="0" w:leftChars="0" w:right="0" w:rightChars="0" w:firstLineChars="10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440" w:type="dxa"/>
            <w:vMerge w:val="restart"/>
            <w:tcBorders>
              <w:left w:val="single" w:color="000000" w:sz="4" w:space="0"/>
              <w:right w:val="single" w:color="000000" w:sz="4" w:space="0"/>
            </w:tcBorders>
            <w:shd w:val="clear" w:color="auto" w:fill="FFFFFF"/>
            <w:vAlign w:val="center"/>
          </w:tcPr>
          <w:p w14:paraId="55F0F4F1">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项目负责人</w:t>
            </w:r>
          </w:p>
        </w:tc>
        <w:tc>
          <w:tcPr>
            <w:tcW w:w="720" w:type="dxa"/>
            <w:vMerge w:val="restart"/>
            <w:tcBorders>
              <w:left w:val="single" w:color="000000" w:sz="4" w:space="0"/>
              <w:right w:val="single" w:color="000000" w:sz="4" w:space="0"/>
            </w:tcBorders>
            <w:shd w:val="clear" w:color="auto" w:fill="FFFFFF"/>
            <w:vAlign w:val="center"/>
          </w:tcPr>
          <w:p w14:paraId="05BD3EB4">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w:t>
            </w:r>
          </w:p>
        </w:tc>
        <w:tc>
          <w:tcPr>
            <w:tcW w:w="4860" w:type="dxa"/>
            <w:tcBorders>
              <w:bottom w:val="single" w:color="000000" w:sz="4" w:space="0"/>
              <w:right w:val="single" w:color="000000" w:sz="4" w:space="0"/>
            </w:tcBorders>
            <w:shd w:val="clear" w:color="auto" w:fill="FFFFFF"/>
            <w:vAlign w:val="center"/>
          </w:tcPr>
          <w:p w14:paraId="5A23F2CF">
            <w:pPr>
              <w:widowControl/>
              <w:spacing w:line="30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配备有固定的项目负责人，且项目负责人具有高度责任心、良好的组织协调能力和专业的业务水平</w:t>
            </w:r>
          </w:p>
        </w:tc>
        <w:tc>
          <w:tcPr>
            <w:tcW w:w="614" w:type="dxa"/>
            <w:tcBorders>
              <w:bottom w:val="single" w:color="000000" w:sz="4" w:space="0"/>
              <w:right w:val="single" w:color="000000" w:sz="4" w:space="0"/>
            </w:tcBorders>
            <w:shd w:val="clear" w:color="auto" w:fill="FFFFFF"/>
            <w:vAlign w:val="center"/>
          </w:tcPr>
          <w:p w14:paraId="15C86CEA">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w:t>
            </w:r>
          </w:p>
        </w:tc>
        <w:tc>
          <w:tcPr>
            <w:tcW w:w="772" w:type="dxa"/>
            <w:vMerge w:val="restart"/>
            <w:tcBorders>
              <w:right w:val="single" w:color="000000" w:sz="4" w:space="0"/>
            </w:tcBorders>
            <w:shd w:val="clear" w:color="auto" w:fill="FFFFFF"/>
            <w:vAlign w:val="center"/>
          </w:tcPr>
          <w:p w14:paraId="5766EA28">
            <w:pPr>
              <w:widowControl/>
              <w:snapToGrid w:val="0"/>
              <w:spacing w:line="240" w:lineRule="atLeast"/>
              <w:rPr>
                <w:rFonts w:ascii="宋体" w:hAnsi="宋体" w:cs="宋体"/>
                <w:color w:val="000000"/>
                <w:kern w:val="0"/>
                <w:sz w:val="18"/>
                <w:szCs w:val="18"/>
                <w:highlight w:val="none"/>
              </w:rPr>
            </w:pPr>
          </w:p>
        </w:tc>
      </w:tr>
      <w:tr w14:paraId="37A22686">
        <w:tblPrEx>
          <w:tblCellMar>
            <w:top w:w="0" w:type="dxa"/>
            <w:left w:w="108" w:type="dxa"/>
            <w:bottom w:w="0" w:type="dxa"/>
            <w:right w:w="108" w:type="dxa"/>
          </w:tblCellMar>
        </w:tblPrEx>
        <w:trPr>
          <w:trHeight w:val="308" w:hRule="atLeast"/>
        </w:trPr>
        <w:tc>
          <w:tcPr>
            <w:tcW w:w="720" w:type="dxa"/>
            <w:vMerge w:val="continue"/>
            <w:tcBorders>
              <w:left w:val="single" w:color="000000" w:sz="4" w:space="0"/>
              <w:right w:val="single" w:color="000000" w:sz="4" w:space="0"/>
            </w:tcBorders>
            <w:shd w:val="clear" w:color="auto" w:fill="FFFFFF"/>
            <w:vAlign w:val="center"/>
          </w:tcPr>
          <w:p w14:paraId="44529545">
            <w:pPr>
              <w:widowControl/>
              <w:snapToGrid w:val="0"/>
              <w:ind w:left="0" w:leftChars="0" w:right="0" w:rightChars="0" w:firstLineChars="100"/>
              <w:rPr>
                <w:rFonts w:ascii="宋体" w:hAnsi="宋体" w:cs="宋体"/>
                <w:color w:val="000000"/>
                <w:kern w:val="0"/>
                <w:sz w:val="18"/>
                <w:szCs w:val="18"/>
                <w:highlight w:val="none"/>
              </w:rPr>
            </w:pPr>
          </w:p>
        </w:tc>
        <w:tc>
          <w:tcPr>
            <w:tcW w:w="1440" w:type="dxa"/>
            <w:vMerge w:val="continue"/>
            <w:tcBorders>
              <w:left w:val="single" w:color="000000" w:sz="4" w:space="0"/>
              <w:right w:val="single" w:color="000000" w:sz="4" w:space="0"/>
            </w:tcBorders>
            <w:shd w:val="clear" w:color="auto" w:fill="FFFFFF"/>
            <w:vAlign w:val="center"/>
          </w:tcPr>
          <w:p w14:paraId="1DD4D272">
            <w:pPr>
              <w:widowControl/>
              <w:snapToGrid w:val="0"/>
              <w:ind w:left="0" w:leftChars="0" w:right="0" w:rightChars="0" w:firstLineChars="10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1E0C0698">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2D067CFC">
            <w:pPr>
              <w:widowControl/>
              <w:spacing w:line="30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配备有基本固定的项目负责人，且项目负责人具有责任心、具有一定组织协调能力和专业的业务水平</w:t>
            </w:r>
          </w:p>
        </w:tc>
        <w:tc>
          <w:tcPr>
            <w:tcW w:w="614" w:type="dxa"/>
            <w:tcBorders>
              <w:bottom w:val="single" w:color="000000" w:sz="4" w:space="0"/>
              <w:right w:val="single" w:color="000000" w:sz="4" w:space="0"/>
            </w:tcBorders>
            <w:shd w:val="clear" w:color="auto" w:fill="FFFFFF"/>
            <w:vAlign w:val="center"/>
          </w:tcPr>
          <w:p w14:paraId="1B25AE80">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w:t>
            </w:r>
          </w:p>
        </w:tc>
        <w:tc>
          <w:tcPr>
            <w:tcW w:w="772" w:type="dxa"/>
            <w:vMerge w:val="continue"/>
            <w:tcBorders>
              <w:right w:val="single" w:color="000000" w:sz="4" w:space="0"/>
            </w:tcBorders>
            <w:shd w:val="clear" w:color="auto" w:fill="FFFFFF"/>
            <w:vAlign w:val="center"/>
          </w:tcPr>
          <w:p w14:paraId="40CB36BC">
            <w:pPr>
              <w:widowControl/>
              <w:snapToGrid w:val="0"/>
              <w:spacing w:line="240" w:lineRule="atLeast"/>
              <w:rPr>
                <w:rFonts w:ascii="宋体" w:hAnsi="宋体" w:cs="宋体"/>
                <w:color w:val="000000"/>
                <w:kern w:val="0"/>
                <w:sz w:val="18"/>
                <w:szCs w:val="18"/>
                <w:highlight w:val="none"/>
              </w:rPr>
            </w:pPr>
          </w:p>
        </w:tc>
      </w:tr>
      <w:tr w14:paraId="4A3D0903">
        <w:tblPrEx>
          <w:tblCellMar>
            <w:top w:w="0" w:type="dxa"/>
            <w:left w:w="108" w:type="dxa"/>
            <w:bottom w:w="0" w:type="dxa"/>
            <w:right w:w="108" w:type="dxa"/>
          </w:tblCellMar>
        </w:tblPrEx>
        <w:trPr>
          <w:trHeight w:val="308" w:hRule="atLeast"/>
        </w:trPr>
        <w:tc>
          <w:tcPr>
            <w:tcW w:w="720" w:type="dxa"/>
            <w:vMerge w:val="continue"/>
            <w:tcBorders>
              <w:left w:val="single" w:color="000000" w:sz="4" w:space="0"/>
              <w:right w:val="single" w:color="000000" w:sz="4" w:space="0"/>
            </w:tcBorders>
            <w:shd w:val="clear" w:color="auto" w:fill="FFFFFF"/>
            <w:vAlign w:val="center"/>
          </w:tcPr>
          <w:p w14:paraId="688563DC">
            <w:pPr>
              <w:widowControl/>
              <w:snapToGrid w:val="0"/>
              <w:ind w:left="0" w:leftChars="0" w:right="0" w:rightChars="0" w:firstLineChars="100"/>
              <w:rPr>
                <w:rFonts w:ascii="宋体" w:hAnsi="宋体" w:cs="宋体"/>
                <w:color w:val="000000"/>
                <w:kern w:val="0"/>
                <w:sz w:val="18"/>
                <w:szCs w:val="18"/>
                <w:highlight w:val="none"/>
              </w:rPr>
            </w:pPr>
          </w:p>
        </w:tc>
        <w:tc>
          <w:tcPr>
            <w:tcW w:w="1440" w:type="dxa"/>
            <w:vMerge w:val="continue"/>
            <w:tcBorders>
              <w:left w:val="single" w:color="000000" w:sz="4" w:space="0"/>
              <w:right w:val="single" w:color="000000" w:sz="4" w:space="0"/>
            </w:tcBorders>
            <w:shd w:val="clear" w:color="auto" w:fill="FFFFFF"/>
            <w:vAlign w:val="center"/>
          </w:tcPr>
          <w:p w14:paraId="3E3F8C81">
            <w:pPr>
              <w:widowControl/>
              <w:snapToGrid w:val="0"/>
              <w:ind w:left="0" w:leftChars="0" w:right="0" w:rightChars="0" w:firstLineChars="10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2B33D655">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73548B2E">
            <w:pPr>
              <w:widowControl/>
              <w:spacing w:line="30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配备的项目负责人不固定，或项目负责人无责任心、组织协调能力和专业的业务水平差</w:t>
            </w:r>
          </w:p>
        </w:tc>
        <w:tc>
          <w:tcPr>
            <w:tcW w:w="614" w:type="dxa"/>
            <w:tcBorders>
              <w:bottom w:val="single" w:color="000000" w:sz="4" w:space="0"/>
              <w:right w:val="single" w:color="000000" w:sz="4" w:space="0"/>
            </w:tcBorders>
            <w:shd w:val="clear" w:color="auto" w:fill="FFFFFF"/>
            <w:vAlign w:val="center"/>
          </w:tcPr>
          <w:p w14:paraId="26DE0720">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0</w:t>
            </w:r>
          </w:p>
        </w:tc>
        <w:tc>
          <w:tcPr>
            <w:tcW w:w="772" w:type="dxa"/>
            <w:vMerge w:val="continue"/>
            <w:tcBorders>
              <w:right w:val="single" w:color="000000" w:sz="4" w:space="0"/>
            </w:tcBorders>
            <w:shd w:val="clear" w:color="auto" w:fill="FFFFFF"/>
            <w:vAlign w:val="center"/>
          </w:tcPr>
          <w:p w14:paraId="1D97D5C4">
            <w:pPr>
              <w:widowControl/>
              <w:snapToGrid w:val="0"/>
              <w:spacing w:line="240" w:lineRule="atLeast"/>
              <w:rPr>
                <w:rFonts w:ascii="宋体" w:hAnsi="宋体" w:cs="宋体"/>
                <w:color w:val="000000"/>
                <w:kern w:val="0"/>
                <w:sz w:val="18"/>
                <w:szCs w:val="18"/>
                <w:highlight w:val="none"/>
              </w:rPr>
            </w:pPr>
          </w:p>
        </w:tc>
      </w:tr>
      <w:tr w14:paraId="5065DA5A">
        <w:tblPrEx>
          <w:tblCellMar>
            <w:top w:w="0" w:type="dxa"/>
            <w:left w:w="108" w:type="dxa"/>
            <w:bottom w:w="0" w:type="dxa"/>
            <w:right w:w="108" w:type="dxa"/>
          </w:tblCellMar>
        </w:tblPrEx>
        <w:trPr>
          <w:trHeight w:val="308" w:hRule="atLeast"/>
        </w:trPr>
        <w:tc>
          <w:tcPr>
            <w:tcW w:w="720" w:type="dxa"/>
            <w:vMerge w:val="restart"/>
            <w:tcBorders>
              <w:left w:val="single" w:color="000000" w:sz="4" w:space="0"/>
              <w:right w:val="single" w:color="000000" w:sz="4" w:space="0"/>
            </w:tcBorders>
            <w:shd w:val="clear" w:color="auto" w:fill="FFFFFF"/>
            <w:vAlign w:val="center"/>
          </w:tcPr>
          <w:p w14:paraId="4287C4F6">
            <w:pPr>
              <w:widowControl/>
              <w:ind w:left="0" w:leftChars="0" w:right="0" w:rightChars="0" w:firstLineChars="10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1440" w:type="dxa"/>
            <w:vMerge w:val="restart"/>
            <w:tcBorders>
              <w:left w:val="single" w:color="000000" w:sz="4" w:space="0"/>
              <w:right w:val="single" w:color="000000" w:sz="4" w:space="0"/>
            </w:tcBorders>
            <w:shd w:val="clear" w:color="auto" w:fill="FFFFFF"/>
            <w:vAlign w:val="center"/>
          </w:tcPr>
          <w:p w14:paraId="0C8952AF">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专业配置</w:t>
            </w:r>
          </w:p>
        </w:tc>
        <w:tc>
          <w:tcPr>
            <w:tcW w:w="720" w:type="dxa"/>
            <w:vMerge w:val="restart"/>
            <w:tcBorders>
              <w:left w:val="single" w:color="000000" w:sz="4" w:space="0"/>
              <w:right w:val="single" w:color="000000" w:sz="4" w:space="0"/>
            </w:tcBorders>
            <w:shd w:val="clear" w:color="auto" w:fill="FFFFFF"/>
            <w:vAlign w:val="center"/>
          </w:tcPr>
          <w:p w14:paraId="69FC652A">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4860" w:type="dxa"/>
            <w:tcBorders>
              <w:bottom w:val="single" w:color="000000" w:sz="4" w:space="0"/>
              <w:right w:val="single" w:color="000000" w:sz="4" w:space="0"/>
            </w:tcBorders>
            <w:shd w:val="clear" w:color="auto" w:fill="FFFFFF"/>
            <w:vAlign w:val="center"/>
          </w:tcPr>
          <w:p w14:paraId="449CBA6E">
            <w:pPr>
              <w:widowControl/>
              <w:spacing w:line="30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配备人员的专业满足合同要求且各专职人员稳定</w:t>
            </w:r>
          </w:p>
        </w:tc>
        <w:tc>
          <w:tcPr>
            <w:tcW w:w="614" w:type="dxa"/>
            <w:tcBorders>
              <w:bottom w:val="single" w:color="000000" w:sz="4" w:space="0"/>
              <w:right w:val="single" w:color="000000" w:sz="4" w:space="0"/>
            </w:tcBorders>
            <w:shd w:val="clear" w:color="auto" w:fill="FFFFFF"/>
            <w:vAlign w:val="center"/>
          </w:tcPr>
          <w:p w14:paraId="66144A7F">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772" w:type="dxa"/>
            <w:tcBorders>
              <w:bottom w:val="single" w:color="000000" w:sz="4" w:space="0"/>
              <w:right w:val="single" w:color="000000" w:sz="4" w:space="0"/>
            </w:tcBorders>
            <w:shd w:val="clear" w:color="auto" w:fill="FFFFFF"/>
            <w:vAlign w:val="center"/>
          </w:tcPr>
          <w:p w14:paraId="650187F4">
            <w:pPr>
              <w:widowControl/>
              <w:snapToGrid w:val="0"/>
              <w:spacing w:line="240" w:lineRule="atLeast"/>
              <w:rPr>
                <w:rFonts w:ascii="宋体" w:hAnsi="宋体" w:cs="宋体"/>
                <w:color w:val="000000"/>
                <w:kern w:val="0"/>
                <w:sz w:val="18"/>
                <w:szCs w:val="18"/>
                <w:highlight w:val="none"/>
              </w:rPr>
            </w:pPr>
          </w:p>
        </w:tc>
      </w:tr>
      <w:tr w14:paraId="2681B56D">
        <w:tblPrEx>
          <w:tblCellMar>
            <w:top w:w="0" w:type="dxa"/>
            <w:left w:w="108" w:type="dxa"/>
            <w:bottom w:w="0" w:type="dxa"/>
            <w:right w:w="108" w:type="dxa"/>
          </w:tblCellMar>
        </w:tblPrEx>
        <w:trPr>
          <w:trHeight w:val="308" w:hRule="atLeast"/>
        </w:trPr>
        <w:tc>
          <w:tcPr>
            <w:tcW w:w="720" w:type="dxa"/>
            <w:vMerge w:val="continue"/>
            <w:tcBorders>
              <w:left w:val="single" w:color="000000" w:sz="4" w:space="0"/>
              <w:right w:val="single" w:color="000000" w:sz="4" w:space="0"/>
            </w:tcBorders>
            <w:shd w:val="clear" w:color="auto" w:fill="FFFFFF"/>
            <w:vAlign w:val="center"/>
          </w:tcPr>
          <w:p w14:paraId="3EC99A9A">
            <w:pPr>
              <w:widowControl/>
              <w:snapToGrid w:val="0"/>
              <w:ind w:left="0" w:leftChars="0" w:right="0" w:rightChars="0" w:firstLineChars="100"/>
              <w:rPr>
                <w:rFonts w:ascii="宋体" w:hAnsi="宋体" w:cs="宋体"/>
                <w:color w:val="000000"/>
                <w:kern w:val="0"/>
                <w:sz w:val="18"/>
                <w:szCs w:val="18"/>
                <w:highlight w:val="none"/>
              </w:rPr>
            </w:pPr>
          </w:p>
        </w:tc>
        <w:tc>
          <w:tcPr>
            <w:tcW w:w="1440" w:type="dxa"/>
            <w:vMerge w:val="continue"/>
            <w:tcBorders>
              <w:left w:val="single" w:color="000000" w:sz="4" w:space="0"/>
              <w:right w:val="single" w:color="000000" w:sz="4" w:space="0"/>
            </w:tcBorders>
            <w:shd w:val="clear" w:color="auto" w:fill="FFFFFF"/>
            <w:vAlign w:val="center"/>
          </w:tcPr>
          <w:p w14:paraId="0E810903">
            <w:pPr>
              <w:widowControl/>
              <w:snapToGrid w:val="0"/>
              <w:ind w:left="0" w:leftChars="0" w:right="0" w:rightChars="0" w:firstLineChars="10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2B5356B2">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76BF2C31">
            <w:pPr>
              <w:widowControl/>
              <w:spacing w:line="30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配备人员的专业基本满足合同要求且专职人员相对稳定</w:t>
            </w:r>
          </w:p>
        </w:tc>
        <w:tc>
          <w:tcPr>
            <w:tcW w:w="614" w:type="dxa"/>
            <w:tcBorders>
              <w:bottom w:val="single" w:color="000000" w:sz="4" w:space="0"/>
              <w:right w:val="single" w:color="000000" w:sz="4" w:space="0"/>
            </w:tcBorders>
            <w:shd w:val="clear" w:color="auto" w:fill="FFFFFF"/>
            <w:vAlign w:val="center"/>
          </w:tcPr>
          <w:p w14:paraId="0E521987">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w:t>
            </w:r>
          </w:p>
        </w:tc>
        <w:tc>
          <w:tcPr>
            <w:tcW w:w="772" w:type="dxa"/>
            <w:tcBorders>
              <w:bottom w:val="single" w:color="000000" w:sz="4" w:space="0"/>
              <w:right w:val="single" w:color="000000" w:sz="4" w:space="0"/>
            </w:tcBorders>
            <w:shd w:val="clear" w:color="auto" w:fill="FFFFFF"/>
            <w:vAlign w:val="center"/>
          </w:tcPr>
          <w:p w14:paraId="474D31A0">
            <w:pPr>
              <w:widowControl/>
              <w:snapToGrid w:val="0"/>
              <w:spacing w:line="240" w:lineRule="atLeast"/>
              <w:rPr>
                <w:rFonts w:ascii="宋体" w:hAnsi="宋体" w:cs="宋体"/>
                <w:color w:val="000000"/>
                <w:kern w:val="0"/>
                <w:sz w:val="18"/>
                <w:szCs w:val="18"/>
                <w:highlight w:val="none"/>
              </w:rPr>
            </w:pPr>
          </w:p>
        </w:tc>
      </w:tr>
      <w:tr w14:paraId="556482E0">
        <w:tblPrEx>
          <w:tblCellMar>
            <w:top w:w="0" w:type="dxa"/>
            <w:left w:w="108" w:type="dxa"/>
            <w:bottom w:w="0" w:type="dxa"/>
            <w:right w:w="108" w:type="dxa"/>
          </w:tblCellMar>
        </w:tblPrEx>
        <w:trPr>
          <w:trHeight w:val="308" w:hRule="atLeast"/>
        </w:trPr>
        <w:tc>
          <w:tcPr>
            <w:tcW w:w="720" w:type="dxa"/>
            <w:vMerge w:val="continue"/>
            <w:tcBorders>
              <w:left w:val="single" w:color="000000" w:sz="4" w:space="0"/>
              <w:right w:val="single" w:color="000000" w:sz="4" w:space="0"/>
            </w:tcBorders>
            <w:shd w:val="clear" w:color="auto" w:fill="FFFFFF"/>
            <w:vAlign w:val="center"/>
          </w:tcPr>
          <w:p w14:paraId="568A0C6A">
            <w:pPr>
              <w:widowControl/>
              <w:snapToGrid w:val="0"/>
              <w:ind w:left="0" w:leftChars="0" w:right="0" w:rightChars="0" w:firstLineChars="100"/>
              <w:rPr>
                <w:rFonts w:ascii="宋体" w:hAnsi="宋体" w:cs="宋体"/>
                <w:color w:val="000000"/>
                <w:kern w:val="0"/>
                <w:sz w:val="18"/>
                <w:szCs w:val="18"/>
                <w:highlight w:val="none"/>
              </w:rPr>
            </w:pPr>
          </w:p>
        </w:tc>
        <w:tc>
          <w:tcPr>
            <w:tcW w:w="1440" w:type="dxa"/>
            <w:vMerge w:val="continue"/>
            <w:tcBorders>
              <w:left w:val="single" w:color="000000" w:sz="4" w:space="0"/>
              <w:right w:val="single" w:color="000000" w:sz="4" w:space="0"/>
            </w:tcBorders>
            <w:shd w:val="clear" w:color="auto" w:fill="FFFFFF"/>
            <w:vAlign w:val="center"/>
          </w:tcPr>
          <w:p w14:paraId="44432B80">
            <w:pPr>
              <w:widowControl/>
              <w:snapToGrid w:val="0"/>
              <w:ind w:left="0" w:leftChars="0" w:right="0" w:rightChars="0" w:firstLineChars="10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7D97507B">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5BB86B95">
            <w:pPr>
              <w:widowControl/>
              <w:spacing w:line="30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配备人员的专业不能满足合同要求，或各专职人员不稳定</w:t>
            </w:r>
          </w:p>
        </w:tc>
        <w:tc>
          <w:tcPr>
            <w:tcW w:w="614" w:type="dxa"/>
            <w:tcBorders>
              <w:bottom w:val="single" w:color="000000" w:sz="4" w:space="0"/>
              <w:right w:val="single" w:color="000000" w:sz="4" w:space="0"/>
            </w:tcBorders>
            <w:shd w:val="clear" w:color="auto" w:fill="FFFFFF"/>
            <w:vAlign w:val="center"/>
          </w:tcPr>
          <w:p w14:paraId="30955C6C">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0</w:t>
            </w:r>
          </w:p>
        </w:tc>
        <w:tc>
          <w:tcPr>
            <w:tcW w:w="772" w:type="dxa"/>
            <w:tcBorders>
              <w:bottom w:val="single" w:color="000000" w:sz="4" w:space="0"/>
              <w:right w:val="single" w:color="000000" w:sz="4" w:space="0"/>
            </w:tcBorders>
            <w:shd w:val="clear" w:color="auto" w:fill="FFFFFF"/>
            <w:vAlign w:val="center"/>
          </w:tcPr>
          <w:p w14:paraId="0EB0D162">
            <w:pPr>
              <w:widowControl/>
              <w:snapToGrid w:val="0"/>
              <w:spacing w:line="240" w:lineRule="atLeast"/>
              <w:rPr>
                <w:rFonts w:ascii="宋体" w:hAnsi="宋体" w:cs="宋体"/>
                <w:color w:val="000000"/>
                <w:kern w:val="0"/>
                <w:sz w:val="18"/>
                <w:szCs w:val="18"/>
                <w:highlight w:val="none"/>
              </w:rPr>
            </w:pPr>
          </w:p>
        </w:tc>
      </w:tr>
      <w:tr w14:paraId="3B35E345">
        <w:tblPrEx>
          <w:tblCellMar>
            <w:top w:w="0" w:type="dxa"/>
            <w:left w:w="108" w:type="dxa"/>
            <w:bottom w:w="0" w:type="dxa"/>
            <w:right w:w="108" w:type="dxa"/>
          </w:tblCellMar>
        </w:tblPrEx>
        <w:trPr>
          <w:trHeight w:val="279" w:hRule="atLeast"/>
        </w:trPr>
        <w:tc>
          <w:tcPr>
            <w:tcW w:w="720" w:type="dxa"/>
            <w:vMerge w:val="restart"/>
            <w:tcBorders>
              <w:left w:val="single" w:color="000000" w:sz="4" w:space="0"/>
              <w:right w:val="single" w:color="000000" w:sz="4" w:space="0"/>
            </w:tcBorders>
            <w:shd w:val="clear" w:color="auto" w:fill="FFFFFF"/>
            <w:vAlign w:val="center"/>
          </w:tcPr>
          <w:p w14:paraId="1D261DDB">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w:t>
            </w:r>
          </w:p>
        </w:tc>
        <w:tc>
          <w:tcPr>
            <w:tcW w:w="1440" w:type="dxa"/>
            <w:vMerge w:val="restart"/>
            <w:tcBorders>
              <w:left w:val="single" w:color="000000" w:sz="4" w:space="0"/>
              <w:right w:val="single" w:color="000000" w:sz="4" w:space="0"/>
            </w:tcBorders>
            <w:shd w:val="clear" w:color="auto" w:fill="FFFFFF"/>
            <w:vAlign w:val="center"/>
          </w:tcPr>
          <w:p w14:paraId="563D0FD8">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人员数量</w:t>
            </w:r>
          </w:p>
        </w:tc>
        <w:tc>
          <w:tcPr>
            <w:tcW w:w="720" w:type="dxa"/>
            <w:vMerge w:val="restart"/>
            <w:tcBorders>
              <w:left w:val="single" w:color="000000" w:sz="4" w:space="0"/>
              <w:right w:val="single" w:color="000000" w:sz="4" w:space="0"/>
            </w:tcBorders>
            <w:shd w:val="clear" w:color="auto" w:fill="FFFFFF"/>
            <w:vAlign w:val="center"/>
          </w:tcPr>
          <w:p w14:paraId="7555A4B2">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c>
          <w:tcPr>
            <w:tcW w:w="4860" w:type="dxa"/>
            <w:tcBorders>
              <w:bottom w:val="single" w:color="000000" w:sz="4" w:space="0"/>
              <w:right w:val="single" w:color="000000" w:sz="4" w:space="0"/>
            </w:tcBorders>
            <w:shd w:val="clear" w:color="auto" w:fill="FFFFFF"/>
            <w:vAlign w:val="center"/>
          </w:tcPr>
          <w:p w14:paraId="129A4B42">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组织架构合理，配备人员固定、分工明确、工作高效，人员数量满足合同要求并能及时到位</w:t>
            </w:r>
          </w:p>
        </w:tc>
        <w:tc>
          <w:tcPr>
            <w:tcW w:w="614" w:type="dxa"/>
            <w:tcBorders>
              <w:bottom w:val="single" w:color="000000" w:sz="4" w:space="0"/>
              <w:right w:val="single" w:color="000000" w:sz="4" w:space="0"/>
            </w:tcBorders>
            <w:shd w:val="clear" w:color="auto" w:fill="FFFFFF"/>
            <w:vAlign w:val="center"/>
          </w:tcPr>
          <w:p w14:paraId="5CD7B9E2">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c>
          <w:tcPr>
            <w:tcW w:w="772" w:type="dxa"/>
            <w:vMerge w:val="restart"/>
            <w:tcBorders>
              <w:right w:val="single" w:color="000000" w:sz="4" w:space="0"/>
            </w:tcBorders>
            <w:shd w:val="clear" w:color="auto" w:fill="FFFFFF"/>
            <w:vAlign w:val="center"/>
          </w:tcPr>
          <w:p w14:paraId="3EB40DAB">
            <w:pPr>
              <w:widowControl/>
              <w:snapToGrid w:val="0"/>
              <w:spacing w:line="240" w:lineRule="atLeast"/>
              <w:rPr>
                <w:rFonts w:ascii="宋体" w:hAnsi="宋体" w:cs="宋体"/>
                <w:color w:val="000000"/>
                <w:kern w:val="0"/>
                <w:sz w:val="18"/>
                <w:szCs w:val="18"/>
                <w:highlight w:val="none"/>
              </w:rPr>
            </w:pPr>
          </w:p>
        </w:tc>
      </w:tr>
      <w:tr w14:paraId="516DC241">
        <w:tblPrEx>
          <w:tblCellMar>
            <w:top w:w="0" w:type="dxa"/>
            <w:left w:w="108" w:type="dxa"/>
            <w:bottom w:w="0" w:type="dxa"/>
            <w:right w:w="108" w:type="dxa"/>
          </w:tblCellMar>
        </w:tblPrEx>
        <w:trPr>
          <w:trHeight w:val="279" w:hRule="atLeast"/>
        </w:trPr>
        <w:tc>
          <w:tcPr>
            <w:tcW w:w="720" w:type="dxa"/>
            <w:vMerge w:val="continue"/>
            <w:tcBorders>
              <w:left w:val="single" w:color="000000" w:sz="4" w:space="0"/>
              <w:right w:val="single" w:color="000000" w:sz="4" w:space="0"/>
            </w:tcBorders>
            <w:shd w:val="clear" w:color="auto" w:fill="FFFFFF"/>
            <w:vAlign w:val="center"/>
          </w:tcPr>
          <w:p w14:paraId="4A2E26DE">
            <w:pPr>
              <w:widowControl/>
              <w:snapToGrid w:val="0"/>
              <w:rPr>
                <w:rFonts w:ascii="宋体" w:hAnsi="宋体" w:cs="宋体"/>
                <w:color w:val="000000"/>
                <w:kern w:val="0"/>
                <w:sz w:val="18"/>
                <w:szCs w:val="18"/>
                <w:highlight w:val="none"/>
              </w:rPr>
            </w:pPr>
          </w:p>
        </w:tc>
        <w:tc>
          <w:tcPr>
            <w:tcW w:w="1440" w:type="dxa"/>
            <w:vMerge w:val="continue"/>
            <w:tcBorders>
              <w:left w:val="single" w:color="000000" w:sz="4" w:space="0"/>
              <w:right w:val="single" w:color="000000" w:sz="4" w:space="0"/>
            </w:tcBorders>
            <w:shd w:val="clear" w:color="auto" w:fill="FFFFFF"/>
            <w:vAlign w:val="center"/>
          </w:tcPr>
          <w:p w14:paraId="05280278">
            <w:pPr>
              <w:widowControl/>
              <w:snapToGrid w:val="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73172723">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4214D6F2">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组织架构基本合理，配备人员基本固定、分工基本明确、工作基本高效，人员数量基本满足合同要求并能到位</w:t>
            </w:r>
          </w:p>
        </w:tc>
        <w:tc>
          <w:tcPr>
            <w:tcW w:w="614" w:type="dxa"/>
            <w:tcBorders>
              <w:bottom w:val="single" w:color="000000" w:sz="4" w:space="0"/>
              <w:right w:val="single" w:color="000000" w:sz="4" w:space="0"/>
            </w:tcBorders>
            <w:shd w:val="clear" w:color="auto" w:fill="FFFFFF"/>
            <w:vAlign w:val="center"/>
          </w:tcPr>
          <w:p w14:paraId="45C33FBA">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772" w:type="dxa"/>
            <w:vMerge w:val="continue"/>
            <w:tcBorders>
              <w:right w:val="single" w:color="000000" w:sz="4" w:space="0"/>
            </w:tcBorders>
            <w:shd w:val="clear" w:color="auto" w:fill="FFFFFF"/>
            <w:vAlign w:val="center"/>
          </w:tcPr>
          <w:p w14:paraId="0ADBFE34">
            <w:pPr>
              <w:widowControl/>
              <w:snapToGrid w:val="0"/>
              <w:spacing w:line="240" w:lineRule="atLeast"/>
              <w:rPr>
                <w:rFonts w:ascii="宋体" w:hAnsi="宋体" w:cs="宋体"/>
                <w:color w:val="000000"/>
                <w:kern w:val="0"/>
                <w:sz w:val="18"/>
                <w:szCs w:val="18"/>
                <w:highlight w:val="none"/>
              </w:rPr>
            </w:pPr>
          </w:p>
        </w:tc>
      </w:tr>
      <w:tr w14:paraId="5B113DBF">
        <w:tblPrEx>
          <w:tblCellMar>
            <w:top w:w="0" w:type="dxa"/>
            <w:left w:w="108" w:type="dxa"/>
            <w:bottom w:w="0" w:type="dxa"/>
            <w:right w:w="108" w:type="dxa"/>
          </w:tblCellMar>
        </w:tblPrEx>
        <w:trPr>
          <w:trHeight w:val="279" w:hRule="atLeast"/>
        </w:trPr>
        <w:tc>
          <w:tcPr>
            <w:tcW w:w="720" w:type="dxa"/>
            <w:vMerge w:val="continue"/>
            <w:tcBorders>
              <w:left w:val="single" w:color="000000" w:sz="4" w:space="0"/>
              <w:right w:val="single" w:color="000000" w:sz="4" w:space="0"/>
            </w:tcBorders>
            <w:shd w:val="clear" w:color="auto" w:fill="FFFFFF"/>
            <w:vAlign w:val="center"/>
          </w:tcPr>
          <w:p w14:paraId="256EF1BF">
            <w:pPr>
              <w:widowControl/>
              <w:snapToGrid w:val="0"/>
              <w:rPr>
                <w:rFonts w:ascii="宋体" w:hAnsi="宋体" w:cs="宋体"/>
                <w:color w:val="000000"/>
                <w:kern w:val="0"/>
                <w:sz w:val="18"/>
                <w:szCs w:val="18"/>
                <w:highlight w:val="none"/>
              </w:rPr>
            </w:pPr>
          </w:p>
        </w:tc>
        <w:tc>
          <w:tcPr>
            <w:tcW w:w="1440" w:type="dxa"/>
            <w:vMerge w:val="continue"/>
            <w:tcBorders>
              <w:left w:val="single" w:color="000000" w:sz="4" w:space="0"/>
              <w:right w:val="single" w:color="000000" w:sz="4" w:space="0"/>
            </w:tcBorders>
            <w:shd w:val="clear" w:color="auto" w:fill="FFFFFF"/>
            <w:vAlign w:val="center"/>
          </w:tcPr>
          <w:p w14:paraId="37F0B713">
            <w:pPr>
              <w:widowControl/>
              <w:snapToGrid w:val="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6467DD90">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584476D5">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组织架构不合理，配备人员不稳定、分工不明确、工作拖拉，人员数量不能满足合同要求或不能到位</w:t>
            </w:r>
          </w:p>
        </w:tc>
        <w:tc>
          <w:tcPr>
            <w:tcW w:w="614" w:type="dxa"/>
            <w:tcBorders>
              <w:bottom w:val="single" w:color="000000" w:sz="4" w:space="0"/>
              <w:right w:val="single" w:color="000000" w:sz="4" w:space="0"/>
            </w:tcBorders>
            <w:shd w:val="clear" w:color="auto" w:fill="FFFFFF"/>
            <w:vAlign w:val="center"/>
          </w:tcPr>
          <w:p w14:paraId="26DA2673">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0</w:t>
            </w:r>
          </w:p>
        </w:tc>
        <w:tc>
          <w:tcPr>
            <w:tcW w:w="772" w:type="dxa"/>
            <w:vMerge w:val="continue"/>
            <w:tcBorders>
              <w:right w:val="single" w:color="000000" w:sz="4" w:space="0"/>
            </w:tcBorders>
            <w:shd w:val="clear" w:color="auto" w:fill="FFFFFF"/>
            <w:vAlign w:val="center"/>
          </w:tcPr>
          <w:p w14:paraId="18685E64">
            <w:pPr>
              <w:widowControl/>
              <w:snapToGrid w:val="0"/>
              <w:spacing w:line="240" w:lineRule="atLeast"/>
              <w:rPr>
                <w:rFonts w:ascii="宋体" w:hAnsi="宋体" w:cs="宋体"/>
                <w:color w:val="000000"/>
                <w:kern w:val="0"/>
                <w:sz w:val="18"/>
                <w:szCs w:val="18"/>
                <w:highlight w:val="none"/>
              </w:rPr>
            </w:pPr>
          </w:p>
        </w:tc>
      </w:tr>
      <w:tr w14:paraId="2BA5E35F">
        <w:tblPrEx>
          <w:tblCellMar>
            <w:top w:w="0" w:type="dxa"/>
            <w:left w:w="108" w:type="dxa"/>
            <w:bottom w:w="0" w:type="dxa"/>
            <w:right w:w="108" w:type="dxa"/>
          </w:tblCellMar>
        </w:tblPrEx>
        <w:trPr>
          <w:trHeight w:val="277" w:hRule="atLeast"/>
        </w:trPr>
        <w:tc>
          <w:tcPr>
            <w:tcW w:w="720" w:type="dxa"/>
            <w:tcBorders>
              <w:left w:val="single" w:color="000000" w:sz="4" w:space="0"/>
              <w:bottom w:val="single" w:color="000000" w:sz="4" w:space="0"/>
              <w:right w:val="single" w:color="000000" w:sz="4" w:space="0"/>
            </w:tcBorders>
            <w:vAlign w:val="center"/>
          </w:tcPr>
          <w:p w14:paraId="2CB40CD6">
            <w:pPr>
              <w:widowControl/>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二</w:t>
            </w:r>
          </w:p>
        </w:tc>
        <w:tc>
          <w:tcPr>
            <w:tcW w:w="1440" w:type="dxa"/>
            <w:tcBorders>
              <w:bottom w:val="single" w:color="000000" w:sz="4" w:space="0"/>
              <w:right w:val="single" w:color="000000" w:sz="4" w:space="0"/>
            </w:tcBorders>
            <w:shd w:val="clear" w:color="auto" w:fill="FFFFFF"/>
            <w:vAlign w:val="center"/>
          </w:tcPr>
          <w:p w14:paraId="62DA8E9A">
            <w:pPr>
              <w:widowControl/>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履约质量</w:t>
            </w:r>
          </w:p>
        </w:tc>
        <w:tc>
          <w:tcPr>
            <w:tcW w:w="720" w:type="dxa"/>
            <w:tcBorders>
              <w:bottom w:val="single" w:color="000000" w:sz="4" w:space="0"/>
              <w:right w:val="single" w:color="000000" w:sz="4" w:space="0"/>
            </w:tcBorders>
            <w:shd w:val="clear" w:color="auto" w:fill="FFFFFF"/>
            <w:vAlign w:val="center"/>
          </w:tcPr>
          <w:p w14:paraId="25ADF3A3">
            <w:pPr>
              <w:widowControl/>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50</w:t>
            </w:r>
          </w:p>
        </w:tc>
        <w:tc>
          <w:tcPr>
            <w:tcW w:w="4860" w:type="dxa"/>
            <w:tcBorders>
              <w:bottom w:val="single" w:color="000000" w:sz="4" w:space="0"/>
              <w:right w:val="single" w:color="000000" w:sz="4" w:space="0"/>
            </w:tcBorders>
            <w:shd w:val="clear" w:color="auto" w:fill="FFFFFF"/>
            <w:vAlign w:val="center"/>
          </w:tcPr>
          <w:p w14:paraId="59241639">
            <w:pPr>
              <w:widowControl/>
              <w:snapToGrid w:val="0"/>
              <w:spacing w:line="280" w:lineRule="exact"/>
              <w:rPr>
                <w:rFonts w:ascii="宋体" w:hAnsi="宋体" w:cs="宋体"/>
                <w:b/>
                <w:bCs/>
                <w:color w:val="000000"/>
                <w:kern w:val="0"/>
                <w:sz w:val="18"/>
                <w:szCs w:val="18"/>
                <w:highlight w:val="none"/>
              </w:rPr>
            </w:pPr>
          </w:p>
        </w:tc>
        <w:tc>
          <w:tcPr>
            <w:tcW w:w="614" w:type="dxa"/>
            <w:tcBorders>
              <w:bottom w:val="single" w:color="000000" w:sz="4" w:space="0"/>
              <w:right w:val="single" w:color="000000" w:sz="4" w:space="0"/>
            </w:tcBorders>
            <w:shd w:val="clear" w:color="auto" w:fill="FFFFFF"/>
            <w:vAlign w:val="center"/>
          </w:tcPr>
          <w:p w14:paraId="0040F262">
            <w:pPr>
              <w:widowControl/>
              <w:snapToGrid w:val="0"/>
              <w:spacing w:line="240" w:lineRule="atLeast"/>
              <w:rPr>
                <w:rFonts w:ascii="宋体" w:hAnsi="宋体" w:cs="宋体"/>
                <w:b/>
                <w:bCs/>
                <w:color w:val="000000"/>
                <w:kern w:val="0"/>
                <w:sz w:val="18"/>
                <w:szCs w:val="18"/>
                <w:highlight w:val="none"/>
              </w:rPr>
            </w:pPr>
          </w:p>
        </w:tc>
        <w:tc>
          <w:tcPr>
            <w:tcW w:w="772" w:type="dxa"/>
            <w:tcBorders>
              <w:bottom w:val="single" w:color="000000" w:sz="4" w:space="0"/>
              <w:right w:val="single" w:color="000000" w:sz="4" w:space="0"/>
            </w:tcBorders>
            <w:shd w:val="clear" w:color="auto" w:fill="FFFFFF"/>
            <w:vAlign w:val="center"/>
          </w:tcPr>
          <w:p w14:paraId="3E058EBE">
            <w:pPr>
              <w:widowControl/>
              <w:snapToGrid w:val="0"/>
              <w:spacing w:line="240" w:lineRule="atLeast"/>
              <w:rPr>
                <w:rFonts w:ascii="宋体" w:hAnsi="宋体" w:cs="宋体"/>
                <w:b/>
                <w:bCs/>
                <w:color w:val="000000"/>
                <w:kern w:val="0"/>
                <w:sz w:val="18"/>
                <w:szCs w:val="18"/>
                <w:highlight w:val="none"/>
              </w:rPr>
            </w:pPr>
          </w:p>
        </w:tc>
      </w:tr>
      <w:tr w14:paraId="155EA207">
        <w:tblPrEx>
          <w:tblCellMar>
            <w:top w:w="0" w:type="dxa"/>
            <w:left w:w="108" w:type="dxa"/>
            <w:bottom w:w="0" w:type="dxa"/>
            <w:right w:w="108" w:type="dxa"/>
          </w:tblCellMar>
        </w:tblPrEx>
        <w:trPr>
          <w:trHeight w:val="70" w:hRule="atLeast"/>
        </w:trPr>
        <w:tc>
          <w:tcPr>
            <w:tcW w:w="720" w:type="dxa"/>
            <w:vMerge w:val="restart"/>
            <w:tcBorders>
              <w:left w:val="single" w:color="000000" w:sz="4" w:space="0"/>
              <w:right w:val="single" w:color="000000" w:sz="4" w:space="0"/>
            </w:tcBorders>
            <w:vAlign w:val="center"/>
          </w:tcPr>
          <w:p w14:paraId="669F7422">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c>
          <w:tcPr>
            <w:tcW w:w="1440" w:type="dxa"/>
            <w:vMerge w:val="restart"/>
            <w:tcBorders>
              <w:top w:val="single" w:color="000000" w:sz="4" w:space="0"/>
              <w:left w:val="single" w:color="000000" w:sz="4" w:space="0"/>
              <w:right w:val="single" w:color="000000" w:sz="4" w:space="0"/>
            </w:tcBorders>
            <w:shd w:val="clear" w:color="auto" w:fill="FFFFFF"/>
            <w:vAlign w:val="center"/>
          </w:tcPr>
          <w:p w14:paraId="16E79672">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招标方案编制</w:t>
            </w:r>
          </w:p>
        </w:tc>
        <w:tc>
          <w:tcPr>
            <w:tcW w:w="720" w:type="dxa"/>
            <w:vMerge w:val="restart"/>
            <w:tcBorders>
              <w:left w:val="single" w:color="000000" w:sz="4" w:space="0"/>
              <w:right w:val="single" w:color="000000" w:sz="4" w:space="0"/>
            </w:tcBorders>
            <w:shd w:val="clear" w:color="auto" w:fill="FFFFFF"/>
            <w:vAlign w:val="center"/>
          </w:tcPr>
          <w:p w14:paraId="00215EC0">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4860" w:type="dxa"/>
            <w:tcBorders>
              <w:bottom w:val="single" w:color="000000" w:sz="4" w:space="0"/>
              <w:right w:val="single" w:color="000000" w:sz="4" w:space="0"/>
            </w:tcBorders>
            <w:shd w:val="clear" w:color="auto" w:fill="FFFFFF"/>
            <w:vAlign w:val="center"/>
          </w:tcPr>
          <w:p w14:paraId="1DEAA050">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能够认真充分地根据招标工程的特点和需要依法编制招标方案，且方案全面、系统、合理、公正</w:t>
            </w:r>
          </w:p>
        </w:tc>
        <w:tc>
          <w:tcPr>
            <w:tcW w:w="614" w:type="dxa"/>
            <w:tcBorders>
              <w:bottom w:val="single" w:color="000000" w:sz="4" w:space="0"/>
              <w:right w:val="single" w:color="000000" w:sz="4" w:space="0"/>
            </w:tcBorders>
            <w:shd w:val="clear" w:color="auto" w:fill="FFFFFF"/>
            <w:vAlign w:val="center"/>
          </w:tcPr>
          <w:p w14:paraId="54DAC6A4">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772" w:type="dxa"/>
            <w:vMerge w:val="restart"/>
            <w:tcBorders>
              <w:right w:val="single" w:color="000000" w:sz="4" w:space="0"/>
            </w:tcBorders>
            <w:shd w:val="clear" w:color="auto" w:fill="FFFFFF"/>
            <w:vAlign w:val="center"/>
          </w:tcPr>
          <w:p w14:paraId="2DFA0642">
            <w:pPr>
              <w:widowControl/>
              <w:snapToGrid w:val="0"/>
              <w:spacing w:line="240" w:lineRule="atLeast"/>
              <w:rPr>
                <w:rFonts w:ascii="宋体" w:hAnsi="宋体" w:cs="宋体"/>
                <w:color w:val="000000"/>
                <w:kern w:val="0"/>
                <w:sz w:val="20"/>
                <w:szCs w:val="20"/>
                <w:highlight w:val="none"/>
              </w:rPr>
            </w:pPr>
          </w:p>
        </w:tc>
      </w:tr>
      <w:tr w14:paraId="0FE5D690">
        <w:tblPrEx>
          <w:tblCellMar>
            <w:top w:w="0" w:type="dxa"/>
            <w:left w:w="108" w:type="dxa"/>
            <w:bottom w:w="0" w:type="dxa"/>
            <w:right w:w="108" w:type="dxa"/>
          </w:tblCellMar>
        </w:tblPrEx>
        <w:trPr>
          <w:trHeight w:val="70" w:hRule="atLeast"/>
        </w:trPr>
        <w:tc>
          <w:tcPr>
            <w:tcW w:w="720" w:type="dxa"/>
            <w:vMerge w:val="continue"/>
            <w:tcBorders>
              <w:left w:val="single" w:color="000000" w:sz="4" w:space="0"/>
              <w:right w:val="single" w:color="000000" w:sz="4" w:space="0"/>
            </w:tcBorders>
            <w:vAlign w:val="center"/>
          </w:tcPr>
          <w:p w14:paraId="5056E163">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shd w:val="clear" w:color="auto" w:fill="FFFFFF"/>
            <w:vAlign w:val="center"/>
          </w:tcPr>
          <w:p w14:paraId="444CE65B">
            <w:pPr>
              <w:widowControl/>
              <w:snapToGrid w:val="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5AA07131">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113A3E0C">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基本能够认真充分地根据招标工程的特点和需要依法编制招标方案，且方案全面、系统、合理、公正</w:t>
            </w:r>
          </w:p>
        </w:tc>
        <w:tc>
          <w:tcPr>
            <w:tcW w:w="614" w:type="dxa"/>
            <w:tcBorders>
              <w:bottom w:val="single" w:color="000000" w:sz="4" w:space="0"/>
              <w:right w:val="single" w:color="000000" w:sz="4" w:space="0"/>
            </w:tcBorders>
            <w:shd w:val="clear" w:color="auto" w:fill="FFFFFF"/>
            <w:vAlign w:val="center"/>
          </w:tcPr>
          <w:p w14:paraId="0730D702">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72" w:type="dxa"/>
            <w:vMerge w:val="continue"/>
            <w:tcBorders>
              <w:right w:val="single" w:color="000000" w:sz="4" w:space="0"/>
            </w:tcBorders>
            <w:shd w:val="clear" w:color="auto" w:fill="FFFFFF"/>
            <w:vAlign w:val="center"/>
          </w:tcPr>
          <w:p w14:paraId="15E7CA7F">
            <w:pPr>
              <w:widowControl/>
              <w:snapToGrid w:val="0"/>
              <w:spacing w:line="240" w:lineRule="atLeast"/>
              <w:rPr>
                <w:rFonts w:ascii="宋体" w:hAnsi="宋体" w:cs="宋体"/>
                <w:color w:val="000000"/>
                <w:kern w:val="0"/>
                <w:sz w:val="20"/>
                <w:szCs w:val="20"/>
                <w:highlight w:val="none"/>
              </w:rPr>
            </w:pPr>
          </w:p>
        </w:tc>
      </w:tr>
      <w:tr w14:paraId="1BDFA96B">
        <w:tblPrEx>
          <w:tblCellMar>
            <w:top w:w="0" w:type="dxa"/>
            <w:left w:w="108" w:type="dxa"/>
            <w:bottom w:w="0" w:type="dxa"/>
            <w:right w:w="108" w:type="dxa"/>
          </w:tblCellMar>
        </w:tblPrEx>
        <w:trPr>
          <w:trHeight w:val="70" w:hRule="atLeast"/>
        </w:trPr>
        <w:tc>
          <w:tcPr>
            <w:tcW w:w="720" w:type="dxa"/>
            <w:vMerge w:val="continue"/>
            <w:tcBorders>
              <w:left w:val="single" w:color="000000" w:sz="4" w:space="0"/>
              <w:right w:val="single" w:color="000000" w:sz="4" w:space="0"/>
            </w:tcBorders>
            <w:vAlign w:val="center"/>
          </w:tcPr>
          <w:p w14:paraId="10132950">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shd w:val="clear" w:color="auto" w:fill="FFFFFF"/>
            <w:vAlign w:val="center"/>
          </w:tcPr>
          <w:p w14:paraId="3EDC20F7">
            <w:pPr>
              <w:widowControl/>
              <w:snapToGrid w:val="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1B448DF8">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6C6DD558">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不能够根据招标工程的特点和需要依法编制招标方案，或方案不全面、不系统、不合理、不公正</w:t>
            </w:r>
          </w:p>
        </w:tc>
        <w:tc>
          <w:tcPr>
            <w:tcW w:w="614" w:type="dxa"/>
            <w:tcBorders>
              <w:bottom w:val="single" w:color="000000" w:sz="4" w:space="0"/>
              <w:right w:val="single" w:color="000000" w:sz="4" w:space="0"/>
            </w:tcBorders>
            <w:shd w:val="clear" w:color="auto" w:fill="FFFFFF"/>
            <w:vAlign w:val="center"/>
          </w:tcPr>
          <w:p w14:paraId="68AE1A63">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72" w:type="dxa"/>
            <w:vMerge w:val="continue"/>
            <w:tcBorders>
              <w:right w:val="single" w:color="000000" w:sz="4" w:space="0"/>
            </w:tcBorders>
            <w:shd w:val="clear" w:color="auto" w:fill="FFFFFF"/>
            <w:vAlign w:val="center"/>
          </w:tcPr>
          <w:p w14:paraId="02280640">
            <w:pPr>
              <w:widowControl/>
              <w:snapToGrid w:val="0"/>
              <w:spacing w:line="240" w:lineRule="atLeast"/>
              <w:rPr>
                <w:rFonts w:ascii="宋体" w:hAnsi="宋体" w:cs="宋体"/>
                <w:color w:val="000000"/>
                <w:kern w:val="0"/>
                <w:sz w:val="20"/>
                <w:szCs w:val="20"/>
                <w:highlight w:val="none"/>
              </w:rPr>
            </w:pPr>
          </w:p>
        </w:tc>
      </w:tr>
      <w:tr w14:paraId="0D697CC6">
        <w:tblPrEx>
          <w:tblCellMar>
            <w:top w:w="0" w:type="dxa"/>
            <w:left w:w="108" w:type="dxa"/>
            <w:bottom w:w="0" w:type="dxa"/>
            <w:right w:w="108" w:type="dxa"/>
          </w:tblCellMar>
        </w:tblPrEx>
        <w:trPr>
          <w:trHeight w:val="300" w:hRule="atLeast"/>
        </w:trPr>
        <w:tc>
          <w:tcPr>
            <w:tcW w:w="720" w:type="dxa"/>
            <w:vMerge w:val="restart"/>
            <w:tcBorders>
              <w:top w:val="single" w:color="000000" w:sz="4" w:space="0"/>
              <w:left w:val="single" w:color="000000" w:sz="4" w:space="0"/>
              <w:right w:val="single" w:color="000000" w:sz="4" w:space="0"/>
            </w:tcBorders>
            <w:vAlign w:val="center"/>
          </w:tcPr>
          <w:p w14:paraId="539CD6A2">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1440" w:type="dxa"/>
            <w:vMerge w:val="restart"/>
            <w:tcBorders>
              <w:top w:val="single" w:color="000000" w:sz="4" w:space="0"/>
              <w:left w:val="single" w:color="000000" w:sz="4" w:space="0"/>
              <w:right w:val="single" w:color="000000" w:sz="4" w:space="0"/>
            </w:tcBorders>
            <w:shd w:val="clear" w:color="auto" w:fill="FFFFFF"/>
            <w:vAlign w:val="center"/>
          </w:tcPr>
          <w:p w14:paraId="2BB89727">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招标文件编制</w:t>
            </w:r>
          </w:p>
        </w:tc>
        <w:tc>
          <w:tcPr>
            <w:tcW w:w="720" w:type="dxa"/>
            <w:vMerge w:val="restart"/>
            <w:tcBorders>
              <w:left w:val="single" w:color="000000" w:sz="4" w:space="0"/>
              <w:right w:val="single" w:color="000000" w:sz="4" w:space="0"/>
            </w:tcBorders>
            <w:shd w:val="clear" w:color="auto" w:fill="FFFFFF"/>
            <w:vAlign w:val="center"/>
          </w:tcPr>
          <w:p w14:paraId="0B5FAA88">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4860" w:type="dxa"/>
            <w:tcBorders>
              <w:bottom w:val="single" w:color="000000" w:sz="4" w:space="0"/>
              <w:right w:val="single" w:color="000000" w:sz="4" w:space="0"/>
            </w:tcBorders>
            <w:shd w:val="clear" w:color="auto" w:fill="FFFFFF"/>
            <w:vAlign w:val="center"/>
          </w:tcPr>
          <w:p w14:paraId="542CC4B3">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能够认真负责地根据招标工程的特点和需要，参照示范文本依法编制招标文件，且招标文件详细、具体，满足招标投标要求</w:t>
            </w:r>
          </w:p>
        </w:tc>
        <w:tc>
          <w:tcPr>
            <w:tcW w:w="614" w:type="dxa"/>
            <w:tcBorders>
              <w:bottom w:val="single" w:color="000000" w:sz="4" w:space="0"/>
              <w:right w:val="single" w:color="000000" w:sz="4" w:space="0"/>
            </w:tcBorders>
            <w:shd w:val="clear" w:color="auto" w:fill="FFFFFF"/>
            <w:vAlign w:val="center"/>
          </w:tcPr>
          <w:p w14:paraId="6A6E05CF">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772" w:type="dxa"/>
            <w:vMerge w:val="restart"/>
            <w:tcBorders>
              <w:right w:val="single" w:color="000000" w:sz="4" w:space="0"/>
            </w:tcBorders>
            <w:shd w:val="clear" w:color="auto" w:fill="FFFFFF"/>
            <w:vAlign w:val="center"/>
          </w:tcPr>
          <w:p w14:paraId="6FCF41B4">
            <w:pPr>
              <w:widowControl/>
              <w:snapToGrid w:val="0"/>
              <w:spacing w:line="240" w:lineRule="atLeast"/>
              <w:rPr>
                <w:rFonts w:ascii="宋体" w:hAnsi="宋体" w:cs="宋体"/>
                <w:color w:val="000000"/>
                <w:kern w:val="0"/>
                <w:sz w:val="20"/>
                <w:szCs w:val="20"/>
                <w:highlight w:val="none"/>
              </w:rPr>
            </w:pPr>
          </w:p>
        </w:tc>
      </w:tr>
      <w:tr w14:paraId="40B55A22">
        <w:tblPrEx>
          <w:tblCellMar>
            <w:top w:w="0" w:type="dxa"/>
            <w:left w:w="108" w:type="dxa"/>
            <w:bottom w:w="0" w:type="dxa"/>
            <w:right w:w="108" w:type="dxa"/>
          </w:tblCellMar>
        </w:tblPrEx>
        <w:trPr>
          <w:trHeight w:val="315" w:hRule="atLeast"/>
        </w:trPr>
        <w:tc>
          <w:tcPr>
            <w:tcW w:w="720" w:type="dxa"/>
            <w:vMerge w:val="continue"/>
            <w:tcBorders>
              <w:top w:val="single" w:color="000000" w:sz="4" w:space="0"/>
              <w:left w:val="single" w:color="000000" w:sz="4" w:space="0"/>
              <w:right w:val="single" w:color="000000" w:sz="4" w:space="0"/>
            </w:tcBorders>
            <w:vAlign w:val="center"/>
          </w:tcPr>
          <w:p w14:paraId="36E19AFC">
            <w:pPr>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shd w:val="clear" w:color="auto" w:fill="FFFFFF"/>
            <w:vAlign w:val="center"/>
          </w:tcPr>
          <w:p w14:paraId="02F44A88">
            <w:pPr>
              <w:snapToGrid w:val="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42321816">
            <w:pPr>
              <w:widowControl/>
              <w:snapToGrid w:val="0"/>
              <w:rPr>
                <w:rFonts w:ascii="宋体" w:hAnsi="宋体" w:cs="宋体"/>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2678890A">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基本能够认真负责地根据招标工程的特点和需要，参照示范文本依法编制招标文件，且招标文件详细、具体，满足招标投标要求</w:t>
            </w:r>
          </w:p>
        </w:tc>
        <w:tc>
          <w:tcPr>
            <w:tcW w:w="614" w:type="dxa"/>
            <w:tcBorders>
              <w:top w:val="single" w:color="000000" w:sz="4" w:space="0"/>
              <w:bottom w:val="single" w:color="000000" w:sz="4" w:space="0"/>
              <w:right w:val="single" w:color="000000" w:sz="4" w:space="0"/>
            </w:tcBorders>
            <w:shd w:val="clear" w:color="auto" w:fill="FFFFFF"/>
            <w:vAlign w:val="center"/>
          </w:tcPr>
          <w:p w14:paraId="6E635867">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72" w:type="dxa"/>
            <w:vMerge w:val="continue"/>
            <w:tcBorders>
              <w:right w:val="single" w:color="000000" w:sz="4" w:space="0"/>
            </w:tcBorders>
            <w:shd w:val="clear" w:color="auto" w:fill="FFFFFF"/>
            <w:vAlign w:val="center"/>
          </w:tcPr>
          <w:p w14:paraId="5987ECE3">
            <w:pPr>
              <w:widowControl/>
              <w:snapToGrid w:val="0"/>
              <w:spacing w:line="240" w:lineRule="atLeast"/>
              <w:rPr>
                <w:rFonts w:ascii="宋体" w:hAnsi="宋体" w:cs="宋体"/>
                <w:color w:val="000000"/>
                <w:kern w:val="0"/>
                <w:sz w:val="20"/>
                <w:szCs w:val="20"/>
                <w:highlight w:val="none"/>
              </w:rPr>
            </w:pPr>
          </w:p>
        </w:tc>
      </w:tr>
      <w:tr w14:paraId="5831D0C2">
        <w:tblPrEx>
          <w:tblCellMar>
            <w:top w:w="0" w:type="dxa"/>
            <w:left w:w="108" w:type="dxa"/>
            <w:bottom w:w="0" w:type="dxa"/>
            <w:right w:w="108" w:type="dxa"/>
          </w:tblCellMar>
        </w:tblPrEx>
        <w:trPr>
          <w:trHeight w:val="403" w:hRule="atLeast"/>
        </w:trPr>
        <w:tc>
          <w:tcPr>
            <w:tcW w:w="720" w:type="dxa"/>
            <w:vMerge w:val="continue"/>
            <w:tcBorders>
              <w:top w:val="single" w:color="000000" w:sz="4" w:space="0"/>
              <w:left w:val="single" w:color="000000" w:sz="4" w:space="0"/>
              <w:right w:val="single" w:color="000000" w:sz="4" w:space="0"/>
            </w:tcBorders>
            <w:vAlign w:val="center"/>
          </w:tcPr>
          <w:p w14:paraId="08043E3B">
            <w:pPr>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shd w:val="clear" w:color="auto" w:fill="FFFFFF"/>
            <w:vAlign w:val="center"/>
          </w:tcPr>
          <w:p w14:paraId="0169190F">
            <w:pPr>
              <w:snapToGrid w:val="0"/>
              <w:rPr>
                <w:rFonts w:ascii="宋体" w:hAnsi="宋体" w:cs="宋体"/>
                <w:color w:val="000000"/>
                <w:kern w:val="0"/>
                <w:sz w:val="18"/>
                <w:szCs w:val="18"/>
                <w:highlight w:val="none"/>
              </w:rPr>
            </w:pPr>
          </w:p>
        </w:tc>
        <w:tc>
          <w:tcPr>
            <w:tcW w:w="720" w:type="dxa"/>
            <w:vMerge w:val="continue"/>
            <w:tcBorders>
              <w:left w:val="single" w:color="000000" w:sz="4" w:space="0"/>
              <w:right w:val="single" w:color="000000" w:sz="4" w:space="0"/>
            </w:tcBorders>
            <w:shd w:val="clear" w:color="auto" w:fill="FFFFFF"/>
            <w:vAlign w:val="center"/>
          </w:tcPr>
          <w:p w14:paraId="12E12E5E">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5583347B">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不能够根据招标工程的特点和需要，未依法编制招标文件，且招标文件不详细、不具体，不能满足招标投标要求</w:t>
            </w:r>
          </w:p>
        </w:tc>
        <w:tc>
          <w:tcPr>
            <w:tcW w:w="614" w:type="dxa"/>
            <w:tcBorders>
              <w:bottom w:val="single" w:color="000000" w:sz="4" w:space="0"/>
              <w:right w:val="single" w:color="000000" w:sz="4" w:space="0"/>
            </w:tcBorders>
            <w:shd w:val="clear" w:color="auto" w:fill="FFFFFF"/>
            <w:vAlign w:val="center"/>
          </w:tcPr>
          <w:p w14:paraId="16E751E2">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72" w:type="dxa"/>
            <w:vMerge w:val="continue"/>
            <w:tcBorders>
              <w:right w:val="single" w:color="000000" w:sz="4" w:space="0"/>
            </w:tcBorders>
            <w:shd w:val="clear" w:color="auto" w:fill="FFFFFF"/>
            <w:vAlign w:val="center"/>
          </w:tcPr>
          <w:p w14:paraId="66315E59">
            <w:pPr>
              <w:widowControl/>
              <w:snapToGrid w:val="0"/>
              <w:spacing w:line="240" w:lineRule="atLeast"/>
              <w:rPr>
                <w:rFonts w:ascii="宋体" w:hAnsi="宋体" w:cs="宋体"/>
                <w:color w:val="000000"/>
                <w:kern w:val="0"/>
                <w:sz w:val="20"/>
                <w:szCs w:val="20"/>
                <w:highlight w:val="none"/>
              </w:rPr>
            </w:pPr>
          </w:p>
        </w:tc>
      </w:tr>
      <w:tr w14:paraId="2588BA79">
        <w:tblPrEx>
          <w:tblCellMar>
            <w:top w:w="0" w:type="dxa"/>
            <w:left w:w="108" w:type="dxa"/>
            <w:bottom w:w="0" w:type="dxa"/>
            <w:right w:w="108" w:type="dxa"/>
          </w:tblCellMar>
        </w:tblPrEx>
        <w:trPr>
          <w:trHeight w:val="171" w:hRule="atLeast"/>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61156AE6">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14:paraId="6A16B6DE">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招标投标业务办理</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320F8D24">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4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3C761">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能够认真熟练地按照</w:t>
            </w:r>
            <w:r>
              <w:rPr>
                <w:rFonts w:hint="eastAsia" w:ascii="宋体" w:hAnsi="宋体" w:cs="宋体"/>
                <w:color w:val="000000"/>
                <w:sz w:val="18"/>
                <w:szCs w:val="18"/>
                <w:highlight w:val="none"/>
              </w:rPr>
              <w:t>招标投标备案办事流程及时完成相关备案工作</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6A698">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D8255E">
            <w:pPr>
              <w:widowControl/>
              <w:snapToGrid w:val="0"/>
              <w:spacing w:line="240" w:lineRule="atLeast"/>
              <w:rPr>
                <w:rFonts w:ascii="宋体" w:hAnsi="宋体" w:cs="宋体"/>
                <w:color w:val="000000"/>
                <w:kern w:val="0"/>
                <w:sz w:val="20"/>
                <w:szCs w:val="20"/>
                <w:highlight w:val="none"/>
              </w:rPr>
            </w:pPr>
          </w:p>
        </w:tc>
      </w:tr>
      <w:tr w14:paraId="3CD7D6AA">
        <w:tblPrEx>
          <w:tblCellMar>
            <w:top w:w="0" w:type="dxa"/>
            <w:left w:w="108" w:type="dxa"/>
            <w:bottom w:w="0" w:type="dxa"/>
            <w:right w:w="108" w:type="dxa"/>
          </w:tblCellMar>
        </w:tblPrEx>
        <w:trPr>
          <w:trHeight w:val="303"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DA282E5">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14:paraId="4377D9E5">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5E8218C0">
            <w:pPr>
              <w:widowControl/>
              <w:snapToGrid w:val="0"/>
              <w:rPr>
                <w:rFonts w:ascii="宋体" w:hAnsi="宋体" w:cs="宋体"/>
                <w:color w:val="000000"/>
                <w:kern w:val="0"/>
                <w:sz w:val="18"/>
                <w:szCs w:val="18"/>
                <w:highlight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7D529">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基本能够认真熟练地按照</w:t>
            </w:r>
            <w:r>
              <w:rPr>
                <w:rFonts w:hint="eastAsia" w:ascii="宋体" w:hAnsi="宋体" w:cs="宋体"/>
                <w:color w:val="000000"/>
                <w:sz w:val="18"/>
                <w:szCs w:val="18"/>
                <w:highlight w:val="none"/>
              </w:rPr>
              <w:t>招标投标备案办事流程及时完成相关备案工作</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82983">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35464B">
            <w:pPr>
              <w:widowControl/>
              <w:snapToGrid w:val="0"/>
              <w:spacing w:line="240" w:lineRule="atLeast"/>
              <w:rPr>
                <w:rFonts w:ascii="宋体" w:hAnsi="宋体" w:cs="宋体"/>
                <w:color w:val="000000"/>
                <w:kern w:val="0"/>
                <w:sz w:val="20"/>
                <w:szCs w:val="20"/>
                <w:highlight w:val="none"/>
              </w:rPr>
            </w:pPr>
          </w:p>
        </w:tc>
      </w:tr>
      <w:tr w14:paraId="3114BB47">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73AF15D">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14:paraId="2B60F7F9">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EC09058">
            <w:pPr>
              <w:widowControl/>
              <w:snapToGrid w:val="0"/>
              <w:rPr>
                <w:rFonts w:ascii="宋体" w:hAnsi="宋体" w:cs="宋体"/>
                <w:color w:val="000000"/>
                <w:kern w:val="0"/>
                <w:sz w:val="18"/>
                <w:szCs w:val="18"/>
                <w:highlight w:val="none"/>
              </w:rPr>
            </w:pPr>
          </w:p>
        </w:tc>
        <w:tc>
          <w:tcPr>
            <w:tcW w:w="4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1A496">
            <w:pPr>
              <w:widowControl/>
              <w:spacing w:line="240" w:lineRule="atLeast"/>
              <w:rPr>
                <w:rFonts w:hint="eastAsia" w:ascii="宋体" w:hAnsi="宋体" w:cs="宋体"/>
                <w:color w:val="000000"/>
                <w:sz w:val="18"/>
                <w:szCs w:val="18"/>
                <w:highlight w:val="none"/>
              </w:rPr>
            </w:pPr>
            <w:r>
              <w:rPr>
                <w:rFonts w:hint="eastAsia" w:ascii="宋体" w:hAnsi="宋体" w:cs="宋体"/>
                <w:color w:val="000000"/>
                <w:kern w:val="0"/>
                <w:sz w:val="18"/>
                <w:szCs w:val="18"/>
                <w:highlight w:val="none"/>
              </w:rPr>
              <w:t>不能够按照</w:t>
            </w:r>
            <w:r>
              <w:rPr>
                <w:rFonts w:hint="eastAsia" w:ascii="宋体" w:hAnsi="宋体" w:cs="宋体"/>
                <w:color w:val="000000"/>
                <w:sz w:val="18"/>
                <w:szCs w:val="18"/>
                <w:highlight w:val="none"/>
              </w:rPr>
              <w:t>招标投标备案办事流程及时完成相关备案工作</w:t>
            </w:r>
          </w:p>
          <w:p w14:paraId="1D7B57D3">
            <w:pPr>
              <w:pStyle w:val="24"/>
              <w:rPr>
                <w:highlight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62188">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9C6C13">
            <w:pPr>
              <w:widowControl/>
              <w:snapToGrid w:val="0"/>
              <w:spacing w:line="240" w:lineRule="atLeast"/>
              <w:rPr>
                <w:rFonts w:ascii="宋体" w:hAnsi="宋体" w:cs="宋体"/>
                <w:color w:val="000000"/>
                <w:kern w:val="0"/>
                <w:sz w:val="20"/>
                <w:szCs w:val="20"/>
                <w:highlight w:val="none"/>
              </w:rPr>
            </w:pPr>
          </w:p>
        </w:tc>
      </w:tr>
    </w:tbl>
    <w:tbl>
      <w:tblPr>
        <w:tblStyle w:val="54"/>
        <w:tblpPr w:leftFromText="180" w:rightFromText="180" w:vertAnchor="text" w:horzAnchor="page" w:tblpX="1565" w:tblpY="118"/>
        <w:tblOverlap w:val="never"/>
        <w:tblW w:w="9115" w:type="dxa"/>
        <w:tblInd w:w="108" w:type="dxa"/>
        <w:tblLayout w:type="fixed"/>
        <w:tblCellMar>
          <w:top w:w="0" w:type="dxa"/>
          <w:left w:w="108" w:type="dxa"/>
          <w:bottom w:w="0" w:type="dxa"/>
          <w:right w:w="108" w:type="dxa"/>
        </w:tblCellMar>
      </w:tblPr>
      <w:tblGrid>
        <w:gridCol w:w="720"/>
        <w:gridCol w:w="1440"/>
        <w:gridCol w:w="720"/>
        <w:gridCol w:w="4860"/>
        <w:gridCol w:w="625"/>
        <w:gridCol w:w="750"/>
      </w:tblGrid>
      <w:tr w14:paraId="0551B230">
        <w:tblPrEx>
          <w:tblCellMar>
            <w:top w:w="0" w:type="dxa"/>
            <w:left w:w="108" w:type="dxa"/>
            <w:bottom w:w="0" w:type="dxa"/>
            <w:right w:w="108" w:type="dxa"/>
          </w:tblCellMar>
        </w:tblPrEx>
        <w:trPr>
          <w:trHeight w:val="70" w:hRule="atLeast"/>
        </w:trPr>
        <w:tc>
          <w:tcPr>
            <w:tcW w:w="720" w:type="dxa"/>
            <w:vMerge w:val="restart"/>
            <w:tcBorders>
              <w:top w:val="single" w:color="000000" w:sz="4" w:space="0"/>
              <w:left w:val="single" w:color="000000" w:sz="4" w:space="0"/>
              <w:right w:val="single" w:color="000000" w:sz="4" w:space="0"/>
            </w:tcBorders>
            <w:vAlign w:val="center"/>
          </w:tcPr>
          <w:p w14:paraId="59D7CF36">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w:t>
            </w:r>
          </w:p>
        </w:tc>
        <w:tc>
          <w:tcPr>
            <w:tcW w:w="1440" w:type="dxa"/>
            <w:vMerge w:val="restart"/>
            <w:tcBorders>
              <w:top w:val="single" w:color="000000" w:sz="4" w:space="0"/>
              <w:left w:val="single" w:color="000000" w:sz="4" w:space="0"/>
              <w:right w:val="single" w:color="000000" w:sz="4" w:space="0"/>
            </w:tcBorders>
            <w:vAlign w:val="center"/>
          </w:tcPr>
          <w:p w14:paraId="6D52DBF7">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招标投标程序</w:t>
            </w:r>
          </w:p>
        </w:tc>
        <w:tc>
          <w:tcPr>
            <w:tcW w:w="720" w:type="dxa"/>
            <w:vMerge w:val="restart"/>
            <w:tcBorders>
              <w:top w:val="single" w:color="000000" w:sz="4" w:space="0"/>
              <w:left w:val="single" w:color="000000" w:sz="4" w:space="0"/>
              <w:right w:val="single" w:color="000000" w:sz="4" w:space="0"/>
            </w:tcBorders>
            <w:vAlign w:val="center"/>
          </w:tcPr>
          <w:p w14:paraId="53CC7CC9">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4860" w:type="dxa"/>
            <w:tcBorders>
              <w:top w:val="single" w:color="000000" w:sz="4" w:space="0"/>
              <w:bottom w:val="single" w:color="000000" w:sz="4" w:space="0"/>
              <w:right w:val="single" w:color="000000" w:sz="4" w:space="0"/>
            </w:tcBorders>
            <w:shd w:val="clear" w:color="auto" w:fill="FFFFFF"/>
            <w:vAlign w:val="center"/>
          </w:tcPr>
          <w:p w14:paraId="5122B62F">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程序安排严谨、合理，过程符合规定，未出现因程序工作疏漏导致招标工作进展迟缓或受到投诉</w:t>
            </w:r>
          </w:p>
        </w:tc>
        <w:tc>
          <w:tcPr>
            <w:tcW w:w="625" w:type="dxa"/>
            <w:tcBorders>
              <w:top w:val="single" w:color="000000" w:sz="4" w:space="0"/>
              <w:bottom w:val="single" w:color="000000" w:sz="4" w:space="0"/>
              <w:right w:val="single" w:color="000000" w:sz="4" w:space="0"/>
            </w:tcBorders>
            <w:shd w:val="clear" w:color="auto" w:fill="FFFFFF"/>
            <w:vAlign w:val="center"/>
          </w:tcPr>
          <w:p w14:paraId="3BD58A22">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750" w:type="dxa"/>
            <w:tcBorders>
              <w:top w:val="single" w:color="000000" w:sz="4" w:space="0"/>
              <w:bottom w:val="single" w:color="000000" w:sz="4" w:space="0"/>
              <w:right w:val="single" w:color="000000" w:sz="4" w:space="0"/>
            </w:tcBorders>
            <w:shd w:val="clear" w:color="auto" w:fill="FFFFFF"/>
            <w:vAlign w:val="center"/>
          </w:tcPr>
          <w:p w14:paraId="28890704">
            <w:pPr>
              <w:widowControl/>
              <w:snapToGrid w:val="0"/>
              <w:spacing w:line="240" w:lineRule="atLeast"/>
              <w:rPr>
                <w:rFonts w:ascii="宋体" w:hAnsi="宋体" w:cs="宋体"/>
                <w:color w:val="000000"/>
                <w:kern w:val="0"/>
                <w:sz w:val="18"/>
                <w:szCs w:val="18"/>
                <w:highlight w:val="none"/>
              </w:rPr>
            </w:pPr>
          </w:p>
        </w:tc>
      </w:tr>
      <w:tr w14:paraId="04481184">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7E80C271">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74331977">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3D9E1796">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7BCC6764">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程序安排基本严谨、合理，过程符合规定，未出现因程序工作疏漏导致招标工作进展迟缓或受到投诉</w:t>
            </w:r>
          </w:p>
        </w:tc>
        <w:tc>
          <w:tcPr>
            <w:tcW w:w="625" w:type="dxa"/>
            <w:tcBorders>
              <w:bottom w:val="single" w:color="000000" w:sz="4" w:space="0"/>
              <w:right w:val="single" w:color="000000" w:sz="4" w:space="0"/>
            </w:tcBorders>
            <w:shd w:val="clear" w:color="auto" w:fill="FFFFFF"/>
            <w:vAlign w:val="center"/>
          </w:tcPr>
          <w:p w14:paraId="10C5B69B">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50" w:type="dxa"/>
            <w:tcBorders>
              <w:bottom w:val="single" w:color="000000" w:sz="4" w:space="0"/>
              <w:right w:val="single" w:color="000000" w:sz="4" w:space="0"/>
            </w:tcBorders>
            <w:shd w:val="clear" w:color="auto" w:fill="FFFFFF"/>
            <w:vAlign w:val="center"/>
          </w:tcPr>
          <w:p w14:paraId="2A29F0B7">
            <w:pPr>
              <w:widowControl/>
              <w:snapToGrid w:val="0"/>
              <w:spacing w:line="240" w:lineRule="atLeast"/>
              <w:rPr>
                <w:rFonts w:ascii="宋体" w:hAnsi="宋体" w:cs="宋体"/>
                <w:color w:val="000000"/>
                <w:kern w:val="0"/>
                <w:sz w:val="20"/>
                <w:szCs w:val="20"/>
                <w:highlight w:val="none"/>
              </w:rPr>
            </w:pPr>
          </w:p>
        </w:tc>
      </w:tr>
      <w:tr w14:paraId="565A8F94">
        <w:tblPrEx>
          <w:tblCellMar>
            <w:top w:w="0" w:type="dxa"/>
            <w:left w:w="108" w:type="dxa"/>
            <w:bottom w:w="0" w:type="dxa"/>
            <w:right w:w="108" w:type="dxa"/>
          </w:tblCellMar>
        </w:tblPrEx>
        <w:trPr>
          <w:trHeight w:val="640" w:hRule="atLeast"/>
        </w:trPr>
        <w:tc>
          <w:tcPr>
            <w:tcW w:w="720" w:type="dxa"/>
            <w:vMerge w:val="continue"/>
            <w:tcBorders>
              <w:top w:val="single" w:color="000000" w:sz="4" w:space="0"/>
              <w:left w:val="single" w:color="000000" w:sz="4" w:space="0"/>
              <w:right w:val="single" w:color="000000" w:sz="4" w:space="0"/>
            </w:tcBorders>
            <w:vAlign w:val="center"/>
          </w:tcPr>
          <w:p w14:paraId="66F28D5A">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3D843801">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7DAB1409">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4D6D2E38">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程序安排不严谨、合理，违反程序，严重影响招标</w:t>
            </w:r>
            <w:r>
              <w:rPr>
                <w:rFonts w:hint="eastAsia" w:ascii="宋体" w:hAnsi="宋体" w:cs="宋体"/>
                <w:color w:val="000000"/>
                <w:sz w:val="18"/>
                <w:szCs w:val="18"/>
                <w:highlight w:val="none"/>
              </w:rPr>
              <w:t>投标</w:t>
            </w:r>
            <w:r>
              <w:rPr>
                <w:rFonts w:hint="eastAsia" w:ascii="宋体" w:hAnsi="宋体" w:cs="宋体"/>
                <w:color w:val="000000"/>
                <w:kern w:val="0"/>
                <w:sz w:val="18"/>
                <w:szCs w:val="18"/>
                <w:highlight w:val="none"/>
              </w:rPr>
              <w:t>进度，或因工作疏漏造成招标失败</w:t>
            </w:r>
          </w:p>
        </w:tc>
        <w:tc>
          <w:tcPr>
            <w:tcW w:w="625" w:type="dxa"/>
            <w:tcBorders>
              <w:bottom w:val="single" w:color="000000" w:sz="4" w:space="0"/>
              <w:right w:val="single" w:color="000000" w:sz="4" w:space="0"/>
            </w:tcBorders>
            <w:shd w:val="clear" w:color="auto" w:fill="FFFFFF"/>
            <w:vAlign w:val="center"/>
          </w:tcPr>
          <w:p w14:paraId="5D839993">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50" w:type="dxa"/>
            <w:tcBorders>
              <w:bottom w:val="single" w:color="000000" w:sz="4" w:space="0"/>
              <w:right w:val="single" w:color="000000" w:sz="4" w:space="0"/>
            </w:tcBorders>
            <w:shd w:val="clear" w:color="auto" w:fill="FFFFFF"/>
            <w:vAlign w:val="center"/>
          </w:tcPr>
          <w:p w14:paraId="305D2DCE">
            <w:pPr>
              <w:widowControl/>
              <w:snapToGrid w:val="0"/>
              <w:spacing w:line="240" w:lineRule="atLeast"/>
              <w:rPr>
                <w:rFonts w:ascii="宋体" w:hAnsi="宋体" w:cs="宋体"/>
                <w:color w:val="000000"/>
                <w:kern w:val="0"/>
                <w:sz w:val="20"/>
                <w:szCs w:val="20"/>
                <w:highlight w:val="none"/>
              </w:rPr>
            </w:pPr>
          </w:p>
        </w:tc>
      </w:tr>
      <w:tr w14:paraId="6FC7C61D">
        <w:tblPrEx>
          <w:tblCellMar>
            <w:top w:w="0" w:type="dxa"/>
            <w:left w:w="108" w:type="dxa"/>
            <w:bottom w:w="0" w:type="dxa"/>
            <w:right w:w="108" w:type="dxa"/>
          </w:tblCellMar>
        </w:tblPrEx>
        <w:trPr>
          <w:trHeight w:val="70" w:hRule="atLeast"/>
        </w:trPr>
        <w:tc>
          <w:tcPr>
            <w:tcW w:w="720" w:type="dxa"/>
            <w:vMerge w:val="restart"/>
            <w:tcBorders>
              <w:top w:val="single" w:color="000000" w:sz="4" w:space="0"/>
              <w:left w:val="single" w:color="000000" w:sz="4" w:space="0"/>
              <w:right w:val="single" w:color="000000" w:sz="4" w:space="0"/>
            </w:tcBorders>
            <w:vAlign w:val="center"/>
          </w:tcPr>
          <w:p w14:paraId="63B3F87B">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8</w:t>
            </w:r>
          </w:p>
        </w:tc>
        <w:tc>
          <w:tcPr>
            <w:tcW w:w="1440" w:type="dxa"/>
            <w:vMerge w:val="restart"/>
            <w:tcBorders>
              <w:top w:val="single" w:color="000000" w:sz="4" w:space="0"/>
              <w:left w:val="single" w:color="000000" w:sz="4" w:space="0"/>
              <w:right w:val="single" w:color="000000" w:sz="4" w:space="0"/>
            </w:tcBorders>
            <w:vAlign w:val="center"/>
          </w:tcPr>
          <w:p w14:paraId="00631B72">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招标投标资料</w:t>
            </w:r>
          </w:p>
        </w:tc>
        <w:tc>
          <w:tcPr>
            <w:tcW w:w="720" w:type="dxa"/>
            <w:vMerge w:val="restart"/>
            <w:tcBorders>
              <w:top w:val="single" w:color="000000" w:sz="4" w:space="0"/>
              <w:left w:val="single" w:color="000000" w:sz="4" w:space="0"/>
              <w:right w:val="single" w:color="000000" w:sz="4" w:space="0"/>
            </w:tcBorders>
            <w:vAlign w:val="center"/>
          </w:tcPr>
          <w:p w14:paraId="20E09205">
            <w:pP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4860" w:type="dxa"/>
            <w:tcBorders>
              <w:top w:val="single" w:color="000000" w:sz="4" w:space="0"/>
              <w:bottom w:val="single" w:color="000000" w:sz="4" w:space="0"/>
              <w:right w:val="single" w:color="000000" w:sz="4" w:space="0"/>
            </w:tcBorders>
            <w:shd w:val="clear" w:color="auto" w:fill="FFFFFF"/>
            <w:vAlign w:val="center"/>
          </w:tcPr>
          <w:p w14:paraId="2E4EEB49">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能够按照有关规定和合同要求提交完整的招标投标资料</w:t>
            </w:r>
          </w:p>
        </w:tc>
        <w:tc>
          <w:tcPr>
            <w:tcW w:w="625" w:type="dxa"/>
            <w:tcBorders>
              <w:top w:val="single" w:color="000000" w:sz="4" w:space="0"/>
              <w:bottom w:val="single" w:color="000000" w:sz="4" w:space="0"/>
              <w:right w:val="single" w:color="000000" w:sz="4" w:space="0"/>
            </w:tcBorders>
            <w:shd w:val="clear" w:color="auto" w:fill="FFFFFF"/>
            <w:vAlign w:val="center"/>
          </w:tcPr>
          <w:p w14:paraId="4503827A">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750" w:type="dxa"/>
            <w:tcBorders>
              <w:top w:val="single" w:color="000000" w:sz="4" w:space="0"/>
              <w:bottom w:val="single" w:color="000000" w:sz="4" w:space="0"/>
              <w:right w:val="single" w:color="000000" w:sz="4" w:space="0"/>
            </w:tcBorders>
            <w:shd w:val="clear" w:color="auto" w:fill="FFFFFF"/>
            <w:vAlign w:val="center"/>
          </w:tcPr>
          <w:p w14:paraId="767FEA53">
            <w:pPr>
              <w:widowControl/>
              <w:snapToGrid w:val="0"/>
              <w:spacing w:line="240" w:lineRule="atLeast"/>
              <w:rPr>
                <w:rFonts w:ascii="宋体" w:hAnsi="宋体" w:cs="宋体"/>
                <w:color w:val="000000"/>
                <w:kern w:val="0"/>
                <w:sz w:val="20"/>
                <w:szCs w:val="20"/>
                <w:highlight w:val="none"/>
              </w:rPr>
            </w:pPr>
          </w:p>
        </w:tc>
      </w:tr>
      <w:tr w14:paraId="4B40366C">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034DAB22">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4DE90F31">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522DFD14">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5B2C4E54">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基本能够按照有关规定和合同要求提交招标投标资料</w:t>
            </w:r>
          </w:p>
        </w:tc>
        <w:tc>
          <w:tcPr>
            <w:tcW w:w="625" w:type="dxa"/>
            <w:tcBorders>
              <w:bottom w:val="single" w:color="000000" w:sz="4" w:space="0"/>
              <w:right w:val="single" w:color="000000" w:sz="4" w:space="0"/>
            </w:tcBorders>
            <w:shd w:val="clear" w:color="auto" w:fill="FFFFFF"/>
            <w:vAlign w:val="center"/>
          </w:tcPr>
          <w:p w14:paraId="3D65EE8B">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50" w:type="dxa"/>
            <w:tcBorders>
              <w:bottom w:val="single" w:color="000000" w:sz="4" w:space="0"/>
              <w:right w:val="single" w:color="000000" w:sz="4" w:space="0"/>
            </w:tcBorders>
            <w:shd w:val="clear" w:color="auto" w:fill="FFFFFF"/>
            <w:vAlign w:val="center"/>
          </w:tcPr>
          <w:p w14:paraId="49ACE7C1">
            <w:pPr>
              <w:widowControl/>
              <w:snapToGrid w:val="0"/>
              <w:spacing w:line="240" w:lineRule="atLeast"/>
              <w:rPr>
                <w:rFonts w:ascii="宋体" w:hAnsi="宋体" w:cs="宋体"/>
                <w:color w:val="000000"/>
                <w:kern w:val="0"/>
                <w:sz w:val="20"/>
                <w:szCs w:val="20"/>
                <w:highlight w:val="none"/>
              </w:rPr>
            </w:pPr>
          </w:p>
        </w:tc>
      </w:tr>
      <w:tr w14:paraId="160A8D89">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79F733F9">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5E2C4099">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7C10D3D7">
            <w:pPr>
              <w:widowControl/>
              <w:snapToGrid w:val="0"/>
              <w:rPr>
                <w:rFonts w:ascii="宋体" w:hAnsi="宋体" w:cs="宋体"/>
                <w:color w:val="000000"/>
                <w:kern w:val="0"/>
                <w:sz w:val="18"/>
                <w:szCs w:val="18"/>
                <w:highlight w:val="none"/>
              </w:rPr>
            </w:pPr>
          </w:p>
        </w:tc>
        <w:tc>
          <w:tcPr>
            <w:tcW w:w="4860" w:type="dxa"/>
            <w:tcBorders>
              <w:bottom w:val="single" w:color="000000" w:sz="4" w:space="0"/>
              <w:right w:val="single" w:color="000000" w:sz="4" w:space="0"/>
            </w:tcBorders>
            <w:shd w:val="clear" w:color="auto" w:fill="FFFFFF"/>
            <w:vAlign w:val="center"/>
          </w:tcPr>
          <w:p w14:paraId="1014577D">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不能够按照有关规定和合同要求提交完整的招标投标资料</w:t>
            </w:r>
          </w:p>
        </w:tc>
        <w:tc>
          <w:tcPr>
            <w:tcW w:w="625" w:type="dxa"/>
            <w:tcBorders>
              <w:bottom w:val="single" w:color="000000" w:sz="4" w:space="0"/>
              <w:right w:val="single" w:color="000000" w:sz="4" w:space="0"/>
            </w:tcBorders>
            <w:shd w:val="clear" w:color="auto" w:fill="FFFFFF"/>
            <w:vAlign w:val="center"/>
          </w:tcPr>
          <w:p w14:paraId="7B433229">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50" w:type="dxa"/>
            <w:tcBorders>
              <w:bottom w:val="single" w:color="000000" w:sz="4" w:space="0"/>
              <w:right w:val="single" w:color="000000" w:sz="4" w:space="0"/>
            </w:tcBorders>
            <w:shd w:val="clear" w:color="auto" w:fill="FFFFFF"/>
            <w:vAlign w:val="center"/>
          </w:tcPr>
          <w:p w14:paraId="3931D470">
            <w:pPr>
              <w:widowControl/>
              <w:snapToGrid w:val="0"/>
              <w:spacing w:line="240" w:lineRule="atLeast"/>
              <w:rPr>
                <w:rFonts w:ascii="宋体" w:hAnsi="宋体" w:cs="宋体"/>
                <w:color w:val="000000"/>
                <w:kern w:val="0"/>
                <w:sz w:val="20"/>
                <w:szCs w:val="20"/>
                <w:highlight w:val="none"/>
              </w:rPr>
            </w:pPr>
          </w:p>
        </w:tc>
      </w:tr>
      <w:tr w14:paraId="5DA4F424">
        <w:tblPrEx>
          <w:tblCellMar>
            <w:top w:w="0" w:type="dxa"/>
            <w:left w:w="108" w:type="dxa"/>
            <w:bottom w:w="0" w:type="dxa"/>
            <w:right w:w="108" w:type="dxa"/>
          </w:tblCellMar>
        </w:tblPrEx>
        <w:trPr>
          <w:trHeight w:val="70" w:hRule="atLeast"/>
        </w:trPr>
        <w:tc>
          <w:tcPr>
            <w:tcW w:w="720" w:type="dxa"/>
            <w:tcBorders>
              <w:left w:val="single" w:color="000000" w:sz="4" w:space="0"/>
              <w:bottom w:val="single" w:color="000000" w:sz="4" w:space="0"/>
              <w:right w:val="single" w:color="000000" w:sz="4" w:space="0"/>
            </w:tcBorders>
            <w:vAlign w:val="center"/>
          </w:tcPr>
          <w:p w14:paraId="2E28FF10">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三</w:t>
            </w:r>
          </w:p>
        </w:tc>
        <w:tc>
          <w:tcPr>
            <w:tcW w:w="1440" w:type="dxa"/>
            <w:tcBorders>
              <w:left w:val="single" w:color="000000" w:sz="4" w:space="0"/>
              <w:bottom w:val="single" w:color="000000" w:sz="4" w:space="0"/>
              <w:right w:val="single" w:color="000000" w:sz="4" w:space="0"/>
            </w:tcBorders>
            <w:vAlign w:val="center"/>
          </w:tcPr>
          <w:p w14:paraId="626CDDB0">
            <w:pPr>
              <w:widowControl/>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履约时限</w:t>
            </w:r>
          </w:p>
        </w:tc>
        <w:tc>
          <w:tcPr>
            <w:tcW w:w="720" w:type="dxa"/>
            <w:tcBorders>
              <w:left w:val="single" w:color="000000" w:sz="4" w:space="0"/>
              <w:bottom w:val="single" w:color="000000" w:sz="4" w:space="0"/>
              <w:right w:val="single" w:color="000000" w:sz="4" w:space="0"/>
            </w:tcBorders>
            <w:vAlign w:val="center"/>
          </w:tcPr>
          <w:p w14:paraId="669D4099">
            <w:pPr>
              <w:widowControl/>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10</w:t>
            </w:r>
          </w:p>
        </w:tc>
        <w:tc>
          <w:tcPr>
            <w:tcW w:w="4860" w:type="dxa"/>
            <w:tcBorders>
              <w:bottom w:val="single" w:color="000000" w:sz="4" w:space="0"/>
              <w:right w:val="single" w:color="000000" w:sz="4" w:space="0"/>
            </w:tcBorders>
            <w:shd w:val="clear" w:color="auto" w:fill="FFFFFF"/>
            <w:vAlign w:val="center"/>
          </w:tcPr>
          <w:p w14:paraId="50FE29C3">
            <w:pPr>
              <w:widowControl/>
              <w:snapToGrid w:val="0"/>
              <w:spacing w:line="240" w:lineRule="atLeast"/>
              <w:rPr>
                <w:rFonts w:ascii="宋体" w:hAnsi="宋体" w:cs="宋体"/>
                <w:b/>
                <w:color w:val="000000"/>
                <w:kern w:val="0"/>
                <w:sz w:val="18"/>
                <w:szCs w:val="18"/>
                <w:highlight w:val="none"/>
              </w:rPr>
            </w:pPr>
          </w:p>
        </w:tc>
        <w:tc>
          <w:tcPr>
            <w:tcW w:w="625" w:type="dxa"/>
            <w:tcBorders>
              <w:bottom w:val="single" w:color="000000" w:sz="4" w:space="0"/>
              <w:right w:val="single" w:color="000000" w:sz="4" w:space="0"/>
            </w:tcBorders>
            <w:shd w:val="clear" w:color="auto" w:fill="FFFFFF"/>
            <w:vAlign w:val="center"/>
          </w:tcPr>
          <w:p w14:paraId="57189CEE">
            <w:pPr>
              <w:widowControl/>
              <w:snapToGrid w:val="0"/>
              <w:spacing w:line="240" w:lineRule="atLeast"/>
              <w:rPr>
                <w:rFonts w:ascii="宋体" w:hAnsi="宋体" w:cs="宋体"/>
                <w:color w:val="000000"/>
                <w:kern w:val="0"/>
                <w:sz w:val="20"/>
                <w:szCs w:val="20"/>
                <w:highlight w:val="none"/>
              </w:rPr>
            </w:pPr>
          </w:p>
        </w:tc>
        <w:tc>
          <w:tcPr>
            <w:tcW w:w="750" w:type="dxa"/>
            <w:tcBorders>
              <w:bottom w:val="single" w:color="000000" w:sz="4" w:space="0"/>
              <w:right w:val="single" w:color="000000" w:sz="4" w:space="0"/>
            </w:tcBorders>
            <w:shd w:val="clear" w:color="auto" w:fill="FFFFFF"/>
            <w:vAlign w:val="center"/>
          </w:tcPr>
          <w:p w14:paraId="2335F144">
            <w:pPr>
              <w:widowControl/>
              <w:snapToGrid w:val="0"/>
              <w:spacing w:line="240" w:lineRule="atLeast"/>
              <w:rPr>
                <w:rFonts w:ascii="宋体" w:hAnsi="宋体" w:cs="宋体"/>
                <w:color w:val="000000"/>
                <w:kern w:val="0"/>
                <w:sz w:val="20"/>
                <w:szCs w:val="20"/>
                <w:highlight w:val="none"/>
              </w:rPr>
            </w:pPr>
          </w:p>
        </w:tc>
      </w:tr>
      <w:tr w14:paraId="39DFF98D">
        <w:tblPrEx>
          <w:tblCellMar>
            <w:top w:w="0" w:type="dxa"/>
            <w:left w:w="108" w:type="dxa"/>
            <w:bottom w:w="0" w:type="dxa"/>
            <w:right w:w="108" w:type="dxa"/>
          </w:tblCellMar>
        </w:tblPrEx>
        <w:trPr>
          <w:trHeight w:val="373" w:hRule="atLeast"/>
        </w:trPr>
        <w:tc>
          <w:tcPr>
            <w:tcW w:w="720" w:type="dxa"/>
            <w:vMerge w:val="restart"/>
            <w:tcBorders>
              <w:top w:val="single" w:color="000000" w:sz="4" w:space="0"/>
              <w:left w:val="single" w:color="000000" w:sz="4" w:space="0"/>
              <w:right w:val="single" w:color="000000" w:sz="4" w:space="0"/>
            </w:tcBorders>
            <w:vAlign w:val="center"/>
          </w:tcPr>
          <w:p w14:paraId="1A16B027">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9</w:t>
            </w:r>
          </w:p>
        </w:tc>
        <w:tc>
          <w:tcPr>
            <w:tcW w:w="1440" w:type="dxa"/>
            <w:vMerge w:val="restart"/>
            <w:tcBorders>
              <w:top w:val="single" w:color="000000" w:sz="4" w:space="0"/>
              <w:left w:val="single" w:color="000000" w:sz="4" w:space="0"/>
              <w:right w:val="single" w:color="000000" w:sz="4" w:space="0"/>
            </w:tcBorders>
            <w:vAlign w:val="center"/>
          </w:tcPr>
          <w:p w14:paraId="383208D7">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时限要求</w:t>
            </w:r>
          </w:p>
        </w:tc>
        <w:tc>
          <w:tcPr>
            <w:tcW w:w="720" w:type="dxa"/>
            <w:vMerge w:val="restart"/>
            <w:tcBorders>
              <w:top w:val="single" w:color="000000" w:sz="4" w:space="0"/>
              <w:left w:val="single" w:color="000000" w:sz="4" w:space="0"/>
              <w:right w:val="single" w:color="000000" w:sz="4" w:space="0"/>
            </w:tcBorders>
            <w:vAlign w:val="center"/>
          </w:tcPr>
          <w:p w14:paraId="09D87ABD">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4860" w:type="dxa"/>
            <w:tcBorders>
              <w:top w:val="single" w:color="000000" w:sz="4" w:space="0"/>
              <w:bottom w:val="single" w:color="000000" w:sz="4" w:space="0"/>
              <w:right w:val="single" w:color="000000" w:sz="4" w:space="0"/>
            </w:tcBorders>
            <w:shd w:val="clear" w:color="auto" w:fill="FFFFFF"/>
            <w:vAlign w:val="center"/>
          </w:tcPr>
          <w:p w14:paraId="007EBCFE">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能够合理地安排招标投标时间，及时主动地按照合同要求完成各阶段的工作</w:t>
            </w:r>
          </w:p>
        </w:tc>
        <w:tc>
          <w:tcPr>
            <w:tcW w:w="625" w:type="dxa"/>
            <w:tcBorders>
              <w:top w:val="single" w:color="000000" w:sz="4" w:space="0"/>
              <w:bottom w:val="single" w:color="000000" w:sz="4" w:space="0"/>
              <w:right w:val="single" w:color="000000" w:sz="4" w:space="0"/>
            </w:tcBorders>
            <w:shd w:val="clear" w:color="auto" w:fill="FFFFFF"/>
            <w:vAlign w:val="center"/>
          </w:tcPr>
          <w:p w14:paraId="1C06F82E">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750" w:type="dxa"/>
            <w:vMerge w:val="restart"/>
            <w:tcBorders>
              <w:top w:val="single" w:color="000000" w:sz="4" w:space="0"/>
              <w:right w:val="single" w:color="000000" w:sz="4" w:space="0"/>
            </w:tcBorders>
            <w:shd w:val="clear" w:color="auto" w:fill="FFFFFF"/>
            <w:vAlign w:val="center"/>
          </w:tcPr>
          <w:p w14:paraId="1C3BF238">
            <w:pPr>
              <w:widowControl/>
              <w:snapToGrid w:val="0"/>
              <w:spacing w:line="240" w:lineRule="atLeast"/>
              <w:rPr>
                <w:rFonts w:ascii="宋体" w:hAnsi="宋体" w:cs="宋体"/>
                <w:color w:val="000000"/>
                <w:kern w:val="0"/>
                <w:sz w:val="18"/>
                <w:szCs w:val="18"/>
                <w:highlight w:val="none"/>
              </w:rPr>
            </w:pPr>
          </w:p>
        </w:tc>
      </w:tr>
      <w:tr w14:paraId="64A92E13">
        <w:tblPrEx>
          <w:tblCellMar>
            <w:top w:w="0" w:type="dxa"/>
            <w:left w:w="108" w:type="dxa"/>
            <w:bottom w:w="0" w:type="dxa"/>
            <w:right w:w="108" w:type="dxa"/>
          </w:tblCellMar>
        </w:tblPrEx>
        <w:trPr>
          <w:trHeight w:val="373" w:hRule="atLeast"/>
        </w:trPr>
        <w:tc>
          <w:tcPr>
            <w:tcW w:w="720" w:type="dxa"/>
            <w:vMerge w:val="continue"/>
            <w:tcBorders>
              <w:top w:val="single" w:color="000000" w:sz="4" w:space="0"/>
              <w:left w:val="single" w:color="000000" w:sz="4" w:space="0"/>
              <w:right w:val="single" w:color="000000" w:sz="4" w:space="0"/>
            </w:tcBorders>
            <w:vAlign w:val="center"/>
          </w:tcPr>
          <w:p w14:paraId="6025495E">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5B6C15EA">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1F3B9CBC">
            <w:pPr>
              <w:widowControl/>
              <w:snapToGrid w:val="0"/>
              <w:rPr>
                <w:rFonts w:ascii="宋体" w:hAnsi="宋体" w:cs="宋体"/>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78EAD818">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基本能够合理地安排招标投标时间，按照合同要求完成各阶段的工作</w:t>
            </w:r>
          </w:p>
        </w:tc>
        <w:tc>
          <w:tcPr>
            <w:tcW w:w="625" w:type="dxa"/>
            <w:tcBorders>
              <w:top w:val="single" w:color="000000" w:sz="4" w:space="0"/>
              <w:bottom w:val="single" w:color="000000" w:sz="4" w:space="0"/>
              <w:right w:val="single" w:color="000000" w:sz="4" w:space="0"/>
            </w:tcBorders>
            <w:shd w:val="clear" w:color="auto" w:fill="FFFFFF"/>
            <w:vAlign w:val="center"/>
          </w:tcPr>
          <w:p w14:paraId="7B2EB72F">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750" w:type="dxa"/>
            <w:vMerge w:val="continue"/>
            <w:tcBorders>
              <w:top w:val="single" w:color="000000" w:sz="4" w:space="0"/>
              <w:right w:val="single" w:color="000000" w:sz="4" w:space="0"/>
            </w:tcBorders>
            <w:shd w:val="clear" w:color="auto" w:fill="FFFFFF"/>
            <w:vAlign w:val="center"/>
          </w:tcPr>
          <w:p w14:paraId="2B777B46">
            <w:pPr>
              <w:widowControl/>
              <w:snapToGrid w:val="0"/>
              <w:spacing w:line="240" w:lineRule="atLeast"/>
              <w:rPr>
                <w:rFonts w:ascii="宋体" w:hAnsi="宋体" w:cs="宋体"/>
                <w:color w:val="000000"/>
                <w:kern w:val="0"/>
                <w:sz w:val="20"/>
                <w:szCs w:val="20"/>
                <w:highlight w:val="none"/>
              </w:rPr>
            </w:pPr>
          </w:p>
        </w:tc>
      </w:tr>
      <w:tr w14:paraId="13B1C9C4">
        <w:tblPrEx>
          <w:tblCellMar>
            <w:top w:w="0" w:type="dxa"/>
            <w:left w:w="108" w:type="dxa"/>
            <w:bottom w:w="0" w:type="dxa"/>
            <w:right w:w="108" w:type="dxa"/>
          </w:tblCellMar>
        </w:tblPrEx>
        <w:trPr>
          <w:trHeight w:val="373" w:hRule="atLeast"/>
        </w:trPr>
        <w:tc>
          <w:tcPr>
            <w:tcW w:w="720" w:type="dxa"/>
            <w:vMerge w:val="continue"/>
            <w:tcBorders>
              <w:top w:val="single" w:color="000000" w:sz="4" w:space="0"/>
              <w:left w:val="single" w:color="000000" w:sz="4" w:space="0"/>
              <w:right w:val="single" w:color="000000" w:sz="4" w:space="0"/>
            </w:tcBorders>
            <w:vAlign w:val="center"/>
          </w:tcPr>
          <w:p w14:paraId="1EAB1056">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0B071C58">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6357430C">
            <w:pPr>
              <w:widowControl/>
              <w:snapToGrid w:val="0"/>
              <w:rPr>
                <w:rFonts w:ascii="宋体" w:hAnsi="宋体" w:cs="宋体"/>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513CB663">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不能够合理地安排招标投标时间，未能按照合同要求完成各阶段的工作</w:t>
            </w:r>
          </w:p>
        </w:tc>
        <w:tc>
          <w:tcPr>
            <w:tcW w:w="625" w:type="dxa"/>
            <w:tcBorders>
              <w:top w:val="single" w:color="000000" w:sz="4" w:space="0"/>
              <w:bottom w:val="single" w:color="000000" w:sz="4" w:space="0"/>
              <w:right w:val="single" w:color="000000" w:sz="4" w:space="0"/>
            </w:tcBorders>
            <w:shd w:val="clear" w:color="auto" w:fill="FFFFFF"/>
            <w:vAlign w:val="center"/>
          </w:tcPr>
          <w:p w14:paraId="52DD03F4">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0</w:t>
            </w:r>
          </w:p>
        </w:tc>
        <w:tc>
          <w:tcPr>
            <w:tcW w:w="750" w:type="dxa"/>
            <w:tcBorders>
              <w:bottom w:val="single" w:color="000000" w:sz="4" w:space="0"/>
              <w:right w:val="single" w:color="000000" w:sz="4" w:space="0"/>
            </w:tcBorders>
            <w:shd w:val="clear" w:color="auto" w:fill="FFFFFF"/>
            <w:vAlign w:val="center"/>
          </w:tcPr>
          <w:p w14:paraId="3BBD424F">
            <w:pPr>
              <w:widowControl/>
              <w:snapToGrid w:val="0"/>
              <w:spacing w:line="240" w:lineRule="atLeast"/>
              <w:rPr>
                <w:rFonts w:ascii="宋体" w:hAnsi="宋体" w:cs="宋体"/>
                <w:color w:val="000000"/>
                <w:kern w:val="0"/>
                <w:sz w:val="20"/>
                <w:szCs w:val="20"/>
                <w:highlight w:val="none"/>
              </w:rPr>
            </w:pPr>
          </w:p>
        </w:tc>
      </w:tr>
      <w:tr w14:paraId="793539AD">
        <w:tblPrEx>
          <w:tblCellMar>
            <w:top w:w="0" w:type="dxa"/>
            <w:left w:w="108" w:type="dxa"/>
            <w:bottom w:w="0" w:type="dxa"/>
            <w:right w:w="108" w:type="dxa"/>
          </w:tblCellMar>
        </w:tblPrEx>
        <w:trPr>
          <w:trHeight w:val="70" w:hRule="atLeast"/>
        </w:trPr>
        <w:tc>
          <w:tcPr>
            <w:tcW w:w="720" w:type="dxa"/>
            <w:tcBorders>
              <w:top w:val="single" w:color="000000" w:sz="4" w:space="0"/>
              <w:left w:val="single" w:color="000000" w:sz="4" w:space="0"/>
              <w:bottom w:val="single" w:color="000000" w:sz="4" w:space="0"/>
              <w:right w:val="single" w:color="000000" w:sz="4" w:space="0"/>
            </w:tcBorders>
            <w:vAlign w:val="center"/>
          </w:tcPr>
          <w:p w14:paraId="6E3680F8">
            <w:pPr>
              <w:widowControl/>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四</w:t>
            </w:r>
          </w:p>
        </w:tc>
        <w:tc>
          <w:tcPr>
            <w:tcW w:w="1440" w:type="dxa"/>
            <w:tcBorders>
              <w:top w:val="single" w:color="000000" w:sz="4" w:space="0"/>
              <w:left w:val="single" w:color="000000" w:sz="4" w:space="0"/>
              <w:bottom w:val="single" w:color="000000" w:sz="4" w:space="0"/>
              <w:right w:val="single" w:color="000000" w:sz="4" w:space="0"/>
            </w:tcBorders>
            <w:vAlign w:val="center"/>
          </w:tcPr>
          <w:p w14:paraId="73BB78A6">
            <w:pPr>
              <w:widowControl/>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配合与服务</w:t>
            </w:r>
          </w:p>
        </w:tc>
        <w:tc>
          <w:tcPr>
            <w:tcW w:w="720" w:type="dxa"/>
            <w:tcBorders>
              <w:top w:val="single" w:color="000000" w:sz="4" w:space="0"/>
              <w:left w:val="single" w:color="000000" w:sz="4" w:space="0"/>
              <w:bottom w:val="single" w:color="000000" w:sz="4" w:space="0"/>
              <w:right w:val="single" w:color="000000" w:sz="4" w:space="0"/>
            </w:tcBorders>
            <w:vAlign w:val="center"/>
          </w:tcPr>
          <w:p w14:paraId="4FA7756E">
            <w:pPr>
              <w:widowControl/>
              <w:rPr>
                <w:rFonts w:ascii="宋体" w:hAnsi="宋体" w:cs="宋体"/>
                <w:b/>
                <w:color w:val="000000"/>
                <w:kern w:val="0"/>
                <w:sz w:val="18"/>
                <w:szCs w:val="18"/>
                <w:highlight w:val="none"/>
              </w:rPr>
            </w:pPr>
            <w:r>
              <w:rPr>
                <w:rFonts w:hint="eastAsia" w:ascii="宋体" w:hAnsi="宋体" w:cs="宋体"/>
                <w:b/>
                <w:color w:val="000000"/>
                <w:kern w:val="0"/>
                <w:sz w:val="18"/>
                <w:szCs w:val="18"/>
                <w:highlight w:val="none"/>
              </w:rPr>
              <w:t>25</w:t>
            </w:r>
          </w:p>
        </w:tc>
        <w:tc>
          <w:tcPr>
            <w:tcW w:w="4860" w:type="dxa"/>
            <w:tcBorders>
              <w:top w:val="single" w:color="000000" w:sz="4" w:space="0"/>
              <w:bottom w:val="single" w:color="000000" w:sz="4" w:space="0"/>
              <w:right w:val="single" w:color="000000" w:sz="4" w:space="0"/>
            </w:tcBorders>
            <w:shd w:val="clear" w:color="auto" w:fill="FFFFFF"/>
            <w:vAlign w:val="center"/>
          </w:tcPr>
          <w:p w14:paraId="6761790C">
            <w:pPr>
              <w:widowControl/>
              <w:snapToGrid w:val="0"/>
              <w:spacing w:line="240" w:lineRule="atLeast"/>
              <w:rPr>
                <w:rFonts w:ascii="宋体" w:hAnsi="宋体" w:cs="宋体"/>
                <w:b/>
                <w:color w:val="000000"/>
                <w:kern w:val="0"/>
                <w:sz w:val="18"/>
                <w:szCs w:val="18"/>
                <w:highlight w:val="none"/>
              </w:rPr>
            </w:pPr>
          </w:p>
        </w:tc>
        <w:tc>
          <w:tcPr>
            <w:tcW w:w="625" w:type="dxa"/>
            <w:tcBorders>
              <w:top w:val="single" w:color="000000" w:sz="4" w:space="0"/>
              <w:bottom w:val="single" w:color="000000" w:sz="4" w:space="0"/>
              <w:right w:val="single" w:color="000000" w:sz="4" w:space="0"/>
            </w:tcBorders>
            <w:shd w:val="clear" w:color="auto" w:fill="FFFFFF"/>
            <w:vAlign w:val="center"/>
          </w:tcPr>
          <w:p w14:paraId="4C5FFFB8">
            <w:pPr>
              <w:widowControl/>
              <w:snapToGrid w:val="0"/>
              <w:spacing w:line="240" w:lineRule="atLeast"/>
              <w:rPr>
                <w:rFonts w:ascii="宋体" w:hAnsi="宋体" w:cs="宋体"/>
                <w:color w:val="000000"/>
                <w:kern w:val="0"/>
                <w:sz w:val="20"/>
                <w:szCs w:val="20"/>
                <w:highlight w:val="none"/>
              </w:rPr>
            </w:pPr>
          </w:p>
        </w:tc>
        <w:tc>
          <w:tcPr>
            <w:tcW w:w="750" w:type="dxa"/>
            <w:tcBorders>
              <w:top w:val="single" w:color="000000" w:sz="4" w:space="0"/>
              <w:bottom w:val="single" w:color="000000" w:sz="4" w:space="0"/>
              <w:right w:val="single" w:color="000000" w:sz="4" w:space="0"/>
            </w:tcBorders>
            <w:shd w:val="clear" w:color="auto" w:fill="FFFFFF"/>
            <w:vAlign w:val="center"/>
          </w:tcPr>
          <w:p w14:paraId="468DC206">
            <w:pPr>
              <w:widowControl/>
              <w:snapToGrid w:val="0"/>
              <w:spacing w:line="240" w:lineRule="atLeast"/>
              <w:rPr>
                <w:rFonts w:ascii="宋体" w:hAnsi="宋体" w:cs="宋体"/>
                <w:color w:val="000000"/>
                <w:kern w:val="0"/>
                <w:sz w:val="20"/>
                <w:szCs w:val="20"/>
                <w:highlight w:val="none"/>
              </w:rPr>
            </w:pPr>
          </w:p>
        </w:tc>
      </w:tr>
      <w:tr w14:paraId="3D6D5CE9">
        <w:tblPrEx>
          <w:tblCellMar>
            <w:top w:w="0" w:type="dxa"/>
            <w:left w:w="108" w:type="dxa"/>
            <w:bottom w:w="0" w:type="dxa"/>
            <w:right w:w="108" w:type="dxa"/>
          </w:tblCellMar>
        </w:tblPrEx>
        <w:trPr>
          <w:trHeight w:val="70" w:hRule="atLeast"/>
        </w:trPr>
        <w:tc>
          <w:tcPr>
            <w:tcW w:w="720" w:type="dxa"/>
            <w:vMerge w:val="restart"/>
            <w:tcBorders>
              <w:top w:val="single" w:color="000000" w:sz="4" w:space="0"/>
              <w:left w:val="single" w:color="000000" w:sz="4" w:space="0"/>
              <w:right w:val="single" w:color="000000" w:sz="4" w:space="0"/>
            </w:tcBorders>
            <w:vAlign w:val="center"/>
          </w:tcPr>
          <w:p w14:paraId="2E8AB829">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10</w:t>
            </w:r>
          </w:p>
        </w:tc>
        <w:tc>
          <w:tcPr>
            <w:tcW w:w="1440" w:type="dxa"/>
            <w:vMerge w:val="restart"/>
            <w:tcBorders>
              <w:top w:val="single" w:color="000000" w:sz="4" w:space="0"/>
              <w:left w:val="single" w:color="000000" w:sz="4" w:space="0"/>
              <w:right w:val="single" w:color="000000" w:sz="4" w:space="0"/>
            </w:tcBorders>
            <w:vAlign w:val="center"/>
          </w:tcPr>
          <w:p w14:paraId="08F78068">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履约准备</w:t>
            </w:r>
          </w:p>
        </w:tc>
        <w:tc>
          <w:tcPr>
            <w:tcW w:w="720" w:type="dxa"/>
            <w:vMerge w:val="restart"/>
            <w:tcBorders>
              <w:top w:val="single" w:color="000000" w:sz="4" w:space="0"/>
              <w:left w:val="single" w:color="000000" w:sz="4" w:space="0"/>
              <w:right w:val="single" w:color="000000" w:sz="4" w:space="0"/>
            </w:tcBorders>
            <w:vAlign w:val="center"/>
          </w:tcPr>
          <w:p w14:paraId="2028F4DB">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4860" w:type="dxa"/>
            <w:tcBorders>
              <w:top w:val="single" w:color="000000" w:sz="4" w:space="0"/>
              <w:bottom w:val="single" w:color="000000" w:sz="4" w:space="0"/>
              <w:right w:val="single" w:color="000000" w:sz="4" w:space="0"/>
            </w:tcBorders>
            <w:shd w:val="clear" w:color="auto" w:fill="FFFFFF"/>
            <w:vAlign w:val="center"/>
          </w:tcPr>
          <w:p w14:paraId="3DA6A45D">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能够及时地按照要求签订合同，并充分地做好履约准备</w:t>
            </w:r>
          </w:p>
        </w:tc>
        <w:tc>
          <w:tcPr>
            <w:tcW w:w="625" w:type="dxa"/>
            <w:tcBorders>
              <w:top w:val="single" w:color="000000" w:sz="4" w:space="0"/>
              <w:bottom w:val="single" w:color="000000" w:sz="4" w:space="0"/>
              <w:right w:val="single" w:color="000000" w:sz="4" w:space="0"/>
            </w:tcBorders>
            <w:shd w:val="clear" w:color="auto" w:fill="FFFFFF"/>
            <w:vAlign w:val="center"/>
          </w:tcPr>
          <w:p w14:paraId="441581A8">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50" w:type="dxa"/>
            <w:vMerge w:val="restart"/>
            <w:tcBorders>
              <w:top w:val="single" w:color="000000" w:sz="4" w:space="0"/>
              <w:right w:val="single" w:color="000000" w:sz="4" w:space="0"/>
            </w:tcBorders>
            <w:shd w:val="clear" w:color="auto" w:fill="FFFFFF"/>
            <w:vAlign w:val="center"/>
          </w:tcPr>
          <w:p w14:paraId="539C8F62">
            <w:pPr>
              <w:widowControl/>
              <w:snapToGrid w:val="0"/>
              <w:spacing w:line="240" w:lineRule="atLeast"/>
              <w:rPr>
                <w:rFonts w:ascii="宋体" w:hAnsi="宋体" w:cs="宋体"/>
                <w:color w:val="000000"/>
                <w:kern w:val="0"/>
                <w:sz w:val="20"/>
                <w:szCs w:val="20"/>
                <w:highlight w:val="none"/>
              </w:rPr>
            </w:pPr>
          </w:p>
        </w:tc>
      </w:tr>
      <w:tr w14:paraId="61E2FAD9">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67915CAC">
            <w:pPr>
              <w:widowControl/>
              <w:snapToGrid w:val="0"/>
              <w:rPr>
                <w:rFonts w:ascii="宋体" w:hAnsi="宋体" w:cs="宋体"/>
                <w:b/>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14A999AC">
            <w:pPr>
              <w:widowControl/>
              <w:snapToGrid w:val="0"/>
              <w:rPr>
                <w:rFonts w:ascii="宋体" w:hAnsi="宋体" w:cs="宋体"/>
                <w:b/>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64128AAE">
            <w:pPr>
              <w:widowControl/>
              <w:snapToGrid w:val="0"/>
              <w:rPr>
                <w:rFonts w:ascii="宋体" w:hAnsi="宋体" w:cs="宋体"/>
                <w:b/>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5AD78926">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基本能够及时地按照要求签订合同，并做好履约准备</w:t>
            </w:r>
          </w:p>
        </w:tc>
        <w:tc>
          <w:tcPr>
            <w:tcW w:w="625" w:type="dxa"/>
            <w:tcBorders>
              <w:top w:val="single" w:color="000000" w:sz="4" w:space="0"/>
              <w:bottom w:val="single" w:color="000000" w:sz="4" w:space="0"/>
              <w:right w:val="single" w:color="000000" w:sz="4" w:space="0"/>
            </w:tcBorders>
            <w:shd w:val="clear" w:color="auto" w:fill="FFFFFF"/>
            <w:vAlign w:val="center"/>
          </w:tcPr>
          <w:p w14:paraId="1F45B09B">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w:t>
            </w:r>
          </w:p>
        </w:tc>
        <w:tc>
          <w:tcPr>
            <w:tcW w:w="750" w:type="dxa"/>
            <w:vMerge w:val="continue"/>
            <w:tcBorders>
              <w:top w:val="single" w:color="000000" w:sz="4" w:space="0"/>
              <w:right w:val="single" w:color="000000" w:sz="4" w:space="0"/>
            </w:tcBorders>
            <w:shd w:val="clear" w:color="auto" w:fill="FFFFFF"/>
            <w:vAlign w:val="center"/>
          </w:tcPr>
          <w:p w14:paraId="1D7A0E56">
            <w:pPr>
              <w:widowControl/>
              <w:snapToGrid w:val="0"/>
              <w:spacing w:line="240" w:lineRule="atLeast"/>
              <w:rPr>
                <w:rFonts w:ascii="宋体" w:hAnsi="宋体" w:cs="宋体"/>
                <w:color w:val="000000"/>
                <w:kern w:val="0"/>
                <w:sz w:val="20"/>
                <w:szCs w:val="20"/>
                <w:highlight w:val="none"/>
              </w:rPr>
            </w:pPr>
          </w:p>
        </w:tc>
      </w:tr>
      <w:tr w14:paraId="477DF769">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25812535">
            <w:pPr>
              <w:widowControl/>
              <w:snapToGrid w:val="0"/>
              <w:rPr>
                <w:rFonts w:ascii="宋体" w:hAnsi="宋体" w:cs="宋体"/>
                <w:b/>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531FE58E">
            <w:pPr>
              <w:widowControl/>
              <w:snapToGrid w:val="0"/>
              <w:rPr>
                <w:rFonts w:ascii="宋体" w:hAnsi="宋体" w:cs="宋体"/>
                <w:b/>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0A27ABCB">
            <w:pPr>
              <w:widowControl/>
              <w:snapToGrid w:val="0"/>
              <w:rPr>
                <w:rFonts w:ascii="宋体" w:hAnsi="宋体" w:cs="宋体"/>
                <w:b/>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408C3621">
            <w:pPr>
              <w:widowControl/>
              <w:spacing w:line="240" w:lineRule="atLeas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不能够按照要求签订合同，或未能做好履约准备</w:t>
            </w:r>
          </w:p>
        </w:tc>
        <w:tc>
          <w:tcPr>
            <w:tcW w:w="625" w:type="dxa"/>
            <w:tcBorders>
              <w:top w:val="single" w:color="000000" w:sz="4" w:space="0"/>
              <w:bottom w:val="single" w:color="000000" w:sz="4" w:space="0"/>
              <w:right w:val="single" w:color="000000" w:sz="4" w:space="0"/>
            </w:tcBorders>
            <w:shd w:val="clear" w:color="auto" w:fill="FFFFFF"/>
            <w:vAlign w:val="center"/>
          </w:tcPr>
          <w:p w14:paraId="5C8B6908">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50" w:type="dxa"/>
            <w:vMerge w:val="continue"/>
            <w:tcBorders>
              <w:top w:val="single" w:color="000000" w:sz="4" w:space="0"/>
              <w:right w:val="single" w:color="000000" w:sz="4" w:space="0"/>
            </w:tcBorders>
            <w:shd w:val="clear" w:color="auto" w:fill="FFFFFF"/>
            <w:vAlign w:val="center"/>
          </w:tcPr>
          <w:p w14:paraId="74AF7BC9">
            <w:pPr>
              <w:widowControl/>
              <w:snapToGrid w:val="0"/>
              <w:spacing w:line="240" w:lineRule="atLeast"/>
              <w:rPr>
                <w:rFonts w:ascii="宋体" w:hAnsi="宋体" w:cs="宋体"/>
                <w:color w:val="000000"/>
                <w:kern w:val="0"/>
                <w:sz w:val="20"/>
                <w:szCs w:val="20"/>
                <w:highlight w:val="none"/>
              </w:rPr>
            </w:pPr>
          </w:p>
        </w:tc>
      </w:tr>
      <w:tr w14:paraId="70AA3AAD">
        <w:tblPrEx>
          <w:tblCellMar>
            <w:top w:w="0" w:type="dxa"/>
            <w:left w:w="108" w:type="dxa"/>
            <w:bottom w:w="0" w:type="dxa"/>
            <w:right w:w="108" w:type="dxa"/>
          </w:tblCellMar>
        </w:tblPrEx>
        <w:trPr>
          <w:trHeight w:val="373" w:hRule="atLeast"/>
        </w:trPr>
        <w:tc>
          <w:tcPr>
            <w:tcW w:w="720" w:type="dxa"/>
            <w:vMerge w:val="restart"/>
            <w:tcBorders>
              <w:top w:val="single" w:color="000000" w:sz="4" w:space="0"/>
              <w:left w:val="single" w:color="000000" w:sz="4" w:space="0"/>
              <w:right w:val="single" w:color="000000" w:sz="4" w:space="0"/>
            </w:tcBorders>
            <w:vAlign w:val="center"/>
          </w:tcPr>
          <w:p w14:paraId="7BD8AEB3">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11</w:t>
            </w:r>
          </w:p>
        </w:tc>
        <w:tc>
          <w:tcPr>
            <w:tcW w:w="1440" w:type="dxa"/>
            <w:vMerge w:val="restart"/>
            <w:tcBorders>
              <w:top w:val="single" w:color="000000" w:sz="4" w:space="0"/>
              <w:left w:val="single" w:color="000000" w:sz="4" w:space="0"/>
              <w:right w:val="single" w:color="000000" w:sz="4" w:space="0"/>
            </w:tcBorders>
            <w:vAlign w:val="center"/>
          </w:tcPr>
          <w:p w14:paraId="61241DFC">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配合情况</w:t>
            </w:r>
          </w:p>
        </w:tc>
        <w:tc>
          <w:tcPr>
            <w:tcW w:w="720" w:type="dxa"/>
            <w:vMerge w:val="restart"/>
            <w:tcBorders>
              <w:top w:val="single" w:color="000000" w:sz="4" w:space="0"/>
              <w:left w:val="single" w:color="000000" w:sz="4" w:space="0"/>
              <w:right w:val="single" w:color="000000" w:sz="4" w:space="0"/>
            </w:tcBorders>
            <w:vAlign w:val="center"/>
          </w:tcPr>
          <w:p w14:paraId="0F43F213">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4860" w:type="dxa"/>
            <w:tcBorders>
              <w:top w:val="single" w:color="000000" w:sz="4" w:space="0"/>
              <w:bottom w:val="single" w:color="000000" w:sz="4" w:space="0"/>
              <w:right w:val="single" w:color="000000" w:sz="4" w:space="0"/>
            </w:tcBorders>
            <w:shd w:val="clear" w:color="auto" w:fill="FFFFFF"/>
            <w:vAlign w:val="center"/>
          </w:tcPr>
          <w:p w14:paraId="7AC2D823">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能够认真主动地配合建设单位及其他相关部门的工作，积极主动地提供招标投标咨询服务</w:t>
            </w:r>
          </w:p>
        </w:tc>
        <w:tc>
          <w:tcPr>
            <w:tcW w:w="625" w:type="dxa"/>
            <w:tcBorders>
              <w:top w:val="single" w:color="000000" w:sz="4" w:space="0"/>
              <w:bottom w:val="single" w:color="000000" w:sz="4" w:space="0"/>
              <w:right w:val="single" w:color="000000" w:sz="4" w:space="0"/>
            </w:tcBorders>
            <w:shd w:val="clear" w:color="auto" w:fill="FFFFFF"/>
            <w:vAlign w:val="center"/>
          </w:tcPr>
          <w:p w14:paraId="60DA1836">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50" w:type="dxa"/>
            <w:vMerge w:val="restart"/>
            <w:tcBorders>
              <w:top w:val="single" w:color="000000" w:sz="4" w:space="0"/>
              <w:right w:val="single" w:color="000000" w:sz="4" w:space="0"/>
            </w:tcBorders>
            <w:shd w:val="clear" w:color="auto" w:fill="FFFFFF"/>
            <w:vAlign w:val="center"/>
          </w:tcPr>
          <w:p w14:paraId="2014B502">
            <w:pPr>
              <w:widowControl/>
              <w:snapToGrid w:val="0"/>
              <w:spacing w:line="240" w:lineRule="atLeast"/>
              <w:rPr>
                <w:rFonts w:ascii="宋体" w:hAnsi="宋体" w:cs="宋体"/>
                <w:color w:val="000000"/>
                <w:kern w:val="0"/>
                <w:sz w:val="20"/>
                <w:szCs w:val="20"/>
                <w:highlight w:val="none"/>
              </w:rPr>
            </w:pPr>
          </w:p>
        </w:tc>
      </w:tr>
      <w:tr w14:paraId="7C2D3604">
        <w:tblPrEx>
          <w:tblCellMar>
            <w:top w:w="0" w:type="dxa"/>
            <w:left w:w="108" w:type="dxa"/>
            <w:bottom w:w="0" w:type="dxa"/>
            <w:right w:w="108" w:type="dxa"/>
          </w:tblCellMar>
        </w:tblPrEx>
        <w:trPr>
          <w:trHeight w:val="373" w:hRule="atLeast"/>
        </w:trPr>
        <w:tc>
          <w:tcPr>
            <w:tcW w:w="720" w:type="dxa"/>
            <w:vMerge w:val="continue"/>
            <w:tcBorders>
              <w:top w:val="single" w:color="000000" w:sz="4" w:space="0"/>
              <w:left w:val="single" w:color="000000" w:sz="4" w:space="0"/>
              <w:right w:val="single" w:color="000000" w:sz="4" w:space="0"/>
            </w:tcBorders>
            <w:vAlign w:val="center"/>
          </w:tcPr>
          <w:p w14:paraId="1B5A35EB">
            <w:pPr>
              <w:widowControl/>
              <w:snapToGrid w:val="0"/>
              <w:rPr>
                <w:rFonts w:ascii="宋体" w:hAnsi="宋体" w:cs="宋体"/>
                <w:b/>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5DC9F233">
            <w:pPr>
              <w:widowControl/>
              <w:snapToGrid w:val="0"/>
              <w:rPr>
                <w:rFonts w:ascii="宋体" w:hAnsi="宋体" w:cs="宋体"/>
                <w:b/>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08F1CDC9">
            <w:pPr>
              <w:widowControl/>
              <w:snapToGrid w:val="0"/>
              <w:rPr>
                <w:rFonts w:ascii="宋体" w:hAnsi="宋体" w:cs="宋体"/>
                <w:b/>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1C28FD8E">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基本能够认真主动地配合建设单位及其他相关部门的工作，能够提供招标投标咨询服务</w:t>
            </w:r>
          </w:p>
        </w:tc>
        <w:tc>
          <w:tcPr>
            <w:tcW w:w="625" w:type="dxa"/>
            <w:tcBorders>
              <w:top w:val="single" w:color="000000" w:sz="4" w:space="0"/>
              <w:bottom w:val="single" w:color="000000" w:sz="4" w:space="0"/>
              <w:right w:val="single" w:color="000000" w:sz="4" w:space="0"/>
            </w:tcBorders>
            <w:shd w:val="clear" w:color="auto" w:fill="FFFFFF"/>
            <w:vAlign w:val="center"/>
          </w:tcPr>
          <w:p w14:paraId="46141804">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w:t>
            </w:r>
          </w:p>
        </w:tc>
        <w:tc>
          <w:tcPr>
            <w:tcW w:w="750" w:type="dxa"/>
            <w:vMerge w:val="continue"/>
            <w:tcBorders>
              <w:top w:val="single" w:color="000000" w:sz="4" w:space="0"/>
              <w:right w:val="single" w:color="000000" w:sz="4" w:space="0"/>
            </w:tcBorders>
            <w:shd w:val="clear" w:color="auto" w:fill="FFFFFF"/>
            <w:vAlign w:val="center"/>
          </w:tcPr>
          <w:p w14:paraId="31939374">
            <w:pPr>
              <w:widowControl/>
              <w:snapToGrid w:val="0"/>
              <w:spacing w:line="240" w:lineRule="atLeast"/>
              <w:rPr>
                <w:rFonts w:ascii="宋体" w:hAnsi="宋体" w:cs="宋体"/>
                <w:color w:val="000000"/>
                <w:kern w:val="0"/>
                <w:sz w:val="20"/>
                <w:szCs w:val="20"/>
                <w:highlight w:val="none"/>
              </w:rPr>
            </w:pPr>
          </w:p>
        </w:tc>
      </w:tr>
      <w:tr w14:paraId="31EBA8B0">
        <w:tblPrEx>
          <w:tblCellMar>
            <w:top w:w="0" w:type="dxa"/>
            <w:left w:w="108" w:type="dxa"/>
            <w:bottom w:w="0" w:type="dxa"/>
            <w:right w:w="108" w:type="dxa"/>
          </w:tblCellMar>
        </w:tblPrEx>
        <w:trPr>
          <w:trHeight w:val="373" w:hRule="atLeast"/>
        </w:trPr>
        <w:tc>
          <w:tcPr>
            <w:tcW w:w="720" w:type="dxa"/>
            <w:vMerge w:val="continue"/>
            <w:tcBorders>
              <w:top w:val="single" w:color="000000" w:sz="4" w:space="0"/>
              <w:left w:val="single" w:color="000000" w:sz="4" w:space="0"/>
              <w:right w:val="single" w:color="000000" w:sz="4" w:space="0"/>
            </w:tcBorders>
            <w:vAlign w:val="center"/>
          </w:tcPr>
          <w:p w14:paraId="3B3A0ED5">
            <w:pPr>
              <w:widowControl/>
              <w:snapToGrid w:val="0"/>
              <w:rPr>
                <w:rFonts w:ascii="宋体" w:hAnsi="宋体" w:cs="宋体"/>
                <w:b/>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3DDE01C4">
            <w:pPr>
              <w:widowControl/>
              <w:snapToGrid w:val="0"/>
              <w:rPr>
                <w:rFonts w:ascii="宋体" w:hAnsi="宋体" w:cs="宋体"/>
                <w:b/>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3B956F19">
            <w:pPr>
              <w:widowControl/>
              <w:snapToGrid w:val="0"/>
              <w:rPr>
                <w:rFonts w:ascii="宋体" w:hAnsi="宋体" w:cs="宋体"/>
                <w:b/>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13943E77">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不能够认真主动地配合建设单位及其他相关部门的工作，或未能提供招标投标咨询服务</w:t>
            </w:r>
          </w:p>
        </w:tc>
        <w:tc>
          <w:tcPr>
            <w:tcW w:w="625" w:type="dxa"/>
            <w:tcBorders>
              <w:top w:val="single" w:color="000000" w:sz="4" w:space="0"/>
              <w:bottom w:val="single" w:color="000000" w:sz="4" w:space="0"/>
              <w:right w:val="single" w:color="000000" w:sz="4" w:space="0"/>
            </w:tcBorders>
            <w:shd w:val="clear" w:color="auto" w:fill="FFFFFF"/>
            <w:vAlign w:val="center"/>
          </w:tcPr>
          <w:p w14:paraId="6A8ACEE6">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50" w:type="dxa"/>
            <w:vMerge w:val="continue"/>
            <w:tcBorders>
              <w:top w:val="single" w:color="000000" w:sz="4" w:space="0"/>
              <w:right w:val="single" w:color="000000" w:sz="4" w:space="0"/>
            </w:tcBorders>
            <w:shd w:val="clear" w:color="auto" w:fill="FFFFFF"/>
            <w:vAlign w:val="center"/>
          </w:tcPr>
          <w:p w14:paraId="203DAB82">
            <w:pPr>
              <w:widowControl/>
              <w:snapToGrid w:val="0"/>
              <w:spacing w:line="240" w:lineRule="atLeast"/>
              <w:rPr>
                <w:rFonts w:ascii="宋体" w:hAnsi="宋体" w:cs="宋体"/>
                <w:color w:val="000000"/>
                <w:kern w:val="0"/>
                <w:sz w:val="20"/>
                <w:szCs w:val="20"/>
                <w:highlight w:val="none"/>
              </w:rPr>
            </w:pPr>
          </w:p>
        </w:tc>
      </w:tr>
      <w:tr w14:paraId="09B73953">
        <w:tblPrEx>
          <w:tblCellMar>
            <w:top w:w="0" w:type="dxa"/>
            <w:left w:w="108" w:type="dxa"/>
            <w:bottom w:w="0" w:type="dxa"/>
            <w:right w:w="108" w:type="dxa"/>
          </w:tblCellMar>
        </w:tblPrEx>
        <w:trPr>
          <w:trHeight w:val="373" w:hRule="atLeast"/>
        </w:trPr>
        <w:tc>
          <w:tcPr>
            <w:tcW w:w="720" w:type="dxa"/>
            <w:vMerge w:val="restart"/>
            <w:tcBorders>
              <w:top w:val="single" w:color="000000" w:sz="4" w:space="0"/>
              <w:left w:val="single" w:color="000000" w:sz="4" w:space="0"/>
              <w:right w:val="single" w:color="000000" w:sz="4" w:space="0"/>
            </w:tcBorders>
            <w:vAlign w:val="center"/>
          </w:tcPr>
          <w:p w14:paraId="342D7AAD">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12</w:t>
            </w:r>
          </w:p>
        </w:tc>
        <w:tc>
          <w:tcPr>
            <w:tcW w:w="1440" w:type="dxa"/>
            <w:vMerge w:val="restart"/>
            <w:tcBorders>
              <w:top w:val="single" w:color="000000" w:sz="4" w:space="0"/>
              <w:left w:val="single" w:color="000000" w:sz="4" w:space="0"/>
              <w:right w:val="single" w:color="000000" w:sz="4" w:space="0"/>
            </w:tcBorders>
            <w:vAlign w:val="center"/>
          </w:tcPr>
          <w:p w14:paraId="30E9CBF9">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保密工作</w:t>
            </w:r>
          </w:p>
        </w:tc>
        <w:tc>
          <w:tcPr>
            <w:tcW w:w="720" w:type="dxa"/>
            <w:vMerge w:val="restart"/>
            <w:tcBorders>
              <w:top w:val="single" w:color="000000" w:sz="4" w:space="0"/>
              <w:left w:val="single" w:color="000000" w:sz="4" w:space="0"/>
              <w:right w:val="single" w:color="000000" w:sz="4" w:space="0"/>
            </w:tcBorders>
            <w:vAlign w:val="center"/>
          </w:tcPr>
          <w:p w14:paraId="0D5DB03A">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4860" w:type="dxa"/>
            <w:tcBorders>
              <w:top w:val="single" w:color="000000" w:sz="4" w:space="0"/>
              <w:bottom w:val="single" w:color="000000" w:sz="4" w:space="0"/>
              <w:right w:val="single" w:color="000000" w:sz="4" w:space="0"/>
            </w:tcBorders>
            <w:shd w:val="clear" w:color="auto" w:fill="FFFFFF"/>
            <w:vAlign w:val="center"/>
          </w:tcPr>
          <w:p w14:paraId="24D099BF">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能够严格保密与招标投标活动有关的应当保密的情况和资料</w:t>
            </w:r>
          </w:p>
        </w:tc>
        <w:tc>
          <w:tcPr>
            <w:tcW w:w="625" w:type="dxa"/>
            <w:tcBorders>
              <w:top w:val="single" w:color="000000" w:sz="4" w:space="0"/>
              <w:bottom w:val="single" w:color="000000" w:sz="4" w:space="0"/>
              <w:right w:val="single" w:color="000000" w:sz="4" w:space="0"/>
            </w:tcBorders>
            <w:shd w:val="clear" w:color="auto" w:fill="FFFFFF"/>
            <w:vAlign w:val="center"/>
          </w:tcPr>
          <w:p w14:paraId="545DDCF1">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50" w:type="dxa"/>
            <w:vMerge w:val="restart"/>
            <w:tcBorders>
              <w:top w:val="single" w:color="000000" w:sz="4" w:space="0"/>
              <w:right w:val="single" w:color="000000" w:sz="4" w:space="0"/>
            </w:tcBorders>
            <w:shd w:val="clear" w:color="auto" w:fill="FFFFFF"/>
            <w:vAlign w:val="center"/>
          </w:tcPr>
          <w:p w14:paraId="18180637">
            <w:pPr>
              <w:widowControl/>
              <w:snapToGrid w:val="0"/>
              <w:spacing w:line="240" w:lineRule="atLeast"/>
              <w:rPr>
                <w:rFonts w:ascii="宋体" w:hAnsi="宋体" w:cs="宋体"/>
                <w:color w:val="000000"/>
                <w:kern w:val="0"/>
                <w:sz w:val="20"/>
                <w:szCs w:val="20"/>
                <w:highlight w:val="none"/>
              </w:rPr>
            </w:pPr>
          </w:p>
        </w:tc>
      </w:tr>
      <w:tr w14:paraId="496C114F">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4433F0D9">
            <w:pPr>
              <w:widowControl/>
              <w:snapToGrid w:val="0"/>
              <w:rPr>
                <w:rFonts w:ascii="宋体" w:hAnsi="宋体" w:cs="宋体"/>
                <w:b/>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52853491">
            <w:pPr>
              <w:widowControl/>
              <w:snapToGrid w:val="0"/>
              <w:rPr>
                <w:rFonts w:ascii="宋体" w:hAnsi="宋体" w:cs="宋体"/>
                <w:b/>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646C0981">
            <w:pPr>
              <w:widowControl/>
              <w:snapToGrid w:val="0"/>
              <w:rPr>
                <w:rFonts w:ascii="宋体" w:hAnsi="宋体" w:cs="宋体"/>
                <w:b/>
                <w:color w:val="000000"/>
                <w:kern w:val="0"/>
                <w:sz w:val="18"/>
                <w:szCs w:val="18"/>
                <w:highlight w:val="none"/>
              </w:rPr>
            </w:pPr>
          </w:p>
        </w:tc>
        <w:tc>
          <w:tcPr>
            <w:tcW w:w="4860" w:type="dxa"/>
            <w:tcBorders>
              <w:top w:val="single" w:color="000000" w:sz="4" w:space="0"/>
              <w:bottom w:val="single" w:color="000000" w:sz="4" w:space="0"/>
              <w:right w:val="single" w:color="000000" w:sz="4" w:space="0"/>
            </w:tcBorders>
            <w:shd w:val="clear" w:color="auto" w:fill="FFFFFF"/>
            <w:vAlign w:val="center"/>
          </w:tcPr>
          <w:p w14:paraId="249E3450">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泄露应当保密的与招标投标活动有关的情况和资料</w:t>
            </w:r>
          </w:p>
        </w:tc>
        <w:tc>
          <w:tcPr>
            <w:tcW w:w="625" w:type="dxa"/>
            <w:tcBorders>
              <w:top w:val="single" w:color="000000" w:sz="4" w:space="0"/>
              <w:bottom w:val="single" w:color="000000" w:sz="4" w:space="0"/>
              <w:right w:val="single" w:color="000000" w:sz="4" w:space="0"/>
            </w:tcBorders>
            <w:shd w:val="clear" w:color="auto" w:fill="FFFFFF"/>
            <w:vAlign w:val="center"/>
          </w:tcPr>
          <w:p w14:paraId="2208ED24">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50" w:type="dxa"/>
            <w:vMerge w:val="continue"/>
            <w:tcBorders>
              <w:top w:val="single" w:color="000000" w:sz="4" w:space="0"/>
              <w:right w:val="single" w:color="000000" w:sz="4" w:space="0"/>
            </w:tcBorders>
            <w:shd w:val="clear" w:color="auto" w:fill="FFFFFF"/>
            <w:vAlign w:val="center"/>
          </w:tcPr>
          <w:p w14:paraId="353FE312">
            <w:pPr>
              <w:widowControl/>
              <w:snapToGrid w:val="0"/>
              <w:spacing w:line="240" w:lineRule="atLeast"/>
              <w:rPr>
                <w:rFonts w:ascii="宋体" w:hAnsi="宋体" w:cs="宋体"/>
                <w:color w:val="000000"/>
                <w:kern w:val="0"/>
                <w:sz w:val="20"/>
                <w:szCs w:val="20"/>
                <w:highlight w:val="none"/>
              </w:rPr>
            </w:pPr>
          </w:p>
        </w:tc>
      </w:tr>
      <w:tr w14:paraId="6BA3C8C5">
        <w:tblPrEx>
          <w:tblCellMar>
            <w:top w:w="0" w:type="dxa"/>
            <w:left w:w="108" w:type="dxa"/>
            <w:bottom w:w="0" w:type="dxa"/>
            <w:right w:w="108" w:type="dxa"/>
          </w:tblCellMar>
        </w:tblPrEx>
        <w:trPr>
          <w:trHeight w:val="163" w:hRule="atLeast"/>
        </w:trPr>
        <w:tc>
          <w:tcPr>
            <w:tcW w:w="720" w:type="dxa"/>
            <w:vMerge w:val="restart"/>
            <w:tcBorders>
              <w:top w:val="single" w:color="000000" w:sz="4" w:space="0"/>
              <w:left w:val="single" w:color="000000" w:sz="4" w:space="0"/>
              <w:right w:val="single" w:color="000000" w:sz="4" w:space="0"/>
            </w:tcBorders>
            <w:vAlign w:val="center"/>
          </w:tcPr>
          <w:p w14:paraId="530C1476">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13</w:t>
            </w:r>
          </w:p>
        </w:tc>
        <w:tc>
          <w:tcPr>
            <w:tcW w:w="1440" w:type="dxa"/>
            <w:vMerge w:val="restart"/>
            <w:tcBorders>
              <w:top w:val="single" w:color="000000" w:sz="4" w:space="0"/>
              <w:left w:val="single" w:color="000000" w:sz="4" w:space="0"/>
              <w:right w:val="single" w:color="000000" w:sz="4" w:space="0"/>
            </w:tcBorders>
            <w:vAlign w:val="center"/>
          </w:tcPr>
          <w:p w14:paraId="22FBB96A">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诚信情况</w:t>
            </w:r>
          </w:p>
        </w:tc>
        <w:tc>
          <w:tcPr>
            <w:tcW w:w="720" w:type="dxa"/>
            <w:vMerge w:val="restart"/>
            <w:tcBorders>
              <w:top w:val="single" w:color="000000" w:sz="4" w:space="0"/>
              <w:left w:val="single" w:color="000000" w:sz="4" w:space="0"/>
              <w:right w:val="single" w:color="000000" w:sz="4" w:space="0"/>
            </w:tcBorders>
            <w:vAlign w:val="center"/>
          </w:tcPr>
          <w:p w14:paraId="28FB861B">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4860" w:type="dxa"/>
            <w:tcBorders>
              <w:top w:val="single" w:color="000000" w:sz="4" w:space="0"/>
              <w:bottom w:val="single" w:color="000000" w:sz="4" w:space="0"/>
              <w:right w:val="single" w:color="000000" w:sz="4" w:space="0"/>
            </w:tcBorders>
            <w:shd w:val="clear" w:color="auto" w:fill="FFFFFF"/>
            <w:vAlign w:val="center"/>
          </w:tcPr>
          <w:p w14:paraId="42744C23">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无与投标单位及其他单位串通损害招标人利益和他人权益现象</w:t>
            </w:r>
          </w:p>
        </w:tc>
        <w:tc>
          <w:tcPr>
            <w:tcW w:w="625" w:type="dxa"/>
            <w:tcBorders>
              <w:top w:val="single" w:color="000000" w:sz="4" w:space="0"/>
              <w:bottom w:val="single" w:color="000000" w:sz="4" w:space="0"/>
              <w:right w:val="single" w:color="000000" w:sz="4" w:space="0"/>
            </w:tcBorders>
            <w:shd w:val="clear" w:color="auto" w:fill="FFFFFF"/>
            <w:vAlign w:val="center"/>
          </w:tcPr>
          <w:p w14:paraId="75E06744">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50" w:type="dxa"/>
            <w:vMerge w:val="restart"/>
            <w:tcBorders>
              <w:top w:val="single" w:color="000000" w:sz="4" w:space="0"/>
              <w:right w:val="single" w:color="000000" w:sz="4" w:space="0"/>
            </w:tcBorders>
            <w:shd w:val="clear" w:color="auto" w:fill="FFFFFF"/>
            <w:vAlign w:val="center"/>
          </w:tcPr>
          <w:p w14:paraId="2C6684C8">
            <w:pPr>
              <w:widowControl/>
              <w:snapToGrid w:val="0"/>
              <w:spacing w:line="240" w:lineRule="atLeast"/>
              <w:rPr>
                <w:rFonts w:ascii="宋体" w:hAnsi="宋体" w:cs="宋体"/>
                <w:color w:val="000000"/>
                <w:kern w:val="0"/>
                <w:sz w:val="20"/>
                <w:szCs w:val="20"/>
                <w:highlight w:val="none"/>
              </w:rPr>
            </w:pPr>
          </w:p>
        </w:tc>
      </w:tr>
      <w:tr w14:paraId="37B3AFFF">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018315FB">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002F2517">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24D4088D">
            <w:pPr>
              <w:widowControl/>
              <w:snapToGrid w:val="0"/>
              <w:rPr>
                <w:rFonts w:ascii="宋体" w:hAnsi="宋体" w:cs="宋体"/>
                <w:color w:val="000000"/>
                <w:kern w:val="0"/>
                <w:sz w:val="18"/>
                <w:szCs w:val="18"/>
                <w:highlight w:val="none"/>
              </w:rPr>
            </w:pPr>
          </w:p>
        </w:tc>
        <w:tc>
          <w:tcPr>
            <w:tcW w:w="4860" w:type="dxa"/>
            <w:tcBorders>
              <w:top w:val="single" w:color="000000" w:sz="4" w:space="0"/>
              <w:right w:val="single" w:color="000000" w:sz="4" w:space="0"/>
            </w:tcBorders>
            <w:shd w:val="clear" w:color="auto" w:fill="FFFFFF"/>
            <w:vAlign w:val="center"/>
          </w:tcPr>
          <w:p w14:paraId="41B9DE04">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有与投标单位及其他单位串通损害招标人利益和他人权益现象</w:t>
            </w:r>
          </w:p>
        </w:tc>
        <w:tc>
          <w:tcPr>
            <w:tcW w:w="625" w:type="dxa"/>
            <w:tcBorders>
              <w:top w:val="single" w:color="000000" w:sz="4" w:space="0"/>
              <w:right w:val="single" w:color="000000" w:sz="4" w:space="0"/>
            </w:tcBorders>
            <w:shd w:val="clear" w:color="auto" w:fill="FFFFFF"/>
            <w:vAlign w:val="center"/>
          </w:tcPr>
          <w:p w14:paraId="70055672">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50" w:type="dxa"/>
            <w:vMerge w:val="continue"/>
            <w:tcBorders>
              <w:top w:val="single" w:color="000000" w:sz="4" w:space="0"/>
              <w:right w:val="single" w:color="000000" w:sz="4" w:space="0"/>
            </w:tcBorders>
            <w:shd w:val="clear" w:color="auto" w:fill="FFFFFF"/>
            <w:vAlign w:val="center"/>
          </w:tcPr>
          <w:p w14:paraId="31AC6F34">
            <w:pPr>
              <w:widowControl/>
              <w:snapToGrid w:val="0"/>
              <w:spacing w:line="240" w:lineRule="atLeast"/>
              <w:rPr>
                <w:rFonts w:ascii="宋体" w:hAnsi="宋体" w:cs="宋体"/>
                <w:color w:val="000000"/>
                <w:kern w:val="0"/>
                <w:sz w:val="20"/>
                <w:szCs w:val="20"/>
                <w:highlight w:val="none"/>
              </w:rPr>
            </w:pPr>
          </w:p>
        </w:tc>
      </w:tr>
      <w:tr w14:paraId="2787DF03">
        <w:tblPrEx>
          <w:tblCellMar>
            <w:top w:w="0" w:type="dxa"/>
            <w:left w:w="108" w:type="dxa"/>
            <w:bottom w:w="0" w:type="dxa"/>
            <w:right w:w="108" w:type="dxa"/>
          </w:tblCellMar>
        </w:tblPrEx>
        <w:trPr>
          <w:trHeight w:val="70" w:hRule="atLeast"/>
        </w:trPr>
        <w:tc>
          <w:tcPr>
            <w:tcW w:w="720" w:type="dxa"/>
            <w:vMerge w:val="restart"/>
            <w:tcBorders>
              <w:top w:val="single" w:color="000000" w:sz="4" w:space="0"/>
              <w:left w:val="single" w:color="000000" w:sz="4" w:space="0"/>
              <w:right w:val="single" w:color="000000" w:sz="4" w:space="0"/>
            </w:tcBorders>
            <w:vAlign w:val="center"/>
          </w:tcPr>
          <w:p w14:paraId="6C59C76C">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14</w:t>
            </w:r>
          </w:p>
        </w:tc>
        <w:tc>
          <w:tcPr>
            <w:tcW w:w="1440" w:type="dxa"/>
            <w:vMerge w:val="restart"/>
            <w:tcBorders>
              <w:top w:val="single" w:color="000000" w:sz="4" w:space="0"/>
              <w:left w:val="single" w:color="000000" w:sz="4" w:space="0"/>
              <w:right w:val="single" w:color="000000" w:sz="4" w:space="0"/>
            </w:tcBorders>
            <w:vAlign w:val="center"/>
          </w:tcPr>
          <w:p w14:paraId="3A46AC85">
            <w:pPr>
              <w:widowControl/>
              <w:ind w:left="0" w:leftChars="0" w:right="0" w:rightChars="0" w:firstLineChars="5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后续服务</w:t>
            </w:r>
          </w:p>
        </w:tc>
        <w:tc>
          <w:tcPr>
            <w:tcW w:w="720" w:type="dxa"/>
            <w:vMerge w:val="restart"/>
            <w:tcBorders>
              <w:top w:val="single" w:color="000000" w:sz="4" w:space="0"/>
              <w:left w:val="single" w:color="000000" w:sz="4" w:space="0"/>
              <w:right w:val="single" w:color="000000" w:sz="4" w:space="0"/>
            </w:tcBorders>
            <w:vAlign w:val="center"/>
          </w:tcPr>
          <w:p w14:paraId="7858B3D5">
            <w:pPr>
              <w:widowControl/>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4860" w:type="dxa"/>
            <w:tcBorders>
              <w:top w:val="single" w:color="000000" w:sz="4" w:space="0"/>
              <w:right w:val="single" w:color="000000" w:sz="4" w:space="0"/>
            </w:tcBorders>
            <w:shd w:val="clear" w:color="auto" w:fill="FFFFFF"/>
            <w:vAlign w:val="center"/>
          </w:tcPr>
          <w:p w14:paraId="177778FE">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能够积极主动按照要求协助招标人做好合同拟定、澄清、签订等后续服务工作</w:t>
            </w:r>
          </w:p>
        </w:tc>
        <w:tc>
          <w:tcPr>
            <w:tcW w:w="625" w:type="dxa"/>
            <w:tcBorders>
              <w:top w:val="single" w:color="000000" w:sz="4" w:space="0"/>
              <w:right w:val="single" w:color="000000" w:sz="4" w:space="0"/>
            </w:tcBorders>
            <w:shd w:val="clear" w:color="auto" w:fill="FFFFFF"/>
            <w:vAlign w:val="center"/>
          </w:tcPr>
          <w:p w14:paraId="3D5CF47F">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750" w:type="dxa"/>
            <w:tcBorders>
              <w:top w:val="single" w:color="000000" w:sz="4" w:space="0"/>
              <w:right w:val="single" w:color="000000" w:sz="4" w:space="0"/>
            </w:tcBorders>
            <w:shd w:val="clear" w:color="auto" w:fill="FFFFFF"/>
            <w:vAlign w:val="center"/>
          </w:tcPr>
          <w:p w14:paraId="3246E0EC">
            <w:pPr>
              <w:widowControl/>
              <w:snapToGrid w:val="0"/>
              <w:spacing w:line="240" w:lineRule="atLeast"/>
              <w:rPr>
                <w:rFonts w:ascii="宋体" w:hAnsi="宋体" w:cs="宋体"/>
                <w:color w:val="000000"/>
                <w:kern w:val="0"/>
                <w:sz w:val="20"/>
                <w:szCs w:val="20"/>
                <w:highlight w:val="none"/>
              </w:rPr>
            </w:pPr>
          </w:p>
        </w:tc>
      </w:tr>
      <w:tr w14:paraId="2EF977EC">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079A960A">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0097DE5A">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37709D8F">
            <w:pPr>
              <w:widowControl/>
              <w:snapToGrid w:val="0"/>
              <w:rPr>
                <w:rFonts w:ascii="宋体" w:hAnsi="宋体" w:cs="宋体"/>
                <w:color w:val="000000"/>
                <w:kern w:val="0"/>
                <w:sz w:val="18"/>
                <w:szCs w:val="18"/>
                <w:highlight w:val="none"/>
              </w:rPr>
            </w:pPr>
          </w:p>
        </w:tc>
        <w:tc>
          <w:tcPr>
            <w:tcW w:w="4860" w:type="dxa"/>
            <w:tcBorders>
              <w:top w:val="single" w:color="000000" w:sz="4" w:space="0"/>
              <w:right w:val="single" w:color="000000" w:sz="4" w:space="0"/>
            </w:tcBorders>
            <w:shd w:val="clear" w:color="auto" w:fill="FFFFFF"/>
            <w:vAlign w:val="center"/>
          </w:tcPr>
          <w:p w14:paraId="031453B0">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基本能够积极主动按照要求协助招标人做好合同拟定、澄清、签订等后续服务工作</w:t>
            </w:r>
          </w:p>
        </w:tc>
        <w:tc>
          <w:tcPr>
            <w:tcW w:w="625" w:type="dxa"/>
            <w:tcBorders>
              <w:top w:val="single" w:color="000000" w:sz="4" w:space="0"/>
              <w:right w:val="single" w:color="000000" w:sz="4" w:space="0"/>
            </w:tcBorders>
            <w:shd w:val="clear" w:color="auto" w:fill="FFFFFF"/>
            <w:vAlign w:val="center"/>
          </w:tcPr>
          <w:p w14:paraId="27BCF74A">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w:t>
            </w:r>
          </w:p>
        </w:tc>
        <w:tc>
          <w:tcPr>
            <w:tcW w:w="750" w:type="dxa"/>
            <w:tcBorders>
              <w:top w:val="single" w:color="000000" w:sz="4" w:space="0"/>
              <w:right w:val="single" w:color="000000" w:sz="4" w:space="0"/>
            </w:tcBorders>
            <w:shd w:val="clear" w:color="auto" w:fill="FFFFFF"/>
            <w:vAlign w:val="center"/>
          </w:tcPr>
          <w:p w14:paraId="0282699D">
            <w:pPr>
              <w:widowControl/>
              <w:snapToGrid w:val="0"/>
              <w:spacing w:line="240" w:lineRule="atLeast"/>
              <w:rPr>
                <w:rFonts w:ascii="宋体" w:hAnsi="宋体" w:cs="宋体"/>
                <w:color w:val="000000"/>
                <w:kern w:val="0"/>
                <w:sz w:val="20"/>
                <w:szCs w:val="20"/>
                <w:highlight w:val="none"/>
              </w:rPr>
            </w:pPr>
          </w:p>
        </w:tc>
      </w:tr>
      <w:tr w14:paraId="05C74671">
        <w:tblPrEx>
          <w:tblCellMar>
            <w:top w:w="0" w:type="dxa"/>
            <w:left w:w="108" w:type="dxa"/>
            <w:bottom w:w="0" w:type="dxa"/>
            <w:right w:w="108" w:type="dxa"/>
          </w:tblCellMar>
        </w:tblPrEx>
        <w:trPr>
          <w:trHeight w:val="70" w:hRule="atLeast"/>
        </w:trPr>
        <w:tc>
          <w:tcPr>
            <w:tcW w:w="720" w:type="dxa"/>
            <w:vMerge w:val="continue"/>
            <w:tcBorders>
              <w:top w:val="single" w:color="000000" w:sz="4" w:space="0"/>
              <w:left w:val="single" w:color="000000" w:sz="4" w:space="0"/>
              <w:right w:val="single" w:color="000000" w:sz="4" w:space="0"/>
            </w:tcBorders>
            <w:vAlign w:val="center"/>
          </w:tcPr>
          <w:p w14:paraId="2415F0A0">
            <w:pPr>
              <w:widowControl/>
              <w:snapToGrid w:val="0"/>
              <w:rPr>
                <w:rFonts w:ascii="宋体" w:hAnsi="宋体" w:cs="宋体"/>
                <w:color w:val="000000"/>
                <w:kern w:val="0"/>
                <w:sz w:val="18"/>
                <w:szCs w:val="18"/>
                <w:highlight w:val="none"/>
              </w:rPr>
            </w:pPr>
          </w:p>
        </w:tc>
        <w:tc>
          <w:tcPr>
            <w:tcW w:w="1440" w:type="dxa"/>
            <w:vMerge w:val="continue"/>
            <w:tcBorders>
              <w:top w:val="single" w:color="000000" w:sz="4" w:space="0"/>
              <w:left w:val="single" w:color="000000" w:sz="4" w:space="0"/>
              <w:right w:val="single" w:color="000000" w:sz="4" w:space="0"/>
            </w:tcBorders>
            <w:vAlign w:val="center"/>
          </w:tcPr>
          <w:p w14:paraId="1DC358F8">
            <w:pPr>
              <w:widowControl/>
              <w:snapToGrid w:val="0"/>
              <w:rPr>
                <w:rFonts w:ascii="宋体" w:hAnsi="宋体" w:cs="宋体"/>
                <w:color w:val="000000"/>
                <w:kern w:val="0"/>
                <w:sz w:val="18"/>
                <w:szCs w:val="18"/>
                <w:highlight w:val="none"/>
              </w:rPr>
            </w:pPr>
          </w:p>
        </w:tc>
        <w:tc>
          <w:tcPr>
            <w:tcW w:w="720" w:type="dxa"/>
            <w:vMerge w:val="continue"/>
            <w:tcBorders>
              <w:top w:val="single" w:color="000000" w:sz="4" w:space="0"/>
              <w:left w:val="single" w:color="000000" w:sz="4" w:space="0"/>
              <w:right w:val="single" w:color="000000" w:sz="4" w:space="0"/>
            </w:tcBorders>
            <w:vAlign w:val="center"/>
          </w:tcPr>
          <w:p w14:paraId="55B05CF3">
            <w:pPr>
              <w:widowControl/>
              <w:snapToGrid w:val="0"/>
              <w:rPr>
                <w:rFonts w:ascii="宋体" w:hAnsi="宋体" w:cs="宋体"/>
                <w:color w:val="000000"/>
                <w:kern w:val="0"/>
                <w:sz w:val="18"/>
                <w:szCs w:val="18"/>
                <w:highlight w:val="none"/>
              </w:rPr>
            </w:pPr>
          </w:p>
        </w:tc>
        <w:tc>
          <w:tcPr>
            <w:tcW w:w="4860" w:type="dxa"/>
            <w:tcBorders>
              <w:top w:val="single" w:color="000000" w:sz="4" w:space="0"/>
              <w:right w:val="single" w:color="000000" w:sz="4" w:space="0"/>
            </w:tcBorders>
            <w:shd w:val="clear" w:color="auto" w:fill="FFFFFF"/>
            <w:vAlign w:val="center"/>
          </w:tcPr>
          <w:p w14:paraId="283986AF">
            <w:pPr>
              <w:widowControl/>
              <w:spacing w:line="280" w:lineRule="exac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不能够按照要求协助招标人做好合同拟定、澄清、签订等后续服务工作</w:t>
            </w:r>
          </w:p>
        </w:tc>
        <w:tc>
          <w:tcPr>
            <w:tcW w:w="625" w:type="dxa"/>
            <w:tcBorders>
              <w:top w:val="single" w:color="000000" w:sz="4" w:space="0"/>
              <w:right w:val="single" w:color="000000" w:sz="4" w:space="0"/>
            </w:tcBorders>
            <w:shd w:val="clear" w:color="auto" w:fill="FFFFFF"/>
            <w:vAlign w:val="center"/>
          </w:tcPr>
          <w:p w14:paraId="184D81AD">
            <w:pPr>
              <w:widowControl/>
              <w:spacing w:line="240" w:lineRule="atLeas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w:t>
            </w:r>
          </w:p>
        </w:tc>
        <w:tc>
          <w:tcPr>
            <w:tcW w:w="750" w:type="dxa"/>
            <w:tcBorders>
              <w:top w:val="single" w:color="000000" w:sz="4" w:space="0"/>
              <w:right w:val="single" w:color="000000" w:sz="4" w:space="0"/>
            </w:tcBorders>
            <w:shd w:val="clear" w:color="auto" w:fill="FFFFFF"/>
            <w:vAlign w:val="center"/>
          </w:tcPr>
          <w:p w14:paraId="620A8B55">
            <w:pPr>
              <w:widowControl/>
              <w:snapToGrid w:val="0"/>
              <w:spacing w:line="240" w:lineRule="atLeast"/>
              <w:rPr>
                <w:rFonts w:ascii="宋体" w:hAnsi="宋体" w:cs="宋体"/>
                <w:color w:val="000000"/>
                <w:kern w:val="0"/>
                <w:sz w:val="20"/>
                <w:szCs w:val="20"/>
                <w:highlight w:val="none"/>
              </w:rPr>
            </w:pPr>
          </w:p>
        </w:tc>
      </w:tr>
      <w:tr w14:paraId="0CAE9082">
        <w:tblPrEx>
          <w:tblCellMar>
            <w:top w:w="0" w:type="dxa"/>
            <w:left w:w="108" w:type="dxa"/>
            <w:bottom w:w="0" w:type="dxa"/>
            <w:right w:w="108" w:type="dxa"/>
          </w:tblCellMar>
        </w:tblPrEx>
        <w:trPr>
          <w:trHeight w:val="667" w:hRule="atLeast"/>
        </w:trPr>
        <w:tc>
          <w:tcPr>
            <w:tcW w:w="2160" w:type="dxa"/>
            <w:gridSpan w:val="2"/>
            <w:tcBorders>
              <w:top w:val="single" w:color="000000" w:sz="4" w:space="0"/>
              <w:left w:val="single" w:color="000000" w:sz="4" w:space="0"/>
              <w:bottom w:val="single" w:color="000000" w:sz="4" w:space="0"/>
              <w:right w:val="single" w:color="000000" w:sz="4" w:space="0"/>
            </w:tcBorders>
            <w:vAlign w:val="center"/>
          </w:tcPr>
          <w:p w14:paraId="08A5EEB1">
            <w:pPr>
              <w:widowControl/>
              <w:spacing w:line="240" w:lineRule="atLeast"/>
              <w:ind w:left="0" w:leftChars="0" w:right="0" w:rightChars="0" w:firstLineChars="20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合计分数</w:t>
            </w:r>
          </w:p>
        </w:tc>
        <w:tc>
          <w:tcPr>
            <w:tcW w:w="6955" w:type="dxa"/>
            <w:gridSpan w:val="4"/>
            <w:tcBorders>
              <w:top w:val="single" w:color="000000" w:sz="4" w:space="0"/>
              <w:left w:val="single" w:color="000000" w:sz="4" w:space="0"/>
              <w:bottom w:val="single" w:color="000000" w:sz="4" w:space="0"/>
              <w:right w:val="single" w:color="000000" w:sz="4" w:space="0"/>
            </w:tcBorders>
            <w:vAlign w:val="center"/>
          </w:tcPr>
          <w:p w14:paraId="158DEFD6">
            <w:pPr>
              <w:widowControl/>
              <w:snapToGrid w:val="0"/>
              <w:spacing w:line="240" w:lineRule="atLeast"/>
              <w:ind w:left="0" w:leftChars="0" w:right="0" w:rightChars="0" w:firstLineChars="200"/>
              <w:rPr>
                <w:rFonts w:ascii="宋体" w:hAnsi="宋体" w:cs="宋体"/>
                <w:color w:val="000000"/>
                <w:kern w:val="0"/>
                <w:sz w:val="18"/>
                <w:szCs w:val="18"/>
                <w:highlight w:val="none"/>
              </w:rPr>
            </w:pPr>
          </w:p>
        </w:tc>
      </w:tr>
      <w:tr w14:paraId="480D4433">
        <w:tblPrEx>
          <w:tblCellMar>
            <w:top w:w="0" w:type="dxa"/>
            <w:left w:w="108" w:type="dxa"/>
            <w:bottom w:w="0" w:type="dxa"/>
            <w:right w:w="108" w:type="dxa"/>
          </w:tblCellMar>
        </w:tblPrEx>
        <w:trPr>
          <w:trHeight w:val="667" w:hRule="atLeast"/>
        </w:trPr>
        <w:tc>
          <w:tcPr>
            <w:tcW w:w="2160" w:type="dxa"/>
            <w:gridSpan w:val="2"/>
            <w:tcBorders>
              <w:top w:val="single" w:color="000000" w:sz="4" w:space="0"/>
              <w:left w:val="single" w:color="000000" w:sz="4" w:space="0"/>
              <w:bottom w:val="single" w:color="000000" w:sz="4" w:space="0"/>
              <w:right w:val="single" w:color="000000" w:sz="4" w:space="0"/>
            </w:tcBorders>
            <w:vAlign w:val="center"/>
          </w:tcPr>
          <w:p w14:paraId="3C743496">
            <w:pPr>
              <w:widowControl/>
              <w:spacing w:line="240" w:lineRule="atLeast"/>
              <w:ind w:left="0" w:leftChars="0" w:right="0" w:rightChars="0" w:firstLineChars="20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加分项（1-6分）</w:t>
            </w:r>
          </w:p>
        </w:tc>
        <w:tc>
          <w:tcPr>
            <w:tcW w:w="6955" w:type="dxa"/>
            <w:gridSpan w:val="4"/>
            <w:tcBorders>
              <w:top w:val="single" w:color="000000" w:sz="4" w:space="0"/>
              <w:left w:val="single" w:color="000000" w:sz="4" w:space="0"/>
              <w:bottom w:val="single" w:color="000000" w:sz="4" w:space="0"/>
              <w:right w:val="single" w:color="000000" w:sz="4" w:space="0"/>
            </w:tcBorders>
            <w:vAlign w:val="center"/>
          </w:tcPr>
          <w:p w14:paraId="63CC7E7D">
            <w:pPr>
              <w:widowControl/>
              <w:spacing w:line="240" w:lineRule="atLeast"/>
              <w:rPr>
                <w:rFonts w:ascii="宋体" w:hAnsi="宋体" w:cs="宋体"/>
                <w:color w:val="000000"/>
                <w:kern w:val="0"/>
                <w:sz w:val="18"/>
                <w:szCs w:val="18"/>
                <w:highlight w:val="none"/>
              </w:rPr>
            </w:pPr>
            <w:r>
              <w:rPr>
                <w:rFonts w:hint="eastAsia" w:ascii="宋体" w:hAnsi="宋体" w:cs="宋体"/>
                <w:color w:val="000000"/>
                <w:sz w:val="18"/>
                <w:szCs w:val="18"/>
                <w:highlight w:val="none"/>
              </w:rPr>
              <w:t>备注清楚加分事由及所加分数</w:t>
            </w:r>
          </w:p>
        </w:tc>
      </w:tr>
      <w:tr w14:paraId="49E2EA33">
        <w:tblPrEx>
          <w:tblCellMar>
            <w:top w:w="0" w:type="dxa"/>
            <w:left w:w="108" w:type="dxa"/>
            <w:bottom w:w="0" w:type="dxa"/>
            <w:right w:w="108" w:type="dxa"/>
          </w:tblCellMar>
        </w:tblPrEx>
        <w:trPr>
          <w:trHeight w:val="667" w:hRule="atLeast"/>
        </w:trPr>
        <w:tc>
          <w:tcPr>
            <w:tcW w:w="2160" w:type="dxa"/>
            <w:gridSpan w:val="2"/>
            <w:tcBorders>
              <w:top w:val="single" w:color="000000" w:sz="4" w:space="0"/>
              <w:left w:val="single" w:color="000000" w:sz="4" w:space="0"/>
              <w:bottom w:val="single" w:color="000000" w:sz="4" w:space="0"/>
              <w:right w:val="single" w:color="000000" w:sz="4" w:space="0"/>
            </w:tcBorders>
            <w:vAlign w:val="center"/>
          </w:tcPr>
          <w:p w14:paraId="184B7160">
            <w:pPr>
              <w:widowControl/>
              <w:spacing w:line="240" w:lineRule="atLeast"/>
              <w:ind w:left="0" w:leftChars="0" w:right="0" w:rightChars="0" w:firstLineChars="20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扣分</w:t>
            </w:r>
          </w:p>
        </w:tc>
        <w:tc>
          <w:tcPr>
            <w:tcW w:w="6955" w:type="dxa"/>
            <w:gridSpan w:val="4"/>
            <w:tcBorders>
              <w:top w:val="single" w:color="000000" w:sz="4" w:space="0"/>
              <w:left w:val="single" w:color="000000" w:sz="4" w:space="0"/>
              <w:bottom w:val="single" w:color="000000" w:sz="4" w:space="0"/>
              <w:right w:val="single" w:color="000000" w:sz="4" w:space="0"/>
            </w:tcBorders>
            <w:vAlign w:val="center"/>
          </w:tcPr>
          <w:p w14:paraId="63E9B099">
            <w:pPr>
              <w:pStyle w:val="149"/>
              <w:rPr>
                <w:rFonts w:ascii="宋体" w:hAnsi="宋体" w:eastAsia="宋体" w:cs="宋体"/>
                <w:color w:val="000000"/>
                <w:sz w:val="18"/>
                <w:szCs w:val="18"/>
                <w:highlight w:val="none"/>
              </w:rPr>
            </w:pPr>
            <w:r>
              <w:rPr>
                <w:rFonts w:hint="eastAsia" w:ascii="宋体" w:hAnsi="宋体" w:cs="宋体"/>
                <w:color w:val="000000"/>
                <w:sz w:val="18"/>
                <w:szCs w:val="18"/>
                <w:highlight w:val="none"/>
              </w:rPr>
              <w:t>备注清楚扣分事由及所扣分数</w:t>
            </w:r>
          </w:p>
          <w:p w14:paraId="449FD6D7">
            <w:pPr>
              <w:widowControl/>
              <w:spacing w:line="240" w:lineRule="atLeast"/>
              <w:ind w:left="0" w:leftChars="0" w:right="0" w:rightChars="0" w:firstLineChars="200"/>
              <w:rPr>
                <w:rFonts w:ascii="宋体" w:hAnsi="宋体" w:eastAsia="宋体" w:cs="宋体"/>
                <w:color w:val="000000"/>
                <w:kern w:val="0"/>
                <w:sz w:val="18"/>
                <w:szCs w:val="18"/>
                <w:highlight w:val="none"/>
              </w:rPr>
            </w:pPr>
          </w:p>
        </w:tc>
      </w:tr>
      <w:tr w14:paraId="34CBEC6E">
        <w:tblPrEx>
          <w:tblCellMar>
            <w:top w:w="0" w:type="dxa"/>
            <w:left w:w="108" w:type="dxa"/>
            <w:bottom w:w="0" w:type="dxa"/>
            <w:right w:w="108" w:type="dxa"/>
          </w:tblCellMar>
        </w:tblPrEx>
        <w:trPr>
          <w:trHeight w:val="667" w:hRule="atLeast"/>
        </w:trPr>
        <w:tc>
          <w:tcPr>
            <w:tcW w:w="2160" w:type="dxa"/>
            <w:gridSpan w:val="2"/>
            <w:tcBorders>
              <w:top w:val="single" w:color="000000" w:sz="4" w:space="0"/>
              <w:left w:val="single" w:color="000000" w:sz="4" w:space="0"/>
              <w:bottom w:val="single" w:color="000000" w:sz="4" w:space="0"/>
              <w:right w:val="single" w:color="000000" w:sz="4" w:space="0"/>
            </w:tcBorders>
            <w:vAlign w:val="center"/>
          </w:tcPr>
          <w:p w14:paraId="0E6AD679">
            <w:pPr>
              <w:widowControl/>
              <w:spacing w:line="240" w:lineRule="atLeast"/>
              <w:ind w:left="0" w:leftChars="0" w:right="0" w:rightChars="0" w:firstLineChars="20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最终得分</w:t>
            </w:r>
          </w:p>
        </w:tc>
        <w:tc>
          <w:tcPr>
            <w:tcW w:w="6955" w:type="dxa"/>
            <w:gridSpan w:val="4"/>
            <w:tcBorders>
              <w:top w:val="single" w:color="000000" w:sz="4" w:space="0"/>
              <w:left w:val="single" w:color="000000" w:sz="4" w:space="0"/>
              <w:bottom w:val="single" w:color="000000" w:sz="4" w:space="0"/>
              <w:right w:val="single" w:color="000000" w:sz="4" w:space="0"/>
            </w:tcBorders>
            <w:vAlign w:val="center"/>
          </w:tcPr>
          <w:p w14:paraId="36A0CA4A">
            <w:pPr>
              <w:widowControl/>
              <w:snapToGrid w:val="0"/>
              <w:spacing w:line="240" w:lineRule="atLeast"/>
              <w:ind w:left="0" w:leftChars="0" w:right="0" w:rightChars="0" w:firstLineChars="200"/>
              <w:rPr>
                <w:rFonts w:ascii="宋体" w:hAnsi="宋体" w:cs="宋体"/>
                <w:color w:val="000000"/>
                <w:kern w:val="0"/>
                <w:sz w:val="18"/>
                <w:szCs w:val="18"/>
                <w:highlight w:val="none"/>
              </w:rPr>
            </w:pPr>
          </w:p>
        </w:tc>
      </w:tr>
      <w:tr w14:paraId="20FBAA93">
        <w:tblPrEx>
          <w:tblCellMar>
            <w:top w:w="0" w:type="dxa"/>
            <w:left w:w="108" w:type="dxa"/>
            <w:bottom w:w="0" w:type="dxa"/>
            <w:right w:w="108" w:type="dxa"/>
          </w:tblCellMar>
        </w:tblPrEx>
        <w:trPr>
          <w:trHeight w:val="667" w:hRule="atLeast"/>
        </w:trPr>
        <w:tc>
          <w:tcPr>
            <w:tcW w:w="2160" w:type="dxa"/>
            <w:gridSpan w:val="2"/>
            <w:tcBorders>
              <w:top w:val="single" w:color="000000" w:sz="4" w:space="0"/>
              <w:left w:val="single" w:color="000000" w:sz="4" w:space="0"/>
              <w:bottom w:val="single" w:color="000000" w:sz="4" w:space="0"/>
              <w:right w:val="single" w:color="000000" w:sz="4" w:space="0"/>
            </w:tcBorders>
            <w:vAlign w:val="center"/>
          </w:tcPr>
          <w:p w14:paraId="6DFACE28">
            <w:pPr>
              <w:widowControl/>
              <w:spacing w:line="240" w:lineRule="atLeast"/>
              <w:ind w:left="0" w:leftChars="0" w:right="0" w:rightChars="0" w:firstLineChars="200"/>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评价小组签字</w:t>
            </w:r>
          </w:p>
        </w:tc>
        <w:tc>
          <w:tcPr>
            <w:tcW w:w="6955" w:type="dxa"/>
            <w:gridSpan w:val="4"/>
            <w:tcBorders>
              <w:top w:val="single" w:color="000000" w:sz="4" w:space="0"/>
              <w:left w:val="single" w:color="000000" w:sz="4" w:space="0"/>
              <w:bottom w:val="single" w:color="000000" w:sz="4" w:space="0"/>
              <w:right w:val="single" w:color="000000" w:sz="4" w:space="0"/>
            </w:tcBorders>
            <w:vAlign w:val="center"/>
          </w:tcPr>
          <w:p w14:paraId="3D1820CA">
            <w:pPr>
              <w:widowControl/>
              <w:snapToGrid w:val="0"/>
              <w:spacing w:line="240" w:lineRule="atLeast"/>
              <w:ind w:left="0" w:leftChars="0" w:right="0" w:rightChars="0" w:firstLineChars="200"/>
              <w:rPr>
                <w:rFonts w:ascii="宋体" w:hAnsi="宋体" w:cs="宋体"/>
                <w:color w:val="000000"/>
                <w:kern w:val="0"/>
                <w:sz w:val="18"/>
                <w:szCs w:val="18"/>
                <w:highlight w:val="none"/>
              </w:rPr>
            </w:pPr>
          </w:p>
        </w:tc>
      </w:tr>
    </w:tbl>
    <w:p w14:paraId="1280325E">
      <w:pPr>
        <w:pStyle w:val="186"/>
        <w:rPr>
          <w:rFonts w:hint="eastAsia"/>
          <w:highlight w:val="none"/>
        </w:rPr>
      </w:pPr>
    </w:p>
    <w:p w14:paraId="50328798">
      <w:pPr>
        <w:rPr>
          <w:rFonts w:hint="eastAsia"/>
          <w:highlight w:val="none"/>
        </w:rPr>
      </w:pPr>
    </w:p>
    <w:p w14:paraId="14E790BE">
      <w:pPr>
        <w:pStyle w:val="2"/>
        <w:rPr>
          <w:rFonts w:hint="default" w:eastAsia="宋体"/>
          <w:highlight w:val="none"/>
          <w:lang w:val="en-US" w:eastAsia="zh-CN"/>
        </w:rPr>
      </w:pPr>
    </w:p>
    <w:p w14:paraId="50FD4300">
      <w:pPr>
        <w:pStyle w:val="100"/>
        <w:ind w:firstLine="0" w:firstLineChars="0"/>
        <w:rPr>
          <w:rFonts w:hint="eastAsia" w:ascii="宋体" w:hAnsi="宋体"/>
          <w:sz w:val="24"/>
          <w:szCs w:val="24"/>
          <w:highlight w:val="none"/>
        </w:rPr>
      </w:pPr>
    </w:p>
    <w:p w14:paraId="6DDBF5C2">
      <w:pPr>
        <w:spacing w:line="360" w:lineRule="auto"/>
        <w:ind w:firstLine="0" w:firstLineChars="0"/>
        <w:jc w:val="left"/>
        <w:rPr>
          <w:rFonts w:hint="default" w:ascii="Times New Roman" w:hAnsi="Times New Roman" w:eastAsia="仿宋"/>
          <w:sz w:val="28"/>
          <w:szCs w:val="24"/>
          <w:highlight w:val="none"/>
          <w:lang w:val="en-US" w:eastAsia="zh-CN"/>
        </w:rPr>
      </w:pPr>
    </w:p>
    <w:bookmarkEnd w:id="15"/>
    <w:bookmarkEnd w:id="16"/>
    <w:bookmarkEnd w:id="17"/>
    <w:p w14:paraId="330C5D70">
      <w:pPr>
        <w:spacing w:line="360" w:lineRule="auto"/>
        <w:jc w:val="center"/>
        <w:outlineLvl w:val="2"/>
        <w:rPr>
          <w:rFonts w:hint="eastAsia" w:ascii="宋体" w:hAnsi="宋体"/>
          <w:b/>
          <w:snapToGrid w:val="0"/>
          <w:kern w:val="0"/>
          <w:sz w:val="32"/>
          <w:szCs w:val="32"/>
          <w:highlight w:val="none"/>
          <w:lang w:val="en-US" w:eastAsia="zh-CN"/>
        </w:rPr>
        <w:sectPr>
          <w:headerReference r:id="rId12" w:type="default"/>
          <w:footerReference r:id="rId13" w:type="default"/>
          <w:pgSz w:w="11906" w:h="16838"/>
          <w:pgMar w:top="1276" w:right="1351" w:bottom="1135" w:left="1414" w:header="851" w:footer="992" w:gutter="0"/>
          <w:cols w:space="720" w:num="1"/>
          <w:docGrid w:type="lines" w:linePitch="312" w:charSpace="0"/>
        </w:sectPr>
      </w:pPr>
      <w:bookmarkStart w:id="19" w:name="_Toc509669699"/>
    </w:p>
    <w:p w14:paraId="27AD7C80">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第四章  投标文件格式</w:t>
      </w:r>
      <w:bookmarkEnd w:id="19"/>
    </w:p>
    <w:p w14:paraId="6E5389CE">
      <w:pPr>
        <w:rPr>
          <w:highlight w:val="none"/>
        </w:rPr>
      </w:pPr>
    </w:p>
    <w:p w14:paraId="088ABBA7">
      <w:pPr>
        <w:pStyle w:val="2"/>
        <w:ind w:firstLine="840"/>
        <w:rPr>
          <w:highlight w:val="none"/>
        </w:rPr>
      </w:pPr>
    </w:p>
    <w:p w14:paraId="73E6D4CC">
      <w:pPr>
        <w:spacing w:before="156" w:beforeLines="50" w:after="312" w:afterLines="100" w:line="360" w:lineRule="auto"/>
        <w:jc w:val="center"/>
        <w:rPr>
          <w:rFonts w:hint="eastAsia" w:ascii="宋体" w:hAnsi="宋体"/>
          <w:b/>
          <w:sz w:val="44"/>
          <w:szCs w:val="44"/>
          <w:highlight w:val="none"/>
          <w:lang w:eastAsia="zh-CN"/>
        </w:rPr>
      </w:pPr>
    </w:p>
    <w:p w14:paraId="1C9AFFEA">
      <w:pPr>
        <w:spacing w:before="156" w:beforeLines="50" w:after="312" w:afterLines="100" w:line="360" w:lineRule="auto"/>
        <w:jc w:val="center"/>
        <w:rPr>
          <w:rFonts w:hint="eastAsia" w:ascii="宋体" w:hAnsi="宋体"/>
          <w:b/>
          <w:sz w:val="44"/>
          <w:szCs w:val="44"/>
          <w:highlight w:val="none"/>
          <w:lang w:eastAsia="zh-CN"/>
        </w:rPr>
      </w:pPr>
    </w:p>
    <w:p w14:paraId="67A6D5CC">
      <w:pPr>
        <w:spacing w:before="156" w:beforeLines="50" w:after="312" w:afterLines="100" w:line="360" w:lineRule="auto"/>
        <w:jc w:val="center"/>
        <w:rPr>
          <w:rFonts w:ascii="宋体" w:hAnsi="宋体"/>
          <w:b/>
          <w:sz w:val="44"/>
          <w:szCs w:val="44"/>
          <w:highlight w:val="none"/>
        </w:rPr>
      </w:pPr>
      <w:r>
        <w:rPr>
          <w:rFonts w:hint="eastAsia" w:ascii="宋体" w:hAnsi="宋体"/>
          <w:b/>
          <w:sz w:val="44"/>
          <w:szCs w:val="44"/>
          <w:highlight w:val="none"/>
          <w:lang w:eastAsia="zh-CN"/>
        </w:rPr>
        <w:t>深圳建筑产业生态智谷总部基地一期二单元15、16层办公用房提升工程</w:t>
      </w:r>
      <w:r>
        <w:rPr>
          <w:rFonts w:hint="eastAsia" w:ascii="宋体" w:hAnsi="宋体"/>
          <w:b/>
          <w:sz w:val="44"/>
          <w:szCs w:val="44"/>
          <w:highlight w:val="none"/>
          <w:lang w:val="en-US" w:eastAsia="zh-CN"/>
        </w:rPr>
        <w:t>招标代理</w:t>
      </w:r>
      <w:r>
        <w:rPr>
          <w:rFonts w:hint="eastAsia" w:ascii="宋体" w:hAnsi="宋体"/>
          <w:b/>
          <w:sz w:val="44"/>
          <w:szCs w:val="44"/>
          <w:highlight w:val="none"/>
        </w:rPr>
        <w:t>投标文件</w:t>
      </w:r>
    </w:p>
    <w:p w14:paraId="3CE38937">
      <w:pPr>
        <w:spacing w:line="360" w:lineRule="auto"/>
        <w:jc w:val="center"/>
        <w:rPr>
          <w:rFonts w:ascii="宋体" w:hAnsi="宋体"/>
          <w:b/>
          <w:sz w:val="52"/>
          <w:szCs w:val="52"/>
          <w:highlight w:val="none"/>
        </w:rPr>
      </w:pPr>
    </w:p>
    <w:p w14:paraId="65448021">
      <w:pPr>
        <w:spacing w:line="360" w:lineRule="auto"/>
        <w:rPr>
          <w:rFonts w:ascii="宋体" w:hAnsi="宋体"/>
          <w:b/>
          <w:sz w:val="32"/>
          <w:szCs w:val="32"/>
          <w:highlight w:val="none"/>
        </w:rPr>
      </w:pPr>
    </w:p>
    <w:p w14:paraId="4E345F3A">
      <w:pPr>
        <w:spacing w:line="360" w:lineRule="auto"/>
        <w:rPr>
          <w:rFonts w:ascii="宋体" w:hAnsi="宋体"/>
          <w:b/>
          <w:sz w:val="32"/>
          <w:szCs w:val="32"/>
          <w:highlight w:val="none"/>
        </w:rPr>
      </w:pPr>
    </w:p>
    <w:p w14:paraId="162C2FCF">
      <w:pPr>
        <w:spacing w:line="360" w:lineRule="auto"/>
        <w:ind w:firstLine="840" w:firstLineChars="300"/>
        <w:rPr>
          <w:rFonts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w:t>
      </w:r>
      <w:r>
        <w:rPr>
          <w:rFonts w:hint="eastAsia" w:ascii="宋体" w:hAnsi="宋体"/>
          <w:sz w:val="28"/>
          <w:szCs w:val="28"/>
          <w:highlight w:val="none"/>
        </w:rPr>
        <w:t>（全称）（盖章）</w:t>
      </w:r>
    </w:p>
    <w:p w14:paraId="640A50A1">
      <w:pPr>
        <w:spacing w:line="360" w:lineRule="auto"/>
        <w:ind w:firstLine="840" w:firstLineChars="300"/>
        <w:rPr>
          <w:rFonts w:ascii="宋体" w:hAnsi="宋体"/>
          <w:sz w:val="28"/>
          <w:szCs w:val="28"/>
          <w:highlight w:val="none"/>
        </w:rPr>
      </w:pPr>
    </w:p>
    <w:p w14:paraId="5767C918">
      <w:pPr>
        <w:spacing w:line="360" w:lineRule="auto"/>
        <w:ind w:firstLine="840" w:firstLineChars="300"/>
        <w:rPr>
          <w:rFonts w:ascii="宋体" w:hAnsi="宋体"/>
          <w:sz w:val="28"/>
          <w:szCs w:val="28"/>
          <w:highlight w:val="none"/>
        </w:rPr>
      </w:pPr>
      <w:r>
        <w:rPr>
          <w:rFonts w:hint="eastAsia" w:ascii="宋体" w:hAnsi="宋体"/>
          <w:sz w:val="28"/>
          <w:szCs w:val="28"/>
          <w:highlight w:val="none"/>
        </w:rPr>
        <w:t>法定代表人或授权代理人：</w:t>
      </w:r>
      <w:r>
        <w:rPr>
          <w:rFonts w:hint="eastAsia" w:ascii="宋体" w:hAnsi="宋体"/>
          <w:sz w:val="28"/>
          <w:szCs w:val="28"/>
          <w:highlight w:val="none"/>
          <w:u w:val="single"/>
        </w:rPr>
        <w:t xml:space="preserve">                       </w:t>
      </w:r>
      <w:r>
        <w:rPr>
          <w:rFonts w:hint="eastAsia" w:ascii="宋体" w:hAnsi="宋体"/>
          <w:sz w:val="28"/>
          <w:szCs w:val="28"/>
          <w:highlight w:val="none"/>
        </w:rPr>
        <w:t>（签字）</w:t>
      </w:r>
    </w:p>
    <w:p w14:paraId="65D54359">
      <w:pPr>
        <w:spacing w:line="360" w:lineRule="auto"/>
        <w:ind w:firstLine="840" w:firstLineChars="300"/>
        <w:rPr>
          <w:rFonts w:ascii="宋体" w:hAnsi="宋体"/>
          <w:sz w:val="28"/>
          <w:szCs w:val="28"/>
          <w:highlight w:val="none"/>
        </w:rPr>
      </w:pPr>
    </w:p>
    <w:p w14:paraId="237C5CC4">
      <w:pPr>
        <w:spacing w:line="360" w:lineRule="auto"/>
        <w:ind w:firstLine="840" w:firstLineChars="300"/>
        <w:rPr>
          <w:rFonts w:ascii="宋体" w:hAnsi="宋体"/>
          <w:sz w:val="28"/>
          <w:szCs w:val="28"/>
          <w:highlight w:val="none"/>
        </w:rPr>
      </w:pPr>
      <w:r>
        <w:rPr>
          <w:rFonts w:hint="eastAsia" w:ascii="宋体" w:hAnsi="宋体"/>
          <w:sz w:val="28"/>
          <w:szCs w:val="28"/>
          <w:highlight w:val="none"/>
        </w:rPr>
        <w:t>日        期：</w:t>
      </w:r>
      <w:r>
        <w:rPr>
          <w:rFonts w:hint="eastAsia" w:ascii="宋体" w:hAnsi="宋体"/>
          <w:sz w:val="28"/>
          <w:szCs w:val="28"/>
          <w:highlight w:val="none"/>
          <w:u w:val="single"/>
        </w:rPr>
        <w:t>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14:paraId="2B9E772A">
      <w:pPr>
        <w:rPr>
          <w:rFonts w:ascii="宋体" w:hAnsi="宋体"/>
          <w:sz w:val="28"/>
          <w:szCs w:val="28"/>
          <w:highlight w:val="none"/>
        </w:rPr>
      </w:pPr>
      <w:r>
        <w:rPr>
          <w:rFonts w:hint="eastAsia" w:ascii="宋体" w:hAnsi="宋体"/>
          <w:sz w:val="28"/>
          <w:szCs w:val="28"/>
          <w:highlight w:val="none"/>
        </w:rPr>
        <w:br w:type="page"/>
      </w:r>
    </w:p>
    <w:p w14:paraId="30389F06">
      <w:pPr>
        <w:pStyle w:val="2"/>
        <w:spacing w:line="520" w:lineRule="exact"/>
        <w:ind w:firstLine="0" w:firstLineChars="0"/>
        <w:jc w:val="center"/>
        <w:rPr>
          <w:sz w:val="36"/>
          <w:szCs w:val="36"/>
          <w:highlight w:val="none"/>
        </w:rPr>
      </w:pPr>
      <w:bookmarkStart w:id="20" w:name="_Toc509669700"/>
      <w:bookmarkStart w:id="21" w:name="_Toc306716065"/>
      <w:bookmarkStart w:id="22" w:name="_Toc306716063"/>
      <w:r>
        <w:rPr>
          <w:rFonts w:hint="eastAsia"/>
          <w:sz w:val="36"/>
          <w:szCs w:val="36"/>
          <w:highlight w:val="none"/>
        </w:rPr>
        <w:t>投标承诺函</w:t>
      </w:r>
    </w:p>
    <w:p w14:paraId="5066908B">
      <w:pPr>
        <w:spacing w:line="520" w:lineRule="exact"/>
        <w:ind w:right="960"/>
        <w:rPr>
          <w:rFonts w:hint="eastAsia" w:hAnsi="宋体" w:eastAsia="宋体"/>
          <w:bCs/>
          <w:sz w:val="24"/>
          <w:szCs w:val="24"/>
          <w:highlight w:val="none"/>
          <w:u w:val="single"/>
          <w:lang w:eastAsia="zh-CN"/>
        </w:rPr>
      </w:pPr>
      <w:r>
        <w:rPr>
          <w:rFonts w:hint="eastAsia" w:hAnsi="宋体"/>
          <w:bCs/>
          <w:sz w:val="24"/>
          <w:szCs w:val="24"/>
          <w:highlight w:val="none"/>
        </w:rPr>
        <w:t>致招标人:</w:t>
      </w:r>
      <w:r>
        <w:rPr>
          <w:rFonts w:hint="eastAsia" w:hAnsi="宋体"/>
          <w:sz w:val="24"/>
          <w:szCs w:val="24"/>
          <w:highlight w:val="none"/>
          <w:u w:val="single"/>
        </w:rPr>
        <w:t xml:space="preserve"> </w:t>
      </w:r>
      <w:r>
        <w:rPr>
          <w:rFonts w:hint="eastAsia" w:hAnsi="宋体"/>
          <w:sz w:val="24"/>
          <w:szCs w:val="24"/>
          <w:highlight w:val="none"/>
          <w:u w:val="single"/>
          <w:lang w:eastAsia="zh-CN"/>
        </w:rPr>
        <w:t>深圳市龙岗区城投新基础设施建设管理有限公司</w:t>
      </w:r>
    </w:p>
    <w:p w14:paraId="1A8FE5FB">
      <w:pPr>
        <w:pStyle w:val="2"/>
        <w:spacing w:line="520" w:lineRule="exact"/>
        <w:ind w:left="0" w:leftChars="0" w:firstLine="480" w:firstLineChars="200"/>
        <w:rPr>
          <w:highlight w:val="none"/>
        </w:rPr>
      </w:pPr>
      <w:r>
        <w:rPr>
          <w:rFonts w:hint="eastAsia"/>
          <w:sz w:val="24"/>
          <w:szCs w:val="24"/>
          <w:highlight w:val="none"/>
        </w:rPr>
        <w:t>为了确保本工程相关工作顺利进行，我方将严格执行建设工程招标投标管理的法律法规，并完全接受</w:t>
      </w:r>
      <w:r>
        <w:rPr>
          <w:rFonts w:hint="eastAsia"/>
          <w:sz w:val="24"/>
          <w:szCs w:val="24"/>
          <w:highlight w:val="none"/>
          <w:u w:val="single"/>
        </w:rPr>
        <w:t xml:space="preserve"> </w:t>
      </w:r>
      <w:r>
        <w:rPr>
          <w:rFonts w:hint="eastAsia"/>
          <w:sz w:val="24"/>
          <w:szCs w:val="24"/>
          <w:highlight w:val="none"/>
          <w:u w:val="single"/>
          <w:lang w:eastAsia="zh-CN"/>
        </w:rPr>
        <w:t>深圳建筑产业生态智谷总部基地一期二单元15、16层办公用房提升工程</w:t>
      </w:r>
      <w:r>
        <w:rPr>
          <w:rFonts w:hint="eastAsia"/>
          <w:sz w:val="24"/>
          <w:szCs w:val="24"/>
          <w:highlight w:val="none"/>
          <w:u w:val="single"/>
          <w:lang w:val="en-US" w:eastAsia="zh-CN"/>
        </w:rPr>
        <w:t xml:space="preserve">招标代理 </w:t>
      </w:r>
      <w:r>
        <w:rPr>
          <w:rFonts w:hint="eastAsia" w:ascii="Calibri"/>
          <w:sz w:val="24"/>
          <w:szCs w:val="24"/>
          <w:highlight w:val="none"/>
        </w:rPr>
        <w:t>的</w:t>
      </w:r>
      <w:r>
        <w:rPr>
          <w:rFonts w:hint="eastAsia"/>
          <w:sz w:val="24"/>
          <w:szCs w:val="24"/>
          <w:highlight w:val="none"/>
        </w:rPr>
        <w:t>招标文件所有内容，为此作出如下承诺</w:t>
      </w:r>
      <w:r>
        <w:rPr>
          <w:rFonts w:hint="eastAsia"/>
          <w:highlight w:val="none"/>
        </w:rPr>
        <w:t>：</w:t>
      </w:r>
    </w:p>
    <w:p w14:paraId="357FAEE8">
      <w:pPr>
        <w:pStyle w:val="2"/>
        <w:spacing w:line="520" w:lineRule="exact"/>
        <w:ind w:firstLine="480" w:firstLineChars="200"/>
        <w:rPr>
          <w:sz w:val="24"/>
          <w:szCs w:val="24"/>
          <w:highlight w:val="none"/>
          <w:u w:val="single"/>
        </w:rPr>
      </w:pPr>
      <w:r>
        <w:rPr>
          <w:rFonts w:hint="eastAsia"/>
          <w:bCs/>
          <w:sz w:val="24"/>
          <w:szCs w:val="24"/>
          <w:highlight w:val="none"/>
          <w:u w:val="single"/>
        </w:rPr>
        <w:t>1、根</w:t>
      </w:r>
      <w:r>
        <w:rPr>
          <w:rFonts w:hint="eastAsia"/>
          <w:sz w:val="24"/>
          <w:szCs w:val="24"/>
          <w:highlight w:val="none"/>
          <w:u w:val="single"/>
        </w:rPr>
        <w:t xml:space="preserve">据企业自身情况，理性报价，不会以低于成本的报价竞标，报价金额      元。按招标文件要求承包本项目 </w:t>
      </w:r>
      <w:r>
        <w:rPr>
          <w:rFonts w:hint="eastAsia"/>
          <w:b w:val="0"/>
          <w:kern w:val="2"/>
          <w:sz w:val="24"/>
          <w:szCs w:val="24"/>
          <w:highlight w:val="none"/>
          <w:u w:val="single"/>
          <w:lang w:val="en-US" w:eastAsia="zh-CN" w:bidi="ar-SA"/>
        </w:rPr>
        <w:t>招标代理</w:t>
      </w:r>
      <w:r>
        <w:rPr>
          <w:rFonts w:hint="eastAsia"/>
          <w:sz w:val="24"/>
          <w:szCs w:val="24"/>
          <w:highlight w:val="none"/>
          <w:u w:val="single"/>
          <w:lang w:val="en-US" w:eastAsia="zh-CN"/>
        </w:rPr>
        <w:t xml:space="preserve"> 工作</w:t>
      </w:r>
      <w:r>
        <w:rPr>
          <w:rFonts w:hint="eastAsia" w:ascii="Calibri"/>
          <w:b/>
          <w:bCs/>
          <w:sz w:val="24"/>
          <w:szCs w:val="24"/>
          <w:highlight w:val="none"/>
          <w:u w:val="single"/>
        </w:rPr>
        <w:t xml:space="preserve"> </w:t>
      </w:r>
      <w:r>
        <w:rPr>
          <w:rFonts w:hint="eastAsia"/>
          <w:sz w:val="24"/>
          <w:szCs w:val="24"/>
          <w:highlight w:val="none"/>
          <w:u w:val="single"/>
        </w:rPr>
        <w:t>。否则，我方愿意承担任何风险。（投标人填写）</w:t>
      </w:r>
    </w:p>
    <w:p w14:paraId="6FF538F6">
      <w:pPr>
        <w:spacing w:line="520" w:lineRule="exact"/>
        <w:ind w:firstLine="480" w:firstLineChars="200"/>
        <w:rPr>
          <w:rFonts w:ascii="宋体" w:hAnsi="宋体"/>
          <w:sz w:val="24"/>
          <w:szCs w:val="24"/>
          <w:highlight w:val="none"/>
        </w:rPr>
      </w:pPr>
      <w:r>
        <w:rPr>
          <w:rFonts w:hint="eastAsia" w:ascii="宋体" w:hAnsi="宋体"/>
          <w:bCs/>
          <w:sz w:val="24"/>
          <w:szCs w:val="24"/>
          <w:highlight w:val="none"/>
        </w:rPr>
        <w:t>2、</w:t>
      </w:r>
      <w:r>
        <w:rPr>
          <w:rFonts w:hint="eastAsia" w:ascii="宋体" w:hAnsi="宋体"/>
          <w:sz w:val="24"/>
          <w:szCs w:val="24"/>
          <w:highlight w:val="none"/>
        </w:rPr>
        <w:t>我方同意所递交的投标文件在投标须知规定的投标有效期内有效，在此期间内我方的投标有可能中标，我方将受此约束。如果在投标有效期内撤回投标或放弃中标资格，给贵方造成的损失，贵方有权要求我方进行赔偿。</w:t>
      </w:r>
    </w:p>
    <w:p w14:paraId="6DF8362D">
      <w:pPr>
        <w:pStyle w:val="2"/>
        <w:spacing w:line="520" w:lineRule="exact"/>
        <w:ind w:firstLine="480" w:firstLineChars="200"/>
        <w:rPr>
          <w:bCs/>
          <w:sz w:val="24"/>
          <w:szCs w:val="24"/>
          <w:highlight w:val="none"/>
        </w:rPr>
      </w:pPr>
      <w:r>
        <w:rPr>
          <w:rFonts w:hint="eastAsia"/>
          <w:sz w:val="24"/>
          <w:szCs w:val="24"/>
          <w:highlight w:val="none"/>
        </w:rPr>
        <w:t>3、我方完全理解和接受招标文件的规定，并承诺一旦我方的投标出现该条列举的严重违规或涉嫌串通投标的情形而被评标委员会废标的，将自觉接受贵方暂停或者取消今后我方参加贵方其他任何项目投标资格的处理。</w:t>
      </w:r>
    </w:p>
    <w:p w14:paraId="434E522A">
      <w:pPr>
        <w:spacing w:line="520" w:lineRule="exact"/>
        <w:ind w:firstLine="480" w:firstLineChars="200"/>
        <w:rPr>
          <w:rFonts w:ascii="宋体" w:hAnsi="宋体" w:cs="Courier New"/>
          <w:bCs/>
          <w:sz w:val="24"/>
          <w:szCs w:val="24"/>
          <w:highlight w:val="none"/>
        </w:rPr>
      </w:pPr>
      <w:r>
        <w:rPr>
          <w:rFonts w:hint="eastAsia" w:ascii="宋体" w:hAnsi="宋体" w:cs="Courier New"/>
          <w:bCs/>
          <w:sz w:val="24"/>
          <w:szCs w:val="24"/>
          <w:highlight w:val="none"/>
        </w:rPr>
        <w:t>4、一旦我方中标，将保证在收到委托函后</w:t>
      </w:r>
      <w:r>
        <w:rPr>
          <w:rFonts w:hint="eastAsia" w:ascii="宋体" w:hAnsi="宋体"/>
          <w:bCs/>
          <w:sz w:val="24"/>
          <w:szCs w:val="24"/>
          <w:highlight w:val="none"/>
          <w:u w:val="single"/>
        </w:rPr>
        <w:t xml:space="preserve"> 30 </w:t>
      </w:r>
      <w:r>
        <w:rPr>
          <w:rFonts w:hint="eastAsia" w:ascii="宋体" w:hAnsi="宋体" w:cs="Courier New"/>
          <w:bCs/>
          <w:sz w:val="24"/>
          <w:szCs w:val="24"/>
          <w:highlight w:val="none"/>
        </w:rPr>
        <w:t>日内，与贵方按招标文件、委托函中的内容签订合同文件，否则，视为我方自愿放弃中标资格。</w:t>
      </w:r>
    </w:p>
    <w:p w14:paraId="79925902">
      <w:pPr>
        <w:spacing w:line="520" w:lineRule="exact"/>
        <w:ind w:firstLine="480" w:firstLineChars="200"/>
        <w:rPr>
          <w:rFonts w:ascii="宋体" w:hAnsi="宋体" w:cs="Courier New"/>
          <w:bCs/>
          <w:sz w:val="24"/>
          <w:szCs w:val="24"/>
          <w:highlight w:val="none"/>
        </w:rPr>
      </w:pPr>
      <w:r>
        <w:rPr>
          <w:rFonts w:hint="eastAsia" w:ascii="宋体" w:hAnsi="宋体"/>
          <w:sz w:val="24"/>
          <w:szCs w:val="24"/>
          <w:highlight w:val="none"/>
        </w:rPr>
        <w:t>5、除非另外达成协议并生效，贵方的委托函和本投标文件将成为约束双方的合同文件的组成部分。</w:t>
      </w:r>
    </w:p>
    <w:p w14:paraId="064EA2E0">
      <w:pPr>
        <w:adjustRightInd w:val="0"/>
        <w:snapToGrid w:val="0"/>
        <w:spacing w:line="520" w:lineRule="exact"/>
        <w:ind w:firstLine="480" w:firstLineChars="200"/>
        <w:rPr>
          <w:rFonts w:ascii="宋体" w:hAnsi="宋体"/>
          <w:bCs/>
          <w:sz w:val="24"/>
          <w:szCs w:val="24"/>
          <w:highlight w:val="none"/>
        </w:rPr>
      </w:pPr>
      <w:r>
        <w:rPr>
          <w:rFonts w:hint="eastAsia" w:ascii="宋体" w:hAnsi="宋体"/>
          <w:bCs/>
          <w:sz w:val="24"/>
          <w:szCs w:val="24"/>
          <w:highlight w:val="none"/>
        </w:rPr>
        <w:t>6、按规定完成本项目工作，质量达到合格标准的要求，质量目标为合格。</w:t>
      </w:r>
    </w:p>
    <w:p w14:paraId="6C17EDC8">
      <w:pPr>
        <w:pStyle w:val="2"/>
        <w:spacing w:line="520" w:lineRule="exact"/>
        <w:ind w:firstLine="480" w:firstLineChars="200"/>
        <w:rPr>
          <w:sz w:val="24"/>
          <w:szCs w:val="24"/>
          <w:highlight w:val="none"/>
        </w:rPr>
      </w:pPr>
      <w:r>
        <w:rPr>
          <w:rFonts w:hint="eastAsia"/>
          <w:sz w:val="24"/>
          <w:szCs w:val="24"/>
          <w:highlight w:val="none"/>
        </w:rPr>
        <w:t>7、如果违反本承诺书中任何条款，我方愿意接受：</w:t>
      </w:r>
    </w:p>
    <w:p w14:paraId="3416BD98">
      <w:pPr>
        <w:pStyle w:val="2"/>
        <w:spacing w:line="520" w:lineRule="exact"/>
        <w:ind w:firstLine="480" w:firstLineChars="200"/>
        <w:rPr>
          <w:sz w:val="24"/>
          <w:szCs w:val="24"/>
          <w:highlight w:val="none"/>
        </w:rPr>
      </w:pPr>
      <w:r>
        <w:rPr>
          <w:rFonts w:hint="eastAsia"/>
          <w:sz w:val="24"/>
          <w:szCs w:val="24"/>
          <w:highlight w:val="none"/>
        </w:rPr>
        <w:t>（1）视作我方单方面违约，并按照合同规定向贵方支付违约金或解除合同；</w:t>
      </w:r>
    </w:p>
    <w:p w14:paraId="6314FA8B">
      <w:pPr>
        <w:pStyle w:val="2"/>
        <w:spacing w:line="520" w:lineRule="exact"/>
        <w:ind w:firstLine="480" w:firstLineChars="200"/>
        <w:rPr>
          <w:sz w:val="24"/>
          <w:szCs w:val="24"/>
          <w:highlight w:val="none"/>
        </w:rPr>
      </w:pPr>
      <w:r>
        <w:rPr>
          <w:rFonts w:hint="eastAsia"/>
          <w:sz w:val="24"/>
          <w:szCs w:val="24"/>
          <w:highlight w:val="none"/>
        </w:rPr>
        <w:t>（2）履约评价评定为合格及以下；</w:t>
      </w:r>
    </w:p>
    <w:p w14:paraId="0FADE46A">
      <w:pPr>
        <w:pStyle w:val="2"/>
        <w:spacing w:line="520" w:lineRule="exact"/>
        <w:ind w:firstLine="480" w:firstLineChars="200"/>
        <w:rPr>
          <w:sz w:val="24"/>
          <w:szCs w:val="24"/>
          <w:highlight w:val="none"/>
        </w:rPr>
      </w:pPr>
      <w:r>
        <w:rPr>
          <w:rFonts w:hint="eastAsia"/>
          <w:sz w:val="24"/>
          <w:szCs w:val="24"/>
          <w:highlight w:val="none"/>
        </w:rPr>
        <w:t>（3）招标人今后可拒绝我方参与投标；</w:t>
      </w:r>
    </w:p>
    <w:p w14:paraId="0A59896F">
      <w:pPr>
        <w:pStyle w:val="2"/>
        <w:spacing w:line="520" w:lineRule="exact"/>
        <w:ind w:firstLine="480" w:firstLineChars="200"/>
        <w:rPr>
          <w:sz w:val="24"/>
          <w:szCs w:val="24"/>
          <w:highlight w:val="none"/>
        </w:rPr>
      </w:pPr>
      <w:r>
        <w:rPr>
          <w:rFonts w:hint="eastAsia"/>
          <w:sz w:val="24"/>
          <w:szCs w:val="24"/>
          <w:highlight w:val="none"/>
        </w:rPr>
        <w:t>（4）建设行政主管部门或相关主管部门的不良行为记录、行政处罚。</w:t>
      </w:r>
    </w:p>
    <w:p w14:paraId="27F994AA">
      <w:pPr>
        <w:spacing w:line="520" w:lineRule="exact"/>
        <w:rPr>
          <w:rFonts w:ascii="宋体" w:hAnsi="宋体"/>
          <w:sz w:val="24"/>
          <w:highlight w:val="none"/>
        </w:rPr>
      </w:pPr>
      <w:r>
        <w:rPr>
          <w:rFonts w:hint="eastAsia" w:ascii="宋体" w:hAnsi="宋体"/>
          <w:sz w:val="24"/>
          <w:highlight w:val="none"/>
        </w:rPr>
        <w:t>投标人（单位公章）：</w:t>
      </w:r>
    </w:p>
    <w:p w14:paraId="7AA6F0BC">
      <w:pPr>
        <w:spacing w:line="360" w:lineRule="auto"/>
        <w:rPr>
          <w:rFonts w:ascii="宋体" w:hAnsi="宋体"/>
          <w:sz w:val="24"/>
          <w:highlight w:val="none"/>
        </w:rPr>
      </w:pPr>
      <w:r>
        <w:rPr>
          <w:rFonts w:hint="eastAsia" w:ascii="宋体" w:hAnsi="宋体"/>
          <w:sz w:val="24"/>
          <w:highlight w:val="none"/>
        </w:rPr>
        <w:t>单位地址：</w:t>
      </w:r>
    </w:p>
    <w:p w14:paraId="760B3CDF">
      <w:pPr>
        <w:spacing w:line="360" w:lineRule="auto"/>
        <w:rPr>
          <w:rFonts w:hint="eastAsia" w:hAnsi="宋体"/>
          <w:bCs/>
          <w:sz w:val="24"/>
          <w:highlight w:val="none"/>
        </w:rPr>
        <w:sectPr>
          <w:pgSz w:w="11906" w:h="16838"/>
          <w:pgMar w:top="1276" w:right="1351" w:bottom="1135" w:left="1414" w:header="851" w:footer="992" w:gutter="0"/>
          <w:cols w:space="720" w:num="1"/>
          <w:docGrid w:type="lines" w:linePitch="312" w:charSpace="0"/>
        </w:sectPr>
      </w:pPr>
      <w:r>
        <w:rPr>
          <w:rFonts w:hint="eastAsia" w:ascii="宋体" w:hAnsi="宋体"/>
          <w:sz w:val="24"/>
          <w:highlight w:val="none"/>
        </w:rPr>
        <w:t xml:space="preserve">邮政编码：电话： 传真：                                  </w:t>
      </w:r>
      <w:r>
        <w:rPr>
          <w:rFonts w:hint="eastAsia" w:hAnsi="宋体"/>
          <w:bCs/>
          <w:sz w:val="24"/>
          <w:highlight w:val="none"/>
        </w:rPr>
        <w:t>年   月   日</w:t>
      </w:r>
    </w:p>
    <w:p w14:paraId="43587A63">
      <w:pPr>
        <w:keepNext/>
        <w:keepLines/>
        <w:widowControl w:val="0"/>
        <w:bidi w:val="0"/>
        <w:spacing w:beforeLines="0" w:beforeAutospacing="0" w:afterLines="0" w:afterAutospacing="0" w:line="360" w:lineRule="auto"/>
        <w:ind w:firstLine="0" w:firstLineChars="0"/>
        <w:outlineLvl w:val="1"/>
        <w:rPr>
          <w:rFonts w:hint="default" w:ascii="Arial" w:hAnsi="Arial" w:eastAsia="仿宋" w:cs="Times New Roman"/>
          <w:b/>
          <w:kern w:val="2"/>
          <w:sz w:val="30"/>
          <w:szCs w:val="24"/>
          <w:highlight w:val="none"/>
          <w:lang w:val="en-US" w:eastAsia="zh-CN" w:bidi="ar-SA"/>
        </w:rPr>
      </w:pPr>
      <w:r>
        <w:rPr>
          <w:rFonts w:hint="eastAsia" w:ascii="Arial" w:hAnsi="Arial" w:eastAsia="仿宋" w:cs="Times New Roman"/>
          <w:b/>
          <w:kern w:val="2"/>
          <w:sz w:val="30"/>
          <w:szCs w:val="24"/>
          <w:highlight w:val="none"/>
          <w:lang w:val="en-US" w:eastAsia="zh-CN" w:bidi="ar-SA"/>
        </w:rPr>
        <w:t>告知书</w:t>
      </w:r>
    </w:p>
    <w:p w14:paraId="3A8417F5">
      <w:pPr>
        <w:spacing w:line="360" w:lineRule="auto"/>
        <w:ind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龙岗区进一步规范政商交往行为告知书</w:t>
      </w:r>
    </w:p>
    <w:p w14:paraId="65E3CC6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0B11873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一、不得向公职人员赠送礼品、礼金、消费卡等财物。</w:t>
      </w:r>
    </w:p>
    <w:p w14:paraId="7D7AD3E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二、不得违规向公职人员提供宴请、旅游、娱乐等安排。</w:t>
      </w:r>
    </w:p>
    <w:p w14:paraId="0758900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三、不得通过打麻将等形式向公职人员输送利益。</w:t>
      </w:r>
    </w:p>
    <w:p w14:paraId="73482BE2">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四、不得为公职人员报销应由其个人支付的费用。</w:t>
      </w:r>
    </w:p>
    <w:p w14:paraId="7A41BCC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五、不得违规向公职人员及其亲友借贷款。</w:t>
      </w:r>
    </w:p>
    <w:p w14:paraId="2CD4931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六、不得违规将车辆、住房等借给公职人员使用。</w:t>
      </w:r>
    </w:p>
    <w:p w14:paraId="4AE8521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七、不得在招投标中与公职人员搞暗箱操作、围标串标。</w:t>
      </w:r>
    </w:p>
    <w:p w14:paraId="0CC4EF5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八、不得为利益相关人和公职人员牵线搭桥或者代为传递信息、传递财物。</w:t>
      </w:r>
    </w:p>
    <w:p w14:paraId="713BDE7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九、不得让公职人员在企业违规兼职取酬。</w:t>
      </w:r>
    </w:p>
    <w:p w14:paraId="7237980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十、不得为公职人员亲友违规承揽业务提供便利。</w:t>
      </w:r>
    </w:p>
    <w:p w14:paraId="43CDA79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68E6491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本人已知晓上述告知内容，并愿意遵照执行（</w:t>
      </w:r>
      <w:r>
        <w:rPr>
          <w:rFonts w:hint="eastAsia" w:ascii="Times New Roman" w:hAnsi="Times New Roman" w:eastAsia="仿宋"/>
          <w:sz w:val="28"/>
          <w:szCs w:val="24"/>
          <w:highlight w:val="none"/>
          <w:lang w:val="en-US" w:eastAsia="zh-CN"/>
        </w:rPr>
        <w:t>签字盖章</w:t>
      </w:r>
      <w:r>
        <w:rPr>
          <w:rFonts w:hint="eastAsia" w:ascii="Times New Roman" w:hAnsi="Times New Roman" w:eastAsia="仿宋"/>
          <w:sz w:val="28"/>
          <w:szCs w:val="24"/>
          <w:highlight w:val="none"/>
        </w:rPr>
        <w:t>）：</w:t>
      </w:r>
    </w:p>
    <w:p w14:paraId="3F8C1865">
      <w:pPr>
        <w:keepNext w:val="0"/>
        <w:keepLines w:val="0"/>
        <w:pageBreakBefore w:val="0"/>
        <w:widowControl w:val="0"/>
        <w:kinsoku/>
        <w:wordWrap/>
        <w:overflowPunct/>
        <w:topLinePunct w:val="0"/>
        <w:autoSpaceDE/>
        <w:autoSpaceDN/>
        <w:bidi w:val="0"/>
        <w:adjustRightInd/>
        <w:snapToGrid/>
        <w:spacing w:line="540" w:lineRule="exact"/>
        <w:ind w:firstLine="0" w:firstLineChars="0"/>
        <w:jc w:val="left"/>
        <w:textAlignment w:val="auto"/>
        <w:rPr>
          <w:rFonts w:hint="eastAsia" w:ascii="宋体" w:hAnsi="宋体" w:eastAsia="宋体" w:cs="宋体"/>
          <w:sz w:val="21"/>
          <w:szCs w:val="21"/>
          <w:highlight w:val="none"/>
        </w:rPr>
      </w:pPr>
    </w:p>
    <w:p w14:paraId="352E0CA4">
      <w:pPr>
        <w:keepNext w:val="0"/>
        <w:keepLines w:val="0"/>
        <w:pageBreakBefore w:val="0"/>
        <w:widowControl w:val="0"/>
        <w:kinsoku/>
        <w:wordWrap/>
        <w:overflowPunct/>
        <w:topLinePunct w:val="0"/>
        <w:autoSpaceDE/>
        <w:autoSpaceDN/>
        <w:bidi w:val="0"/>
        <w:adjustRightInd/>
        <w:snapToGrid/>
        <w:spacing w:line="540" w:lineRule="exact"/>
        <w:ind w:firstLine="0" w:firstLineChars="0"/>
        <w:jc w:val="right"/>
        <w:textAlignment w:val="auto"/>
        <w:rPr>
          <w:rFonts w:hint="default" w:ascii="Times New Roman" w:hAnsi="Times New Roman" w:eastAsia="仿宋"/>
          <w:sz w:val="28"/>
          <w:szCs w:val="24"/>
          <w:highlight w:val="none"/>
          <w:lang w:val="en-US" w:eastAsia="zh-CN"/>
        </w:rPr>
      </w:pPr>
      <w:r>
        <w:rPr>
          <w:rFonts w:hint="eastAsia" w:ascii="Times New Roman" w:hAnsi="Times New Roman" w:eastAsia="仿宋"/>
          <w:sz w:val="28"/>
          <w:szCs w:val="24"/>
          <w:highlight w:val="none"/>
          <w:lang w:val="en-US" w:eastAsia="zh-CN"/>
        </w:rPr>
        <w:t>2026</w:t>
      </w:r>
      <w:r>
        <w:rPr>
          <w:rFonts w:hint="eastAsia" w:ascii="Times New Roman" w:hAnsi="Times New Roman" w:eastAsia="仿宋"/>
          <w:sz w:val="28"/>
          <w:szCs w:val="24"/>
          <w:highlight w:val="none"/>
        </w:rPr>
        <w:t>年  月  日</w:t>
      </w:r>
    </w:p>
    <w:p w14:paraId="76FEF9F6">
      <w:pPr>
        <w:pStyle w:val="52"/>
        <w:rPr>
          <w:rFonts w:hint="eastAsia"/>
          <w:highlight w:val="none"/>
        </w:rPr>
        <w:sectPr>
          <w:pgSz w:w="11906" w:h="16838"/>
          <w:pgMar w:top="1276" w:right="1351" w:bottom="1135" w:left="1414" w:header="851" w:footer="992" w:gutter="0"/>
          <w:cols w:space="720" w:num="1"/>
          <w:docGrid w:type="lines" w:linePitch="312" w:charSpace="0"/>
        </w:sectPr>
      </w:pPr>
    </w:p>
    <w:p w14:paraId="7086D8AF">
      <w:pPr>
        <w:pStyle w:val="52"/>
        <w:rPr>
          <w:rFonts w:hint="eastAsia" w:hAnsi="宋体"/>
          <w:bCs/>
          <w:sz w:val="24"/>
          <w:highlight w:val="none"/>
        </w:rPr>
      </w:pPr>
    </w:p>
    <w:p w14:paraId="7D414A70">
      <w:pPr>
        <w:pStyle w:val="52"/>
        <w:ind w:left="0" w:leftChars="0" w:firstLine="0" w:firstLineChars="0"/>
        <w:rPr>
          <w:rFonts w:hint="eastAsia" w:hAnsi="宋体"/>
          <w:bCs/>
          <w:sz w:val="24"/>
          <w:highlight w:val="none"/>
        </w:rPr>
      </w:pPr>
    </w:p>
    <w:p w14:paraId="502865F8">
      <w:pPr>
        <w:pStyle w:val="100"/>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Arial Unicode MS" w:hAnsi="Arial Unicode MS" w:eastAsia="Arial Unicode MS" w:cs="Arial Unicode MS"/>
          <w:sz w:val="44"/>
          <w:szCs w:val="44"/>
          <w:highlight w:val="none"/>
          <w:lang w:eastAsia="zh-CN"/>
        </w:rPr>
      </w:pPr>
      <w:r>
        <w:rPr>
          <w:rFonts w:hint="eastAsia" w:ascii="Arial Unicode MS" w:hAnsi="Arial Unicode MS" w:eastAsia="Arial Unicode MS" w:cs="Arial Unicode MS"/>
          <w:sz w:val="44"/>
          <w:szCs w:val="44"/>
          <w:highlight w:val="none"/>
          <w:lang w:val="en-US" w:eastAsia="zh-CN"/>
        </w:rPr>
        <w:t xml:space="preserve">报 </w:t>
      </w:r>
      <w:r>
        <w:rPr>
          <w:rFonts w:hint="eastAsia" w:ascii="Arial Unicode MS" w:hAnsi="Arial Unicode MS" w:eastAsia="Arial Unicode MS" w:cs="Arial Unicode MS"/>
          <w:sz w:val="44"/>
          <w:szCs w:val="44"/>
          <w:highlight w:val="none"/>
          <w:lang w:eastAsia="zh-CN"/>
        </w:rPr>
        <w:t>价</w:t>
      </w:r>
      <w:r>
        <w:rPr>
          <w:rFonts w:hint="eastAsia" w:ascii="Arial Unicode MS" w:hAnsi="Arial Unicode MS" w:eastAsia="Arial Unicode MS" w:cs="Arial Unicode MS"/>
          <w:sz w:val="44"/>
          <w:szCs w:val="44"/>
          <w:highlight w:val="none"/>
          <w:lang w:val="en-US" w:eastAsia="zh-CN"/>
        </w:rPr>
        <w:t xml:space="preserve"> </w:t>
      </w:r>
      <w:r>
        <w:rPr>
          <w:rFonts w:hint="eastAsia" w:ascii="Arial Unicode MS" w:hAnsi="Arial Unicode MS" w:eastAsia="Arial Unicode MS" w:cs="Arial Unicode MS"/>
          <w:sz w:val="44"/>
          <w:szCs w:val="44"/>
          <w:highlight w:val="none"/>
          <w:lang w:eastAsia="zh-CN"/>
        </w:rPr>
        <w:t>表</w:t>
      </w:r>
    </w:p>
    <w:p w14:paraId="3F9855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0"/>
          <w:szCs w:val="30"/>
          <w:highlight w:val="none"/>
          <w:lang w:eastAsia="zh-CN"/>
        </w:rPr>
      </w:pPr>
    </w:p>
    <w:p w14:paraId="36729CA0">
      <w:pPr>
        <w:spacing w:line="360" w:lineRule="auto"/>
        <w:ind w:firstLine="360" w:firstLineChars="100"/>
        <w:rPr>
          <w:rFonts w:hint="eastAsia" w:ascii="宋体" w:hAnsi="宋体"/>
          <w:sz w:val="24"/>
          <w:highlight w:val="none"/>
        </w:rPr>
      </w:pPr>
      <w:r>
        <w:rPr>
          <w:rFonts w:ascii="宋体" w:hAnsi="宋体" w:eastAsia="宋体" w:cs="宋体"/>
          <w:i w:val="0"/>
          <w:iCs w:val="0"/>
          <w:caps w:val="0"/>
          <w:color w:val="000000"/>
          <w:spacing w:val="0"/>
          <w:sz w:val="36"/>
          <w:szCs w:val="36"/>
          <w:highlight w:val="none"/>
          <w:shd w:val="clear" w:fill="FFFFFF"/>
        </w:rPr>
        <w:t>报价计算过程</w:t>
      </w:r>
    </w:p>
    <w:p w14:paraId="246F209F">
      <w:pPr>
        <w:spacing w:line="360" w:lineRule="auto"/>
        <w:ind w:firstLine="240" w:firstLineChars="100"/>
        <w:rPr>
          <w:rFonts w:hint="eastAsia" w:ascii="宋体" w:hAnsi="宋体"/>
          <w:sz w:val="24"/>
          <w:highlight w:val="none"/>
        </w:rPr>
      </w:pPr>
    </w:p>
    <w:bookmarkEnd w:id="20"/>
    <w:bookmarkEnd w:id="21"/>
    <w:bookmarkEnd w:id="22"/>
    <w:p w14:paraId="44FAD207">
      <w:pPr>
        <w:rPr>
          <w:sz w:val="44"/>
          <w:szCs w:val="44"/>
          <w:highlight w:val="none"/>
        </w:rPr>
      </w:pPr>
    </w:p>
    <w:sectPr>
      <w:pgSz w:w="11906" w:h="16838"/>
      <w:pgMar w:top="1276" w:right="1351" w:bottom="1135" w:left="14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华文细黑">
    <w:panose1 w:val="02010600040101010101"/>
    <w:charset w:val="86"/>
    <w:family w:val="auto"/>
    <w:pitch w:val="default"/>
    <w:sig w:usb0="00000287" w:usb1="080F0000" w:usb2="00000000" w:usb3="00000000" w:csb0="0004009F" w:csb1="DFD70000"/>
  </w:font>
  <w:font w:name="方正黑体简体">
    <w:altName w:val="方正公文黑体"/>
    <w:panose1 w:val="02000000000000000000"/>
    <w:charset w:val="86"/>
    <w:family w:val="swiss"/>
    <w:pitch w:val="default"/>
    <w:sig w:usb0="00000000" w:usb1="00000000" w:usb2="00000012" w:usb3="00000000" w:csb0="00040001" w:csb1="00000000"/>
  </w:font>
  <w:font w:name="方正公文黑体">
    <w:panose1 w:val="02000500000000000000"/>
    <w:charset w:val="86"/>
    <w:family w:val="auto"/>
    <w:pitch w:val="default"/>
    <w:sig w:usb0="A00002BF" w:usb1="38CF7CFA" w:usb2="00000016" w:usb3="00000000" w:csb0="00040001" w:csb1="00000000"/>
  </w:font>
  <w:font w:name="Arial Unicode MS">
    <w:altName w:val="DejaVu Sans"/>
    <w:panose1 w:val="020B0604020202020204"/>
    <w:charset w:val="86"/>
    <w:family w:val="swiss"/>
    <w:pitch w:val="default"/>
    <w:sig w:usb0="00000000" w:usb1="00000000" w:usb2="0000003F" w:usb3="00000000" w:csb0="603F01FF" w:csb1="FFFF0000"/>
  </w:font>
  <w:font w:name="金桥简粗宋">
    <w:altName w:val="Noto Serif CJK SC"/>
    <w:panose1 w:val="00000000000000000000"/>
    <w:charset w:val="86"/>
    <w:family w:val="modern"/>
    <w:pitch w:val="default"/>
    <w:sig w:usb0="00000000" w:usb1="00000000" w:usb2="00000010" w:usb3="00000000" w:csb0="00040000" w:csb1="00000000"/>
  </w:font>
  <w:font w:name="Noto Serif CJK SC">
    <w:panose1 w:val="02020400000000000000"/>
    <w:charset w:val="86"/>
    <w:family w:val="auto"/>
    <w:pitch w:val="default"/>
    <w:sig w:usb0="30000083" w:usb1="2BDF3C10" w:usb2="00000016" w:usb3="00000000" w:csb0="602E0107"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FZXBSJW--GB1-0">
    <w:altName w:val="华文仿宋"/>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F195E">
    <w:pPr>
      <w:pStyle w:val="35"/>
      <w:ind w:left="8190" w:leftChars="0" w:right="0" w:rightChars="0" w:hangingChars="4550"/>
    </w:pPr>
    <w:r>
      <w:rPr>
        <w:rStyle w:val="61"/>
        <w:rFonts w:hint="eastAsia"/>
      </w:rPr>
      <w:t xml:space="preserve">                                                                                      </w:t>
    </w:r>
    <w:r>
      <mc:AlternateContent>
        <mc:Choice Requires="wps">
          <w:drawing>
            <wp:anchor distT="0" distB="0" distL="114935" distR="0" simplePos="0" relativeHeight="251659264" behindDoc="1" locked="0" layoutInCell="0" allowOverlap="1">
              <wp:simplePos x="0" y="0"/>
              <wp:positionH relativeFrom="margin">
                <wp:align>right</wp:align>
              </wp:positionH>
              <wp:positionV relativeFrom="paragraph">
                <wp:posOffset>635</wp:posOffset>
              </wp:positionV>
              <wp:extent cx="59690" cy="140970"/>
              <wp:effectExtent l="0" t="0" r="0" b="0"/>
              <wp:wrapNone/>
              <wp:docPr id="1" name="Frame4"/>
              <wp:cNvGraphicFramePr/>
              <a:graphic xmlns:a="http://schemas.openxmlformats.org/drawingml/2006/main">
                <a:graphicData uri="http://schemas.microsoft.com/office/word/2010/wordprocessingShape">
                  <wps:wsp>
                    <wps:cNvSpPr txBox="1"/>
                    <wps:spPr>
                      <a:xfrm>
                        <a:off x="0" y="0"/>
                        <a:ext cx="59690" cy="140970"/>
                      </a:xfrm>
                      <a:prstGeom prst="rect">
                        <a:avLst/>
                      </a:prstGeom>
                      <a:solidFill>
                        <a:srgbClr val="FFFFFF">
                          <a:alpha val="0"/>
                        </a:srgbClr>
                      </a:solidFill>
                    </wps:spPr>
                    <wps:txbx>
                      <w:txbxContent>
                        <w:p w14:paraId="05E1B9A1">
                          <w:pPr>
                            <w:pStyle w:val="35"/>
                          </w:pPr>
                          <w:r>
                            <w:fldChar w:fldCharType="begin"/>
                          </w:r>
                          <w:r>
                            <w:instrText xml:space="preserve"> PAGE </w:instrText>
                          </w:r>
                          <w:r>
                            <w:fldChar w:fldCharType="separate"/>
                          </w:r>
                          <w:r>
                            <w:t>2</w:t>
                          </w:r>
                          <w:r>
                            <w:fldChar w:fldCharType="end"/>
                          </w:r>
                        </w:p>
                      </w:txbxContent>
                    </wps:txbx>
                    <wps:bodyPr lIns="635" tIns="635" rIns="635" bIns="635" anchor="t">
                      <a:spAutoFit/>
                    </wps:bodyPr>
                  </wps:wsp>
                </a:graphicData>
              </a:graphic>
            </wp:anchor>
          </w:drawing>
        </mc:Choice>
        <mc:Fallback>
          <w:pict>
            <v:shape id="Frame4" o:spid="_x0000_s1026" o:spt="202" type="#_x0000_t202" style="position:absolute;left:0pt;margin-top:0.05pt;height:11.1pt;width:4.7pt;mso-position-horizontal:right;mso-position-horizontal-relative:margin;z-index:-251657216;mso-width-relative:page;mso-height-relative:page;" fillcolor="#FFFFFF" filled="t" stroked="f" coordsize="21600,21600" o:allowincell="f" o:gfxdata="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13Kgv0gAAAAIBAAAPAAAAAAAAAAEAIAAAACIAAABkcnMvZG93bnJl&#10;di54bWxQSwECFAAUAAAACACHTuJAGwG2CcoBAAC6AwAADgAAAAAAAAABACAAAAAhAQAAZHJzL2Uy&#10;b0RvYy54bWxQSwUGAAAAAAYABgBZAQAAXQUAAAAA&#10;">
              <v:fill on="t" opacity="0f" focussize="0,0"/>
              <v:stroke on="f"/>
              <v:imagedata o:title=""/>
              <o:lock v:ext="edit" aspectratio="f"/>
              <v:textbox inset="0.05pt,0.05pt,0.05pt,0.05pt" style="mso-fit-shape-to-text:t;">
                <w:txbxContent>
                  <w:p w14:paraId="05E1B9A1">
                    <w:pPr>
                      <w:pStyle w:val="35"/>
                    </w:pPr>
                    <w:r>
                      <w:fldChar w:fldCharType="begin"/>
                    </w:r>
                    <w:r>
                      <w:instrText xml:space="preserve"> PAGE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6C535">
    <w:pPr>
      <w:pStyle w:val="35"/>
      <w:jc w:val="center"/>
    </w:pPr>
    <w:r>
      <mc:AlternateContent>
        <mc:Choice Requires="wps">
          <w:drawing>
            <wp:anchor distT="0" distB="0" distL="114935" distR="0" simplePos="0" relativeHeight="251659264" behindDoc="1" locked="0" layoutInCell="0" allowOverlap="1">
              <wp:simplePos x="0" y="0"/>
              <wp:positionH relativeFrom="margin">
                <wp:align>right</wp:align>
              </wp:positionH>
              <wp:positionV relativeFrom="paragraph">
                <wp:posOffset>635</wp:posOffset>
              </wp:positionV>
              <wp:extent cx="59690" cy="140970"/>
              <wp:effectExtent l="0" t="0" r="0" b="0"/>
              <wp:wrapNone/>
              <wp:docPr id="2" name="Frame3"/>
              <wp:cNvGraphicFramePr/>
              <a:graphic xmlns:a="http://schemas.openxmlformats.org/drawingml/2006/main">
                <a:graphicData uri="http://schemas.microsoft.com/office/word/2010/wordprocessingShape">
                  <wps:wsp>
                    <wps:cNvSpPr txBox="1"/>
                    <wps:spPr>
                      <a:xfrm>
                        <a:off x="0" y="0"/>
                        <a:ext cx="59690" cy="140970"/>
                      </a:xfrm>
                      <a:prstGeom prst="rect">
                        <a:avLst/>
                      </a:prstGeom>
                      <a:solidFill>
                        <a:srgbClr val="FFFFFF">
                          <a:alpha val="0"/>
                        </a:srgbClr>
                      </a:solidFill>
                    </wps:spPr>
                    <wps:txbx>
                      <w:txbxContent>
                        <w:p w14:paraId="29AE8F39">
                          <w:pPr>
                            <w:pStyle w:val="35"/>
                            <w:jc w:val="center"/>
                          </w:pPr>
                          <w:r>
                            <w:fldChar w:fldCharType="begin"/>
                          </w:r>
                          <w:r>
                            <w:instrText xml:space="preserve"> PAGE </w:instrText>
                          </w:r>
                          <w:r>
                            <w:fldChar w:fldCharType="separate"/>
                          </w:r>
                          <w:r>
                            <w:t>1</w:t>
                          </w:r>
                          <w:r>
                            <w:fldChar w:fldCharType="end"/>
                          </w:r>
                        </w:p>
                      </w:txbxContent>
                    </wps:txbx>
                    <wps:bodyPr lIns="635" tIns="635" rIns="635" bIns="635" anchor="t">
                      <a:spAutoFit/>
                    </wps:bodyPr>
                  </wps:wsp>
                </a:graphicData>
              </a:graphic>
            </wp:anchor>
          </w:drawing>
        </mc:Choice>
        <mc:Fallback>
          <w:pict>
            <v:shape id="Frame3" o:spid="_x0000_s1026" o:spt="202" type="#_x0000_t202" style="position:absolute;left:0pt;margin-top:0.05pt;height:11.1pt;width:4.7pt;mso-position-horizontal:right;mso-position-horizontal-relative:margin;z-index:-251657216;mso-width-relative:page;mso-height-relative:page;" fillcolor="#FFFFFF" filled="t" stroked="f" coordsize="21600,21600" o:allowincell="f" o:gfxdata="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9dyoL9IAAAACAQAADwAAAAAAAAABACAAAAAiAAAAZHJzL2Rvd25y&#10;ZXYueG1sUEsBAhQAFAAAAAgAh07iQHhIa7fLAQAAugMAAA4AAAAAAAAAAQAgAAAAIQEAAGRycy9l&#10;Mm9Eb2MueG1sUEsFBgAAAAAGAAYAWQEAAF4FAAAAAA==&#10;">
              <v:fill on="t" opacity="0f" focussize="0,0"/>
              <v:stroke on="f"/>
              <v:imagedata o:title=""/>
              <o:lock v:ext="edit" aspectratio="f"/>
              <v:textbox inset="0.05pt,0.05pt,0.05pt,0.05pt" style="mso-fit-shape-to-text:t;">
                <w:txbxContent>
                  <w:p w14:paraId="29AE8F39">
                    <w:pPr>
                      <w:pStyle w:val="35"/>
                      <w:jc w:val="center"/>
                    </w:pPr>
                    <w:r>
                      <w:fldChar w:fldCharType="begin"/>
                    </w:r>
                    <w:r>
                      <w:instrText xml:space="preserve"> PAGE </w:instrText>
                    </w:r>
                    <w:r>
                      <w:fldChar w:fldCharType="separate"/>
                    </w:r>
                    <w:r>
                      <w:t>1</w:t>
                    </w:r>
                    <w:r>
                      <w:fldChar w:fldCharType="end"/>
                    </w:r>
                  </w:p>
                </w:txbxContent>
              </v:textbox>
            </v:shape>
          </w:pict>
        </mc:Fallback>
      </mc:AlternateContent>
    </w:r>
  </w:p>
  <w:p w14:paraId="3676D92A">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5CD69">
    <w:pPr>
      <w:pStyle w:val="35"/>
      <w:ind w:left="8190" w:leftChars="0" w:right="0" w:rightChars="0" w:hangingChars="4550"/>
    </w:pPr>
    <w:r>
      <w:rPr>
        <w:rStyle w:val="61"/>
        <w:rFonts w:hint="eastAsia"/>
      </w:rPr>
      <w:t xml:space="preserve">                                                                                      </w:t>
    </w:r>
    <w:r>
      <mc:AlternateContent>
        <mc:Choice Requires="wps">
          <w:drawing>
            <wp:anchor distT="0" distB="0" distL="114935" distR="0" simplePos="0" relativeHeight="251659264" behindDoc="1" locked="0" layoutInCell="0" allowOverlap="1">
              <wp:simplePos x="0" y="0"/>
              <wp:positionH relativeFrom="margin">
                <wp:align>right</wp:align>
              </wp:positionH>
              <wp:positionV relativeFrom="paragraph">
                <wp:posOffset>635</wp:posOffset>
              </wp:positionV>
              <wp:extent cx="117475" cy="140970"/>
              <wp:effectExtent l="0" t="0" r="0" b="0"/>
              <wp:wrapNone/>
              <wp:docPr id="3" name="Frame6"/>
              <wp:cNvGraphicFramePr/>
              <a:graphic xmlns:a="http://schemas.openxmlformats.org/drawingml/2006/main">
                <a:graphicData uri="http://schemas.microsoft.com/office/word/2010/wordprocessingShape">
                  <wps:wsp>
                    <wps:cNvSpPr txBox="1"/>
                    <wps:spPr>
                      <a:xfrm>
                        <a:off x="0" y="0"/>
                        <a:ext cx="117475" cy="140970"/>
                      </a:xfrm>
                      <a:prstGeom prst="rect">
                        <a:avLst/>
                      </a:prstGeom>
                      <a:solidFill>
                        <a:srgbClr val="FFFFFF">
                          <a:alpha val="0"/>
                        </a:srgbClr>
                      </a:solidFill>
                    </wps:spPr>
                    <wps:txbx>
                      <w:txbxContent>
                        <w:p w14:paraId="3988C3BF">
                          <w:pPr>
                            <w:pStyle w:val="35"/>
                          </w:pPr>
                          <w:r>
                            <w:fldChar w:fldCharType="begin"/>
                          </w:r>
                          <w:r>
                            <w:instrText xml:space="preserve"> PAGE </w:instrText>
                          </w:r>
                          <w:r>
                            <w:fldChar w:fldCharType="separate"/>
                          </w:r>
                          <w:r>
                            <w:t>20</w:t>
                          </w:r>
                          <w:r>
                            <w:fldChar w:fldCharType="end"/>
                          </w:r>
                        </w:p>
                      </w:txbxContent>
                    </wps:txbx>
                    <wps:bodyPr lIns="635" tIns="635" rIns="635" bIns="635" anchor="t">
                      <a:spAutoFit/>
                    </wps:bodyPr>
                  </wps:wsp>
                </a:graphicData>
              </a:graphic>
            </wp:anchor>
          </w:drawing>
        </mc:Choice>
        <mc:Fallback>
          <w:pict>
            <v:shape id="Frame6" o:spid="_x0000_s1026" o:spt="202" type="#_x0000_t202" style="position:absolute;left:0pt;margin-top:0.05pt;height:11.1pt;width:9.25pt;mso-position-horizontal:right;mso-position-horizontal-relative:margin;z-index:-251657216;mso-width-relative:page;mso-height-relative:page;" fillcolor="#FFFFFF" filled="t" stroked="f" coordsize="21600,21600" o:allowincell="f" o:gfxdata="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Lq1YNIAAAADAQAADwAAAAAAAAABACAAAAAiAAAAZHJzL2Rvd25y&#10;ZXYueG1sUEsBAhQAFAAAAAgAh07iQB7GdCPLAQAAuwMAAA4AAAAAAAAAAQAgAAAAIQEAAGRycy9l&#10;Mm9Eb2MueG1sUEsFBgAAAAAGAAYAWQEAAF4FAAAAAA==&#10;">
              <v:fill on="t" opacity="0f" focussize="0,0"/>
              <v:stroke on="f"/>
              <v:imagedata o:title=""/>
              <o:lock v:ext="edit" aspectratio="f"/>
              <v:textbox inset="0.05pt,0.05pt,0.05pt,0.05pt" style="mso-fit-shape-to-text:t;">
                <w:txbxContent>
                  <w:p w14:paraId="3988C3BF">
                    <w:pPr>
                      <w:pStyle w:val="35"/>
                    </w:pPr>
                    <w:r>
                      <w:fldChar w:fldCharType="begin"/>
                    </w:r>
                    <w:r>
                      <w:instrText xml:space="preserve"> PAGE </w:instrText>
                    </w:r>
                    <w:r>
                      <w:fldChar w:fldCharType="separate"/>
                    </w:r>
                    <w:r>
                      <w:t>20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1BECE">
    <w:pPr>
      <w:pStyle w:val="35"/>
      <w:jc w:val="center"/>
    </w:pPr>
    <w:r>
      <mc:AlternateContent>
        <mc:Choice Requires="wps">
          <w:drawing>
            <wp:anchor distT="0" distB="0" distL="114935" distR="0" simplePos="0" relativeHeight="251659264" behindDoc="1" locked="0" layoutInCell="0" allowOverlap="1">
              <wp:simplePos x="0" y="0"/>
              <wp:positionH relativeFrom="margin">
                <wp:align>right</wp:align>
              </wp:positionH>
              <wp:positionV relativeFrom="paragraph">
                <wp:posOffset>635</wp:posOffset>
              </wp:positionV>
              <wp:extent cx="59690" cy="140970"/>
              <wp:effectExtent l="0" t="0" r="0" b="0"/>
              <wp:wrapNone/>
              <wp:docPr id="4" name="Frame5"/>
              <wp:cNvGraphicFramePr/>
              <a:graphic xmlns:a="http://schemas.openxmlformats.org/drawingml/2006/main">
                <a:graphicData uri="http://schemas.microsoft.com/office/word/2010/wordprocessingShape">
                  <wps:wsp>
                    <wps:cNvSpPr txBox="1"/>
                    <wps:spPr>
                      <a:xfrm>
                        <a:off x="0" y="0"/>
                        <a:ext cx="59690" cy="140970"/>
                      </a:xfrm>
                      <a:prstGeom prst="rect">
                        <a:avLst/>
                      </a:prstGeom>
                      <a:solidFill>
                        <a:srgbClr val="FFFFFF">
                          <a:alpha val="0"/>
                        </a:srgbClr>
                      </a:solidFill>
                    </wps:spPr>
                    <wps:txbx>
                      <w:txbxContent>
                        <w:p w14:paraId="446277A4">
                          <w:pPr>
                            <w:pStyle w:val="35"/>
                            <w:jc w:val="center"/>
                          </w:pPr>
                          <w:r>
                            <w:fldChar w:fldCharType="begin"/>
                          </w:r>
                          <w:r>
                            <w:instrText xml:space="preserve"> PAGE </w:instrText>
                          </w:r>
                          <w:r>
                            <w:fldChar w:fldCharType="separate"/>
                          </w:r>
                          <w:r>
                            <w:t>1</w:t>
                          </w:r>
                          <w:r>
                            <w:fldChar w:fldCharType="end"/>
                          </w:r>
                        </w:p>
                      </w:txbxContent>
                    </wps:txbx>
                    <wps:bodyPr lIns="635" tIns="635" rIns="635" bIns="635" anchor="t">
                      <a:spAutoFit/>
                    </wps:bodyPr>
                  </wps:wsp>
                </a:graphicData>
              </a:graphic>
            </wp:anchor>
          </w:drawing>
        </mc:Choice>
        <mc:Fallback>
          <w:pict>
            <v:shape id="Frame5" o:spid="_x0000_s1026" o:spt="202" type="#_x0000_t202" style="position:absolute;left:0pt;margin-top:0.05pt;height:11.1pt;width:4.7pt;mso-position-horizontal:right;mso-position-horizontal-relative:margin;z-index:-251657216;mso-width-relative:page;mso-height-relative:page;" fillcolor="#FFFFFF" filled="t" stroked="f" coordsize="21600,21600" o:allowincell="f" o:gfxdata="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9dyoL9IAAAACAQAADwAAAAAAAAABACAAAAAiAAAAZHJzL2Rvd25y&#10;ZXYueG1sUEsBAhQAFAAAAAgAh07iQPm2io7LAQAAugMAAA4AAAAAAAAAAQAgAAAAIQEAAGRycy9l&#10;Mm9Eb2MueG1sUEsFBgAAAAAGAAYAWQEAAF4FAAAAAA==&#10;">
              <v:fill on="t" opacity="0f" focussize="0,0"/>
              <v:stroke on="f"/>
              <v:imagedata o:title=""/>
              <o:lock v:ext="edit" aspectratio="f"/>
              <v:textbox inset="0.05pt,0.05pt,0.05pt,0.05pt" style="mso-fit-shape-to-text:t;">
                <w:txbxContent>
                  <w:p w14:paraId="446277A4">
                    <w:pPr>
                      <w:pStyle w:val="35"/>
                      <w:jc w:val="center"/>
                    </w:pPr>
                    <w:r>
                      <w:fldChar w:fldCharType="begin"/>
                    </w:r>
                    <w:r>
                      <w:instrText xml:space="preserve"> PAGE </w:instrText>
                    </w:r>
                    <w:r>
                      <w:fldChar w:fldCharType="separate"/>
                    </w:r>
                    <w:r>
                      <w:t>1</w:t>
                    </w:r>
                    <w:r>
                      <w:fldChar w:fldCharType="end"/>
                    </w:r>
                  </w:p>
                </w:txbxContent>
              </v:textbox>
            </v:shape>
          </w:pict>
        </mc:Fallback>
      </mc:AlternateContent>
    </w:r>
  </w:p>
  <w:p w14:paraId="56169E61">
    <w:pPr>
      <w:pStyle w:val="3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86AA6">
    <w:pPr>
      <w:pStyle w:val="35"/>
      <w:spacing w:beforeLines="0" w:afterLines="0"/>
      <w:jc w:val="center"/>
      <w:rPr>
        <w:rFonts w:hint="default"/>
        <w:sz w:val="18"/>
        <w:szCs w:val="24"/>
      </w:rPr>
    </w:pPr>
    <w:r>
      <w:rPr>
        <w:rFonts w:hint="default"/>
        <w:sz w:val="18"/>
        <w:szCs w:val="24"/>
      </w:rPr>
      <w:fldChar w:fldCharType="begin"/>
    </w:r>
    <w:r>
      <w:rPr>
        <w:rFonts w:hint="default"/>
        <w:sz w:val="18"/>
        <w:szCs w:val="24"/>
      </w:rPr>
      <w:instrText xml:space="preserve"> PAGE   \* MERGEFORMAT </w:instrText>
    </w:r>
    <w:r>
      <w:rPr>
        <w:rFonts w:hint="default"/>
        <w:sz w:val="18"/>
        <w:szCs w:val="24"/>
      </w:rPr>
      <w:fldChar w:fldCharType="separate"/>
    </w:r>
    <w:r>
      <w:rPr>
        <w:rFonts w:hint="default"/>
        <w:sz w:val="18"/>
        <w:szCs w:val="24"/>
        <w:lang w:val="zh-CN"/>
      </w:rPr>
      <w:t>11</w:t>
    </w:r>
    <w:r>
      <w:rPr>
        <w:rFonts w:hint="default"/>
        <w:sz w:val="18"/>
        <w:szCs w:val="24"/>
        <w:lang w:val="zh-CN"/>
      </w:rPr>
      <w:fldChar w:fldCharType="end"/>
    </w:r>
  </w:p>
  <w:p w14:paraId="266A1FE0">
    <w:pPr>
      <w:pStyle w:val="35"/>
      <w:spacing w:beforeLines="0" w:afterLines="0"/>
      <w:jc w:val="center"/>
      <w:rPr>
        <w:rFonts w:hint="default"/>
        <w:sz w:val="18"/>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267E8">
    <w:pPr>
      <w:pStyle w:val="3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0FDDC">
    <w:pPr>
      <w:pStyle w:val="3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EB67B">
    <w:pPr>
      <w:pStyle w:val="3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35686">
    <w:pPr>
      <w:pStyle w:val="3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AEB15">
    <w:pPr>
      <w:pStyle w:val="3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CC9C">
    <w:pPr>
      <w:pStyle w:val="36"/>
      <w:pBdr>
        <w:bottom w:val="none" w:color="auto" w:sz="0" w:space="0"/>
      </w:pBdr>
      <w:spacing w:beforeLines="0" w:afterLines="0"/>
      <w:rPr>
        <w:rFonts w:hint="default"/>
        <w:sz w:val="1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A5C1C"/>
    <w:multiLevelType w:val="multilevel"/>
    <w:tmpl w:val="9F3A5C1C"/>
    <w:lvl w:ilvl="0" w:tentative="0">
      <w:start w:val="1"/>
      <w:numFmt w:val="taiwaneseCountingThousand"/>
      <w:lvlText w:val="%1、"/>
      <w:lvlJc w:val="left"/>
      <w:pPr>
        <w:tabs>
          <w:tab w:val="left" w:pos="0"/>
        </w:tabs>
        <w:ind w:left="1110" w:hanging="510"/>
      </w:pPr>
    </w:lvl>
    <w:lvl w:ilvl="1" w:tentative="0">
      <w:start w:val="1"/>
      <w:numFmt w:val="decimal"/>
      <w:lvlText w:val="%2."/>
      <w:lvlJc w:val="left"/>
      <w:pPr>
        <w:tabs>
          <w:tab w:val="left" w:pos="0"/>
        </w:tabs>
        <w:ind w:left="1440" w:hanging="360"/>
      </w:pPr>
    </w:lvl>
    <w:lvl w:ilvl="2" w:tentative="0">
      <w:start w:val="1"/>
      <w:numFmt w:val="decimal"/>
      <w:lvlText w:val="%3."/>
      <w:lvlJc w:val="left"/>
      <w:pPr>
        <w:tabs>
          <w:tab w:val="left" w:pos="0"/>
        </w:tabs>
        <w:ind w:left="2160" w:hanging="360"/>
      </w:pPr>
    </w:lvl>
    <w:lvl w:ilvl="3" w:tentative="0">
      <w:start w:val="1"/>
      <w:numFmt w:val="decimal"/>
      <w:lvlText w:val="%4."/>
      <w:lvlJc w:val="left"/>
      <w:pPr>
        <w:tabs>
          <w:tab w:val="left" w:pos="0"/>
        </w:tabs>
        <w:ind w:left="2880" w:hanging="360"/>
      </w:pPr>
    </w:lvl>
    <w:lvl w:ilvl="4" w:tentative="0">
      <w:start w:val="1"/>
      <w:numFmt w:val="decimal"/>
      <w:lvlText w:val="%5."/>
      <w:lvlJc w:val="left"/>
      <w:pPr>
        <w:tabs>
          <w:tab w:val="left" w:pos="0"/>
        </w:tabs>
        <w:ind w:left="3600" w:hanging="360"/>
      </w:pPr>
    </w:lvl>
    <w:lvl w:ilvl="5" w:tentative="0">
      <w:start w:val="1"/>
      <w:numFmt w:val="decimal"/>
      <w:lvlText w:val="%6."/>
      <w:lvlJc w:val="left"/>
      <w:pPr>
        <w:tabs>
          <w:tab w:val="left" w:pos="0"/>
        </w:tabs>
        <w:ind w:left="4320" w:hanging="360"/>
      </w:pPr>
    </w:lvl>
    <w:lvl w:ilvl="6" w:tentative="0">
      <w:start w:val="1"/>
      <w:numFmt w:val="decimal"/>
      <w:lvlText w:val="%7."/>
      <w:lvlJc w:val="left"/>
      <w:pPr>
        <w:tabs>
          <w:tab w:val="left" w:pos="0"/>
        </w:tabs>
        <w:ind w:left="5040" w:hanging="360"/>
      </w:pPr>
    </w:lvl>
    <w:lvl w:ilvl="7" w:tentative="0">
      <w:start w:val="1"/>
      <w:numFmt w:val="decimal"/>
      <w:lvlText w:val="%8."/>
      <w:lvlJc w:val="left"/>
      <w:pPr>
        <w:tabs>
          <w:tab w:val="left" w:pos="0"/>
        </w:tabs>
        <w:ind w:left="5760" w:hanging="360"/>
      </w:pPr>
    </w:lvl>
    <w:lvl w:ilvl="8" w:tentative="0">
      <w:start w:val="1"/>
      <w:numFmt w:val="decimal"/>
      <w:lvlText w:val="%9."/>
      <w:lvlJc w:val="left"/>
      <w:pPr>
        <w:tabs>
          <w:tab w:val="left" w:pos="0"/>
        </w:tabs>
        <w:ind w:left="6480" w:hanging="360"/>
      </w:pPr>
    </w:lvl>
  </w:abstractNum>
  <w:abstractNum w:abstractNumId="1">
    <w:nsid w:val="FE3DFBEF"/>
    <w:multiLevelType w:val="multilevel"/>
    <w:tmpl w:val="FE3DFBEF"/>
    <w:lvl w:ilvl="0" w:tentative="0">
      <w:start w:val="2"/>
      <w:numFmt w:val="bullet"/>
      <w:lvlText w:val="□"/>
      <w:lvlJc w:val="left"/>
      <w:pPr>
        <w:tabs>
          <w:tab w:val="left" w:pos="0"/>
        </w:tabs>
        <w:ind w:left="786" w:hanging="360"/>
      </w:pPr>
      <w:rPr>
        <w:rFonts w:hint="default" w:ascii="宋体" w:hAnsi="宋体" w:cs="宋体"/>
        <w:u w:val="none"/>
      </w:rPr>
    </w:lvl>
    <w:lvl w:ilvl="1" w:tentative="0">
      <w:start w:val="1"/>
      <w:numFmt w:val="bullet"/>
      <w:lvlText w:val=""/>
      <w:lvlJc w:val="left"/>
      <w:pPr>
        <w:tabs>
          <w:tab w:val="left" w:pos="0"/>
        </w:tabs>
        <w:ind w:left="1266" w:hanging="420"/>
      </w:pPr>
      <w:rPr>
        <w:rFonts w:hint="default" w:ascii="Wingdings" w:hAnsi="Wingdings" w:cs="Wingdings"/>
      </w:rPr>
    </w:lvl>
    <w:lvl w:ilvl="2" w:tentative="0">
      <w:start w:val="1"/>
      <w:numFmt w:val="bullet"/>
      <w:lvlText w:val=""/>
      <w:lvlJc w:val="left"/>
      <w:pPr>
        <w:tabs>
          <w:tab w:val="left" w:pos="0"/>
        </w:tabs>
        <w:ind w:left="1686" w:hanging="420"/>
      </w:pPr>
      <w:rPr>
        <w:rFonts w:hint="default" w:ascii="Wingdings" w:hAnsi="Wingdings" w:cs="Wingdings"/>
      </w:rPr>
    </w:lvl>
    <w:lvl w:ilvl="3" w:tentative="0">
      <w:start w:val="1"/>
      <w:numFmt w:val="bullet"/>
      <w:lvlText w:val=""/>
      <w:lvlJc w:val="left"/>
      <w:pPr>
        <w:tabs>
          <w:tab w:val="left" w:pos="0"/>
        </w:tabs>
        <w:ind w:left="2106" w:hanging="420"/>
      </w:pPr>
      <w:rPr>
        <w:rFonts w:hint="default" w:ascii="Wingdings" w:hAnsi="Wingdings" w:cs="Wingdings"/>
      </w:rPr>
    </w:lvl>
    <w:lvl w:ilvl="4" w:tentative="0">
      <w:start w:val="1"/>
      <w:numFmt w:val="bullet"/>
      <w:lvlText w:val=""/>
      <w:lvlJc w:val="left"/>
      <w:pPr>
        <w:tabs>
          <w:tab w:val="left" w:pos="0"/>
        </w:tabs>
        <w:ind w:left="2526" w:hanging="420"/>
      </w:pPr>
      <w:rPr>
        <w:rFonts w:hint="default" w:ascii="Wingdings" w:hAnsi="Wingdings" w:cs="Wingdings"/>
      </w:rPr>
    </w:lvl>
    <w:lvl w:ilvl="5" w:tentative="0">
      <w:start w:val="1"/>
      <w:numFmt w:val="bullet"/>
      <w:lvlText w:val=""/>
      <w:lvlJc w:val="left"/>
      <w:pPr>
        <w:tabs>
          <w:tab w:val="left" w:pos="0"/>
        </w:tabs>
        <w:ind w:left="2946" w:hanging="420"/>
      </w:pPr>
      <w:rPr>
        <w:rFonts w:hint="default" w:ascii="Wingdings" w:hAnsi="Wingdings" w:cs="Wingdings"/>
      </w:rPr>
    </w:lvl>
    <w:lvl w:ilvl="6" w:tentative="0">
      <w:start w:val="1"/>
      <w:numFmt w:val="bullet"/>
      <w:lvlText w:val=""/>
      <w:lvlJc w:val="left"/>
      <w:pPr>
        <w:tabs>
          <w:tab w:val="left" w:pos="0"/>
        </w:tabs>
        <w:ind w:left="3366" w:hanging="420"/>
      </w:pPr>
      <w:rPr>
        <w:rFonts w:hint="default" w:ascii="Wingdings" w:hAnsi="Wingdings" w:cs="Wingdings"/>
      </w:rPr>
    </w:lvl>
    <w:lvl w:ilvl="7" w:tentative="0">
      <w:start w:val="1"/>
      <w:numFmt w:val="bullet"/>
      <w:lvlText w:val=""/>
      <w:lvlJc w:val="left"/>
      <w:pPr>
        <w:tabs>
          <w:tab w:val="left" w:pos="0"/>
        </w:tabs>
        <w:ind w:left="3786" w:hanging="420"/>
      </w:pPr>
      <w:rPr>
        <w:rFonts w:hint="default" w:ascii="Wingdings" w:hAnsi="Wingdings" w:cs="Wingdings"/>
      </w:rPr>
    </w:lvl>
    <w:lvl w:ilvl="8" w:tentative="0">
      <w:start w:val="1"/>
      <w:numFmt w:val="bullet"/>
      <w:lvlText w:val=""/>
      <w:lvlJc w:val="left"/>
      <w:pPr>
        <w:tabs>
          <w:tab w:val="left" w:pos="0"/>
        </w:tabs>
        <w:ind w:left="4206" w:hanging="420"/>
      </w:pPr>
      <w:rPr>
        <w:rFonts w:hint="default" w:ascii="Wingdings" w:hAnsi="Wingdings" w:cs="Wingdings"/>
      </w:rPr>
    </w:lvl>
  </w:abstractNum>
  <w:abstractNum w:abstractNumId="2">
    <w:nsid w:val="FFD65D8A"/>
    <w:multiLevelType w:val="multilevel"/>
    <w:tmpl w:val="FFD65D8A"/>
    <w:lvl w:ilvl="0" w:tentative="0">
      <w:start w:val="1"/>
      <w:numFmt w:val="bullet"/>
      <w:lvlText w:val="□"/>
      <w:lvlJc w:val="left"/>
      <w:pPr>
        <w:tabs>
          <w:tab w:val="left" w:pos="0"/>
        </w:tabs>
        <w:ind w:left="861" w:hanging="435"/>
      </w:pPr>
      <w:rPr>
        <w:rFonts w:hint="default" w:ascii="宋体" w:hAnsi="宋体" w:cs="宋体"/>
      </w:rPr>
    </w:lvl>
    <w:lvl w:ilvl="1" w:tentative="0">
      <w:start w:val="1"/>
      <w:numFmt w:val="bullet"/>
      <w:lvlText w:val=""/>
      <w:lvlJc w:val="left"/>
      <w:pPr>
        <w:tabs>
          <w:tab w:val="left" w:pos="0"/>
        </w:tabs>
        <w:ind w:left="1260" w:hanging="420"/>
      </w:pPr>
      <w:rPr>
        <w:rFonts w:hint="default" w:ascii="Wingdings" w:hAnsi="Wingdings" w:cs="Wingdings"/>
      </w:rPr>
    </w:lvl>
    <w:lvl w:ilvl="2" w:tentative="0">
      <w:start w:val="1"/>
      <w:numFmt w:val="bullet"/>
      <w:lvlText w:val=""/>
      <w:lvlJc w:val="left"/>
      <w:pPr>
        <w:tabs>
          <w:tab w:val="left" w:pos="0"/>
        </w:tabs>
        <w:ind w:left="1680" w:hanging="420"/>
      </w:pPr>
      <w:rPr>
        <w:rFonts w:hint="default" w:ascii="Wingdings" w:hAnsi="Wingdings" w:cs="Wingdings"/>
      </w:rPr>
    </w:lvl>
    <w:lvl w:ilvl="3" w:tentative="0">
      <w:start w:val="1"/>
      <w:numFmt w:val="bullet"/>
      <w:lvlText w:val=""/>
      <w:lvlJc w:val="left"/>
      <w:pPr>
        <w:tabs>
          <w:tab w:val="left" w:pos="0"/>
        </w:tabs>
        <w:ind w:left="2100" w:hanging="420"/>
      </w:pPr>
      <w:rPr>
        <w:rFonts w:hint="default" w:ascii="Wingdings" w:hAnsi="Wingdings" w:cs="Wingdings"/>
      </w:rPr>
    </w:lvl>
    <w:lvl w:ilvl="4" w:tentative="0">
      <w:start w:val="1"/>
      <w:numFmt w:val="bullet"/>
      <w:lvlText w:val=""/>
      <w:lvlJc w:val="left"/>
      <w:pPr>
        <w:tabs>
          <w:tab w:val="left" w:pos="0"/>
        </w:tabs>
        <w:ind w:left="2520" w:hanging="420"/>
      </w:pPr>
      <w:rPr>
        <w:rFonts w:hint="default" w:ascii="Wingdings" w:hAnsi="Wingdings" w:cs="Wingdings"/>
      </w:rPr>
    </w:lvl>
    <w:lvl w:ilvl="5" w:tentative="0">
      <w:start w:val="1"/>
      <w:numFmt w:val="bullet"/>
      <w:lvlText w:val=""/>
      <w:lvlJc w:val="left"/>
      <w:pPr>
        <w:tabs>
          <w:tab w:val="left" w:pos="0"/>
        </w:tabs>
        <w:ind w:left="2940" w:hanging="420"/>
      </w:pPr>
      <w:rPr>
        <w:rFonts w:hint="default" w:ascii="Wingdings" w:hAnsi="Wingdings" w:cs="Wingdings"/>
      </w:rPr>
    </w:lvl>
    <w:lvl w:ilvl="6" w:tentative="0">
      <w:start w:val="1"/>
      <w:numFmt w:val="bullet"/>
      <w:lvlText w:val=""/>
      <w:lvlJc w:val="left"/>
      <w:pPr>
        <w:tabs>
          <w:tab w:val="left" w:pos="0"/>
        </w:tabs>
        <w:ind w:left="3360" w:hanging="420"/>
      </w:pPr>
      <w:rPr>
        <w:rFonts w:hint="default" w:ascii="Wingdings" w:hAnsi="Wingdings" w:cs="Wingdings"/>
      </w:rPr>
    </w:lvl>
    <w:lvl w:ilvl="7" w:tentative="0">
      <w:start w:val="1"/>
      <w:numFmt w:val="bullet"/>
      <w:lvlText w:val=""/>
      <w:lvlJc w:val="left"/>
      <w:pPr>
        <w:tabs>
          <w:tab w:val="left" w:pos="0"/>
        </w:tabs>
        <w:ind w:left="3780" w:hanging="420"/>
      </w:pPr>
      <w:rPr>
        <w:rFonts w:hint="default" w:ascii="Wingdings" w:hAnsi="Wingdings" w:cs="Wingdings"/>
      </w:rPr>
    </w:lvl>
    <w:lvl w:ilvl="8" w:tentative="0">
      <w:start w:val="1"/>
      <w:numFmt w:val="bullet"/>
      <w:lvlText w:val=""/>
      <w:lvlJc w:val="left"/>
      <w:pPr>
        <w:tabs>
          <w:tab w:val="left" w:pos="0"/>
        </w:tabs>
        <w:ind w:left="4200" w:hanging="420"/>
      </w:pPr>
      <w:rPr>
        <w:rFonts w:hint="default" w:ascii="Wingdings" w:hAnsi="Wingdings" w:cs="Wingdings"/>
      </w:rPr>
    </w:lvl>
  </w:abstractNum>
  <w:abstractNum w:abstractNumId="3">
    <w:nsid w:val="09F3727D"/>
    <w:multiLevelType w:val="multilevel"/>
    <w:tmpl w:val="09F3727D"/>
    <w:lvl w:ilvl="0" w:tentative="0">
      <w:start w:val="1"/>
      <w:numFmt w:val="decimal"/>
      <w:pStyle w:val="109"/>
      <w:lvlText w:val="%1.0"/>
      <w:lvlJc w:val="left"/>
      <w:pPr>
        <w:tabs>
          <w:tab w:val="left" w:pos="578"/>
        </w:tabs>
        <w:ind w:left="578" w:hanging="578"/>
      </w:pPr>
      <w:rPr>
        <w:rFonts w:hint="default" w:ascii="Arial" w:hAnsi="Arial"/>
        <w:b/>
        <w:i w:val="0"/>
        <w:color w:val="auto"/>
        <w:sz w:val="32"/>
      </w:rPr>
    </w:lvl>
    <w:lvl w:ilvl="1" w:tentative="0">
      <w:start w:val="1"/>
      <w:numFmt w:val="decimal"/>
      <w:pStyle w:val="112"/>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8"/>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4">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abstractNum w:abstractNumId="5">
    <w:nsid w:val="5FFEC56B"/>
    <w:multiLevelType w:val="singleLevel"/>
    <w:tmpl w:val="5FFEC56B"/>
    <w:lvl w:ilvl="0" w:tentative="0">
      <w:start w:val="2"/>
      <w:numFmt w:val="chineseCountingThousand"/>
      <w:suff w:val="space"/>
      <w:lvlText w:val="%1、"/>
      <w:lvlJc w:val="left"/>
      <w:pPr>
        <w:tabs>
          <w:tab w:val="left" w:pos="0"/>
        </w:tabs>
        <w:ind w:left="0" w:firstLine="0"/>
      </w:pPr>
      <w:rPr>
        <w:rFonts w:hint="eastAsia"/>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4Yjc5N2RjMzhmNTBlYjUzMTNjMTU1ZTliY2ExY2MifQ=="/>
  </w:docVars>
  <w:rsids>
    <w:rsidRoot w:val="00172A2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5E4"/>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677"/>
    <w:rsid w:val="00185FEB"/>
    <w:rsid w:val="00186BF0"/>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236E"/>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3F66EA"/>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96168"/>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1439"/>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148C"/>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98186C"/>
    <w:rsid w:val="01AC5DF9"/>
    <w:rsid w:val="01DD41C2"/>
    <w:rsid w:val="01E345AE"/>
    <w:rsid w:val="02790092"/>
    <w:rsid w:val="02F42900"/>
    <w:rsid w:val="02FA1195"/>
    <w:rsid w:val="0302618A"/>
    <w:rsid w:val="044429C2"/>
    <w:rsid w:val="04695794"/>
    <w:rsid w:val="04810C52"/>
    <w:rsid w:val="04A05004"/>
    <w:rsid w:val="05056095"/>
    <w:rsid w:val="05464AF8"/>
    <w:rsid w:val="055B7332"/>
    <w:rsid w:val="056A3FE9"/>
    <w:rsid w:val="059F4FD1"/>
    <w:rsid w:val="05BE2B4E"/>
    <w:rsid w:val="05D070DB"/>
    <w:rsid w:val="061D0302"/>
    <w:rsid w:val="064F66A3"/>
    <w:rsid w:val="066F200F"/>
    <w:rsid w:val="067C7D80"/>
    <w:rsid w:val="06A00B12"/>
    <w:rsid w:val="06D7755B"/>
    <w:rsid w:val="06E6452A"/>
    <w:rsid w:val="0714449E"/>
    <w:rsid w:val="071A149F"/>
    <w:rsid w:val="07205F42"/>
    <w:rsid w:val="072D7269"/>
    <w:rsid w:val="074273A6"/>
    <w:rsid w:val="07B77118"/>
    <w:rsid w:val="08254790"/>
    <w:rsid w:val="089963F4"/>
    <w:rsid w:val="08F03474"/>
    <w:rsid w:val="09162A16"/>
    <w:rsid w:val="091A7535"/>
    <w:rsid w:val="091D497D"/>
    <w:rsid w:val="092E369A"/>
    <w:rsid w:val="09B14F92"/>
    <w:rsid w:val="09BF626E"/>
    <w:rsid w:val="0A50402E"/>
    <w:rsid w:val="0A897EA0"/>
    <w:rsid w:val="0AB86C5C"/>
    <w:rsid w:val="0AC34AEB"/>
    <w:rsid w:val="0AD96324"/>
    <w:rsid w:val="0AEF58AD"/>
    <w:rsid w:val="0AFE39F5"/>
    <w:rsid w:val="0AFE687F"/>
    <w:rsid w:val="0B294C31"/>
    <w:rsid w:val="0B7F7677"/>
    <w:rsid w:val="0BE307CB"/>
    <w:rsid w:val="0C1F073A"/>
    <w:rsid w:val="0C6101CD"/>
    <w:rsid w:val="0C7C38C4"/>
    <w:rsid w:val="0C871385"/>
    <w:rsid w:val="0CC83B28"/>
    <w:rsid w:val="0CC87C49"/>
    <w:rsid w:val="0CCA3B52"/>
    <w:rsid w:val="0CE43B33"/>
    <w:rsid w:val="0D344BBB"/>
    <w:rsid w:val="0DA74227"/>
    <w:rsid w:val="0DC437DB"/>
    <w:rsid w:val="0E1C4090"/>
    <w:rsid w:val="0E1C5AFD"/>
    <w:rsid w:val="0E3E5F3C"/>
    <w:rsid w:val="0E823F28"/>
    <w:rsid w:val="0E8D6C2C"/>
    <w:rsid w:val="0E9137B3"/>
    <w:rsid w:val="0EB12E2A"/>
    <w:rsid w:val="0EBE69D9"/>
    <w:rsid w:val="0ECB20BE"/>
    <w:rsid w:val="0EEB113D"/>
    <w:rsid w:val="0F0C75A2"/>
    <w:rsid w:val="0F8B77D5"/>
    <w:rsid w:val="0FBE5D9F"/>
    <w:rsid w:val="0FD36B3B"/>
    <w:rsid w:val="0FD47E3C"/>
    <w:rsid w:val="1018216D"/>
    <w:rsid w:val="102173FB"/>
    <w:rsid w:val="10256C94"/>
    <w:rsid w:val="1028597F"/>
    <w:rsid w:val="1051696C"/>
    <w:rsid w:val="107728F9"/>
    <w:rsid w:val="107C0AD5"/>
    <w:rsid w:val="10A64D73"/>
    <w:rsid w:val="10AD1231"/>
    <w:rsid w:val="10B306BD"/>
    <w:rsid w:val="10D4173C"/>
    <w:rsid w:val="10FE73BE"/>
    <w:rsid w:val="111B4AA2"/>
    <w:rsid w:val="11497A7D"/>
    <w:rsid w:val="114B1D4A"/>
    <w:rsid w:val="116D5365"/>
    <w:rsid w:val="121477AB"/>
    <w:rsid w:val="1220793F"/>
    <w:rsid w:val="1227630D"/>
    <w:rsid w:val="125D64CF"/>
    <w:rsid w:val="12B16A9E"/>
    <w:rsid w:val="13272F7A"/>
    <w:rsid w:val="13361405"/>
    <w:rsid w:val="13767A09"/>
    <w:rsid w:val="137A2F78"/>
    <w:rsid w:val="13B92195"/>
    <w:rsid w:val="13B9577F"/>
    <w:rsid w:val="1452749D"/>
    <w:rsid w:val="14922F3A"/>
    <w:rsid w:val="14FD2A2E"/>
    <w:rsid w:val="15081429"/>
    <w:rsid w:val="153D5CAE"/>
    <w:rsid w:val="158A718E"/>
    <w:rsid w:val="15EA5123"/>
    <w:rsid w:val="16313179"/>
    <w:rsid w:val="165923BB"/>
    <w:rsid w:val="16B56EA5"/>
    <w:rsid w:val="170610F8"/>
    <w:rsid w:val="17126E39"/>
    <w:rsid w:val="176A56C2"/>
    <w:rsid w:val="176D2C29"/>
    <w:rsid w:val="179C380B"/>
    <w:rsid w:val="17A57CB0"/>
    <w:rsid w:val="17AB0959"/>
    <w:rsid w:val="17B648CC"/>
    <w:rsid w:val="17DE1291"/>
    <w:rsid w:val="18780BD9"/>
    <w:rsid w:val="18AB0FDA"/>
    <w:rsid w:val="18AD553C"/>
    <w:rsid w:val="197039DA"/>
    <w:rsid w:val="197772D6"/>
    <w:rsid w:val="19A67A64"/>
    <w:rsid w:val="19BF0C31"/>
    <w:rsid w:val="19DE2198"/>
    <w:rsid w:val="19E43962"/>
    <w:rsid w:val="19E9200D"/>
    <w:rsid w:val="1A6D597B"/>
    <w:rsid w:val="1A732F49"/>
    <w:rsid w:val="1ACC2467"/>
    <w:rsid w:val="1ACE4D14"/>
    <w:rsid w:val="1AD027EB"/>
    <w:rsid w:val="1B1B5341"/>
    <w:rsid w:val="1B2C5E4B"/>
    <w:rsid w:val="1B4874D7"/>
    <w:rsid w:val="1C2844A0"/>
    <w:rsid w:val="1C525155"/>
    <w:rsid w:val="1C8E406A"/>
    <w:rsid w:val="1CAC31C2"/>
    <w:rsid w:val="1CB72D49"/>
    <w:rsid w:val="1CF27B09"/>
    <w:rsid w:val="1CFF1026"/>
    <w:rsid w:val="1D9B7242"/>
    <w:rsid w:val="1DEA3522"/>
    <w:rsid w:val="1E053181"/>
    <w:rsid w:val="1E474BEE"/>
    <w:rsid w:val="1E7B2E90"/>
    <w:rsid w:val="1E835E6A"/>
    <w:rsid w:val="1EA705ED"/>
    <w:rsid w:val="1EB401AB"/>
    <w:rsid w:val="1EB67161"/>
    <w:rsid w:val="1ECC77C3"/>
    <w:rsid w:val="1F302C65"/>
    <w:rsid w:val="1F44792A"/>
    <w:rsid w:val="1F6670ED"/>
    <w:rsid w:val="1FE271D5"/>
    <w:rsid w:val="1FE501FD"/>
    <w:rsid w:val="1FEB5623"/>
    <w:rsid w:val="1FEF712E"/>
    <w:rsid w:val="20611216"/>
    <w:rsid w:val="20621FC3"/>
    <w:rsid w:val="20E35BE9"/>
    <w:rsid w:val="21156A1C"/>
    <w:rsid w:val="21310B1A"/>
    <w:rsid w:val="2152274F"/>
    <w:rsid w:val="21540B6C"/>
    <w:rsid w:val="21611713"/>
    <w:rsid w:val="216B3340"/>
    <w:rsid w:val="218A325D"/>
    <w:rsid w:val="21A41CB8"/>
    <w:rsid w:val="21F42BC1"/>
    <w:rsid w:val="22203EB3"/>
    <w:rsid w:val="22255D12"/>
    <w:rsid w:val="227605BB"/>
    <w:rsid w:val="22BD7457"/>
    <w:rsid w:val="22E36C68"/>
    <w:rsid w:val="23476928"/>
    <w:rsid w:val="23550037"/>
    <w:rsid w:val="235E3944"/>
    <w:rsid w:val="237D78D0"/>
    <w:rsid w:val="23B073D3"/>
    <w:rsid w:val="23DF5BCA"/>
    <w:rsid w:val="23E502C6"/>
    <w:rsid w:val="2422296D"/>
    <w:rsid w:val="2426102C"/>
    <w:rsid w:val="244E349E"/>
    <w:rsid w:val="24666EE4"/>
    <w:rsid w:val="24701946"/>
    <w:rsid w:val="24BA2272"/>
    <w:rsid w:val="25280AEE"/>
    <w:rsid w:val="25E42F4C"/>
    <w:rsid w:val="261074AD"/>
    <w:rsid w:val="261C46B1"/>
    <w:rsid w:val="267F4B9F"/>
    <w:rsid w:val="26F42E9C"/>
    <w:rsid w:val="27D87113"/>
    <w:rsid w:val="27E75A20"/>
    <w:rsid w:val="280D4269"/>
    <w:rsid w:val="282506AE"/>
    <w:rsid w:val="284B0B33"/>
    <w:rsid w:val="289D1723"/>
    <w:rsid w:val="2914325F"/>
    <w:rsid w:val="29520EF9"/>
    <w:rsid w:val="29613214"/>
    <w:rsid w:val="2A2B045D"/>
    <w:rsid w:val="2A2F63DF"/>
    <w:rsid w:val="2A536944"/>
    <w:rsid w:val="2A68129C"/>
    <w:rsid w:val="2A703001"/>
    <w:rsid w:val="2A97063D"/>
    <w:rsid w:val="2ACA0963"/>
    <w:rsid w:val="2ACE5E57"/>
    <w:rsid w:val="2AFE6487"/>
    <w:rsid w:val="2B277B63"/>
    <w:rsid w:val="2B670D75"/>
    <w:rsid w:val="2B874C1C"/>
    <w:rsid w:val="2C073CF8"/>
    <w:rsid w:val="2C1F3615"/>
    <w:rsid w:val="2C4F7C16"/>
    <w:rsid w:val="2C743B66"/>
    <w:rsid w:val="2CAC008E"/>
    <w:rsid w:val="2CE23E10"/>
    <w:rsid w:val="2D63682A"/>
    <w:rsid w:val="2D8F7C42"/>
    <w:rsid w:val="2DE2584A"/>
    <w:rsid w:val="2E49213C"/>
    <w:rsid w:val="2E67006F"/>
    <w:rsid w:val="2E694D3E"/>
    <w:rsid w:val="2E773C34"/>
    <w:rsid w:val="2E875C48"/>
    <w:rsid w:val="2E9824AB"/>
    <w:rsid w:val="2E9B4249"/>
    <w:rsid w:val="2E9D17EB"/>
    <w:rsid w:val="2EB56D76"/>
    <w:rsid w:val="2EB81304"/>
    <w:rsid w:val="2F2B230B"/>
    <w:rsid w:val="2F517B36"/>
    <w:rsid w:val="2F72633A"/>
    <w:rsid w:val="2F893355"/>
    <w:rsid w:val="2FC31341"/>
    <w:rsid w:val="2FD05083"/>
    <w:rsid w:val="305E03E8"/>
    <w:rsid w:val="3069595F"/>
    <w:rsid w:val="30843362"/>
    <w:rsid w:val="30C4049D"/>
    <w:rsid w:val="30CD07F3"/>
    <w:rsid w:val="30E365D5"/>
    <w:rsid w:val="30E766F3"/>
    <w:rsid w:val="313E08F3"/>
    <w:rsid w:val="31704514"/>
    <w:rsid w:val="31816DAF"/>
    <w:rsid w:val="31B1462B"/>
    <w:rsid w:val="31C95E5B"/>
    <w:rsid w:val="32290279"/>
    <w:rsid w:val="32527C83"/>
    <w:rsid w:val="32655415"/>
    <w:rsid w:val="3294292F"/>
    <w:rsid w:val="32C51A10"/>
    <w:rsid w:val="32F07D5C"/>
    <w:rsid w:val="337F7567"/>
    <w:rsid w:val="33A06705"/>
    <w:rsid w:val="33D80D3F"/>
    <w:rsid w:val="33EE637D"/>
    <w:rsid w:val="344352E2"/>
    <w:rsid w:val="34624864"/>
    <w:rsid w:val="346D778B"/>
    <w:rsid w:val="34AE59AA"/>
    <w:rsid w:val="34BA2757"/>
    <w:rsid w:val="353A3B24"/>
    <w:rsid w:val="35746954"/>
    <w:rsid w:val="35B629C4"/>
    <w:rsid w:val="35F72828"/>
    <w:rsid w:val="360064F8"/>
    <w:rsid w:val="3633583B"/>
    <w:rsid w:val="363C359C"/>
    <w:rsid w:val="367B0D86"/>
    <w:rsid w:val="368802A2"/>
    <w:rsid w:val="369B06A2"/>
    <w:rsid w:val="36AB2F9F"/>
    <w:rsid w:val="36B27BFF"/>
    <w:rsid w:val="36DE2E4C"/>
    <w:rsid w:val="36F11025"/>
    <w:rsid w:val="37247CD6"/>
    <w:rsid w:val="373D24BC"/>
    <w:rsid w:val="3747417A"/>
    <w:rsid w:val="37B85CE3"/>
    <w:rsid w:val="37C125AD"/>
    <w:rsid w:val="37CB0B6E"/>
    <w:rsid w:val="37FB2519"/>
    <w:rsid w:val="37FD2567"/>
    <w:rsid w:val="3860698D"/>
    <w:rsid w:val="386F51CA"/>
    <w:rsid w:val="387F08C5"/>
    <w:rsid w:val="390943B3"/>
    <w:rsid w:val="391D76E1"/>
    <w:rsid w:val="39C2411A"/>
    <w:rsid w:val="39F111DE"/>
    <w:rsid w:val="3A1D3D59"/>
    <w:rsid w:val="3AA71527"/>
    <w:rsid w:val="3AE3177E"/>
    <w:rsid w:val="3B7E6C11"/>
    <w:rsid w:val="3BAA4A5F"/>
    <w:rsid w:val="3BCF3B6A"/>
    <w:rsid w:val="3C080FAE"/>
    <w:rsid w:val="3C541570"/>
    <w:rsid w:val="3C5750F1"/>
    <w:rsid w:val="3C6E37E5"/>
    <w:rsid w:val="3C7922D7"/>
    <w:rsid w:val="3C9342B0"/>
    <w:rsid w:val="3CAD36D2"/>
    <w:rsid w:val="3CC81535"/>
    <w:rsid w:val="3CD26729"/>
    <w:rsid w:val="3CEA275C"/>
    <w:rsid w:val="3CEC25F5"/>
    <w:rsid w:val="3CF50FF2"/>
    <w:rsid w:val="3D052A2E"/>
    <w:rsid w:val="3D0659AA"/>
    <w:rsid w:val="3D602B13"/>
    <w:rsid w:val="3D8F09E6"/>
    <w:rsid w:val="3DB946E3"/>
    <w:rsid w:val="3DF577A6"/>
    <w:rsid w:val="3E0755D2"/>
    <w:rsid w:val="3E490041"/>
    <w:rsid w:val="3E873A58"/>
    <w:rsid w:val="3EA7555E"/>
    <w:rsid w:val="3EA826CA"/>
    <w:rsid w:val="3ECB3379"/>
    <w:rsid w:val="3EF35410"/>
    <w:rsid w:val="3EF64E80"/>
    <w:rsid w:val="3EF74D5D"/>
    <w:rsid w:val="3F6566F9"/>
    <w:rsid w:val="40095305"/>
    <w:rsid w:val="400A016F"/>
    <w:rsid w:val="401869D9"/>
    <w:rsid w:val="4073545D"/>
    <w:rsid w:val="40EA2C99"/>
    <w:rsid w:val="411E4CFA"/>
    <w:rsid w:val="422C654A"/>
    <w:rsid w:val="42474BD5"/>
    <w:rsid w:val="42847BD2"/>
    <w:rsid w:val="428739CE"/>
    <w:rsid w:val="42BC3919"/>
    <w:rsid w:val="42E0623A"/>
    <w:rsid w:val="42ED199D"/>
    <w:rsid w:val="42F830BA"/>
    <w:rsid w:val="43001D3E"/>
    <w:rsid w:val="435D7C4C"/>
    <w:rsid w:val="4373669D"/>
    <w:rsid w:val="438927DA"/>
    <w:rsid w:val="43A10AE3"/>
    <w:rsid w:val="43A24D63"/>
    <w:rsid w:val="44C21E7F"/>
    <w:rsid w:val="44D409B2"/>
    <w:rsid w:val="4508749B"/>
    <w:rsid w:val="451A1619"/>
    <w:rsid w:val="451A208F"/>
    <w:rsid w:val="4538652E"/>
    <w:rsid w:val="45446C5B"/>
    <w:rsid w:val="455A3BE0"/>
    <w:rsid w:val="4589522E"/>
    <w:rsid w:val="461D5993"/>
    <w:rsid w:val="463E3B5B"/>
    <w:rsid w:val="46A40348"/>
    <w:rsid w:val="46A42944"/>
    <w:rsid w:val="46DF6309"/>
    <w:rsid w:val="46F44C0D"/>
    <w:rsid w:val="47BB0ECC"/>
    <w:rsid w:val="47F10090"/>
    <w:rsid w:val="480A6EB1"/>
    <w:rsid w:val="48CD44A6"/>
    <w:rsid w:val="48DB2498"/>
    <w:rsid w:val="491178F4"/>
    <w:rsid w:val="492F071F"/>
    <w:rsid w:val="494D402D"/>
    <w:rsid w:val="49810EE2"/>
    <w:rsid w:val="4A340D7B"/>
    <w:rsid w:val="4A5F084F"/>
    <w:rsid w:val="4A754721"/>
    <w:rsid w:val="4A83134F"/>
    <w:rsid w:val="4AD621E9"/>
    <w:rsid w:val="4B04790D"/>
    <w:rsid w:val="4B1C5E3D"/>
    <w:rsid w:val="4B3D2633"/>
    <w:rsid w:val="4B507232"/>
    <w:rsid w:val="4B513EF9"/>
    <w:rsid w:val="4B8D60C9"/>
    <w:rsid w:val="4BFEE104"/>
    <w:rsid w:val="4C3463E6"/>
    <w:rsid w:val="4C795D79"/>
    <w:rsid w:val="4C804ECE"/>
    <w:rsid w:val="4CA06FAD"/>
    <w:rsid w:val="4CC01258"/>
    <w:rsid w:val="4D25209F"/>
    <w:rsid w:val="4D5F0096"/>
    <w:rsid w:val="4D692F51"/>
    <w:rsid w:val="4D823B9B"/>
    <w:rsid w:val="4DC21407"/>
    <w:rsid w:val="4E1D544D"/>
    <w:rsid w:val="4E7E543D"/>
    <w:rsid w:val="4E8F4E02"/>
    <w:rsid w:val="4E927C05"/>
    <w:rsid w:val="4EB3025E"/>
    <w:rsid w:val="4F174104"/>
    <w:rsid w:val="4F262EAE"/>
    <w:rsid w:val="4F493CE1"/>
    <w:rsid w:val="4FAA5715"/>
    <w:rsid w:val="4FB8704D"/>
    <w:rsid w:val="4FD03A76"/>
    <w:rsid w:val="4FDA6D84"/>
    <w:rsid w:val="4FDD4C36"/>
    <w:rsid w:val="50090FD4"/>
    <w:rsid w:val="503A0AC9"/>
    <w:rsid w:val="50AC1BAF"/>
    <w:rsid w:val="50DB41FF"/>
    <w:rsid w:val="512340BA"/>
    <w:rsid w:val="513F6058"/>
    <w:rsid w:val="514F1E89"/>
    <w:rsid w:val="5214061D"/>
    <w:rsid w:val="526F6D01"/>
    <w:rsid w:val="52BF6755"/>
    <w:rsid w:val="52C553E8"/>
    <w:rsid w:val="531269BE"/>
    <w:rsid w:val="532B0085"/>
    <w:rsid w:val="53417BDE"/>
    <w:rsid w:val="535E1B1A"/>
    <w:rsid w:val="538E4E0E"/>
    <w:rsid w:val="53986FA1"/>
    <w:rsid w:val="539B3D11"/>
    <w:rsid w:val="53BD7396"/>
    <w:rsid w:val="53CE4D8C"/>
    <w:rsid w:val="53FE35C2"/>
    <w:rsid w:val="540168F4"/>
    <w:rsid w:val="548430A3"/>
    <w:rsid w:val="54CD7CB9"/>
    <w:rsid w:val="55056B34"/>
    <w:rsid w:val="55684A1A"/>
    <w:rsid w:val="559521BD"/>
    <w:rsid w:val="55AD43BA"/>
    <w:rsid w:val="55C81083"/>
    <w:rsid w:val="55CA6BD2"/>
    <w:rsid w:val="56231C41"/>
    <w:rsid w:val="564163D1"/>
    <w:rsid w:val="56AC2568"/>
    <w:rsid w:val="56C41358"/>
    <w:rsid w:val="56DE70A5"/>
    <w:rsid w:val="56E878F7"/>
    <w:rsid w:val="57125BA7"/>
    <w:rsid w:val="5782519E"/>
    <w:rsid w:val="57A2040B"/>
    <w:rsid w:val="57A44EC0"/>
    <w:rsid w:val="57DC3357"/>
    <w:rsid w:val="580F7106"/>
    <w:rsid w:val="582664D1"/>
    <w:rsid w:val="58310F9B"/>
    <w:rsid w:val="58311772"/>
    <w:rsid w:val="583A6878"/>
    <w:rsid w:val="58754A86"/>
    <w:rsid w:val="58795B3D"/>
    <w:rsid w:val="587B2CDE"/>
    <w:rsid w:val="588A63B0"/>
    <w:rsid w:val="58E54DF2"/>
    <w:rsid w:val="593475CA"/>
    <w:rsid w:val="596F44BA"/>
    <w:rsid w:val="5976568E"/>
    <w:rsid w:val="59BE55DC"/>
    <w:rsid w:val="59EC5D9C"/>
    <w:rsid w:val="5A1A7162"/>
    <w:rsid w:val="5A2F0903"/>
    <w:rsid w:val="5A3508BF"/>
    <w:rsid w:val="5A753690"/>
    <w:rsid w:val="5AC35526"/>
    <w:rsid w:val="5AD230A1"/>
    <w:rsid w:val="5AE75489"/>
    <w:rsid w:val="5AFC3F58"/>
    <w:rsid w:val="5B0E4680"/>
    <w:rsid w:val="5B543D4B"/>
    <w:rsid w:val="5B9C65CF"/>
    <w:rsid w:val="5BFA2E1E"/>
    <w:rsid w:val="5C021D5C"/>
    <w:rsid w:val="5C12484B"/>
    <w:rsid w:val="5CD033D2"/>
    <w:rsid w:val="5CD746C6"/>
    <w:rsid w:val="5CEC60CF"/>
    <w:rsid w:val="5D02224E"/>
    <w:rsid w:val="5D0B433F"/>
    <w:rsid w:val="5D1F7DEB"/>
    <w:rsid w:val="5D256F17"/>
    <w:rsid w:val="5D566611"/>
    <w:rsid w:val="5D772828"/>
    <w:rsid w:val="5D7A3273"/>
    <w:rsid w:val="5D896E22"/>
    <w:rsid w:val="5E0A4A50"/>
    <w:rsid w:val="5EF24C19"/>
    <w:rsid w:val="5F2D0E8F"/>
    <w:rsid w:val="5FEB2BA4"/>
    <w:rsid w:val="609A4BC4"/>
    <w:rsid w:val="60D0211B"/>
    <w:rsid w:val="60F5158E"/>
    <w:rsid w:val="6104719B"/>
    <w:rsid w:val="61406F7C"/>
    <w:rsid w:val="6171498D"/>
    <w:rsid w:val="61EE441B"/>
    <w:rsid w:val="61F20540"/>
    <w:rsid w:val="620D3BAE"/>
    <w:rsid w:val="62483940"/>
    <w:rsid w:val="62756CD8"/>
    <w:rsid w:val="629D6F4C"/>
    <w:rsid w:val="62C55526"/>
    <w:rsid w:val="62EE64CA"/>
    <w:rsid w:val="62F30E54"/>
    <w:rsid w:val="63003C41"/>
    <w:rsid w:val="63CF61D3"/>
    <w:rsid w:val="63F7395E"/>
    <w:rsid w:val="64104514"/>
    <w:rsid w:val="642369C3"/>
    <w:rsid w:val="64433C52"/>
    <w:rsid w:val="645C4BBE"/>
    <w:rsid w:val="645D0573"/>
    <w:rsid w:val="64E533D4"/>
    <w:rsid w:val="65640DB5"/>
    <w:rsid w:val="65EF244B"/>
    <w:rsid w:val="66215B04"/>
    <w:rsid w:val="66266BF4"/>
    <w:rsid w:val="66342560"/>
    <w:rsid w:val="663F469F"/>
    <w:rsid w:val="667E3DD4"/>
    <w:rsid w:val="669B2A1A"/>
    <w:rsid w:val="66BA1864"/>
    <w:rsid w:val="66FD01A0"/>
    <w:rsid w:val="67893B07"/>
    <w:rsid w:val="67DD08A6"/>
    <w:rsid w:val="67F535C2"/>
    <w:rsid w:val="68A51D8F"/>
    <w:rsid w:val="68AD105E"/>
    <w:rsid w:val="68E63001"/>
    <w:rsid w:val="6902695F"/>
    <w:rsid w:val="692D337C"/>
    <w:rsid w:val="69507E77"/>
    <w:rsid w:val="69CE7367"/>
    <w:rsid w:val="6A3A435E"/>
    <w:rsid w:val="6A911D7B"/>
    <w:rsid w:val="6ABE35C7"/>
    <w:rsid w:val="6B1765A5"/>
    <w:rsid w:val="6B3C4D16"/>
    <w:rsid w:val="6C0C66AB"/>
    <w:rsid w:val="6C1D5A8D"/>
    <w:rsid w:val="6C506D05"/>
    <w:rsid w:val="6C781169"/>
    <w:rsid w:val="6CAB3449"/>
    <w:rsid w:val="6CB5299E"/>
    <w:rsid w:val="6CC91D04"/>
    <w:rsid w:val="6CD754CF"/>
    <w:rsid w:val="6CD9476D"/>
    <w:rsid w:val="6D3F6E6A"/>
    <w:rsid w:val="6E5626ED"/>
    <w:rsid w:val="6E8F7551"/>
    <w:rsid w:val="6E942999"/>
    <w:rsid w:val="6EB966E9"/>
    <w:rsid w:val="6ECA468E"/>
    <w:rsid w:val="6F1A3F97"/>
    <w:rsid w:val="6F241291"/>
    <w:rsid w:val="6F660A69"/>
    <w:rsid w:val="6FCC795E"/>
    <w:rsid w:val="6FFD4E6A"/>
    <w:rsid w:val="700A4990"/>
    <w:rsid w:val="700F154C"/>
    <w:rsid w:val="7061300B"/>
    <w:rsid w:val="714C49C7"/>
    <w:rsid w:val="71EC67DB"/>
    <w:rsid w:val="72221950"/>
    <w:rsid w:val="72AD02ED"/>
    <w:rsid w:val="72F80286"/>
    <w:rsid w:val="7395083C"/>
    <w:rsid w:val="73C21591"/>
    <w:rsid w:val="74396504"/>
    <w:rsid w:val="74B06E8E"/>
    <w:rsid w:val="74B100E6"/>
    <w:rsid w:val="74E042F3"/>
    <w:rsid w:val="75001B2D"/>
    <w:rsid w:val="751A6115"/>
    <w:rsid w:val="752F13FF"/>
    <w:rsid w:val="75CD688F"/>
    <w:rsid w:val="75CF7149"/>
    <w:rsid w:val="765242FC"/>
    <w:rsid w:val="766B1D21"/>
    <w:rsid w:val="770E5CDE"/>
    <w:rsid w:val="772D017A"/>
    <w:rsid w:val="775D7768"/>
    <w:rsid w:val="780473EC"/>
    <w:rsid w:val="780B4978"/>
    <w:rsid w:val="781B18E6"/>
    <w:rsid w:val="78732E72"/>
    <w:rsid w:val="787C123A"/>
    <w:rsid w:val="78FF727A"/>
    <w:rsid w:val="790F0AA9"/>
    <w:rsid w:val="790F45F0"/>
    <w:rsid w:val="7919031A"/>
    <w:rsid w:val="794022C6"/>
    <w:rsid w:val="7957552B"/>
    <w:rsid w:val="79CE505D"/>
    <w:rsid w:val="7A5B19C1"/>
    <w:rsid w:val="7A5C1D7E"/>
    <w:rsid w:val="7A7B5E5C"/>
    <w:rsid w:val="7AC34054"/>
    <w:rsid w:val="7AD6524D"/>
    <w:rsid w:val="7AD71832"/>
    <w:rsid w:val="7B8F410F"/>
    <w:rsid w:val="7BF55D0D"/>
    <w:rsid w:val="7C2C1A43"/>
    <w:rsid w:val="7C2C344B"/>
    <w:rsid w:val="7CD34258"/>
    <w:rsid w:val="7CFA5AC2"/>
    <w:rsid w:val="7D1D57F3"/>
    <w:rsid w:val="7D4A7313"/>
    <w:rsid w:val="7D62210E"/>
    <w:rsid w:val="7DA737B9"/>
    <w:rsid w:val="7DF41070"/>
    <w:rsid w:val="7E1069C4"/>
    <w:rsid w:val="7E3E5CEE"/>
    <w:rsid w:val="7E4160B8"/>
    <w:rsid w:val="7E9140CF"/>
    <w:rsid w:val="7ED42FFD"/>
    <w:rsid w:val="7EFA5574"/>
    <w:rsid w:val="7FB421BD"/>
    <w:rsid w:val="7FE95FF3"/>
    <w:rsid w:val="7FFDB474"/>
    <w:rsid w:val="9B3B735C"/>
    <w:rsid w:val="B77FB108"/>
    <w:rsid w:val="BF9E1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iPriority="35"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5"/>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6"/>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7"/>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8"/>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9"/>
    <w:qFormat/>
    <w:uiPriority w:val="0"/>
    <w:pPr>
      <w:ind w:left="1008" w:hanging="432"/>
      <w:outlineLvl w:val="4"/>
    </w:pPr>
    <w:rPr>
      <w:rFonts w:ascii="Times New Roman" w:hAnsi="Times New Roman"/>
      <w:kern w:val="0"/>
      <w:sz w:val="20"/>
      <w:szCs w:val="20"/>
    </w:rPr>
  </w:style>
  <w:style w:type="paragraph" w:styleId="9">
    <w:name w:val="heading 6"/>
    <w:basedOn w:val="1"/>
    <w:next w:val="1"/>
    <w:link w:val="80"/>
    <w:qFormat/>
    <w:uiPriority w:val="0"/>
    <w:pPr>
      <w:ind w:left="1152" w:hanging="432"/>
      <w:outlineLvl w:val="5"/>
    </w:pPr>
    <w:rPr>
      <w:rFonts w:ascii="Times New Roman" w:hAnsi="Times New Roman"/>
      <w:kern w:val="0"/>
      <w:sz w:val="20"/>
      <w:szCs w:val="20"/>
    </w:rPr>
  </w:style>
  <w:style w:type="paragraph" w:styleId="10">
    <w:name w:val="heading 7"/>
    <w:basedOn w:val="1"/>
    <w:next w:val="1"/>
    <w:link w:val="81"/>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2"/>
    <w:qFormat/>
    <w:uiPriority w:val="0"/>
    <w:pPr>
      <w:ind w:left="1440" w:hanging="432"/>
      <w:outlineLvl w:val="7"/>
    </w:pPr>
    <w:rPr>
      <w:rFonts w:ascii="Times New Roman" w:hAnsi="Times New Roman"/>
      <w:kern w:val="0"/>
      <w:sz w:val="20"/>
      <w:szCs w:val="20"/>
    </w:rPr>
  </w:style>
  <w:style w:type="paragraph" w:styleId="12">
    <w:name w:val="heading 9"/>
    <w:basedOn w:val="1"/>
    <w:next w:val="1"/>
    <w:link w:val="83"/>
    <w:qFormat/>
    <w:uiPriority w:val="0"/>
    <w:pPr>
      <w:ind w:left="1584" w:hanging="144"/>
      <w:outlineLvl w:val="8"/>
    </w:pPr>
    <w:rPr>
      <w:rFonts w:ascii="Times New Roman" w:hAnsi="Times New Roman"/>
      <w:kern w:val="0"/>
      <w:sz w:val="20"/>
      <w:szCs w:val="20"/>
    </w:rPr>
  </w:style>
  <w:style w:type="character" w:default="1" w:styleId="58">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link w:val="93"/>
    <w:qFormat/>
    <w:uiPriority w:val="0"/>
    <w:pPr>
      <w:spacing w:line="520" w:lineRule="exact"/>
      <w:ind w:firstLine="1285" w:firstLineChars="400"/>
      <w:jc w:val="left"/>
      <w:pPrChange w:id="0" w:author="磊 俞" w:date="2024-05-09T16:08:00Z">
        <w:pPr>
          <w:widowControl w:val="0"/>
          <w:jc w:val="both"/>
        </w:pPr>
      </w:pPrChange>
    </w:pPr>
    <w:rPr>
      <w:rFonts w:ascii="宋体" w:hAnsi="Courier New"/>
      <w:szCs w:val="21"/>
      <w:rPrChange w:id="1" w:author="磊 俞" w:date="2024-05-09T16:08:00Z">
        <w:rPr>
          <w:rFonts w:ascii="宋体" w:hAnsi="Courier New" w:eastAsia="宋体"/>
          <w:kern w:val="2"/>
          <w:sz w:val="21"/>
          <w:szCs w:val="21"/>
          <w:lang w:val="en-US" w:eastAsia="zh-CN" w:bidi="ar-SA"/>
        </w:rPr>
      </w:rPrChange>
    </w:rPr>
  </w:style>
  <w:style w:type="paragraph" w:styleId="3">
    <w:name w:val="index 8"/>
    <w:basedOn w:val="1"/>
    <w:next w:val="1"/>
    <w:qFormat/>
    <w:uiPriority w:val="0"/>
    <w:pPr>
      <w:ind w:left="1400" w:leftChars="1400"/>
    </w:pPr>
    <w:rPr>
      <w:rFonts w:ascii="Times New Roman" w:hAnsi="Times New Roman"/>
      <w:szCs w:val="24"/>
    </w:rPr>
  </w:style>
  <w:style w:type="paragraph" w:styleId="13">
    <w:name w:val="toc 7"/>
    <w:basedOn w:val="1"/>
    <w:next w:val="1"/>
    <w:unhideWhenUsed/>
    <w:qFormat/>
    <w:uiPriority w:val="0"/>
    <w:pPr>
      <w:ind w:left="2520" w:leftChars="1200"/>
    </w:pPr>
  </w:style>
  <w:style w:type="paragraph" w:styleId="14">
    <w:name w:val="Note Heading"/>
    <w:basedOn w:val="1"/>
    <w:next w:val="1"/>
    <w:link w:val="119"/>
    <w:semiHidden/>
    <w:qFormat/>
    <w:uiPriority w:val="0"/>
    <w:pPr>
      <w:jc w:val="center"/>
    </w:pPr>
    <w:rPr>
      <w:rFonts w:ascii="Times New Roman" w:hAnsi="Times New Roman"/>
      <w:szCs w:val="24"/>
    </w:rPr>
  </w:style>
  <w:style w:type="paragraph" w:styleId="15">
    <w:name w:val="E-mail Signature"/>
    <w:basedOn w:val="1"/>
    <w:link w:val="120"/>
    <w:semiHidden/>
    <w:qFormat/>
    <w:uiPriority w:val="0"/>
    <w:rPr>
      <w:rFonts w:ascii="Times New Roman" w:hAnsi="Times New Roman"/>
      <w:szCs w:val="24"/>
    </w:rPr>
  </w:style>
  <w:style w:type="paragraph" w:styleId="16">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7">
    <w:name w:val="List Bullet"/>
    <w:basedOn w:val="1"/>
    <w:semiHidden/>
    <w:qFormat/>
    <w:uiPriority w:val="0"/>
    <w:pPr>
      <w:tabs>
        <w:tab w:val="left" w:pos="360"/>
      </w:tabs>
      <w:ind w:left="360" w:hanging="360"/>
    </w:pPr>
    <w:rPr>
      <w:rFonts w:ascii="Times New Roman" w:hAnsi="Times New Roman"/>
      <w:szCs w:val="24"/>
    </w:rPr>
  </w:style>
  <w:style w:type="paragraph" w:styleId="18">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19">
    <w:name w:val="Document Map"/>
    <w:basedOn w:val="1"/>
    <w:link w:val="97"/>
    <w:unhideWhenUsed/>
    <w:qFormat/>
    <w:uiPriority w:val="0"/>
    <w:rPr>
      <w:rFonts w:ascii="宋体"/>
      <w:sz w:val="18"/>
      <w:szCs w:val="18"/>
    </w:rPr>
  </w:style>
  <w:style w:type="paragraph" w:styleId="20">
    <w:name w:val="annotation text"/>
    <w:basedOn w:val="1"/>
    <w:link w:val="89"/>
    <w:unhideWhenUsed/>
    <w:qFormat/>
    <w:uiPriority w:val="0"/>
    <w:pPr>
      <w:jc w:val="left"/>
    </w:pPr>
  </w:style>
  <w:style w:type="paragraph" w:styleId="21">
    <w:name w:val="Salutation"/>
    <w:basedOn w:val="1"/>
    <w:next w:val="1"/>
    <w:link w:val="121"/>
    <w:semiHidden/>
    <w:qFormat/>
    <w:uiPriority w:val="0"/>
    <w:rPr>
      <w:rFonts w:ascii="Times New Roman" w:hAnsi="Times New Roman"/>
      <w:szCs w:val="24"/>
    </w:rPr>
  </w:style>
  <w:style w:type="paragraph" w:styleId="22">
    <w:name w:val="Body Text 3"/>
    <w:basedOn w:val="1"/>
    <w:link w:val="122"/>
    <w:semiHidden/>
    <w:qFormat/>
    <w:uiPriority w:val="0"/>
    <w:pPr>
      <w:spacing w:after="120"/>
    </w:pPr>
    <w:rPr>
      <w:rFonts w:ascii="Times New Roman" w:hAnsi="Times New Roman"/>
      <w:sz w:val="16"/>
      <w:szCs w:val="16"/>
    </w:rPr>
  </w:style>
  <w:style w:type="paragraph" w:styleId="23">
    <w:name w:val="Closing"/>
    <w:basedOn w:val="1"/>
    <w:link w:val="123"/>
    <w:semiHidden/>
    <w:qFormat/>
    <w:uiPriority w:val="0"/>
    <w:pPr>
      <w:ind w:left="100" w:leftChars="2100"/>
    </w:pPr>
    <w:rPr>
      <w:rFonts w:ascii="Times New Roman" w:hAnsi="Times New Roman"/>
      <w:szCs w:val="24"/>
    </w:rPr>
  </w:style>
  <w:style w:type="paragraph" w:styleId="24">
    <w:name w:val="Body Text"/>
    <w:basedOn w:val="1"/>
    <w:next w:val="25"/>
    <w:link w:val="90"/>
    <w:qFormat/>
    <w:uiPriority w:val="99"/>
    <w:pPr>
      <w:spacing w:line="360" w:lineRule="auto"/>
    </w:pPr>
    <w:rPr>
      <w:rFonts w:ascii="宋体" w:hAnsi="宋体"/>
      <w:kern w:val="0"/>
      <w:sz w:val="24"/>
      <w:szCs w:val="24"/>
    </w:rPr>
  </w:style>
  <w:style w:type="paragraph" w:customStyle="1" w:styleId="25">
    <w:name w:val="Heading"/>
    <w:basedOn w:val="1"/>
    <w:next w:val="1"/>
    <w:qFormat/>
    <w:uiPriority w:val="0"/>
    <w:pPr>
      <w:spacing w:before="240" w:after="60"/>
      <w:jc w:val="center"/>
      <w:outlineLvl w:val="0"/>
    </w:pPr>
    <w:rPr>
      <w:rFonts w:ascii="Cambria" w:hAnsi="Cambria" w:cs="Cambria"/>
      <w:b/>
      <w:bCs/>
      <w:sz w:val="32"/>
      <w:szCs w:val="32"/>
    </w:rPr>
  </w:style>
  <w:style w:type="paragraph" w:styleId="26">
    <w:name w:val="Body Text Indent"/>
    <w:basedOn w:val="1"/>
    <w:link w:val="88"/>
    <w:unhideWhenUsed/>
    <w:qFormat/>
    <w:uiPriority w:val="99"/>
    <w:pPr>
      <w:spacing w:after="120"/>
      <w:ind w:left="420" w:leftChars="200"/>
    </w:pPr>
  </w:style>
  <w:style w:type="paragraph" w:styleId="27">
    <w:name w:val="HTML Address"/>
    <w:basedOn w:val="1"/>
    <w:link w:val="124"/>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toc 8"/>
    <w:basedOn w:val="1"/>
    <w:next w:val="1"/>
    <w:semiHidden/>
    <w:qFormat/>
    <w:uiPriority w:val="0"/>
    <w:pPr>
      <w:ind w:left="2940" w:leftChars="1400"/>
    </w:pPr>
  </w:style>
  <w:style w:type="paragraph" w:styleId="31">
    <w:name w:val="Date"/>
    <w:basedOn w:val="1"/>
    <w:next w:val="1"/>
    <w:link w:val="125"/>
    <w:unhideWhenUsed/>
    <w:qFormat/>
    <w:uiPriority w:val="0"/>
    <w:pPr>
      <w:ind w:left="100" w:leftChars="2500"/>
    </w:pPr>
    <w:rPr>
      <w:rFonts w:ascii="Times New Roman" w:hAnsi="Times New Roman"/>
      <w:szCs w:val="20"/>
    </w:rPr>
  </w:style>
  <w:style w:type="paragraph" w:styleId="32">
    <w:name w:val="Body Text Indent 2"/>
    <w:basedOn w:val="1"/>
    <w:link w:val="126"/>
    <w:semiHidden/>
    <w:qFormat/>
    <w:uiPriority w:val="0"/>
    <w:pPr>
      <w:spacing w:after="120" w:line="480" w:lineRule="auto"/>
      <w:ind w:left="420" w:leftChars="200"/>
    </w:pPr>
    <w:rPr>
      <w:rFonts w:ascii="Times New Roman" w:hAnsi="Times New Roman"/>
      <w:szCs w:val="24"/>
    </w:rPr>
  </w:style>
  <w:style w:type="paragraph" w:styleId="33">
    <w:name w:val="endnote text"/>
    <w:basedOn w:val="1"/>
    <w:link w:val="127"/>
    <w:semiHidden/>
    <w:qFormat/>
    <w:uiPriority w:val="0"/>
    <w:pPr>
      <w:snapToGrid w:val="0"/>
      <w:jc w:val="left"/>
    </w:pPr>
    <w:rPr>
      <w:rFonts w:ascii="Times New Roman" w:hAnsi="Times New Roman"/>
      <w:szCs w:val="24"/>
    </w:rPr>
  </w:style>
  <w:style w:type="paragraph" w:styleId="34">
    <w:name w:val="Balloon Text"/>
    <w:basedOn w:val="1"/>
    <w:link w:val="92"/>
    <w:unhideWhenUsed/>
    <w:qFormat/>
    <w:uiPriority w:val="0"/>
    <w:rPr>
      <w:kern w:val="0"/>
      <w:sz w:val="18"/>
      <w:szCs w:val="18"/>
    </w:rPr>
  </w:style>
  <w:style w:type="paragraph" w:styleId="35">
    <w:name w:val="footer"/>
    <w:basedOn w:val="1"/>
    <w:link w:val="91"/>
    <w:unhideWhenUsed/>
    <w:qFormat/>
    <w:uiPriority w:val="0"/>
    <w:pPr>
      <w:tabs>
        <w:tab w:val="center" w:pos="4153"/>
        <w:tab w:val="right" w:pos="8306"/>
      </w:tabs>
      <w:snapToGrid w:val="0"/>
      <w:jc w:val="left"/>
    </w:pPr>
    <w:rPr>
      <w:kern w:val="0"/>
      <w:sz w:val="18"/>
      <w:szCs w:val="18"/>
    </w:rPr>
  </w:style>
  <w:style w:type="paragraph" w:styleId="36">
    <w:name w:val="header"/>
    <w:basedOn w:val="1"/>
    <w:link w:val="84"/>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7">
    <w:name w:val="Signature"/>
    <w:basedOn w:val="1"/>
    <w:link w:val="128"/>
    <w:semiHidden/>
    <w:qFormat/>
    <w:uiPriority w:val="0"/>
    <w:pPr>
      <w:ind w:left="100" w:leftChars="2100"/>
    </w:pPr>
    <w:rPr>
      <w:rFonts w:ascii="Times New Roman" w:hAnsi="Times New Roman"/>
      <w:szCs w:val="24"/>
    </w:rPr>
  </w:style>
  <w:style w:type="paragraph" w:styleId="38">
    <w:name w:val="toc 1"/>
    <w:basedOn w:val="1"/>
    <w:next w:val="1"/>
    <w:unhideWhenUsed/>
    <w:qFormat/>
    <w:uiPriority w:val="0"/>
  </w:style>
  <w:style w:type="paragraph" w:styleId="39">
    <w:name w:val="toc 4"/>
    <w:basedOn w:val="1"/>
    <w:next w:val="1"/>
    <w:unhideWhenUsed/>
    <w:qFormat/>
    <w:uiPriority w:val="0"/>
    <w:pPr>
      <w:ind w:left="1260" w:leftChars="600"/>
    </w:pPr>
  </w:style>
  <w:style w:type="paragraph" w:styleId="40">
    <w:name w:val="Subtitle"/>
    <w:basedOn w:val="1"/>
    <w:next w:val="1"/>
    <w:link w:val="156"/>
    <w:qFormat/>
    <w:uiPriority w:val="11"/>
    <w:pPr>
      <w:spacing w:before="240" w:after="60" w:line="312" w:lineRule="auto"/>
      <w:jc w:val="center"/>
      <w:outlineLvl w:val="1"/>
    </w:pPr>
    <w:rPr>
      <w:rFonts w:ascii="Cambria" w:hAnsi="Cambria"/>
      <w:b/>
      <w:bCs/>
      <w:kern w:val="28"/>
      <w:sz w:val="32"/>
      <w:szCs w:val="32"/>
    </w:rPr>
  </w:style>
  <w:style w:type="paragraph" w:styleId="41">
    <w:name w:val="List"/>
    <w:basedOn w:val="1"/>
    <w:semiHidden/>
    <w:qFormat/>
    <w:uiPriority w:val="0"/>
    <w:pPr>
      <w:ind w:left="200" w:hanging="200" w:hangingChars="200"/>
    </w:pPr>
    <w:rPr>
      <w:rFonts w:ascii="Times New Roman" w:hAnsi="Times New Roman"/>
      <w:szCs w:val="24"/>
    </w:rPr>
  </w:style>
  <w:style w:type="paragraph" w:styleId="42">
    <w:name w:val="footnote text"/>
    <w:basedOn w:val="1"/>
    <w:link w:val="129"/>
    <w:semiHidden/>
    <w:qFormat/>
    <w:uiPriority w:val="0"/>
    <w:pPr>
      <w:snapToGrid w:val="0"/>
      <w:jc w:val="left"/>
    </w:pPr>
    <w:rPr>
      <w:rFonts w:ascii="Times New Roman" w:hAnsi="Times New Roman"/>
      <w:sz w:val="18"/>
      <w:szCs w:val="20"/>
    </w:rPr>
  </w:style>
  <w:style w:type="paragraph" w:styleId="43">
    <w:name w:val="toc 6"/>
    <w:basedOn w:val="1"/>
    <w:next w:val="1"/>
    <w:unhideWhenUsed/>
    <w:qFormat/>
    <w:uiPriority w:val="0"/>
    <w:pPr>
      <w:ind w:left="2100" w:leftChars="1000"/>
    </w:pPr>
  </w:style>
  <w:style w:type="paragraph" w:styleId="44">
    <w:name w:val="toc 2"/>
    <w:basedOn w:val="1"/>
    <w:next w:val="1"/>
    <w:unhideWhenUsed/>
    <w:qFormat/>
    <w:uiPriority w:val="0"/>
    <w:pPr>
      <w:ind w:left="420" w:leftChars="200"/>
    </w:pPr>
  </w:style>
  <w:style w:type="paragraph" w:styleId="45">
    <w:name w:val="toc 9"/>
    <w:basedOn w:val="1"/>
    <w:next w:val="1"/>
    <w:unhideWhenUsed/>
    <w:qFormat/>
    <w:uiPriority w:val="0"/>
    <w:pPr>
      <w:ind w:left="3360" w:leftChars="1600"/>
    </w:pPr>
  </w:style>
  <w:style w:type="paragraph" w:styleId="46">
    <w:name w:val="Message Header"/>
    <w:basedOn w:val="1"/>
    <w:link w:val="130"/>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7">
    <w:name w:val="HTML Preformatted"/>
    <w:basedOn w:val="1"/>
    <w:link w:val="131"/>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9">
    <w:name w:val="index 1"/>
    <w:basedOn w:val="1"/>
    <w:next w:val="1"/>
    <w:unhideWhenUsed/>
    <w:qFormat/>
    <w:uiPriority w:val="0"/>
  </w:style>
  <w:style w:type="paragraph" w:styleId="50">
    <w:name w:val="Title"/>
    <w:basedOn w:val="1"/>
    <w:next w:val="1"/>
    <w:link w:val="160"/>
    <w:qFormat/>
    <w:uiPriority w:val="0"/>
    <w:pPr>
      <w:spacing w:before="240" w:after="60"/>
      <w:jc w:val="center"/>
      <w:outlineLvl w:val="0"/>
    </w:pPr>
    <w:rPr>
      <w:rFonts w:ascii="Cambria" w:hAnsi="Cambria"/>
      <w:b/>
      <w:bCs/>
      <w:sz w:val="32"/>
      <w:szCs w:val="32"/>
    </w:rPr>
  </w:style>
  <w:style w:type="paragraph" w:styleId="51">
    <w:name w:val="annotation subject"/>
    <w:basedOn w:val="20"/>
    <w:next w:val="20"/>
    <w:link w:val="98"/>
    <w:unhideWhenUsed/>
    <w:qFormat/>
    <w:uiPriority w:val="0"/>
    <w:rPr>
      <w:b/>
      <w:bCs/>
    </w:rPr>
  </w:style>
  <w:style w:type="paragraph" w:styleId="52">
    <w:name w:val="Body Text First Indent"/>
    <w:basedOn w:val="24"/>
    <w:link w:val="116"/>
    <w:unhideWhenUsed/>
    <w:qFormat/>
    <w:uiPriority w:val="0"/>
    <w:pPr>
      <w:spacing w:after="120" w:line="240" w:lineRule="auto"/>
      <w:ind w:firstLine="420" w:firstLineChars="100"/>
    </w:pPr>
    <w:rPr>
      <w:rFonts w:ascii="Calibri" w:hAnsi="Calibri"/>
      <w:kern w:val="2"/>
      <w:sz w:val="21"/>
      <w:szCs w:val="22"/>
    </w:rPr>
  </w:style>
  <w:style w:type="paragraph" w:styleId="53">
    <w:name w:val="Body Text First Indent 2"/>
    <w:basedOn w:val="26"/>
    <w:link w:val="87"/>
    <w:unhideWhenUsed/>
    <w:qFormat/>
    <w:uiPriority w:val="0"/>
    <w:pPr>
      <w:ind w:firstLine="420" w:firstLineChars="200"/>
    </w:pPr>
  </w:style>
  <w:style w:type="table" w:styleId="55">
    <w:name w:val="Table Grid"/>
    <w:basedOn w:val="5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6">
    <w:name w:val="Table List 4"/>
    <w:basedOn w:val="54"/>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7">
    <w:name w:val="Table List 5"/>
    <w:basedOn w:val="54"/>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9">
    <w:name w:val="Strong"/>
    <w:basedOn w:val="58"/>
    <w:qFormat/>
    <w:uiPriority w:val="22"/>
    <w:rPr>
      <w:b/>
    </w:rPr>
  </w:style>
  <w:style w:type="character" w:styleId="60">
    <w:name w:val="endnote reference"/>
    <w:semiHidden/>
    <w:qFormat/>
    <w:uiPriority w:val="0"/>
    <w:rPr>
      <w:vertAlign w:val="superscript"/>
    </w:rPr>
  </w:style>
  <w:style w:type="character" w:styleId="61">
    <w:name w:val="page number"/>
    <w:basedOn w:val="62"/>
    <w:unhideWhenUsed/>
    <w:qFormat/>
    <w:uiPriority w:val="99"/>
  </w:style>
  <w:style w:type="character" w:customStyle="1" w:styleId="62">
    <w:name w:val="默认段落字体1"/>
    <w:qFormat/>
    <w:uiPriority w:val="0"/>
  </w:style>
  <w:style w:type="character" w:styleId="63">
    <w:name w:val="FollowedHyperlink"/>
    <w:qFormat/>
    <w:uiPriority w:val="99"/>
    <w:rPr>
      <w:color w:val="800080"/>
      <w:u w:val="single"/>
    </w:rPr>
  </w:style>
  <w:style w:type="character" w:styleId="64">
    <w:name w:val="Emphasis"/>
    <w:basedOn w:val="58"/>
    <w:qFormat/>
    <w:uiPriority w:val="20"/>
  </w:style>
  <w:style w:type="character" w:styleId="65">
    <w:name w:val="HTML Definition"/>
    <w:qFormat/>
    <w:uiPriority w:val="0"/>
    <w:rPr>
      <w:i/>
      <w:iCs/>
    </w:rPr>
  </w:style>
  <w:style w:type="character" w:styleId="66">
    <w:name w:val="HTML Typewriter"/>
    <w:semiHidden/>
    <w:qFormat/>
    <w:uiPriority w:val="0"/>
    <w:rPr>
      <w:rFonts w:ascii="Courier New" w:hAnsi="Courier New" w:cs="Courier New"/>
      <w:sz w:val="20"/>
      <w:szCs w:val="20"/>
    </w:rPr>
  </w:style>
  <w:style w:type="character" w:styleId="67">
    <w:name w:val="HTML Variable"/>
    <w:qFormat/>
    <w:uiPriority w:val="0"/>
    <w:rPr>
      <w:i/>
      <w:iCs/>
    </w:rPr>
  </w:style>
  <w:style w:type="character" w:styleId="68">
    <w:name w:val="Hyperlink"/>
    <w:qFormat/>
    <w:uiPriority w:val="0"/>
    <w:rPr>
      <w:color w:val="0000FF"/>
      <w:u w:val="single"/>
    </w:rPr>
  </w:style>
  <w:style w:type="character" w:styleId="69">
    <w:name w:val="HTML Code"/>
    <w:qFormat/>
    <w:uiPriority w:val="0"/>
    <w:rPr>
      <w:rFonts w:ascii="Courier New" w:hAnsi="Courier New" w:cs="Courier New"/>
      <w:sz w:val="20"/>
      <w:szCs w:val="20"/>
    </w:rPr>
  </w:style>
  <w:style w:type="character" w:styleId="70">
    <w:name w:val="annotation reference"/>
    <w:unhideWhenUsed/>
    <w:qFormat/>
    <w:uiPriority w:val="0"/>
    <w:rPr>
      <w:sz w:val="21"/>
      <w:szCs w:val="21"/>
    </w:rPr>
  </w:style>
  <w:style w:type="character" w:styleId="71">
    <w:name w:val="HTML Cite"/>
    <w:qFormat/>
    <w:uiPriority w:val="0"/>
    <w:rPr>
      <w:i/>
      <w:iCs/>
    </w:rPr>
  </w:style>
  <w:style w:type="character" w:styleId="72">
    <w:name w:val="footnote reference"/>
    <w:semiHidden/>
    <w:qFormat/>
    <w:uiPriority w:val="0"/>
    <w:rPr>
      <w:vertAlign w:val="superscript"/>
    </w:rPr>
  </w:style>
  <w:style w:type="character" w:styleId="73">
    <w:name w:val="HTML Keyboard"/>
    <w:qFormat/>
    <w:uiPriority w:val="0"/>
    <w:rPr>
      <w:rFonts w:ascii="Courier New" w:hAnsi="Courier New" w:cs="Courier New"/>
      <w:sz w:val="20"/>
      <w:szCs w:val="20"/>
    </w:rPr>
  </w:style>
  <w:style w:type="character" w:styleId="74">
    <w:name w:val="HTML Sample"/>
    <w:qFormat/>
    <w:uiPriority w:val="0"/>
    <w:rPr>
      <w:rFonts w:ascii="Courier New" w:hAnsi="Courier New" w:cs="Courier New"/>
    </w:rPr>
  </w:style>
  <w:style w:type="character" w:customStyle="1" w:styleId="75">
    <w:name w:val="标题 1 字符"/>
    <w:link w:val="4"/>
    <w:qFormat/>
    <w:uiPriority w:val="0"/>
    <w:rPr>
      <w:b/>
      <w:bCs/>
      <w:kern w:val="44"/>
      <w:sz w:val="44"/>
      <w:szCs w:val="44"/>
    </w:rPr>
  </w:style>
  <w:style w:type="character" w:customStyle="1" w:styleId="76">
    <w:name w:val="标题 2 字符"/>
    <w:basedOn w:val="58"/>
    <w:link w:val="5"/>
    <w:qFormat/>
    <w:uiPriority w:val="0"/>
    <w:rPr>
      <w:rFonts w:ascii="Cambria" w:hAnsi="Cambria" w:eastAsia="宋体"/>
      <w:b/>
      <w:bCs/>
      <w:kern w:val="2"/>
      <w:sz w:val="32"/>
      <w:szCs w:val="32"/>
      <w:lang w:val="en-US" w:eastAsia="zh-CN" w:bidi="ar-SA"/>
    </w:rPr>
  </w:style>
  <w:style w:type="character" w:customStyle="1" w:styleId="77">
    <w:name w:val="标题 3 字符"/>
    <w:link w:val="6"/>
    <w:qFormat/>
    <w:uiPriority w:val="0"/>
    <w:rPr>
      <w:rFonts w:ascii="Calibri" w:hAnsi="Calibri" w:eastAsia="宋体"/>
      <w:b/>
      <w:bCs/>
      <w:kern w:val="2"/>
      <w:sz w:val="32"/>
      <w:szCs w:val="32"/>
      <w:lang w:val="en-US" w:eastAsia="zh-CN" w:bidi="ar-SA"/>
    </w:rPr>
  </w:style>
  <w:style w:type="character" w:customStyle="1" w:styleId="78">
    <w:name w:val="标题 4 字符"/>
    <w:link w:val="7"/>
    <w:qFormat/>
    <w:uiPriority w:val="0"/>
    <w:rPr>
      <w:rFonts w:ascii="宋体" w:hAnsi="宋体" w:eastAsia="宋体" w:cs="宋体"/>
      <w:b/>
      <w:bCs/>
      <w:sz w:val="24"/>
      <w:szCs w:val="24"/>
      <w:lang w:val="en-US" w:eastAsia="zh-CN" w:bidi="ar-SA"/>
    </w:rPr>
  </w:style>
  <w:style w:type="character" w:customStyle="1" w:styleId="79">
    <w:name w:val="标题 5 字符"/>
    <w:basedOn w:val="58"/>
    <w:link w:val="8"/>
    <w:qFormat/>
    <w:uiPriority w:val="0"/>
    <w:rPr>
      <w:rFonts w:ascii="Times New Roman" w:hAnsi="Times New Roman"/>
    </w:rPr>
  </w:style>
  <w:style w:type="character" w:customStyle="1" w:styleId="80">
    <w:name w:val="标题 6 字符"/>
    <w:basedOn w:val="58"/>
    <w:link w:val="9"/>
    <w:qFormat/>
    <w:uiPriority w:val="0"/>
    <w:rPr>
      <w:rFonts w:ascii="Times New Roman" w:hAnsi="Times New Roman"/>
    </w:rPr>
  </w:style>
  <w:style w:type="character" w:customStyle="1" w:styleId="81">
    <w:name w:val="标题 7 字符"/>
    <w:link w:val="10"/>
    <w:qFormat/>
    <w:uiPriority w:val="0"/>
    <w:rPr>
      <w:rFonts w:ascii="Calibri" w:hAnsi="Calibri" w:eastAsia="宋体"/>
      <w:b/>
      <w:bCs/>
      <w:kern w:val="2"/>
      <w:sz w:val="24"/>
      <w:szCs w:val="24"/>
      <w:lang w:val="en-US" w:eastAsia="zh-CN" w:bidi="ar-SA"/>
    </w:rPr>
  </w:style>
  <w:style w:type="character" w:customStyle="1" w:styleId="82">
    <w:name w:val="标题 8 字符"/>
    <w:basedOn w:val="58"/>
    <w:link w:val="11"/>
    <w:qFormat/>
    <w:uiPriority w:val="0"/>
    <w:rPr>
      <w:rFonts w:ascii="Times New Roman" w:hAnsi="Times New Roman"/>
    </w:rPr>
  </w:style>
  <w:style w:type="character" w:customStyle="1" w:styleId="83">
    <w:name w:val="标题 9 字符"/>
    <w:basedOn w:val="58"/>
    <w:link w:val="12"/>
    <w:qFormat/>
    <w:uiPriority w:val="0"/>
    <w:rPr>
      <w:rFonts w:ascii="Times New Roman" w:hAnsi="Times New Roman"/>
    </w:rPr>
  </w:style>
  <w:style w:type="character" w:customStyle="1" w:styleId="84">
    <w:name w:val="页眉 字符"/>
    <w:link w:val="36"/>
    <w:qFormat/>
    <w:uiPriority w:val="0"/>
    <w:rPr>
      <w:sz w:val="18"/>
      <w:szCs w:val="18"/>
    </w:rPr>
  </w:style>
  <w:style w:type="character" w:styleId="85">
    <w:name w:val="Placeholder Text"/>
    <w:semiHidden/>
    <w:qFormat/>
    <w:uiPriority w:val="99"/>
    <w:rPr>
      <w:color w:val="808080"/>
    </w:rPr>
  </w:style>
  <w:style w:type="character" w:customStyle="1" w:styleId="86">
    <w:name w:val="标题1"/>
    <w:basedOn w:val="58"/>
    <w:qFormat/>
    <w:uiPriority w:val="0"/>
  </w:style>
  <w:style w:type="character" w:customStyle="1" w:styleId="87">
    <w:name w:val="正文文本首行缩进 2 字符"/>
    <w:basedOn w:val="88"/>
    <w:link w:val="53"/>
    <w:qFormat/>
    <w:uiPriority w:val="0"/>
  </w:style>
  <w:style w:type="character" w:customStyle="1" w:styleId="88">
    <w:name w:val="正文文本缩进 字符"/>
    <w:basedOn w:val="58"/>
    <w:link w:val="26"/>
    <w:semiHidden/>
    <w:qFormat/>
    <w:uiPriority w:val="99"/>
  </w:style>
  <w:style w:type="character" w:customStyle="1" w:styleId="89">
    <w:name w:val="批注文字 字符"/>
    <w:link w:val="20"/>
    <w:semiHidden/>
    <w:qFormat/>
    <w:uiPriority w:val="0"/>
    <w:rPr>
      <w:kern w:val="2"/>
      <w:sz w:val="21"/>
      <w:szCs w:val="22"/>
    </w:rPr>
  </w:style>
  <w:style w:type="character" w:customStyle="1" w:styleId="90">
    <w:name w:val="正文文本 字符"/>
    <w:link w:val="24"/>
    <w:qFormat/>
    <w:uiPriority w:val="99"/>
    <w:rPr>
      <w:rFonts w:ascii="宋体" w:hAnsi="宋体" w:eastAsia="宋体" w:cs="Times New Roman"/>
      <w:sz w:val="24"/>
      <w:szCs w:val="24"/>
    </w:rPr>
  </w:style>
  <w:style w:type="character" w:customStyle="1" w:styleId="91">
    <w:name w:val="页脚 字符"/>
    <w:link w:val="35"/>
    <w:qFormat/>
    <w:uiPriority w:val="0"/>
    <w:rPr>
      <w:sz w:val="18"/>
      <w:szCs w:val="18"/>
    </w:rPr>
  </w:style>
  <w:style w:type="character" w:customStyle="1" w:styleId="92">
    <w:name w:val="批注框文本 字符"/>
    <w:link w:val="34"/>
    <w:semiHidden/>
    <w:qFormat/>
    <w:uiPriority w:val="0"/>
    <w:rPr>
      <w:sz w:val="18"/>
      <w:szCs w:val="18"/>
    </w:rPr>
  </w:style>
  <w:style w:type="character" w:customStyle="1" w:styleId="93">
    <w:name w:val="纯文本 字符"/>
    <w:link w:val="2"/>
    <w:qFormat/>
    <w:uiPriority w:val="0"/>
    <w:rPr>
      <w:rFonts w:ascii="宋体" w:hAnsi="Courier New"/>
      <w:kern w:val="2"/>
      <w:sz w:val="21"/>
      <w:szCs w:val="21"/>
    </w:rPr>
  </w:style>
  <w:style w:type="character" w:customStyle="1" w:styleId="94">
    <w:name w:val="标题3 Char"/>
    <w:link w:val="95"/>
    <w:qFormat/>
    <w:uiPriority w:val="0"/>
    <w:rPr>
      <w:rFonts w:ascii="宋体" w:hAnsi="宋体"/>
      <w:color w:val="000000"/>
      <w:sz w:val="24"/>
    </w:rPr>
  </w:style>
  <w:style w:type="paragraph" w:customStyle="1" w:styleId="95">
    <w:name w:val="标题3"/>
    <w:basedOn w:val="6"/>
    <w:link w:val="94"/>
    <w:qFormat/>
    <w:uiPriority w:val="0"/>
    <w:pPr>
      <w:spacing w:line="360" w:lineRule="auto"/>
      <w:ind w:firstLine="472" w:firstLineChars="196"/>
    </w:pPr>
    <w:rPr>
      <w:rFonts w:ascii="宋体" w:hAnsi="宋体"/>
      <w:b w:val="0"/>
      <w:bCs w:val="0"/>
      <w:color w:val="000000"/>
      <w:kern w:val="0"/>
      <w:sz w:val="24"/>
      <w:szCs w:val="20"/>
    </w:rPr>
  </w:style>
  <w:style w:type="character" w:customStyle="1" w:styleId="96">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7">
    <w:name w:val="文档结构图 字符"/>
    <w:link w:val="19"/>
    <w:qFormat/>
    <w:uiPriority w:val="0"/>
    <w:rPr>
      <w:rFonts w:ascii="宋体"/>
      <w:kern w:val="2"/>
      <w:sz w:val="18"/>
      <w:szCs w:val="18"/>
    </w:rPr>
  </w:style>
  <w:style w:type="character" w:customStyle="1" w:styleId="98">
    <w:name w:val="批注主题 字符"/>
    <w:link w:val="51"/>
    <w:semiHidden/>
    <w:qFormat/>
    <w:uiPriority w:val="0"/>
    <w:rPr>
      <w:b/>
      <w:bCs/>
      <w:kern w:val="2"/>
      <w:sz w:val="21"/>
      <w:szCs w:val="22"/>
    </w:rPr>
  </w:style>
  <w:style w:type="paragraph" w:customStyle="1" w:styleId="99">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100">
    <w:name w:val="List Paragraph"/>
    <w:basedOn w:val="101"/>
    <w:qFormat/>
    <w:uiPriority w:val="34"/>
    <w:pPr>
      <w:ind w:firstLine="420" w:firstLineChars="200"/>
    </w:pPr>
  </w:style>
  <w:style w:type="paragraph" w:customStyle="1" w:styleId="101">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02">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3">
    <w:name w:val="p3"/>
    <w:basedOn w:val="1"/>
    <w:qFormat/>
    <w:uiPriority w:val="0"/>
    <w:pPr>
      <w:spacing w:line="30" w:lineRule="atLeast"/>
      <w:jc w:val="center"/>
    </w:pPr>
    <w:rPr>
      <w:rFonts w:hint="eastAsia" w:ascii="宋体" w:hAnsi="宋体" w:cs="宋体"/>
      <w:kern w:val="0"/>
      <w:sz w:val="36"/>
      <w:szCs w:val="36"/>
    </w:rPr>
  </w:style>
  <w:style w:type="paragraph" w:customStyle="1" w:styleId="104">
    <w:name w:val="Report 1.1.1"/>
    <w:basedOn w:val="105"/>
    <w:qFormat/>
    <w:uiPriority w:val="0"/>
    <w:pPr>
      <w:tabs>
        <w:tab w:val="left" w:pos="720"/>
      </w:tabs>
    </w:pPr>
    <w:rPr>
      <w:rFonts w:hAnsi="华文细黑" w:eastAsia="华文细黑" w:cs="Arial"/>
      <w:lang w:eastAsia="zh-CN"/>
    </w:rPr>
  </w:style>
  <w:style w:type="paragraph" w:customStyle="1" w:styleId="105">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6">
    <w:name w:val="Char Char Char1 Char"/>
    <w:basedOn w:val="36"/>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7">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8">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9">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10">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11">
    <w:name w:val="样式3"/>
    <w:basedOn w:val="24"/>
    <w:qFormat/>
    <w:uiPriority w:val="0"/>
    <w:pPr>
      <w:spacing w:after="120"/>
    </w:pPr>
    <w:rPr>
      <w:rFonts w:hAnsi="Times New Roman"/>
      <w:sz w:val="21"/>
    </w:rPr>
  </w:style>
  <w:style w:type="paragraph" w:customStyle="1" w:styleId="112">
    <w:name w:val="DTZ Heading 2"/>
    <w:basedOn w:val="109"/>
    <w:next w:val="1"/>
    <w:qFormat/>
    <w:uiPriority w:val="0"/>
    <w:pPr>
      <w:numPr>
        <w:ilvl w:val="1"/>
      </w:numPr>
      <w:spacing w:after="0" w:line="340" w:lineRule="exact"/>
    </w:pPr>
    <w:rPr>
      <w:sz w:val="28"/>
    </w:rPr>
  </w:style>
  <w:style w:type="paragraph" w:customStyle="1" w:styleId="113">
    <w:name w:val="保留正文"/>
    <w:basedOn w:val="24"/>
    <w:qFormat/>
    <w:uiPriority w:val="0"/>
    <w:pPr>
      <w:keepNext/>
      <w:spacing w:after="160" w:line="240" w:lineRule="auto"/>
    </w:pPr>
    <w:rPr>
      <w:rFonts w:ascii="Times New Roman" w:hAnsi="Times New Roman"/>
      <w:sz w:val="21"/>
    </w:rPr>
  </w:style>
  <w:style w:type="paragraph" w:customStyle="1" w:styleId="114">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5">
    <w:name w:val="一、"/>
    <w:basedOn w:val="1"/>
    <w:qFormat/>
    <w:uiPriority w:val="0"/>
    <w:pPr>
      <w:tabs>
        <w:tab w:val="left" w:pos="720"/>
      </w:tabs>
      <w:spacing w:line="740" w:lineRule="exact"/>
    </w:pPr>
    <w:rPr>
      <w:sz w:val="28"/>
      <w:szCs w:val="24"/>
    </w:rPr>
  </w:style>
  <w:style w:type="character" w:customStyle="1" w:styleId="116">
    <w:name w:val="正文文本首行缩进 字符"/>
    <w:basedOn w:val="90"/>
    <w:link w:val="52"/>
    <w:semiHidden/>
    <w:qFormat/>
    <w:uiPriority w:val="0"/>
    <w:rPr>
      <w:rFonts w:ascii="宋体" w:hAnsi="宋体" w:eastAsia="宋体" w:cs="Times New Roman"/>
      <w:kern w:val="2"/>
      <w:sz w:val="21"/>
      <w:szCs w:val="22"/>
    </w:rPr>
  </w:style>
  <w:style w:type="paragraph" w:customStyle="1" w:styleId="117">
    <w:name w:val="_Style 2"/>
    <w:basedOn w:val="1"/>
    <w:qFormat/>
    <w:uiPriority w:val="99"/>
    <w:pPr>
      <w:ind w:firstLine="420" w:firstLineChars="200"/>
    </w:pPr>
  </w:style>
  <w:style w:type="paragraph" w:customStyle="1" w:styleId="118">
    <w:name w:val="UserStyle_0"/>
    <w:basedOn w:val="1"/>
    <w:qFormat/>
    <w:uiPriority w:val="0"/>
    <w:pPr>
      <w:spacing w:before="15"/>
      <w:ind w:left="120"/>
    </w:pPr>
    <w:rPr>
      <w:rFonts w:ascii="Arial Unicode MS" w:hAnsi="Arial Unicode MS" w:eastAsia="Arial Unicode MS"/>
      <w:sz w:val="32"/>
      <w:szCs w:val="32"/>
    </w:rPr>
  </w:style>
  <w:style w:type="character" w:customStyle="1" w:styleId="119">
    <w:name w:val="注释标题 字符"/>
    <w:basedOn w:val="58"/>
    <w:link w:val="14"/>
    <w:semiHidden/>
    <w:qFormat/>
    <w:uiPriority w:val="0"/>
    <w:rPr>
      <w:rFonts w:ascii="Times New Roman" w:hAnsi="Times New Roman"/>
      <w:kern w:val="2"/>
      <w:sz w:val="21"/>
      <w:szCs w:val="24"/>
    </w:rPr>
  </w:style>
  <w:style w:type="character" w:customStyle="1" w:styleId="120">
    <w:name w:val="电子邮件签名 字符"/>
    <w:basedOn w:val="58"/>
    <w:link w:val="15"/>
    <w:semiHidden/>
    <w:qFormat/>
    <w:uiPriority w:val="0"/>
    <w:rPr>
      <w:rFonts w:ascii="Times New Roman" w:hAnsi="Times New Roman"/>
      <w:kern w:val="2"/>
      <w:sz w:val="21"/>
      <w:szCs w:val="24"/>
    </w:rPr>
  </w:style>
  <w:style w:type="character" w:customStyle="1" w:styleId="121">
    <w:name w:val="称呼 字符"/>
    <w:basedOn w:val="58"/>
    <w:link w:val="21"/>
    <w:semiHidden/>
    <w:qFormat/>
    <w:uiPriority w:val="0"/>
    <w:rPr>
      <w:rFonts w:ascii="Times New Roman" w:hAnsi="Times New Roman"/>
      <w:kern w:val="2"/>
      <w:sz w:val="21"/>
      <w:szCs w:val="24"/>
    </w:rPr>
  </w:style>
  <w:style w:type="character" w:customStyle="1" w:styleId="122">
    <w:name w:val="正文文本 3 字符"/>
    <w:basedOn w:val="58"/>
    <w:link w:val="22"/>
    <w:semiHidden/>
    <w:qFormat/>
    <w:uiPriority w:val="0"/>
    <w:rPr>
      <w:rFonts w:ascii="Times New Roman" w:hAnsi="Times New Roman"/>
      <w:kern w:val="2"/>
      <w:sz w:val="16"/>
      <w:szCs w:val="16"/>
    </w:rPr>
  </w:style>
  <w:style w:type="character" w:customStyle="1" w:styleId="123">
    <w:name w:val="结束语 字符"/>
    <w:basedOn w:val="58"/>
    <w:link w:val="23"/>
    <w:semiHidden/>
    <w:qFormat/>
    <w:uiPriority w:val="0"/>
    <w:rPr>
      <w:rFonts w:ascii="Times New Roman" w:hAnsi="Times New Roman"/>
      <w:kern w:val="2"/>
      <w:sz w:val="21"/>
      <w:szCs w:val="24"/>
    </w:rPr>
  </w:style>
  <w:style w:type="character" w:customStyle="1" w:styleId="124">
    <w:name w:val="HTML 地址 字符"/>
    <w:basedOn w:val="58"/>
    <w:link w:val="27"/>
    <w:semiHidden/>
    <w:qFormat/>
    <w:uiPriority w:val="0"/>
    <w:rPr>
      <w:rFonts w:ascii="Times New Roman" w:hAnsi="Times New Roman"/>
      <w:i/>
      <w:iCs/>
      <w:kern w:val="2"/>
      <w:sz w:val="21"/>
      <w:szCs w:val="24"/>
    </w:rPr>
  </w:style>
  <w:style w:type="character" w:customStyle="1" w:styleId="125">
    <w:name w:val="日期 字符"/>
    <w:basedOn w:val="58"/>
    <w:link w:val="31"/>
    <w:qFormat/>
    <w:uiPriority w:val="0"/>
    <w:rPr>
      <w:rFonts w:ascii="Times New Roman" w:hAnsi="Times New Roman"/>
      <w:kern w:val="2"/>
      <w:sz w:val="21"/>
    </w:rPr>
  </w:style>
  <w:style w:type="character" w:customStyle="1" w:styleId="126">
    <w:name w:val="正文文本缩进 2 字符"/>
    <w:basedOn w:val="58"/>
    <w:link w:val="32"/>
    <w:semiHidden/>
    <w:qFormat/>
    <w:uiPriority w:val="0"/>
    <w:rPr>
      <w:rFonts w:ascii="Times New Roman" w:hAnsi="Times New Roman"/>
      <w:kern w:val="2"/>
      <w:sz w:val="21"/>
      <w:szCs w:val="24"/>
    </w:rPr>
  </w:style>
  <w:style w:type="character" w:customStyle="1" w:styleId="127">
    <w:name w:val="尾注文本 字符"/>
    <w:basedOn w:val="58"/>
    <w:link w:val="33"/>
    <w:semiHidden/>
    <w:qFormat/>
    <w:uiPriority w:val="0"/>
    <w:rPr>
      <w:rFonts w:ascii="Times New Roman" w:hAnsi="Times New Roman"/>
      <w:kern w:val="2"/>
      <w:sz w:val="21"/>
      <w:szCs w:val="24"/>
    </w:rPr>
  </w:style>
  <w:style w:type="character" w:customStyle="1" w:styleId="128">
    <w:name w:val="签名 字符"/>
    <w:basedOn w:val="58"/>
    <w:link w:val="37"/>
    <w:semiHidden/>
    <w:qFormat/>
    <w:uiPriority w:val="0"/>
    <w:rPr>
      <w:rFonts w:ascii="Times New Roman" w:hAnsi="Times New Roman"/>
      <w:kern w:val="2"/>
      <w:sz w:val="21"/>
      <w:szCs w:val="24"/>
    </w:rPr>
  </w:style>
  <w:style w:type="character" w:customStyle="1" w:styleId="129">
    <w:name w:val="脚注文本 字符"/>
    <w:basedOn w:val="58"/>
    <w:link w:val="42"/>
    <w:semiHidden/>
    <w:qFormat/>
    <w:uiPriority w:val="0"/>
    <w:rPr>
      <w:rFonts w:ascii="Times New Roman" w:hAnsi="Times New Roman"/>
      <w:kern w:val="2"/>
      <w:sz w:val="18"/>
    </w:rPr>
  </w:style>
  <w:style w:type="character" w:customStyle="1" w:styleId="130">
    <w:name w:val="信息标题 字符"/>
    <w:basedOn w:val="58"/>
    <w:link w:val="46"/>
    <w:semiHidden/>
    <w:qFormat/>
    <w:uiPriority w:val="0"/>
    <w:rPr>
      <w:rFonts w:ascii="Arial" w:hAnsi="Arial" w:cs="Arial"/>
      <w:kern w:val="2"/>
      <w:sz w:val="24"/>
      <w:szCs w:val="24"/>
      <w:shd w:val="pct20" w:color="auto" w:fill="auto"/>
    </w:rPr>
  </w:style>
  <w:style w:type="character" w:customStyle="1" w:styleId="131">
    <w:name w:val="HTML 预设格式 字符"/>
    <w:basedOn w:val="58"/>
    <w:link w:val="47"/>
    <w:semiHidden/>
    <w:qFormat/>
    <w:uiPriority w:val="0"/>
    <w:rPr>
      <w:rFonts w:ascii="宋体" w:hAnsi="宋体" w:cs="宋体"/>
      <w:color w:val="000000"/>
      <w:sz w:val="24"/>
      <w:szCs w:val="24"/>
    </w:rPr>
  </w:style>
  <w:style w:type="character" w:customStyle="1" w:styleId="132">
    <w:name w:val="unnamed211"/>
    <w:semiHidden/>
    <w:qFormat/>
    <w:uiPriority w:val="0"/>
    <w:rPr>
      <w:sz w:val="23"/>
      <w:szCs w:val="23"/>
    </w:rPr>
  </w:style>
  <w:style w:type="character" w:customStyle="1" w:styleId="133">
    <w:name w:val="ss1"/>
    <w:semiHidden/>
    <w:qFormat/>
    <w:uiPriority w:val="0"/>
    <w:rPr>
      <w:rFonts w:hint="default" w:ascii="ˎ̥" w:hAnsi="ˎ̥"/>
      <w:color w:val="000000"/>
      <w:sz w:val="18"/>
      <w:szCs w:val="18"/>
      <w:u w:val="none"/>
    </w:rPr>
  </w:style>
  <w:style w:type="character" w:customStyle="1" w:styleId="134">
    <w:name w:val="f142"/>
    <w:semiHidden/>
    <w:qFormat/>
    <w:uiPriority w:val="0"/>
    <w:rPr>
      <w:sz w:val="21"/>
      <w:szCs w:val="21"/>
    </w:rPr>
  </w:style>
  <w:style w:type="character" w:customStyle="1" w:styleId="135">
    <w:name w:val="f14b1"/>
    <w:semiHidden/>
    <w:qFormat/>
    <w:uiPriority w:val="0"/>
    <w:rPr>
      <w:b/>
      <w:bCs/>
      <w:sz w:val="21"/>
      <w:szCs w:val="21"/>
    </w:rPr>
  </w:style>
  <w:style w:type="character" w:customStyle="1" w:styleId="136">
    <w:name w:val="ca-41"/>
    <w:qFormat/>
    <w:uiPriority w:val="0"/>
    <w:rPr>
      <w:rFonts w:hint="eastAsia" w:ascii="黑体" w:eastAsia="黑体"/>
      <w:b/>
      <w:bCs/>
      <w:spacing w:val="-20"/>
      <w:sz w:val="30"/>
      <w:szCs w:val="30"/>
    </w:rPr>
  </w:style>
  <w:style w:type="character" w:customStyle="1" w:styleId="137">
    <w:name w:val="签名 Char1"/>
    <w:basedOn w:val="58"/>
    <w:semiHidden/>
    <w:qFormat/>
    <w:uiPriority w:val="99"/>
    <w:rPr>
      <w:rFonts w:ascii="Times New Roman" w:hAnsi="Times New Roman" w:eastAsia="宋体" w:cs="Times New Roman"/>
      <w:szCs w:val="20"/>
    </w:rPr>
  </w:style>
  <w:style w:type="character" w:customStyle="1" w:styleId="138">
    <w:name w:val="正文文本缩进 2 Char1"/>
    <w:basedOn w:val="58"/>
    <w:semiHidden/>
    <w:qFormat/>
    <w:uiPriority w:val="99"/>
    <w:rPr>
      <w:rFonts w:ascii="Times New Roman" w:hAnsi="Times New Roman" w:eastAsia="宋体" w:cs="Times New Roman"/>
      <w:szCs w:val="20"/>
    </w:rPr>
  </w:style>
  <w:style w:type="paragraph" w:customStyle="1" w:styleId="139">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0">
    <w:name w:val="纯文本 Char1"/>
    <w:qFormat/>
    <w:uiPriority w:val="0"/>
    <w:rPr>
      <w:rFonts w:ascii="宋体" w:hAnsi="Courier New" w:cs="Courier New"/>
      <w:kern w:val="2"/>
      <w:sz w:val="21"/>
      <w:szCs w:val="21"/>
    </w:rPr>
  </w:style>
  <w:style w:type="character" w:customStyle="1" w:styleId="141">
    <w:name w:val="Char Char23"/>
    <w:semiHidden/>
    <w:qFormat/>
    <w:uiPriority w:val="0"/>
    <w:rPr>
      <w:rFonts w:ascii="Times New Roman" w:hAnsi="Times New Roman" w:eastAsia="宋体" w:cs="Times New Roman"/>
      <w:b/>
      <w:bCs/>
      <w:szCs w:val="24"/>
    </w:rPr>
  </w:style>
  <w:style w:type="paragraph" w:customStyle="1" w:styleId="142">
    <w:name w:val="z-窗体顶端1"/>
    <w:basedOn w:val="1"/>
    <w:next w:val="1"/>
    <w:link w:val="143"/>
    <w:unhideWhenUsed/>
    <w:qFormat/>
    <w:uiPriority w:val="99"/>
    <w:pPr>
      <w:widowControl/>
      <w:pBdr>
        <w:bottom w:val="single" w:color="auto" w:sz="6" w:space="1"/>
      </w:pBdr>
      <w:jc w:val="center"/>
    </w:pPr>
    <w:rPr>
      <w:rFonts w:ascii="Arial" w:hAnsi="Arial"/>
      <w:vanish/>
      <w:kern w:val="0"/>
      <w:sz w:val="16"/>
      <w:szCs w:val="16"/>
    </w:rPr>
  </w:style>
  <w:style w:type="character" w:customStyle="1" w:styleId="143">
    <w:name w:val="z-窗体顶端 Char"/>
    <w:basedOn w:val="58"/>
    <w:link w:val="142"/>
    <w:qFormat/>
    <w:uiPriority w:val="99"/>
    <w:rPr>
      <w:rFonts w:ascii="Arial" w:hAnsi="Arial"/>
      <w:vanish/>
      <w:sz w:val="16"/>
      <w:szCs w:val="16"/>
    </w:rPr>
  </w:style>
  <w:style w:type="paragraph" w:customStyle="1" w:styleId="144">
    <w:name w:val="z-窗体底端1"/>
    <w:basedOn w:val="1"/>
    <w:next w:val="1"/>
    <w:link w:val="145"/>
    <w:unhideWhenUsed/>
    <w:qFormat/>
    <w:uiPriority w:val="99"/>
    <w:pPr>
      <w:widowControl/>
      <w:pBdr>
        <w:top w:val="single" w:color="auto" w:sz="6" w:space="1"/>
      </w:pBdr>
      <w:jc w:val="center"/>
    </w:pPr>
    <w:rPr>
      <w:rFonts w:ascii="Arial" w:hAnsi="Arial"/>
      <w:vanish/>
      <w:kern w:val="0"/>
      <w:sz w:val="16"/>
      <w:szCs w:val="16"/>
    </w:rPr>
  </w:style>
  <w:style w:type="character" w:customStyle="1" w:styleId="145">
    <w:name w:val="z-窗体底端 Char"/>
    <w:basedOn w:val="58"/>
    <w:link w:val="144"/>
    <w:qFormat/>
    <w:uiPriority w:val="99"/>
    <w:rPr>
      <w:rFonts w:ascii="Arial" w:hAnsi="Arial"/>
      <w:vanish/>
      <w:sz w:val="16"/>
      <w:szCs w:val="16"/>
    </w:rPr>
  </w:style>
  <w:style w:type="paragraph" w:customStyle="1" w:styleId="146">
    <w:name w:val="_Style 10"/>
    <w:qFormat/>
    <w:uiPriority w:val="0"/>
    <w:rPr>
      <w:rFonts w:ascii="Calibri" w:hAnsi="Calibri" w:eastAsia="宋体" w:cs="Times New Roman"/>
      <w:kern w:val="2"/>
      <w:sz w:val="21"/>
      <w:szCs w:val="22"/>
      <w:lang w:val="en-US" w:eastAsia="zh-CN" w:bidi="ar-SA"/>
    </w:rPr>
  </w:style>
  <w:style w:type="paragraph" w:customStyle="1" w:styleId="147">
    <w:name w:val="列出段落1"/>
    <w:basedOn w:val="1"/>
    <w:qFormat/>
    <w:uiPriority w:val="34"/>
    <w:pPr>
      <w:ind w:firstLine="420" w:firstLineChars="200"/>
    </w:pPr>
  </w:style>
  <w:style w:type="paragraph" w:customStyle="1" w:styleId="148">
    <w:name w:val="列出段落2"/>
    <w:basedOn w:val="101"/>
    <w:qFormat/>
    <w:uiPriority w:val="34"/>
    <w:pPr>
      <w:ind w:firstLine="420" w:firstLineChars="200"/>
    </w:pPr>
  </w:style>
  <w:style w:type="paragraph" w:customStyle="1" w:styleId="149">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fontstyle21"/>
    <w:basedOn w:val="58"/>
    <w:qFormat/>
    <w:uiPriority w:val="0"/>
    <w:rPr>
      <w:rFonts w:ascii="FZXBSJW--GB1-0" w:hAnsi="FZXBSJW--GB1-0" w:eastAsia="FZXBSJW--GB1-0" w:cs="FZXBSJW--GB1-0"/>
      <w:color w:val="000000"/>
      <w:sz w:val="44"/>
      <w:szCs w:val="44"/>
    </w:rPr>
  </w:style>
  <w:style w:type="character" w:customStyle="1" w:styleId="152">
    <w:name w:val="fontstyle31"/>
    <w:basedOn w:val="58"/>
    <w:qFormat/>
    <w:uiPriority w:val="0"/>
    <w:rPr>
      <w:rFonts w:ascii="仿宋_GB2312" w:hAnsi="仿宋_GB2312" w:eastAsia="仿宋_GB2312" w:cs="仿宋_GB2312"/>
      <w:color w:val="000000"/>
      <w:sz w:val="32"/>
      <w:szCs w:val="32"/>
    </w:rPr>
  </w:style>
  <w:style w:type="paragraph" w:customStyle="1" w:styleId="153">
    <w:name w:val="页脚2"/>
    <w:basedOn w:val="101"/>
    <w:unhideWhenUsed/>
    <w:qFormat/>
    <w:uiPriority w:val="0"/>
    <w:pPr>
      <w:tabs>
        <w:tab w:val="center" w:pos="4153"/>
        <w:tab w:val="right" w:pos="8306"/>
      </w:tabs>
      <w:snapToGrid w:val="0"/>
      <w:jc w:val="left"/>
    </w:pPr>
    <w:rPr>
      <w:sz w:val="18"/>
      <w:szCs w:val="18"/>
    </w:rPr>
  </w:style>
  <w:style w:type="character" w:customStyle="1" w:styleId="154">
    <w:name w:val="纯文本 Char2"/>
    <w:qFormat/>
    <w:uiPriority w:val="0"/>
    <w:rPr>
      <w:rFonts w:ascii="宋体" w:hAnsi="Courier New" w:eastAsia="宋体" w:cs="Courier New"/>
      <w:sz w:val="21"/>
      <w:szCs w:val="21"/>
    </w:rPr>
  </w:style>
  <w:style w:type="character" w:customStyle="1" w:styleId="155">
    <w:name w:val="fontstrikethrough"/>
    <w:basedOn w:val="58"/>
    <w:qFormat/>
    <w:uiPriority w:val="0"/>
    <w:rPr>
      <w:strike/>
    </w:rPr>
  </w:style>
  <w:style w:type="character" w:customStyle="1" w:styleId="156">
    <w:name w:val="副标题 字符"/>
    <w:link w:val="40"/>
    <w:qFormat/>
    <w:uiPriority w:val="11"/>
    <w:rPr>
      <w:rFonts w:ascii="Cambria" w:hAnsi="Cambria"/>
      <w:b/>
      <w:bCs/>
      <w:kern w:val="28"/>
      <w:sz w:val="32"/>
      <w:szCs w:val="32"/>
    </w:rPr>
  </w:style>
  <w:style w:type="character" w:customStyle="1" w:styleId="157">
    <w:name w:val="fontborder"/>
    <w:basedOn w:val="58"/>
    <w:qFormat/>
    <w:uiPriority w:val="0"/>
    <w:rPr>
      <w:bdr w:val="single" w:color="000000" w:sz="6" w:space="0"/>
    </w:rPr>
  </w:style>
  <w:style w:type="character" w:customStyle="1" w:styleId="158">
    <w:name w:val="标题 Char1"/>
    <w:qFormat/>
    <w:uiPriority w:val="10"/>
    <w:rPr>
      <w:rFonts w:ascii="Cambria" w:hAnsi="Cambria" w:cs="Times New Roman"/>
      <w:b/>
      <w:bCs/>
      <w:kern w:val="2"/>
      <w:sz w:val="32"/>
      <w:szCs w:val="32"/>
    </w:rPr>
  </w:style>
  <w:style w:type="character" w:customStyle="1" w:styleId="159">
    <w:name w:val="标题 Char"/>
    <w:qFormat/>
    <w:uiPriority w:val="0"/>
    <w:rPr>
      <w:rFonts w:ascii="Cambria" w:hAnsi="Cambria"/>
      <w:b/>
      <w:bCs/>
      <w:kern w:val="2"/>
      <w:sz w:val="32"/>
      <w:szCs w:val="32"/>
    </w:rPr>
  </w:style>
  <w:style w:type="character" w:customStyle="1" w:styleId="160">
    <w:name w:val="标题 字符"/>
    <w:basedOn w:val="58"/>
    <w:link w:val="50"/>
    <w:qFormat/>
    <w:uiPriority w:val="10"/>
    <w:rPr>
      <w:rFonts w:asciiTheme="majorHAnsi" w:hAnsiTheme="majorHAnsi" w:cstheme="majorBidi"/>
      <w:b/>
      <w:bCs/>
      <w:kern w:val="2"/>
      <w:sz w:val="32"/>
      <w:szCs w:val="32"/>
    </w:rPr>
  </w:style>
  <w:style w:type="character" w:customStyle="1" w:styleId="161">
    <w:name w:val="副标题 Char1"/>
    <w:basedOn w:val="58"/>
    <w:qFormat/>
    <w:uiPriority w:val="11"/>
    <w:rPr>
      <w:rFonts w:asciiTheme="majorHAnsi" w:hAnsiTheme="majorHAnsi" w:cstheme="majorBidi"/>
      <w:b/>
      <w:bCs/>
      <w:kern w:val="28"/>
      <w:sz w:val="32"/>
      <w:szCs w:val="32"/>
    </w:rPr>
  </w:style>
  <w:style w:type="paragraph" w:customStyle="1" w:styleId="162">
    <w:name w:val="Heading 2_1"/>
    <w:basedOn w:val="149"/>
    <w:next w:val="149"/>
    <w:qFormat/>
    <w:uiPriority w:val="0"/>
    <w:pPr>
      <w:spacing w:before="360" w:after="120" w:line="360" w:lineRule="auto"/>
      <w:outlineLvl w:val="1"/>
    </w:pPr>
    <w:rPr>
      <w:rFonts w:ascii="Cambria" w:hAnsi="Cambria" w:eastAsia="黑体"/>
      <w:b/>
      <w:bCs/>
      <w:sz w:val="32"/>
      <w:szCs w:val="32"/>
    </w:rPr>
  </w:style>
  <w:style w:type="paragraph" w:customStyle="1" w:styleId="163">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常用（宋体，5号，1.25行距）"/>
    <w:basedOn w:val="1"/>
    <w:qFormat/>
    <w:uiPriority w:val="0"/>
    <w:pPr>
      <w:widowControl/>
      <w:spacing w:line="300" w:lineRule="auto"/>
      <w:jc w:val="left"/>
    </w:pPr>
    <w:rPr>
      <w:kern w:val="0"/>
      <w:sz w:val="24"/>
      <w:szCs w:val="21"/>
      <w:lang w:eastAsia="en-US" w:bidi="en-US"/>
    </w:rPr>
  </w:style>
  <w:style w:type="paragraph" w:customStyle="1" w:styleId="165">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Plain Text_0"/>
    <w:basedOn w:val="163"/>
    <w:qFormat/>
    <w:uiPriority w:val="0"/>
    <w:rPr>
      <w:rFonts w:ascii="宋体" w:hAnsi="Courier New" w:cs="Courier New"/>
      <w:szCs w:val="21"/>
    </w:rPr>
  </w:style>
  <w:style w:type="character" w:customStyle="1" w:styleId="167">
    <w:name w:val="_Style 1"/>
    <w:qFormat/>
    <w:uiPriority w:val="19"/>
    <w:rPr>
      <w:rFonts w:eastAsia="宋体"/>
      <w:iCs/>
      <w:color w:val="404040"/>
      <w:sz w:val="30"/>
    </w:rPr>
  </w:style>
  <w:style w:type="paragraph" w:customStyle="1" w:styleId="168">
    <w:name w:val="条款标题"/>
    <w:basedOn w:val="5"/>
    <w:qFormat/>
    <w:uiPriority w:val="0"/>
    <w:pPr>
      <w:tabs>
        <w:tab w:val="clear" w:pos="720"/>
      </w:tabs>
      <w:spacing w:before="151" w:beforeLines="50" w:after="151" w:afterLines="50"/>
      <w:ind w:firstLine="422" w:firstLineChars="200"/>
    </w:pPr>
    <w:rPr>
      <w:rFonts w:asciiTheme="minorEastAsia" w:hAnsiTheme="minorEastAsia" w:eastAsiaTheme="minorEastAsia"/>
      <w:bCs w:val="0"/>
      <w:sz w:val="21"/>
      <w:szCs w:val="21"/>
    </w:rPr>
  </w:style>
  <w:style w:type="paragraph" w:customStyle="1" w:styleId="169">
    <w:name w:val="列出段落"/>
    <w:basedOn w:val="1"/>
    <w:qFormat/>
    <w:uiPriority w:val="34"/>
    <w:pPr>
      <w:ind w:firstLine="420" w:firstLineChars="200"/>
    </w:pPr>
  </w:style>
  <w:style w:type="paragraph" w:customStyle="1" w:styleId="170">
    <w:name w:val="样式1"/>
    <w:basedOn w:val="36"/>
    <w:qFormat/>
    <w:uiPriority w:val="0"/>
    <w:pPr>
      <w:pBdr>
        <w:bottom w:val="thinThickSmallGap" w:color="auto" w:sz="24" w:space="1"/>
      </w:pBdr>
    </w:pPr>
    <w:rPr>
      <w:rFonts w:ascii="黑体" w:hAnsi="Times New Roman" w:eastAsia="黑体"/>
      <w:b/>
      <w:sz w:val="21"/>
      <w:szCs w:val="20"/>
    </w:rPr>
  </w:style>
  <w:style w:type="paragraph" w:customStyle="1" w:styleId="171">
    <w:name w:val="正文缩进1"/>
    <w:basedOn w:val="1"/>
    <w:qFormat/>
    <w:uiPriority w:val="0"/>
    <w:pPr>
      <w:ind w:firstLine="420" w:firstLineChars="200"/>
    </w:pPr>
  </w:style>
  <w:style w:type="paragraph" w:customStyle="1" w:styleId="172">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 w:type="paragraph" w:customStyle="1" w:styleId="173">
    <w:name w:val="c-正文"/>
    <w:basedOn w:val="174"/>
    <w:qFormat/>
    <w:uiPriority w:val="0"/>
    <w:pPr>
      <w:spacing w:line="312" w:lineRule="auto"/>
      <w:ind w:firstLine="200" w:firstLineChars="200"/>
    </w:pPr>
    <w:rPr>
      <w:rFonts w:ascii="宋体" w:hAnsi="宋体" w:eastAsia="宋体"/>
      <w:color w:val="000000"/>
      <w:sz w:val="24"/>
      <w:szCs w:val="24"/>
    </w:rPr>
  </w:style>
  <w:style w:type="paragraph" w:customStyle="1" w:styleId="174">
    <w:name w:val="标准正文"/>
    <w:basedOn w:val="1"/>
    <w:qFormat/>
    <w:uiPriority w:val="0"/>
    <w:rPr>
      <w:rFonts w:eastAsia="仿宋_GB2312"/>
      <w:szCs w:val="20"/>
    </w:rPr>
  </w:style>
  <w:style w:type="paragraph" w:customStyle="1" w:styleId="175">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76">
    <w:name w:val="日期1"/>
    <w:basedOn w:val="1"/>
    <w:next w:val="1"/>
    <w:qFormat/>
    <w:uiPriority w:val="0"/>
    <w:pPr>
      <w:adjustRightInd w:val="0"/>
      <w:spacing w:line="400" w:lineRule="exact"/>
      <w:jc w:val="right"/>
      <w:textAlignment w:val="baseline"/>
    </w:pPr>
    <w:rPr>
      <w:rFonts w:ascii="Times New Roman" w:hAnsi="Times New Roman" w:eastAsia="宋体" w:cs="Times New Roman"/>
      <w:kern w:val="0"/>
      <w:sz w:val="36"/>
      <w:szCs w:val="20"/>
    </w:rPr>
  </w:style>
  <w:style w:type="paragraph" w:customStyle="1" w:styleId="177">
    <w:name w:val="p0"/>
    <w:basedOn w:val="1"/>
    <w:qFormat/>
    <w:uiPriority w:val="0"/>
    <w:pPr>
      <w:widowControl/>
      <w:spacing w:after="200" w:line="360" w:lineRule="auto"/>
      <w:ind w:firstLine="420"/>
      <w:jc w:val="left"/>
    </w:pPr>
    <w:rPr>
      <w:rFonts w:ascii="Calibri" w:hAnsi="Calibri" w:eastAsia="宋体" w:cs="宋体"/>
      <w:kern w:val="0"/>
      <w:sz w:val="24"/>
      <w:szCs w:val="24"/>
    </w:rPr>
  </w:style>
  <w:style w:type="paragraph" w:customStyle="1" w:styleId="178">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Normal_14"/>
    <w:qFormat/>
    <w:uiPriority w:val="0"/>
    <w:pPr>
      <w:spacing w:before="120" w:after="240"/>
      <w:jc w:val="both"/>
    </w:pPr>
    <w:rPr>
      <w:rFonts w:ascii="Times New Roman" w:hAnsi="Times New Roman" w:eastAsia="Calibri" w:cs="Times New Roman"/>
      <w:kern w:val="0"/>
      <w:sz w:val="22"/>
      <w:szCs w:val="22"/>
      <w:lang w:val="ru-RU" w:eastAsia="en-US" w:bidi="ar-SA"/>
    </w:rPr>
  </w:style>
  <w:style w:type="paragraph" w:customStyle="1" w:styleId="181">
    <w:name w:val="Table Text"/>
    <w:basedOn w:val="1"/>
    <w:semiHidden/>
    <w:qFormat/>
    <w:uiPriority w:val="0"/>
    <w:rPr>
      <w:rFonts w:ascii="宋体" w:hAnsi="宋体" w:eastAsia="宋体" w:cs="宋体"/>
      <w:sz w:val="13"/>
      <w:szCs w:val="13"/>
      <w:lang w:val="en-US" w:eastAsia="en-US" w:bidi="ar-SA"/>
    </w:rPr>
  </w:style>
  <w:style w:type="character" w:customStyle="1" w:styleId="182">
    <w:name w:val="font01"/>
    <w:basedOn w:val="58"/>
    <w:qFormat/>
    <w:uiPriority w:val="0"/>
    <w:rPr>
      <w:rFonts w:hint="eastAsia" w:ascii="宋体" w:hAnsi="宋体" w:eastAsia="宋体" w:cs="宋体"/>
      <w:color w:val="000000"/>
      <w:sz w:val="22"/>
      <w:szCs w:val="22"/>
      <w:u w:val="none"/>
    </w:rPr>
  </w:style>
  <w:style w:type="character" w:customStyle="1" w:styleId="183">
    <w:name w:val="font31"/>
    <w:basedOn w:val="58"/>
    <w:qFormat/>
    <w:uiPriority w:val="0"/>
    <w:rPr>
      <w:rFonts w:hint="eastAsia" w:ascii="宋体" w:hAnsi="宋体" w:eastAsia="宋体" w:cs="宋体"/>
      <w:b/>
      <w:bCs/>
      <w:color w:val="C00000"/>
      <w:sz w:val="22"/>
      <w:szCs w:val="22"/>
      <w:u w:val="none"/>
    </w:rPr>
  </w:style>
  <w:style w:type="character" w:customStyle="1" w:styleId="184">
    <w:name w:val="font21"/>
    <w:basedOn w:val="58"/>
    <w:qFormat/>
    <w:uiPriority w:val="0"/>
    <w:rPr>
      <w:rFonts w:hint="eastAsia" w:ascii="宋体" w:hAnsi="宋体" w:eastAsia="宋体" w:cs="宋体"/>
      <w:b/>
      <w:bCs/>
      <w:color w:val="000000"/>
      <w:sz w:val="22"/>
      <w:szCs w:val="22"/>
      <w:u w:val="none"/>
    </w:rPr>
  </w:style>
  <w:style w:type="paragraph" w:customStyle="1" w:styleId="185">
    <w:name w:val="纯文本1"/>
    <w:basedOn w:val="1"/>
    <w:next w:val="186"/>
    <w:qFormat/>
    <w:uiPriority w:val="0"/>
    <w:rPr>
      <w:rFonts w:ascii="宋体" w:hAnsi="宋体" w:cs="Courier New"/>
      <w:szCs w:val="21"/>
    </w:rPr>
  </w:style>
  <w:style w:type="paragraph" w:customStyle="1" w:styleId="186">
    <w:name w:val="索引 81"/>
    <w:basedOn w:val="1"/>
    <w:next w:val="1"/>
    <w:qFormat/>
    <w:uiPriority w:val="0"/>
    <w:pPr>
      <w:ind w:leftChars="1400" w:right="0" w:rightChars="0"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6023</Words>
  <Characters>6229</Characters>
  <Lines>247</Lines>
  <Paragraphs>69</Paragraphs>
  <TotalTime>14</TotalTime>
  <ScaleCrop>false</ScaleCrop>
  <LinksUpToDate>false</LinksUpToDate>
  <CharactersWithSpaces>6449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2024-05-11T00:17:00Z</dcterms:created>
  <dc:creator>微软用户</dc:creator>
  <cp:lastModifiedBy>實誠</cp:lastModifiedBy>
  <cp:lastPrinted>2019-11-22T00:55:00Z</cp:lastPrinted>
  <dcterms:modified xsi:type="dcterms:W3CDTF">2026-08-14T18:00:00Z</dcterms:modified>
  <dc:title>工程编号：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346348CA3AEF3AFFB4597C6A351FDF40_43</vt:lpwstr>
  </property>
  <property fmtid="{D5CDD505-2E9C-101B-9397-08002B2CF9AE}" pid="4" name="KSOTemplateDocerSaveRecord">
    <vt:lpwstr>eyJoZGlkIjoiZmYwNjQ2OWE2OWU3NmJiMzkzOTM3YTU1NTJlZDg1MTYiLCJ1c2VySWQiOiIzMTc5MTEyMTcifQ==</vt:lpwstr>
  </property>
</Properties>
</file>