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FBBFE">
      <w:pPr>
        <w:widowControl/>
        <w:spacing w:beforeLines="-2147483648" w:afterLines="-2147483648" w:line="560" w:lineRule="exact"/>
        <w:jc w:val="center"/>
        <w:rPr>
          <w:rFonts w:hint="eastAsia" w:ascii="方正小标宋简体" w:hAnsi="方正小标宋简体" w:eastAsia="方正小标宋简体" w:cs="方正小标宋简体"/>
          <w:b w:val="0"/>
          <w:color w:val="auto"/>
          <w:sz w:val="44"/>
          <w:szCs w:val="44"/>
          <w:highlight w:val="none"/>
          <w:lang w:val="en-US" w:eastAsia="zh-CN"/>
        </w:rPr>
      </w:pPr>
      <w:r>
        <w:rPr>
          <w:rFonts w:hint="eastAsia" w:ascii="方正小标宋简体" w:hAnsi="方正小标宋简体" w:eastAsia="方正小标宋简体" w:cs="方正小标宋简体"/>
          <w:b w:val="0"/>
          <w:color w:val="auto"/>
          <w:sz w:val="44"/>
          <w:szCs w:val="44"/>
          <w:highlight w:val="none"/>
          <w:lang w:val="en-US" w:eastAsia="zh-CN"/>
        </w:rPr>
        <w:t>全球智能硬件谷可行性研究服务</w:t>
      </w:r>
    </w:p>
    <w:p w14:paraId="641A1109">
      <w:pPr>
        <w:widowControl/>
        <w:spacing w:beforeLines="-2147483648" w:afterLines="-2147483648" w:line="560" w:lineRule="exact"/>
        <w:jc w:val="center"/>
        <w:rPr>
          <w:rFonts w:hint="eastAsia" w:ascii="方正小标宋简体" w:hAnsi="方正小标宋简体" w:eastAsia="方正小标宋简体" w:cs="方正小标宋简体"/>
          <w:b w:val="0"/>
          <w:color w:val="auto"/>
          <w:sz w:val="44"/>
          <w:szCs w:val="44"/>
          <w:highlight w:val="none"/>
        </w:rPr>
      </w:pPr>
      <w:r>
        <w:rPr>
          <w:rFonts w:hint="eastAsia" w:ascii="方正小标宋简体" w:hAnsi="方正小标宋简体" w:eastAsia="方正小标宋简体" w:cs="方正小标宋简体"/>
          <w:b w:val="0"/>
          <w:color w:val="auto"/>
          <w:sz w:val="44"/>
          <w:szCs w:val="44"/>
          <w:highlight w:val="none"/>
          <w:lang w:val="en-US"/>
        </w:rPr>
        <w:t>公开招标（自主）文件</w:t>
      </w:r>
    </w:p>
    <w:p w14:paraId="1C7EA7D0">
      <w:pPr>
        <w:widowControl/>
        <w:spacing w:beforeLines="-2147483648" w:afterLines="-2147483648" w:line="560" w:lineRule="exact"/>
        <w:jc w:val="center"/>
        <w:rPr>
          <w:rFonts w:hint="eastAsia" w:ascii="方正小标宋简体" w:hAnsi="方正小标宋简体" w:eastAsia="方正小标宋简体" w:cs="方正小标宋简体"/>
          <w:b w:val="0"/>
          <w:color w:val="auto"/>
          <w:sz w:val="44"/>
          <w:szCs w:val="44"/>
          <w:highlight w:val="none"/>
        </w:rPr>
      </w:pPr>
    </w:p>
    <w:p w14:paraId="71EC7A26">
      <w:pPr>
        <w:spacing w:line="360" w:lineRule="auto"/>
        <w:ind w:firstLine="643" w:firstLineChars="200"/>
        <w:rPr>
          <w:rFonts w:hint="default" w:ascii="仿宋_GB2312" w:hAnsi="仿宋_GB2312" w:eastAsia="仿宋_GB2312" w:cs="仿宋_GB2312"/>
          <w:sz w:val="32"/>
          <w:szCs w:val="32"/>
          <w:highlight w:val="none"/>
          <w:lang w:val="en-US" w:eastAsia="zh-CN"/>
        </w:rPr>
      </w:pPr>
      <w:bookmarkStart w:id="0" w:name="_Toc509669685"/>
      <w:r>
        <w:rPr>
          <w:rFonts w:hint="eastAsia" w:ascii="仿宋_GB2312" w:hAnsi="仿宋_GB2312" w:eastAsia="仿宋_GB2312" w:cs="仿宋_GB2312"/>
          <w:b/>
          <w:bCs/>
          <w:sz w:val="32"/>
          <w:szCs w:val="32"/>
          <w:highlight w:val="none"/>
        </w:rPr>
        <w:t>一、项目名称：</w:t>
      </w:r>
      <w:r>
        <w:rPr>
          <w:rFonts w:hint="eastAsia" w:ascii="仿宋_GB2312" w:hAnsi="仿宋_GB2312" w:eastAsia="仿宋_GB2312" w:cs="仿宋_GB2312"/>
          <w:b w:val="0"/>
          <w:bCs w:val="0"/>
          <w:sz w:val="32"/>
          <w:szCs w:val="32"/>
          <w:highlight w:val="none"/>
        </w:rPr>
        <w:t>全球智能硬件谷</w:t>
      </w:r>
      <w:r>
        <w:rPr>
          <w:rFonts w:hint="eastAsia" w:ascii="仿宋_GB2312" w:hAnsi="仿宋_GB2312" w:eastAsia="仿宋_GB2312" w:cs="仿宋_GB2312"/>
          <w:b w:val="0"/>
          <w:bCs w:val="0"/>
          <w:sz w:val="32"/>
          <w:szCs w:val="32"/>
          <w:highlight w:val="none"/>
          <w:lang w:eastAsia="zh-CN"/>
        </w:rPr>
        <w:t>可行性</w:t>
      </w:r>
      <w:r>
        <w:rPr>
          <w:rFonts w:hint="eastAsia" w:ascii="仿宋_GB2312" w:hAnsi="仿宋_GB2312" w:eastAsia="仿宋_GB2312" w:cs="仿宋_GB2312"/>
          <w:b w:val="0"/>
          <w:bCs w:val="0"/>
          <w:sz w:val="32"/>
          <w:szCs w:val="32"/>
          <w:highlight w:val="none"/>
        </w:rPr>
        <w:t>研究</w:t>
      </w:r>
      <w:r>
        <w:rPr>
          <w:rFonts w:hint="eastAsia" w:ascii="仿宋_GB2312" w:hAnsi="仿宋_GB2312" w:eastAsia="仿宋_GB2312" w:cs="仿宋_GB2312"/>
          <w:b w:val="0"/>
          <w:bCs w:val="0"/>
          <w:sz w:val="32"/>
          <w:szCs w:val="32"/>
          <w:highlight w:val="none"/>
          <w:lang w:eastAsia="zh-CN"/>
        </w:rPr>
        <w:t>服务</w:t>
      </w:r>
      <w:r>
        <w:rPr>
          <w:rFonts w:hint="eastAsia" w:ascii="仿宋_GB2312" w:hAnsi="仿宋_GB2312" w:eastAsia="仿宋_GB2312" w:cs="仿宋_GB2312"/>
          <w:b/>
          <w:bCs/>
          <w:sz w:val="32"/>
          <w:szCs w:val="32"/>
          <w:highlight w:val="none"/>
          <w:lang w:val="en-US" w:eastAsia="zh-CN"/>
        </w:rPr>
        <w:t xml:space="preserve"> </w:t>
      </w:r>
    </w:p>
    <w:p w14:paraId="3B7AF32A">
      <w:pPr>
        <w:ind w:firstLine="643" w:firstLineChars="200"/>
        <w:rPr>
          <w:rFonts w:hint="eastAsia" w:ascii="仿宋" w:hAnsi="仿宋" w:eastAsia="仿宋"/>
          <w:sz w:val="32"/>
          <w:szCs w:val="32"/>
          <w:highlight w:val="none"/>
        </w:rPr>
      </w:pPr>
      <w:r>
        <w:rPr>
          <w:rFonts w:hint="eastAsia" w:ascii="仿宋_GB2312" w:hAnsi="仿宋_GB2312" w:eastAsia="仿宋_GB2312" w:cs="仿宋_GB2312"/>
          <w:b/>
          <w:bCs/>
          <w:sz w:val="32"/>
          <w:szCs w:val="32"/>
          <w:highlight w:val="none"/>
        </w:rPr>
        <w:t>二、项目概况：</w:t>
      </w:r>
      <w:bookmarkStart w:id="1" w:name="_Hlk93911571"/>
      <w:r>
        <w:rPr>
          <w:rFonts w:hint="eastAsia" w:ascii="仿宋" w:hAnsi="仿宋" w:eastAsia="仿宋"/>
          <w:sz w:val="32"/>
          <w:szCs w:val="32"/>
          <w:highlight w:val="none"/>
        </w:rPr>
        <w:t>全球智能硬件谷（AI Hub）选址龙城街道嶂背片区，致力建设集研发办公、智慧工厂、创新平台及生活配套于一体的全球顶尖智能硬件产业基地。</w:t>
      </w:r>
    </w:p>
    <w:p w14:paraId="3F104E48">
      <w:pPr>
        <w:spacing w:line="360" w:lineRule="auto"/>
        <w:ind w:firstLine="640" w:firstLineChars="200"/>
        <w:rPr>
          <w:rFonts w:hint="eastAsia" w:ascii="仿宋_GB2312" w:hAnsi="仿宋_GB2312" w:eastAsia="仿宋_GB2312" w:cs="仿宋_GB2312"/>
          <w:b/>
          <w:bCs/>
          <w:sz w:val="32"/>
          <w:szCs w:val="32"/>
          <w:highlight w:val="none"/>
          <w:lang w:val="en-US" w:eastAsia="zh-CN"/>
        </w:rPr>
      </w:pPr>
      <w:r>
        <w:rPr>
          <w:rFonts w:hint="eastAsia" w:ascii="仿宋" w:hAnsi="仿宋" w:eastAsia="仿宋"/>
          <w:sz w:val="32"/>
          <w:szCs w:val="32"/>
          <w:highlight w:val="none"/>
        </w:rPr>
        <w:t>本次研究范围用地面积约22万平方米，总建筑面积约97万平方米（预估指标，最终以规划调整后的为准）。</w:t>
      </w:r>
      <w:bookmarkEnd w:id="1"/>
    </w:p>
    <w:p w14:paraId="6C2D64B8">
      <w:pPr>
        <w:spacing w:line="560" w:lineRule="exact"/>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三、研究范围和主要工作内容</w:t>
      </w:r>
      <w:r>
        <w:rPr>
          <w:rFonts w:hint="eastAsia" w:ascii="仿宋_GB2312" w:hAnsi="仿宋_GB2312" w:eastAsia="仿宋_GB2312" w:cs="仿宋_GB2312"/>
          <w:b/>
          <w:bCs/>
          <w:sz w:val="32"/>
          <w:szCs w:val="32"/>
          <w:highlight w:val="none"/>
        </w:rPr>
        <w:t>：</w:t>
      </w:r>
    </w:p>
    <w:p w14:paraId="167AB7E8">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可研报告</w:t>
      </w:r>
      <w:r>
        <w:rPr>
          <w:rFonts w:hint="eastAsia" w:ascii="仿宋_GB2312" w:hAnsi="仿宋_GB2312" w:eastAsia="仿宋_GB2312" w:cs="仿宋_GB2312"/>
          <w:color w:val="auto"/>
          <w:sz w:val="32"/>
          <w:szCs w:val="32"/>
          <w:highlight w:val="none"/>
          <w:lang w:val="en-US" w:eastAsia="zh-CN"/>
        </w:rPr>
        <w:t>主要包括但不限于以下内容</w:t>
      </w:r>
      <w:r>
        <w:rPr>
          <w:rFonts w:hint="eastAsia" w:ascii="仿宋_GB2312" w:hAnsi="仿宋_GB2312" w:eastAsia="仿宋_GB2312" w:cs="仿宋_GB2312"/>
          <w:color w:val="auto"/>
          <w:sz w:val="32"/>
          <w:szCs w:val="32"/>
          <w:highlight w:val="none"/>
        </w:rPr>
        <w:t>：</w:t>
      </w:r>
    </w:p>
    <w:p w14:paraId="5D08A930">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eastAsia="zh-CN"/>
        </w:rPr>
        <w:t>项目及企业概况；</w:t>
      </w:r>
    </w:p>
    <w:p w14:paraId="3DB21877">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项目建设背景和必要性；</w:t>
      </w:r>
    </w:p>
    <w:p w14:paraId="486F4018">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市场分析；</w:t>
      </w:r>
    </w:p>
    <w:p w14:paraId="5AED524D">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项目选址与建设条件分析；</w:t>
      </w:r>
    </w:p>
    <w:p w14:paraId="619DDF1D">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项目建设方案及运营方案；</w:t>
      </w:r>
    </w:p>
    <w:p w14:paraId="0959B0A9">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项目融资与财务方案</w:t>
      </w:r>
      <w:r>
        <w:rPr>
          <w:rFonts w:hint="eastAsia" w:ascii="仿宋_GB2312" w:hAnsi="仿宋_GB2312" w:eastAsia="仿宋_GB2312" w:cs="仿宋_GB2312"/>
          <w:color w:val="000000"/>
          <w:sz w:val="32"/>
          <w:szCs w:val="32"/>
          <w:highlight w:val="none"/>
          <w:lang w:val="en-US" w:eastAsia="zh-CN"/>
        </w:rPr>
        <w:t>(含税筹章节)</w:t>
      </w:r>
      <w:r>
        <w:rPr>
          <w:rFonts w:hint="eastAsia" w:ascii="仿宋_GB2312" w:hAnsi="仿宋_GB2312" w:eastAsia="仿宋_GB2312" w:cs="仿宋_GB2312"/>
          <w:color w:val="auto"/>
          <w:sz w:val="32"/>
          <w:szCs w:val="32"/>
          <w:highlight w:val="none"/>
        </w:rPr>
        <w:t>；</w:t>
      </w:r>
    </w:p>
    <w:p w14:paraId="2A9E9030">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项目影响效果评价；</w:t>
      </w:r>
    </w:p>
    <w:p w14:paraId="2EBC6272">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项目风险和管控方案；</w:t>
      </w:r>
    </w:p>
    <w:p w14:paraId="5FB50689">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九</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研究结论和建议</w:t>
      </w:r>
      <w:r>
        <w:rPr>
          <w:rFonts w:hint="eastAsia" w:ascii="仿宋_GB2312" w:hAnsi="仿宋_GB2312" w:eastAsia="仿宋_GB2312" w:cs="仿宋_GB2312"/>
          <w:color w:val="auto"/>
          <w:sz w:val="32"/>
          <w:szCs w:val="32"/>
          <w:highlight w:val="none"/>
          <w:lang w:eastAsia="zh-CN"/>
        </w:rPr>
        <w:t>。</w:t>
      </w:r>
    </w:p>
    <w:p w14:paraId="1844BB14">
      <w:pPr>
        <w:adjustRightInd w:val="0"/>
        <w:snapToGrid w:val="0"/>
        <w:spacing w:before="0" w:line="560" w:lineRule="exact"/>
        <w:ind w:left="0" w:right="0" w:firstLine="643" w:firstLineChars="200"/>
        <w:textAlignment w:val="baseline"/>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备注：</w:t>
      </w:r>
    </w:p>
    <w:p w14:paraId="6EC48201">
      <w:pPr>
        <w:spacing w:line="56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本次可行性研究工作可视需分阶段出具成果，分别用于项目公司设立及投资决策。</w:t>
      </w:r>
    </w:p>
    <w:p w14:paraId="57F8C6EB">
      <w:pPr>
        <w:pStyle w:val="170"/>
        <w:spacing w:line="560" w:lineRule="exact"/>
        <w:ind w:firstLine="640"/>
        <w:rPr>
          <w:rFonts w:ascii="仿宋_GB2312" w:hAnsi="仿宋_GB2312" w:eastAsia="仿宋_GB2312" w:cs="仿宋_GB2312"/>
          <w:kern w:val="0"/>
          <w:sz w:val="32"/>
          <w:szCs w:val="32"/>
          <w:highlight w:val="none"/>
        </w:rPr>
      </w:pPr>
      <w:r>
        <w:rPr>
          <w:rFonts w:hint="eastAsia" w:ascii="仿宋_GB2312" w:hAnsi="仿宋_GB2312" w:eastAsia="仿宋_GB2312" w:cs="仿宋_GB2312"/>
          <w:color w:val="auto"/>
          <w:sz w:val="32"/>
          <w:szCs w:val="32"/>
          <w:highlight w:val="none"/>
          <w:lang w:val="en-US" w:eastAsia="zh-CN"/>
        </w:rPr>
        <w:t>2.若相关成果需组织专家评审，评审费用已包含在合同总价内，委托方不再另行支付。</w:t>
      </w:r>
    </w:p>
    <w:p w14:paraId="58D75328">
      <w:pPr>
        <w:spacing w:line="240" w:lineRule="auto"/>
        <w:ind w:firstLine="710" w:firstLineChars="221"/>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四、</w:t>
      </w:r>
      <w:r>
        <w:rPr>
          <w:rFonts w:hint="eastAsia" w:ascii="仿宋_GB2312" w:hAnsi="仿宋_GB2312" w:eastAsia="仿宋_GB2312" w:cs="仿宋_GB2312"/>
          <w:b/>
          <w:bCs/>
          <w:color w:val="auto"/>
          <w:sz w:val="32"/>
          <w:szCs w:val="32"/>
          <w:highlight w:val="none"/>
          <w:lang w:val="en-US" w:eastAsia="zh-CN"/>
        </w:rPr>
        <w:t>投标报价</w:t>
      </w:r>
      <w:r>
        <w:rPr>
          <w:rFonts w:hint="eastAsia" w:ascii="仿宋_GB2312" w:hAnsi="仿宋_GB2312" w:eastAsia="仿宋_GB2312" w:cs="仿宋_GB2312"/>
          <w:b/>
          <w:bCs/>
          <w:color w:val="auto"/>
          <w:sz w:val="32"/>
          <w:szCs w:val="32"/>
          <w:highlight w:val="none"/>
        </w:rPr>
        <w:t>上限价：</w:t>
      </w:r>
      <w:r>
        <w:rPr>
          <w:rFonts w:hint="eastAsia" w:ascii="仿宋_GB2312" w:hAnsi="仿宋_GB2312" w:eastAsia="仿宋_GB2312" w:cs="仿宋_GB2312"/>
          <w:color w:val="auto"/>
          <w:sz w:val="32"/>
          <w:szCs w:val="32"/>
          <w:highlight w:val="none"/>
        </w:rPr>
        <w:t>本次</w:t>
      </w:r>
      <w:r>
        <w:rPr>
          <w:rFonts w:hint="eastAsia" w:ascii="仿宋_GB2312" w:hAnsi="仿宋_GB2312" w:eastAsia="仿宋_GB2312" w:cs="仿宋_GB2312"/>
          <w:color w:val="auto"/>
          <w:sz w:val="32"/>
          <w:szCs w:val="32"/>
          <w:highlight w:val="none"/>
          <w:lang w:val="en-US" w:eastAsia="zh-CN"/>
        </w:rPr>
        <w:t>投标报价上限价</w:t>
      </w:r>
      <w:r>
        <w:rPr>
          <w:rFonts w:hint="eastAsia" w:ascii="仿宋_GB2312" w:hAnsi="仿宋_GB2312" w:eastAsia="仿宋_GB2312" w:cs="仿宋_GB2312"/>
          <w:color w:val="auto"/>
          <w:sz w:val="32"/>
          <w:szCs w:val="32"/>
          <w:highlight w:val="none"/>
        </w:rPr>
        <w:t>（最高限价）为</w:t>
      </w:r>
      <w:r>
        <w:rPr>
          <w:rFonts w:hint="eastAsia" w:ascii="仿宋_GB2312" w:hAnsi="仿宋_GB2312" w:eastAsia="仿宋_GB2312" w:cs="仿宋_GB2312"/>
          <w:kern w:val="0"/>
          <w:sz w:val="32"/>
          <w:szCs w:val="32"/>
          <w:highlight w:val="none"/>
          <w:lang w:val="en-US" w:eastAsia="zh-CN"/>
        </w:rPr>
        <w:t>28.99</w:t>
      </w:r>
      <w:r>
        <w:rPr>
          <w:rFonts w:hint="eastAsia" w:ascii="仿宋_GB2312" w:hAnsi="仿宋_GB2312" w:eastAsia="仿宋_GB2312" w:cs="仿宋_GB2312"/>
          <w:sz w:val="32"/>
          <w:szCs w:val="32"/>
          <w:highlight w:val="none"/>
          <w:lang w:val="en-US" w:eastAsia="zh-CN"/>
        </w:rPr>
        <w:t>万元</w:t>
      </w:r>
      <w:r>
        <w:rPr>
          <w:rFonts w:hint="eastAsia" w:ascii="仿宋_GB2312" w:hAnsi="仿宋_GB2312" w:eastAsia="仿宋_GB2312" w:cs="仿宋_GB2312"/>
          <w:color w:val="auto"/>
          <w:sz w:val="32"/>
          <w:szCs w:val="32"/>
          <w:highlight w:val="none"/>
          <w:lang w:val="en-US" w:eastAsia="zh-CN"/>
        </w:rPr>
        <w:t>（含专家评审费，若需）</w:t>
      </w:r>
      <w:r>
        <w:rPr>
          <w:rFonts w:hint="eastAsia" w:ascii="仿宋_GB2312" w:hAnsi="仿宋_GB2312" w:eastAsia="仿宋_GB2312" w:cs="仿宋_GB2312"/>
          <w:color w:val="auto"/>
          <w:sz w:val="32"/>
          <w:szCs w:val="32"/>
          <w:highlight w:val="none"/>
        </w:rPr>
        <w:t>。</w:t>
      </w:r>
    </w:p>
    <w:p w14:paraId="3717E4F0">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五、报价要求：</w:t>
      </w:r>
      <w:r>
        <w:rPr>
          <w:rFonts w:hint="eastAsia" w:ascii="仿宋_GB2312" w:hAnsi="仿宋_GB2312" w:eastAsia="仿宋_GB2312" w:cs="仿宋_GB2312"/>
          <w:color w:val="auto"/>
          <w:sz w:val="32"/>
          <w:szCs w:val="32"/>
          <w:highlight w:val="none"/>
        </w:rPr>
        <w:t>响应单位在此限额下自行报价；成交供应商的响应报价即为最终合同价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固定总价合同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p>
    <w:p w14:paraId="09CD0F4E">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rPr>
        <w:t>、响应单位资格要求</w:t>
      </w:r>
    </w:p>
    <w:p w14:paraId="59754238">
      <w:pPr>
        <w:adjustRightInd w:val="0"/>
        <w:snapToGrid w:val="0"/>
        <w:spacing w:line="560" w:lineRule="exact"/>
        <w:ind w:firstLine="640" w:firstLineChars="200"/>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kern w:val="2"/>
          <w:sz w:val="32"/>
          <w:szCs w:val="32"/>
          <w:highlight w:val="none"/>
        </w:rPr>
        <w:t>1.</w:t>
      </w:r>
      <w:r>
        <w:rPr>
          <w:rFonts w:hint="eastAsia" w:ascii="仿宋_GB2312" w:hAnsi="仿宋_GB2312" w:eastAsia="仿宋_GB2312" w:cs="仿宋_GB2312"/>
          <w:sz w:val="32"/>
          <w:szCs w:val="32"/>
          <w:highlight w:val="none"/>
        </w:rPr>
        <w:t>具有独立法人资格</w:t>
      </w:r>
      <w:r>
        <w:rPr>
          <w:rFonts w:hint="eastAsia" w:ascii="仿宋_GB2312" w:hAnsi="仿宋_GB2312" w:eastAsia="仿宋_GB2312" w:cs="仿宋_GB2312"/>
          <w:sz w:val="32"/>
          <w:szCs w:val="32"/>
          <w:highlight w:val="none"/>
          <w:lang w:val="en-US" w:eastAsia="zh-CN"/>
        </w:rPr>
        <w:t>的实体，</w:t>
      </w:r>
      <w:r>
        <w:rPr>
          <w:rFonts w:hint="eastAsia" w:ascii="仿宋_GB2312" w:hAnsi="仿宋_GB2312" w:eastAsia="仿宋_GB2312" w:cs="仿宋_GB2312"/>
          <w:sz w:val="32"/>
          <w:szCs w:val="32"/>
          <w:highlight w:val="none"/>
        </w:rPr>
        <w:t>或具有独立承担民事责任能力的</w:t>
      </w:r>
      <w:r>
        <w:rPr>
          <w:rFonts w:hint="eastAsia" w:ascii="仿宋_GB2312" w:hAnsi="仿宋_GB2312" w:eastAsia="仿宋_GB2312" w:cs="仿宋_GB2312"/>
          <w:sz w:val="32"/>
          <w:szCs w:val="32"/>
          <w:highlight w:val="none"/>
          <w:lang w:eastAsia="zh-CN"/>
        </w:rPr>
        <w:t>其他组织</w:t>
      </w:r>
      <w:r>
        <w:rPr>
          <w:rFonts w:hint="eastAsia" w:ascii="仿宋_GB2312" w:hAnsi="仿宋_GB2312" w:eastAsia="仿宋_GB2312" w:cs="仿宋_GB2312"/>
          <w:color w:val="auto"/>
          <w:kern w:val="2"/>
          <w:sz w:val="32"/>
          <w:szCs w:val="32"/>
          <w:highlight w:val="none"/>
          <w:lang w:eastAsia="zh-CN"/>
        </w:rPr>
        <w:t>；</w:t>
      </w:r>
    </w:p>
    <w:p w14:paraId="188268C0">
      <w:pPr>
        <w:adjustRightInd w:val="0"/>
        <w:snapToGrid w:val="0"/>
        <w:spacing w:line="56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2.持有工程咨询单位资信证书或房地产估价机构备案壹级证书。</w:t>
      </w:r>
    </w:p>
    <w:p w14:paraId="128A9132">
      <w:pPr>
        <w:adjustRightInd w:val="0"/>
        <w:snapToGrid w:val="0"/>
        <w:spacing w:line="56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3.提供全国投资项目在线审批监管平台备案截图。</w:t>
      </w:r>
    </w:p>
    <w:p w14:paraId="78CAEBE5">
      <w:pPr>
        <w:pStyle w:val="115"/>
        <w:tabs>
          <w:tab w:val="left" w:pos="426"/>
          <w:tab w:val="left" w:pos="567"/>
        </w:tabs>
        <w:spacing w:line="360" w:lineRule="auto"/>
        <w:ind w:firstLine="56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4</w:t>
      </w:r>
      <w:r>
        <w:rPr>
          <w:rFonts w:hint="eastAsia" w:ascii="仿宋_GB2312" w:hAnsi="仿宋_GB2312" w:eastAsia="仿宋_GB2312" w:cs="仿宋_GB2312"/>
          <w:color w:val="auto"/>
          <w:kern w:val="2"/>
          <w:sz w:val="32"/>
          <w:szCs w:val="32"/>
          <w:highlight w:val="none"/>
        </w:rPr>
        <w:t>.</w:t>
      </w:r>
      <w:r>
        <w:rPr>
          <w:rFonts w:hint="eastAsia" w:ascii="仿宋_GB2312" w:hAnsi="仿宋_GB2312" w:eastAsia="仿宋_GB2312" w:cs="仿宋_GB2312"/>
          <w:color w:val="auto"/>
          <w:kern w:val="2"/>
          <w:sz w:val="32"/>
          <w:szCs w:val="32"/>
          <w:highlight w:val="none"/>
          <w:lang w:eastAsia="zh-CN"/>
        </w:rPr>
        <w:t>不</w:t>
      </w:r>
      <w:r>
        <w:rPr>
          <w:rFonts w:hint="eastAsia" w:ascii="仿宋_GB2312" w:hAnsi="仿宋_GB2312" w:eastAsia="仿宋_GB2312" w:cs="仿宋_GB2312"/>
          <w:color w:val="auto"/>
          <w:kern w:val="2"/>
          <w:sz w:val="32"/>
          <w:szCs w:val="32"/>
          <w:highlight w:val="none"/>
        </w:rPr>
        <w:t>接受联合体投标。</w:t>
      </w:r>
    </w:p>
    <w:p w14:paraId="669E6C5A">
      <w:p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rPr>
        <w:t>七、评审方法</w:t>
      </w:r>
    </w:p>
    <w:p w14:paraId="36626362">
      <w:pPr>
        <w:pStyle w:val="115"/>
        <w:tabs>
          <w:tab w:val="left" w:pos="426"/>
          <w:tab w:val="left" w:pos="567"/>
        </w:tabs>
        <w:spacing w:line="360" w:lineRule="auto"/>
        <w:ind w:firstLine="56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评标方法采用综合评分法。</w:t>
      </w:r>
      <w:r>
        <w:rPr>
          <w:rFonts w:hint="eastAsia" w:ascii="仿宋_GB2312" w:hAnsi="仿宋_GB2312" w:eastAsia="仿宋_GB2312" w:cs="仿宋_GB2312"/>
          <w:sz w:val="32"/>
          <w:szCs w:val="32"/>
          <w:highlight w:val="none"/>
          <w:lang w:val="en-US" w:eastAsia="zh-CN"/>
        </w:rPr>
        <w:t>由委托人自行组建</w:t>
      </w:r>
      <w:r>
        <w:rPr>
          <w:rFonts w:hint="eastAsia" w:ascii="仿宋_GB2312" w:hAnsi="仿宋_GB2312" w:eastAsia="仿宋_GB2312" w:cs="仿宋_GB2312"/>
          <w:sz w:val="32"/>
          <w:szCs w:val="32"/>
          <w:highlight w:val="none"/>
          <w:lang w:eastAsia="zh-CN"/>
        </w:rPr>
        <w:t>评审小组在有效响应单位中比选，推荐得票最高的为成交供应商。（综合评分表详见附件）</w:t>
      </w:r>
    </w:p>
    <w:p w14:paraId="7039E495">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八、服务酬劳的支付</w:t>
      </w:r>
    </w:p>
    <w:p w14:paraId="6E47A741">
      <w:pPr>
        <w:numPr>
          <w:ilvl w:val="0"/>
          <w:numId w:val="0"/>
        </w:numPr>
        <w:spacing w:line="560" w:lineRule="exact"/>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（一）支付节点</w:t>
      </w:r>
    </w:p>
    <w:p w14:paraId="415BE4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成果初稿通过</w:t>
      </w:r>
      <w:r>
        <w:rPr>
          <w:rFonts w:hint="eastAsia" w:ascii="仿宋_GB2312" w:hAnsi="仿宋_GB2312" w:eastAsia="仿宋_GB2312" w:cs="仿宋_GB2312"/>
          <w:color w:val="auto"/>
          <w:sz w:val="32"/>
          <w:szCs w:val="32"/>
          <w:highlight w:val="none"/>
          <w:lang w:eastAsia="zh-CN"/>
        </w:rPr>
        <w:t>委托方</w:t>
      </w:r>
      <w:r>
        <w:rPr>
          <w:rFonts w:hint="eastAsia" w:ascii="仿宋_GB2312" w:hAnsi="仿宋_GB2312" w:eastAsia="仿宋_GB2312" w:cs="仿宋_GB2312"/>
          <w:color w:val="auto"/>
          <w:sz w:val="32"/>
          <w:szCs w:val="32"/>
          <w:highlight w:val="none"/>
        </w:rPr>
        <w:t>初步审核，</w:t>
      </w:r>
      <w:r>
        <w:rPr>
          <w:rFonts w:hint="eastAsia" w:ascii="仿宋_GB2312" w:hAnsi="仿宋_GB2312" w:eastAsia="仿宋_GB2312" w:cs="仿宋_GB2312"/>
          <w:color w:val="auto"/>
          <w:sz w:val="32"/>
          <w:szCs w:val="32"/>
          <w:highlight w:val="none"/>
          <w:lang w:eastAsia="zh-CN"/>
        </w:rPr>
        <w:t>服务方</w:t>
      </w:r>
      <w:r>
        <w:rPr>
          <w:rFonts w:hint="eastAsia" w:ascii="仿宋_GB2312" w:hAnsi="仿宋_GB2312" w:eastAsia="仿宋_GB2312" w:cs="仿宋_GB2312"/>
          <w:color w:val="auto"/>
          <w:sz w:val="32"/>
          <w:szCs w:val="32"/>
          <w:highlight w:val="none"/>
        </w:rPr>
        <w:t>提出书面申请，经</w:t>
      </w:r>
      <w:r>
        <w:rPr>
          <w:rFonts w:hint="eastAsia" w:ascii="仿宋_GB2312" w:hAnsi="仿宋_GB2312" w:eastAsia="仿宋_GB2312" w:cs="仿宋_GB2312"/>
          <w:color w:val="auto"/>
          <w:sz w:val="32"/>
          <w:szCs w:val="32"/>
          <w:highlight w:val="none"/>
          <w:lang w:eastAsia="zh-CN"/>
        </w:rPr>
        <w:t>委托方</w:t>
      </w:r>
      <w:r>
        <w:rPr>
          <w:rFonts w:hint="eastAsia" w:ascii="仿宋_GB2312" w:hAnsi="仿宋_GB2312" w:eastAsia="仿宋_GB2312" w:cs="仿宋_GB2312"/>
          <w:color w:val="auto"/>
          <w:sz w:val="32"/>
          <w:szCs w:val="32"/>
          <w:highlight w:val="none"/>
        </w:rPr>
        <w:t>确认后支付合同总金额的30%；</w:t>
      </w:r>
    </w:p>
    <w:p w14:paraId="672CDC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项目成果文件通过专家评审并根据专家意见修改完成，</w:t>
      </w:r>
      <w:r>
        <w:rPr>
          <w:rFonts w:hint="eastAsia" w:ascii="仿宋_GB2312" w:hAnsi="仿宋_GB2312" w:eastAsia="仿宋_GB2312" w:cs="仿宋_GB2312"/>
          <w:color w:val="auto"/>
          <w:sz w:val="32"/>
          <w:szCs w:val="32"/>
          <w:highlight w:val="none"/>
          <w:lang w:eastAsia="zh-CN"/>
        </w:rPr>
        <w:t>服务方</w:t>
      </w:r>
      <w:r>
        <w:rPr>
          <w:rFonts w:hint="eastAsia" w:ascii="仿宋_GB2312" w:hAnsi="仿宋_GB2312" w:eastAsia="仿宋_GB2312" w:cs="仿宋_GB2312"/>
          <w:color w:val="auto"/>
          <w:sz w:val="32"/>
          <w:szCs w:val="32"/>
          <w:highlight w:val="none"/>
        </w:rPr>
        <w:t>提出书面申请，经</w:t>
      </w:r>
      <w:r>
        <w:rPr>
          <w:rFonts w:hint="eastAsia" w:ascii="仿宋_GB2312" w:hAnsi="仿宋_GB2312" w:eastAsia="仿宋_GB2312" w:cs="仿宋_GB2312"/>
          <w:color w:val="auto"/>
          <w:sz w:val="32"/>
          <w:szCs w:val="32"/>
          <w:highlight w:val="none"/>
          <w:lang w:eastAsia="zh-CN"/>
        </w:rPr>
        <w:t>委托方</w:t>
      </w:r>
      <w:r>
        <w:rPr>
          <w:rFonts w:hint="eastAsia" w:ascii="仿宋_GB2312" w:hAnsi="仿宋_GB2312" w:eastAsia="仿宋_GB2312" w:cs="仿宋_GB2312"/>
          <w:color w:val="auto"/>
          <w:sz w:val="32"/>
          <w:szCs w:val="32"/>
          <w:highlight w:val="none"/>
        </w:rPr>
        <w:t>确认后支付合同总金额的30%；</w:t>
      </w:r>
    </w:p>
    <w:p w14:paraId="16CC3F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服务方</w:t>
      </w:r>
      <w:r>
        <w:rPr>
          <w:rFonts w:hint="eastAsia" w:ascii="仿宋_GB2312" w:hAnsi="仿宋_GB2312" w:eastAsia="仿宋_GB2312" w:cs="仿宋_GB2312"/>
          <w:color w:val="auto"/>
          <w:sz w:val="32"/>
          <w:szCs w:val="32"/>
          <w:highlight w:val="none"/>
        </w:rPr>
        <w:t>完成最终成果报告并经</w:t>
      </w:r>
      <w:r>
        <w:rPr>
          <w:rFonts w:hint="eastAsia" w:ascii="仿宋_GB2312" w:hAnsi="仿宋_GB2312" w:eastAsia="仿宋_GB2312" w:cs="仿宋_GB2312"/>
          <w:color w:val="auto"/>
          <w:sz w:val="32"/>
          <w:szCs w:val="32"/>
          <w:highlight w:val="none"/>
          <w:lang w:eastAsia="zh-CN"/>
        </w:rPr>
        <w:t>委托方</w:t>
      </w:r>
      <w:r>
        <w:rPr>
          <w:rFonts w:hint="eastAsia" w:ascii="仿宋_GB2312" w:hAnsi="仿宋_GB2312" w:eastAsia="仿宋_GB2312" w:cs="仿宋_GB2312"/>
          <w:color w:val="auto"/>
          <w:sz w:val="32"/>
          <w:szCs w:val="32"/>
          <w:highlight w:val="none"/>
        </w:rPr>
        <w:t>确认后支付合同总金额的30%；</w:t>
      </w:r>
    </w:p>
    <w:p w14:paraId="354A08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完成合同履约评价以及合同最终结算后，根据履约评价结果一次性支付剩余金额</w:t>
      </w:r>
      <w:r>
        <w:rPr>
          <w:rFonts w:hint="eastAsia" w:ascii="仿宋_GB2312" w:hAnsi="仿宋_GB2312" w:eastAsia="仿宋_GB2312" w:cs="仿宋_GB2312"/>
          <w:color w:val="auto"/>
          <w:sz w:val="32"/>
          <w:szCs w:val="32"/>
          <w:highlight w:val="none"/>
          <w:lang w:eastAsia="zh-CN"/>
        </w:rPr>
        <w:t>。</w:t>
      </w:r>
    </w:p>
    <w:p w14:paraId="7491A1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rPr>
        <w:t>履约评价</w:t>
      </w:r>
    </w:p>
    <w:p w14:paraId="352CEB69">
      <w:pPr>
        <w:pStyle w:val="115"/>
        <w:tabs>
          <w:tab w:val="left" w:pos="426"/>
          <w:tab w:val="left" w:pos="567"/>
        </w:tabs>
        <w:spacing w:line="360" w:lineRule="auto"/>
        <w:ind w:firstLine="560"/>
        <w:rPr>
          <w:rFonts w:hint="eastAsia" w:ascii="仿宋_GB2312" w:hAnsi="仿宋_GB2312" w:eastAsia="仿宋_GB2312" w:cs="仿宋_GB2312"/>
          <w:color w:val="000000"/>
          <w:sz w:val="32"/>
          <w:szCs w:val="32"/>
          <w:highlight w:val="none"/>
          <w:lang w:val="en-US" w:eastAsia="zh-CN"/>
        </w:rPr>
      </w:pPr>
      <w:r>
        <w:rPr>
          <w:rFonts w:hint="eastAsia" w:ascii="仿宋" w:hAnsi="仿宋" w:eastAsia="仿宋" w:cstheme="minorBidi"/>
          <w:sz w:val="32"/>
          <w:szCs w:val="32"/>
          <w:highlight w:val="none"/>
          <w:lang w:val="en-US" w:eastAsia="zh-CN"/>
        </w:rPr>
        <w:t>在服务完成后启动履约评价，根据履约评价得分支付，履约考核评价为合格或以上等级的，支付全部；履约考核评价为不合格的，不予支付。服务方参与投标、签订合同视为接受委托方的单方履约评价结果，同意由委托方根据单方履约评价结果支付履约考核评价费。</w:t>
      </w:r>
    </w:p>
    <w:p w14:paraId="0BF49A04">
      <w:pPr>
        <w:spacing w:line="360" w:lineRule="auto"/>
        <w:ind w:firstLine="643" w:firstLineChars="200"/>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九</w:t>
      </w:r>
      <w:r>
        <w:rPr>
          <w:rFonts w:hint="eastAsia" w:ascii="仿宋_GB2312" w:hAnsi="仿宋_GB2312" w:eastAsia="仿宋_GB2312" w:cs="仿宋_GB2312"/>
          <w:b/>
          <w:bCs/>
          <w:sz w:val="32"/>
          <w:szCs w:val="32"/>
          <w:highlight w:val="none"/>
        </w:rPr>
        <w:t>、响应文件要求</w:t>
      </w:r>
    </w:p>
    <w:p w14:paraId="62199A05">
      <w:pPr>
        <w:numPr>
          <w:ilvl w:val="-1"/>
          <w:numId w:val="0"/>
        </w:num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本次公告时间从202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14</w:t>
      </w:r>
      <w:r>
        <w:rPr>
          <w:rFonts w:hint="eastAsia" w:ascii="仿宋_GB2312" w:hAnsi="仿宋_GB2312" w:eastAsia="仿宋_GB2312" w:cs="仿宋_GB2312"/>
          <w:sz w:val="32"/>
          <w:szCs w:val="32"/>
          <w:highlight w:val="none"/>
        </w:rPr>
        <w:t>日止，响应承包商应于</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14</w:t>
      </w:r>
      <w:r>
        <w:rPr>
          <w:rFonts w:hint="eastAsia" w:ascii="仿宋_GB2312" w:hAnsi="仿宋_GB2312" w:eastAsia="仿宋_GB2312" w:cs="仿宋_GB2312"/>
          <w:sz w:val="32"/>
          <w:szCs w:val="32"/>
          <w:highlight w:val="none"/>
        </w:rPr>
        <w:t>日1</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:00前将响应文件1正4副密封（统一密封，密封处加盖公章）送交到龙岗区中心城腾飞路创投大厦</w:t>
      </w:r>
      <w:r>
        <w:rPr>
          <w:rFonts w:hint="eastAsia" w:ascii="仿宋_GB2312" w:hAnsi="仿宋_GB2312" w:eastAsia="仿宋_GB2312" w:cs="仿宋_GB2312"/>
          <w:sz w:val="32"/>
          <w:szCs w:val="32"/>
          <w:highlight w:val="none"/>
          <w:lang w:eastAsia="zh-CN"/>
        </w:rPr>
        <w:t>22</w:t>
      </w:r>
      <w:r>
        <w:rPr>
          <w:rFonts w:hint="eastAsia" w:ascii="仿宋_GB2312" w:hAnsi="仿宋_GB2312" w:eastAsia="仿宋_GB2312" w:cs="仿宋_GB2312"/>
          <w:sz w:val="32"/>
          <w:szCs w:val="32"/>
          <w:highlight w:val="none"/>
          <w:lang w:val="en-US" w:eastAsia="zh-CN"/>
        </w:rPr>
        <w:t>03</w:t>
      </w:r>
      <w:r>
        <w:rPr>
          <w:rFonts w:hint="eastAsia" w:ascii="仿宋_GB2312" w:hAnsi="仿宋_GB2312" w:eastAsia="仿宋_GB2312" w:cs="仿宋_GB2312"/>
          <w:sz w:val="32"/>
          <w:szCs w:val="32"/>
          <w:highlight w:val="none"/>
          <w:lang w:eastAsia="zh-CN"/>
        </w:rPr>
        <w:t>室</w:t>
      </w:r>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罗</w:t>
      </w:r>
      <w:r>
        <w:rPr>
          <w:rFonts w:hint="eastAsia" w:ascii="仿宋_GB2312" w:hAnsi="仿宋_GB2312" w:eastAsia="仿宋_GB2312" w:cs="仿宋_GB2312"/>
          <w:sz w:val="32"/>
          <w:szCs w:val="32"/>
          <w:highlight w:val="none"/>
        </w:rPr>
        <w:t>工，0755-</w:t>
      </w:r>
      <w:r>
        <w:rPr>
          <w:rFonts w:hint="eastAsia" w:ascii="仿宋_GB2312" w:hAnsi="仿宋_GB2312" w:eastAsia="仿宋_GB2312" w:cs="仿宋_GB2312"/>
          <w:sz w:val="32"/>
          <w:szCs w:val="32"/>
          <w:highlight w:val="none"/>
          <w:lang w:val="en-US" w:eastAsia="zh-CN"/>
        </w:rPr>
        <w:t>28992028</w:t>
      </w:r>
      <w:r>
        <w:rPr>
          <w:rFonts w:hint="eastAsia" w:ascii="仿宋_GB2312" w:hAnsi="仿宋_GB2312" w:eastAsia="仿宋_GB2312" w:cs="仿宋_GB2312"/>
          <w:sz w:val="32"/>
          <w:szCs w:val="32"/>
          <w:highlight w:val="none"/>
        </w:rPr>
        <w:t>），逾期送达或未按要求密封将予以拒收或原封退回给响应承包商。</w:t>
      </w:r>
    </w:p>
    <w:p w14:paraId="789C9EC8">
      <w:pPr>
        <w:numPr>
          <w:ilvl w:val="-1"/>
          <w:numId w:val="0"/>
        </w:num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响应文件包含承诺函、</w:t>
      </w:r>
      <w:r>
        <w:rPr>
          <w:rFonts w:hint="eastAsia" w:ascii="仿宋_GB2312" w:hAnsi="仿宋_GB2312" w:eastAsia="仿宋_GB2312" w:cs="仿宋_GB2312"/>
          <w:sz w:val="32"/>
          <w:szCs w:val="32"/>
          <w:highlight w:val="none"/>
          <w:lang w:val="en-US" w:eastAsia="zh-CN"/>
        </w:rPr>
        <w:t>委托人</w:t>
      </w:r>
      <w:r>
        <w:rPr>
          <w:rFonts w:hint="eastAsia" w:ascii="仿宋_GB2312" w:hAnsi="仿宋_GB2312" w:eastAsia="仿宋_GB2312" w:cs="仿宋_GB2312"/>
          <w:sz w:val="32"/>
          <w:szCs w:val="32"/>
          <w:highlight w:val="none"/>
        </w:rPr>
        <w:t>要求提供的资料等，详见</w:t>
      </w:r>
      <w:r>
        <w:rPr>
          <w:rFonts w:hint="eastAsia" w:ascii="仿宋_GB2312" w:hAnsi="仿宋_GB2312" w:eastAsia="仿宋_GB2312" w:cs="仿宋_GB2312"/>
          <w:sz w:val="32"/>
          <w:szCs w:val="32"/>
          <w:highlight w:val="none"/>
          <w:lang w:val="en-US" w:eastAsia="zh-CN"/>
        </w:rPr>
        <w:t>附件要求</w:t>
      </w:r>
      <w:r>
        <w:rPr>
          <w:rFonts w:hint="eastAsia" w:ascii="仿宋_GB2312" w:hAnsi="仿宋_GB2312" w:eastAsia="仿宋_GB2312" w:cs="仿宋_GB2312"/>
          <w:sz w:val="32"/>
          <w:szCs w:val="32"/>
          <w:highlight w:val="none"/>
        </w:rPr>
        <w:t>。</w:t>
      </w:r>
    </w:p>
    <w:p w14:paraId="7D97DAEA">
      <w:pPr>
        <w:numPr>
          <w:ilvl w:val="-1"/>
          <w:numId w:val="0"/>
        </w:numPr>
        <w:spacing w:line="360" w:lineRule="auto"/>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本次递交响应文件截止时间后，若有效响应单位不足3家的，则发布二次公告，若二次公告期满后，有效响应单位仅有2家的，则拆封响应文件继续评审，有效响应单位仅有1家的，则直接选定承包单位。</w:t>
      </w:r>
    </w:p>
    <w:p w14:paraId="668638C6">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color w:val="auto"/>
          <w:sz w:val="32"/>
          <w:szCs w:val="32"/>
          <w:highlight w:val="none"/>
        </w:rPr>
        <w:t>十、公开招标（自主）结果公示</w:t>
      </w:r>
    </w:p>
    <w:p w14:paraId="3F948AC1">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递交响应文件截止后，</w:t>
      </w:r>
      <w:r>
        <w:rPr>
          <w:rFonts w:hint="eastAsia" w:ascii="仿宋_GB2312" w:hAnsi="仿宋_GB2312" w:eastAsia="仿宋_GB2312" w:cs="仿宋_GB2312"/>
          <w:sz w:val="32"/>
          <w:szCs w:val="32"/>
          <w:highlight w:val="none"/>
          <w:lang w:val="en-US" w:eastAsia="zh-CN"/>
        </w:rPr>
        <w:t>委托人</w:t>
      </w:r>
      <w:r>
        <w:rPr>
          <w:rFonts w:hint="eastAsia" w:ascii="仿宋_GB2312" w:hAnsi="仿宋_GB2312" w:eastAsia="仿宋_GB2312" w:cs="仿宋_GB2312"/>
          <w:sz w:val="32"/>
          <w:szCs w:val="32"/>
          <w:highlight w:val="none"/>
        </w:rPr>
        <w:t>将自行组织响应文件开启、评审等工作，确定承包单位后将在龙岗区城投集团官网进行公示。</w:t>
      </w:r>
    </w:p>
    <w:p w14:paraId="47B8605C">
      <w:pPr>
        <w:spacing w:line="360" w:lineRule="auto"/>
        <w:ind w:left="0" w:hanging="1928" w:hangingChars="6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特别说明：</w:t>
      </w:r>
    </w:p>
    <w:p w14:paraId="14975571">
      <w:pPr>
        <w:numPr>
          <w:ilvl w:val="-1"/>
          <w:numId w:val="0"/>
        </w:numPr>
        <w:spacing w:line="360" w:lineRule="auto"/>
        <w:ind w:left="0" w:leftChars="0"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资格不符合要求的投标人不能进入比选程序。</w:t>
      </w:r>
    </w:p>
    <w:p w14:paraId="02697437">
      <w:pPr>
        <w:numPr>
          <w:ilvl w:val="-1"/>
          <w:numId w:val="0"/>
        </w:numPr>
        <w:spacing w:line="360" w:lineRule="auto"/>
        <w:ind w:left="0" w:leftChars="0"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rPr>
        <w:t>所有响应单位视为同意上述公告内容，确定为承包单位后按公告约定与</w:t>
      </w:r>
      <w:r>
        <w:rPr>
          <w:rFonts w:hint="eastAsia" w:ascii="仿宋_GB2312" w:hAnsi="仿宋_GB2312" w:eastAsia="仿宋_GB2312" w:cs="仿宋_GB2312"/>
          <w:b/>
          <w:bCs/>
          <w:sz w:val="32"/>
          <w:szCs w:val="32"/>
          <w:highlight w:val="none"/>
          <w:lang w:eastAsia="zh-CN"/>
        </w:rPr>
        <w:t>委托人</w:t>
      </w:r>
      <w:r>
        <w:rPr>
          <w:rFonts w:hint="eastAsia" w:ascii="仿宋_GB2312" w:hAnsi="仿宋_GB2312" w:eastAsia="仿宋_GB2312" w:cs="仿宋_GB2312"/>
          <w:b/>
          <w:bCs/>
          <w:sz w:val="32"/>
          <w:szCs w:val="32"/>
          <w:highlight w:val="none"/>
        </w:rPr>
        <w:t>签署合同。</w:t>
      </w:r>
    </w:p>
    <w:p w14:paraId="39F92A4C">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3、投标文件编制要求</w:t>
      </w:r>
    </w:p>
    <w:p w14:paraId="67FE0B08">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（1）胶装成A4或A3幅面（A3禁止竖版）文本的，A4幅面厚度一般不超过50mm,A3幅面厚度一般不超过20 mm，超过的建议分册处理，A3封面禁止使用硬材质封面。</w:t>
      </w:r>
    </w:p>
    <w:p w14:paraId="76416E72">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2.文件在编制时,每本文件自封面开始从“1”编写页号，一般单面文字材料在右下角编写页号，双面书写的文字材料，正面在右下角编号，背面在左下角编号。</w:t>
      </w:r>
    </w:p>
    <w:p w14:paraId="67429B05">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3.投标时应同时提交投标文件纸质文件与PDF扫描文件（载体为光盘或者U盘），扫描文件内容必须与其对应纸质文件一致，扫描文件应清晰、端正、完整、不失真。</w:t>
      </w:r>
    </w:p>
    <w:p w14:paraId="5EF35680">
      <w:pPr>
        <w:pStyle w:val="31"/>
        <w:rPr>
          <w:rFonts w:hint="eastAsia"/>
          <w:highlight w:val="none"/>
          <w:lang w:val="en-US" w:eastAsia="zh-CN"/>
        </w:rPr>
      </w:pPr>
    </w:p>
    <w:p w14:paraId="37FB98BD">
      <w:pPr>
        <w:spacing w:line="360" w:lineRule="auto"/>
        <w:ind w:firstLine="640" w:firstLineChars="200"/>
        <w:jc w:val="righ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深圳市龙岗区城市建设投资集团有限公司</w:t>
      </w:r>
    </w:p>
    <w:p w14:paraId="64B797DB">
      <w:pPr>
        <w:spacing w:line="360" w:lineRule="auto"/>
        <w:ind w:firstLine="640" w:firstLineChars="200"/>
        <w:jc w:val="right"/>
        <w:rPr>
          <w:rFonts w:hint="eastAsia" w:eastAsia="宋体"/>
          <w:highlight w:val="none"/>
          <w:lang w:eastAsia="zh-CN"/>
        </w:rPr>
      </w:pPr>
      <w:r>
        <w:rPr>
          <w:rFonts w:hint="eastAsia" w:ascii="仿宋_GB2312" w:hAnsi="仿宋_GB2312" w:eastAsia="仿宋_GB2312" w:cs="仿宋_GB2312"/>
          <w:sz w:val="32"/>
          <w:szCs w:val="32"/>
          <w:highlight w:val="none"/>
          <w:lang w:val="en-US" w:eastAsia="zh-CN"/>
        </w:rPr>
        <w:t>2026年8月10</w:t>
      </w:r>
      <w:bookmarkStart w:id="3" w:name="_GoBack"/>
      <w:bookmarkEnd w:id="3"/>
      <w:r>
        <w:rPr>
          <w:rFonts w:hint="eastAsia" w:ascii="仿宋_GB2312" w:hAnsi="仿宋_GB2312" w:eastAsia="仿宋_GB2312" w:cs="仿宋_GB2312"/>
          <w:sz w:val="32"/>
          <w:szCs w:val="32"/>
          <w:highlight w:val="none"/>
          <w:lang w:val="en-US" w:eastAsia="zh-CN"/>
        </w:rPr>
        <w:t>日</w:t>
      </w:r>
    </w:p>
    <w:p w14:paraId="1FDE6233">
      <w:pPr>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br w:type="page"/>
      </w:r>
    </w:p>
    <w:p w14:paraId="673EB167">
      <w:pPr>
        <w:spacing w:line="500" w:lineRule="exact"/>
        <w:jc w:val="both"/>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t>附件一：任务书</w:t>
      </w:r>
    </w:p>
    <w:p w14:paraId="26AC1DB2">
      <w:pPr>
        <w:spacing w:line="560" w:lineRule="exact"/>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宋体" w:eastAsia="方正小标宋简体" w:cs="宋体"/>
          <w:color w:val="auto"/>
          <w:sz w:val="44"/>
          <w:szCs w:val="44"/>
          <w:highlight w:val="none"/>
          <w:lang w:val="en-US" w:eastAsia="zh-CN"/>
        </w:rPr>
        <w:t>全球智能硬件谷</w:t>
      </w:r>
      <w:r>
        <w:rPr>
          <w:rFonts w:hint="eastAsia" w:ascii="方正小标宋简体" w:hAnsi="宋体" w:eastAsia="方正小标宋简体" w:cs="宋体"/>
          <w:color w:val="auto"/>
          <w:sz w:val="44"/>
          <w:szCs w:val="44"/>
          <w:highlight w:val="none"/>
          <w:lang w:eastAsia="zh-CN"/>
        </w:rPr>
        <w:t>可行性研究</w:t>
      </w:r>
      <w:r>
        <w:rPr>
          <w:rFonts w:hint="eastAsia" w:ascii="方正小标宋简体" w:hAnsi="宋体" w:eastAsia="方正小标宋简体" w:cs="宋体"/>
          <w:color w:val="auto"/>
          <w:sz w:val="44"/>
          <w:szCs w:val="44"/>
          <w:highlight w:val="none"/>
          <w:lang w:val="en-US" w:eastAsia="zh-CN"/>
        </w:rPr>
        <w:t>任务书</w:t>
      </w:r>
    </w:p>
    <w:p w14:paraId="15A38729">
      <w:pPr>
        <w:spacing w:line="560" w:lineRule="exact"/>
        <w:rPr>
          <w:rFonts w:ascii="仿宋_GB2312" w:hAnsi="仿宋_GB2312" w:eastAsia="仿宋_GB2312" w:cs="仿宋_GB2312"/>
          <w:color w:val="auto"/>
          <w:sz w:val="28"/>
          <w:szCs w:val="28"/>
          <w:highlight w:val="none"/>
        </w:rPr>
      </w:pPr>
    </w:p>
    <w:p w14:paraId="1CC63493">
      <w:pPr>
        <w:ind w:firstLine="643" w:firstLineChars="200"/>
        <w:rPr>
          <w:rFonts w:ascii="仿宋" w:hAnsi="仿宋" w:eastAsia="仿宋"/>
          <w:sz w:val="32"/>
          <w:szCs w:val="32"/>
          <w:highlight w:val="none"/>
        </w:rPr>
      </w:pPr>
      <w:r>
        <w:rPr>
          <w:rFonts w:hint="eastAsia" w:ascii="仿宋_GB2312" w:hAnsi="仿宋_GB2312" w:eastAsia="仿宋_GB2312" w:cs="仿宋_GB2312"/>
          <w:b/>
          <w:color w:val="auto"/>
          <w:sz w:val="32"/>
          <w:szCs w:val="32"/>
          <w:highlight w:val="none"/>
        </w:rPr>
        <w:t>一、项目概况：</w:t>
      </w:r>
      <w:r>
        <w:rPr>
          <w:rFonts w:ascii="仿宋" w:hAnsi="仿宋" w:eastAsia="仿宋"/>
          <w:sz w:val="32"/>
          <w:szCs w:val="32"/>
          <w:highlight w:val="none"/>
        </w:rPr>
        <w:t>全球智能硬件谷（AI Hub）选址龙城街道嶂背片区，致力建设集研发办公、智慧工厂、创新平台及生活配套于一体的全球顶尖智能硬件产业基地。</w:t>
      </w:r>
    </w:p>
    <w:p w14:paraId="6571F978">
      <w:pPr>
        <w:adjustRightInd w:val="0"/>
        <w:snapToGrid w:val="0"/>
        <w:spacing w:before="0" w:line="560" w:lineRule="exact"/>
        <w:ind w:left="0" w:right="0" w:firstLine="640" w:firstLineChars="200"/>
        <w:textAlignment w:val="baseline"/>
        <w:rPr>
          <w:rFonts w:hint="eastAsia" w:ascii="仿宋" w:hAnsi="仿宋" w:eastAsia="仿宋"/>
          <w:sz w:val="32"/>
          <w:szCs w:val="32"/>
          <w:highlight w:val="none"/>
        </w:rPr>
      </w:pPr>
      <w:r>
        <w:rPr>
          <w:rFonts w:hint="eastAsia" w:ascii="仿宋" w:hAnsi="仿宋" w:eastAsia="仿宋"/>
          <w:sz w:val="32"/>
          <w:szCs w:val="32"/>
          <w:highlight w:val="none"/>
          <w:lang w:eastAsia="zh-CN"/>
        </w:rPr>
        <w:t>本次研究范围</w:t>
      </w:r>
      <w:r>
        <w:rPr>
          <w:rFonts w:hint="eastAsia" w:ascii="仿宋" w:hAnsi="仿宋" w:eastAsia="仿宋"/>
          <w:sz w:val="32"/>
          <w:szCs w:val="32"/>
          <w:highlight w:val="none"/>
          <w:lang w:val="en-US" w:eastAsia="zh-CN"/>
        </w:rPr>
        <w:t>用地面积约22万平方米，总建筑面积约97万平方米（预估指标，最终以规划调整后的为准）。</w:t>
      </w:r>
    </w:p>
    <w:p w14:paraId="4F2ED078">
      <w:p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二、主要工作内容：</w:t>
      </w:r>
      <w:r>
        <w:rPr>
          <w:rFonts w:hint="eastAsia" w:ascii="仿宋_GB2312" w:hAnsi="仿宋_GB2312" w:eastAsia="仿宋_GB2312" w:cs="仿宋_GB2312"/>
          <w:color w:val="auto"/>
          <w:sz w:val="32"/>
          <w:szCs w:val="32"/>
          <w:highlight w:val="none"/>
        </w:rPr>
        <w:t>可研报告</w:t>
      </w:r>
      <w:r>
        <w:rPr>
          <w:rFonts w:hint="eastAsia" w:ascii="仿宋_GB2312" w:hAnsi="仿宋_GB2312" w:eastAsia="仿宋_GB2312" w:cs="仿宋_GB2312"/>
          <w:color w:val="auto"/>
          <w:sz w:val="32"/>
          <w:szCs w:val="32"/>
          <w:highlight w:val="none"/>
          <w:lang w:val="en-US" w:eastAsia="zh-CN"/>
        </w:rPr>
        <w:t>主要包括但不限于以下内容</w:t>
      </w:r>
      <w:r>
        <w:rPr>
          <w:rFonts w:hint="eastAsia" w:ascii="仿宋_GB2312" w:hAnsi="仿宋_GB2312" w:eastAsia="仿宋_GB2312" w:cs="仿宋_GB2312"/>
          <w:color w:val="auto"/>
          <w:sz w:val="32"/>
          <w:szCs w:val="32"/>
          <w:highlight w:val="none"/>
        </w:rPr>
        <w:t>：</w:t>
      </w:r>
    </w:p>
    <w:p w14:paraId="3B32EDFA">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eastAsia="zh-CN"/>
        </w:rPr>
        <w:t>项目及企业概况；</w:t>
      </w:r>
    </w:p>
    <w:p w14:paraId="6F85D87F">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项目建设背景和必要性；</w:t>
      </w:r>
    </w:p>
    <w:p w14:paraId="4F2A424A">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市场分析；</w:t>
      </w:r>
    </w:p>
    <w:p w14:paraId="18B3BDF9">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项目选址与建设条件分析；</w:t>
      </w:r>
    </w:p>
    <w:p w14:paraId="10052075">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项目建设方案及运营方案；</w:t>
      </w:r>
    </w:p>
    <w:p w14:paraId="4EBB4116">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项目融资与财务方案</w:t>
      </w:r>
      <w:r>
        <w:rPr>
          <w:rFonts w:hint="eastAsia" w:ascii="仿宋_GB2312" w:hAnsi="仿宋_GB2312" w:eastAsia="仿宋_GB2312" w:cs="仿宋_GB2312"/>
          <w:color w:val="000000"/>
          <w:sz w:val="32"/>
          <w:szCs w:val="32"/>
          <w:highlight w:val="none"/>
          <w:lang w:val="en-US" w:eastAsia="zh-CN"/>
        </w:rPr>
        <w:t>(含税筹章节)</w:t>
      </w:r>
      <w:r>
        <w:rPr>
          <w:rFonts w:hint="eastAsia" w:ascii="仿宋_GB2312" w:hAnsi="仿宋_GB2312" w:eastAsia="仿宋_GB2312" w:cs="仿宋_GB2312"/>
          <w:color w:val="auto"/>
          <w:sz w:val="32"/>
          <w:szCs w:val="32"/>
          <w:highlight w:val="none"/>
        </w:rPr>
        <w:t>；</w:t>
      </w:r>
    </w:p>
    <w:p w14:paraId="1BB4BAE0">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项目影响效果评价；</w:t>
      </w:r>
    </w:p>
    <w:p w14:paraId="63F9D7B7">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项目风险和管控方案；</w:t>
      </w:r>
    </w:p>
    <w:p w14:paraId="7B5620FF">
      <w:pPr>
        <w:adjustRightInd w:val="0"/>
        <w:snapToGrid w:val="0"/>
        <w:spacing w:before="0" w:line="560" w:lineRule="exact"/>
        <w:ind w:left="0" w:right="0" w:firstLine="640" w:firstLineChars="200"/>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九</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研究结论和建议</w:t>
      </w:r>
      <w:r>
        <w:rPr>
          <w:rFonts w:hint="eastAsia" w:ascii="仿宋_GB2312" w:hAnsi="仿宋_GB2312" w:eastAsia="仿宋_GB2312" w:cs="仿宋_GB2312"/>
          <w:color w:val="auto"/>
          <w:sz w:val="32"/>
          <w:szCs w:val="32"/>
          <w:highlight w:val="none"/>
          <w:lang w:eastAsia="zh-CN"/>
        </w:rPr>
        <w:t>。</w:t>
      </w:r>
    </w:p>
    <w:p w14:paraId="1556A4F4">
      <w:pPr>
        <w:adjustRightInd w:val="0"/>
        <w:snapToGrid w:val="0"/>
        <w:spacing w:before="0" w:line="560" w:lineRule="exact"/>
        <w:ind w:left="0" w:right="0" w:firstLine="643" w:firstLineChars="200"/>
        <w:textAlignment w:val="baseline"/>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备注：</w:t>
      </w:r>
    </w:p>
    <w:p w14:paraId="47226855">
      <w:pPr>
        <w:spacing w:line="56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本次可行性研究工作可视需分阶段出具成果，分别用于项目公司设立及投资决策。</w:t>
      </w:r>
    </w:p>
    <w:p w14:paraId="1F6DAC9A">
      <w:pPr>
        <w:spacing w:line="56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2.若相关成果需组织专家评审，评审费用已包含在合同总价内，委托方不再另行支付。</w:t>
      </w:r>
    </w:p>
    <w:p w14:paraId="4F6F9E58">
      <w:p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三、期限</w:t>
      </w:r>
      <w:r>
        <w:rPr>
          <w:rFonts w:hint="eastAsia" w:ascii="仿宋_GB2312" w:hAnsi="仿宋_GB2312" w:eastAsia="仿宋_GB2312" w:cs="仿宋_GB2312"/>
          <w:b/>
          <w:bCs/>
          <w:color w:val="auto"/>
          <w:sz w:val="32"/>
          <w:szCs w:val="32"/>
          <w:highlight w:val="none"/>
          <w:lang w:val="en-US" w:eastAsia="zh-CN"/>
        </w:rPr>
        <w:t>及成果要求</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rPr>
        <w:t>合同签订后，自</w:t>
      </w:r>
      <w:r>
        <w:rPr>
          <w:rFonts w:hint="eastAsia" w:ascii="仿宋_GB2312" w:hAnsi="仿宋_GB2312" w:eastAsia="仿宋_GB2312" w:cs="仿宋_GB2312"/>
          <w:color w:val="auto"/>
          <w:sz w:val="32"/>
          <w:szCs w:val="32"/>
          <w:highlight w:val="none"/>
          <w:lang w:eastAsia="zh-CN"/>
        </w:rPr>
        <w:t>委托方</w:t>
      </w:r>
      <w:r>
        <w:rPr>
          <w:rFonts w:hint="eastAsia" w:ascii="仿宋_GB2312" w:hAnsi="仿宋_GB2312" w:eastAsia="仿宋_GB2312" w:cs="仿宋_GB2312"/>
          <w:color w:val="auto"/>
          <w:sz w:val="32"/>
          <w:szCs w:val="32"/>
          <w:highlight w:val="none"/>
        </w:rPr>
        <w:t>通知</w:t>
      </w:r>
      <w:r>
        <w:rPr>
          <w:rFonts w:hint="eastAsia" w:ascii="仿宋_GB2312" w:hAnsi="仿宋_GB2312" w:eastAsia="仿宋_GB2312" w:cs="仿宋_GB2312"/>
          <w:color w:val="auto"/>
          <w:sz w:val="32"/>
          <w:szCs w:val="32"/>
          <w:highlight w:val="none"/>
          <w:lang w:eastAsia="zh-CN"/>
        </w:rPr>
        <w:t>服务方</w:t>
      </w:r>
      <w:r>
        <w:rPr>
          <w:rFonts w:hint="eastAsia" w:ascii="仿宋_GB2312" w:hAnsi="仿宋_GB2312" w:eastAsia="仿宋_GB2312" w:cs="仿宋_GB2312"/>
          <w:color w:val="auto"/>
          <w:sz w:val="32"/>
          <w:szCs w:val="32"/>
          <w:highlight w:val="none"/>
        </w:rPr>
        <w:t>开展项目成果编制之日起</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个工作日内提供初步成果，自</w:t>
      </w:r>
      <w:r>
        <w:rPr>
          <w:rFonts w:hint="eastAsia" w:ascii="仿宋_GB2312" w:hAnsi="仿宋_GB2312" w:eastAsia="仿宋_GB2312" w:cs="仿宋_GB2312"/>
          <w:color w:val="auto"/>
          <w:sz w:val="32"/>
          <w:szCs w:val="32"/>
          <w:highlight w:val="none"/>
          <w:lang w:eastAsia="zh-CN"/>
        </w:rPr>
        <w:t>委托方</w:t>
      </w:r>
      <w:r>
        <w:rPr>
          <w:rFonts w:hint="eastAsia" w:ascii="仿宋_GB2312" w:hAnsi="仿宋_GB2312" w:eastAsia="仿宋_GB2312" w:cs="仿宋_GB2312"/>
          <w:color w:val="auto"/>
          <w:sz w:val="32"/>
          <w:szCs w:val="32"/>
          <w:highlight w:val="none"/>
        </w:rPr>
        <w:t>通知</w:t>
      </w:r>
      <w:r>
        <w:rPr>
          <w:rFonts w:hint="eastAsia" w:ascii="仿宋_GB2312" w:hAnsi="仿宋_GB2312" w:eastAsia="仿宋_GB2312" w:cs="仿宋_GB2312"/>
          <w:color w:val="auto"/>
          <w:sz w:val="32"/>
          <w:szCs w:val="32"/>
          <w:highlight w:val="none"/>
          <w:lang w:eastAsia="zh-CN"/>
        </w:rPr>
        <w:t>服务方</w:t>
      </w:r>
      <w:r>
        <w:rPr>
          <w:rFonts w:hint="eastAsia" w:ascii="仿宋_GB2312" w:hAnsi="仿宋_GB2312" w:eastAsia="仿宋_GB2312" w:cs="仿宋_GB2312"/>
          <w:color w:val="auto"/>
          <w:sz w:val="32"/>
          <w:szCs w:val="32"/>
          <w:highlight w:val="none"/>
        </w:rPr>
        <w:t>出具正式报告后</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个工作日内提供正式成果（含带链接的EXCEL电子测算表格及word版电子报告）。</w:t>
      </w:r>
    </w:p>
    <w:p w14:paraId="3C1C737E">
      <w:pPr>
        <w:pStyle w:val="31"/>
        <w:ind w:firstLine="420" w:firstLineChars="200"/>
        <w:rPr>
          <w:rFonts w:hint="eastAsia"/>
          <w:highlight w:val="none"/>
          <w:lang w:val="en-US" w:eastAsia="zh-CN"/>
        </w:rPr>
      </w:pPr>
    </w:p>
    <w:p w14:paraId="570281F4">
      <w:pPr>
        <w:spacing w:line="560" w:lineRule="exact"/>
        <w:ind w:firstLine="560" w:firstLineChars="200"/>
        <w:jc w:val="left"/>
        <w:rPr>
          <w:rFonts w:hint="eastAsia" w:ascii="仿宋_GB2312" w:hAnsi="仿宋_GB2312" w:eastAsia="仿宋_GB2312" w:cs="仿宋_GB2312"/>
          <w:sz w:val="28"/>
          <w:szCs w:val="28"/>
          <w:highlight w:val="none"/>
        </w:rPr>
      </w:pPr>
    </w:p>
    <w:p w14:paraId="447DF767">
      <w:pPr>
        <w:pStyle w:val="174"/>
        <w:ind w:firstLine="420" w:firstLineChars="0"/>
        <w:rPr>
          <w:rFonts w:hint="eastAsia" w:ascii="仿宋" w:hAnsi="仿宋" w:eastAsia="仿宋" w:cs="Times New Roman"/>
          <w:b w:val="0"/>
          <w:bCs w:val="0"/>
          <w:sz w:val="24"/>
          <w:szCs w:val="24"/>
          <w:highlight w:val="none"/>
        </w:rPr>
      </w:pPr>
    </w:p>
    <w:p w14:paraId="08F53D3B">
      <w:pPr>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br w:type="page"/>
      </w:r>
    </w:p>
    <w:p w14:paraId="6D7B3E5A">
      <w:pPr>
        <w:spacing w:line="500" w:lineRule="exact"/>
        <w:rPr>
          <w:rFonts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t>附件</w:t>
      </w:r>
      <w:r>
        <w:rPr>
          <w:rFonts w:hint="eastAsia" w:ascii="仿宋_GB2312" w:hAnsi="Times New Roman" w:eastAsia="仿宋_GB2312" w:cs="Times New Roman"/>
          <w:b/>
          <w:bCs/>
          <w:color w:val="auto"/>
          <w:sz w:val="30"/>
          <w:szCs w:val="30"/>
          <w:highlight w:val="none"/>
          <w:lang w:val="en-US" w:eastAsia="zh-CN"/>
        </w:rPr>
        <w:t>二</w:t>
      </w:r>
      <w:r>
        <w:rPr>
          <w:rFonts w:hint="eastAsia" w:ascii="仿宋_GB2312" w:hAnsi="Times New Roman" w:eastAsia="仿宋_GB2312" w:cs="Times New Roman"/>
          <w:b/>
          <w:bCs/>
          <w:color w:val="auto"/>
          <w:sz w:val="30"/>
          <w:szCs w:val="30"/>
          <w:highlight w:val="none"/>
        </w:rPr>
        <w:t>：响应文件一览表</w:t>
      </w:r>
    </w:p>
    <w:p w14:paraId="0C9A2144">
      <w:pPr>
        <w:widowControl/>
        <w:spacing w:line="560" w:lineRule="exact"/>
        <w:jc w:val="center"/>
        <w:rPr>
          <w:rFonts w:ascii="仿宋" w:hAnsi="仿宋" w:eastAsia="仿宋" w:cs="宋体"/>
          <w:b/>
          <w:color w:val="auto"/>
          <w:kern w:val="0"/>
          <w:sz w:val="30"/>
          <w:szCs w:val="30"/>
          <w:highlight w:val="none"/>
        </w:rPr>
      </w:pPr>
    </w:p>
    <w:p w14:paraId="67853662">
      <w:pPr>
        <w:widowControl/>
        <w:spacing w:line="560" w:lineRule="exact"/>
        <w:jc w:val="center"/>
        <w:rPr>
          <w:rFonts w:ascii="仿宋" w:hAnsi="仿宋" w:eastAsia="仿宋" w:cs="宋体"/>
          <w:color w:val="auto"/>
          <w:kern w:val="0"/>
          <w:sz w:val="30"/>
          <w:szCs w:val="30"/>
          <w:highlight w:val="none"/>
        </w:rPr>
      </w:pPr>
      <w:r>
        <w:rPr>
          <w:rFonts w:ascii="仿宋" w:hAnsi="仿宋" w:eastAsia="仿宋" w:cs="宋体"/>
          <w:b/>
          <w:color w:val="auto"/>
          <w:kern w:val="0"/>
          <w:sz w:val="30"/>
          <w:szCs w:val="30"/>
          <w:highlight w:val="none"/>
        </w:rPr>
        <w:t>响应文件要求一览表</w:t>
      </w:r>
    </w:p>
    <w:tbl>
      <w:tblPr>
        <w:tblStyle w:val="54"/>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3478"/>
        <w:gridCol w:w="4518"/>
      </w:tblGrid>
      <w:tr w14:paraId="57400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035" w:type="dxa"/>
            <w:vAlign w:val="center"/>
          </w:tcPr>
          <w:p w14:paraId="7ECD577E">
            <w:pPr>
              <w:spacing w:line="3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序号</w:t>
            </w:r>
          </w:p>
        </w:tc>
        <w:tc>
          <w:tcPr>
            <w:tcW w:w="3478" w:type="dxa"/>
            <w:vAlign w:val="center"/>
          </w:tcPr>
          <w:p w14:paraId="510889DC">
            <w:pPr>
              <w:spacing w:line="3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文件名称</w:t>
            </w:r>
          </w:p>
        </w:tc>
        <w:tc>
          <w:tcPr>
            <w:tcW w:w="4518" w:type="dxa"/>
            <w:vAlign w:val="center"/>
          </w:tcPr>
          <w:p w14:paraId="4BE4022F">
            <w:pPr>
              <w:spacing w:line="3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要求说明</w:t>
            </w:r>
          </w:p>
        </w:tc>
      </w:tr>
      <w:tr w14:paraId="2C30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3B213BB4">
            <w:pPr>
              <w:spacing w:line="36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p>
        </w:tc>
        <w:tc>
          <w:tcPr>
            <w:tcW w:w="3478" w:type="dxa"/>
            <w:vAlign w:val="center"/>
          </w:tcPr>
          <w:p w14:paraId="1767DEF8">
            <w:pPr>
              <w:adjustRightInd w:val="0"/>
              <w:snapToGrid w:val="0"/>
              <w:spacing w:line="58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基本情况资料</w:t>
            </w:r>
          </w:p>
        </w:tc>
        <w:tc>
          <w:tcPr>
            <w:tcW w:w="4518" w:type="dxa"/>
            <w:vAlign w:val="center"/>
          </w:tcPr>
          <w:p w14:paraId="64EDD4D5">
            <w:pPr>
              <w:adjustRightInd w:val="0"/>
              <w:snapToGrid w:val="0"/>
              <w:spacing w:line="280" w:lineRule="exact"/>
              <w:jc w:val="left"/>
              <w:rPr>
                <w:rFonts w:hint="default" w:ascii="宋体" w:hAnsi="宋体" w:cs="Times New Roman" w:eastAsiaTheme="minorEastAsia"/>
                <w:color w:val="auto"/>
                <w:szCs w:val="21"/>
                <w:highlight w:val="none"/>
                <w:lang w:val="en-US" w:eastAsia="zh-CN"/>
              </w:rPr>
            </w:pPr>
            <w:r>
              <w:rPr>
                <w:rFonts w:hint="eastAsia" w:ascii="宋体" w:hAnsi="宋体"/>
                <w:color w:val="auto"/>
                <w:szCs w:val="21"/>
                <w:highlight w:val="none"/>
              </w:rPr>
              <w:t>提供营业执照复印件</w:t>
            </w:r>
            <w:r>
              <w:rPr>
                <w:rFonts w:hint="eastAsia" w:ascii="宋体" w:hAnsi="宋体"/>
                <w:color w:val="auto"/>
                <w:szCs w:val="21"/>
                <w:highlight w:val="none"/>
                <w:lang w:eastAsia="zh-CN"/>
              </w:rPr>
              <w:t>、</w:t>
            </w:r>
            <w:r>
              <w:rPr>
                <w:rFonts w:hint="eastAsia" w:ascii="宋体" w:hAnsi="宋体"/>
                <w:color w:val="auto"/>
                <w:szCs w:val="21"/>
                <w:highlight w:val="none"/>
              </w:rPr>
              <w:t>法定代表人证明书及身份证复印件、法定代表人授权委托书及身份证复印件</w:t>
            </w:r>
            <w:r>
              <w:rPr>
                <w:rFonts w:hint="eastAsia" w:ascii="宋体" w:hAnsi="宋体"/>
                <w:color w:val="auto"/>
                <w:szCs w:val="21"/>
                <w:highlight w:val="none"/>
                <w:lang w:val="en-US" w:eastAsia="zh-CN"/>
              </w:rPr>
              <w:t>加盖公章。</w:t>
            </w:r>
          </w:p>
        </w:tc>
      </w:tr>
      <w:tr w14:paraId="24A88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2682C209">
            <w:pPr>
              <w:spacing w:line="360" w:lineRule="exact"/>
              <w:jc w:val="center"/>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2</w:t>
            </w:r>
          </w:p>
        </w:tc>
        <w:tc>
          <w:tcPr>
            <w:tcW w:w="3478" w:type="dxa"/>
            <w:vAlign w:val="center"/>
          </w:tcPr>
          <w:p w14:paraId="45534BC1">
            <w:pPr>
              <w:adjustRightInd w:val="0"/>
              <w:snapToGrid w:val="0"/>
              <w:spacing w:line="58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承诺函</w:t>
            </w:r>
          </w:p>
        </w:tc>
        <w:tc>
          <w:tcPr>
            <w:tcW w:w="4518" w:type="dxa"/>
            <w:vAlign w:val="center"/>
          </w:tcPr>
          <w:p w14:paraId="6E2D5765">
            <w:pPr>
              <w:spacing w:line="280" w:lineRule="exact"/>
              <w:jc w:val="left"/>
              <w:rPr>
                <w:rFonts w:hint="default" w:ascii="宋体" w:hAnsi="宋体" w:eastAsia="宋体" w:cs="Times New Roman"/>
                <w:color w:val="auto"/>
                <w:szCs w:val="21"/>
                <w:highlight w:val="none"/>
                <w:lang w:val="en-US" w:eastAsia="zh-CN"/>
              </w:rPr>
            </w:pPr>
            <w:r>
              <w:rPr>
                <w:rFonts w:hint="eastAsia" w:ascii="宋体" w:hAnsi="宋体" w:eastAsia="宋体" w:cs="仿宋"/>
                <w:color w:val="auto"/>
                <w:szCs w:val="21"/>
                <w:highlight w:val="none"/>
              </w:rPr>
              <w:t>报价不得超过</w:t>
            </w:r>
            <w:r>
              <w:rPr>
                <w:rFonts w:hint="eastAsia" w:ascii="宋体" w:hAnsi="宋体" w:cs="仿宋"/>
                <w:color w:val="auto"/>
                <w:szCs w:val="21"/>
                <w:highlight w:val="none"/>
                <w:lang w:val="en-US" w:eastAsia="zh-CN"/>
              </w:rPr>
              <w:t>投标报价</w:t>
            </w:r>
            <w:r>
              <w:rPr>
                <w:rFonts w:hint="eastAsia" w:ascii="宋体" w:hAnsi="宋体" w:eastAsia="宋体" w:cs="仿宋"/>
                <w:color w:val="auto"/>
                <w:szCs w:val="21"/>
                <w:highlight w:val="none"/>
              </w:rPr>
              <w:t>上限价，保留小数点后</w:t>
            </w:r>
            <w:r>
              <w:rPr>
                <w:rFonts w:hint="eastAsia" w:ascii="宋体" w:hAnsi="宋体" w:eastAsia="宋体" w:cs="仿宋"/>
                <w:color w:val="auto"/>
                <w:szCs w:val="21"/>
                <w:highlight w:val="none"/>
                <w:lang w:val="en-US" w:eastAsia="zh-CN"/>
              </w:rPr>
              <w:t>2</w:t>
            </w:r>
            <w:r>
              <w:rPr>
                <w:rFonts w:hint="eastAsia" w:ascii="宋体" w:hAnsi="宋体" w:eastAsia="宋体" w:cs="仿宋"/>
                <w:color w:val="auto"/>
                <w:szCs w:val="21"/>
                <w:highlight w:val="none"/>
              </w:rPr>
              <w:t>位，</w:t>
            </w:r>
            <w:r>
              <w:rPr>
                <w:rFonts w:hint="eastAsia" w:ascii="宋体" w:hAnsi="宋体" w:eastAsia="宋体" w:cs="仿宋"/>
                <w:color w:val="auto"/>
                <w:szCs w:val="21"/>
                <w:highlight w:val="none"/>
                <w:lang w:val="en-US" w:eastAsia="zh-CN"/>
              </w:rPr>
              <w:t>加盖公章</w:t>
            </w:r>
            <w:r>
              <w:rPr>
                <w:rFonts w:hint="eastAsia" w:ascii="宋体" w:hAnsi="宋体" w:cs="仿宋"/>
                <w:color w:val="auto"/>
                <w:szCs w:val="21"/>
                <w:highlight w:val="none"/>
                <w:lang w:val="en-US" w:eastAsia="zh-CN"/>
              </w:rPr>
              <w:t>。</w:t>
            </w:r>
          </w:p>
        </w:tc>
      </w:tr>
      <w:tr w14:paraId="7E54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3C6C4EA3">
            <w:pPr>
              <w:spacing w:line="360" w:lineRule="exact"/>
              <w:jc w:val="center"/>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p>
        </w:tc>
        <w:tc>
          <w:tcPr>
            <w:tcW w:w="3478" w:type="dxa"/>
            <w:vAlign w:val="center"/>
          </w:tcPr>
          <w:p w14:paraId="0CC2D147">
            <w:pPr>
              <w:spacing w:line="36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龙岗区进一步规范政商交往行为告知书</w:t>
            </w:r>
          </w:p>
        </w:tc>
        <w:tc>
          <w:tcPr>
            <w:tcW w:w="4518" w:type="dxa"/>
            <w:vAlign w:val="center"/>
          </w:tcPr>
          <w:p w14:paraId="319861E2">
            <w:pPr>
              <w:spacing w:line="280" w:lineRule="exact"/>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提供法定代表人或者法定代表人授权人签字版</w:t>
            </w:r>
            <w:r>
              <w:rPr>
                <w:rFonts w:hint="eastAsia" w:ascii="宋体" w:hAnsi="宋体" w:eastAsia="宋体" w:cs="Times New Roman"/>
                <w:color w:val="auto"/>
                <w:szCs w:val="21"/>
                <w:highlight w:val="none"/>
                <w:lang w:eastAsia="zh-CN"/>
              </w:rPr>
              <w:t>，</w:t>
            </w:r>
            <w:r>
              <w:rPr>
                <w:rFonts w:hint="eastAsia" w:ascii="宋体" w:hAnsi="宋体" w:cs="Times New Roman"/>
                <w:color w:val="auto"/>
                <w:szCs w:val="21"/>
                <w:highlight w:val="none"/>
                <w:lang w:val="en-US" w:eastAsia="zh-CN"/>
              </w:rPr>
              <w:t>并</w:t>
            </w:r>
            <w:r>
              <w:rPr>
                <w:rFonts w:hint="eastAsia" w:ascii="宋体" w:hAnsi="宋体" w:eastAsia="宋体" w:cs="Times New Roman"/>
                <w:color w:val="auto"/>
                <w:szCs w:val="21"/>
                <w:highlight w:val="none"/>
                <w:lang w:val="en-US" w:eastAsia="zh-CN"/>
              </w:rPr>
              <w:t>加盖公章。</w:t>
            </w:r>
          </w:p>
          <w:p w14:paraId="08B7239C">
            <w:pPr>
              <w:spacing w:line="280" w:lineRule="exact"/>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格式见后附件</w:t>
            </w:r>
            <w:r>
              <w:rPr>
                <w:rFonts w:hint="eastAsia" w:ascii="宋体" w:hAnsi="宋体" w:cs="Times New Roman"/>
                <w:color w:val="auto"/>
                <w:szCs w:val="21"/>
                <w:highlight w:val="none"/>
                <w:lang w:eastAsia="zh-CN"/>
              </w:rPr>
              <w:t>。</w:t>
            </w:r>
          </w:p>
        </w:tc>
      </w:tr>
      <w:tr w14:paraId="29D8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3423F059">
            <w:pPr>
              <w:spacing w:line="360" w:lineRule="exact"/>
              <w:jc w:val="center"/>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4</w:t>
            </w:r>
          </w:p>
        </w:tc>
        <w:tc>
          <w:tcPr>
            <w:tcW w:w="3478" w:type="dxa"/>
            <w:vAlign w:val="center"/>
          </w:tcPr>
          <w:p w14:paraId="0C5B9666">
            <w:pPr>
              <w:spacing w:line="360" w:lineRule="exact"/>
              <w:jc w:val="left"/>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企业实力</w:t>
            </w:r>
          </w:p>
        </w:tc>
        <w:tc>
          <w:tcPr>
            <w:tcW w:w="4518" w:type="dxa"/>
            <w:vAlign w:val="center"/>
          </w:tcPr>
          <w:p w14:paraId="47136684">
            <w:pPr>
              <w:spacing w:line="280" w:lineRule="exact"/>
              <w:jc w:val="left"/>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根据附件综合评分表要求的证明材料提供。</w:t>
            </w:r>
          </w:p>
        </w:tc>
      </w:tr>
      <w:tr w14:paraId="6A10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4EC63423">
            <w:pPr>
              <w:spacing w:line="360" w:lineRule="exact"/>
              <w:jc w:val="center"/>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5</w:t>
            </w:r>
          </w:p>
        </w:tc>
        <w:tc>
          <w:tcPr>
            <w:tcW w:w="3478" w:type="dxa"/>
            <w:vAlign w:val="center"/>
          </w:tcPr>
          <w:p w14:paraId="3E1641A1">
            <w:pPr>
              <w:spacing w:line="360" w:lineRule="exact"/>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报价人认为需要加以说明的其他内容</w:t>
            </w:r>
          </w:p>
        </w:tc>
        <w:tc>
          <w:tcPr>
            <w:tcW w:w="4518" w:type="dxa"/>
            <w:vAlign w:val="center"/>
          </w:tcPr>
          <w:p w14:paraId="78A2B42A">
            <w:pPr>
              <w:spacing w:line="28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如有。</w:t>
            </w:r>
          </w:p>
        </w:tc>
      </w:tr>
    </w:tbl>
    <w:p w14:paraId="48BD22F0">
      <w:pPr>
        <w:spacing w:line="240" w:lineRule="auto"/>
        <w:jc w:val="left"/>
        <w:rPr>
          <w:rFonts w:hint="eastAsia" w:ascii="方正小标宋简体" w:hAnsi="方正小标宋简体" w:eastAsia="方正小标宋简体" w:cs="方正小标宋简体"/>
          <w:sz w:val="44"/>
          <w:szCs w:val="44"/>
          <w:highlight w:val="none"/>
        </w:rPr>
      </w:pPr>
      <w:r>
        <w:rPr>
          <w:rFonts w:hint="eastAsia" w:ascii="仿宋_GB2312" w:hAnsi="Times New Roman" w:eastAsia="仿宋_GB2312" w:cs="Times New Roman"/>
          <w:color w:val="auto"/>
          <w:sz w:val="24"/>
          <w:szCs w:val="24"/>
          <w:highlight w:val="none"/>
        </w:rPr>
        <w:t>备注：以上提供资料均须加盖公章，未加盖公章资料视为无效资料。</w:t>
      </w:r>
    </w:p>
    <w:p w14:paraId="5B42CFE5">
      <w:pPr>
        <w:spacing w:line="240" w:lineRule="auto"/>
        <w:jc w:val="left"/>
        <w:rPr>
          <w:rFonts w:hint="eastAsia" w:ascii="方正小标宋简体" w:hAnsi="方正小标宋简体" w:eastAsia="方正小标宋简体" w:cs="方正小标宋简体"/>
          <w:sz w:val="44"/>
          <w:szCs w:val="44"/>
          <w:highlight w:val="none"/>
          <w:lang w:eastAsia="zh-CN"/>
        </w:rPr>
      </w:pPr>
    </w:p>
    <w:p w14:paraId="37ED8DCC">
      <w:pPr>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br w:type="page"/>
      </w:r>
    </w:p>
    <w:p w14:paraId="3C3979E4">
      <w:pPr>
        <w:rPr>
          <w:rFonts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t>附件</w:t>
      </w:r>
      <w:r>
        <w:rPr>
          <w:rFonts w:hint="eastAsia" w:ascii="仿宋_GB2312" w:hAnsi="Times New Roman" w:eastAsia="仿宋_GB2312" w:cs="Times New Roman"/>
          <w:b/>
          <w:bCs/>
          <w:color w:val="auto"/>
          <w:sz w:val="30"/>
          <w:szCs w:val="30"/>
          <w:highlight w:val="none"/>
          <w:lang w:val="en-US" w:eastAsia="zh-CN"/>
        </w:rPr>
        <w:t>三</w:t>
      </w:r>
      <w:r>
        <w:rPr>
          <w:rFonts w:hint="eastAsia" w:ascii="仿宋_GB2312" w:hAnsi="Times New Roman" w:eastAsia="仿宋_GB2312" w:cs="Times New Roman"/>
          <w:b/>
          <w:bCs/>
          <w:color w:val="auto"/>
          <w:sz w:val="30"/>
          <w:szCs w:val="30"/>
          <w:highlight w:val="none"/>
        </w:rPr>
        <w:t>：承诺函</w:t>
      </w:r>
    </w:p>
    <w:p w14:paraId="31DD692E">
      <w:pPr>
        <w:pStyle w:val="31"/>
        <w:spacing w:line="520" w:lineRule="exact"/>
        <w:jc w:val="center"/>
        <w:rPr>
          <w:rFonts w:hAnsi="宋体"/>
          <w:bCs/>
          <w:color w:val="auto"/>
          <w:sz w:val="24"/>
          <w:szCs w:val="24"/>
          <w:highlight w:val="none"/>
        </w:rPr>
      </w:pPr>
      <w:r>
        <w:rPr>
          <w:rFonts w:hint="eastAsia" w:hAnsi="宋体"/>
          <w:color w:val="auto"/>
          <w:sz w:val="36"/>
          <w:szCs w:val="36"/>
          <w:highlight w:val="none"/>
        </w:rPr>
        <w:t>承诺函</w:t>
      </w:r>
    </w:p>
    <w:p w14:paraId="7CBB6E95">
      <w:pPr>
        <w:pStyle w:val="31"/>
        <w:spacing w:line="360" w:lineRule="auto"/>
        <w:ind w:left="0" w:leftChars="0" w:firstLine="0" w:firstLineChars="0"/>
        <w:rPr>
          <w:rFonts w:hint="eastAsia" w:hAnsi="宋体"/>
          <w:bCs/>
          <w:color w:val="auto"/>
          <w:sz w:val="24"/>
          <w:szCs w:val="24"/>
          <w:highlight w:val="none"/>
        </w:rPr>
      </w:pPr>
    </w:p>
    <w:p w14:paraId="56833DED">
      <w:pPr>
        <w:pStyle w:val="31"/>
        <w:spacing w:line="360" w:lineRule="auto"/>
        <w:ind w:left="0" w:leftChars="0" w:firstLine="0" w:firstLineChars="0"/>
        <w:rPr>
          <w:rFonts w:hAnsi="宋体"/>
          <w:bCs/>
          <w:color w:val="auto"/>
          <w:sz w:val="24"/>
          <w:szCs w:val="24"/>
          <w:highlight w:val="none"/>
        </w:rPr>
      </w:pPr>
      <w:r>
        <w:rPr>
          <w:rFonts w:hint="eastAsia" w:hAnsi="宋体"/>
          <w:bCs/>
          <w:color w:val="auto"/>
          <w:sz w:val="24"/>
          <w:szCs w:val="24"/>
          <w:highlight w:val="none"/>
        </w:rPr>
        <w:t>致</w:t>
      </w:r>
      <w:r>
        <w:rPr>
          <w:rFonts w:hint="eastAsia" w:hAnsi="宋体"/>
          <w:bCs/>
          <w:color w:val="auto"/>
          <w:sz w:val="24"/>
          <w:szCs w:val="24"/>
          <w:highlight w:val="none"/>
          <w:lang w:val="en-US" w:eastAsia="zh-CN"/>
        </w:rPr>
        <w:t>委托人</w:t>
      </w:r>
      <w:r>
        <w:rPr>
          <w:rFonts w:hint="eastAsia" w:hAnsi="宋体"/>
          <w:bCs/>
          <w:color w:val="auto"/>
          <w:sz w:val="24"/>
          <w:szCs w:val="24"/>
          <w:highlight w:val="none"/>
          <w:lang w:eastAsia="zh-CN"/>
        </w:rPr>
        <w:t>：深圳市龙岗区城市建设投资集团有限公司</w:t>
      </w:r>
    </w:p>
    <w:p w14:paraId="3AC53F59">
      <w:pPr>
        <w:spacing w:line="360" w:lineRule="auto"/>
        <w:ind w:left="0" w:leftChars="0" w:firstLine="480" w:firstLineChars="200"/>
        <w:jc w:val="left"/>
        <w:rPr>
          <w:rFonts w:hint="eastAsia" w:hAnsi="宋体" w:eastAsia="宋体"/>
          <w:bCs/>
          <w:color w:val="auto"/>
          <w:sz w:val="24"/>
          <w:szCs w:val="24"/>
          <w:highlight w:val="none"/>
          <w:lang w:val="en-US" w:eastAsia="zh-CN"/>
        </w:rPr>
      </w:pPr>
      <w:r>
        <w:rPr>
          <w:rFonts w:hint="eastAsia" w:hAnsi="宋体"/>
          <w:bCs/>
          <w:color w:val="auto"/>
          <w:sz w:val="24"/>
          <w:szCs w:val="24"/>
          <w:highlight w:val="none"/>
        </w:rPr>
        <w:t>为了确保本项目工作顺利进行，我方将严格</w:t>
      </w:r>
      <w:r>
        <w:rPr>
          <w:rFonts w:hint="eastAsia" w:hAnsi="宋体"/>
          <w:bCs/>
          <w:color w:val="auto"/>
          <w:sz w:val="24"/>
          <w:szCs w:val="24"/>
          <w:highlight w:val="none"/>
          <w:lang w:val="en-US" w:eastAsia="zh-CN"/>
        </w:rPr>
        <w:t>遵守本项目涉及的相关</w:t>
      </w:r>
      <w:r>
        <w:rPr>
          <w:rFonts w:hint="eastAsia" w:hAnsi="宋体"/>
          <w:bCs/>
          <w:color w:val="auto"/>
          <w:sz w:val="24"/>
          <w:szCs w:val="24"/>
          <w:highlight w:val="none"/>
        </w:rPr>
        <w:t>法律法规，并完全接受全球智能硬件谷可行性研究服务采购的所有内容及要求</w:t>
      </w:r>
      <w:r>
        <w:rPr>
          <w:rFonts w:hint="eastAsia" w:hAnsi="宋体"/>
          <w:bCs/>
          <w:color w:val="auto"/>
          <w:sz w:val="24"/>
          <w:szCs w:val="24"/>
          <w:highlight w:val="none"/>
          <w:lang w:eastAsia="zh-CN"/>
        </w:rPr>
        <w:t>，</w:t>
      </w:r>
      <w:r>
        <w:rPr>
          <w:rFonts w:hint="eastAsia" w:hAnsi="宋体"/>
          <w:bCs/>
          <w:color w:val="auto"/>
          <w:sz w:val="24"/>
          <w:szCs w:val="24"/>
          <w:highlight w:val="none"/>
        </w:rPr>
        <w:t>为此作出如下承诺：</w:t>
      </w:r>
    </w:p>
    <w:p w14:paraId="5CE19A9A">
      <w:pPr>
        <w:numPr>
          <w:ilvl w:val="0"/>
          <w:numId w:val="3"/>
        </w:numPr>
        <w:spacing w:line="360" w:lineRule="auto"/>
        <w:ind w:firstLine="480" w:firstLineChars="200"/>
        <w:rPr>
          <w:rFonts w:ascii="宋体" w:hAnsi="宋体" w:eastAsia="宋体" w:cs="Times New Roman"/>
          <w:b/>
          <w:color w:val="auto"/>
          <w:sz w:val="24"/>
          <w:szCs w:val="24"/>
          <w:highlight w:val="none"/>
        </w:rPr>
      </w:pPr>
      <w:r>
        <w:rPr>
          <w:rFonts w:hint="eastAsia" w:ascii="宋体" w:hAnsi="宋体" w:eastAsia="宋体" w:cs="Times New Roman"/>
          <w:b/>
          <w:bCs/>
          <w:color w:val="auto"/>
          <w:sz w:val="24"/>
          <w:szCs w:val="24"/>
          <w:highlight w:val="none"/>
        </w:rPr>
        <w:t>根</w:t>
      </w:r>
      <w:r>
        <w:rPr>
          <w:rFonts w:hint="eastAsia" w:ascii="宋体" w:hAnsi="宋体" w:eastAsia="宋体" w:cs="Times New Roman"/>
          <w:b/>
          <w:color w:val="auto"/>
          <w:sz w:val="24"/>
          <w:szCs w:val="24"/>
          <w:highlight w:val="none"/>
        </w:rPr>
        <w:t>据企业自身情况，理性报价，不会以低于成本的报价竞标，并愿以</w:t>
      </w:r>
      <w:r>
        <w:rPr>
          <w:rFonts w:hint="eastAsia" w:ascii="宋体" w:hAnsi="宋体" w:cs="Times New Roman"/>
          <w:b/>
          <w:color w:val="auto"/>
          <w:sz w:val="24"/>
          <w:szCs w:val="24"/>
          <w:highlight w:val="none"/>
          <w:u w:val="single"/>
          <w:lang w:val="en-US" w:eastAsia="zh-CN"/>
        </w:rPr>
        <w:t xml:space="preserve">    </w:t>
      </w:r>
      <w:r>
        <w:rPr>
          <w:rFonts w:hint="eastAsia" w:ascii="宋体" w:hAnsi="宋体" w:eastAsia="宋体" w:cs="Times New Roman"/>
          <w:b/>
          <w:color w:val="auto"/>
          <w:sz w:val="24"/>
          <w:szCs w:val="24"/>
          <w:highlight w:val="none"/>
        </w:rPr>
        <w:t>万元，按照</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要求承包本项目工作，并签署服务合同。否则，我方愿意承担任何风险。</w:t>
      </w:r>
    </w:p>
    <w:p w14:paraId="7623986B">
      <w:pPr>
        <w:numPr>
          <w:ilvl w:val="0"/>
          <w:numId w:val="3"/>
        </w:num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一旦我方中选，将与委托单位友好合作，并以不低于自身已有同类工作案例中最优的质量标准、进度要求、团队配置执行委托工作任务，自觉接受委托单位的日常监管和履约评价，为委托单位提供优质、高效服务，确保承接工作质量。</w:t>
      </w:r>
    </w:p>
    <w:p w14:paraId="68C417FE">
      <w:pPr>
        <w:numPr>
          <w:ilvl w:val="0"/>
          <w:numId w:val="3"/>
        </w:num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我方承诺履行项目管理班子配备义务，不擅自更换</w:t>
      </w:r>
      <w:r>
        <w:rPr>
          <w:rFonts w:hint="eastAsia" w:ascii="宋体" w:hAnsi="宋体" w:cs="Times New Roman"/>
          <w:bCs/>
          <w:color w:val="auto"/>
          <w:sz w:val="24"/>
          <w:szCs w:val="24"/>
          <w:highlight w:val="none"/>
          <w:lang w:val="en-US" w:eastAsia="zh-CN"/>
        </w:rPr>
        <w:t>投标</w:t>
      </w:r>
      <w:r>
        <w:rPr>
          <w:rFonts w:hint="eastAsia" w:ascii="宋体" w:hAnsi="宋体" w:eastAsia="宋体" w:cs="Times New Roman"/>
          <w:bCs/>
          <w:color w:val="auto"/>
          <w:sz w:val="24"/>
          <w:szCs w:val="24"/>
          <w:highlight w:val="none"/>
        </w:rPr>
        <w:t>时的项目团队（注册执业人员），如不能继续履行职责确需更换的，所更换人员为我单位职工，其从业资格不低于</w:t>
      </w:r>
      <w:r>
        <w:rPr>
          <w:rFonts w:hint="eastAsia" w:ascii="宋体" w:hAnsi="宋体" w:cs="Times New Roman"/>
          <w:bCs/>
          <w:color w:val="auto"/>
          <w:sz w:val="24"/>
          <w:szCs w:val="24"/>
          <w:highlight w:val="none"/>
          <w:lang w:val="en-US" w:eastAsia="zh-CN"/>
        </w:rPr>
        <w:t>投标</w:t>
      </w:r>
      <w:r>
        <w:rPr>
          <w:rFonts w:hint="eastAsia" w:ascii="宋体" w:hAnsi="宋体" w:eastAsia="宋体" w:cs="Times New Roman"/>
          <w:bCs/>
          <w:color w:val="auto"/>
          <w:sz w:val="24"/>
          <w:szCs w:val="24"/>
          <w:highlight w:val="none"/>
        </w:rPr>
        <w:t>时承诺条件。</w:t>
      </w:r>
    </w:p>
    <w:p w14:paraId="49A41CB2">
      <w:pPr>
        <w:numPr>
          <w:ilvl w:val="0"/>
          <w:numId w:val="3"/>
        </w:num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如果违反本承诺书中任何条款，我方愿意接受：</w:t>
      </w:r>
    </w:p>
    <w:p w14:paraId="59D6265C">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（1）视作我方单方面违约，并按照合同规定向贵方支付违约金或解除合同；</w:t>
      </w:r>
    </w:p>
    <w:p w14:paraId="45B03438">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（2）履约评价评定为合格及以下；</w:t>
      </w:r>
    </w:p>
    <w:p w14:paraId="1FAB347B">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（3）贵方今后可拒绝我方参与投标；</w:t>
      </w:r>
    </w:p>
    <w:p w14:paraId="7E1E4B12">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（4）建设行政主管部门或相关主管部门的不良行为记录、行政处罚。</w:t>
      </w:r>
    </w:p>
    <w:p w14:paraId="43E7F4C1">
      <w:pPr>
        <w:spacing w:line="600" w:lineRule="exact"/>
        <w:ind w:firstLine="3600" w:firstLineChars="15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承诺单位（盖章）：</w:t>
      </w:r>
    </w:p>
    <w:p w14:paraId="2EA48667">
      <w:pPr>
        <w:spacing w:line="600" w:lineRule="exact"/>
        <w:ind w:firstLine="3600" w:firstLineChars="15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法定代表人或授权</w:t>
      </w:r>
      <w:r>
        <w:rPr>
          <w:rFonts w:hint="eastAsia" w:ascii="宋体" w:hAnsi="宋体" w:cs="Times New Roman"/>
          <w:bCs/>
          <w:color w:val="auto"/>
          <w:sz w:val="24"/>
          <w:szCs w:val="24"/>
          <w:highlight w:val="none"/>
          <w:lang w:val="en-US" w:eastAsia="zh-CN"/>
        </w:rPr>
        <w:t>代表</w:t>
      </w:r>
      <w:r>
        <w:rPr>
          <w:rFonts w:hint="eastAsia" w:ascii="宋体" w:hAnsi="宋体" w:eastAsia="宋体" w:cs="Times New Roman"/>
          <w:bCs/>
          <w:color w:val="auto"/>
          <w:sz w:val="24"/>
          <w:szCs w:val="24"/>
          <w:highlight w:val="none"/>
        </w:rPr>
        <w:t>（签字或盖私章）：</w:t>
      </w:r>
    </w:p>
    <w:p w14:paraId="613C05EB">
      <w:pPr>
        <w:spacing w:line="600" w:lineRule="exact"/>
        <w:ind w:firstLine="3600" w:firstLineChars="1500"/>
        <w:jc w:val="left"/>
        <w:rPr>
          <w:rFonts w:hint="eastAsia" w:ascii="方正小标宋简体" w:hAnsi="方正小标宋简体" w:eastAsia="方正小标宋简体" w:cs="方正小标宋简体"/>
          <w:sz w:val="44"/>
          <w:szCs w:val="44"/>
          <w:highlight w:val="none"/>
        </w:rPr>
      </w:pPr>
      <w:r>
        <w:rPr>
          <w:rFonts w:hint="eastAsia" w:ascii="宋体" w:hAnsi="宋体" w:eastAsia="宋体" w:cs="Times New Roman"/>
          <w:bCs/>
          <w:color w:val="auto"/>
          <w:sz w:val="24"/>
          <w:szCs w:val="24"/>
          <w:highlight w:val="none"/>
        </w:rPr>
        <w:t>签署日期：    年    月    日</w:t>
      </w:r>
    </w:p>
    <w:p w14:paraId="32589A9A">
      <w:pPr>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br w:type="page"/>
      </w:r>
    </w:p>
    <w:p w14:paraId="3251D717">
      <w:pPr>
        <w:spacing w:line="500" w:lineRule="exact"/>
        <w:jc w:val="both"/>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t>附件四：</w:t>
      </w:r>
    </w:p>
    <w:p w14:paraId="1865CA78">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b/>
          <w:bCs/>
          <w:sz w:val="28"/>
          <w:szCs w:val="28"/>
          <w:highlight w:val="none"/>
        </w:rPr>
      </w:pPr>
      <w:r>
        <w:rPr>
          <w:rFonts w:hint="eastAsia"/>
          <w:b/>
          <w:bCs/>
          <w:sz w:val="28"/>
          <w:szCs w:val="28"/>
          <w:highlight w:val="none"/>
        </w:rPr>
        <w:t>龙岗区进一步规范政商交往行为告知书</w:t>
      </w:r>
    </w:p>
    <w:p w14:paraId="5CA0F44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3B781FA8">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一、不得向公职人员赠送礼品、礼金、消费卡等财物。</w:t>
      </w:r>
    </w:p>
    <w:p w14:paraId="4429D844">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二、不得违规向公职人员提供宴请、旅游、娱乐等安排。</w:t>
      </w:r>
    </w:p>
    <w:p w14:paraId="68711EE5">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三、不得通过打麻将等形式向公职人员输送利益。</w:t>
      </w:r>
    </w:p>
    <w:p w14:paraId="2007876F">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四、不得为公职人员报销应由其个人支付的费用。</w:t>
      </w:r>
    </w:p>
    <w:p w14:paraId="6BD4A0CF">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五、不得违规向公职人员及其亲友借贷款。</w:t>
      </w:r>
    </w:p>
    <w:p w14:paraId="51271696">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六、不得违规将车辆、住房等借给公职人员使用。</w:t>
      </w:r>
    </w:p>
    <w:p w14:paraId="6556CAC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七、不得在招投标中与公职人员搞暗箱操作、围标串标。</w:t>
      </w:r>
    </w:p>
    <w:p w14:paraId="667872B0">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八、不得为利益相关人和公职人员牵线搭桥或者代为传递信息、传递财物。</w:t>
      </w:r>
    </w:p>
    <w:p w14:paraId="3676D56E">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九、不得让公职人员在企业违规兼职取酬。</w:t>
      </w:r>
    </w:p>
    <w:p w14:paraId="0BDD9B2E">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十、不得为公职人员亲友违规承揽业务提供便利。</w:t>
      </w:r>
    </w:p>
    <w:p w14:paraId="303FBFC6">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528D655F">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p>
    <w:p w14:paraId="0574918D">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本人已知晓上述告知内容，并愿意遵照执行（</w:t>
      </w:r>
      <w:r>
        <w:rPr>
          <w:rFonts w:hint="eastAsia" w:ascii="宋体" w:hAnsi="宋体" w:cs="宋体"/>
          <w:color w:val="000000"/>
          <w:sz w:val="24"/>
          <w:szCs w:val="24"/>
          <w:highlight w:val="none"/>
          <w:lang w:val="en-US" w:eastAsia="zh-CN"/>
        </w:rPr>
        <w:t>签字盖章</w:t>
      </w:r>
      <w:r>
        <w:rPr>
          <w:rFonts w:hint="eastAsia" w:ascii="宋体" w:hAnsi="宋体" w:eastAsia="宋体" w:cs="宋体"/>
          <w:color w:val="000000"/>
          <w:sz w:val="24"/>
          <w:szCs w:val="24"/>
          <w:highlight w:val="none"/>
        </w:rPr>
        <w:t>）：</w:t>
      </w:r>
    </w:p>
    <w:p w14:paraId="0C75E118">
      <w:pPr>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宋体" w:hAnsi="宋体" w:eastAsia="宋体" w:cs="宋体"/>
          <w:color w:val="000000"/>
          <w:sz w:val="24"/>
          <w:szCs w:val="24"/>
          <w:highlight w:val="none"/>
        </w:rPr>
      </w:pPr>
    </w:p>
    <w:p w14:paraId="5A4937B5">
      <w:pPr>
        <w:spacing w:line="240" w:lineRule="auto"/>
        <w:jc w:val="right"/>
        <w:outlineLvl w:val="9"/>
        <w:rPr>
          <w:rFonts w:hint="eastAsia" w:ascii="宋体" w:hAnsi="宋体"/>
          <w:b/>
          <w:snapToGrid w:val="0"/>
          <w:kern w:val="0"/>
          <w:sz w:val="32"/>
          <w:szCs w:val="32"/>
          <w:highlight w:val="none"/>
        </w:rPr>
      </w:pPr>
      <w:r>
        <w:rPr>
          <w:rFonts w:hint="eastAsia"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年</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月</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日</w:t>
      </w:r>
    </w:p>
    <w:p w14:paraId="218079C7">
      <w:pPr>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br w:type="page"/>
      </w:r>
    </w:p>
    <w:p w14:paraId="64EB8BDA">
      <w:pPr>
        <w:spacing w:line="500" w:lineRule="exact"/>
        <w:jc w:val="left"/>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t>附件</w:t>
      </w:r>
      <w:r>
        <w:rPr>
          <w:rFonts w:hint="eastAsia" w:ascii="仿宋_GB2312" w:hAnsi="Times New Roman" w:eastAsia="仿宋_GB2312" w:cs="Times New Roman"/>
          <w:b/>
          <w:bCs/>
          <w:color w:val="auto"/>
          <w:sz w:val="30"/>
          <w:szCs w:val="30"/>
          <w:highlight w:val="none"/>
          <w:lang w:val="en-US" w:eastAsia="zh-CN"/>
        </w:rPr>
        <w:t>五</w:t>
      </w:r>
      <w:r>
        <w:rPr>
          <w:rFonts w:hint="eastAsia" w:ascii="仿宋_GB2312" w:hAnsi="Times New Roman" w:eastAsia="仿宋_GB2312" w:cs="Times New Roman"/>
          <w:b/>
          <w:bCs/>
          <w:color w:val="auto"/>
          <w:sz w:val="30"/>
          <w:szCs w:val="30"/>
          <w:highlight w:val="none"/>
        </w:rPr>
        <w:t>：综合评分表</w:t>
      </w:r>
    </w:p>
    <w:p w14:paraId="4769B20A">
      <w:pPr>
        <w:jc w:val="center"/>
        <w:rPr>
          <w:rFonts w:ascii="仿宋_GB2312" w:eastAsia="仿宋_GB2312"/>
          <w:b/>
          <w:bCs/>
          <w:color w:val="000000"/>
          <w:sz w:val="30"/>
          <w:szCs w:val="30"/>
          <w:highlight w:val="none"/>
        </w:rPr>
      </w:pPr>
      <w:r>
        <w:rPr>
          <w:rFonts w:hint="eastAsia" w:ascii="仿宋_GB2312" w:eastAsia="仿宋_GB2312"/>
          <w:b/>
          <w:bCs/>
          <w:color w:val="000000"/>
          <w:sz w:val="30"/>
          <w:szCs w:val="30"/>
          <w:highlight w:val="none"/>
        </w:rPr>
        <w:t>综合评分表</w:t>
      </w:r>
    </w:p>
    <w:tbl>
      <w:tblPr>
        <w:tblStyle w:val="5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1011"/>
        <w:gridCol w:w="4855"/>
        <w:gridCol w:w="1544"/>
        <w:gridCol w:w="1215"/>
      </w:tblGrid>
      <w:tr w14:paraId="02F7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blHeader/>
          <w:jc w:val="center"/>
        </w:trPr>
        <w:tc>
          <w:tcPr>
            <w:tcW w:w="331" w:type="pct"/>
            <w:shd w:val="clear" w:color="auto" w:fill="DEEAF6"/>
            <w:noWrap w:val="0"/>
            <w:vAlign w:val="center"/>
          </w:tcPr>
          <w:p w14:paraId="44DD4356">
            <w:pPr>
              <w:widowControl/>
              <w:adjustRightInd w:val="0"/>
              <w:snapToGrid w:val="0"/>
              <w:spacing w:line="240" w:lineRule="auto"/>
              <w:jc w:val="center"/>
              <w:rPr>
                <w:rFonts w:ascii="宋体" w:hAnsi="宋体" w:cs="宋体"/>
                <w:b/>
                <w:szCs w:val="21"/>
                <w:highlight w:val="none"/>
              </w:rPr>
            </w:pPr>
            <w:bookmarkStart w:id="2" w:name="_Hlk17297611"/>
            <w:r>
              <w:rPr>
                <w:rFonts w:hint="eastAsia" w:ascii="宋体" w:hAnsi="宋体" w:cs="宋体"/>
                <w:b/>
                <w:szCs w:val="21"/>
                <w:highlight w:val="none"/>
              </w:rPr>
              <w:t>序号</w:t>
            </w:r>
          </w:p>
        </w:tc>
        <w:tc>
          <w:tcPr>
            <w:tcW w:w="457" w:type="pct"/>
            <w:shd w:val="clear" w:color="auto" w:fill="DEEAF6"/>
            <w:noWrap w:val="0"/>
            <w:vAlign w:val="center"/>
          </w:tcPr>
          <w:p w14:paraId="119E0738">
            <w:pPr>
              <w:widowControl/>
              <w:adjustRightInd w:val="0"/>
              <w:snapToGrid w:val="0"/>
              <w:spacing w:line="240" w:lineRule="auto"/>
              <w:jc w:val="center"/>
              <w:rPr>
                <w:rFonts w:ascii="宋体" w:hAnsi="宋体" w:cs="宋体"/>
                <w:b/>
                <w:szCs w:val="21"/>
                <w:highlight w:val="none"/>
              </w:rPr>
            </w:pPr>
            <w:r>
              <w:rPr>
                <w:rFonts w:hint="eastAsia" w:ascii="宋体" w:hAnsi="宋体" w:cs="宋体"/>
                <w:b/>
                <w:szCs w:val="21"/>
                <w:highlight w:val="none"/>
              </w:rPr>
              <w:t>评审</w:t>
            </w:r>
          </w:p>
          <w:p w14:paraId="4FEBB63F">
            <w:pPr>
              <w:widowControl/>
              <w:adjustRightInd w:val="0"/>
              <w:snapToGrid w:val="0"/>
              <w:spacing w:line="240" w:lineRule="auto"/>
              <w:jc w:val="center"/>
              <w:rPr>
                <w:rFonts w:ascii="宋体" w:hAnsi="宋体" w:cs="宋体"/>
                <w:b/>
                <w:szCs w:val="21"/>
                <w:highlight w:val="none"/>
              </w:rPr>
            </w:pPr>
            <w:r>
              <w:rPr>
                <w:rFonts w:hint="eastAsia" w:ascii="宋体" w:hAnsi="宋体" w:cs="宋体"/>
                <w:b/>
                <w:szCs w:val="21"/>
                <w:highlight w:val="none"/>
              </w:rPr>
              <w:t>项目</w:t>
            </w:r>
          </w:p>
        </w:tc>
        <w:tc>
          <w:tcPr>
            <w:tcW w:w="2195" w:type="pct"/>
            <w:shd w:val="clear" w:color="auto" w:fill="DEEAF6"/>
            <w:noWrap w:val="0"/>
            <w:vAlign w:val="center"/>
          </w:tcPr>
          <w:p w14:paraId="37E407E2">
            <w:pPr>
              <w:widowControl/>
              <w:adjustRightInd w:val="0"/>
              <w:snapToGrid w:val="0"/>
              <w:spacing w:line="240" w:lineRule="auto"/>
              <w:jc w:val="center"/>
              <w:rPr>
                <w:rFonts w:ascii="宋体" w:hAnsi="宋体" w:cs="宋体"/>
                <w:b/>
                <w:szCs w:val="21"/>
                <w:highlight w:val="none"/>
              </w:rPr>
            </w:pPr>
            <w:r>
              <w:rPr>
                <w:rFonts w:hint="eastAsia" w:ascii="宋体" w:hAnsi="宋体" w:cs="宋体"/>
                <w:b/>
                <w:szCs w:val="21"/>
                <w:highlight w:val="none"/>
              </w:rPr>
              <w:t>评审标准</w:t>
            </w:r>
          </w:p>
        </w:tc>
        <w:tc>
          <w:tcPr>
            <w:tcW w:w="695" w:type="pct"/>
            <w:shd w:val="clear" w:color="auto" w:fill="DEEAF6"/>
            <w:noWrap w:val="0"/>
            <w:vAlign w:val="center"/>
          </w:tcPr>
          <w:p w14:paraId="5BAB54EF">
            <w:pPr>
              <w:widowControl/>
              <w:adjustRightInd w:val="0"/>
              <w:snapToGrid w:val="0"/>
              <w:spacing w:line="240" w:lineRule="auto"/>
              <w:jc w:val="center"/>
              <w:rPr>
                <w:rFonts w:ascii="宋体" w:hAnsi="宋体" w:cs="宋体"/>
                <w:b/>
                <w:szCs w:val="21"/>
                <w:highlight w:val="none"/>
              </w:rPr>
            </w:pPr>
            <w:r>
              <w:rPr>
                <w:rFonts w:hint="eastAsia" w:ascii="宋体" w:hAnsi="宋体" w:cs="宋体"/>
                <w:b/>
                <w:szCs w:val="21"/>
                <w:highlight w:val="none"/>
              </w:rPr>
              <w:t>证明材料</w:t>
            </w:r>
          </w:p>
        </w:tc>
        <w:tc>
          <w:tcPr>
            <w:tcW w:w="549" w:type="pct"/>
            <w:shd w:val="clear" w:color="auto" w:fill="DEEAF6"/>
            <w:noWrap w:val="0"/>
            <w:vAlign w:val="center"/>
          </w:tcPr>
          <w:p w14:paraId="5623D489">
            <w:pPr>
              <w:widowControl/>
              <w:adjustRightInd w:val="0"/>
              <w:snapToGrid w:val="0"/>
              <w:spacing w:line="240" w:lineRule="auto"/>
              <w:jc w:val="center"/>
              <w:rPr>
                <w:rFonts w:ascii="宋体" w:hAnsi="宋体" w:cs="宋体"/>
                <w:b/>
                <w:szCs w:val="21"/>
                <w:highlight w:val="none"/>
              </w:rPr>
            </w:pPr>
            <w:r>
              <w:rPr>
                <w:rFonts w:hint="eastAsia" w:ascii="宋体" w:hAnsi="宋体" w:cs="宋体"/>
                <w:b/>
                <w:szCs w:val="21"/>
                <w:highlight w:val="none"/>
              </w:rPr>
              <w:t>分值</w:t>
            </w:r>
          </w:p>
        </w:tc>
      </w:tr>
      <w:tr w14:paraId="66FC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5" w:hRule="atLeast"/>
          <w:jc w:val="center"/>
        </w:trPr>
        <w:tc>
          <w:tcPr>
            <w:tcW w:w="331" w:type="pct"/>
            <w:noWrap w:val="0"/>
            <w:vAlign w:val="center"/>
          </w:tcPr>
          <w:p w14:paraId="4C66C35C">
            <w:pPr>
              <w:widowControl/>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rPr>
              <w:t>1</w:t>
            </w:r>
          </w:p>
        </w:tc>
        <w:tc>
          <w:tcPr>
            <w:tcW w:w="457" w:type="pct"/>
            <w:noWrap w:val="0"/>
            <w:vAlign w:val="center"/>
          </w:tcPr>
          <w:p w14:paraId="48572A7D">
            <w:pPr>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rPr>
              <w:t>报价</w:t>
            </w:r>
          </w:p>
          <w:p w14:paraId="7E9B357E">
            <w:pPr>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rPr>
              <w:t>得分</w:t>
            </w:r>
          </w:p>
        </w:tc>
        <w:tc>
          <w:tcPr>
            <w:tcW w:w="2195" w:type="pct"/>
            <w:noWrap w:val="0"/>
            <w:vAlign w:val="center"/>
          </w:tcPr>
          <w:p w14:paraId="2A582F92">
            <w:pPr>
              <w:adjustRightInd w:val="0"/>
              <w:snapToGrid w:val="0"/>
              <w:spacing w:line="240" w:lineRule="auto"/>
              <w:jc w:val="left"/>
              <w:rPr>
                <w:rFonts w:ascii="宋体" w:hAnsi="宋体" w:cs="宋体"/>
                <w:szCs w:val="21"/>
                <w:highlight w:val="none"/>
              </w:rPr>
            </w:pPr>
            <w:r>
              <w:rPr>
                <w:rFonts w:hint="eastAsia" w:ascii="宋体" w:hAnsi="宋体" w:cs="宋体"/>
                <w:szCs w:val="21"/>
                <w:highlight w:val="none"/>
              </w:rPr>
              <w:t>采用低价优先法计算，投标总价最低的投标报价为评标基准价，其价格分为满分。</w:t>
            </w:r>
          </w:p>
          <w:p w14:paraId="428DE5E3">
            <w:pPr>
              <w:adjustRightInd w:val="0"/>
              <w:snapToGrid w:val="0"/>
              <w:spacing w:line="240" w:lineRule="auto"/>
              <w:jc w:val="left"/>
              <w:rPr>
                <w:rFonts w:hint="eastAsia" w:ascii="宋体" w:hAnsi="宋体" w:eastAsia="宋体" w:cs="宋体"/>
                <w:szCs w:val="21"/>
                <w:highlight w:val="none"/>
                <w:lang w:eastAsia="zh-CN"/>
              </w:rPr>
            </w:pPr>
            <w:r>
              <w:rPr>
                <w:rFonts w:hint="eastAsia" w:ascii="宋体" w:hAnsi="宋体" w:cs="宋体"/>
                <w:szCs w:val="21"/>
                <w:highlight w:val="none"/>
              </w:rPr>
              <w:t>其他投标人的价格分统一按照下列公式计算：投标报价得分=(评标基准价／投标总价)×10</w:t>
            </w:r>
            <w:r>
              <w:rPr>
                <w:rFonts w:hint="eastAsia" w:ascii="宋体" w:hAnsi="宋体" w:cs="宋体"/>
                <w:szCs w:val="21"/>
                <w:highlight w:val="none"/>
                <w:lang w:eastAsia="zh-CN"/>
              </w:rPr>
              <w:t>分</w:t>
            </w:r>
          </w:p>
          <w:p w14:paraId="2A4B7B45">
            <w:pPr>
              <w:adjustRightInd w:val="0"/>
              <w:snapToGrid w:val="0"/>
              <w:spacing w:line="240" w:lineRule="auto"/>
              <w:jc w:val="left"/>
              <w:rPr>
                <w:rFonts w:ascii="宋体" w:hAnsi="宋体" w:cs="宋体"/>
                <w:szCs w:val="21"/>
                <w:highlight w:val="none"/>
              </w:rPr>
            </w:pPr>
            <w:r>
              <w:rPr>
                <w:rFonts w:hint="eastAsia" w:ascii="宋体" w:hAnsi="宋体" w:cs="宋体"/>
                <w:szCs w:val="21"/>
                <w:highlight w:val="none"/>
              </w:rPr>
              <w:t>评标过程中，不去掉报价中的最高报价和最低报价。</w:t>
            </w:r>
          </w:p>
        </w:tc>
        <w:tc>
          <w:tcPr>
            <w:tcW w:w="695" w:type="pct"/>
            <w:noWrap w:val="0"/>
            <w:vAlign w:val="center"/>
          </w:tcPr>
          <w:p w14:paraId="5131ED46">
            <w:pPr>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rPr>
              <w:t>提供响应报价</w:t>
            </w:r>
          </w:p>
        </w:tc>
        <w:tc>
          <w:tcPr>
            <w:tcW w:w="549" w:type="pct"/>
            <w:noWrap w:val="0"/>
            <w:vAlign w:val="center"/>
          </w:tcPr>
          <w:p w14:paraId="0E98F8AD">
            <w:pPr>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lang w:val="en-US" w:eastAsia="zh-CN"/>
              </w:rPr>
              <w:t>10</w:t>
            </w:r>
            <w:r>
              <w:rPr>
                <w:rFonts w:hint="eastAsia" w:ascii="宋体" w:hAnsi="宋体" w:cs="宋体"/>
                <w:szCs w:val="21"/>
                <w:highlight w:val="none"/>
              </w:rPr>
              <w:t>分</w:t>
            </w:r>
          </w:p>
        </w:tc>
      </w:tr>
      <w:tr w14:paraId="64938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4" w:hRule="atLeast"/>
          <w:jc w:val="center"/>
        </w:trPr>
        <w:tc>
          <w:tcPr>
            <w:tcW w:w="331" w:type="pct"/>
            <w:noWrap w:val="0"/>
            <w:vAlign w:val="center"/>
          </w:tcPr>
          <w:p w14:paraId="64400759">
            <w:pPr>
              <w:widowControl/>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rPr>
              <w:t>2</w:t>
            </w:r>
          </w:p>
        </w:tc>
        <w:tc>
          <w:tcPr>
            <w:tcW w:w="457" w:type="pct"/>
            <w:noWrap w:val="0"/>
            <w:vAlign w:val="center"/>
          </w:tcPr>
          <w:p w14:paraId="6EFE4E53">
            <w:pPr>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rPr>
              <w:t>同类业绩情况</w:t>
            </w:r>
          </w:p>
        </w:tc>
        <w:tc>
          <w:tcPr>
            <w:tcW w:w="2195" w:type="pct"/>
            <w:noWrap w:val="0"/>
            <w:vAlign w:val="center"/>
          </w:tcPr>
          <w:p w14:paraId="7BE42F91">
            <w:pPr>
              <w:pStyle w:val="25"/>
              <w:tabs>
                <w:tab w:val="left" w:pos="562"/>
                <w:tab w:val="left" w:pos="3372"/>
                <w:tab w:val="left" w:pos="3653"/>
              </w:tabs>
              <w:adjustRightInd w:val="0"/>
              <w:snapToGrid w:val="0"/>
              <w:spacing w:line="24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2021年1月1日起</w:t>
            </w:r>
            <w:r>
              <w:rPr>
                <w:rFonts w:hint="eastAsia" w:ascii="宋体" w:hAnsi="宋体" w:eastAsia="宋体" w:cs="宋体"/>
                <w:color w:val="000000"/>
                <w:sz w:val="21"/>
                <w:szCs w:val="21"/>
                <w:highlight w:val="none"/>
              </w:rPr>
              <w:t>，具有房屋建筑类项目可行性研究经验的，投资额10亿（不含）以上每增加1个</w:t>
            </w:r>
            <w:r>
              <w:rPr>
                <w:rFonts w:hint="eastAsia" w:ascii="宋体" w:hAnsi="宋体" w:eastAsia="宋体" w:cs="宋体"/>
                <w:color w:val="000000"/>
                <w:sz w:val="21"/>
                <w:szCs w:val="21"/>
                <w:highlight w:val="none"/>
                <w:lang w:eastAsia="zh-CN"/>
              </w:rPr>
              <w:t>得</w:t>
            </w:r>
            <w:r>
              <w:rPr>
                <w:rFonts w:hint="eastAsia" w:ascii="宋体" w:hAnsi="宋体" w:eastAsia="宋体" w:cs="宋体"/>
                <w:color w:val="000000"/>
                <w:sz w:val="21"/>
                <w:szCs w:val="21"/>
                <w:highlight w:val="none"/>
              </w:rPr>
              <w:t>8分</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投资额2亿至10亿（含）每增加1个</w:t>
            </w:r>
            <w:r>
              <w:rPr>
                <w:rFonts w:hint="eastAsia" w:ascii="宋体" w:hAnsi="宋体" w:eastAsia="宋体" w:cs="宋体"/>
                <w:color w:val="000000"/>
                <w:sz w:val="21"/>
                <w:szCs w:val="21"/>
                <w:highlight w:val="none"/>
                <w:lang w:eastAsia="zh-CN"/>
              </w:rPr>
              <w:t>得</w:t>
            </w:r>
            <w:r>
              <w:rPr>
                <w:rFonts w:hint="eastAsia" w:ascii="宋体" w:hAnsi="宋体" w:eastAsia="宋体" w:cs="宋体"/>
                <w:color w:val="000000"/>
                <w:sz w:val="21"/>
                <w:szCs w:val="21"/>
                <w:highlight w:val="none"/>
              </w:rPr>
              <w:t>3分</w:t>
            </w:r>
            <w:r>
              <w:rPr>
                <w:rFonts w:hint="eastAsia" w:ascii="宋体" w:hAnsi="宋体" w:eastAsia="宋体" w:cs="宋体"/>
                <w:color w:val="000000"/>
                <w:sz w:val="21"/>
                <w:szCs w:val="21"/>
                <w:highlight w:val="none"/>
                <w:lang w:eastAsia="zh-CN"/>
              </w:rPr>
              <w:t>。</w:t>
            </w:r>
          </w:p>
          <w:p w14:paraId="49BCC841">
            <w:pPr>
              <w:pStyle w:val="25"/>
              <w:tabs>
                <w:tab w:val="left" w:pos="562"/>
                <w:tab w:val="left" w:pos="3372"/>
                <w:tab w:val="left" w:pos="3653"/>
              </w:tabs>
              <w:adjustRightInd w:val="0"/>
              <w:snapToGrid w:val="0"/>
              <w:spacing w:line="240" w:lineRule="auto"/>
              <w:rPr>
                <w:highlight w:val="none"/>
              </w:rPr>
            </w:pPr>
            <w:r>
              <w:rPr>
                <w:rFonts w:hint="eastAsia" w:ascii="宋体" w:hAnsi="宋体" w:eastAsia="宋体" w:cs="宋体"/>
                <w:color w:val="000000"/>
                <w:sz w:val="21"/>
                <w:szCs w:val="21"/>
                <w:highlight w:val="none"/>
              </w:rPr>
              <w:t>最多</w:t>
            </w:r>
            <w:r>
              <w:rPr>
                <w:rFonts w:hint="eastAsia" w:ascii="宋体" w:hAnsi="宋体" w:eastAsia="宋体" w:cs="宋体"/>
                <w:color w:val="000000"/>
                <w:sz w:val="21"/>
                <w:szCs w:val="21"/>
                <w:highlight w:val="none"/>
                <w:lang w:eastAsia="zh-CN"/>
              </w:rPr>
              <w:t>得</w:t>
            </w:r>
            <w:r>
              <w:rPr>
                <w:rFonts w:hint="eastAsia" w:ascii="宋体" w:hAnsi="宋体" w:eastAsia="宋体" w:cs="宋体"/>
                <w:color w:val="000000"/>
                <w:sz w:val="21"/>
                <w:szCs w:val="21"/>
                <w:highlight w:val="none"/>
              </w:rPr>
              <w:t>25分。</w:t>
            </w:r>
          </w:p>
        </w:tc>
        <w:tc>
          <w:tcPr>
            <w:tcW w:w="695" w:type="pct"/>
            <w:noWrap w:val="0"/>
            <w:vAlign w:val="center"/>
          </w:tcPr>
          <w:p w14:paraId="385061A4">
            <w:pPr>
              <w:adjustRightInd w:val="0"/>
              <w:snapToGrid w:val="0"/>
              <w:spacing w:line="240" w:lineRule="auto"/>
              <w:jc w:val="center"/>
              <w:rPr>
                <w:rFonts w:hint="default" w:eastAsia="宋体"/>
                <w:szCs w:val="21"/>
                <w:highlight w:val="none"/>
                <w:lang w:val="en-US" w:eastAsia="zh-CN"/>
              </w:rPr>
            </w:pPr>
            <w:r>
              <w:rPr>
                <w:rFonts w:hint="eastAsia"/>
                <w:szCs w:val="21"/>
                <w:highlight w:val="none"/>
              </w:rPr>
              <w:t>提供相应合同文件或</w:t>
            </w:r>
            <w:r>
              <w:rPr>
                <w:rFonts w:hint="eastAsia"/>
                <w:szCs w:val="21"/>
                <w:highlight w:val="none"/>
                <w:lang w:val="en-US" w:eastAsia="zh-CN"/>
              </w:rPr>
              <w:t>委托方证明</w:t>
            </w:r>
          </w:p>
        </w:tc>
        <w:tc>
          <w:tcPr>
            <w:tcW w:w="549" w:type="pct"/>
            <w:noWrap w:val="0"/>
            <w:vAlign w:val="center"/>
          </w:tcPr>
          <w:p w14:paraId="7949893D">
            <w:pPr>
              <w:widowControl/>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rPr>
              <w:t>2</w:t>
            </w:r>
            <w:r>
              <w:rPr>
                <w:rFonts w:hint="eastAsia" w:ascii="宋体" w:hAnsi="宋体" w:cs="宋体"/>
                <w:szCs w:val="21"/>
                <w:highlight w:val="none"/>
                <w:lang w:val="en-US" w:eastAsia="zh-CN"/>
              </w:rPr>
              <w:t>5</w:t>
            </w:r>
            <w:r>
              <w:rPr>
                <w:rFonts w:hint="eastAsia" w:ascii="宋体" w:hAnsi="宋体" w:cs="宋体"/>
                <w:szCs w:val="21"/>
                <w:highlight w:val="none"/>
              </w:rPr>
              <w:t>分</w:t>
            </w:r>
          </w:p>
        </w:tc>
      </w:tr>
      <w:tr w14:paraId="0993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4" w:hRule="atLeast"/>
          <w:jc w:val="center"/>
        </w:trPr>
        <w:tc>
          <w:tcPr>
            <w:tcW w:w="331" w:type="pct"/>
            <w:noWrap w:val="0"/>
            <w:vAlign w:val="center"/>
          </w:tcPr>
          <w:p w14:paraId="558CA7AE">
            <w:pPr>
              <w:widowControl/>
              <w:adjustRightInd w:val="0"/>
              <w:snapToGrid w:val="0"/>
              <w:spacing w:line="240" w:lineRule="auto"/>
              <w:jc w:val="center"/>
              <w:rPr>
                <w:rFonts w:ascii="宋体" w:hAnsi="宋体" w:cs="宋体"/>
                <w:szCs w:val="21"/>
                <w:highlight w:val="none"/>
              </w:rPr>
            </w:pPr>
            <w:r>
              <w:rPr>
                <w:rFonts w:ascii="宋体" w:hAnsi="宋体" w:cs="宋体"/>
                <w:szCs w:val="21"/>
                <w:highlight w:val="none"/>
              </w:rPr>
              <w:t>3</w:t>
            </w:r>
          </w:p>
        </w:tc>
        <w:tc>
          <w:tcPr>
            <w:tcW w:w="457" w:type="pct"/>
            <w:noWrap w:val="0"/>
            <w:vAlign w:val="center"/>
          </w:tcPr>
          <w:p w14:paraId="1E216F55">
            <w:pPr>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lang w:val="en-US" w:eastAsia="zh-CN"/>
              </w:rPr>
              <w:t>拟安排的项目负责人情况（仅限1人）</w:t>
            </w:r>
          </w:p>
        </w:tc>
        <w:tc>
          <w:tcPr>
            <w:tcW w:w="2195" w:type="pct"/>
            <w:noWrap w:val="0"/>
            <w:vAlign w:val="center"/>
          </w:tcPr>
          <w:p w14:paraId="326184D9">
            <w:pPr>
              <w:adjustRightInd w:val="0"/>
              <w:snapToGrid w:val="0"/>
              <w:spacing w:line="240" w:lineRule="auto"/>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1、项目负责人</w:t>
            </w:r>
            <w:r>
              <w:rPr>
                <w:rFonts w:hint="eastAsia" w:ascii="宋体" w:hAnsi="宋体" w:cs="宋体"/>
                <w:color w:val="000000"/>
                <w:szCs w:val="21"/>
                <w:highlight w:val="none"/>
                <w:lang w:val="en-US" w:eastAsia="zh-CN"/>
              </w:rPr>
              <w:t>具有副高级以上工程或经济类职称证书，得4分，没有不得分</w:t>
            </w:r>
            <w:r>
              <w:rPr>
                <w:rFonts w:hint="eastAsia" w:ascii="宋体" w:hAnsi="宋体" w:cs="宋体"/>
                <w:color w:val="000000"/>
                <w:szCs w:val="21"/>
                <w:highlight w:val="none"/>
                <w:lang w:eastAsia="zh-CN"/>
              </w:rPr>
              <w:t>；</w:t>
            </w:r>
          </w:p>
          <w:p w14:paraId="365181E2">
            <w:pPr>
              <w:adjustRightInd w:val="0"/>
              <w:snapToGrid w:val="0"/>
              <w:spacing w:line="240" w:lineRule="auto"/>
              <w:rPr>
                <w:rFonts w:hint="eastAsia" w:ascii="宋体" w:hAnsi="宋体" w:cs="宋体"/>
                <w:color w:val="000000"/>
                <w:szCs w:val="21"/>
                <w:highlight w:val="none"/>
                <w:lang w:eastAsia="zh-CN"/>
              </w:rPr>
            </w:pPr>
            <w:r>
              <w:rPr>
                <w:rFonts w:hint="eastAsia" w:ascii="宋体" w:hAnsi="宋体" w:cs="宋体"/>
                <w:color w:val="000000"/>
                <w:szCs w:val="21"/>
                <w:highlight w:val="none"/>
                <w:lang w:val="en-US" w:eastAsia="zh-CN"/>
              </w:rPr>
              <w:t>2、项目负责人持有有效注册咨询工程师(投资)证书，得3分，没有不得分</w:t>
            </w:r>
            <w:r>
              <w:rPr>
                <w:rFonts w:hint="eastAsia" w:ascii="宋体" w:hAnsi="宋体" w:cs="宋体"/>
                <w:color w:val="000000"/>
                <w:szCs w:val="21"/>
                <w:highlight w:val="none"/>
                <w:lang w:eastAsia="zh-CN"/>
              </w:rPr>
              <w:t>；</w:t>
            </w:r>
          </w:p>
          <w:p w14:paraId="200BDF6C">
            <w:pPr>
              <w:adjustRightInd w:val="0"/>
              <w:snapToGrid w:val="0"/>
              <w:spacing w:line="240" w:lineRule="auto"/>
              <w:rPr>
                <w:rFonts w:hint="eastAsia" w:eastAsia="宋体"/>
                <w:highlight w:val="none"/>
                <w:lang w:eastAsia="zh-CN"/>
              </w:rPr>
            </w:pPr>
            <w:r>
              <w:rPr>
                <w:rFonts w:hint="eastAsia" w:ascii="宋体" w:hAnsi="宋体" w:cs="宋体"/>
                <w:color w:val="000000"/>
                <w:szCs w:val="21"/>
                <w:highlight w:val="none"/>
                <w:lang w:val="en-US" w:eastAsia="zh-CN"/>
              </w:rPr>
              <w:t>3、项目负责人持有有效注册一级造价工程师证书，得3分，没有不得分。</w:t>
            </w:r>
          </w:p>
        </w:tc>
        <w:tc>
          <w:tcPr>
            <w:tcW w:w="695" w:type="pct"/>
            <w:noWrap w:val="0"/>
            <w:vAlign w:val="center"/>
          </w:tcPr>
          <w:p w14:paraId="098FEE17">
            <w:pPr>
              <w:adjustRightInd w:val="0"/>
              <w:snapToGrid w:val="0"/>
              <w:spacing w:line="240" w:lineRule="auto"/>
              <w:jc w:val="center"/>
              <w:rPr>
                <w:rFonts w:ascii="宋体" w:hAnsi="宋体" w:cs="宋体"/>
                <w:szCs w:val="21"/>
                <w:highlight w:val="none"/>
              </w:rPr>
            </w:pPr>
            <w:r>
              <w:rPr>
                <w:rFonts w:hint="eastAsia"/>
                <w:szCs w:val="21"/>
                <w:highlight w:val="none"/>
              </w:rPr>
              <w:t>提供的相应证明材料</w:t>
            </w:r>
          </w:p>
        </w:tc>
        <w:tc>
          <w:tcPr>
            <w:tcW w:w="549" w:type="pct"/>
            <w:noWrap w:val="0"/>
            <w:vAlign w:val="center"/>
          </w:tcPr>
          <w:p w14:paraId="67B4A1F2">
            <w:pPr>
              <w:widowControl/>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lang w:val="en-US" w:eastAsia="zh-CN"/>
              </w:rPr>
              <w:t>10</w:t>
            </w:r>
            <w:r>
              <w:rPr>
                <w:rFonts w:hint="eastAsia" w:ascii="宋体" w:hAnsi="宋体" w:cs="宋体"/>
                <w:szCs w:val="21"/>
                <w:highlight w:val="none"/>
              </w:rPr>
              <w:t>分</w:t>
            </w:r>
          </w:p>
        </w:tc>
      </w:tr>
      <w:tr w14:paraId="1AD1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4" w:hRule="atLeast"/>
          <w:jc w:val="center"/>
        </w:trPr>
        <w:tc>
          <w:tcPr>
            <w:tcW w:w="331" w:type="pct"/>
            <w:noWrap w:val="0"/>
            <w:vAlign w:val="center"/>
          </w:tcPr>
          <w:p w14:paraId="0C6BC837">
            <w:pPr>
              <w:widowControl/>
              <w:adjustRightInd w:val="0"/>
              <w:snapToGrid w:val="0"/>
              <w:spacing w:line="240" w:lineRule="auto"/>
              <w:jc w:val="center"/>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4</w:t>
            </w:r>
          </w:p>
        </w:tc>
        <w:tc>
          <w:tcPr>
            <w:tcW w:w="457" w:type="pct"/>
            <w:noWrap w:val="0"/>
            <w:vAlign w:val="center"/>
          </w:tcPr>
          <w:p w14:paraId="3AED4B06">
            <w:pPr>
              <w:adjustRightInd w:val="0"/>
              <w:snapToGrid w:val="0"/>
              <w:spacing w:line="240" w:lineRule="auto"/>
              <w:jc w:val="center"/>
              <w:rPr>
                <w:rFonts w:hint="eastAsia" w:ascii="宋体" w:hAnsi="宋体" w:cs="宋体"/>
                <w:szCs w:val="21"/>
                <w:highlight w:val="none"/>
              </w:rPr>
            </w:pPr>
            <w:r>
              <w:rPr>
                <w:rFonts w:hint="eastAsia" w:ascii="宋体" w:hAnsi="宋体" w:cs="宋体"/>
                <w:szCs w:val="21"/>
                <w:highlight w:val="none"/>
                <w:lang w:val="en-US" w:eastAsia="zh-CN"/>
              </w:rPr>
              <w:t>拟安排的项目负责人情况（项目负责人除外）</w:t>
            </w:r>
          </w:p>
        </w:tc>
        <w:tc>
          <w:tcPr>
            <w:tcW w:w="2195" w:type="pct"/>
            <w:noWrap w:val="0"/>
            <w:vAlign w:val="center"/>
          </w:tcPr>
          <w:p w14:paraId="1BE4BF96">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rPr>
              <w:t>项目团队成员</w:t>
            </w:r>
            <w:r>
              <w:rPr>
                <w:rFonts w:hint="eastAsia" w:ascii="宋体" w:hAnsi="宋体" w:cs="宋体"/>
                <w:color w:val="000000"/>
                <w:szCs w:val="21"/>
                <w:highlight w:val="none"/>
                <w:lang w:val="en-US" w:eastAsia="zh-CN"/>
              </w:rPr>
              <w:t>不少于5人</w:t>
            </w:r>
            <w:r>
              <w:rPr>
                <w:rFonts w:hint="eastAsia" w:ascii="宋体" w:hAnsi="宋体" w:cs="宋体"/>
                <w:color w:val="000000"/>
                <w:szCs w:val="21"/>
                <w:highlight w:val="none"/>
              </w:rPr>
              <w:t>，</w:t>
            </w:r>
            <w:r>
              <w:rPr>
                <w:rFonts w:hint="eastAsia" w:ascii="宋体" w:hAnsi="宋体" w:cs="宋体"/>
                <w:color w:val="000000"/>
                <w:szCs w:val="21"/>
                <w:highlight w:val="none"/>
                <w:lang w:val="en-US" w:eastAsia="zh-CN"/>
              </w:rPr>
              <w:t>需提供团队人员清单</w:t>
            </w: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未达人数要求的该项不得分，在此基础上：</w:t>
            </w:r>
          </w:p>
          <w:p w14:paraId="7ABE63A8">
            <w:pPr>
              <w:adjustRightInd w:val="0"/>
              <w:snapToGrid w:val="0"/>
              <w:spacing w:line="240" w:lineRule="auto"/>
              <w:rPr>
                <w:rFonts w:hint="eastAsia" w:ascii="宋体" w:hAnsi="宋体" w:cs="宋体"/>
                <w:color w:val="000000"/>
                <w:szCs w:val="21"/>
                <w:highlight w:val="none"/>
                <w:lang w:eastAsia="zh-CN"/>
              </w:rPr>
            </w:pPr>
            <w:r>
              <w:rPr>
                <w:rFonts w:hint="eastAsia" w:ascii="宋体" w:hAnsi="宋体" w:cs="宋体"/>
                <w:color w:val="000000"/>
                <w:szCs w:val="21"/>
                <w:highlight w:val="none"/>
                <w:lang w:val="en-US" w:eastAsia="zh-CN"/>
              </w:rPr>
              <w:t>1、团队成员持有有效注册咨询工程师(投资)证书的，每提供1个得3分</w:t>
            </w:r>
            <w:r>
              <w:rPr>
                <w:rFonts w:hint="eastAsia" w:ascii="宋体" w:hAnsi="宋体" w:cs="宋体"/>
                <w:color w:val="000000"/>
                <w:szCs w:val="21"/>
                <w:highlight w:val="none"/>
                <w:lang w:eastAsia="zh-CN"/>
              </w:rPr>
              <w:t>；</w:t>
            </w:r>
          </w:p>
          <w:p w14:paraId="7BA08547">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2、团队成员持有有效注册一级造价工程师证书，每提供1个得3分；</w:t>
            </w:r>
          </w:p>
          <w:p w14:paraId="21912646">
            <w:pPr>
              <w:adjustRightInd w:val="0"/>
              <w:snapToGrid w:val="0"/>
              <w:spacing w:line="240" w:lineRule="auto"/>
              <w:rPr>
                <w:rFonts w:hint="default"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3、团队成员具有中级以上工程或经济类职称证书，每提供1个得2分。</w:t>
            </w:r>
          </w:p>
          <w:p w14:paraId="4D887101">
            <w:pPr>
              <w:adjustRightInd w:val="0"/>
              <w:snapToGrid w:val="0"/>
              <w:spacing w:line="240" w:lineRule="auto"/>
              <w:rPr>
                <w:rFonts w:hint="default"/>
                <w:highlight w:val="none"/>
                <w:lang w:val="en-US"/>
              </w:rPr>
            </w:pPr>
            <w:r>
              <w:rPr>
                <w:rFonts w:hint="eastAsia" w:ascii="宋体" w:hAnsi="宋体" w:cs="宋体"/>
                <w:color w:val="000000"/>
                <w:szCs w:val="21"/>
                <w:highlight w:val="none"/>
                <w:lang w:val="en-US" w:eastAsia="zh-CN"/>
              </w:rPr>
              <w:t>同一人员满足多项要求的不得重复计分，以上累加计分，满分15分。</w:t>
            </w:r>
          </w:p>
        </w:tc>
        <w:tc>
          <w:tcPr>
            <w:tcW w:w="695" w:type="pct"/>
            <w:noWrap w:val="0"/>
            <w:vAlign w:val="center"/>
          </w:tcPr>
          <w:p w14:paraId="5EA1969A">
            <w:pPr>
              <w:adjustRightInd w:val="0"/>
              <w:snapToGrid w:val="0"/>
              <w:spacing w:line="240" w:lineRule="auto"/>
              <w:jc w:val="center"/>
              <w:rPr>
                <w:rFonts w:hint="eastAsia"/>
                <w:szCs w:val="21"/>
                <w:highlight w:val="none"/>
              </w:rPr>
            </w:pPr>
            <w:r>
              <w:rPr>
                <w:rFonts w:hint="eastAsia"/>
                <w:szCs w:val="21"/>
                <w:highlight w:val="none"/>
              </w:rPr>
              <w:t>提供的相应证明材料</w:t>
            </w:r>
          </w:p>
        </w:tc>
        <w:tc>
          <w:tcPr>
            <w:tcW w:w="549" w:type="pct"/>
            <w:noWrap w:val="0"/>
            <w:vAlign w:val="center"/>
          </w:tcPr>
          <w:p w14:paraId="094B09B6">
            <w:pPr>
              <w:widowControl/>
              <w:adjustRightInd w:val="0"/>
              <w:snapToGrid w:val="0"/>
              <w:spacing w:line="240" w:lineRule="auto"/>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15分</w:t>
            </w:r>
          </w:p>
        </w:tc>
      </w:tr>
      <w:tr w14:paraId="4E52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4" w:hRule="atLeast"/>
          <w:jc w:val="center"/>
        </w:trPr>
        <w:tc>
          <w:tcPr>
            <w:tcW w:w="331" w:type="pct"/>
            <w:noWrap w:val="0"/>
            <w:vAlign w:val="center"/>
          </w:tcPr>
          <w:p w14:paraId="46491845">
            <w:pPr>
              <w:widowControl/>
              <w:adjustRightInd w:val="0"/>
              <w:snapToGrid w:val="0"/>
              <w:spacing w:line="240" w:lineRule="auto"/>
              <w:jc w:val="center"/>
              <w:rPr>
                <w:rFonts w:hint="eastAsia" w:ascii="宋体" w:hAnsi="宋体" w:eastAsia="宋体" w:cs="宋体"/>
                <w:szCs w:val="21"/>
                <w:highlight w:val="none"/>
                <w:lang w:eastAsia="zh-CN"/>
              </w:rPr>
            </w:pPr>
            <w:r>
              <w:rPr>
                <w:rFonts w:hint="eastAsia" w:ascii="宋体" w:hAnsi="宋体" w:cs="宋体"/>
                <w:szCs w:val="21"/>
                <w:highlight w:val="none"/>
                <w:lang w:val="en-US" w:eastAsia="zh-CN"/>
              </w:rPr>
              <w:t>5</w:t>
            </w:r>
          </w:p>
        </w:tc>
        <w:tc>
          <w:tcPr>
            <w:tcW w:w="457" w:type="pct"/>
            <w:noWrap w:val="0"/>
            <w:vAlign w:val="center"/>
          </w:tcPr>
          <w:p w14:paraId="65188711">
            <w:pPr>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rPr>
              <w:t>服务方案</w:t>
            </w:r>
          </w:p>
        </w:tc>
        <w:tc>
          <w:tcPr>
            <w:tcW w:w="2195" w:type="pct"/>
            <w:noWrap w:val="0"/>
            <w:vAlign w:val="center"/>
          </w:tcPr>
          <w:p w14:paraId="632F4B3E">
            <w:pPr>
              <w:adjustRightInd w:val="0"/>
              <w:snapToGrid w:val="0"/>
              <w:spacing w:line="240" w:lineRule="auto"/>
              <w:rPr>
                <w:rFonts w:ascii="宋体" w:hAnsi="宋体" w:cs="宋体"/>
                <w:color w:val="000000"/>
                <w:szCs w:val="21"/>
                <w:highlight w:val="none"/>
              </w:rPr>
            </w:pPr>
            <w:r>
              <w:rPr>
                <w:rFonts w:hint="eastAsia" w:ascii="宋体" w:hAnsi="宋体" w:cs="宋体"/>
                <w:color w:val="000000"/>
                <w:szCs w:val="21"/>
                <w:highlight w:val="none"/>
              </w:rPr>
              <w:t>针对本项目工作内容的理解是否全面、准确，提出的技术思路是否达到技术要求，进行横向比较评分：</w:t>
            </w:r>
          </w:p>
          <w:p w14:paraId="41158541">
            <w:pPr>
              <w:adjustRightInd w:val="0"/>
              <w:snapToGrid w:val="0"/>
              <w:spacing w:line="240" w:lineRule="auto"/>
              <w:rPr>
                <w:rFonts w:ascii="宋体" w:hAnsi="宋体" w:cs="宋体"/>
                <w:color w:val="000000"/>
                <w:szCs w:val="21"/>
                <w:highlight w:val="none"/>
              </w:rPr>
            </w:pPr>
            <w:r>
              <w:rPr>
                <w:rFonts w:hint="eastAsia" w:ascii="宋体" w:hAnsi="宋体" w:cs="宋体"/>
                <w:color w:val="000000"/>
                <w:szCs w:val="21"/>
                <w:highlight w:val="none"/>
              </w:rPr>
              <w:t>1</w:t>
            </w:r>
            <w:r>
              <w:rPr>
                <w:rFonts w:ascii="宋体" w:hAnsi="宋体" w:cs="宋体"/>
                <w:color w:val="000000"/>
                <w:szCs w:val="21"/>
                <w:highlight w:val="none"/>
              </w:rPr>
              <w:t>.</w:t>
            </w:r>
            <w:r>
              <w:rPr>
                <w:rFonts w:hint="eastAsia" w:ascii="宋体" w:hAnsi="宋体" w:cs="宋体"/>
                <w:color w:val="000000"/>
                <w:szCs w:val="21"/>
                <w:highlight w:val="none"/>
              </w:rPr>
              <w:t>宏观环境研究和</w:t>
            </w:r>
            <w:r>
              <w:rPr>
                <w:rFonts w:hint="eastAsia" w:ascii="宋体" w:hAnsi="宋体" w:cs="宋体"/>
                <w:color w:val="000000"/>
                <w:szCs w:val="21"/>
                <w:highlight w:val="none"/>
                <w:lang w:val="en-US" w:eastAsia="zh-CN"/>
              </w:rPr>
              <w:t>建设必要性</w:t>
            </w:r>
            <w:r>
              <w:rPr>
                <w:rFonts w:hint="eastAsia" w:ascii="宋体" w:hAnsi="宋体" w:cs="宋体"/>
                <w:color w:val="000000"/>
                <w:szCs w:val="21"/>
                <w:highlight w:val="none"/>
              </w:rPr>
              <w:t>分析技术思路</w:t>
            </w:r>
            <w:r>
              <w:rPr>
                <w:rFonts w:hint="eastAsia" w:ascii="宋体" w:hAnsi="宋体" w:cs="宋体"/>
                <w:szCs w:val="21"/>
                <w:highlight w:val="none"/>
              </w:rPr>
              <w:t>，</w:t>
            </w:r>
            <w:r>
              <w:rPr>
                <w:rFonts w:hint="eastAsia" w:ascii="宋体" w:hAnsi="宋体" w:cs="宋体"/>
                <w:color w:val="000000"/>
                <w:szCs w:val="21"/>
                <w:highlight w:val="none"/>
              </w:rPr>
              <w:t>分值1</w:t>
            </w:r>
            <w:r>
              <w:rPr>
                <w:rFonts w:ascii="宋体" w:hAnsi="宋体" w:cs="宋体"/>
                <w:color w:val="000000"/>
                <w:szCs w:val="21"/>
                <w:highlight w:val="none"/>
              </w:rPr>
              <w:t>0</w:t>
            </w:r>
            <w:r>
              <w:rPr>
                <w:rFonts w:hint="eastAsia" w:ascii="宋体" w:hAnsi="宋体" w:cs="宋体"/>
                <w:color w:val="000000"/>
                <w:szCs w:val="21"/>
                <w:highlight w:val="none"/>
              </w:rPr>
              <w:t>分，优得7-</w:t>
            </w:r>
            <w:r>
              <w:rPr>
                <w:rFonts w:ascii="宋体" w:hAnsi="宋体" w:cs="宋体"/>
                <w:color w:val="000000"/>
                <w:szCs w:val="21"/>
                <w:highlight w:val="none"/>
              </w:rPr>
              <w:t>10</w:t>
            </w:r>
            <w:r>
              <w:rPr>
                <w:rFonts w:hint="eastAsia" w:ascii="宋体" w:hAnsi="宋体" w:cs="宋体"/>
                <w:color w:val="000000"/>
                <w:szCs w:val="21"/>
                <w:highlight w:val="none"/>
              </w:rPr>
              <w:t>分、中得4-</w:t>
            </w:r>
            <w:r>
              <w:rPr>
                <w:rFonts w:ascii="宋体" w:hAnsi="宋体" w:cs="宋体"/>
                <w:color w:val="000000"/>
                <w:szCs w:val="21"/>
                <w:highlight w:val="none"/>
              </w:rPr>
              <w:t>6</w:t>
            </w:r>
            <w:r>
              <w:rPr>
                <w:rFonts w:hint="eastAsia" w:ascii="宋体" w:hAnsi="宋体" w:cs="宋体"/>
                <w:color w:val="000000"/>
                <w:szCs w:val="21"/>
                <w:highlight w:val="none"/>
              </w:rPr>
              <w:t>分、差得</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w:t>
            </w:r>
            <w:r>
              <w:rPr>
                <w:rFonts w:ascii="宋体" w:hAnsi="宋体" w:cs="宋体"/>
                <w:color w:val="000000"/>
                <w:szCs w:val="21"/>
                <w:highlight w:val="none"/>
              </w:rPr>
              <w:t>3</w:t>
            </w:r>
            <w:r>
              <w:rPr>
                <w:rFonts w:hint="eastAsia" w:ascii="宋体" w:hAnsi="宋体" w:cs="宋体"/>
                <w:color w:val="000000"/>
                <w:szCs w:val="21"/>
                <w:highlight w:val="none"/>
              </w:rPr>
              <w:t>分；</w:t>
            </w:r>
          </w:p>
          <w:p w14:paraId="0B80B061">
            <w:pPr>
              <w:spacing w:line="0" w:lineRule="atLeast"/>
              <w:rPr>
                <w:rFonts w:ascii="宋体" w:hAnsi="宋体" w:cs="宋体"/>
                <w:color w:val="000000"/>
                <w:szCs w:val="21"/>
                <w:highlight w:val="none"/>
              </w:rPr>
            </w:pPr>
            <w:r>
              <w:rPr>
                <w:rFonts w:hint="eastAsia" w:ascii="宋体" w:hAnsi="宋体" w:cs="宋体"/>
                <w:color w:val="000000"/>
                <w:szCs w:val="21"/>
                <w:highlight w:val="none"/>
              </w:rPr>
              <w:t>2</w:t>
            </w:r>
            <w:r>
              <w:rPr>
                <w:rFonts w:ascii="宋体" w:hAnsi="宋体" w:cs="宋体"/>
                <w:color w:val="000000"/>
                <w:szCs w:val="21"/>
                <w:highlight w:val="none"/>
              </w:rPr>
              <w:t>.</w:t>
            </w:r>
            <w:r>
              <w:rPr>
                <w:rFonts w:hint="eastAsia" w:ascii="宋体" w:hAnsi="宋体" w:cs="宋体"/>
                <w:color w:val="000000"/>
                <w:szCs w:val="21"/>
                <w:highlight w:val="none"/>
              </w:rPr>
              <w:t>市场</w:t>
            </w:r>
            <w:r>
              <w:rPr>
                <w:rFonts w:hint="eastAsia" w:ascii="宋体" w:hAnsi="宋体" w:cs="宋体"/>
                <w:color w:val="000000"/>
                <w:szCs w:val="21"/>
                <w:highlight w:val="none"/>
                <w:lang w:val="en-US" w:eastAsia="zh-CN"/>
              </w:rPr>
              <w:t>分析及运营方案</w:t>
            </w:r>
            <w:r>
              <w:rPr>
                <w:rFonts w:hint="eastAsia" w:ascii="宋体" w:hAnsi="宋体" w:cs="宋体"/>
                <w:color w:val="000000"/>
                <w:szCs w:val="21"/>
                <w:highlight w:val="none"/>
              </w:rPr>
              <w:t>技术思路，分值1</w:t>
            </w: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分，优得10-15分、中得</w:t>
            </w:r>
            <w:r>
              <w:rPr>
                <w:rFonts w:hint="eastAsia" w:ascii="宋体" w:hAnsi="宋体" w:cs="宋体"/>
                <w:color w:val="000000"/>
                <w:szCs w:val="21"/>
                <w:highlight w:val="none"/>
                <w:lang w:val="en-US" w:eastAsia="zh-CN"/>
              </w:rPr>
              <w:t>6</w:t>
            </w:r>
            <w:r>
              <w:rPr>
                <w:rFonts w:hint="eastAsia" w:ascii="宋体" w:hAnsi="宋体" w:cs="宋体"/>
                <w:color w:val="000000"/>
                <w:szCs w:val="21"/>
                <w:highlight w:val="none"/>
              </w:rPr>
              <w:t>-10分、差得1-</w:t>
            </w: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分；</w:t>
            </w:r>
          </w:p>
          <w:p w14:paraId="26FD4484">
            <w:pPr>
              <w:adjustRightInd w:val="0"/>
              <w:snapToGrid w:val="0"/>
              <w:spacing w:line="240" w:lineRule="auto"/>
              <w:rPr>
                <w:rFonts w:hint="eastAsia" w:ascii="宋体" w:hAnsi="宋体" w:cs="宋体"/>
                <w:szCs w:val="21"/>
                <w:highlight w:val="none"/>
              </w:rPr>
            </w:pPr>
            <w:r>
              <w:rPr>
                <w:rFonts w:hint="eastAsia" w:ascii="宋体" w:hAnsi="宋体" w:cs="宋体"/>
                <w:color w:val="000000"/>
                <w:szCs w:val="21"/>
                <w:highlight w:val="none"/>
              </w:rPr>
              <w:t>3</w:t>
            </w:r>
            <w:r>
              <w:rPr>
                <w:rFonts w:ascii="宋体" w:hAnsi="宋体" w:cs="宋体"/>
                <w:color w:val="000000"/>
                <w:szCs w:val="21"/>
                <w:highlight w:val="none"/>
              </w:rPr>
              <w:t>.</w:t>
            </w:r>
            <w:r>
              <w:rPr>
                <w:rFonts w:hint="eastAsia" w:ascii="宋体" w:hAnsi="宋体" w:cs="宋体"/>
                <w:color w:val="000000"/>
                <w:szCs w:val="21"/>
                <w:highlight w:val="none"/>
                <w:lang w:val="en-US" w:eastAsia="zh-CN"/>
              </w:rPr>
              <w:t>投融资与财务方案</w:t>
            </w:r>
            <w:r>
              <w:rPr>
                <w:rFonts w:hint="eastAsia" w:ascii="宋体" w:hAnsi="宋体" w:cs="宋体"/>
                <w:color w:val="000000"/>
                <w:szCs w:val="21"/>
                <w:highlight w:val="none"/>
              </w:rPr>
              <w:t>技术思路，分值15分，优得10-15分、中得</w:t>
            </w:r>
            <w:r>
              <w:rPr>
                <w:rFonts w:hint="eastAsia" w:ascii="宋体" w:hAnsi="宋体" w:cs="宋体"/>
                <w:color w:val="000000"/>
                <w:szCs w:val="21"/>
                <w:highlight w:val="none"/>
                <w:lang w:val="en-US" w:eastAsia="zh-CN"/>
              </w:rPr>
              <w:t>6</w:t>
            </w:r>
            <w:r>
              <w:rPr>
                <w:rFonts w:hint="eastAsia" w:ascii="宋体" w:hAnsi="宋体" w:cs="宋体"/>
                <w:color w:val="000000"/>
                <w:szCs w:val="21"/>
                <w:highlight w:val="none"/>
              </w:rPr>
              <w:t>-10分、差得1-</w:t>
            </w: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分。</w:t>
            </w:r>
          </w:p>
        </w:tc>
        <w:tc>
          <w:tcPr>
            <w:tcW w:w="695" w:type="pct"/>
            <w:noWrap w:val="0"/>
            <w:vAlign w:val="center"/>
          </w:tcPr>
          <w:p w14:paraId="512CD7DB">
            <w:pPr>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rPr>
              <w:t>提供服务方案</w:t>
            </w:r>
          </w:p>
        </w:tc>
        <w:tc>
          <w:tcPr>
            <w:tcW w:w="549" w:type="pct"/>
            <w:noWrap w:val="0"/>
            <w:vAlign w:val="center"/>
          </w:tcPr>
          <w:p w14:paraId="43F0E227">
            <w:pPr>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lang w:val="en-US" w:eastAsia="zh-CN"/>
              </w:rPr>
              <w:t>40</w:t>
            </w:r>
            <w:r>
              <w:rPr>
                <w:rFonts w:hint="eastAsia" w:ascii="宋体" w:hAnsi="宋体" w:cs="宋体"/>
                <w:szCs w:val="21"/>
                <w:highlight w:val="none"/>
              </w:rPr>
              <w:t>分</w:t>
            </w:r>
          </w:p>
        </w:tc>
      </w:tr>
      <w:tr w14:paraId="4BDF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3681" w:type="pct"/>
            <w:gridSpan w:val="4"/>
            <w:noWrap w:val="0"/>
            <w:vAlign w:val="center"/>
          </w:tcPr>
          <w:p w14:paraId="7B26E296">
            <w:pPr>
              <w:widowControl/>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rPr>
              <w:t>合计</w:t>
            </w:r>
          </w:p>
        </w:tc>
        <w:tc>
          <w:tcPr>
            <w:tcW w:w="549" w:type="pct"/>
            <w:noWrap w:val="0"/>
            <w:vAlign w:val="center"/>
          </w:tcPr>
          <w:p w14:paraId="112B5D1E">
            <w:pPr>
              <w:widowControl/>
              <w:adjustRightInd w:val="0"/>
              <w:snapToGrid w:val="0"/>
              <w:spacing w:line="240" w:lineRule="auto"/>
              <w:jc w:val="center"/>
              <w:rPr>
                <w:rFonts w:ascii="宋体" w:hAnsi="宋体" w:cs="宋体"/>
                <w:szCs w:val="21"/>
                <w:highlight w:val="none"/>
              </w:rPr>
            </w:pPr>
            <w:r>
              <w:rPr>
                <w:rFonts w:hint="eastAsia" w:ascii="宋体" w:hAnsi="宋体" w:cs="宋体"/>
                <w:szCs w:val="21"/>
                <w:highlight w:val="none"/>
              </w:rPr>
              <w:t>100分</w:t>
            </w:r>
          </w:p>
        </w:tc>
      </w:tr>
      <w:tr w14:paraId="6928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3681" w:type="pct"/>
            <w:gridSpan w:val="4"/>
            <w:noWrap w:val="0"/>
            <w:vAlign w:val="center"/>
          </w:tcPr>
          <w:p w14:paraId="3C6AB70A">
            <w:pPr>
              <w:widowControl/>
              <w:adjustRightInd w:val="0"/>
              <w:snapToGrid w:val="0"/>
              <w:spacing w:line="240" w:lineRule="auto"/>
              <w:jc w:val="center"/>
              <w:rPr>
                <w:rFonts w:ascii="宋体" w:hAnsi="宋体" w:cs="宋体"/>
                <w:szCs w:val="21"/>
                <w:highlight w:val="none"/>
              </w:rPr>
            </w:pPr>
            <w:r>
              <w:rPr>
                <w:rFonts w:hint="eastAsia" w:ascii="宋体" w:hAnsi="宋体" w:cs="宋体"/>
                <w:b/>
                <w:bCs/>
                <w:szCs w:val="21"/>
                <w:highlight w:val="none"/>
              </w:rPr>
              <w:t>拟推荐成交候选供应商（原则推荐评审综合得分最高的单位）</w:t>
            </w:r>
          </w:p>
        </w:tc>
        <w:tc>
          <w:tcPr>
            <w:tcW w:w="549" w:type="pct"/>
            <w:noWrap w:val="0"/>
            <w:vAlign w:val="center"/>
          </w:tcPr>
          <w:p w14:paraId="4F23D60B">
            <w:pPr>
              <w:widowControl/>
              <w:adjustRightInd w:val="0"/>
              <w:snapToGrid w:val="0"/>
              <w:spacing w:line="240" w:lineRule="auto"/>
              <w:jc w:val="center"/>
              <w:rPr>
                <w:rFonts w:ascii="宋体" w:hAnsi="宋体" w:cs="宋体"/>
                <w:szCs w:val="21"/>
                <w:highlight w:val="none"/>
              </w:rPr>
            </w:pPr>
          </w:p>
        </w:tc>
      </w:tr>
      <w:bookmarkEnd w:id="2"/>
    </w:tbl>
    <w:p w14:paraId="5D182E33">
      <w:pPr>
        <w:pStyle w:val="31"/>
        <w:ind w:firstLine="420" w:firstLineChars="200"/>
        <w:rPr>
          <w:b/>
          <w:bCs/>
          <w:highlight w:val="none"/>
        </w:rPr>
      </w:pPr>
      <w:r>
        <w:rPr>
          <w:b/>
          <w:bCs/>
          <w:highlight w:val="none"/>
        </w:rPr>
        <w:t>备注：1.各项评审打分按照四舍五入，小数点后保留2位进行计算；</w:t>
      </w:r>
    </w:p>
    <w:p w14:paraId="1EF07C84">
      <w:pPr>
        <w:pStyle w:val="31"/>
        <w:ind w:left="1239" w:leftChars="190" w:hanging="840" w:hangingChars="400"/>
        <w:rPr>
          <w:rFonts w:hint="default"/>
          <w:sz w:val="44"/>
          <w:szCs w:val="44"/>
          <w:highlight w:val="none"/>
          <w:lang w:val="en-US" w:eastAsia="zh-CN"/>
        </w:rPr>
      </w:pPr>
      <w:r>
        <w:rPr>
          <w:b/>
          <w:bCs/>
          <w:highlight w:val="none"/>
        </w:rPr>
        <w:t xml:space="preserve">      2.若出现拟推荐成交候选供应商票数相同的情况，以未推荐上述单位的评审专家对并列第一的候选供应商既定打分排序作为最终选定依据。</w:t>
      </w:r>
      <w:bookmarkEnd w:id="0"/>
    </w:p>
    <w:sectPr>
      <w:headerReference r:id="rId3" w:type="default"/>
      <w:footerReference r:id="rId4" w:type="default"/>
      <w:pgSz w:w="11906" w:h="16838"/>
      <w:pgMar w:top="1276" w:right="1351" w:bottom="1135" w:left="141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公文黑体">
    <w:panose1 w:val="02000500000000000000"/>
    <w:charset w:val="86"/>
    <w:family w:val="auto"/>
    <w:pitch w:val="default"/>
    <w:sig w:usb0="A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Arial Unicode MS">
    <w:altName w:val="DejaVu Sans"/>
    <w:panose1 w:val="020B0604020202020204"/>
    <w:charset w:val="86"/>
    <w:family w:val="swiss"/>
    <w:pitch w:val="default"/>
    <w:sig w:usb0="00000000" w:usb1="00000000" w:usb2="0000003F" w:usb3="00000000" w:csb0="003F01FF" w:csb1="0000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FZXBSJW--GB1-0">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楷体">
    <w:altName w:val="楷体_GB2312"/>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789A3">
    <w:pPr>
      <w:pStyle w:val="3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FC9781">
                          <w:pPr>
                            <w:pStyle w:val="37"/>
                            <w:jc w:val="center"/>
                          </w:pPr>
                          <w:r>
                            <w:fldChar w:fldCharType="begin"/>
                          </w:r>
                          <w:r>
                            <w:instrText xml:space="preserve"> PAGE   \* MERGEFORMAT </w:instrText>
                          </w:r>
                          <w:r>
                            <w:fldChar w:fldCharType="separate"/>
                          </w:r>
                          <w:r>
                            <w:rPr>
                              <w:lang w:val="zh-CN"/>
                            </w:rPr>
                            <w:t>37</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1FC9781">
                    <w:pPr>
                      <w:pStyle w:val="37"/>
                      <w:jc w:val="center"/>
                    </w:pPr>
                    <w:r>
                      <w:fldChar w:fldCharType="begin"/>
                    </w:r>
                    <w:r>
                      <w:instrText xml:space="preserve"> PAGE   \* MERGEFORMAT </w:instrText>
                    </w:r>
                    <w:r>
                      <w:fldChar w:fldCharType="separate"/>
                    </w:r>
                    <w:r>
                      <w:rPr>
                        <w:lang w:val="zh-CN"/>
                      </w:rPr>
                      <w:t>37</w:t>
                    </w:r>
                    <w:r>
                      <w:rPr>
                        <w:lang w:val="zh-CN"/>
                      </w:rPr>
                      <w:fldChar w:fldCharType="end"/>
                    </w:r>
                  </w:p>
                </w:txbxContent>
              </v:textbox>
            </v:shape>
          </w:pict>
        </mc:Fallback>
      </mc:AlternateContent>
    </w:r>
  </w:p>
  <w:p w14:paraId="4975B522">
    <w:pPr>
      <w:pStyle w:val="3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978CC">
    <w:pPr>
      <w:pStyle w:val="3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A4C42"/>
    <w:multiLevelType w:val="singleLevel"/>
    <w:tmpl w:val="AB2A4C42"/>
    <w:lvl w:ilvl="0" w:tentative="0">
      <w:start w:val="1"/>
      <w:numFmt w:val="decimal"/>
      <w:suff w:val="nothing"/>
      <w:lvlText w:val="%1、"/>
      <w:lvlJc w:val="left"/>
    </w:lvl>
  </w:abstractNum>
  <w:abstractNum w:abstractNumId="1">
    <w:nsid w:val="09F3727D"/>
    <w:multiLevelType w:val="multilevel"/>
    <w:tmpl w:val="09F3727D"/>
    <w:lvl w:ilvl="0" w:tentative="0">
      <w:start w:val="1"/>
      <w:numFmt w:val="decimal"/>
      <w:pStyle w:val="107"/>
      <w:lvlText w:val="%1.0"/>
      <w:lvlJc w:val="left"/>
      <w:pPr>
        <w:tabs>
          <w:tab w:val="left" w:pos="578"/>
        </w:tabs>
        <w:ind w:left="578" w:hanging="578"/>
      </w:pPr>
      <w:rPr>
        <w:rFonts w:hint="default" w:ascii="Arial" w:hAnsi="Arial"/>
        <w:b/>
        <w:i w:val="0"/>
        <w:color w:val="auto"/>
        <w:sz w:val="32"/>
      </w:rPr>
    </w:lvl>
    <w:lvl w:ilvl="1" w:tentative="0">
      <w:start w:val="1"/>
      <w:numFmt w:val="decimal"/>
      <w:pStyle w:val="110"/>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06"/>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2">
    <w:nsid w:val="1A141E91"/>
    <w:multiLevelType w:val="multilevel"/>
    <w:tmpl w:val="1A141E91"/>
    <w:lvl w:ilvl="0" w:tentative="0">
      <w:start w:val="1"/>
      <w:numFmt w:val="upperRoman"/>
      <w:pStyle w:val="3"/>
      <w:lvlText w:val="第 %1 条"/>
      <w:lvlJc w:val="left"/>
      <w:pPr>
        <w:tabs>
          <w:tab w:val="left" w:pos="2640"/>
        </w:tabs>
        <w:ind w:left="1560" w:firstLine="0"/>
      </w:pPr>
    </w:lvl>
    <w:lvl w:ilvl="1" w:tentative="0">
      <w:start w:val="1"/>
      <w:numFmt w:val="decimalZero"/>
      <w:pStyle w:val="4"/>
      <w:isLgl/>
      <w:lvlText w:val="节 %1.%2"/>
      <w:lvlJc w:val="left"/>
      <w:pPr>
        <w:tabs>
          <w:tab w:val="left" w:pos="2280"/>
        </w:tabs>
        <w:ind w:left="1560" w:firstLine="0"/>
      </w:pPr>
    </w:lvl>
    <w:lvl w:ilvl="2" w:tentative="0">
      <w:start w:val="1"/>
      <w:numFmt w:val="lowerLetter"/>
      <w:pStyle w:val="5"/>
      <w:lvlText w:val="(%3)"/>
      <w:lvlJc w:val="left"/>
      <w:pPr>
        <w:tabs>
          <w:tab w:val="left" w:pos="2280"/>
        </w:tabs>
        <w:ind w:left="2280" w:hanging="432"/>
      </w:pPr>
    </w:lvl>
    <w:lvl w:ilvl="3" w:tentative="0">
      <w:start w:val="1"/>
      <w:numFmt w:val="lowerRoman"/>
      <w:pStyle w:val="6"/>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9"/>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ZhYWUxMDgxODE0ZTk4NTJhOTVkYmEwNThkNjQzYjcifQ=="/>
  </w:docVars>
  <w:rsids>
    <w:rsidRoot w:val="000A20B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939A2"/>
    <w:rsid w:val="00093FDD"/>
    <w:rsid w:val="000945B0"/>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7E88"/>
    <w:rsid w:val="00191208"/>
    <w:rsid w:val="00191704"/>
    <w:rsid w:val="00192DB5"/>
    <w:rsid w:val="00194F16"/>
    <w:rsid w:val="00195173"/>
    <w:rsid w:val="00195F76"/>
    <w:rsid w:val="001A147A"/>
    <w:rsid w:val="001A29BB"/>
    <w:rsid w:val="001A53DC"/>
    <w:rsid w:val="001A732F"/>
    <w:rsid w:val="001B13EE"/>
    <w:rsid w:val="001B13F7"/>
    <w:rsid w:val="001B4C7E"/>
    <w:rsid w:val="001B6623"/>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56C"/>
    <w:rsid w:val="001F4087"/>
    <w:rsid w:val="001F43BB"/>
    <w:rsid w:val="001F5BE2"/>
    <w:rsid w:val="001F6E25"/>
    <w:rsid w:val="001F7FF3"/>
    <w:rsid w:val="00200600"/>
    <w:rsid w:val="00200F9B"/>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89F"/>
    <w:rsid w:val="00533CE4"/>
    <w:rsid w:val="00535196"/>
    <w:rsid w:val="005362EE"/>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539"/>
    <w:rsid w:val="008513F3"/>
    <w:rsid w:val="00851862"/>
    <w:rsid w:val="00852861"/>
    <w:rsid w:val="00854762"/>
    <w:rsid w:val="00857873"/>
    <w:rsid w:val="00860B03"/>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5479"/>
    <w:rsid w:val="008A5569"/>
    <w:rsid w:val="008A7246"/>
    <w:rsid w:val="008B0610"/>
    <w:rsid w:val="008B1210"/>
    <w:rsid w:val="008B1356"/>
    <w:rsid w:val="008B1767"/>
    <w:rsid w:val="008B2037"/>
    <w:rsid w:val="008B2492"/>
    <w:rsid w:val="008B264C"/>
    <w:rsid w:val="008B4AE8"/>
    <w:rsid w:val="008B5897"/>
    <w:rsid w:val="008B6078"/>
    <w:rsid w:val="008B6D35"/>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6F87"/>
    <w:rsid w:val="0098181C"/>
    <w:rsid w:val="0098257F"/>
    <w:rsid w:val="00983046"/>
    <w:rsid w:val="00984F16"/>
    <w:rsid w:val="009867F2"/>
    <w:rsid w:val="00986D4C"/>
    <w:rsid w:val="009875EA"/>
    <w:rsid w:val="00991404"/>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8C3"/>
    <w:rsid w:val="00AA2AFE"/>
    <w:rsid w:val="00AA4D65"/>
    <w:rsid w:val="00AA646E"/>
    <w:rsid w:val="00AA64F8"/>
    <w:rsid w:val="00AA77F4"/>
    <w:rsid w:val="00AA7B87"/>
    <w:rsid w:val="00AB0BD0"/>
    <w:rsid w:val="00AB2D4B"/>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16E8"/>
    <w:rsid w:val="00BA230D"/>
    <w:rsid w:val="00BA2A7D"/>
    <w:rsid w:val="00BA3A54"/>
    <w:rsid w:val="00BA4A02"/>
    <w:rsid w:val="00BA569F"/>
    <w:rsid w:val="00BA5B39"/>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972"/>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38E3"/>
    <w:rsid w:val="00D94B46"/>
    <w:rsid w:val="00D95896"/>
    <w:rsid w:val="00D95F88"/>
    <w:rsid w:val="00D960F0"/>
    <w:rsid w:val="00D96604"/>
    <w:rsid w:val="00D96F65"/>
    <w:rsid w:val="00D97510"/>
    <w:rsid w:val="00D97C12"/>
    <w:rsid w:val="00D97F97"/>
    <w:rsid w:val="00DA0C4A"/>
    <w:rsid w:val="00DA3B4B"/>
    <w:rsid w:val="00DA3E9B"/>
    <w:rsid w:val="00DA460D"/>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25B7"/>
    <w:rsid w:val="00FD2E8C"/>
    <w:rsid w:val="00FD3B36"/>
    <w:rsid w:val="00FD3F5D"/>
    <w:rsid w:val="00FD47D9"/>
    <w:rsid w:val="00FD4EBD"/>
    <w:rsid w:val="00FD53F0"/>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1001E15"/>
    <w:rsid w:val="01682146"/>
    <w:rsid w:val="017D2D1F"/>
    <w:rsid w:val="01966549"/>
    <w:rsid w:val="0198186C"/>
    <w:rsid w:val="01AC5DF9"/>
    <w:rsid w:val="01DD41C2"/>
    <w:rsid w:val="01E345AE"/>
    <w:rsid w:val="01E4148F"/>
    <w:rsid w:val="02101434"/>
    <w:rsid w:val="023B769A"/>
    <w:rsid w:val="024164DA"/>
    <w:rsid w:val="02790092"/>
    <w:rsid w:val="028820E8"/>
    <w:rsid w:val="029F2B68"/>
    <w:rsid w:val="02AC06FC"/>
    <w:rsid w:val="02F42900"/>
    <w:rsid w:val="02FA1195"/>
    <w:rsid w:val="0302618A"/>
    <w:rsid w:val="032D0B2F"/>
    <w:rsid w:val="03EB470A"/>
    <w:rsid w:val="044429C2"/>
    <w:rsid w:val="04564F01"/>
    <w:rsid w:val="04695794"/>
    <w:rsid w:val="04810C52"/>
    <w:rsid w:val="04862661"/>
    <w:rsid w:val="04972EB4"/>
    <w:rsid w:val="04A05004"/>
    <w:rsid w:val="04A57DAB"/>
    <w:rsid w:val="04A635F5"/>
    <w:rsid w:val="05122EEA"/>
    <w:rsid w:val="053E7A15"/>
    <w:rsid w:val="055B7332"/>
    <w:rsid w:val="056A3FE9"/>
    <w:rsid w:val="058C77EF"/>
    <w:rsid w:val="059F4FD1"/>
    <w:rsid w:val="05AF0D86"/>
    <w:rsid w:val="05BE2B4E"/>
    <w:rsid w:val="05D070DB"/>
    <w:rsid w:val="05D44C82"/>
    <w:rsid w:val="060523AD"/>
    <w:rsid w:val="061D0302"/>
    <w:rsid w:val="064F66A3"/>
    <w:rsid w:val="065F0FCA"/>
    <w:rsid w:val="066F200F"/>
    <w:rsid w:val="067A02E5"/>
    <w:rsid w:val="067C7D80"/>
    <w:rsid w:val="069C1DC3"/>
    <w:rsid w:val="06A00B12"/>
    <w:rsid w:val="06AA240D"/>
    <w:rsid w:val="06D7755B"/>
    <w:rsid w:val="06E6452A"/>
    <w:rsid w:val="071D6B91"/>
    <w:rsid w:val="07205F42"/>
    <w:rsid w:val="07234A9B"/>
    <w:rsid w:val="072D7269"/>
    <w:rsid w:val="074273A6"/>
    <w:rsid w:val="075A7BFD"/>
    <w:rsid w:val="07B129D2"/>
    <w:rsid w:val="07B77118"/>
    <w:rsid w:val="07C558B9"/>
    <w:rsid w:val="07D0362B"/>
    <w:rsid w:val="08081A1B"/>
    <w:rsid w:val="081A45F4"/>
    <w:rsid w:val="08254790"/>
    <w:rsid w:val="0848623A"/>
    <w:rsid w:val="08674098"/>
    <w:rsid w:val="089963F4"/>
    <w:rsid w:val="08F03474"/>
    <w:rsid w:val="09162A16"/>
    <w:rsid w:val="091A7535"/>
    <w:rsid w:val="091D497D"/>
    <w:rsid w:val="092E369A"/>
    <w:rsid w:val="09557421"/>
    <w:rsid w:val="09642659"/>
    <w:rsid w:val="098118B6"/>
    <w:rsid w:val="09B14F92"/>
    <w:rsid w:val="09BF626E"/>
    <w:rsid w:val="0A2B3B75"/>
    <w:rsid w:val="0A382C50"/>
    <w:rsid w:val="0A50402E"/>
    <w:rsid w:val="0A6A1BD4"/>
    <w:rsid w:val="0A897EA0"/>
    <w:rsid w:val="0AB86C5C"/>
    <w:rsid w:val="0AC01DD5"/>
    <w:rsid w:val="0AC34AEB"/>
    <w:rsid w:val="0AD96324"/>
    <w:rsid w:val="0AEF58AD"/>
    <w:rsid w:val="0AFE39F5"/>
    <w:rsid w:val="0AFE687F"/>
    <w:rsid w:val="0B294C31"/>
    <w:rsid w:val="0B3B6521"/>
    <w:rsid w:val="0B61253C"/>
    <w:rsid w:val="0B7216D3"/>
    <w:rsid w:val="0B7F7677"/>
    <w:rsid w:val="0BDC6843"/>
    <w:rsid w:val="0BE307CB"/>
    <w:rsid w:val="0C12283C"/>
    <w:rsid w:val="0C13013B"/>
    <w:rsid w:val="0C1F073A"/>
    <w:rsid w:val="0C606D18"/>
    <w:rsid w:val="0C6101CD"/>
    <w:rsid w:val="0C7C38C4"/>
    <w:rsid w:val="0C84565F"/>
    <w:rsid w:val="0CA3013F"/>
    <w:rsid w:val="0CC50503"/>
    <w:rsid w:val="0CC83B28"/>
    <w:rsid w:val="0CC87C49"/>
    <w:rsid w:val="0CCA3B52"/>
    <w:rsid w:val="0D213998"/>
    <w:rsid w:val="0D2C1997"/>
    <w:rsid w:val="0D344BBB"/>
    <w:rsid w:val="0D7908CD"/>
    <w:rsid w:val="0D7F4256"/>
    <w:rsid w:val="0D842038"/>
    <w:rsid w:val="0DC437DB"/>
    <w:rsid w:val="0E1C4090"/>
    <w:rsid w:val="0E1C5AFD"/>
    <w:rsid w:val="0E3E5F3C"/>
    <w:rsid w:val="0E5D118A"/>
    <w:rsid w:val="0E6D7440"/>
    <w:rsid w:val="0E823F28"/>
    <w:rsid w:val="0E8D6C2C"/>
    <w:rsid w:val="0E932AA1"/>
    <w:rsid w:val="0EBE69D9"/>
    <w:rsid w:val="0ECB20BE"/>
    <w:rsid w:val="0EEB113D"/>
    <w:rsid w:val="0EF61473"/>
    <w:rsid w:val="0F4A5D5D"/>
    <w:rsid w:val="0F7347A4"/>
    <w:rsid w:val="0F8B77D5"/>
    <w:rsid w:val="0F944885"/>
    <w:rsid w:val="0FA25AF2"/>
    <w:rsid w:val="0FA83AEC"/>
    <w:rsid w:val="0FBE5D9F"/>
    <w:rsid w:val="0FCF4B44"/>
    <w:rsid w:val="0FD36B3B"/>
    <w:rsid w:val="0FD47E3C"/>
    <w:rsid w:val="101260B2"/>
    <w:rsid w:val="1018216D"/>
    <w:rsid w:val="102173FB"/>
    <w:rsid w:val="10256C94"/>
    <w:rsid w:val="1028597F"/>
    <w:rsid w:val="10370220"/>
    <w:rsid w:val="104416C8"/>
    <w:rsid w:val="1051696C"/>
    <w:rsid w:val="107728F9"/>
    <w:rsid w:val="107C0AD5"/>
    <w:rsid w:val="108834DF"/>
    <w:rsid w:val="10A416B6"/>
    <w:rsid w:val="10AD1231"/>
    <w:rsid w:val="10B306BD"/>
    <w:rsid w:val="10F031FA"/>
    <w:rsid w:val="10FE73BE"/>
    <w:rsid w:val="111B4AA2"/>
    <w:rsid w:val="11497A7D"/>
    <w:rsid w:val="114B33CD"/>
    <w:rsid w:val="116D5365"/>
    <w:rsid w:val="118C6292"/>
    <w:rsid w:val="11C5544D"/>
    <w:rsid w:val="120B242D"/>
    <w:rsid w:val="120E6AD9"/>
    <w:rsid w:val="121477AB"/>
    <w:rsid w:val="1220793F"/>
    <w:rsid w:val="1227630D"/>
    <w:rsid w:val="12594533"/>
    <w:rsid w:val="125D64CF"/>
    <w:rsid w:val="127739F2"/>
    <w:rsid w:val="12AC3037"/>
    <w:rsid w:val="12AE3370"/>
    <w:rsid w:val="12B16A9E"/>
    <w:rsid w:val="12B2666E"/>
    <w:rsid w:val="12CC69A3"/>
    <w:rsid w:val="12EE66B1"/>
    <w:rsid w:val="12FA1EB6"/>
    <w:rsid w:val="13272F7A"/>
    <w:rsid w:val="13361405"/>
    <w:rsid w:val="13780D69"/>
    <w:rsid w:val="137A2F78"/>
    <w:rsid w:val="13B9577F"/>
    <w:rsid w:val="14242A20"/>
    <w:rsid w:val="1452749D"/>
    <w:rsid w:val="14877A3D"/>
    <w:rsid w:val="148C62E1"/>
    <w:rsid w:val="14922F3A"/>
    <w:rsid w:val="14946370"/>
    <w:rsid w:val="14A752F0"/>
    <w:rsid w:val="14AC5001"/>
    <w:rsid w:val="14CA7B69"/>
    <w:rsid w:val="14FD2A2E"/>
    <w:rsid w:val="15081429"/>
    <w:rsid w:val="150E6E01"/>
    <w:rsid w:val="15136A33"/>
    <w:rsid w:val="15140673"/>
    <w:rsid w:val="153D5CAE"/>
    <w:rsid w:val="154950C5"/>
    <w:rsid w:val="158A718E"/>
    <w:rsid w:val="15CE1415"/>
    <w:rsid w:val="15EA5123"/>
    <w:rsid w:val="16140FA1"/>
    <w:rsid w:val="16313179"/>
    <w:rsid w:val="165923BB"/>
    <w:rsid w:val="1665613C"/>
    <w:rsid w:val="16B56EA5"/>
    <w:rsid w:val="16C50D75"/>
    <w:rsid w:val="16DD2C2C"/>
    <w:rsid w:val="170610F8"/>
    <w:rsid w:val="17126E39"/>
    <w:rsid w:val="174F49CD"/>
    <w:rsid w:val="176A56C2"/>
    <w:rsid w:val="176D2C29"/>
    <w:rsid w:val="179C380B"/>
    <w:rsid w:val="17AB0959"/>
    <w:rsid w:val="17B648CC"/>
    <w:rsid w:val="17DE1291"/>
    <w:rsid w:val="18AB0FDA"/>
    <w:rsid w:val="18AD553C"/>
    <w:rsid w:val="18D47B41"/>
    <w:rsid w:val="190A40B1"/>
    <w:rsid w:val="193233B3"/>
    <w:rsid w:val="19694521"/>
    <w:rsid w:val="196D5335"/>
    <w:rsid w:val="197039DA"/>
    <w:rsid w:val="197772D6"/>
    <w:rsid w:val="19A67A64"/>
    <w:rsid w:val="19B95D40"/>
    <w:rsid w:val="19BF0C31"/>
    <w:rsid w:val="19CE5C01"/>
    <w:rsid w:val="19E43962"/>
    <w:rsid w:val="19F26C9A"/>
    <w:rsid w:val="1A6D597B"/>
    <w:rsid w:val="1A9609E5"/>
    <w:rsid w:val="1ACC2467"/>
    <w:rsid w:val="1ACE4D14"/>
    <w:rsid w:val="1AD027EB"/>
    <w:rsid w:val="1AD8706B"/>
    <w:rsid w:val="1B1067A4"/>
    <w:rsid w:val="1B2C5E4B"/>
    <w:rsid w:val="1B4874D7"/>
    <w:rsid w:val="1B575597"/>
    <w:rsid w:val="1BA700D2"/>
    <w:rsid w:val="1C2844A0"/>
    <w:rsid w:val="1C420503"/>
    <w:rsid w:val="1C525155"/>
    <w:rsid w:val="1C8E406A"/>
    <w:rsid w:val="1CF14E2A"/>
    <w:rsid w:val="1CF27B09"/>
    <w:rsid w:val="1CFF1026"/>
    <w:rsid w:val="1D24348A"/>
    <w:rsid w:val="1D5408EF"/>
    <w:rsid w:val="1D5D5368"/>
    <w:rsid w:val="1D9B7242"/>
    <w:rsid w:val="1D9F6CD4"/>
    <w:rsid w:val="1DEA3522"/>
    <w:rsid w:val="1E053181"/>
    <w:rsid w:val="1E13401C"/>
    <w:rsid w:val="1E414C2F"/>
    <w:rsid w:val="1E474BEE"/>
    <w:rsid w:val="1E584A03"/>
    <w:rsid w:val="1E7B2E90"/>
    <w:rsid w:val="1E835E6A"/>
    <w:rsid w:val="1EA705ED"/>
    <w:rsid w:val="1EB401AB"/>
    <w:rsid w:val="1EB67161"/>
    <w:rsid w:val="1EDA3596"/>
    <w:rsid w:val="1EDC0931"/>
    <w:rsid w:val="1F302C65"/>
    <w:rsid w:val="1F44792A"/>
    <w:rsid w:val="1F6670ED"/>
    <w:rsid w:val="1F6E547F"/>
    <w:rsid w:val="1F8007B8"/>
    <w:rsid w:val="1F8B1B13"/>
    <w:rsid w:val="1FE271D5"/>
    <w:rsid w:val="1FE501FD"/>
    <w:rsid w:val="1FEB5623"/>
    <w:rsid w:val="1FEF712E"/>
    <w:rsid w:val="1FF686C6"/>
    <w:rsid w:val="2026733C"/>
    <w:rsid w:val="20611216"/>
    <w:rsid w:val="20621FC3"/>
    <w:rsid w:val="20867EBC"/>
    <w:rsid w:val="2099410A"/>
    <w:rsid w:val="20D7755A"/>
    <w:rsid w:val="20DF48B4"/>
    <w:rsid w:val="20E35BE9"/>
    <w:rsid w:val="20E6532B"/>
    <w:rsid w:val="21156A1C"/>
    <w:rsid w:val="21310B1A"/>
    <w:rsid w:val="21353F88"/>
    <w:rsid w:val="21582C9B"/>
    <w:rsid w:val="218A325D"/>
    <w:rsid w:val="21AE3E3A"/>
    <w:rsid w:val="22083849"/>
    <w:rsid w:val="22193302"/>
    <w:rsid w:val="22255D12"/>
    <w:rsid w:val="22660001"/>
    <w:rsid w:val="227605BB"/>
    <w:rsid w:val="229F4199"/>
    <w:rsid w:val="22BD7457"/>
    <w:rsid w:val="22E36C68"/>
    <w:rsid w:val="23476928"/>
    <w:rsid w:val="23550037"/>
    <w:rsid w:val="235E3944"/>
    <w:rsid w:val="23B073D3"/>
    <w:rsid w:val="23E502C6"/>
    <w:rsid w:val="23EB7C72"/>
    <w:rsid w:val="23F22595"/>
    <w:rsid w:val="2422296D"/>
    <w:rsid w:val="2426102C"/>
    <w:rsid w:val="244E349E"/>
    <w:rsid w:val="24666EE4"/>
    <w:rsid w:val="24701946"/>
    <w:rsid w:val="24772DE1"/>
    <w:rsid w:val="24BA2272"/>
    <w:rsid w:val="24C7160C"/>
    <w:rsid w:val="24E206D9"/>
    <w:rsid w:val="25280AEE"/>
    <w:rsid w:val="253004CF"/>
    <w:rsid w:val="253A7146"/>
    <w:rsid w:val="25846666"/>
    <w:rsid w:val="25E42F4C"/>
    <w:rsid w:val="261074AD"/>
    <w:rsid w:val="261C46B1"/>
    <w:rsid w:val="26284BE7"/>
    <w:rsid w:val="26700563"/>
    <w:rsid w:val="267F4B9F"/>
    <w:rsid w:val="26977C44"/>
    <w:rsid w:val="26DE23CE"/>
    <w:rsid w:val="26F42E9C"/>
    <w:rsid w:val="2703128E"/>
    <w:rsid w:val="270A5EB3"/>
    <w:rsid w:val="27166A22"/>
    <w:rsid w:val="273415EF"/>
    <w:rsid w:val="2763069C"/>
    <w:rsid w:val="27CA536D"/>
    <w:rsid w:val="27D87113"/>
    <w:rsid w:val="27E75A20"/>
    <w:rsid w:val="27F7ACEB"/>
    <w:rsid w:val="280D4269"/>
    <w:rsid w:val="284B0B33"/>
    <w:rsid w:val="284B58E2"/>
    <w:rsid w:val="2857308D"/>
    <w:rsid w:val="285E7E52"/>
    <w:rsid w:val="289B47AA"/>
    <w:rsid w:val="289D1723"/>
    <w:rsid w:val="28A21BB6"/>
    <w:rsid w:val="28CE632C"/>
    <w:rsid w:val="28F24BD1"/>
    <w:rsid w:val="2914325F"/>
    <w:rsid w:val="29580E55"/>
    <w:rsid w:val="29613214"/>
    <w:rsid w:val="297D7D58"/>
    <w:rsid w:val="2A0A4057"/>
    <w:rsid w:val="2A1A3E75"/>
    <w:rsid w:val="2A1F09F7"/>
    <w:rsid w:val="2A2B045D"/>
    <w:rsid w:val="2A2F63DF"/>
    <w:rsid w:val="2A536944"/>
    <w:rsid w:val="2A68129C"/>
    <w:rsid w:val="2A703001"/>
    <w:rsid w:val="2A825D75"/>
    <w:rsid w:val="2A8455C0"/>
    <w:rsid w:val="2A927AF4"/>
    <w:rsid w:val="2AAC57FC"/>
    <w:rsid w:val="2AC57B6D"/>
    <w:rsid w:val="2ACA0963"/>
    <w:rsid w:val="2ACE5E57"/>
    <w:rsid w:val="2AFE6487"/>
    <w:rsid w:val="2B026B6A"/>
    <w:rsid w:val="2B277B63"/>
    <w:rsid w:val="2B567AF4"/>
    <w:rsid w:val="2B670D75"/>
    <w:rsid w:val="2B7C2596"/>
    <w:rsid w:val="2B874C1C"/>
    <w:rsid w:val="2B9DDE03"/>
    <w:rsid w:val="2BE905FE"/>
    <w:rsid w:val="2BF0650D"/>
    <w:rsid w:val="2C056F32"/>
    <w:rsid w:val="2C073CF8"/>
    <w:rsid w:val="2C1F3615"/>
    <w:rsid w:val="2C4F7C16"/>
    <w:rsid w:val="2C743B66"/>
    <w:rsid w:val="2CAC008E"/>
    <w:rsid w:val="2CE23E10"/>
    <w:rsid w:val="2D023258"/>
    <w:rsid w:val="2D302376"/>
    <w:rsid w:val="2D4430E7"/>
    <w:rsid w:val="2D577C24"/>
    <w:rsid w:val="2D63682A"/>
    <w:rsid w:val="2D8F7C42"/>
    <w:rsid w:val="2DA15A3A"/>
    <w:rsid w:val="2DB407F3"/>
    <w:rsid w:val="2DE2584A"/>
    <w:rsid w:val="2E003688"/>
    <w:rsid w:val="2E0D0740"/>
    <w:rsid w:val="2E49213C"/>
    <w:rsid w:val="2E4C0B8C"/>
    <w:rsid w:val="2E67006F"/>
    <w:rsid w:val="2E694D3E"/>
    <w:rsid w:val="2E773C34"/>
    <w:rsid w:val="2E875C48"/>
    <w:rsid w:val="2E9824AB"/>
    <w:rsid w:val="2E9B4249"/>
    <w:rsid w:val="2E9D17EB"/>
    <w:rsid w:val="2EB81304"/>
    <w:rsid w:val="2EBF7D19"/>
    <w:rsid w:val="2F0F4BAF"/>
    <w:rsid w:val="2F187B7D"/>
    <w:rsid w:val="2F2537F2"/>
    <w:rsid w:val="2F2B230B"/>
    <w:rsid w:val="2F4720FB"/>
    <w:rsid w:val="2F4C28B1"/>
    <w:rsid w:val="2F517B36"/>
    <w:rsid w:val="2F72633A"/>
    <w:rsid w:val="2F893355"/>
    <w:rsid w:val="2FC31341"/>
    <w:rsid w:val="2FD05083"/>
    <w:rsid w:val="2FD779AF"/>
    <w:rsid w:val="2FEDFDDB"/>
    <w:rsid w:val="2FF77F3F"/>
    <w:rsid w:val="305E03E8"/>
    <w:rsid w:val="3069595F"/>
    <w:rsid w:val="30843362"/>
    <w:rsid w:val="30945D00"/>
    <w:rsid w:val="30962127"/>
    <w:rsid w:val="30C4049D"/>
    <w:rsid w:val="30CD07F3"/>
    <w:rsid w:val="30E365D5"/>
    <w:rsid w:val="30E766F3"/>
    <w:rsid w:val="313E08F3"/>
    <w:rsid w:val="31570E00"/>
    <w:rsid w:val="31700A39"/>
    <w:rsid w:val="31704514"/>
    <w:rsid w:val="31816DAF"/>
    <w:rsid w:val="319A085D"/>
    <w:rsid w:val="31B1462B"/>
    <w:rsid w:val="31C9657A"/>
    <w:rsid w:val="31D003EB"/>
    <w:rsid w:val="31E37099"/>
    <w:rsid w:val="32290279"/>
    <w:rsid w:val="322D5960"/>
    <w:rsid w:val="32527C83"/>
    <w:rsid w:val="325F53B6"/>
    <w:rsid w:val="32655415"/>
    <w:rsid w:val="32756596"/>
    <w:rsid w:val="3294292F"/>
    <w:rsid w:val="32A962BF"/>
    <w:rsid w:val="32F07D5C"/>
    <w:rsid w:val="32FABE15"/>
    <w:rsid w:val="33092CE8"/>
    <w:rsid w:val="333E4B12"/>
    <w:rsid w:val="33A06705"/>
    <w:rsid w:val="33A57424"/>
    <w:rsid w:val="33B74880"/>
    <w:rsid w:val="33D80D3F"/>
    <w:rsid w:val="33EE637D"/>
    <w:rsid w:val="33FB2ACF"/>
    <w:rsid w:val="344352E2"/>
    <w:rsid w:val="34624864"/>
    <w:rsid w:val="346D778B"/>
    <w:rsid w:val="348B5FA9"/>
    <w:rsid w:val="34AE59AA"/>
    <w:rsid w:val="34E63D4F"/>
    <w:rsid w:val="353A3B24"/>
    <w:rsid w:val="35746954"/>
    <w:rsid w:val="35B629C4"/>
    <w:rsid w:val="35F72828"/>
    <w:rsid w:val="3633583B"/>
    <w:rsid w:val="363C359C"/>
    <w:rsid w:val="36777823"/>
    <w:rsid w:val="367B0D86"/>
    <w:rsid w:val="36914CBC"/>
    <w:rsid w:val="369B06A2"/>
    <w:rsid w:val="36AB2F9F"/>
    <w:rsid w:val="36AF1C31"/>
    <w:rsid w:val="36B27BFF"/>
    <w:rsid w:val="36BB7043"/>
    <w:rsid w:val="36DE2E4C"/>
    <w:rsid w:val="36F11025"/>
    <w:rsid w:val="370655C1"/>
    <w:rsid w:val="37537249"/>
    <w:rsid w:val="377D7EC2"/>
    <w:rsid w:val="37B4486C"/>
    <w:rsid w:val="37BF28B0"/>
    <w:rsid w:val="37C125AD"/>
    <w:rsid w:val="37C83765"/>
    <w:rsid w:val="37CA28A7"/>
    <w:rsid w:val="37CB0B6E"/>
    <w:rsid w:val="37DE7948"/>
    <w:rsid w:val="37FB2519"/>
    <w:rsid w:val="38487464"/>
    <w:rsid w:val="3860698D"/>
    <w:rsid w:val="386F51CA"/>
    <w:rsid w:val="387006A5"/>
    <w:rsid w:val="38927B5B"/>
    <w:rsid w:val="38A316BD"/>
    <w:rsid w:val="38D87BFC"/>
    <w:rsid w:val="390943B3"/>
    <w:rsid w:val="391D76E1"/>
    <w:rsid w:val="39C2411A"/>
    <w:rsid w:val="39E364AA"/>
    <w:rsid w:val="39F111DE"/>
    <w:rsid w:val="3A1D3D59"/>
    <w:rsid w:val="3A22476C"/>
    <w:rsid w:val="3A690764"/>
    <w:rsid w:val="3AA71527"/>
    <w:rsid w:val="3ACB0BE3"/>
    <w:rsid w:val="3AE3102C"/>
    <w:rsid w:val="3B5C18EA"/>
    <w:rsid w:val="3B7E6C11"/>
    <w:rsid w:val="3B9F1A5A"/>
    <w:rsid w:val="3BAA4A5F"/>
    <w:rsid w:val="3C080FAE"/>
    <w:rsid w:val="3C145E47"/>
    <w:rsid w:val="3C256528"/>
    <w:rsid w:val="3C3C1C9A"/>
    <w:rsid w:val="3C541570"/>
    <w:rsid w:val="3C6E37E5"/>
    <w:rsid w:val="3C7922D7"/>
    <w:rsid w:val="3C9342B0"/>
    <w:rsid w:val="3CAD36D2"/>
    <w:rsid w:val="3CC81535"/>
    <w:rsid w:val="3CD26729"/>
    <w:rsid w:val="3CEA275C"/>
    <w:rsid w:val="3CEC25F5"/>
    <w:rsid w:val="3CF50FF2"/>
    <w:rsid w:val="3CFA6C83"/>
    <w:rsid w:val="3CFF3626"/>
    <w:rsid w:val="3D052A2E"/>
    <w:rsid w:val="3D0659AA"/>
    <w:rsid w:val="3D602B13"/>
    <w:rsid w:val="3D8F09E6"/>
    <w:rsid w:val="3DB06FD6"/>
    <w:rsid w:val="3DB946E3"/>
    <w:rsid w:val="3DDE973A"/>
    <w:rsid w:val="3DEB5DAB"/>
    <w:rsid w:val="3DF86BB0"/>
    <w:rsid w:val="3E0755D2"/>
    <w:rsid w:val="3E213103"/>
    <w:rsid w:val="3E361F66"/>
    <w:rsid w:val="3E9574BA"/>
    <w:rsid w:val="3E9B4698"/>
    <w:rsid w:val="3EA7555E"/>
    <w:rsid w:val="3EA826CA"/>
    <w:rsid w:val="3EB623DD"/>
    <w:rsid w:val="3EBC2053"/>
    <w:rsid w:val="3ED16BCE"/>
    <w:rsid w:val="3EF35410"/>
    <w:rsid w:val="3EF64E80"/>
    <w:rsid w:val="3EF65574"/>
    <w:rsid w:val="3EF74D5D"/>
    <w:rsid w:val="3F0E3644"/>
    <w:rsid w:val="3F2C6D83"/>
    <w:rsid w:val="3F6566F9"/>
    <w:rsid w:val="3FC67EF2"/>
    <w:rsid w:val="3FED9E03"/>
    <w:rsid w:val="40024B2B"/>
    <w:rsid w:val="40095305"/>
    <w:rsid w:val="40115AEB"/>
    <w:rsid w:val="401869D9"/>
    <w:rsid w:val="4019384B"/>
    <w:rsid w:val="40417EA6"/>
    <w:rsid w:val="40454B26"/>
    <w:rsid w:val="404D6F26"/>
    <w:rsid w:val="4068392C"/>
    <w:rsid w:val="4073545D"/>
    <w:rsid w:val="40EA2C99"/>
    <w:rsid w:val="40F15BB0"/>
    <w:rsid w:val="411E4CFA"/>
    <w:rsid w:val="41AF35D2"/>
    <w:rsid w:val="422C654A"/>
    <w:rsid w:val="423B3320"/>
    <w:rsid w:val="42474BD5"/>
    <w:rsid w:val="424A6855"/>
    <w:rsid w:val="42847BD2"/>
    <w:rsid w:val="428739CE"/>
    <w:rsid w:val="42B308CF"/>
    <w:rsid w:val="42BC3919"/>
    <w:rsid w:val="42D9273C"/>
    <w:rsid w:val="42F830BA"/>
    <w:rsid w:val="43001D3E"/>
    <w:rsid w:val="433247B7"/>
    <w:rsid w:val="434F5EDE"/>
    <w:rsid w:val="43512594"/>
    <w:rsid w:val="435D7C4C"/>
    <w:rsid w:val="4373669D"/>
    <w:rsid w:val="43742B4E"/>
    <w:rsid w:val="438927DA"/>
    <w:rsid w:val="43A10AE3"/>
    <w:rsid w:val="43A24D63"/>
    <w:rsid w:val="43CC6434"/>
    <w:rsid w:val="44144A26"/>
    <w:rsid w:val="4450655D"/>
    <w:rsid w:val="44C21E7F"/>
    <w:rsid w:val="44D409B2"/>
    <w:rsid w:val="44D81835"/>
    <w:rsid w:val="44EA1C5C"/>
    <w:rsid w:val="44FE4FE6"/>
    <w:rsid w:val="4508749B"/>
    <w:rsid w:val="451A1619"/>
    <w:rsid w:val="4538652E"/>
    <w:rsid w:val="45446C5B"/>
    <w:rsid w:val="455A3BE0"/>
    <w:rsid w:val="45631DE6"/>
    <w:rsid w:val="45BE46D0"/>
    <w:rsid w:val="461D5993"/>
    <w:rsid w:val="4626303F"/>
    <w:rsid w:val="463D43BC"/>
    <w:rsid w:val="463E3B5B"/>
    <w:rsid w:val="4686120C"/>
    <w:rsid w:val="46A40348"/>
    <w:rsid w:val="46A42944"/>
    <w:rsid w:val="46BF5F95"/>
    <w:rsid w:val="46F44C0D"/>
    <w:rsid w:val="47422D75"/>
    <w:rsid w:val="47C4700F"/>
    <w:rsid w:val="47C56C24"/>
    <w:rsid w:val="47F10090"/>
    <w:rsid w:val="480A6EB1"/>
    <w:rsid w:val="482805E7"/>
    <w:rsid w:val="484A4B13"/>
    <w:rsid w:val="48EC6CE0"/>
    <w:rsid w:val="490B1841"/>
    <w:rsid w:val="491178F4"/>
    <w:rsid w:val="493D7EB8"/>
    <w:rsid w:val="494D402D"/>
    <w:rsid w:val="49602710"/>
    <w:rsid w:val="49810EE2"/>
    <w:rsid w:val="49837706"/>
    <w:rsid w:val="4A295537"/>
    <w:rsid w:val="4A2C24CF"/>
    <w:rsid w:val="4A340D7B"/>
    <w:rsid w:val="4A5F084F"/>
    <w:rsid w:val="4A754721"/>
    <w:rsid w:val="4A83134F"/>
    <w:rsid w:val="4AD621E9"/>
    <w:rsid w:val="4B04790D"/>
    <w:rsid w:val="4B1C5E3D"/>
    <w:rsid w:val="4B212DAF"/>
    <w:rsid w:val="4B3D2633"/>
    <w:rsid w:val="4B513EF9"/>
    <w:rsid w:val="4B6ECDC2"/>
    <w:rsid w:val="4B777B2B"/>
    <w:rsid w:val="4B8D60C9"/>
    <w:rsid w:val="4BA40563"/>
    <w:rsid w:val="4BAF0E92"/>
    <w:rsid w:val="4BD42F60"/>
    <w:rsid w:val="4C795D79"/>
    <w:rsid w:val="4C8814CF"/>
    <w:rsid w:val="4CA06FAD"/>
    <w:rsid w:val="4CC01258"/>
    <w:rsid w:val="4CDC302C"/>
    <w:rsid w:val="4CE15AB0"/>
    <w:rsid w:val="4D5F0096"/>
    <w:rsid w:val="4D692F51"/>
    <w:rsid w:val="4D823B9B"/>
    <w:rsid w:val="4D830101"/>
    <w:rsid w:val="4D8F462F"/>
    <w:rsid w:val="4DB63C6E"/>
    <w:rsid w:val="4DC21407"/>
    <w:rsid w:val="4E0373B3"/>
    <w:rsid w:val="4E1D544D"/>
    <w:rsid w:val="4E4168DE"/>
    <w:rsid w:val="4E5A5EEF"/>
    <w:rsid w:val="4E7E543D"/>
    <w:rsid w:val="4E8F4E02"/>
    <w:rsid w:val="4E917647"/>
    <w:rsid w:val="4E927C05"/>
    <w:rsid w:val="4EB3025E"/>
    <w:rsid w:val="4EE53A50"/>
    <w:rsid w:val="4F174104"/>
    <w:rsid w:val="4F262EAE"/>
    <w:rsid w:val="4F6449F0"/>
    <w:rsid w:val="4FA15633"/>
    <w:rsid w:val="4FA9FD7B"/>
    <w:rsid w:val="4FAA13C7"/>
    <w:rsid w:val="4FAA5715"/>
    <w:rsid w:val="4FBD38DE"/>
    <w:rsid w:val="4FD03A76"/>
    <w:rsid w:val="4FDA6D84"/>
    <w:rsid w:val="4FDD4C36"/>
    <w:rsid w:val="4FEF1990"/>
    <w:rsid w:val="50090FD4"/>
    <w:rsid w:val="50334BAB"/>
    <w:rsid w:val="503A0AC9"/>
    <w:rsid w:val="504036C6"/>
    <w:rsid w:val="507C59AC"/>
    <w:rsid w:val="50AC1BAF"/>
    <w:rsid w:val="5116342E"/>
    <w:rsid w:val="511B5AEC"/>
    <w:rsid w:val="512706FA"/>
    <w:rsid w:val="513F6058"/>
    <w:rsid w:val="514A5027"/>
    <w:rsid w:val="514F1E89"/>
    <w:rsid w:val="5214061D"/>
    <w:rsid w:val="523B2FA4"/>
    <w:rsid w:val="525FA76E"/>
    <w:rsid w:val="52655DBB"/>
    <w:rsid w:val="526F6D01"/>
    <w:rsid w:val="52A3690D"/>
    <w:rsid w:val="52A4746A"/>
    <w:rsid w:val="52B11C55"/>
    <w:rsid w:val="52BF6755"/>
    <w:rsid w:val="52C553E8"/>
    <w:rsid w:val="531269BE"/>
    <w:rsid w:val="53131876"/>
    <w:rsid w:val="534149C0"/>
    <w:rsid w:val="53417BDE"/>
    <w:rsid w:val="535E1B1A"/>
    <w:rsid w:val="53770895"/>
    <w:rsid w:val="538C361F"/>
    <w:rsid w:val="538E4E0E"/>
    <w:rsid w:val="53986FA1"/>
    <w:rsid w:val="539B3D11"/>
    <w:rsid w:val="53A476F3"/>
    <w:rsid w:val="53C176EF"/>
    <w:rsid w:val="53CE4D8C"/>
    <w:rsid w:val="53E378B1"/>
    <w:rsid w:val="53FE35C2"/>
    <w:rsid w:val="540168F4"/>
    <w:rsid w:val="543F4ECD"/>
    <w:rsid w:val="548430A3"/>
    <w:rsid w:val="55056B34"/>
    <w:rsid w:val="55684A1A"/>
    <w:rsid w:val="55930B2C"/>
    <w:rsid w:val="559521BD"/>
    <w:rsid w:val="55A056E0"/>
    <w:rsid w:val="55AD43BA"/>
    <w:rsid w:val="55BBD3A6"/>
    <w:rsid w:val="55C81083"/>
    <w:rsid w:val="55CA6BD2"/>
    <w:rsid w:val="55F72D92"/>
    <w:rsid w:val="56155E37"/>
    <w:rsid w:val="56231C41"/>
    <w:rsid w:val="564163D1"/>
    <w:rsid w:val="564D6A26"/>
    <w:rsid w:val="56AA3629"/>
    <w:rsid w:val="56AC2568"/>
    <w:rsid w:val="56C41358"/>
    <w:rsid w:val="56DD2A92"/>
    <w:rsid w:val="57132F6C"/>
    <w:rsid w:val="57321C84"/>
    <w:rsid w:val="57732E88"/>
    <w:rsid w:val="577B5E13"/>
    <w:rsid w:val="577F61A9"/>
    <w:rsid w:val="5782519E"/>
    <w:rsid w:val="578C4726"/>
    <w:rsid w:val="579E53D7"/>
    <w:rsid w:val="57A44EC0"/>
    <w:rsid w:val="57A70E21"/>
    <w:rsid w:val="57DC3357"/>
    <w:rsid w:val="57E26ABC"/>
    <w:rsid w:val="57E9504D"/>
    <w:rsid w:val="57ED4190"/>
    <w:rsid w:val="57FADB0B"/>
    <w:rsid w:val="58265470"/>
    <w:rsid w:val="582664D1"/>
    <w:rsid w:val="58310F9B"/>
    <w:rsid w:val="58311772"/>
    <w:rsid w:val="583A6878"/>
    <w:rsid w:val="584C299A"/>
    <w:rsid w:val="585E3CC8"/>
    <w:rsid w:val="58754A86"/>
    <w:rsid w:val="587B2CDE"/>
    <w:rsid w:val="588A63B0"/>
    <w:rsid w:val="58BC7AA4"/>
    <w:rsid w:val="58CC50CD"/>
    <w:rsid w:val="58E54DF2"/>
    <w:rsid w:val="58F80B80"/>
    <w:rsid w:val="593475CA"/>
    <w:rsid w:val="59A40FE5"/>
    <w:rsid w:val="59BE55DC"/>
    <w:rsid w:val="59DF65CD"/>
    <w:rsid w:val="59EC5D9C"/>
    <w:rsid w:val="5A1A7162"/>
    <w:rsid w:val="5A2F0903"/>
    <w:rsid w:val="5A3508BF"/>
    <w:rsid w:val="5A753690"/>
    <w:rsid w:val="5A7FDAE5"/>
    <w:rsid w:val="5A9D701A"/>
    <w:rsid w:val="5AA20705"/>
    <w:rsid w:val="5AB9F9DC"/>
    <w:rsid w:val="5AC35526"/>
    <w:rsid w:val="5AD230A1"/>
    <w:rsid w:val="5AE75489"/>
    <w:rsid w:val="5AF17AEE"/>
    <w:rsid w:val="5B0E4680"/>
    <w:rsid w:val="5B543D4B"/>
    <w:rsid w:val="5B5C368E"/>
    <w:rsid w:val="5BB447B8"/>
    <w:rsid w:val="5BDF2474"/>
    <w:rsid w:val="5C021D5C"/>
    <w:rsid w:val="5C12484B"/>
    <w:rsid w:val="5CA93512"/>
    <w:rsid w:val="5CD033D2"/>
    <w:rsid w:val="5CD746C6"/>
    <w:rsid w:val="5D02224E"/>
    <w:rsid w:val="5D0B433F"/>
    <w:rsid w:val="5D1F7DEB"/>
    <w:rsid w:val="5D256F17"/>
    <w:rsid w:val="5D3123BC"/>
    <w:rsid w:val="5D566611"/>
    <w:rsid w:val="5D5FA5F9"/>
    <w:rsid w:val="5D7A3273"/>
    <w:rsid w:val="5D89024E"/>
    <w:rsid w:val="5D896E22"/>
    <w:rsid w:val="5DD15E2F"/>
    <w:rsid w:val="5DD520B1"/>
    <w:rsid w:val="5DDBCA97"/>
    <w:rsid w:val="5DFD8F80"/>
    <w:rsid w:val="5E0A4A50"/>
    <w:rsid w:val="5E7F0B4D"/>
    <w:rsid w:val="5EB36135"/>
    <w:rsid w:val="5F004B33"/>
    <w:rsid w:val="5F2B7CAD"/>
    <w:rsid w:val="5F2D0E8F"/>
    <w:rsid w:val="5F7F0D0C"/>
    <w:rsid w:val="5FEB2BA4"/>
    <w:rsid w:val="5FFBDF7B"/>
    <w:rsid w:val="60154491"/>
    <w:rsid w:val="60315450"/>
    <w:rsid w:val="60663484"/>
    <w:rsid w:val="609A4BC4"/>
    <w:rsid w:val="60B3302E"/>
    <w:rsid w:val="60F5158E"/>
    <w:rsid w:val="6104719B"/>
    <w:rsid w:val="61481242"/>
    <w:rsid w:val="6171498D"/>
    <w:rsid w:val="61A27765"/>
    <w:rsid w:val="61EE441B"/>
    <w:rsid w:val="61F20540"/>
    <w:rsid w:val="620D3BAE"/>
    <w:rsid w:val="62483940"/>
    <w:rsid w:val="62566B31"/>
    <w:rsid w:val="62723DC7"/>
    <w:rsid w:val="62756CD8"/>
    <w:rsid w:val="62C55526"/>
    <w:rsid w:val="62CD64D2"/>
    <w:rsid w:val="62EE64CA"/>
    <w:rsid w:val="62F30E54"/>
    <w:rsid w:val="630001F4"/>
    <w:rsid w:val="63003C41"/>
    <w:rsid w:val="63046AC8"/>
    <w:rsid w:val="635345BA"/>
    <w:rsid w:val="637F5A87"/>
    <w:rsid w:val="63A34684"/>
    <w:rsid w:val="63CEA367"/>
    <w:rsid w:val="63F7395E"/>
    <w:rsid w:val="64104514"/>
    <w:rsid w:val="642369A8"/>
    <w:rsid w:val="642369C3"/>
    <w:rsid w:val="64433C52"/>
    <w:rsid w:val="645C4BBE"/>
    <w:rsid w:val="645D0573"/>
    <w:rsid w:val="649C3378"/>
    <w:rsid w:val="64A602CF"/>
    <w:rsid w:val="64E533D4"/>
    <w:rsid w:val="65640DB5"/>
    <w:rsid w:val="659B25C1"/>
    <w:rsid w:val="659D449E"/>
    <w:rsid w:val="65B06A34"/>
    <w:rsid w:val="65CC049D"/>
    <w:rsid w:val="65D02642"/>
    <w:rsid w:val="65EF244B"/>
    <w:rsid w:val="65EF6484"/>
    <w:rsid w:val="66081B5E"/>
    <w:rsid w:val="660B2255"/>
    <w:rsid w:val="66215B04"/>
    <w:rsid w:val="66266BF4"/>
    <w:rsid w:val="66342560"/>
    <w:rsid w:val="663F469F"/>
    <w:rsid w:val="664D7962"/>
    <w:rsid w:val="665A5C96"/>
    <w:rsid w:val="667E3DD4"/>
    <w:rsid w:val="669B2A1A"/>
    <w:rsid w:val="66A107E8"/>
    <w:rsid w:val="66BA1864"/>
    <w:rsid w:val="66C67529"/>
    <w:rsid w:val="66FD01A0"/>
    <w:rsid w:val="6717764C"/>
    <w:rsid w:val="674744E4"/>
    <w:rsid w:val="677E2773"/>
    <w:rsid w:val="67893B07"/>
    <w:rsid w:val="67C30077"/>
    <w:rsid w:val="67C91746"/>
    <w:rsid w:val="67DA60A4"/>
    <w:rsid w:val="67DD08A6"/>
    <w:rsid w:val="67F535C2"/>
    <w:rsid w:val="67FFE976"/>
    <w:rsid w:val="68197B2A"/>
    <w:rsid w:val="687A0821"/>
    <w:rsid w:val="68A51D8F"/>
    <w:rsid w:val="68AD4B60"/>
    <w:rsid w:val="68D74416"/>
    <w:rsid w:val="68E63001"/>
    <w:rsid w:val="6902695F"/>
    <w:rsid w:val="692D337C"/>
    <w:rsid w:val="694B5495"/>
    <w:rsid w:val="69507E77"/>
    <w:rsid w:val="695B79DC"/>
    <w:rsid w:val="6971586A"/>
    <w:rsid w:val="69822EEB"/>
    <w:rsid w:val="69852AE5"/>
    <w:rsid w:val="699911C9"/>
    <w:rsid w:val="69CE7367"/>
    <w:rsid w:val="6A044068"/>
    <w:rsid w:val="6A17724A"/>
    <w:rsid w:val="6A303494"/>
    <w:rsid w:val="6A3A435E"/>
    <w:rsid w:val="6A54079E"/>
    <w:rsid w:val="6A911D7B"/>
    <w:rsid w:val="6ABE35C7"/>
    <w:rsid w:val="6AED04C7"/>
    <w:rsid w:val="6B3C4D16"/>
    <w:rsid w:val="6BAF2EAE"/>
    <w:rsid w:val="6C0C66AB"/>
    <w:rsid w:val="6C1D5A8D"/>
    <w:rsid w:val="6C254AC8"/>
    <w:rsid w:val="6C461F46"/>
    <w:rsid w:val="6C506D05"/>
    <w:rsid w:val="6CAB3449"/>
    <w:rsid w:val="6CB5299E"/>
    <w:rsid w:val="6CC91D04"/>
    <w:rsid w:val="6CCB679C"/>
    <w:rsid w:val="6CD754CF"/>
    <w:rsid w:val="6CD9476D"/>
    <w:rsid w:val="6D3F6E6A"/>
    <w:rsid w:val="6D4A340A"/>
    <w:rsid w:val="6D61130D"/>
    <w:rsid w:val="6D647CF1"/>
    <w:rsid w:val="6D8E032B"/>
    <w:rsid w:val="6D9C470A"/>
    <w:rsid w:val="6DBF3984"/>
    <w:rsid w:val="6E082895"/>
    <w:rsid w:val="6E1259F5"/>
    <w:rsid w:val="6E350FDC"/>
    <w:rsid w:val="6E4D37E7"/>
    <w:rsid w:val="6E5248EE"/>
    <w:rsid w:val="6E5626ED"/>
    <w:rsid w:val="6E596897"/>
    <w:rsid w:val="6E6041EB"/>
    <w:rsid w:val="6E6A22DF"/>
    <w:rsid w:val="6E942999"/>
    <w:rsid w:val="6EB966E9"/>
    <w:rsid w:val="6EC46A44"/>
    <w:rsid w:val="6EF07839"/>
    <w:rsid w:val="6EF141B6"/>
    <w:rsid w:val="6F241291"/>
    <w:rsid w:val="6FCC795E"/>
    <w:rsid w:val="6FD74A57"/>
    <w:rsid w:val="700A4990"/>
    <w:rsid w:val="703379DD"/>
    <w:rsid w:val="705F2679"/>
    <w:rsid w:val="7061300B"/>
    <w:rsid w:val="709E5881"/>
    <w:rsid w:val="70CD5B2D"/>
    <w:rsid w:val="70F032D5"/>
    <w:rsid w:val="714C49C7"/>
    <w:rsid w:val="7172232C"/>
    <w:rsid w:val="71746267"/>
    <w:rsid w:val="71795B48"/>
    <w:rsid w:val="71EC67DB"/>
    <w:rsid w:val="71FDE8CD"/>
    <w:rsid w:val="71FFBAEA"/>
    <w:rsid w:val="7200443B"/>
    <w:rsid w:val="7212477D"/>
    <w:rsid w:val="72206D0A"/>
    <w:rsid w:val="72221950"/>
    <w:rsid w:val="722F3576"/>
    <w:rsid w:val="725F1980"/>
    <w:rsid w:val="72AD02ED"/>
    <w:rsid w:val="73394CE8"/>
    <w:rsid w:val="73521535"/>
    <w:rsid w:val="73C21591"/>
    <w:rsid w:val="73CE16AA"/>
    <w:rsid w:val="73E32C44"/>
    <w:rsid w:val="73F15BC3"/>
    <w:rsid w:val="73FA64D3"/>
    <w:rsid w:val="741A6471"/>
    <w:rsid w:val="742849A5"/>
    <w:rsid w:val="74B06E8E"/>
    <w:rsid w:val="74B16002"/>
    <w:rsid w:val="74E042F3"/>
    <w:rsid w:val="74FF02FF"/>
    <w:rsid w:val="75001B2D"/>
    <w:rsid w:val="751A6115"/>
    <w:rsid w:val="752F13FF"/>
    <w:rsid w:val="756C235B"/>
    <w:rsid w:val="75B93E6A"/>
    <w:rsid w:val="75CD688F"/>
    <w:rsid w:val="760163E2"/>
    <w:rsid w:val="761864DA"/>
    <w:rsid w:val="765242FC"/>
    <w:rsid w:val="76557327"/>
    <w:rsid w:val="766B1D21"/>
    <w:rsid w:val="76724656"/>
    <w:rsid w:val="76AB3351"/>
    <w:rsid w:val="76B707BB"/>
    <w:rsid w:val="76C84945"/>
    <w:rsid w:val="76ED4B80"/>
    <w:rsid w:val="770E5CDE"/>
    <w:rsid w:val="772D017A"/>
    <w:rsid w:val="773B7F36"/>
    <w:rsid w:val="775D7768"/>
    <w:rsid w:val="779A7617"/>
    <w:rsid w:val="77EB1964"/>
    <w:rsid w:val="780473EC"/>
    <w:rsid w:val="780B4978"/>
    <w:rsid w:val="781B18E6"/>
    <w:rsid w:val="788063D1"/>
    <w:rsid w:val="78A377DC"/>
    <w:rsid w:val="78ED2AF3"/>
    <w:rsid w:val="78F921A7"/>
    <w:rsid w:val="790F45F0"/>
    <w:rsid w:val="7919031A"/>
    <w:rsid w:val="79331447"/>
    <w:rsid w:val="794022C6"/>
    <w:rsid w:val="7957552B"/>
    <w:rsid w:val="795D2E81"/>
    <w:rsid w:val="796A68D5"/>
    <w:rsid w:val="79771BB8"/>
    <w:rsid w:val="79C752DF"/>
    <w:rsid w:val="79CE505D"/>
    <w:rsid w:val="79F06ADA"/>
    <w:rsid w:val="7A5B19C1"/>
    <w:rsid w:val="7A5C1D7E"/>
    <w:rsid w:val="7A646989"/>
    <w:rsid w:val="7A6D4434"/>
    <w:rsid w:val="7A7B5E5C"/>
    <w:rsid w:val="7AA51A85"/>
    <w:rsid w:val="7AC202A3"/>
    <w:rsid w:val="7AC34054"/>
    <w:rsid w:val="7AC86A4E"/>
    <w:rsid w:val="7AD6524D"/>
    <w:rsid w:val="7AD71832"/>
    <w:rsid w:val="7B0A711E"/>
    <w:rsid w:val="7B5C439D"/>
    <w:rsid w:val="7B8F410F"/>
    <w:rsid w:val="7B97048E"/>
    <w:rsid w:val="7BC558DD"/>
    <w:rsid w:val="7BCE3D0E"/>
    <w:rsid w:val="7BF5010E"/>
    <w:rsid w:val="7BF55D0D"/>
    <w:rsid w:val="7C2C1A43"/>
    <w:rsid w:val="7C2C344B"/>
    <w:rsid w:val="7C3D0C61"/>
    <w:rsid w:val="7C6D6B10"/>
    <w:rsid w:val="7C7F1894"/>
    <w:rsid w:val="7C9710CF"/>
    <w:rsid w:val="7CB10C20"/>
    <w:rsid w:val="7CEF002C"/>
    <w:rsid w:val="7CF36542"/>
    <w:rsid w:val="7D0E6940"/>
    <w:rsid w:val="7D1D57F3"/>
    <w:rsid w:val="7D3C4A6E"/>
    <w:rsid w:val="7D62210E"/>
    <w:rsid w:val="7D7D4684"/>
    <w:rsid w:val="7DA17943"/>
    <w:rsid w:val="7DA535D3"/>
    <w:rsid w:val="7DA737B9"/>
    <w:rsid w:val="7DC82ABF"/>
    <w:rsid w:val="7DD543E5"/>
    <w:rsid w:val="7DEC1647"/>
    <w:rsid w:val="7DF41070"/>
    <w:rsid w:val="7DFD0827"/>
    <w:rsid w:val="7DFED4C3"/>
    <w:rsid w:val="7DFF563B"/>
    <w:rsid w:val="7E147DF3"/>
    <w:rsid w:val="7E34579B"/>
    <w:rsid w:val="7E4160B8"/>
    <w:rsid w:val="7E66D36C"/>
    <w:rsid w:val="7E7F535E"/>
    <w:rsid w:val="7E9140CF"/>
    <w:rsid w:val="7E9970F6"/>
    <w:rsid w:val="7EB7E1E8"/>
    <w:rsid w:val="7EC856DB"/>
    <w:rsid w:val="7ED42FFD"/>
    <w:rsid w:val="7EDD89DE"/>
    <w:rsid w:val="7EDFA18A"/>
    <w:rsid w:val="7EE20E69"/>
    <w:rsid w:val="7EED70E9"/>
    <w:rsid w:val="7EF29776"/>
    <w:rsid w:val="7EFA5574"/>
    <w:rsid w:val="7EFD9640"/>
    <w:rsid w:val="7EFF97A0"/>
    <w:rsid w:val="7F1F157F"/>
    <w:rsid w:val="7F64148E"/>
    <w:rsid w:val="7F755539"/>
    <w:rsid w:val="7F7676EF"/>
    <w:rsid w:val="7F7FFB53"/>
    <w:rsid w:val="7FA64FA7"/>
    <w:rsid w:val="7FB421BD"/>
    <w:rsid w:val="7FC27C35"/>
    <w:rsid w:val="7FC57103"/>
    <w:rsid w:val="7FE95FF3"/>
    <w:rsid w:val="9DF54036"/>
    <w:rsid w:val="9F1DFA65"/>
    <w:rsid w:val="9F2E518F"/>
    <w:rsid w:val="9FC3B77A"/>
    <w:rsid w:val="AD7B3FC6"/>
    <w:rsid w:val="AD8F5F6B"/>
    <w:rsid w:val="ADFD2292"/>
    <w:rsid w:val="AE7B1730"/>
    <w:rsid w:val="B7DF7C54"/>
    <w:rsid w:val="B9E73E35"/>
    <w:rsid w:val="BDFC0404"/>
    <w:rsid w:val="BE6F8E54"/>
    <w:rsid w:val="BEB70487"/>
    <w:rsid w:val="BF3222C1"/>
    <w:rsid w:val="BF7FFBFD"/>
    <w:rsid w:val="BFAFD15A"/>
    <w:rsid w:val="BFBB79D3"/>
    <w:rsid w:val="D27F0FD3"/>
    <w:rsid w:val="D7DF429D"/>
    <w:rsid w:val="D7EFAE89"/>
    <w:rsid w:val="D7F92D96"/>
    <w:rsid w:val="DA3E1246"/>
    <w:rsid w:val="DF6BCA58"/>
    <w:rsid w:val="DFBD5955"/>
    <w:rsid w:val="DFEF4FD3"/>
    <w:rsid w:val="E67EF31E"/>
    <w:rsid w:val="ED5FA70B"/>
    <w:rsid w:val="EF7382BE"/>
    <w:rsid w:val="EF7ED066"/>
    <w:rsid w:val="EF7F8BCB"/>
    <w:rsid w:val="EFF3DD79"/>
    <w:rsid w:val="F27FA361"/>
    <w:rsid w:val="F35FEAA6"/>
    <w:rsid w:val="F3CD45C7"/>
    <w:rsid w:val="F3FEE996"/>
    <w:rsid w:val="F5BAC7DB"/>
    <w:rsid w:val="F6B903DD"/>
    <w:rsid w:val="F77BE2CD"/>
    <w:rsid w:val="F7BF31F6"/>
    <w:rsid w:val="F7F3E74F"/>
    <w:rsid w:val="F7FFBAF8"/>
    <w:rsid w:val="F7FFF00A"/>
    <w:rsid w:val="F9FE378D"/>
    <w:rsid w:val="FD4FCB6C"/>
    <w:rsid w:val="FDE76BC7"/>
    <w:rsid w:val="FDF541CA"/>
    <w:rsid w:val="FDFFC476"/>
    <w:rsid w:val="FE1D81CB"/>
    <w:rsid w:val="FEFF7BC8"/>
    <w:rsid w:val="FF55C7E5"/>
    <w:rsid w:val="FF5A3450"/>
    <w:rsid w:val="FF6614DE"/>
    <w:rsid w:val="FF7FFDA9"/>
    <w:rsid w:val="FFCA79AF"/>
    <w:rsid w:val="FFF51DF6"/>
    <w:rsid w:val="FFFF8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nhideWhenUsed="0" w:uiPriority="0" w:semiHidden="0" w:name="index 8"/>
    <w:lsdException w:qFormat="1" w:uiPriority="0" w:name="index 9"/>
    <w:lsdException w:qFormat="1" w:uiPriority="0"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iPriority="0" w:name="index heading"/>
    <w:lsdException w:qFormat="1" w:unhideWhenUsed="0" w:uiPriority="0" w:semiHidden="0" w:name="caption"/>
    <w:lsdException w:qFormat="1" w:uiPriority="0" w:name="table of figures"/>
    <w:lsdException w:qFormat="1" w:unhideWhenUsed="0" w:uiPriority="0" w:name="envelope address"/>
    <w:lsdException w:qFormat="1" w:uiPriority="0" w:name="envelope return"/>
    <w:lsdException w:qFormat="1" w:unhideWhenUsed="0" w:uiPriority="0" w:name="footnote reference"/>
    <w:lsdException w:qFormat="1" w:uiPriority="0" w:semiHidden="0" w:name="annotation reference"/>
    <w:lsdException w:qFormat="1" w:uiPriority="0" w:name="line number"/>
    <w:lsdException w:qFormat="1"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iPriority="0" w:name="toa heading"/>
    <w:lsdException w:qFormat="1" w:unhideWhenUsed="0" w:uiPriority="0" w:name="List"/>
    <w:lsdException w:qFormat="1" w:unhideWhenUsed="0" w:uiPriority="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iPriority="0" w:name="List Continue"/>
    <w:lsdException w:qFormat="1" w:uiPriority="0" w:name="List Continue 2"/>
    <w:lsdException w:qFormat="1" w:uiPriority="0" w:name="List Continue 3"/>
    <w:lsdException w:qFormat="1" w:uiPriority="0" w:name="List Continue 4"/>
    <w:lsdException w:qFormat="1"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0"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iPriority="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nhideWhenUsed="0" w:uiPriority="0" w:name="Table List 4"/>
    <w:lsdException w:qFormat="1" w:unhideWhenUsed="0"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74"/>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4">
    <w:name w:val="heading 2"/>
    <w:basedOn w:val="1"/>
    <w:next w:val="1"/>
    <w:link w:val="75"/>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5">
    <w:name w:val="heading 3"/>
    <w:basedOn w:val="1"/>
    <w:next w:val="1"/>
    <w:link w:val="76"/>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6">
    <w:name w:val="heading 4"/>
    <w:basedOn w:val="1"/>
    <w:next w:val="1"/>
    <w:link w:val="77"/>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7">
    <w:name w:val="heading 5"/>
    <w:basedOn w:val="1"/>
    <w:next w:val="1"/>
    <w:link w:val="78"/>
    <w:qFormat/>
    <w:uiPriority w:val="0"/>
    <w:pPr>
      <w:ind w:left="1008" w:hanging="432"/>
      <w:outlineLvl w:val="4"/>
    </w:pPr>
    <w:rPr>
      <w:rFonts w:ascii="Times New Roman" w:hAnsi="Times New Roman"/>
      <w:kern w:val="0"/>
      <w:sz w:val="20"/>
      <w:szCs w:val="20"/>
    </w:rPr>
  </w:style>
  <w:style w:type="paragraph" w:styleId="8">
    <w:name w:val="heading 6"/>
    <w:basedOn w:val="1"/>
    <w:next w:val="1"/>
    <w:link w:val="79"/>
    <w:qFormat/>
    <w:uiPriority w:val="0"/>
    <w:pPr>
      <w:ind w:left="1152" w:hanging="432"/>
      <w:outlineLvl w:val="5"/>
    </w:pPr>
    <w:rPr>
      <w:rFonts w:ascii="Times New Roman" w:hAnsi="Times New Roman"/>
      <w:kern w:val="0"/>
      <w:sz w:val="20"/>
      <w:szCs w:val="20"/>
    </w:rPr>
  </w:style>
  <w:style w:type="paragraph" w:styleId="9">
    <w:name w:val="heading 7"/>
    <w:basedOn w:val="1"/>
    <w:next w:val="1"/>
    <w:link w:val="80"/>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0">
    <w:name w:val="heading 8"/>
    <w:basedOn w:val="1"/>
    <w:next w:val="1"/>
    <w:link w:val="81"/>
    <w:qFormat/>
    <w:uiPriority w:val="0"/>
    <w:pPr>
      <w:ind w:left="1440" w:hanging="432"/>
      <w:outlineLvl w:val="7"/>
    </w:pPr>
    <w:rPr>
      <w:rFonts w:ascii="Times New Roman" w:hAnsi="Times New Roman"/>
      <w:kern w:val="0"/>
      <w:sz w:val="20"/>
      <w:szCs w:val="20"/>
    </w:rPr>
  </w:style>
  <w:style w:type="paragraph" w:styleId="11">
    <w:name w:val="heading 9"/>
    <w:basedOn w:val="1"/>
    <w:next w:val="1"/>
    <w:link w:val="82"/>
    <w:qFormat/>
    <w:uiPriority w:val="0"/>
    <w:pPr>
      <w:ind w:left="1584" w:hanging="144"/>
      <w:outlineLvl w:val="8"/>
    </w:pPr>
    <w:rPr>
      <w:rFonts w:ascii="Times New Roman" w:hAnsi="Times New Roman"/>
      <w:kern w:val="0"/>
      <w:sz w:val="20"/>
      <w:szCs w:val="20"/>
    </w:rPr>
  </w:style>
  <w:style w:type="character" w:default="1" w:styleId="58">
    <w:name w:val="Default Paragraph Font"/>
    <w:semiHidden/>
    <w:unhideWhenUsed/>
    <w:qFormat/>
    <w:uiPriority w:val="1"/>
  </w:style>
  <w:style w:type="table" w:default="1" w:styleId="54">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0"/>
    <w:pPr>
      <w:ind w:left="420" w:leftChars="200"/>
    </w:pPr>
  </w:style>
  <w:style w:type="paragraph" w:styleId="12">
    <w:name w:val="toc 7"/>
    <w:basedOn w:val="1"/>
    <w:next w:val="1"/>
    <w:unhideWhenUsed/>
    <w:qFormat/>
    <w:uiPriority w:val="0"/>
    <w:pPr>
      <w:ind w:left="2520" w:leftChars="1200"/>
    </w:pPr>
  </w:style>
  <w:style w:type="paragraph" w:styleId="13">
    <w:name w:val="Note Heading"/>
    <w:basedOn w:val="1"/>
    <w:next w:val="1"/>
    <w:link w:val="117"/>
    <w:semiHidden/>
    <w:qFormat/>
    <w:uiPriority w:val="0"/>
    <w:pPr>
      <w:jc w:val="center"/>
    </w:pPr>
    <w:rPr>
      <w:rFonts w:ascii="Times New Roman" w:hAnsi="Times New Roman"/>
      <w:szCs w:val="24"/>
    </w:rPr>
  </w:style>
  <w:style w:type="paragraph" w:styleId="14">
    <w:name w:val="index 8"/>
    <w:basedOn w:val="1"/>
    <w:next w:val="1"/>
    <w:qFormat/>
    <w:uiPriority w:val="0"/>
    <w:pPr>
      <w:ind w:left="1400" w:leftChars="1400"/>
    </w:pPr>
    <w:rPr>
      <w:rFonts w:ascii="Times New Roman" w:hAnsi="Times New Roman"/>
      <w:szCs w:val="24"/>
    </w:rPr>
  </w:style>
  <w:style w:type="paragraph" w:styleId="15">
    <w:name w:val="E-mail Signature"/>
    <w:basedOn w:val="1"/>
    <w:link w:val="118"/>
    <w:semiHidden/>
    <w:qFormat/>
    <w:uiPriority w:val="0"/>
    <w:rPr>
      <w:rFonts w:ascii="Times New Roman" w:hAnsi="Times New Roman"/>
      <w:szCs w:val="24"/>
    </w:rPr>
  </w:style>
  <w:style w:type="paragraph" w:styleId="16">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17">
    <w:name w:val="caption"/>
    <w:basedOn w:val="1"/>
    <w:next w:val="1"/>
    <w:qFormat/>
    <w:uiPriority w:val="0"/>
    <w:rPr>
      <w:rFonts w:ascii="Arial" w:hAnsi="Arial" w:eastAsia="黑体" w:cs="Arial"/>
      <w:sz w:val="20"/>
      <w:szCs w:val="20"/>
    </w:rPr>
  </w:style>
  <w:style w:type="paragraph" w:styleId="18">
    <w:name w:val="List Bullet"/>
    <w:basedOn w:val="1"/>
    <w:semiHidden/>
    <w:qFormat/>
    <w:uiPriority w:val="0"/>
    <w:pPr>
      <w:tabs>
        <w:tab w:val="left" w:pos="360"/>
      </w:tabs>
      <w:ind w:left="360" w:hanging="360"/>
    </w:pPr>
    <w:rPr>
      <w:rFonts w:ascii="Times New Roman" w:hAnsi="Times New Roman"/>
      <w:szCs w:val="24"/>
    </w:rPr>
  </w:style>
  <w:style w:type="paragraph" w:styleId="19">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20">
    <w:name w:val="Document Map"/>
    <w:basedOn w:val="1"/>
    <w:link w:val="96"/>
    <w:unhideWhenUsed/>
    <w:qFormat/>
    <w:uiPriority w:val="0"/>
    <w:rPr>
      <w:rFonts w:ascii="宋体"/>
      <w:sz w:val="18"/>
      <w:szCs w:val="18"/>
    </w:rPr>
  </w:style>
  <w:style w:type="paragraph" w:styleId="21">
    <w:name w:val="annotation text"/>
    <w:basedOn w:val="1"/>
    <w:link w:val="88"/>
    <w:unhideWhenUsed/>
    <w:qFormat/>
    <w:uiPriority w:val="0"/>
    <w:pPr>
      <w:jc w:val="left"/>
    </w:pPr>
  </w:style>
  <w:style w:type="paragraph" w:styleId="22">
    <w:name w:val="Salutation"/>
    <w:basedOn w:val="1"/>
    <w:next w:val="1"/>
    <w:link w:val="119"/>
    <w:semiHidden/>
    <w:qFormat/>
    <w:uiPriority w:val="0"/>
    <w:rPr>
      <w:rFonts w:ascii="Times New Roman" w:hAnsi="Times New Roman"/>
      <w:szCs w:val="24"/>
    </w:rPr>
  </w:style>
  <w:style w:type="paragraph" w:styleId="23">
    <w:name w:val="Body Text 3"/>
    <w:basedOn w:val="1"/>
    <w:link w:val="120"/>
    <w:semiHidden/>
    <w:qFormat/>
    <w:uiPriority w:val="0"/>
    <w:pPr>
      <w:spacing w:after="120"/>
    </w:pPr>
    <w:rPr>
      <w:rFonts w:ascii="Times New Roman" w:hAnsi="Times New Roman"/>
      <w:sz w:val="16"/>
      <w:szCs w:val="16"/>
    </w:rPr>
  </w:style>
  <w:style w:type="paragraph" w:styleId="24">
    <w:name w:val="Closing"/>
    <w:basedOn w:val="1"/>
    <w:link w:val="121"/>
    <w:semiHidden/>
    <w:qFormat/>
    <w:uiPriority w:val="0"/>
    <w:pPr>
      <w:ind w:left="100" w:leftChars="2100"/>
    </w:pPr>
    <w:rPr>
      <w:rFonts w:ascii="Times New Roman" w:hAnsi="Times New Roman"/>
      <w:szCs w:val="24"/>
    </w:rPr>
  </w:style>
  <w:style w:type="paragraph" w:styleId="25">
    <w:name w:val="Body Text"/>
    <w:basedOn w:val="1"/>
    <w:next w:val="26"/>
    <w:link w:val="89"/>
    <w:qFormat/>
    <w:uiPriority w:val="99"/>
    <w:pPr>
      <w:spacing w:line="360" w:lineRule="auto"/>
    </w:pPr>
    <w:rPr>
      <w:rFonts w:ascii="宋体" w:hAnsi="宋体"/>
      <w:kern w:val="0"/>
      <w:sz w:val="24"/>
      <w:szCs w:val="24"/>
    </w:rPr>
  </w:style>
  <w:style w:type="paragraph" w:styleId="26">
    <w:name w:val="Title"/>
    <w:basedOn w:val="1"/>
    <w:next w:val="1"/>
    <w:link w:val="159"/>
    <w:qFormat/>
    <w:uiPriority w:val="0"/>
    <w:pPr>
      <w:spacing w:before="240" w:after="60"/>
      <w:jc w:val="center"/>
      <w:outlineLvl w:val="0"/>
    </w:pPr>
    <w:rPr>
      <w:rFonts w:ascii="Cambria" w:hAnsi="Cambria"/>
      <w:b/>
      <w:bCs/>
      <w:sz w:val="32"/>
      <w:szCs w:val="32"/>
    </w:rPr>
  </w:style>
  <w:style w:type="paragraph" w:styleId="27">
    <w:name w:val="Body Text Indent"/>
    <w:basedOn w:val="1"/>
    <w:link w:val="87"/>
    <w:unhideWhenUsed/>
    <w:qFormat/>
    <w:uiPriority w:val="99"/>
    <w:pPr>
      <w:spacing w:after="120"/>
      <w:ind w:left="420" w:leftChars="200"/>
    </w:pPr>
  </w:style>
  <w:style w:type="paragraph" w:styleId="28">
    <w:name w:val="HTML Address"/>
    <w:basedOn w:val="1"/>
    <w:link w:val="122"/>
    <w:semiHidden/>
    <w:qFormat/>
    <w:uiPriority w:val="0"/>
    <w:rPr>
      <w:rFonts w:ascii="Times New Roman" w:hAnsi="Times New Roman"/>
      <w:i/>
      <w:iCs/>
      <w:szCs w:val="24"/>
    </w:rPr>
  </w:style>
  <w:style w:type="paragraph" w:styleId="29">
    <w:name w:val="toc 5"/>
    <w:basedOn w:val="1"/>
    <w:next w:val="1"/>
    <w:unhideWhenUsed/>
    <w:qFormat/>
    <w:uiPriority w:val="0"/>
    <w:pPr>
      <w:ind w:left="1680" w:leftChars="800"/>
    </w:pPr>
  </w:style>
  <w:style w:type="paragraph" w:styleId="30">
    <w:name w:val="toc 3"/>
    <w:basedOn w:val="1"/>
    <w:next w:val="1"/>
    <w:unhideWhenUsed/>
    <w:qFormat/>
    <w:uiPriority w:val="0"/>
    <w:pPr>
      <w:ind w:left="840" w:leftChars="400"/>
    </w:pPr>
  </w:style>
  <w:style w:type="paragraph" w:styleId="31">
    <w:name w:val="Plain Text"/>
    <w:basedOn w:val="1"/>
    <w:next w:val="14"/>
    <w:link w:val="92"/>
    <w:qFormat/>
    <w:uiPriority w:val="0"/>
    <w:rPr>
      <w:rFonts w:ascii="宋体" w:hAnsi="Courier New"/>
      <w:szCs w:val="21"/>
    </w:rPr>
  </w:style>
  <w:style w:type="paragraph" w:styleId="32">
    <w:name w:val="toc 8"/>
    <w:basedOn w:val="1"/>
    <w:next w:val="1"/>
    <w:semiHidden/>
    <w:qFormat/>
    <w:uiPriority w:val="0"/>
    <w:pPr>
      <w:ind w:left="2940" w:leftChars="1400"/>
    </w:pPr>
  </w:style>
  <w:style w:type="paragraph" w:styleId="33">
    <w:name w:val="Date"/>
    <w:basedOn w:val="1"/>
    <w:next w:val="1"/>
    <w:link w:val="123"/>
    <w:unhideWhenUsed/>
    <w:qFormat/>
    <w:uiPriority w:val="0"/>
    <w:pPr>
      <w:ind w:left="100" w:leftChars="2500"/>
    </w:pPr>
    <w:rPr>
      <w:rFonts w:ascii="Times New Roman" w:hAnsi="Times New Roman"/>
      <w:szCs w:val="20"/>
    </w:rPr>
  </w:style>
  <w:style w:type="paragraph" w:styleId="34">
    <w:name w:val="Body Text Indent 2"/>
    <w:basedOn w:val="1"/>
    <w:link w:val="124"/>
    <w:semiHidden/>
    <w:qFormat/>
    <w:uiPriority w:val="0"/>
    <w:pPr>
      <w:spacing w:after="120" w:line="480" w:lineRule="auto"/>
      <w:ind w:left="420" w:leftChars="200"/>
    </w:pPr>
    <w:rPr>
      <w:rFonts w:ascii="Times New Roman" w:hAnsi="Times New Roman"/>
      <w:szCs w:val="24"/>
    </w:rPr>
  </w:style>
  <w:style w:type="paragraph" w:styleId="35">
    <w:name w:val="endnote text"/>
    <w:basedOn w:val="1"/>
    <w:link w:val="125"/>
    <w:semiHidden/>
    <w:qFormat/>
    <w:uiPriority w:val="0"/>
    <w:pPr>
      <w:snapToGrid w:val="0"/>
      <w:jc w:val="left"/>
    </w:pPr>
    <w:rPr>
      <w:rFonts w:ascii="Times New Roman" w:hAnsi="Times New Roman"/>
      <w:szCs w:val="24"/>
    </w:rPr>
  </w:style>
  <w:style w:type="paragraph" w:styleId="36">
    <w:name w:val="Balloon Text"/>
    <w:basedOn w:val="1"/>
    <w:link w:val="91"/>
    <w:unhideWhenUsed/>
    <w:qFormat/>
    <w:uiPriority w:val="0"/>
    <w:rPr>
      <w:kern w:val="0"/>
      <w:sz w:val="18"/>
      <w:szCs w:val="18"/>
    </w:rPr>
  </w:style>
  <w:style w:type="paragraph" w:styleId="37">
    <w:name w:val="footer"/>
    <w:basedOn w:val="1"/>
    <w:link w:val="90"/>
    <w:unhideWhenUsed/>
    <w:qFormat/>
    <w:uiPriority w:val="0"/>
    <w:pPr>
      <w:tabs>
        <w:tab w:val="center" w:pos="4153"/>
        <w:tab w:val="right" w:pos="8306"/>
      </w:tabs>
      <w:snapToGrid w:val="0"/>
      <w:jc w:val="left"/>
    </w:pPr>
    <w:rPr>
      <w:kern w:val="0"/>
      <w:sz w:val="18"/>
      <w:szCs w:val="18"/>
    </w:rPr>
  </w:style>
  <w:style w:type="paragraph" w:styleId="38">
    <w:name w:val="header"/>
    <w:basedOn w:val="1"/>
    <w:link w:val="83"/>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9">
    <w:name w:val="Signature"/>
    <w:basedOn w:val="1"/>
    <w:link w:val="126"/>
    <w:semiHidden/>
    <w:qFormat/>
    <w:uiPriority w:val="0"/>
    <w:pPr>
      <w:ind w:left="100" w:leftChars="2100"/>
    </w:pPr>
    <w:rPr>
      <w:rFonts w:ascii="Times New Roman" w:hAnsi="Times New Roman"/>
      <w:szCs w:val="24"/>
    </w:rPr>
  </w:style>
  <w:style w:type="paragraph" w:styleId="40">
    <w:name w:val="toc 1"/>
    <w:basedOn w:val="1"/>
    <w:next w:val="1"/>
    <w:unhideWhenUsed/>
    <w:qFormat/>
    <w:uiPriority w:val="0"/>
  </w:style>
  <w:style w:type="paragraph" w:styleId="41">
    <w:name w:val="toc 4"/>
    <w:basedOn w:val="1"/>
    <w:next w:val="1"/>
    <w:unhideWhenUsed/>
    <w:qFormat/>
    <w:uiPriority w:val="0"/>
    <w:pPr>
      <w:ind w:left="1260" w:leftChars="600"/>
    </w:pPr>
  </w:style>
  <w:style w:type="paragraph" w:styleId="42">
    <w:name w:val="Subtitle"/>
    <w:basedOn w:val="1"/>
    <w:next w:val="1"/>
    <w:link w:val="160"/>
    <w:qFormat/>
    <w:uiPriority w:val="11"/>
    <w:pPr>
      <w:spacing w:before="240" w:after="60" w:line="312" w:lineRule="auto"/>
      <w:jc w:val="center"/>
      <w:outlineLvl w:val="1"/>
    </w:pPr>
    <w:rPr>
      <w:rFonts w:ascii="Cambria" w:hAnsi="Cambria"/>
      <w:b/>
      <w:bCs/>
      <w:kern w:val="28"/>
      <w:sz w:val="32"/>
      <w:szCs w:val="32"/>
    </w:rPr>
  </w:style>
  <w:style w:type="paragraph" w:styleId="43">
    <w:name w:val="List"/>
    <w:basedOn w:val="1"/>
    <w:semiHidden/>
    <w:qFormat/>
    <w:uiPriority w:val="0"/>
    <w:pPr>
      <w:ind w:left="200" w:hanging="200" w:hangingChars="200"/>
    </w:pPr>
    <w:rPr>
      <w:rFonts w:ascii="Times New Roman" w:hAnsi="Times New Roman"/>
      <w:szCs w:val="24"/>
    </w:rPr>
  </w:style>
  <w:style w:type="paragraph" w:styleId="44">
    <w:name w:val="footnote text"/>
    <w:basedOn w:val="1"/>
    <w:link w:val="127"/>
    <w:semiHidden/>
    <w:qFormat/>
    <w:uiPriority w:val="0"/>
    <w:pPr>
      <w:snapToGrid w:val="0"/>
      <w:jc w:val="left"/>
    </w:pPr>
    <w:rPr>
      <w:rFonts w:ascii="Times New Roman" w:hAnsi="Times New Roman"/>
      <w:sz w:val="18"/>
      <w:szCs w:val="20"/>
    </w:rPr>
  </w:style>
  <w:style w:type="paragraph" w:styleId="45">
    <w:name w:val="toc 6"/>
    <w:basedOn w:val="1"/>
    <w:next w:val="1"/>
    <w:unhideWhenUsed/>
    <w:qFormat/>
    <w:uiPriority w:val="0"/>
    <w:pPr>
      <w:ind w:left="2100" w:leftChars="1000"/>
    </w:pPr>
  </w:style>
  <w:style w:type="paragraph" w:styleId="46">
    <w:name w:val="toc 9"/>
    <w:basedOn w:val="1"/>
    <w:next w:val="1"/>
    <w:unhideWhenUsed/>
    <w:qFormat/>
    <w:uiPriority w:val="0"/>
    <w:pPr>
      <w:ind w:left="3360" w:leftChars="1600"/>
    </w:pPr>
  </w:style>
  <w:style w:type="paragraph" w:styleId="47">
    <w:name w:val="Message Header"/>
    <w:basedOn w:val="1"/>
    <w:link w:val="128"/>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8">
    <w:name w:val="HTML Preformatted"/>
    <w:basedOn w:val="1"/>
    <w:link w:val="129"/>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49">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0">
    <w:name w:val="index 1"/>
    <w:basedOn w:val="1"/>
    <w:next w:val="1"/>
    <w:unhideWhenUsed/>
    <w:qFormat/>
    <w:uiPriority w:val="0"/>
  </w:style>
  <w:style w:type="paragraph" w:styleId="51">
    <w:name w:val="annotation subject"/>
    <w:basedOn w:val="21"/>
    <w:next w:val="21"/>
    <w:link w:val="97"/>
    <w:unhideWhenUsed/>
    <w:qFormat/>
    <w:uiPriority w:val="0"/>
    <w:rPr>
      <w:b/>
      <w:bCs/>
    </w:rPr>
  </w:style>
  <w:style w:type="paragraph" w:styleId="52">
    <w:name w:val="Body Text First Indent"/>
    <w:basedOn w:val="25"/>
    <w:link w:val="114"/>
    <w:unhideWhenUsed/>
    <w:qFormat/>
    <w:uiPriority w:val="0"/>
    <w:pPr>
      <w:spacing w:after="120" w:line="240" w:lineRule="auto"/>
      <w:ind w:firstLine="420" w:firstLineChars="100"/>
    </w:pPr>
    <w:rPr>
      <w:rFonts w:ascii="Calibri" w:hAnsi="Calibri"/>
      <w:kern w:val="2"/>
      <w:sz w:val="21"/>
      <w:szCs w:val="22"/>
    </w:rPr>
  </w:style>
  <w:style w:type="paragraph" w:styleId="53">
    <w:name w:val="Body Text First Indent 2"/>
    <w:basedOn w:val="27"/>
    <w:link w:val="86"/>
    <w:unhideWhenUsed/>
    <w:qFormat/>
    <w:uiPriority w:val="0"/>
    <w:pPr>
      <w:ind w:firstLine="420" w:firstLineChars="200"/>
    </w:pPr>
  </w:style>
  <w:style w:type="table" w:styleId="55">
    <w:name w:val="Table Grid"/>
    <w:basedOn w:val="5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56">
    <w:name w:val="Table List 4"/>
    <w:basedOn w:val="54"/>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7">
    <w:name w:val="Table List 5"/>
    <w:basedOn w:val="54"/>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character" w:styleId="59">
    <w:name w:val="Strong"/>
    <w:basedOn w:val="58"/>
    <w:qFormat/>
    <w:uiPriority w:val="22"/>
    <w:rPr>
      <w:b/>
    </w:rPr>
  </w:style>
  <w:style w:type="character" w:styleId="60">
    <w:name w:val="endnote reference"/>
    <w:semiHidden/>
    <w:qFormat/>
    <w:uiPriority w:val="0"/>
    <w:rPr>
      <w:vertAlign w:val="superscript"/>
    </w:rPr>
  </w:style>
  <w:style w:type="character" w:styleId="61">
    <w:name w:val="page number"/>
    <w:basedOn w:val="58"/>
    <w:unhideWhenUsed/>
    <w:qFormat/>
    <w:uiPriority w:val="99"/>
  </w:style>
  <w:style w:type="character" w:styleId="62">
    <w:name w:val="FollowedHyperlink"/>
    <w:qFormat/>
    <w:uiPriority w:val="99"/>
    <w:rPr>
      <w:color w:val="800080"/>
      <w:u w:val="single"/>
    </w:rPr>
  </w:style>
  <w:style w:type="character" w:styleId="63">
    <w:name w:val="Emphasis"/>
    <w:basedOn w:val="58"/>
    <w:qFormat/>
    <w:uiPriority w:val="20"/>
  </w:style>
  <w:style w:type="character" w:styleId="64">
    <w:name w:val="HTML Definition"/>
    <w:qFormat/>
    <w:uiPriority w:val="0"/>
    <w:rPr>
      <w:i/>
      <w:iCs/>
    </w:rPr>
  </w:style>
  <w:style w:type="character" w:styleId="65">
    <w:name w:val="HTML Typewriter"/>
    <w:semiHidden/>
    <w:qFormat/>
    <w:uiPriority w:val="0"/>
    <w:rPr>
      <w:rFonts w:ascii="Courier New" w:hAnsi="Courier New" w:cs="Courier New"/>
      <w:sz w:val="20"/>
      <w:szCs w:val="20"/>
    </w:rPr>
  </w:style>
  <w:style w:type="character" w:styleId="66">
    <w:name w:val="HTML Variable"/>
    <w:qFormat/>
    <w:uiPriority w:val="0"/>
    <w:rPr>
      <w:i/>
      <w:iCs/>
    </w:rPr>
  </w:style>
  <w:style w:type="character" w:styleId="67">
    <w:name w:val="Hyperlink"/>
    <w:qFormat/>
    <w:uiPriority w:val="0"/>
    <w:rPr>
      <w:color w:val="0000FF"/>
      <w:u w:val="single"/>
    </w:rPr>
  </w:style>
  <w:style w:type="character" w:styleId="68">
    <w:name w:val="HTML Code"/>
    <w:qFormat/>
    <w:uiPriority w:val="0"/>
    <w:rPr>
      <w:rFonts w:ascii="Courier New" w:hAnsi="Courier New" w:cs="Courier New"/>
      <w:sz w:val="20"/>
      <w:szCs w:val="20"/>
    </w:rPr>
  </w:style>
  <w:style w:type="character" w:styleId="69">
    <w:name w:val="annotation reference"/>
    <w:unhideWhenUsed/>
    <w:qFormat/>
    <w:uiPriority w:val="0"/>
    <w:rPr>
      <w:sz w:val="21"/>
      <w:szCs w:val="21"/>
    </w:rPr>
  </w:style>
  <w:style w:type="character" w:styleId="70">
    <w:name w:val="HTML Cite"/>
    <w:qFormat/>
    <w:uiPriority w:val="0"/>
    <w:rPr>
      <w:i/>
      <w:iCs/>
    </w:rPr>
  </w:style>
  <w:style w:type="character" w:styleId="71">
    <w:name w:val="footnote reference"/>
    <w:semiHidden/>
    <w:qFormat/>
    <w:uiPriority w:val="0"/>
    <w:rPr>
      <w:vertAlign w:val="superscript"/>
    </w:rPr>
  </w:style>
  <w:style w:type="character" w:styleId="72">
    <w:name w:val="HTML Keyboard"/>
    <w:qFormat/>
    <w:uiPriority w:val="0"/>
    <w:rPr>
      <w:rFonts w:ascii="Courier New" w:hAnsi="Courier New" w:cs="Courier New"/>
      <w:sz w:val="20"/>
      <w:szCs w:val="20"/>
    </w:rPr>
  </w:style>
  <w:style w:type="character" w:styleId="73">
    <w:name w:val="HTML Sample"/>
    <w:qFormat/>
    <w:uiPriority w:val="0"/>
    <w:rPr>
      <w:rFonts w:ascii="Courier New" w:hAnsi="Courier New" w:cs="Courier New"/>
    </w:rPr>
  </w:style>
  <w:style w:type="character" w:customStyle="1" w:styleId="74">
    <w:name w:val="标题 1 Char"/>
    <w:link w:val="3"/>
    <w:qFormat/>
    <w:uiPriority w:val="0"/>
    <w:rPr>
      <w:b/>
      <w:bCs/>
      <w:kern w:val="44"/>
      <w:sz w:val="44"/>
      <w:szCs w:val="44"/>
    </w:rPr>
  </w:style>
  <w:style w:type="character" w:customStyle="1" w:styleId="75">
    <w:name w:val="标题 2 Char"/>
    <w:link w:val="4"/>
    <w:qFormat/>
    <w:uiPriority w:val="0"/>
    <w:rPr>
      <w:rFonts w:ascii="Cambria" w:hAnsi="Cambria" w:eastAsia="宋体"/>
      <w:b/>
      <w:bCs/>
      <w:kern w:val="2"/>
      <w:sz w:val="32"/>
      <w:szCs w:val="32"/>
      <w:lang w:val="en-US" w:eastAsia="zh-CN" w:bidi="ar-SA"/>
    </w:rPr>
  </w:style>
  <w:style w:type="character" w:customStyle="1" w:styleId="76">
    <w:name w:val="标题 3 Char"/>
    <w:link w:val="5"/>
    <w:qFormat/>
    <w:uiPriority w:val="0"/>
    <w:rPr>
      <w:rFonts w:ascii="Calibri" w:hAnsi="Calibri" w:eastAsia="宋体"/>
      <w:b/>
      <w:bCs/>
      <w:kern w:val="2"/>
      <w:sz w:val="32"/>
      <w:szCs w:val="32"/>
      <w:lang w:val="en-US" w:eastAsia="zh-CN" w:bidi="ar-SA"/>
    </w:rPr>
  </w:style>
  <w:style w:type="character" w:customStyle="1" w:styleId="77">
    <w:name w:val="标题 4 Char"/>
    <w:link w:val="6"/>
    <w:qFormat/>
    <w:uiPriority w:val="0"/>
    <w:rPr>
      <w:rFonts w:ascii="宋体" w:hAnsi="宋体" w:eastAsia="宋体" w:cs="宋体"/>
      <w:b/>
      <w:bCs/>
      <w:sz w:val="24"/>
      <w:szCs w:val="24"/>
      <w:lang w:val="en-US" w:eastAsia="zh-CN" w:bidi="ar-SA"/>
    </w:rPr>
  </w:style>
  <w:style w:type="character" w:customStyle="1" w:styleId="78">
    <w:name w:val="标题 5 Char"/>
    <w:basedOn w:val="58"/>
    <w:link w:val="7"/>
    <w:qFormat/>
    <w:uiPriority w:val="0"/>
    <w:rPr>
      <w:rFonts w:ascii="Times New Roman" w:hAnsi="Times New Roman"/>
    </w:rPr>
  </w:style>
  <w:style w:type="character" w:customStyle="1" w:styleId="79">
    <w:name w:val="标题 6 Char"/>
    <w:basedOn w:val="58"/>
    <w:link w:val="8"/>
    <w:qFormat/>
    <w:uiPriority w:val="0"/>
    <w:rPr>
      <w:rFonts w:ascii="Times New Roman" w:hAnsi="Times New Roman"/>
    </w:rPr>
  </w:style>
  <w:style w:type="character" w:customStyle="1" w:styleId="80">
    <w:name w:val="标题 7 Char"/>
    <w:link w:val="9"/>
    <w:qFormat/>
    <w:uiPriority w:val="0"/>
    <w:rPr>
      <w:rFonts w:ascii="Calibri" w:hAnsi="Calibri" w:eastAsia="宋体"/>
      <w:b/>
      <w:bCs/>
      <w:kern w:val="2"/>
      <w:sz w:val="24"/>
      <w:szCs w:val="24"/>
      <w:lang w:val="en-US" w:eastAsia="zh-CN" w:bidi="ar-SA"/>
    </w:rPr>
  </w:style>
  <w:style w:type="character" w:customStyle="1" w:styleId="81">
    <w:name w:val="标题 8 Char"/>
    <w:basedOn w:val="58"/>
    <w:link w:val="10"/>
    <w:qFormat/>
    <w:uiPriority w:val="0"/>
    <w:rPr>
      <w:rFonts w:ascii="Times New Roman" w:hAnsi="Times New Roman"/>
    </w:rPr>
  </w:style>
  <w:style w:type="character" w:customStyle="1" w:styleId="82">
    <w:name w:val="标题 9 Char"/>
    <w:basedOn w:val="58"/>
    <w:link w:val="11"/>
    <w:qFormat/>
    <w:uiPriority w:val="0"/>
    <w:rPr>
      <w:rFonts w:ascii="Times New Roman" w:hAnsi="Times New Roman"/>
    </w:rPr>
  </w:style>
  <w:style w:type="character" w:customStyle="1" w:styleId="83">
    <w:name w:val="页眉 Char"/>
    <w:link w:val="38"/>
    <w:qFormat/>
    <w:uiPriority w:val="0"/>
    <w:rPr>
      <w:sz w:val="18"/>
      <w:szCs w:val="18"/>
    </w:rPr>
  </w:style>
  <w:style w:type="character" w:styleId="84">
    <w:name w:val="Placeholder Text"/>
    <w:semiHidden/>
    <w:qFormat/>
    <w:uiPriority w:val="99"/>
    <w:rPr>
      <w:color w:val="808080"/>
    </w:rPr>
  </w:style>
  <w:style w:type="character" w:customStyle="1" w:styleId="85">
    <w:name w:val="title"/>
    <w:basedOn w:val="58"/>
    <w:qFormat/>
    <w:uiPriority w:val="0"/>
  </w:style>
  <w:style w:type="character" w:customStyle="1" w:styleId="86">
    <w:name w:val="正文首行缩进 2 Char"/>
    <w:basedOn w:val="87"/>
    <w:link w:val="53"/>
    <w:qFormat/>
    <w:uiPriority w:val="0"/>
  </w:style>
  <w:style w:type="character" w:customStyle="1" w:styleId="87">
    <w:name w:val="正文文本缩进 Char"/>
    <w:basedOn w:val="58"/>
    <w:link w:val="27"/>
    <w:semiHidden/>
    <w:qFormat/>
    <w:uiPriority w:val="99"/>
  </w:style>
  <w:style w:type="character" w:customStyle="1" w:styleId="88">
    <w:name w:val="批注文字 Char"/>
    <w:link w:val="21"/>
    <w:semiHidden/>
    <w:qFormat/>
    <w:uiPriority w:val="0"/>
    <w:rPr>
      <w:kern w:val="2"/>
      <w:sz w:val="21"/>
      <w:szCs w:val="22"/>
    </w:rPr>
  </w:style>
  <w:style w:type="character" w:customStyle="1" w:styleId="89">
    <w:name w:val="正文文本 Char"/>
    <w:link w:val="25"/>
    <w:qFormat/>
    <w:uiPriority w:val="99"/>
    <w:rPr>
      <w:rFonts w:ascii="宋体" w:hAnsi="宋体" w:eastAsia="宋体" w:cs="Times New Roman"/>
      <w:sz w:val="24"/>
      <w:szCs w:val="24"/>
    </w:rPr>
  </w:style>
  <w:style w:type="character" w:customStyle="1" w:styleId="90">
    <w:name w:val="页脚 Char"/>
    <w:link w:val="37"/>
    <w:qFormat/>
    <w:uiPriority w:val="0"/>
    <w:rPr>
      <w:sz w:val="18"/>
      <w:szCs w:val="18"/>
    </w:rPr>
  </w:style>
  <w:style w:type="character" w:customStyle="1" w:styleId="91">
    <w:name w:val="批注框文本 Char"/>
    <w:link w:val="36"/>
    <w:semiHidden/>
    <w:qFormat/>
    <w:uiPriority w:val="0"/>
    <w:rPr>
      <w:sz w:val="18"/>
      <w:szCs w:val="18"/>
    </w:rPr>
  </w:style>
  <w:style w:type="character" w:customStyle="1" w:styleId="92">
    <w:name w:val="纯文本 Char"/>
    <w:link w:val="31"/>
    <w:qFormat/>
    <w:uiPriority w:val="0"/>
    <w:rPr>
      <w:rFonts w:ascii="宋体" w:hAnsi="Courier New" w:cs="Courier New"/>
      <w:kern w:val="2"/>
      <w:sz w:val="21"/>
      <w:szCs w:val="21"/>
    </w:rPr>
  </w:style>
  <w:style w:type="character" w:customStyle="1" w:styleId="93">
    <w:name w:val="标题3 Char"/>
    <w:link w:val="94"/>
    <w:qFormat/>
    <w:uiPriority w:val="0"/>
    <w:rPr>
      <w:rFonts w:ascii="宋体" w:hAnsi="宋体"/>
      <w:color w:val="000000"/>
      <w:sz w:val="24"/>
    </w:rPr>
  </w:style>
  <w:style w:type="paragraph" w:customStyle="1" w:styleId="94">
    <w:name w:val="标题3"/>
    <w:basedOn w:val="5"/>
    <w:link w:val="93"/>
    <w:qFormat/>
    <w:uiPriority w:val="0"/>
    <w:pPr>
      <w:spacing w:line="360" w:lineRule="auto"/>
      <w:ind w:firstLine="472" w:firstLineChars="196"/>
    </w:pPr>
    <w:rPr>
      <w:rFonts w:ascii="宋体" w:hAnsi="宋体"/>
      <w:b w:val="0"/>
      <w:bCs w:val="0"/>
      <w:color w:val="000000"/>
      <w:kern w:val="0"/>
      <w:sz w:val="24"/>
      <w:szCs w:val="20"/>
    </w:rPr>
  </w:style>
  <w:style w:type="character" w:customStyle="1" w:styleId="95">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96">
    <w:name w:val="文档结构图 Char"/>
    <w:link w:val="20"/>
    <w:qFormat/>
    <w:uiPriority w:val="0"/>
    <w:rPr>
      <w:rFonts w:ascii="宋体"/>
      <w:kern w:val="2"/>
      <w:sz w:val="18"/>
      <w:szCs w:val="18"/>
    </w:rPr>
  </w:style>
  <w:style w:type="character" w:customStyle="1" w:styleId="97">
    <w:name w:val="批注主题 Char"/>
    <w:link w:val="51"/>
    <w:semiHidden/>
    <w:qFormat/>
    <w:uiPriority w:val="0"/>
    <w:rPr>
      <w:b/>
      <w:bCs/>
      <w:kern w:val="2"/>
      <w:sz w:val="21"/>
      <w:szCs w:val="22"/>
    </w:rPr>
  </w:style>
  <w:style w:type="paragraph" w:customStyle="1" w:styleId="98">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99">
    <w:name w:val="List Paragraph"/>
    <w:basedOn w:val="1"/>
    <w:qFormat/>
    <w:uiPriority w:val="34"/>
    <w:pPr>
      <w:ind w:firstLine="420" w:firstLineChars="200"/>
    </w:pPr>
  </w:style>
  <w:style w:type="paragraph" w:customStyle="1" w:styleId="100">
    <w:name w:val="TOC Heading"/>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1">
    <w:name w:val="p3"/>
    <w:basedOn w:val="1"/>
    <w:qFormat/>
    <w:uiPriority w:val="0"/>
    <w:pPr>
      <w:spacing w:line="30" w:lineRule="atLeast"/>
      <w:jc w:val="center"/>
    </w:pPr>
    <w:rPr>
      <w:rFonts w:hint="eastAsia" w:ascii="宋体" w:hAnsi="宋体" w:cs="宋体"/>
      <w:kern w:val="0"/>
      <w:sz w:val="36"/>
      <w:szCs w:val="36"/>
    </w:rPr>
  </w:style>
  <w:style w:type="paragraph" w:customStyle="1" w:styleId="102">
    <w:name w:val="Report 1.1.1"/>
    <w:basedOn w:val="103"/>
    <w:qFormat/>
    <w:uiPriority w:val="0"/>
    <w:pPr>
      <w:tabs>
        <w:tab w:val="left" w:pos="720"/>
      </w:tabs>
    </w:pPr>
    <w:rPr>
      <w:rFonts w:hAnsi="华文细黑" w:eastAsia="华文细黑" w:cs="Arial"/>
      <w:lang w:eastAsia="zh-CN"/>
    </w:rPr>
  </w:style>
  <w:style w:type="paragraph" w:customStyle="1" w:styleId="103">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04">
    <w:name w:val="Char Char Char1 Char"/>
    <w:basedOn w:val="38"/>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05">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06">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07">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08">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09">
    <w:name w:val="样式3"/>
    <w:basedOn w:val="25"/>
    <w:qFormat/>
    <w:uiPriority w:val="0"/>
    <w:pPr>
      <w:spacing w:after="120"/>
    </w:pPr>
    <w:rPr>
      <w:rFonts w:hAnsi="Times New Roman"/>
      <w:sz w:val="21"/>
    </w:rPr>
  </w:style>
  <w:style w:type="paragraph" w:customStyle="1" w:styleId="110">
    <w:name w:val="DTZ Heading 2"/>
    <w:basedOn w:val="107"/>
    <w:next w:val="1"/>
    <w:qFormat/>
    <w:uiPriority w:val="0"/>
    <w:pPr>
      <w:numPr>
        <w:ilvl w:val="1"/>
      </w:numPr>
      <w:tabs>
        <w:tab w:val="left" w:pos="5963"/>
      </w:tabs>
      <w:spacing w:after="0" w:line="340" w:lineRule="exact"/>
    </w:pPr>
    <w:rPr>
      <w:sz w:val="28"/>
    </w:rPr>
  </w:style>
  <w:style w:type="paragraph" w:customStyle="1" w:styleId="111">
    <w:name w:val="保留正文"/>
    <w:basedOn w:val="25"/>
    <w:qFormat/>
    <w:uiPriority w:val="0"/>
    <w:pPr>
      <w:keepNext/>
      <w:spacing w:after="160" w:line="240" w:lineRule="auto"/>
    </w:pPr>
    <w:rPr>
      <w:rFonts w:ascii="Times New Roman" w:hAnsi="Times New Roman"/>
      <w:sz w:val="21"/>
    </w:rPr>
  </w:style>
  <w:style w:type="paragraph" w:customStyle="1" w:styleId="112">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13">
    <w:name w:val="一、"/>
    <w:basedOn w:val="1"/>
    <w:qFormat/>
    <w:uiPriority w:val="0"/>
    <w:pPr>
      <w:tabs>
        <w:tab w:val="left" w:pos="720"/>
      </w:tabs>
      <w:spacing w:line="740" w:lineRule="exact"/>
    </w:pPr>
    <w:rPr>
      <w:sz w:val="28"/>
      <w:szCs w:val="24"/>
    </w:rPr>
  </w:style>
  <w:style w:type="character" w:customStyle="1" w:styleId="114">
    <w:name w:val="正文首行缩进 Char"/>
    <w:basedOn w:val="89"/>
    <w:link w:val="52"/>
    <w:semiHidden/>
    <w:qFormat/>
    <w:uiPriority w:val="0"/>
    <w:rPr>
      <w:kern w:val="2"/>
      <w:sz w:val="21"/>
      <w:szCs w:val="22"/>
    </w:rPr>
  </w:style>
  <w:style w:type="paragraph" w:customStyle="1" w:styleId="115">
    <w:name w:val="_Style 2"/>
    <w:basedOn w:val="1"/>
    <w:qFormat/>
    <w:uiPriority w:val="99"/>
    <w:pPr>
      <w:ind w:firstLine="420" w:firstLineChars="200"/>
    </w:pPr>
  </w:style>
  <w:style w:type="paragraph" w:customStyle="1" w:styleId="116">
    <w:name w:val="UserStyle_0"/>
    <w:basedOn w:val="1"/>
    <w:qFormat/>
    <w:uiPriority w:val="0"/>
    <w:pPr>
      <w:spacing w:before="15"/>
      <w:ind w:left="120"/>
    </w:pPr>
    <w:rPr>
      <w:rFonts w:ascii="Arial Unicode MS" w:hAnsi="Arial Unicode MS" w:eastAsia="Arial Unicode MS"/>
      <w:sz w:val="32"/>
      <w:szCs w:val="32"/>
    </w:rPr>
  </w:style>
  <w:style w:type="character" w:customStyle="1" w:styleId="117">
    <w:name w:val="注释标题 Char"/>
    <w:basedOn w:val="58"/>
    <w:link w:val="13"/>
    <w:semiHidden/>
    <w:qFormat/>
    <w:uiPriority w:val="0"/>
    <w:rPr>
      <w:rFonts w:ascii="Times New Roman" w:hAnsi="Times New Roman"/>
      <w:kern w:val="2"/>
      <w:sz w:val="21"/>
      <w:szCs w:val="24"/>
    </w:rPr>
  </w:style>
  <w:style w:type="character" w:customStyle="1" w:styleId="118">
    <w:name w:val="电子邮件签名 Char"/>
    <w:basedOn w:val="58"/>
    <w:link w:val="15"/>
    <w:semiHidden/>
    <w:qFormat/>
    <w:uiPriority w:val="0"/>
    <w:rPr>
      <w:rFonts w:ascii="Times New Roman" w:hAnsi="Times New Roman"/>
      <w:kern w:val="2"/>
      <w:sz w:val="21"/>
      <w:szCs w:val="24"/>
    </w:rPr>
  </w:style>
  <w:style w:type="character" w:customStyle="1" w:styleId="119">
    <w:name w:val="称呼 Char"/>
    <w:basedOn w:val="58"/>
    <w:link w:val="22"/>
    <w:semiHidden/>
    <w:qFormat/>
    <w:uiPriority w:val="0"/>
    <w:rPr>
      <w:rFonts w:ascii="Times New Roman" w:hAnsi="Times New Roman"/>
      <w:kern w:val="2"/>
      <w:sz w:val="21"/>
      <w:szCs w:val="24"/>
    </w:rPr>
  </w:style>
  <w:style w:type="character" w:customStyle="1" w:styleId="120">
    <w:name w:val="正文文本 3 Char"/>
    <w:basedOn w:val="58"/>
    <w:link w:val="23"/>
    <w:semiHidden/>
    <w:qFormat/>
    <w:uiPriority w:val="0"/>
    <w:rPr>
      <w:rFonts w:ascii="Times New Roman" w:hAnsi="Times New Roman"/>
      <w:kern w:val="2"/>
      <w:sz w:val="16"/>
      <w:szCs w:val="16"/>
    </w:rPr>
  </w:style>
  <w:style w:type="character" w:customStyle="1" w:styleId="121">
    <w:name w:val="结束语 Char"/>
    <w:basedOn w:val="58"/>
    <w:link w:val="24"/>
    <w:semiHidden/>
    <w:qFormat/>
    <w:uiPriority w:val="0"/>
    <w:rPr>
      <w:rFonts w:ascii="Times New Roman" w:hAnsi="Times New Roman"/>
      <w:kern w:val="2"/>
      <w:sz w:val="21"/>
      <w:szCs w:val="24"/>
    </w:rPr>
  </w:style>
  <w:style w:type="character" w:customStyle="1" w:styleId="122">
    <w:name w:val="HTML 地址 Char"/>
    <w:basedOn w:val="58"/>
    <w:link w:val="28"/>
    <w:semiHidden/>
    <w:qFormat/>
    <w:uiPriority w:val="0"/>
    <w:rPr>
      <w:rFonts w:ascii="Times New Roman" w:hAnsi="Times New Roman"/>
      <w:i/>
      <w:iCs/>
      <w:kern w:val="2"/>
      <w:sz w:val="21"/>
      <w:szCs w:val="24"/>
    </w:rPr>
  </w:style>
  <w:style w:type="character" w:customStyle="1" w:styleId="123">
    <w:name w:val="日期 Char"/>
    <w:basedOn w:val="58"/>
    <w:link w:val="33"/>
    <w:qFormat/>
    <w:uiPriority w:val="0"/>
    <w:rPr>
      <w:rFonts w:ascii="Times New Roman" w:hAnsi="Times New Roman"/>
      <w:kern w:val="2"/>
      <w:sz w:val="21"/>
    </w:rPr>
  </w:style>
  <w:style w:type="character" w:customStyle="1" w:styleId="124">
    <w:name w:val="正文文本缩进 2 Char"/>
    <w:basedOn w:val="58"/>
    <w:link w:val="34"/>
    <w:semiHidden/>
    <w:qFormat/>
    <w:uiPriority w:val="0"/>
    <w:rPr>
      <w:rFonts w:ascii="Times New Roman" w:hAnsi="Times New Roman"/>
      <w:kern w:val="2"/>
      <w:sz w:val="21"/>
      <w:szCs w:val="24"/>
    </w:rPr>
  </w:style>
  <w:style w:type="character" w:customStyle="1" w:styleId="125">
    <w:name w:val="尾注文本 Char"/>
    <w:basedOn w:val="58"/>
    <w:link w:val="35"/>
    <w:semiHidden/>
    <w:qFormat/>
    <w:uiPriority w:val="0"/>
    <w:rPr>
      <w:rFonts w:ascii="Times New Roman" w:hAnsi="Times New Roman"/>
      <w:kern w:val="2"/>
      <w:sz w:val="21"/>
      <w:szCs w:val="24"/>
    </w:rPr>
  </w:style>
  <w:style w:type="character" w:customStyle="1" w:styleId="126">
    <w:name w:val="签名 Char"/>
    <w:basedOn w:val="58"/>
    <w:link w:val="39"/>
    <w:semiHidden/>
    <w:qFormat/>
    <w:uiPriority w:val="0"/>
    <w:rPr>
      <w:rFonts w:ascii="Times New Roman" w:hAnsi="Times New Roman"/>
      <w:kern w:val="2"/>
      <w:sz w:val="21"/>
      <w:szCs w:val="24"/>
    </w:rPr>
  </w:style>
  <w:style w:type="character" w:customStyle="1" w:styleId="127">
    <w:name w:val="脚注文本 Char"/>
    <w:basedOn w:val="58"/>
    <w:link w:val="44"/>
    <w:semiHidden/>
    <w:qFormat/>
    <w:uiPriority w:val="0"/>
    <w:rPr>
      <w:rFonts w:ascii="Times New Roman" w:hAnsi="Times New Roman"/>
      <w:kern w:val="2"/>
      <w:sz w:val="18"/>
    </w:rPr>
  </w:style>
  <w:style w:type="character" w:customStyle="1" w:styleId="128">
    <w:name w:val="信息标题 Char"/>
    <w:basedOn w:val="58"/>
    <w:link w:val="47"/>
    <w:semiHidden/>
    <w:qFormat/>
    <w:uiPriority w:val="0"/>
    <w:rPr>
      <w:rFonts w:ascii="Arial" w:hAnsi="Arial" w:cs="Arial"/>
      <w:kern w:val="2"/>
      <w:sz w:val="24"/>
      <w:szCs w:val="24"/>
      <w:shd w:val="pct20" w:color="auto" w:fill="auto"/>
    </w:rPr>
  </w:style>
  <w:style w:type="character" w:customStyle="1" w:styleId="129">
    <w:name w:val="HTML 预设格式 Char"/>
    <w:basedOn w:val="58"/>
    <w:link w:val="48"/>
    <w:semiHidden/>
    <w:qFormat/>
    <w:uiPriority w:val="0"/>
    <w:rPr>
      <w:rFonts w:ascii="宋体" w:hAnsi="宋体" w:cs="宋体"/>
      <w:color w:val="000000"/>
      <w:sz w:val="24"/>
      <w:szCs w:val="24"/>
    </w:rPr>
  </w:style>
  <w:style w:type="character" w:customStyle="1" w:styleId="130">
    <w:name w:val="unnamed211"/>
    <w:semiHidden/>
    <w:qFormat/>
    <w:uiPriority w:val="0"/>
    <w:rPr>
      <w:sz w:val="23"/>
      <w:szCs w:val="23"/>
    </w:rPr>
  </w:style>
  <w:style w:type="character" w:customStyle="1" w:styleId="131">
    <w:name w:val="ss1"/>
    <w:semiHidden/>
    <w:qFormat/>
    <w:uiPriority w:val="0"/>
    <w:rPr>
      <w:rFonts w:hint="default" w:ascii="ˎ̥" w:hAnsi="ˎ̥"/>
      <w:color w:val="000000"/>
      <w:sz w:val="18"/>
      <w:szCs w:val="18"/>
      <w:u w:val="none"/>
    </w:rPr>
  </w:style>
  <w:style w:type="character" w:customStyle="1" w:styleId="132">
    <w:name w:val="f142"/>
    <w:semiHidden/>
    <w:qFormat/>
    <w:uiPriority w:val="0"/>
    <w:rPr>
      <w:sz w:val="21"/>
      <w:szCs w:val="21"/>
    </w:rPr>
  </w:style>
  <w:style w:type="character" w:customStyle="1" w:styleId="133">
    <w:name w:val="f14b1"/>
    <w:semiHidden/>
    <w:qFormat/>
    <w:uiPriority w:val="0"/>
    <w:rPr>
      <w:b/>
      <w:bCs/>
      <w:sz w:val="21"/>
      <w:szCs w:val="21"/>
    </w:rPr>
  </w:style>
  <w:style w:type="character" w:customStyle="1" w:styleId="134">
    <w:name w:val="ca-41"/>
    <w:qFormat/>
    <w:uiPriority w:val="0"/>
    <w:rPr>
      <w:rFonts w:hint="eastAsia" w:ascii="黑体" w:eastAsia="黑体"/>
      <w:b/>
      <w:bCs/>
      <w:spacing w:val="-20"/>
      <w:sz w:val="30"/>
      <w:szCs w:val="30"/>
    </w:rPr>
  </w:style>
  <w:style w:type="character" w:customStyle="1" w:styleId="135">
    <w:name w:val="签名 Char1"/>
    <w:basedOn w:val="58"/>
    <w:semiHidden/>
    <w:qFormat/>
    <w:uiPriority w:val="99"/>
    <w:rPr>
      <w:rFonts w:ascii="Times New Roman" w:hAnsi="Times New Roman" w:eastAsia="宋体" w:cs="Times New Roman"/>
      <w:szCs w:val="20"/>
    </w:rPr>
  </w:style>
  <w:style w:type="character" w:customStyle="1" w:styleId="136">
    <w:name w:val="正文文本缩进 2 Char1"/>
    <w:basedOn w:val="58"/>
    <w:semiHidden/>
    <w:qFormat/>
    <w:uiPriority w:val="99"/>
    <w:rPr>
      <w:rFonts w:ascii="Times New Roman" w:hAnsi="Times New Roman" w:eastAsia="宋体" w:cs="Times New Roman"/>
      <w:szCs w:val="20"/>
    </w:rPr>
  </w:style>
  <w:style w:type="paragraph" w:customStyle="1" w:styleId="137">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8">
    <w:name w:val="纯文本 Char1"/>
    <w:qFormat/>
    <w:uiPriority w:val="0"/>
    <w:rPr>
      <w:rFonts w:ascii="宋体" w:hAnsi="Courier New" w:cs="Courier New"/>
      <w:kern w:val="2"/>
      <w:sz w:val="21"/>
      <w:szCs w:val="21"/>
    </w:rPr>
  </w:style>
  <w:style w:type="character" w:customStyle="1" w:styleId="139">
    <w:name w:val="Char Char23"/>
    <w:semiHidden/>
    <w:qFormat/>
    <w:uiPriority w:val="0"/>
    <w:rPr>
      <w:rFonts w:ascii="Times New Roman" w:hAnsi="Times New Roman" w:eastAsia="宋体" w:cs="Times New Roman"/>
      <w:b/>
      <w:bCs/>
      <w:szCs w:val="24"/>
    </w:rPr>
  </w:style>
  <w:style w:type="paragraph" w:customStyle="1" w:styleId="140">
    <w:name w:val="z-窗体顶端1"/>
    <w:basedOn w:val="1"/>
    <w:next w:val="1"/>
    <w:link w:val="141"/>
    <w:unhideWhenUsed/>
    <w:qFormat/>
    <w:uiPriority w:val="99"/>
    <w:pPr>
      <w:widowControl/>
      <w:pBdr>
        <w:bottom w:val="single" w:color="auto" w:sz="6" w:space="1"/>
      </w:pBdr>
      <w:jc w:val="center"/>
    </w:pPr>
    <w:rPr>
      <w:rFonts w:ascii="Arial" w:hAnsi="Arial"/>
      <w:vanish/>
      <w:kern w:val="0"/>
      <w:sz w:val="16"/>
      <w:szCs w:val="16"/>
    </w:rPr>
  </w:style>
  <w:style w:type="character" w:customStyle="1" w:styleId="141">
    <w:name w:val="z-窗体顶端 Char"/>
    <w:basedOn w:val="58"/>
    <w:link w:val="140"/>
    <w:qFormat/>
    <w:uiPriority w:val="99"/>
    <w:rPr>
      <w:rFonts w:ascii="Arial" w:hAnsi="Arial"/>
      <w:vanish/>
      <w:sz w:val="16"/>
      <w:szCs w:val="16"/>
    </w:rPr>
  </w:style>
  <w:style w:type="paragraph" w:customStyle="1" w:styleId="142">
    <w:name w:val="z-窗体底端1"/>
    <w:basedOn w:val="1"/>
    <w:next w:val="1"/>
    <w:link w:val="143"/>
    <w:unhideWhenUsed/>
    <w:qFormat/>
    <w:uiPriority w:val="99"/>
    <w:pPr>
      <w:widowControl/>
      <w:pBdr>
        <w:top w:val="single" w:color="auto" w:sz="6" w:space="1"/>
      </w:pBdr>
      <w:jc w:val="center"/>
    </w:pPr>
    <w:rPr>
      <w:rFonts w:ascii="Arial" w:hAnsi="Arial"/>
      <w:vanish/>
      <w:kern w:val="0"/>
      <w:sz w:val="16"/>
      <w:szCs w:val="16"/>
    </w:rPr>
  </w:style>
  <w:style w:type="character" w:customStyle="1" w:styleId="143">
    <w:name w:val="z-窗体底端 Char"/>
    <w:basedOn w:val="58"/>
    <w:link w:val="142"/>
    <w:qFormat/>
    <w:uiPriority w:val="99"/>
    <w:rPr>
      <w:rFonts w:ascii="Arial" w:hAnsi="Arial"/>
      <w:vanish/>
      <w:sz w:val="16"/>
      <w:szCs w:val="16"/>
    </w:rPr>
  </w:style>
  <w:style w:type="paragraph" w:customStyle="1" w:styleId="144">
    <w:name w:val="_Style 10"/>
    <w:qFormat/>
    <w:uiPriority w:val="0"/>
    <w:rPr>
      <w:rFonts w:ascii="Calibri" w:hAnsi="Calibri" w:eastAsia="宋体" w:cs="Times New Roman"/>
      <w:kern w:val="2"/>
      <w:sz w:val="21"/>
      <w:szCs w:val="22"/>
      <w:lang w:val="en-US" w:eastAsia="zh-CN" w:bidi="ar-SA"/>
    </w:rPr>
  </w:style>
  <w:style w:type="paragraph" w:customStyle="1" w:styleId="145">
    <w:name w:val="列出段落1"/>
    <w:basedOn w:val="1"/>
    <w:qFormat/>
    <w:uiPriority w:val="34"/>
    <w:pPr>
      <w:ind w:firstLine="420" w:firstLineChars="200"/>
    </w:pPr>
  </w:style>
  <w:style w:type="paragraph" w:customStyle="1" w:styleId="146">
    <w:name w:val="列出段落2"/>
    <w:basedOn w:val="147"/>
    <w:qFormat/>
    <w:uiPriority w:val="34"/>
    <w:pPr>
      <w:ind w:firstLine="420" w:firstLineChars="200"/>
    </w:pPr>
  </w:style>
  <w:style w:type="paragraph" w:customStyle="1" w:styleId="147">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148">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9">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fontstyle21"/>
    <w:basedOn w:val="58"/>
    <w:qFormat/>
    <w:uiPriority w:val="0"/>
    <w:rPr>
      <w:rFonts w:ascii="FZXBSJW--GB1-0" w:hAnsi="FZXBSJW--GB1-0" w:eastAsia="FZXBSJW--GB1-0" w:cs="FZXBSJW--GB1-0"/>
      <w:color w:val="000000"/>
      <w:sz w:val="44"/>
      <w:szCs w:val="44"/>
    </w:rPr>
  </w:style>
  <w:style w:type="character" w:customStyle="1" w:styleId="151">
    <w:name w:val="fontstyle31"/>
    <w:basedOn w:val="58"/>
    <w:qFormat/>
    <w:uiPriority w:val="0"/>
    <w:rPr>
      <w:rFonts w:ascii="仿宋_GB2312" w:hAnsi="仿宋_GB2312" w:eastAsia="仿宋_GB2312" w:cs="仿宋_GB2312"/>
      <w:color w:val="000000"/>
      <w:sz w:val="32"/>
      <w:szCs w:val="32"/>
    </w:rPr>
  </w:style>
  <w:style w:type="paragraph" w:customStyle="1" w:styleId="152">
    <w:name w:val="页脚2"/>
    <w:basedOn w:val="147"/>
    <w:unhideWhenUsed/>
    <w:qFormat/>
    <w:uiPriority w:val="0"/>
    <w:pPr>
      <w:tabs>
        <w:tab w:val="center" w:pos="4153"/>
        <w:tab w:val="right" w:pos="8306"/>
      </w:tabs>
      <w:snapToGrid w:val="0"/>
      <w:jc w:val="left"/>
    </w:pPr>
    <w:rPr>
      <w:sz w:val="18"/>
      <w:szCs w:val="18"/>
    </w:rPr>
  </w:style>
  <w:style w:type="character" w:customStyle="1" w:styleId="153">
    <w:name w:val="纯文本 Char2"/>
    <w:qFormat/>
    <w:uiPriority w:val="0"/>
    <w:rPr>
      <w:rFonts w:ascii="宋体" w:hAnsi="Courier New" w:eastAsia="宋体" w:cs="Courier New"/>
      <w:sz w:val="21"/>
      <w:szCs w:val="21"/>
    </w:rPr>
  </w:style>
  <w:style w:type="character" w:customStyle="1" w:styleId="154">
    <w:name w:val="fontstrikethrough"/>
    <w:basedOn w:val="58"/>
    <w:qFormat/>
    <w:uiPriority w:val="0"/>
    <w:rPr>
      <w:strike/>
    </w:rPr>
  </w:style>
  <w:style w:type="character" w:customStyle="1" w:styleId="155">
    <w:name w:val="副标题 Char"/>
    <w:link w:val="42"/>
    <w:qFormat/>
    <w:uiPriority w:val="11"/>
    <w:rPr>
      <w:rFonts w:ascii="Cambria" w:hAnsi="Cambria"/>
      <w:b/>
      <w:bCs/>
      <w:kern w:val="28"/>
      <w:sz w:val="32"/>
      <w:szCs w:val="32"/>
    </w:rPr>
  </w:style>
  <w:style w:type="character" w:customStyle="1" w:styleId="156">
    <w:name w:val="fontborder"/>
    <w:basedOn w:val="58"/>
    <w:qFormat/>
    <w:uiPriority w:val="0"/>
    <w:rPr>
      <w:bdr w:val="single" w:color="000000" w:sz="6" w:space="0"/>
    </w:rPr>
  </w:style>
  <w:style w:type="character" w:customStyle="1" w:styleId="157">
    <w:name w:val="标题 Char1"/>
    <w:qFormat/>
    <w:uiPriority w:val="10"/>
    <w:rPr>
      <w:rFonts w:ascii="Cambria" w:hAnsi="Cambria" w:cs="Times New Roman"/>
      <w:b/>
      <w:bCs/>
      <w:kern w:val="2"/>
      <w:sz w:val="32"/>
      <w:szCs w:val="32"/>
    </w:rPr>
  </w:style>
  <w:style w:type="character" w:customStyle="1" w:styleId="158">
    <w:name w:val="标题 Char"/>
    <w:link w:val="26"/>
    <w:qFormat/>
    <w:uiPriority w:val="0"/>
    <w:rPr>
      <w:rFonts w:ascii="Cambria" w:hAnsi="Cambria"/>
      <w:b/>
      <w:bCs/>
      <w:kern w:val="2"/>
      <w:sz w:val="32"/>
      <w:szCs w:val="32"/>
    </w:rPr>
  </w:style>
  <w:style w:type="character" w:customStyle="1" w:styleId="159">
    <w:name w:val="标题 Char2"/>
    <w:basedOn w:val="58"/>
    <w:link w:val="26"/>
    <w:qFormat/>
    <w:uiPriority w:val="10"/>
    <w:rPr>
      <w:rFonts w:asciiTheme="majorHAnsi" w:hAnsiTheme="majorHAnsi" w:cstheme="majorBidi"/>
      <w:b/>
      <w:bCs/>
      <w:kern w:val="2"/>
      <w:sz w:val="32"/>
      <w:szCs w:val="32"/>
    </w:rPr>
  </w:style>
  <w:style w:type="character" w:customStyle="1" w:styleId="160">
    <w:name w:val="副标题 Char1"/>
    <w:basedOn w:val="58"/>
    <w:link w:val="42"/>
    <w:qFormat/>
    <w:uiPriority w:val="11"/>
    <w:rPr>
      <w:rFonts w:asciiTheme="majorHAnsi" w:hAnsiTheme="majorHAnsi" w:cstheme="majorBidi"/>
      <w:b/>
      <w:bCs/>
      <w:kern w:val="28"/>
      <w:sz w:val="32"/>
      <w:szCs w:val="32"/>
    </w:rPr>
  </w:style>
  <w:style w:type="paragraph" w:customStyle="1" w:styleId="161">
    <w:name w:val="Heading 2_1"/>
    <w:basedOn w:val="148"/>
    <w:next w:val="148"/>
    <w:qFormat/>
    <w:uiPriority w:val="0"/>
    <w:pPr>
      <w:spacing w:before="360" w:after="120" w:line="360" w:lineRule="auto"/>
      <w:outlineLvl w:val="1"/>
    </w:pPr>
    <w:rPr>
      <w:rFonts w:ascii="Cambria" w:hAnsi="Cambria" w:eastAsia="黑体"/>
      <w:b/>
      <w:bCs/>
      <w:sz w:val="32"/>
      <w:szCs w:val="32"/>
    </w:rPr>
  </w:style>
  <w:style w:type="paragraph" w:customStyle="1" w:styleId="162">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3">
    <w:name w:val="常用（宋体，5号，1.25行距）"/>
    <w:basedOn w:val="1"/>
    <w:qFormat/>
    <w:uiPriority w:val="0"/>
    <w:pPr>
      <w:widowControl/>
      <w:spacing w:line="300" w:lineRule="auto"/>
      <w:jc w:val="left"/>
    </w:pPr>
    <w:rPr>
      <w:kern w:val="0"/>
      <w:sz w:val="24"/>
      <w:szCs w:val="21"/>
      <w:lang w:eastAsia="en-US" w:bidi="en-US"/>
    </w:rPr>
  </w:style>
  <w:style w:type="paragraph" w:customStyle="1" w:styleId="164">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5">
    <w:name w:val="Plain Text_0"/>
    <w:basedOn w:val="162"/>
    <w:qFormat/>
    <w:uiPriority w:val="0"/>
    <w:rPr>
      <w:rFonts w:ascii="宋体" w:hAnsi="Courier New" w:cs="Courier New"/>
      <w:szCs w:val="21"/>
    </w:rPr>
  </w:style>
  <w:style w:type="character" w:customStyle="1" w:styleId="166">
    <w:name w:val="_Style 1"/>
    <w:qFormat/>
    <w:uiPriority w:val="19"/>
    <w:rPr>
      <w:rFonts w:eastAsia="宋体"/>
      <w:iCs/>
      <w:color w:val="404040"/>
      <w:sz w:val="30"/>
    </w:rPr>
  </w:style>
  <w:style w:type="paragraph" w:customStyle="1" w:styleId="167">
    <w:name w:val="条款标题"/>
    <w:basedOn w:val="4"/>
    <w:qFormat/>
    <w:uiPriority w:val="0"/>
    <w:pPr>
      <w:tabs>
        <w:tab w:val="clear" w:pos="720"/>
      </w:tabs>
      <w:spacing w:before="151" w:beforeLines="50" w:beforeAutospacing="0" w:after="151" w:afterLines="50" w:afterAutospacing="0"/>
      <w:ind w:firstLine="422" w:firstLineChars="200"/>
    </w:pPr>
    <w:rPr>
      <w:rFonts w:asciiTheme="minorEastAsia" w:hAnsiTheme="minorEastAsia" w:eastAsiaTheme="minorEastAsia"/>
      <w:bCs w:val="0"/>
      <w:sz w:val="21"/>
      <w:szCs w:val="21"/>
    </w:rPr>
  </w:style>
  <w:style w:type="paragraph" w:customStyle="1" w:styleId="168">
    <w:name w:val="列出段落"/>
    <w:basedOn w:val="1"/>
    <w:qFormat/>
    <w:uiPriority w:val="34"/>
    <w:pPr>
      <w:ind w:firstLine="420" w:firstLineChars="200"/>
    </w:pPr>
  </w:style>
  <w:style w:type="paragraph" w:customStyle="1" w:styleId="169">
    <w:name w:val="样式1"/>
    <w:basedOn w:val="38"/>
    <w:qFormat/>
    <w:uiPriority w:val="0"/>
    <w:pPr>
      <w:pBdr>
        <w:bottom w:val="thinThickSmallGap" w:color="auto" w:sz="24" w:space="1"/>
      </w:pBdr>
    </w:pPr>
    <w:rPr>
      <w:rFonts w:ascii="黑体" w:hAnsi="Times New Roman" w:eastAsia="黑体"/>
      <w:b/>
      <w:sz w:val="21"/>
      <w:szCs w:val="20"/>
    </w:rPr>
  </w:style>
  <w:style w:type="paragraph" w:customStyle="1" w:styleId="170">
    <w:name w:val="正文缩进1"/>
    <w:basedOn w:val="1"/>
    <w:qFormat/>
    <w:uiPriority w:val="0"/>
    <w:pPr>
      <w:ind w:firstLine="420" w:firstLineChars="200"/>
    </w:pPr>
  </w:style>
  <w:style w:type="paragraph" w:customStyle="1" w:styleId="171">
    <w:name w:val="交标01"/>
    <w:basedOn w:val="172"/>
    <w:qFormat/>
    <w:uiPriority w:val="0"/>
    <w:rPr>
      <w:rFonts w:hint="default"/>
      <w:b/>
      <w:bCs/>
    </w:rPr>
  </w:style>
  <w:style w:type="paragraph" w:customStyle="1" w:styleId="172">
    <w:name w:val="交正文"/>
    <w:basedOn w:val="1"/>
    <w:qFormat/>
    <w:uiPriority w:val="0"/>
    <w:pPr>
      <w:spacing w:line="360" w:lineRule="auto"/>
      <w:ind w:firstLine="440" w:firstLineChars="200"/>
    </w:pPr>
    <w:rPr>
      <w:rFonts w:hint="eastAsia" w:ascii="仿宋" w:hAnsi="仿宋" w:eastAsia="仿宋" w:cs="Times New Roman"/>
      <w:sz w:val="24"/>
      <w:szCs w:val="24"/>
    </w:rPr>
  </w:style>
  <w:style w:type="paragraph" w:customStyle="1" w:styleId="173">
    <w:name w:val="交表头标"/>
    <w:basedOn w:val="1"/>
    <w:qFormat/>
    <w:uiPriority w:val="0"/>
    <w:pPr>
      <w:widowControl/>
      <w:tabs>
        <w:tab w:val="left" w:pos="4"/>
      </w:tabs>
      <w:adjustRightInd w:val="0"/>
      <w:snapToGrid w:val="0"/>
      <w:spacing w:line="360" w:lineRule="auto"/>
      <w:jc w:val="center"/>
    </w:pPr>
    <w:rPr>
      <w:rFonts w:ascii="楷体" w:hAnsi="楷体" w:eastAsia="楷体"/>
      <w:szCs w:val="21"/>
    </w:rPr>
  </w:style>
  <w:style w:type="paragraph" w:customStyle="1" w:styleId="174">
    <w:name w:val="交提纲目录"/>
    <w:basedOn w:val="172"/>
    <w:qFormat/>
    <w:uiPriority w:val="0"/>
    <w:pPr>
      <w:ind w:firstLine="960" w:firstLineChars="400"/>
    </w:pPr>
    <w:rPr>
      <w:rFonts w:cs="Times New Roman"/>
    </w:rPr>
  </w:style>
  <w:style w:type="paragraph" w:customStyle="1" w:styleId="175">
    <w:name w:val="lj图表标题"/>
    <w:qFormat/>
    <w:uiPriority w:val="0"/>
    <w:pPr>
      <w:autoSpaceDE w:val="0"/>
      <w:autoSpaceDN w:val="0"/>
      <w:adjustRightInd w:val="0"/>
      <w:snapToGrid w:val="0"/>
      <w:spacing w:line="360" w:lineRule="auto"/>
      <w:jc w:val="center"/>
    </w:pPr>
    <w:rPr>
      <w:rFonts w:ascii="仿宋" w:hAnsi="仿宋" w:eastAsia="仿宋"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E203A5-188F-4098-9791-FC31F269099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6000</Words>
  <Characters>6194</Characters>
  <Lines>137</Lines>
  <Paragraphs>38</Paragraphs>
  <TotalTime>4</TotalTime>
  <ScaleCrop>false</ScaleCrop>
  <LinksUpToDate>false</LinksUpToDate>
  <CharactersWithSpaces>6220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2023-05-25T17:28:00Z</dcterms:created>
  <dc:creator>微软用户</dc:creator>
  <cp:lastModifiedBy>實誠</cp:lastModifiedBy>
  <cp:lastPrinted>2024-05-01T11:03:00Z</cp:lastPrinted>
  <dcterms:modified xsi:type="dcterms:W3CDTF">2026-08-11T15:15:52Z</dcterms:modified>
  <dc:title>工程编号：</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897F4653DFD54B8A81545F5DF1A25B4F_13</vt:lpwstr>
  </property>
</Properties>
</file>