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B0A3A">
      <w:pPr>
        <w:keepLines w:val="0"/>
        <w:pageBreakBefore w:val="0"/>
        <w:kinsoku/>
        <w:wordWrap/>
        <w:overflowPunct/>
        <w:topLinePunct w:val="0"/>
        <w:bidi w:val="0"/>
        <w:spacing w:line="560" w:lineRule="exact"/>
        <w:rPr>
          <w:color w:val="auto"/>
          <w:sz w:val="18"/>
          <w:szCs w:val="18"/>
          <w:highlight w:val="none"/>
        </w:rPr>
      </w:pPr>
    </w:p>
    <w:p w14:paraId="6278FC75">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深圳市龙岗区第七人民医院</w:t>
      </w:r>
    </w:p>
    <w:p w14:paraId="5ED62CBE">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院内采购标书</w:t>
      </w:r>
    </w:p>
    <w:p w14:paraId="5699B056">
      <w:pPr>
        <w:keepLines w:val="0"/>
        <w:pageBreakBefore w:val="0"/>
        <w:kinsoku/>
        <w:wordWrap/>
        <w:overflowPunct/>
        <w:topLinePunct w:val="0"/>
        <w:bidi w:val="0"/>
        <w:spacing w:line="560" w:lineRule="exact"/>
        <w:jc w:val="center"/>
        <w:rPr>
          <w:rFonts w:ascii="宋体" w:hAnsi="宋体"/>
          <w:b/>
          <w:bCs/>
          <w:color w:val="auto"/>
          <w:sz w:val="44"/>
          <w:highlight w:val="none"/>
        </w:rPr>
      </w:pPr>
    </w:p>
    <w:p w14:paraId="51EB8675">
      <w:pPr>
        <w:keepLines w:val="0"/>
        <w:pageBreakBefore w:val="0"/>
        <w:kinsoku/>
        <w:wordWrap/>
        <w:overflowPunct/>
        <w:topLinePunct w:val="0"/>
        <w:bidi w:val="0"/>
        <w:spacing w:line="560" w:lineRule="exact"/>
        <w:jc w:val="center"/>
        <w:rPr>
          <w:rFonts w:ascii="宋体" w:hAnsi="宋体"/>
          <w:b/>
          <w:bCs/>
          <w:color w:val="auto"/>
          <w:sz w:val="44"/>
          <w:highlight w:val="none"/>
        </w:rPr>
      </w:pPr>
      <w:r>
        <w:rPr>
          <w:rFonts w:hint="eastAsia" w:ascii="宋体" w:hAnsi="宋体"/>
          <w:b/>
          <w:bCs/>
          <w:color w:val="auto"/>
          <w:sz w:val="44"/>
          <w:highlight w:val="none"/>
        </w:rPr>
        <w:t>招标文件信息</w:t>
      </w:r>
    </w:p>
    <w:p w14:paraId="71230AC1">
      <w:pPr>
        <w:keepLines w:val="0"/>
        <w:pageBreakBefore w:val="0"/>
        <w:kinsoku/>
        <w:wordWrap/>
        <w:overflowPunct/>
        <w:topLinePunct w:val="0"/>
        <w:bidi w:val="0"/>
        <w:spacing w:line="560" w:lineRule="exact"/>
        <w:jc w:val="center"/>
        <w:rPr>
          <w:rFonts w:ascii="宋体" w:hAnsi="宋体"/>
          <w:b/>
          <w:bCs/>
          <w:color w:val="auto"/>
          <w:sz w:val="44"/>
          <w:highlight w:val="none"/>
        </w:rPr>
      </w:pPr>
    </w:p>
    <w:p w14:paraId="6EB3CDCC">
      <w:pPr>
        <w:keepLines w:val="0"/>
        <w:pageBreakBefore w:val="0"/>
        <w:kinsoku/>
        <w:wordWrap/>
        <w:overflowPunct/>
        <w:topLinePunct w:val="0"/>
        <w:bidi w:val="0"/>
        <w:snapToGrid w:val="0"/>
        <w:spacing w:line="560" w:lineRule="exact"/>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采购项目：</w:t>
      </w:r>
      <w:r>
        <w:rPr>
          <w:rFonts w:hint="eastAsia" w:ascii="仿宋_GB2312" w:hAnsi="仿宋_GB2312" w:eastAsia="仿宋_GB2312" w:cs="仿宋_GB2312"/>
          <w:color w:val="auto"/>
          <w:sz w:val="36"/>
          <w:szCs w:val="36"/>
          <w:highlight w:val="none"/>
          <w:lang w:val="en-US" w:eastAsia="zh-CN"/>
        </w:rPr>
        <w:t>深圳市龙岗区第七人民医院“强身心涨健识”健康促进主题活动策划服务</w:t>
      </w:r>
    </w:p>
    <w:p w14:paraId="29048E6C">
      <w:pPr>
        <w:keepLines w:val="0"/>
        <w:pageBreakBefore w:val="0"/>
        <w:kinsoku/>
        <w:wordWrap/>
        <w:overflowPunct/>
        <w:topLinePunct w:val="0"/>
        <w:bidi w:val="0"/>
        <w:snapToGrid w:val="0"/>
        <w:spacing w:line="560" w:lineRule="exac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采购项目编号：</w:t>
      </w:r>
      <w:r>
        <w:rPr>
          <w:rFonts w:hint="eastAsia" w:ascii="仿宋_GB2312" w:hAnsi="仿宋_GB2312" w:eastAsia="仿宋_GB2312" w:cs="仿宋_GB2312"/>
          <w:color w:val="auto"/>
          <w:sz w:val="36"/>
          <w:szCs w:val="36"/>
          <w:highlight w:val="none"/>
          <w:lang w:val="en-US" w:eastAsia="zh-CN"/>
        </w:rPr>
        <w:t>深龙七医采[LGQY2026XJ001]</w:t>
      </w:r>
    </w:p>
    <w:p w14:paraId="1A72FCC1">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项目类型：</w:t>
      </w:r>
      <w:r>
        <w:rPr>
          <w:rFonts w:hint="eastAsia" w:ascii="仿宋_GB2312" w:hAnsi="仿宋_GB2312" w:eastAsia="仿宋_GB2312" w:cs="仿宋_GB2312"/>
          <w:color w:val="auto"/>
          <w:sz w:val="36"/>
          <w:szCs w:val="36"/>
          <w:highlight w:val="none"/>
          <w:lang w:val="en-US" w:eastAsia="zh-CN"/>
        </w:rPr>
        <w:t>服务</w:t>
      </w:r>
      <w:r>
        <w:rPr>
          <w:rFonts w:hint="eastAsia" w:ascii="仿宋_GB2312" w:hAnsi="仿宋_GB2312" w:eastAsia="仿宋_GB2312" w:cs="仿宋_GB2312"/>
          <w:color w:val="auto"/>
          <w:sz w:val="36"/>
          <w:szCs w:val="36"/>
          <w:highlight w:val="none"/>
        </w:rPr>
        <w:t>类</w:t>
      </w:r>
    </w:p>
    <w:p w14:paraId="7C73F4CA">
      <w:pPr>
        <w:keepLines w:val="0"/>
        <w:pageBreakBefore w:val="0"/>
        <w:kinsoku/>
        <w:wordWrap/>
        <w:overflowPunct/>
        <w:topLinePunct w:val="0"/>
        <w:bidi w:val="0"/>
        <w:snapToGrid w:val="0"/>
        <w:spacing w:line="560" w:lineRule="exact"/>
        <w:rPr>
          <w:rFonts w:eastAsia="仿宋_GB2312"/>
          <w:color w:val="auto"/>
          <w:highlight w:val="none"/>
        </w:rPr>
      </w:pPr>
      <w:r>
        <w:rPr>
          <w:rFonts w:hint="eastAsia" w:ascii="仿宋_GB2312" w:hAnsi="仿宋_GB2312" w:eastAsia="仿宋_GB2312" w:cs="仿宋_GB2312"/>
          <w:b/>
          <w:bCs/>
          <w:color w:val="auto"/>
          <w:sz w:val="36"/>
          <w:szCs w:val="36"/>
          <w:highlight w:val="none"/>
        </w:rPr>
        <w:t>采购数量：</w:t>
      </w:r>
      <w:r>
        <w:rPr>
          <w:rFonts w:hint="eastAsia" w:ascii="仿宋_GB2312" w:hAnsi="仿宋_GB2312" w:eastAsia="仿宋_GB2312" w:cs="仿宋_GB2312"/>
          <w:b w:val="0"/>
          <w:bCs w:val="0"/>
          <w:color w:val="auto"/>
          <w:sz w:val="36"/>
          <w:szCs w:val="36"/>
          <w:highlight w:val="none"/>
          <w:lang w:val="en-US" w:eastAsia="zh-CN"/>
        </w:rPr>
        <w:t>1项</w:t>
      </w:r>
    </w:p>
    <w:p w14:paraId="05151956">
      <w:pPr>
        <w:keepLines w:val="0"/>
        <w:pageBreakBefore w:val="0"/>
        <w:kinsoku/>
        <w:wordWrap/>
        <w:overflowPunct/>
        <w:topLinePunct w:val="0"/>
        <w:bidi w:val="0"/>
        <w:snapToGrid w:val="0"/>
        <w:spacing w:line="560" w:lineRule="exact"/>
        <w:jc w:val="left"/>
        <w:rPr>
          <w:rFonts w:hint="default" w:ascii="仿宋_GB2312" w:hAnsi="仿宋_GB2312" w:eastAsia="仿宋_GB2312" w:cs="仿宋_GB2312"/>
          <w:color w:val="auto"/>
          <w:sz w:val="36"/>
          <w:szCs w:val="36"/>
          <w:highlight w:val="none"/>
          <w:lang w:val="en-US"/>
        </w:rPr>
      </w:pPr>
      <w:r>
        <w:rPr>
          <w:rFonts w:hint="eastAsia" w:ascii="仿宋_GB2312" w:hAnsi="仿宋_GB2312" w:eastAsia="仿宋_GB2312" w:cs="仿宋_GB2312"/>
          <w:b/>
          <w:bCs/>
          <w:color w:val="auto"/>
          <w:sz w:val="36"/>
          <w:szCs w:val="36"/>
          <w:highlight w:val="none"/>
        </w:rPr>
        <w:t>预算总金额：</w:t>
      </w:r>
      <w:r>
        <w:rPr>
          <w:rFonts w:hint="eastAsia" w:ascii="仿宋_GB2312" w:hAnsi="仿宋_GB2312" w:eastAsia="仿宋_GB2312" w:cs="仿宋_GB2312"/>
          <w:b w:val="0"/>
          <w:bCs w:val="0"/>
          <w:color w:val="auto"/>
          <w:sz w:val="36"/>
          <w:szCs w:val="36"/>
          <w:highlight w:val="none"/>
          <w:lang w:val="en-US" w:eastAsia="zh-CN"/>
        </w:rPr>
        <w:t>6.0万元</w:t>
      </w:r>
    </w:p>
    <w:p w14:paraId="71CD1AE2">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采购方式：</w:t>
      </w:r>
      <w:r>
        <w:rPr>
          <w:rFonts w:hint="eastAsia" w:ascii="仿宋_GB2312" w:hAnsi="仿宋_GB2312" w:eastAsia="仿宋_GB2312" w:cs="仿宋_GB2312"/>
          <w:color w:val="auto"/>
          <w:sz w:val="36"/>
          <w:szCs w:val="36"/>
          <w:highlight w:val="none"/>
        </w:rPr>
        <w:t>院内公开</w:t>
      </w:r>
      <w:r>
        <w:rPr>
          <w:rFonts w:hint="eastAsia" w:ascii="仿宋_GB2312" w:hAnsi="仿宋_GB2312" w:eastAsia="仿宋_GB2312" w:cs="仿宋_GB2312"/>
          <w:color w:val="auto"/>
          <w:sz w:val="36"/>
          <w:szCs w:val="36"/>
          <w:highlight w:val="none"/>
          <w:lang w:val="en-US" w:eastAsia="zh-CN"/>
        </w:rPr>
        <w:t>招标</w:t>
      </w:r>
      <w:r>
        <w:rPr>
          <w:rFonts w:hint="eastAsia" w:ascii="仿宋_GB2312" w:hAnsi="仿宋_GB2312" w:eastAsia="仿宋_GB2312" w:cs="仿宋_GB2312"/>
          <w:color w:val="auto"/>
          <w:sz w:val="36"/>
          <w:szCs w:val="36"/>
          <w:highlight w:val="none"/>
        </w:rPr>
        <w:t>采购</w:t>
      </w:r>
    </w:p>
    <w:p w14:paraId="13BC764B">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评标方法：</w:t>
      </w:r>
      <w:r>
        <w:rPr>
          <w:rFonts w:hint="eastAsia" w:ascii="仿宋_GB2312" w:hAnsi="仿宋_GB2312" w:eastAsia="仿宋_GB2312" w:cs="仿宋_GB2312"/>
          <w:color w:val="auto"/>
          <w:sz w:val="36"/>
          <w:szCs w:val="36"/>
          <w:highlight w:val="none"/>
        </w:rPr>
        <w:t>综合评分法</w:t>
      </w:r>
    </w:p>
    <w:p w14:paraId="206116BE">
      <w:pPr>
        <w:keepLines w:val="0"/>
        <w:pageBreakBefore w:val="0"/>
        <w:kinsoku/>
        <w:wordWrap/>
        <w:overflowPunct/>
        <w:topLinePunct w:val="0"/>
        <w:bidi w:val="0"/>
        <w:snapToGrid w:val="0"/>
        <w:spacing w:line="560" w:lineRule="exact"/>
        <w:rPr>
          <w:rFonts w:ascii="仿宋_GB2312" w:hAnsi="仿宋_GB2312" w:eastAsia="仿宋_GB2312" w:cs="仿宋_GB2312"/>
          <w:color w:val="auto"/>
          <w:sz w:val="36"/>
          <w:szCs w:val="36"/>
          <w:highlight w:val="none"/>
        </w:rPr>
      </w:pPr>
      <w:r>
        <w:rPr>
          <w:rFonts w:hint="eastAsia" w:ascii="仿宋_GB2312" w:hAnsi="仿宋_GB2312" w:eastAsia="仿宋_GB2312" w:cs="仿宋_GB2312"/>
          <w:b/>
          <w:bCs/>
          <w:color w:val="auto"/>
          <w:sz w:val="36"/>
          <w:szCs w:val="36"/>
          <w:highlight w:val="none"/>
        </w:rPr>
        <w:t>投标货币</w:t>
      </w:r>
      <w:r>
        <w:rPr>
          <w:rFonts w:hint="eastAsia" w:ascii="仿宋_GB2312" w:hAnsi="仿宋_GB2312" w:eastAsia="仿宋_GB2312" w:cs="仿宋_GB2312"/>
          <w:color w:val="auto"/>
          <w:sz w:val="36"/>
          <w:szCs w:val="36"/>
          <w:highlight w:val="none"/>
        </w:rPr>
        <w:t>：人民币</w:t>
      </w:r>
    </w:p>
    <w:p w14:paraId="6F91FEB1">
      <w:pPr>
        <w:pStyle w:val="11"/>
        <w:keepLines w:val="0"/>
        <w:pageBreakBefore w:val="0"/>
        <w:kinsoku/>
        <w:wordWrap/>
        <w:overflowPunct/>
        <w:topLinePunct w:val="0"/>
        <w:bidi w:val="0"/>
        <w:spacing w:line="560" w:lineRule="exact"/>
        <w:rPr>
          <w:rFonts w:hint="default"/>
          <w:color w:val="auto"/>
          <w:highlight w:val="none"/>
        </w:rPr>
      </w:pPr>
    </w:p>
    <w:p w14:paraId="66FC2177">
      <w:pPr>
        <w:pStyle w:val="11"/>
        <w:keepLines w:val="0"/>
        <w:pageBreakBefore w:val="0"/>
        <w:kinsoku/>
        <w:wordWrap/>
        <w:overflowPunct/>
        <w:topLinePunct w:val="0"/>
        <w:bidi w:val="0"/>
        <w:spacing w:line="560" w:lineRule="exact"/>
        <w:rPr>
          <w:rFonts w:hint="default"/>
          <w:color w:val="auto"/>
          <w:szCs w:val="20"/>
          <w:highlight w:val="none"/>
        </w:rPr>
      </w:pPr>
    </w:p>
    <w:p w14:paraId="48A06F04">
      <w:pPr>
        <w:pStyle w:val="5"/>
        <w:keepLines w:val="0"/>
        <w:pageBreakBefore w:val="0"/>
        <w:kinsoku/>
        <w:wordWrap/>
        <w:overflowPunct/>
        <w:topLinePunct w:val="0"/>
        <w:bidi w:val="0"/>
        <w:spacing w:line="560" w:lineRule="exact"/>
        <w:rPr>
          <w:color w:val="auto"/>
          <w:highlight w:val="none"/>
        </w:rPr>
      </w:pPr>
    </w:p>
    <w:p w14:paraId="35185B3C">
      <w:pPr>
        <w:keepLines w:val="0"/>
        <w:pageBreakBefore w:val="0"/>
        <w:kinsoku/>
        <w:wordWrap/>
        <w:overflowPunct/>
        <w:topLinePunct w:val="0"/>
        <w:bidi w:val="0"/>
        <w:spacing w:line="560" w:lineRule="exact"/>
        <w:rPr>
          <w:color w:val="auto"/>
          <w:highlight w:val="none"/>
        </w:rPr>
      </w:pPr>
    </w:p>
    <w:p w14:paraId="70B8625C">
      <w:pPr>
        <w:pStyle w:val="3"/>
        <w:keepLines w:val="0"/>
        <w:pageBreakBefore w:val="0"/>
        <w:kinsoku/>
        <w:wordWrap/>
        <w:overflowPunct/>
        <w:topLinePunct w:val="0"/>
        <w:bidi w:val="0"/>
        <w:spacing w:line="560" w:lineRule="exact"/>
        <w:rPr>
          <w:color w:val="auto"/>
          <w:highlight w:val="none"/>
        </w:rPr>
      </w:pPr>
    </w:p>
    <w:p w14:paraId="03D6EFAC">
      <w:pPr>
        <w:keepLines w:val="0"/>
        <w:pageBreakBefore w:val="0"/>
        <w:kinsoku/>
        <w:wordWrap/>
        <w:overflowPunct/>
        <w:topLinePunct w:val="0"/>
        <w:bidi w:val="0"/>
        <w:spacing w:line="560" w:lineRule="exact"/>
        <w:rPr>
          <w:color w:val="auto"/>
          <w:highlight w:val="none"/>
        </w:rPr>
      </w:pPr>
    </w:p>
    <w:p w14:paraId="50DDCA50">
      <w:pPr>
        <w:pStyle w:val="3"/>
        <w:keepLines w:val="0"/>
        <w:pageBreakBefore w:val="0"/>
        <w:kinsoku/>
        <w:wordWrap/>
        <w:overflowPunct/>
        <w:topLinePunct w:val="0"/>
        <w:bidi w:val="0"/>
        <w:spacing w:line="560" w:lineRule="exact"/>
        <w:ind w:firstLine="1920" w:firstLineChars="600"/>
        <w:rPr>
          <w:rFonts w:cs="宋体"/>
          <w:color w:val="auto"/>
          <w:sz w:val="40"/>
          <w:szCs w:val="40"/>
          <w:highlight w:val="none"/>
        </w:rPr>
      </w:pPr>
      <w:r>
        <w:rPr>
          <w:rFonts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2026</w:t>
      </w:r>
      <w:r>
        <w:rPr>
          <w:rFonts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6</w:t>
      </w:r>
      <w:r>
        <w:rPr>
          <w:rFonts w:ascii="仿宋_GB2312" w:hAnsi="仿宋_GB2312" w:eastAsia="仿宋_GB2312" w:cs="仿宋_GB2312"/>
          <w:color w:val="auto"/>
          <w:sz w:val="32"/>
          <w:szCs w:val="32"/>
          <w:highlight w:val="none"/>
        </w:rPr>
        <w:t>日</w:t>
      </w:r>
    </w:p>
    <w:p w14:paraId="768F5EF4">
      <w:pPr>
        <w:spacing w:line="560" w:lineRule="exact"/>
        <w:rPr>
          <w:color w:val="auto"/>
          <w:highlight w:val="none"/>
        </w:rPr>
      </w:pPr>
      <w:r>
        <w:rPr>
          <w:color w:val="auto"/>
          <w:highlight w:val="none"/>
        </w:rPr>
        <w:br w:type="page"/>
      </w:r>
    </w:p>
    <w:p w14:paraId="479074A0">
      <w:pPr>
        <w:pStyle w:val="2"/>
        <w:bidi w:val="0"/>
        <w:spacing w:line="560" w:lineRule="exact"/>
        <w:jc w:val="center"/>
        <w:rPr>
          <w:color w:val="auto"/>
          <w:sz w:val="40"/>
          <w:szCs w:val="22"/>
          <w:highlight w:val="none"/>
        </w:rPr>
      </w:pPr>
      <w:r>
        <w:rPr>
          <w:rFonts w:hint="eastAsia"/>
          <w:color w:val="auto"/>
          <w:sz w:val="40"/>
          <w:szCs w:val="22"/>
          <w:highlight w:val="none"/>
        </w:rPr>
        <w:t>第一章</w:t>
      </w:r>
    </w:p>
    <w:p w14:paraId="12CB2C7D">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kern w:val="0"/>
          <w:sz w:val="44"/>
          <w:szCs w:val="44"/>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t>深圳市龙岗区第七人民医院“强身心涨健识”健康促进主题活动策划服务项目</w:t>
      </w:r>
    </w:p>
    <w:p w14:paraId="1075828A">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kern w:val="0"/>
          <w:sz w:val="44"/>
          <w:szCs w:val="44"/>
          <w:highlight w:val="none"/>
        </w:rPr>
        <w:t>院内公</w:t>
      </w:r>
      <w:r>
        <w:rPr>
          <w:rFonts w:hint="eastAsia" w:ascii="方正小标宋简体" w:hAnsi="方正小标宋简体" w:eastAsia="方正小标宋简体" w:cs="方正小标宋简体"/>
          <w:color w:val="auto"/>
          <w:sz w:val="44"/>
          <w:szCs w:val="44"/>
          <w:highlight w:val="none"/>
        </w:rPr>
        <w:t>开采购的公告</w:t>
      </w:r>
    </w:p>
    <w:p w14:paraId="41C3B285">
      <w:pPr>
        <w:keepLines w:val="0"/>
        <w:pageBreakBefore w:val="0"/>
        <w:kinsoku/>
        <w:wordWrap/>
        <w:overflowPunct/>
        <w:topLinePunct w:val="0"/>
        <w:bidi w:val="0"/>
        <w:snapToGrid w:val="0"/>
        <w:spacing w:line="560" w:lineRule="exact"/>
        <w:jc w:val="center"/>
        <w:rPr>
          <w:rFonts w:hint="eastAsia" w:ascii="方正小标宋简体" w:hAnsi="方正小标宋简体" w:eastAsia="方正小标宋简体" w:cs="方正小标宋简体"/>
          <w:color w:val="auto"/>
          <w:sz w:val="44"/>
          <w:szCs w:val="44"/>
          <w:highlight w:val="none"/>
        </w:rPr>
      </w:pPr>
    </w:p>
    <w:p w14:paraId="0F738EDD">
      <w:pPr>
        <w:keepNext w:val="0"/>
        <w:keepLines w:val="0"/>
        <w:pageBreakBefore w:val="0"/>
        <w:kinsoku/>
        <w:wordWrap/>
        <w:overflowPunct/>
        <w:topLinePunct w:val="0"/>
        <w:autoSpaceDE/>
        <w:autoSpaceDN/>
        <w:bidi w:val="0"/>
        <w:adjustRightInd/>
        <w:snapToGrid/>
        <w:spacing w:line="540" w:lineRule="exact"/>
        <w:ind w:firstLine="0" w:firstLineChars="0"/>
        <w:textAlignment w:val="auto"/>
        <w:rPr>
          <w:rFonts w:ascii="仿宋_GB2312" w:hAnsi="宋体" w:eastAsia="仿宋_GB2312"/>
          <w:color w:val="auto"/>
          <w:sz w:val="28"/>
          <w:szCs w:val="28"/>
          <w:highlight w:val="none"/>
        </w:rPr>
      </w:pPr>
    </w:p>
    <w:p w14:paraId="705D42E0">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t>根据政府采</w:t>
      </w:r>
      <w:r>
        <w:rPr>
          <w:rFonts w:hint="eastAsia" w:ascii="仿宋_GB2312" w:hAnsi="宋体" w:eastAsia="仿宋_GB2312"/>
          <w:color w:val="auto"/>
          <w:sz w:val="28"/>
          <w:szCs w:val="28"/>
          <w:highlight w:val="none"/>
          <w:lang w:eastAsia="zh-CN"/>
        </w:rPr>
        <w:t>购的</w:t>
      </w:r>
      <w:r>
        <w:rPr>
          <w:rFonts w:hint="eastAsia" w:ascii="仿宋_GB2312" w:hAnsi="宋体" w:eastAsia="仿宋_GB2312"/>
          <w:color w:val="auto"/>
          <w:sz w:val="28"/>
          <w:szCs w:val="28"/>
          <w:highlight w:val="none"/>
        </w:rPr>
        <w:t>相关规定和《深圳市龙岗区第七人民医院采购管理办法》的有关规定，</w:t>
      </w:r>
      <w:r>
        <w:rPr>
          <w:rFonts w:hint="eastAsia" w:ascii="仿宋_GB2312" w:eastAsia="仿宋_GB2312"/>
          <w:color w:val="auto"/>
          <w:sz w:val="28"/>
          <w:szCs w:val="28"/>
          <w:highlight w:val="none"/>
        </w:rPr>
        <w:t>我院拟对以下项目进行院内公开采购，欢迎符合条件具有供应能力的</w:t>
      </w:r>
      <w:r>
        <w:rPr>
          <w:rFonts w:hint="eastAsia" w:ascii="仿宋_GB2312" w:hAnsi="宋体" w:eastAsia="仿宋_GB2312"/>
          <w:color w:val="auto"/>
          <w:sz w:val="28"/>
          <w:szCs w:val="28"/>
          <w:highlight w:val="none"/>
          <w:lang w:eastAsia="zh-CN"/>
        </w:rPr>
        <w:t>供应商或厂家前来报名参加。</w:t>
      </w:r>
    </w:p>
    <w:p w14:paraId="41C5780D">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一、采购项目</w:t>
      </w:r>
    </w:p>
    <w:p w14:paraId="659C0CC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一</w:t>
      </w:r>
      <w:r>
        <w:rPr>
          <w:rFonts w:hint="eastAsia" w:ascii="楷体_GB2312" w:hAnsi="楷体_GB2312" w:eastAsia="楷体_GB2312" w:cs="楷体_GB2312"/>
          <w:color w:val="auto"/>
          <w:sz w:val="28"/>
          <w:szCs w:val="28"/>
          <w:highlight w:val="none"/>
          <w:lang w:eastAsia="zh-CN"/>
        </w:rPr>
        <w:t>）项目编号</w:t>
      </w:r>
      <w:r>
        <w:rPr>
          <w:rFonts w:hint="eastAsia" w:ascii="仿宋_GB2312" w:hAnsi="宋体" w:eastAsia="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深龙七医采[LGQY2026XJ001]</w:t>
      </w:r>
    </w:p>
    <w:p w14:paraId="232C195D">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二</w:t>
      </w:r>
      <w:r>
        <w:rPr>
          <w:rFonts w:hint="eastAsia" w:ascii="楷体_GB2312" w:hAnsi="楷体_GB2312" w:eastAsia="楷体_GB2312" w:cs="楷体_GB2312"/>
          <w:color w:val="auto"/>
          <w:sz w:val="28"/>
          <w:szCs w:val="28"/>
          <w:highlight w:val="none"/>
          <w:lang w:eastAsia="zh-CN"/>
        </w:rPr>
        <w:t>）项目名</w:t>
      </w:r>
      <w:r>
        <w:rPr>
          <w:rFonts w:hint="eastAsia" w:ascii="楷体_GB2312" w:hAnsi="楷体_GB2312" w:eastAsia="楷体_GB2312" w:cs="楷体_GB2312"/>
          <w:color w:val="auto"/>
          <w:sz w:val="28"/>
          <w:szCs w:val="28"/>
          <w:highlight w:val="none"/>
          <w:lang w:val="en-US" w:eastAsia="zh-CN"/>
        </w:rPr>
        <w:t>称：</w:t>
      </w:r>
      <w:r>
        <w:rPr>
          <w:rFonts w:hint="eastAsia" w:ascii="仿宋_GB2312" w:hAnsi="宋体" w:eastAsia="仿宋_GB2312"/>
          <w:color w:val="auto"/>
          <w:sz w:val="28"/>
          <w:szCs w:val="28"/>
          <w:highlight w:val="none"/>
        </w:rPr>
        <w:t>深圳市龙岗区第七人民医院</w:t>
      </w:r>
      <w:r>
        <w:rPr>
          <w:rFonts w:hint="eastAsia" w:ascii="仿宋_GB2312" w:hAnsi="仿宋_GB2312" w:eastAsia="仿宋_GB2312" w:cs="仿宋_GB2312"/>
          <w:color w:val="auto"/>
          <w:kern w:val="2"/>
          <w:sz w:val="28"/>
          <w:szCs w:val="28"/>
          <w:highlight w:val="none"/>
          <w:lang w:val="en-US" w:eastAsia="zh-CN" w:bidi="ar-SA"/>
        </w:rPr>
        <w:t>“强身心涨健识”健康促进主题活动策划服务</w:t>
      </w:r>
    </w:p>
    <w:p w14:paraId="7D55CFDE">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宋体" w:eastAsia="仿宋_GB2312"/>
          <w:color w:val="auto"/>
          <w:sz w:val="28"/>
          <w:szCs w:val="28"/>
          <w:highlight w:val="none"/>
          <w:lang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三</w:t>
      </w:r>
      <w:r>
        <w:rPr>
          <w:rFonts w:hint="eastAsia" w:ascii="楷体_GB2312" w:hAnsi="楷体_GB2312" w:eastAsia="楷体_GB2312" w:cs="楷体_GB2312"/>
          <w:color w:val="auto"/>
          <w:sz w:val="28"/>
          <w:szCs w:val="28"/>
          <w:highlight w:val="none"/>
          <w:lang w:eastAsia="zh-CN"/>
        </w:rPr>
        <w:t>）采购数量：</w:t>
      </w:r>
      <w:r>
        <w:rPr>
          <w:rFonts w:hint="eastAsia" w:ascii="仿宋_GB2312" w:hAnsi="宋体" w:eastAsia="仿宋_GB2312"/>
          <w:color w:val="auto"/>
          <w:sz w:val="28"/>
          <w:szCs w:val="28"/>
          <w:highlight w:val="none"/>
          <w:lang w:val="en-US" w:eastAsia="zh-CN"/>
        </w:rPr>
        <w:t>1项</w:t>
      </w:r>
    </w:p>
    <w:p w14:paraId="372AE7C5">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仿宋_GB2312" w:hAnsi="宋体" w:eastAsia="仿宋_GB2312"/>
          <w:color w:val="auto"/>
          <w:sz w:val="28"/>
          <w:szCs w:val="28"/>
          <w:highlight w:val="none"/>
          <w:lang w:val="en-US" w:eastAsia="zh-CN"/>
        </w:rPr>
      </w:pPr>
      <w:r>
        <w:rPr>
          <w:rFonts w:hint="eastAsia" w:ascii="楷体_GB2312" w:hAnsi="楷体_GB2312" w:eastAsia="楷体_GB2312" w:cs="楷体_GB2312"/>
          <w:color w:val="auto"/>
          <w:sz w:val="28"/>
          <w:szCs w:val="28"/>
          <w:highlight w:val="none"/>
          <w:lang w:eastAsia="zh-CN"/>
        </w:rPr>
        <w:t>（</w:t>
      </w:r>
      <w:r>
        <w:rPr>
          <w:rFonts w:hint="eastAsia" w:ascii="楷体_GB2312" w:hAnsi="楷体_GB2312" w:eastAsia="楷体_GB2312" w:cs="楷体_GB2312"/>
          <w:color w:val="auto"/>
          <w:sz w:val="28"/>
          <w:szCs w:val="28"/>
          <w:highlight w:val="none"/>
          <w:lang w:val="en-US" w:eastAsia="zh-CN"/>
        </w:rPr>
        <w:t>四</w:t>
      </w:r>
      <w:r>
        <w:rPr>
          <w:rFonts w:hint="eastAsia" w:ascii="楷体_GB2312" w:hAnsi="楷体_GB2312" w:eastAsia="楷体_GB2312" w:cs="楷体_GB2312"/>
          <w:color w:val="auto"/>
          <w:sz w:val="28"/>
          <w:szCs w:val="28"/>
          <w:highlight w:val="none"/>
          <w:lang w:eastAsia="zh-CN"/>
        </w:rPr>
        <w:t>）预算金额（最高限</w:t>
      </w:r>
      <w:r>
        <w:rPr>
          <w:rFonts w:hint="eastAsia" w:ascii="楷体_GB2312" w:hAnsi="楷体_GB2312" w:eastAsia="楷体_GB2312" w:cs="楷体_GB2312"/>
          <w:color w:val="auto"/>
          <w:sz w:val="28"/>
          <w:szCs w:val="28"/>
          <w:highlight w:val="none"/>
          <w:lang w:val="en-US" w:eastAsia="zh-CN"/>
        </w:rPr>
        <w:t>价</w:t>
      </w:r>
      <w:r>
        <w:rPr>
          <w:rFonts w:hint="eastAsia" w:ascii="楷体_GB2312" w:hAnsi="楷体_GB2312" w:eastAsia="楷体_GB2312" w:cs="楷体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6.0万元</w:t>
      </w:r>
    </w:p>
    <w:p w14:paraId="556B6C4C">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二、资质要求</w:t>
      </w:r>
    </w:p>
    <w:p w14:paraId="70A7C57E">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64E2BA5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2100A9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42B4D4D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449FE8A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24EF1DB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364BED6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17C99F5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38BC8E7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373B1B51">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C64EAD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0A29935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5303361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strike/>
          <w:dstrike w:val="0"/>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44C5F671">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三、采购方式：</w:t>
      </w:r>
      <w:r>
        <w:rPr>
          <w:rFonts w:hint="eastAsia" w:ascii="仿宋_GB2312" w:hAnsi="仿宋_GB2312" w:eastAsia="仿宋_GB2312" w:cs="仿宋_GB2312"/>
          <w:color w:val="auto"/>
          <w:kern w:val="2"/>
          <w:sz w:val="28"/>
          <w:szCs w:val="28"/>
          <w:highlight w:val="none"/>
          <w:lang w:val="en-US" w:eastAsia="zh-CN" w:bidi="ar-SA"/>
        </w:rPr>
        <w:t>院内公开招标</w:t>
      </w:r>
    </w:p>
    <w:p w14:paraId="0BE84DB4">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四、评标方法：</w:t>
      </w:r>
      <w:r>
        <w:rPr>
          <w:rFonts w:hint="eastAsia" w:ascii="仿宋_GB2312" w:hAnsi="仿宋_GB2312" w:eastAsia="仿宋_GB2312" w:cs="仿宋_GB2312"/>
          <w:color w:val="auto"/>
          <w:kern w:val="2"/>
          <w:sz w:val="28"/>
          <w:szCs w:val="28"/>
          <w:highlight w:val="none"/>
          <w:lang w:val="en-US" w:eastAsia="zh-CN" w:bidi="ar-SA"/>
        </w:rPr>
        <w:t>综合评分法</w:t>
      </w:r>
    </w:p>
    <w:p w14:paraId="5A3DCDDE">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五、投标人报名资料要求</w:t>
      </w:r>
    </w:p>
    <w:p w14:paraId="1B561D6A">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（一）院内采购报名表。</w:t>
      </w:r>
    </w:p>
    <w:p w14:paraId="51FA7FE3">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212C50B8">
      <w:pPr>
        <w:pStyle w:val="28"/>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（三）供应商须提供具有独立承担民事责任能力的法人或其他组织或个体工商户的营业执照或法人证书等证明材料复印件或扫描件。</w:t>
      </w:r>
    </w:p>
    <w:p w14:paraId="0A0FE4A4">
      <w:pPr>
        <w:pStyle w:val="28"/>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（四）供应商基本情况表。</w:t>
      </w:r>
    </w:p>
    <w:p w14:paraId="66F0854A">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（五）提供法定代表人、主要经营负责人、投标授权代表人、项目负责人（如有）、主要技术人员（如有）最近一个月的社保证明。</w:t>
      </w:r>
    </w:p>
    <w:p w14:paraId="04BD44C5">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2571F7D7">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（七）投标及履约承诺函。</w:t>
      </w:r>
    </w:p>
    <w:p w14:paraId="3B470574">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以上资料均需在有效期内并加盖投标方公章。本项目实行资格预审，投标人报名时将进行资格审查，未经审查或审查未通过的不能参与投标。</w:t>
      </w:r>
    </w:p>
    <w:p w14:paraId="5790E789">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p>
    <w:p w14:paraId="756F9922">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七、报名截止时间及地点：</w:t>
      </w:r>
      <w:r>
        <w:rPr>
          <w:rFonts w:hint="eastAsia" w:ascii="仿宋_GB2312" w:hAnsi="仿宋_GB2312" w:eastAsia="仿宋_GB2312" w:cs="仿宋_GB2312"/>
          <w:color w:val="auto"/>
          <w:kern w:val="2"/>
          <w:sz w:val="28"/>
          <w:szCs w:val="28"/>
          <w:highlight w:val="none"/>
          <w:lang w:val="en-US" w:eastAsia="zh-CN" w:bidi="ar-SA"/>
        </w:rPr>
        <w:t>2026年8月13日</w:t>
      </w:r>
      <w:bookmarkStart w:id="0" w:name="OLE_LINK1"/>
      <w:r>
        <w:rPr>
          <w:rFonts w:hint="eastAsia" w:ascii="仿宋_GB2312" w:hAnsi="仿宋_GB2312" w:eastAsia="仿宋_GB2312" w:cs="仿宋_GB2312"/>
          <w:color w:val="auto"/>
          <w:kern w:val="2"/>
          <w:sz w:val="28"/>
          <w:szCs w:val="28"/>
          <w:highlight w:val="none"/>
          <w:lang w:val="en-US" w:eastAsia="zh-CN" w:bidi="ar-SA"/>
        </w:rPr>
        <w:t>17:00</w:t>
      </w:r>
      <w:bookmarkEnd w:id="0"/>
      <w:r>
        <w:rPr>
          <w:rFonts w:hint="eastAsia" w:ascii="仿宋_GB2312" w:hAnsi="仿宋_GB2312" w:eastAsia="仿宋_GB2312" w:cs="仿宋_GB2312"/>
          <w:color w:val="auto"/>
          <w:kern w:val="2"/>
          <w:sz w:val="28"/>
          <w:szCs w:val="28"/>
          <w:highlight w:val="none"/>
          <w:lang w:val="en-US" w:eastAsia="zh-CN" w:bidi="ar-SA"/>
        </w:rPr>
        <w:t>，布吉街道吉华路175号综合楼810招采办。</w:t>
      </w:r>
    </w:p>
    <w:p w14:paraId="35E89BD4">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八、递交投标文件及开标时间及地点：</w:t>
      </w:r>
      <w:r>
        <w:rPr>
          <w:rFonts w:hint="eastAsia" w:ascii="仿宋_GB2312" w:hAnsi="仿宋_GB2312" w:eastAsia="仿宋_GB2312" w:cs="仿宋_GB2312"/>
          <w:color w:val="auto"/>
          <w:kern w:val="2"/>
          <w:sz w:val="28"/>
          <w:szCs w:val="28"/>
          <w:highlight w:val="none"/>
          <w:lang w:val="en-US" w:eastAsia="zh-CN" w:bidi="ar-SA"/>
        </w:rPr>
        <w:t>2026年8月14日15:00，深圳市龙岗区布吉街道吉华路175号龙岭院区综合楼1002会议室（如有变动，另行通知）。</w:t>
      </w:r>
    </w:p>
    <w:p w14:paraId="0F9C02D2">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九、联系人及联系电话：</w:t>
      </w:r>
      <w:r>
        <w:rPr>
          <w:rFonts w:hint="eastAsia" w:ascii="仿宋_GB2312" w:hAnsi="仿宋_GB2312" w:eastAsia="仿宋_GB2312" w:cs="仿宋_GB2312"/>
          <w:color w:val="auto"/>
          <w:kern w:val="2"/>
          <w:sz w:val="28"/>
          <w:szCs w:val="28"/>
          <w:highlight w:val="none"/>
          <w:lang w:val="en-US" w:eastAsia="zh-CN" w:bidi="ar-SA"/>
        </w:rPr>
        <w:t>陈工、李工，0755-28740606-3810。</w:t>
      </w:r>
    </w:p>
    <w:p w14:paraId="4E62321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60" w:firstLineChars="200"/>
        <w:jc w:val="left"/>
        <w:textAlignment w:val="auto"/>
        <w:rPr>
          <w:rFonts w:hint="eastAsia" w:ascii="仿宋_GB2312" w:hAnsi="仿宋_GB2312" w:eastAsia="仿宋_GB2312" w:cs="仿宋_GB2312"/>
          <w:sz w:val="32"/>
          <w:szCs w:val="32"/>
          <w:highlight w:val="none"/>
        </w:rPr>
      </w:pPr>
      <w:r>
        <w:rPr>
          <w:rFonts w:hint="eastAsia" w:ascii="黑体" w:hAnsi="黑体" w:eastAsia="黑体" w:cs="黑体"/>
          <w:color w:val="auto"/>
          <w:kern w:val="2"/>
          <w:sz w:val="28"/>
          <w:szCs w:val="28"/>
          <w:highlight w:val="none"/>
          <w:lang w:val="en-US" w:eastAsia="zh-CN" w:bidi="ar-SA"/>
        </w:rPr>
        <w:t>十、</w:t>
      </w:r>
      <w:r>
        <w:rPr>
          <w:rFonts w:hint="eastAsia" w:ascii="黑体" w:hAnsi="黑体" w:eastAsia="黑体" w:cs="黑体"/>
          <w:sz w:val="28"/>
          <w:szCs w:val="28"/>
          <w:highlight w:val="none"/>
        </w:rPr>
        <w:t>监督部门</w:t>
      </w:r>
    </w:p>
    <w:p w14:paraId="490F588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医院纪审科监督联系电话:李女士，0755-28740471。</w:t>
      </w:r>
    </w:p>
    <w:p w14:paraId="3B3D80E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sz w:val="28"/>
          <w:szCs w:val="28"/>
          <w:highlight w:val="none"/>
        </w:rPr>
        <w:t>项目所属一级预算单位监督联系电话:0755-89551103。</w:t>
      </w:r>
    </w:p>
    <w:p w14:paraId="76294065">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十一、公告日期：</w:t>
      </w:r>
      <w:r>
        <w:rPr>
          <w:rFonts w:hint="eastAsia" w:ascii="仿宋_GB2312" w:hAnsi="仿宋_GB2312" w:eastAsia="仿宋_GB2312" w:cs="仿宋_GB2312"/>
          <w:color w:val="auto"/>
          <w:kern w:val="2"/>
          <w:sz w:val="28"/>
          <w:szCs w:val="28"/>
          <w:highlight w:val="none"/>
          <w:lang w:val="en-US" w:eastAsia="zh-CN" w:bidi="ar-SA"/>
        </w:rPr>
        <w:t>自公告发布之日起5个工作日。</w:t>
      </w:r>
    </w:p>
    <w:p w14:paraId="366ED076">
      <w:pPr>
        <w:pStyle w:val="28"/>
        <w:keepNext w:val="0"/>
        <w:keepLines w:val="0"/>
        <w:pageBreakBefore w:val="0"/>
        <w:kinsoku/>
        <w:wordWrap/>
        <w:overflowPunct/>
        <w:topLinePunct w:val="0"/>
        <w:autoSpaceDE/>
        <w:autoSpaceDN/>
        <w:bidi w:val="0"/>
        <w:adjustRightInd/>
        <w:snapToGrid/>
        <w:spacing w:line="540" w:lineRule="exact"/>
        <w:ind w:firstLine="560"/>
        <w:jc w:val="left"/>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附件：</w:t>
      </w:r>
    </w:p>
    <w:p w14:paraId="1DB58211">
      <w:pPr>
        <w:pStyle w:val="28"/>
        <w:keepNext w:val="0"/>
        <w:keepLines w:val="0"/>
        <w:pageBreakBefore w:val="0"/>
        <w:kinsoku/>
        <w:wordWrap/>
        <w:overflowPunct/>
        <w:topLinePunct w:val="0"/>
        <w:autoSpaceDE/>
        <w:autoSpaceDN/>
        <w:bidi w:val="0"/>
        <w:adjustRightInd/>
        <w:snapToGrid/>
        <w:spacing w:line="540" w:lineRule="exact"/>
        <w:ind w:left="0" w:leftChars="0" w:firstLine="560" w:firstLineChars="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1.深圳市龙岗区第七人民医院院内公开采购报名表</w:t>
      </w:r>
    </w:p>
    <w:p w14:paraId="47A49466">
      <w:pPr>
        <w:keepNext w:val="0"/>
        <w:keepLines w:val="0"/>
        <w:pageBreakBefore w:val="0"/>
        <w:kinsoku/>
        <w:wordWrap/>
        <w:overflowPunct/>
        <w:topLinePunct w:val="0"/>
        <w:autoSpaceDE/>
        <w:autoSpaceDN/>
        <w:bidi w:val="0"/>
        <w:adjustRightInd/>
        <w:snapToGrid/>
        <w:spacing w:line="540" w:lineRule="exact"/>
        <w:ind w:left="839" w:leftChars="266" w:hanging="280" w:hangingChars="100"/>
        <w:jc w:val="both"/>
        <w:textAlignment w:val="auto"/>
        <w:rPr>
          <w:rFonts w:ascii="仿宋_GB2312" w:eastAsia="仿宋_GB2312"/>
          <w:color w:val="auto"/>
          <w:sz w:val="28"/>
          <w:szCs w:val="28"/>
          <w:highlight w:val="none"/>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宋体" w:eastAsia="仿宋_GB2312"/>
          <w:color w:val="auto"/>
          <w:sz w:val="28"/>
          <w:szCs w:val="28"/>
          <w:highlight w:val="none"/>
          <w:lang w:val="en-US" w:eastAsia="zh-CN"/>
        </w:rPr>
        <w:t>深圳市龙岗区第七人民医院</w:t>
      </w:r>
      <w:r>
        <w:rPr>
          <w:rFonts w:hint="eastAsia" w:ascii="仿宋_GB2312" w:hAnsi="仿宋_GB2312" w:eastAsia="仿宋_GB2312" w:cs="仿宋_GB2312"/>
          <w:color w:val="auto"/>
          <w:kern w:val="2"/>
          <w:sz w:val="28"/>
          <w:szCs w:val="28"/>
          <w:highlight w:val="none"/>
          <w:lang w:val="en-US" w:eastAsia="zh-CN" w:bidi="ar-SA"/>
        </w:rPr>
        <w:t>“强身心涨健识”健康促进主题活动策划服务</w:t>
      </w:r>
      <w:r>
        <w:rPr>
          <w:rFonts w:hint="eastAsia" w:ascii="仿宋_GB2312" w:hAnsi="宋体" w:eastAsia="仿宋_GB2312"/>
          <w:color w:val="auto"/>
          <w:sz w:val="28"/>
          <w:szCs w:val="28"/>
          <w:highlight w:val="none"/>
          <w:lang w:val="en-US" w:eastAsia="zh-CN"/>
        </w:rPr>
        <w:t>项目</w:t>
      </w:r>
      <w:r>
        <w:rPr>
          <w:rFonts w:hint="eastAsia" w:ascii="仿宋_GB2312" w:hAnsi="仿宋_GB2312" w:eastAsia="仿宋_GB2312" w:cs="仿宋_GB2312"/>
          <w:color w:val="auto"/>
          <w:kern w:val="2"/>
          <w:sz w:val="28"/>
          <w:szCs w:val="28"/>
          <w:highlight w:val="none"/>
          <w:lang w:val="en-US" w:eastAsia="zh-CN" w:bidi="ar-SA"/>
        </w:rPr>
        <w:t>招标文件</w:t>
      </w:r>
    </w:p>
    <w:p w14:paraId="4DB5056F">
      <w:pPr>
        <w:pStyle w:val="28"/>
        <w:keepNext w:val="0"/>
        <w:keepLines w:val="0"/>
        <w:pageBreakBefore w:val="0"/>
        <w:kinsoku/>
        <w:wordWrap/>
        <w:overflowPunct/>
        <w:topLinePunct w:val="0"/>
        <w:autoSpaceDE/>
        <w:autoSpaceDN/>
        <w:bidi w:val="0"/>
        <w:adjustRightInd/>
        <w:snapToGrid/>
        <w:spacing w:line="540" w:lineRule="exact"/>
        <w:ind w:firstLine="0" w:firstLineChars="0"/>
        <w:jc w:val="both"/>
        <w:textAlignment w:val="auto"/>
        <w:rPr>
          <w:rFonts w:hint="eastAsia" w:ascii="仿宋_GB2312" w:eastAsia="仿宋_GB2312"/>
          <w:color w:val="auto"/>
          <w:sz w:val="28"/>
          <w:szCs w:val="28"/>
          <w:highlight w:val="none"/>
        </w:rPr>
      </w:pPr>
    </w:p>
    <w:p w14:paraId="49BE6DC4">
      <w:pPr>
        <w:pStyle w:val="28"/>
        <w:keepNext w:val="0"/>
        <w:keepLines w:val="0"/>
        <w:pageBreakBefore w:val="0"/>
        <w:kinsoku/>
        <w:wordWrap/>
        <w:overflowPunct/>
        <w:topLinePunct w:val="0"/>
        <w:autoSpaceDE/>
        <w:autoSpaceDN/>
        <w:bidi w:val="0"/>
        <w:adjustRightInd/>
        <w:snapToGrid/>
        <w:spacing w:line="540" w:lineRule="exact"/>
        <w:ind w:firstLine="560"/>
        <w:jc w:val="right"/>
        <w:textAlignment w:val="auto"/>
        <w:rPr>
          <w:rFonts w:ascii="仿宋_GB2312" w:eastAsia="仿宋_GB2312"/>
          <w:color w:val="auto"/>
          <w:sz w:val="28"/>
          <w:szCs w:val="28"/>
          <w:highlight w:val="none"/>
        </w:rPr>
      </w:pPr>
      <w:r>
        <w:rPr>
          <w:rFonts w:hint="eastAsia" w:ascii="仿宋_GB2312" w:eastAsia="仿宋_GB2312"/>
          <w:color w:val="auto"/>
          <w:sz w:val="28"/>
          <w:szCs w:val="28"/>
          <w:highlight w:val="none"/>
        </w:rPr>
        <w:t>深圳市龙岗区第七人民医院</w:t>
      </w:r>
    </w:p>
    <w:p w14:paraId="42EAD548">
      <w:pPr>
        <w:pStyle w:val="28"/>
        <w:keepNext w:val="0"/>
        <w:keepLines w:val="0"/>
        <w:pageBreakBefore w:val="0"/>
        <w:kinsoku/>
        <w:wordWrap/>
        <w:overflowPunct/>
        <w:topLinePunct w:val="0"/>
        <w:autoSpaceDE/>
        <w:autoSpaceDN/>
        <w:bidi w:val="0"/>
        <w:adjustRightInd/>
        <w:snapToGrid/>
        <w:spacing w:line="540" w:lineRule="exact"/>
        <w:ind w:firstLine="560"/>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2026年8月6日</w:t>
      </w:r>
    </w:p>
    <w:p w14:paraId="0588E4F8">
      <w:pP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br w:type="page"/>
      </w:r>
    </w:p>
    <w:p w14:paraId="782B0B20">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院内公开采购项目需求</w:t>
      </w:r>
    </w:p>
    <w:p w14:paraId="31F5E6E8">
      <w:pPr>
        <w:pStyle w:val="26"/>
        <w:keepNext w:val="0"/>
        <w:keepLines w:val="0"/>
        <w:pageBreakBefore w:val="0"/>
        <w:numPr>
          <w:ilvl w:val="0"/>
          <w:numId w:val="0"/>
        </w:numPr>
        <w:kinsoku/>
        <w:wordWrap/>
        <w:overflowPunct/>
        <w:topLinePunct w:val="0"/>
        <w:autoSpaceDE/>
        <w:autoSpaceDN/>
        <w:bidi w:val="0"/>
        <w:adjustRightInd/>
        <w:snapToGrid/>
        <w:spacing w:line="560" w:lineRule="exact"/>
        <w:ind w:right="-82" w:rightChars="-39" w:firstLine="422" w:firstLineChars="200"/>
        <w:jc w:val="both"/>
        <w:textAlignment w:val="auto"/>
        <w:rPr>
          <w:rFonts w:hint="eastAsia" w:cs="宋体"/>
          <w:b/>
          <w:color w:val="auto"/>
          <w:szCs w:val="21"/>
          <w:highlight w:val="none"/>
          <w:lang w:eastAsia="zh-CN"/>
        </w:rPr>
      </w:pPr>
    </w:p>
    <w:p w14:paraId="2B055B3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trike/>
          <w:dstrike w:val="0"/>
          <w:color w:val="auto"/>
          <w:kern w:val="2"/>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一、项目概况：</w:t>
      </w:r>
      <w:r>
        <w:rPr>
          <w:rFonts w:hint="eastAsia" w:ascii="仿宋_GB2312" w:hAnsi="仿宋_GB2312" w:eastAsia="仿宋_GB2312" w:cs="仿宋_GB2312"/>
          <w:color w:val="auto"/>
          <w:kern w:val="0"/>
          <w:sz w:val="28"/>
          <w:szCs w:val="28"/>
          <w:highlight w:val="none"/>
          <w:lang w:val="en-US" w:eastAsia="zh-CN" w:bidi="ar-SA"/>
        </w:rPr>
        <w:t>根据《深圳经济特区健康条例》《胸痛中心建设与管理指导原则（试行）》等文件精神，推进健康深圳建设，引导居民自主自律、健康生活，提升急救和自救能力，我院拟以“强身心涨健识”健康促进为主题，以急诊急救知识为宣传侧重点，组织开展健促活动，提升群众健康意识与健康素养。</w:t>
      </w:r>
    </w:p>
    <w:p w14:paraId="587990C8">
      <w:pPr>
        <w:pStyle w:val="3"/>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黑体" w:hAnsi="黑体" w:eastAsia="黑体" w:cs="黑体"/>
          <w:b w:val="0"/>
          <w:bCs w:val="0"/>
          <w:color w:val="auto"/>
          <w:kern w:val="0"/>
          <w:sz w:val="28"/>
          <w:szCs w:val="28"/>
          <w:highlight w:val="none"/>
          <w:lang w:val="en-US" w:eastAsia="zh-CN" w:bidi="ar-SA"/>
        </w:rPr>
        <w:t>二、预算金额：</w:t>
      </w:r>
      <w:r>
        <w:rPr>
          <w:rFonts w:ascii="仿宋_GB2312" w:hAnsi="仿宋_GB2312" w:eastAsia="仿宋_GB2312" w:cs="仿宋_GB2312"/>
          <w:color w:val="auto"/>
          <w:sz w:val="28"/>
          <w:szCs w:val="28"/>
          <w:highlight w:val="none"/>
        </w:rPr>
        <w:t>预算</w:t>
      </w:r>
      <w:r>
        <w:rPr>
          <w:rFonts w:hint="eastAsia" w:ascii="仿宋_GB2312" w:hAnsi="仿宋_GB2312" w:eastAsia="仿宋_GB2312" w:cs="仿宋_GB2312"/>
          <w:color w:val="auto"/>
          <w:kern w:val="0"/>
          <w:sz w:val="28"/>
          <w:szCs w:val="28"/>
          <w:highlight w:val="none"/>
        </w:rPr>
        <w:t>金额为</w:t>
      </w:r>
      <w:r>
        <w:rPr>
          <w:rFonts w:hint="eastAsia" w:ascii="仿宋_GB2312" w:hAnsi="仿宋_GB2312" w:eastAsia="仿宋_GB2312" w:cs="仿宋_GB2312"/>
          <w:color w:val="auto"/>
          <w:kern w:val="0"/>
          <w:sz w:val="28"/>
          <w:szCs w:val="28"/>
          <w:highlight w:val="none"/>
          <w:lang w:val="en-US" w:eastAsia="zh-CN"/>
        </w:rPr>
        <w:t>6.0万</w:t>
      </w:r>
      <w:r>
        <w:rPr>
          <w:rFonts w:hint="eastAsia" w:ascii="仿宋_GB2312" w:hAnsi="仿宋_GB2312" w:eastAsia="仿宋_GB2312" w:cs="仿宋_GB2312"/>
          <w:color w:val="auto"/>
          <w:kern w:val="0"/>
          <w:sz w:val="28"/>
          <w:szCs w:val="28"/>
          <w:highlight w:val="none"/>
        </w:rPr>
        <w:t>元</w:t>
      </w:r>
      <w:r>
        <w:rPr>
          <w:rFonts w:hint="eastAsia" w:ascii="仿宋_GB2312" w:hAnsi="仿宋_GB2312" w:eastAsia="仿宋_GB2312" w:cs="仿宋_GB2312"/>
          <w:color w:val="auto"/>
          <w:kern w:val="0"/>
          <w:sz w:val="28"/>
          <w:szCs w:val="28"/>
          <w:highlight w:val="none"/>
          <w:lang w:eastAsia="zh-CN"/>
        </w:rPr>
        <w:t>。</w:t>
      </w:r>
    </w:p>
    <w:p w14:paraId="014BD680">
      <w:pPr>
        <w:pStyle w:val="26"/>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黑体" w:hAnsi="黑体" w:eastAsia="黑体" w:cs="黑体"/>
          <w:b w:val="0"/>
          <w:bCs w:val="0"/>
          <w:color w:val="auto"/>
          <w:kern w:val="0"/>
          <w:sz w:val="28"/>
          <w:szCs w:val="28"/>
          <w:highlight w:val="none"/>
          <w:lang w:val="en-US" w:eastAsia="zh-CN" w:bidi="ar-SA"/>
        </w:rPr>
        <w:t>三、采购组织形式（勾选）：</w:t>
      </w:r>
      <w:r>
        <w:rPr>
          <w:rFonts w:hint="eastAsia" w:ascii="仿宋_GB2312" w:hAnsi="仿宋_GB2312" w:eastAsia="仿宋_GB2312" w:cs="仿宋_GB2312"/>
          <w:color w:val="auto"/>
          <w:sz w:val="28"/>
          <w:szCs w:val="28"/>
          <w:highlight w:val="none"/>
        </w:rPr>
        <w:t>政府集中采购□、院内集中采购☑、院内委托代理采购□、集团联合采购□、其他□。</w:t>
      </w:r>
    </w:p>
    <w:p w14:paraId="6CD8B8BF">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color w:val="auto"/>
          <w:highlight w:val="none"/>
        </w:rPr>
      </w:pPr>
      <w:r>
        <w:rPr>
          <w:rFonts w:hint="eastAsia" w:ascii="黑体" w:hAnsi="黑体" w:eastAsia="黑体" w:cs="黑体"/>
          <w:b w:val="0"/>
          <w:bCs w:val="0"/>
          <w:color w:val="auto"/>
          <w:kern w:val="0"/>
          <w:sz w:val="28"/>
          <w:szCs w:val="28"/>
          <w:highlight w:val="none"/>
          <w:lang w:val="en-US" w:eastAsia="zh-CN" w:bidi="ar-SA"/>
        </w:rPr>
        <w:t>四、采购方式（勾选）：</w:t>
      </w:r>
      <w:r>
        <w:rPr>
          <w:rFonts w:hint="eastAsia" w:ascii="仿宋_GB2312" w:hAnsi="仿宋_GB2312" w:eastAsia="仿宋_GB2312" w:cs="仿宋_GB2312"/>
          <w:color w:val="auto"/>
          <w:sz w:val="28"/>
          <w:szCs w:val="28"/>
          <w:highlight w:val="none"/>
        </w:rPr>
        <w:t>院内招标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、院内竞价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、院内邀标□、院内询价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、竞争性磋商□、院内直接议价□、其他□。</w:t>
      </w:r>
    </w:p>
    <w:p w14:paraId="5B7B85B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五、投标人资格要求</w:t>
      </w:r>
    </w:p>
    <w:p w14:paraId="3240C7CE">
      <w:pPr>
        <w:pStyle w:val="26"/>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（一）基本资格条件</w:t>
      </w:r>
    </w:p>
    <w:p w14:paraId="5CC4E10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70B90CA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2.落实政府采购政策需满足的资格要求：无。</w:t>
      </w:r>
    </w:p>
    <w:p w14:paraId="283CE7C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楷体_GB2312" w:hAnsi="楷体_GB2312" w:eastAsia="楷体_GB2312" w:cs="楷体_GB2312"/>
          <w:color w:val="auto"/>
          <w:kern w:val="2"/>
          <w:sz w:val="28"/>
          <w:szCs w:val="28"/>
          <w:highlight w:val="none"/>
          <w:lang w:val="en-US" w:eastAsia="zh-CN" w:bidi="ar-SA"/>
        </w:rPr>
      </w:pPr>
      <w:r>
        <w:rPr>
          <w:rFonts w:hint="eastAsia" w:ascii="楷体_GB2312" w:hAnsi="楷体_GB2312" w:eastAsia="楷体_GB2312" w:cs="楷体_GB2312"/>
          <w:color w:val="auto"/>
          <w:kern w:val="2"/>
          <w:sz w:val="28"/>
          <w:szCs w:val="28"/>
          <w:highlight w:val="none"/>
          <w:lang w:val="en-US" w:eastAsia="zh-CN" w:bidi="ar-SA"/>
        </w:rPr>
        <w:t>（二）本项目的特定资格要求</w:t>
      </w:r>
    </w:p>
    <w:p w14:paraId="76D1FCF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1.参与本项目投标前三年内，在经营活动中没有重大违法记录（须按本项目投标文件格式要求提供《投标及履约承诺函》加盖投标人公章）；</w:t>
      </w:r>
    </w:p>
    <w:p w14:paraId="18B96598">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2.参与本项目政府采购活动时不存在被有关部门禁止参与政府采购活动且在有效期内的情况（须按本项目投标文件格式要求提供《投标及履约承诺函》加盖投标人公章）；</w:t>
      </w:r>
    </w:p>
    <w:p w14:paraId="0825119A">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3.单位负责人为同一人或者存在直接控股、管理关系的不同供应商，不得参加同一合同项下的政府采购活动（须按本项目投标文件格式要求提供《投标及履约承诺函》加盖投标人公章）；</w:t>
      </w:r>
    </w:p>
    <w:p w14:paraId="3E9B5E8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330F9BA7">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5.参与本项目不存在《深圳市财政局政府采购供应商信用信息管理办法》列明的严重违法失信行为（须按本项目投标文件格式要求提供《投标及履约承诺函》加盖投标人公章）；</w:t>
      </w:r>
    </w:p>
    <w:p w14:paraId="4F35451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0DBDF786">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39126EB3">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217B12A4">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9.本项目不接受联合体投标，不允许分包或转包。</w:t>
      </w:r>
    </w:p>
    <w:p w14:paraId="00B738C5">
      <w:pPr>
        <w:keepLines w:val="0"/>
        <w:pageBreakBefore w:val="0"/>
        <w:kinsoku/>
        <w:wordWrap/>
        <w:overflowPunct/>
        <w:topLinePunct w:val="0"/>
        <w:bidi w:val="0"/>
        <w:spacing w:line="560" w:lineRule="exact"/>
        <w:ind w:firstLine="560" w:firstLineChars="200"/>
        <w:rPr>
          <w:rFonts w:hint="default"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六、服务内容及要求</w:t>
      </w:r>
    </w:p>
    <w:p w14:paraId="40BDB8D7">
      <w:pPr>
        <w:keepLines w:val="0"/>
        <w:pageBreakBefore w:val="0"/>
        <w:widowControl/>
        <w:numPr>
          <w:ilvl w:val="-1"/>
          <w:numId w:val="0"/>
        </w:numPr>
        <w:kinsoku/>
        <w:wordWrap/>
        <w:overflowPunct/>
        <w:topLinePunct w:val="0"/>
        <w:bidi w:val="0"/>
        <w:spacing w:line="560" w:lineRule="exact"/>
        <w:ind w:leftChars="0" w:firstLine="560" w:firstLineChars="200"/>
        <w:rPr>
          <w:rFonts w:hint="default"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一</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服务范围</w:t>
      </w:r>
    </w:p>
    <w:p w14:paraId="0F3DA07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围绕“强身心涨健识”主题，为我院提供健康促进活动的整体策划、设计、物料制作、现场规划搭建及视频制作等一站式服务。</w:t>
      </w:r>
    </w:p>
    <w:p w14:paraId="189FDCCC">
      <w:pPr>
        <w:keepLines w:val="0"/>
        <w:pageBreakBefore w:val="0"/>
        <w:widowControl/>
        <w:numPr>
          <w:ilvl w:val="-1"/>
          <w:numId w:val="0"/>
        </w:numPr>
        <w:kinsoku/>
        <w:wordWrap/>
        <w:overflowPunct/>
        <w:topLinePunct w:val="0"/>
        <w:bidi w:val="0"/>
        <w:spacing w:line="560" w:lineRule="exact"/>
        <w:ind w:leftChars="0"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二</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服务内容</w:t>
      </w:r>
    </w:p>
    <w:tbl>
      <w:tblPr>
        <w:tblStyle w:val="19"/>
        <w:tblW w:w="869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60"/>
        <w:gridCol w:w="1527"/>
        <w:gridCol w:w="5222"/>
        <w:gridCol w:w="780"/>
        <w:gridCol w:w="705"/>
      </w:tblGrid>
      <w:tr w14:paraId="6790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460" w:type="dxa"/>
            <w:shd w:val="clear" w:color="auto" w:fill="auto"/>
            <w:vAlign w:val="center"/>
          </w:tcPr>
          <w:p w14:paraId="1C276AC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序号</w:t>
            </w:r>
          </w:p>
        </w:tc>
        <w:tc>
          <w:tcPr>
            <w:tcW w:w="1527" w:type="dxa"/>
            <w:shd w:val="clear" w:color="auto" w:fill="auto"/>
            <w:vAlign w:val="center"/>
          </w:tcPr>
          <w:p w14:paraId="4F9FEA6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内容</w:t>
            </w:r>
          </w:p>
        </w:tc>
        <w:tc>
          <w:tcPr>
            <w:tcW w:w="5222" w:type="dxa"/>
            <w:shd w:val="clear" w:color="auto" w:fill="auto"/>
            <w:vAlign w:val="center"/>
          </w:tcPr>
          <w:p w14:paraId="3192215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要求</w:t>
            </w:r>
          </w:p>
        </w:tc>
        <w:tc>
          <w:tcPr>
            <w:tcW w:w="780" w:type="dxa"/>
            <w:shd w:val="clear" w:color="auto" w:fill="auto"/>
            <w:vAlign w:val="center"/>
          </w:tcPr>
          <w:p w14:paraId="3E4714B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单位</w:t>
            </w:r>
          </w:p>
        </w:tc>
        <w:tc>
          <w:tcPr>
            <w:tcW w:w="705" w:type="dxa"/>
            <w:shd w:val="clear" w:color="auto" w:fill="auto"/>
            <w:vAlign w:val="center"/>
          </w:tcPr>
          <w:p w14:paraId="5FEBF03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highlight w:val="none"/>
                <w:u w:val="none"/>
              </w:rPr>
            </w:pPr>
            <w:r>
              <w:rPr>
                <w:rFonts w:hint="eastAsia" w:ascii="仿宋_GB2312" w:hAnsi="仿宋_GB2312" w:eastAsia="仿宋_GB2312" w:cs="仿宋_GB2312"/>
                <w:b/>
                <w:bCs/>
                <w:i w:val="0"/>
                <w:iCs w:val="0"/>
                <w:color w:val="000000"/>
                <w:kern w:val="0"/>
                <w:sz w:val="22"/>
                <w:szCs w:val="22"/>
                <w:highlight w:val="none"/>
                <w:u w:val="none"/>
                <w:lang w:val="en-US" w:eastAsia="zh-CN" w:bidi="ar"/>
              </w:rPr>
              <w:t>数量</w:t>
            </w:r>
          </w:p>
        </w:tc>
      </w:tr>
      <w:tr w14:paraId="33F2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0" w:hRule="atLeast"/>
        </w:trPr>
        <w:tc>
          <w:tcPr>
            <w:tcW w:w="460" w:type="dxa"/>
            <w:shd w:val="clear" w:color="auto" w:fill="FFFFFF"/>
            <w:vAlign w:val="center"/>
          </w:tcPr>
          <w:p w14:paraId="67911B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1527" w:type="dxa"/>
            <w:shd w:val="clear" w:color="auto" w:fill="FFFFFF"/>
            <w:vAlign w:val="center"/>
          </w:tcPr>
          <w:p w14:paraId="5BCD83A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主视觉设计</w:t>
            </w:r>
          </w:p>
        </w:tc>
        <w:tc>
          <w:tcPr>
            <w:tcW w:w="5222" w:type="dxa"/>
            <w:shd w:val="clear" w:color="auto" w:fill="FFFFFF"/>
            <w:vAlign w:val="center"/>
          </w:tcPr>
          <w:p w14:paraId="621919F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活动主KV设计，要求契合活动调性，有利于促进宣传，适合本项目物料延展使用</w:t>
            </w:r>
          </w:p>
        </w:tc>
        <w:tc>
          <w:tcPr>
            <w:tcW w:w="780" w:type="dxa"/>
            <w:shd w:val="clear" w:color="auto" w:fill="FFFFFF"/>
            <w:vAlign w:val="center"/>
          </w:tcPr>
          <w:p w14:paraId="570A1A3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FFFFFF"/>
            <w:vAlign w:val="center"/>
          </w:tcPr>
          <w:p w14:paraId="7D173B4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4B18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60" w:type="dxa"/>
            <w:shd w:val="clear" w:color="auto" w:fill="FFFFFF"/>
            <w:vAlign w:val="center"/>
          </w:tcPr>
          <w:p w14:paraId="5AC3CE7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w:t>
            </w:r>
          </w:p>
        </w:tc>
        <w:tc>
          <w:tcPr>
            <w:tcW w:w="1527" w:type="dxa"/>
            <w:shd w:val="clear" w:color="auto" w:fill="FFFFFF"/>
            <w:vAlign w:val="center"/>
          </w:tcPr>
          <w:p w14:paraId="2801DAD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延展设计</w:t>
            </w:r>
          </w:p>
        </w:tc>
        <w:tc>
          <w:tcPr>
            <w:tcW w:w="5222" w:type="dxa"/>
            <w:shd w:val="clear" w:color="auto" w:fill="FFFFFF"/>
            <w:vAlign w:val="center"/>
          </w:tcPr>
          <w:p w14:paraId="2868A38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相关物料设计：帆布袋1项、打卡点1个、知识展架4个、游戏展板2套、帐篷门头4个、定制洋画等。</w:t>
            </w:r>
          </w:p>
        </w:tc>
        <w:tc>
          <w:tcPr>
            <w:tcW w:w="780" w:type="dxa"/>
            <w:shd w:val="clear" w:color="auto" w:fill="FFFFFF"/>
            <w:vAlign w:val="center"/>
          </w:tcPr>
          <w:p w14:paraId="38CD9B0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FFFFFF"/>
            <w:vAlign w:val="center"/>
          </w:tcPr>
          <w:p w14:paraId="0962649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6F07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60" w:type="dxa"/>
            <w:shd w:val="clear" w:color="auto" w:fill="FFFFFF"/>
            <w:vAlign w:val="center"/>
          </w:tcPr>
          <w:p w14:paraId="5EFED08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1527" w:type="dxa"/>
            <w:vMerge w:val="restart"/>
            <w:shd w:val="clear" w:color="auto" w:fill="FFFFFF"/>
            <w:vAlign w:val="center"/>
          </w:tcPr>
          <w:p w14:paraId="71D68C4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健康素养宣传促进工具包</w:t>
            </w:r>
          </w:p>
        </w:tc>
        <w:tc>
          <w:tcPr>
            <w:tcW w:w="5222" w:type="dxa"/>
            <w:shd w:val="clear" w:color="auto" w:fill="auto"/>
            <w:vAlign w:val="center"/>
          </w:tcPr>
          <w:p w14:paraId="4915DC1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定制健康帆布袋（定制健康标语或图案，呼吁群众关注健康）</w:t>
            </w:r>
          </w:p>
        </w:tc>
        <w:tc>
          <w:tcPr>
            <w:tcW w:w="780" w:type="dxa"/>
            <w:shd w:val="clear" w:color="auto" w:fill="auto"/>
            <w:vAlign w:val="center"/>
          </w:tcPr>
          <w:p w14:paraId="2888281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个</w:t>
            </w:r>
          </w:p>
        </w:tc>
        <w:tc>
          <w:tcPr>
            <w:tcW w:w="705" w:type="dxa"/>
            <w:shd w:val="clear" w:color="auto" w:fill="auto"/>
            <w:vAlign w:val="center"/>
          </w:tcPr>
          <w:p w14:paraId="25C1C08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400</w:t>
            </w:r>
          </w:p>
        </w:tc>
      </w:tr>
      <w:tr w14:paraId="6FD7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9" w:hRule="atLeast"/>
        </w:trPr>
        <w:tc>
          <w:tcPr>
            <w:tcW w:w="460" w:type="dxa"/>
            <w:shd w:val="clear" w:color="auto" w:fill="FFFFFF"/>
            <w:vAlign w:val="center"/>
          </w:tcPr>
          <w:p w14:paraId="71BCB0E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1527" w:type="dxa"/>
            <w:vMerge w:val="continue"/>
            <w:shd w:val="clear" w:color="auto" w:fill="FFFFFF"/>
            <w:vAlign w:val="center"/>
          </w:tcPr>
          <w:p w14:paraId="7A0925FB">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FFFFFF"/>
            <w:vAlign w:val="center"/>
          </w:tcPr>
          <w:p w14:paraId="0B9E214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定制不锈钢保温杯（食品级304不锈钢，双层真空、食品级PP，定制健康标语或图案，呼吁群众关注健康）</w:t>
            </w:r>
          </w:p>
        </w:tc>
        <w:tc>
          <w:tcPr>
            <w:tcW w:w="780" w:type="dxa"/>
            <w:shd w:val="clear" w:color="auto" w:fill="FFFFFF"/>
            <w:vAlign w:val="center"/>
          </w:tcPr>
          <w:p w14:paraId="08A3F53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个</w:t>
            </w:r>
          </w:p>
        </w:tc>
        <w:tc>
          <w:tcPr>
            <w:tcW w:w="705" w:type="dxa"/>
            <w:shd w:val="clear" w:color="auto" w:fill="FFFFFF"/>
            <w:vAlign w:val="center"/>
          </w:tcPr>
          <w:p w14:paraId="3B291F6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200</w:t>
            </w:r>
          </w:p>
        </w:tc>
      </w:tr>
      <w:tr w14:paraId="5BCB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60" w:type="dxa"/>
            <w:shd w:val="clear" w:color="auto" w:fill="FFFFFF"/>
            <w:vAlign w:val="center"/>
          </w:tcPr>
          <w:p w14:paraId="0861692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5</w:t>
            </w:r>
          </w:p>
        </w:tc>
        <w:tc>
          <w:tcPr>
            <w:tcW w:w="1527" w:type="dxa"/>
            <w:vMerge w:val="continue"/>
            <w:shd w:val="clear" w:color="auto" w:fill="FFFFFF"/>
            <w:vAlign w:val="center"/>
          </w:tcPr>
          <w:p w14:paraId="5310C8D3">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FFFFFF"/>
            <w:vAlign w:val="center"/>
          </w:tcPr>
          <w:p w14:paraId="1910B8F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定制健康抱枕被1*1.5M,荷兰绒+水洗棉，（双面定制健康标语或图案，呼吁群众关注健康）</w:t>
            </w:r>
          </w:p>
        </w:tc>
        <w:tc>
          <w:tcPr>
            <w:tcW w:w="780" w:type="dxa"/>
            <w:shd w:val="clear" w:color="auto" w:fill="FFFFFF"/>
            <w:vAlign w:val="center"/>
          </w:tcPr>
          <w:p w14:paraId="3F1794E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个</w:t>
            </w:r>
          </w:p>
        </w:tc>
        <w:tc>
          <w:tcPr>
            <w:tcW w:w="705" w:type="dxa"/>
            <w:shd w:val="clear" w:color="auto" w:fill="FFFFFF"/>
            <w:vAlign w:val="center"/>
          </w:tcPr>
          <w:p w14:paraId="5695EF2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200</w:t>
            </w:r>
          </w:p>
        </w:tc>
      </w:tr>
      <w:tr w14:paraId="1506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460" w:type="dxa"/>
            <w:shd w:val="clear" w:color="auto" w:fill="FFFFFF"/>
            <w:vAlign w:val="center"/>
          </w:tcPr>
          <w:p w14:paraId="587A32D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6</w:t>
            </w:r>
          </w:p>
        </w:tc>
        <w:tc>
          <w:tcPr>
            <w:tcW w:w="1527" w:type="dxa"/>
            <w:vMerge w:val="continue"/>
            <w:shd w:val="clear" w:color="auto" w:fill="FFFFFF"/>
            <w:vAlign w:val="center"/>
          </w:tcPr>
          <w:p w14:paraId="22FC3DCF">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FFFFFF"/>
            <w:vAlign w:val="center"/>
          </w:tcPr>
          <w:p w14:paraId="1982736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健康控油玻璃喷壶，600ml（响应三减三健，引导健康生活）</w:t>
            </w:r>
          </w:p>
        </w:tc>
        <w:tc>
          <w:tcPr>
            <w:tcW w:w="780" w:type="dxa"/>
            <w:shd w:val="clear" w:color="auto" w:fill="FFFFFF"/>
            <w:vAlign w:val="center"/>
          </w:tcPr>
          <w:p w14:paraId="34CDB2D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个</w:t>
            </w:r>
          </w:p>
        </w:tc>
        <w:tc>
          <w:tcPr>
            <w:tcW w:w="705" w:type="dxa"/>
            <w:shd w:val="clear" w:color="auto" w:fill="FFFFFF"/>
            <w:vAlign w:val="center"/>
          </w:tcPr>
          <w:p w14:paraId="2FE076D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200</w:t>
            </w:r>
          </w:p>
        </w:tc>
      </w:tr>
      <w:tr w14:paraId="0A33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trPr>
        <w:tc>
          <w:tcPr>
            <w:tcW w:w="460" w:type="dxa"/>
            <w:shd w:val="clear" w:color="auto" w:fill="FFFFFF"/>
            <w:vAlign w:val="center"/>
          </w:tcPr>
          <w:p w14:paraId="3EA2411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7</w:t>
            </w:r>
          </w:p>
        </w:tc>
        <w:tc>
          <w:tcPr>
            <w:tcW w:w="1527" w:type="dxa"/>
            <w:vMerge w:val="continue"/>
            <w:shd w:val="clear" w:color="auto" w:fill="FFFFFF"/>
            <w:vAlign w:val="center"/>
          </w:tcPr>
          <w:p w14:paraId="6901014D">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FFFFFF"/>
            <w:vAlign w:val="center"/>
          </w:tcPr>
          <w:p w14:paraId="21F988C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品牌牙膏100G，响应三减三健，引导健康生活</w:t>
            </w:r>
          </w:p>
        </w:tc>
        <w:tc>
          <w:tcPr>
            <w:tcW w:w="780" w:type="dxa"/>
            <w:shd w:val="clear" w:color="auto" w:fill="FFFFFF"/>
            <w:vAlign w:val="center"/>
          </w:tcPr>
          <w:p w14:paraId="294DFBC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条</w:t>
            </w:r>
          </w:p>
        </w:tc>
        <w:tc>
          <w:tcPr>
            <w:tcW w:w="705" w:type="dxa"/>
            <w:shd w:val="clear" w:color="auto" w:fill="FFFFFF"/>
            <w:vAlign w:val="center"/>
          </w:tcPr>
          <w:p w14:paraId="32845D7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200</w:t>
            </w:r>
          </w:p>
        </w:tc>
      </w:tr>
      <w:tr w14:paraId="212E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0" w:hRule="atLeast"/>
        </w:trPr>
        <w:tc>
          <w:tcPr>
            <w:tcW w:w="460" w:type="dxa"/>
            <w:shd w:val="clear" w:color="auto" w:fill="FFFFFF"/>
            <w:vAlign w:val="center"/>
          </w:tcPr>
          <w:p w14:paraId="7AEB63A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8</w:t>
            </w:r>
          </w:p>
        </w:tc>
        <w:tc>
          <w:tcPr>
            <w:tcW w:w="1527" w:type="dxa"/>
            <w:vMerge w:val="continue"/>
            <w:shd w:val="clear" w:color="auto" w:fill="FFFFFF"/>
            <w:vAlign w:val="center"/>
          </w:tcPr>
          <w:p w14:paraId="5E95A0CD">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FFFFFF"/>
            <w:vAlign w:val="center"/>
          </w:tcPr>
          <w:p w14:paraId="3A642A4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洋画片(根据龙小七形象定制洋画+健康标语，呼吁群众关注健康，1款6图，设计5款，双面定制。整个版面尺寸：15*10cm，单图大小5*5cm)</w:t>
            </w:r>
          </w:p>
        </w:tc>
        <w:tc>
          <w:tcPr>
            <w:tcW w:w="780" w:type="dxa"/>
            <w:shd w:val="clear" w:color="auto" w:fill="FFFFFF"/>
            <w:vAlign w:val="center"/>
          </w:tcPr>
          <w:p w14:paraId="38BDF74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张</w:t>
            </w:r>
          </w:p>
        </w:tc>
        <w:tc>
          <w:tcPr>
            <w:tcW w:w="705" w:type="dxa"/>
            <w:shd w:val="clear" w:color="auto" w:fill="FFFFFF"/>
            <w:vAlign w:val="center"/>
          </w:tcPr>
          <w:p w14:paraId="16E37B1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2000</w:t>
            </w:r>
          </w:p>
        </w:tc>
      </w:tr>
      <w:tr w14:paraId="23C4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60" w:type="dxa"/>
            <w:shd w:val="clear" w:color="auto" w:fill="FFFFFF"/>
            <w:vAlign w:val="center"/>
          </w:tcPr>
          <w:p w14:paraId="7DE94A0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9</w:t>
            </w:r>
          </w:p>
        </w:tc>
        <w:tc>
          <w:tcPr>
            <w:tcW w:w="1527" w:type="dxa"/>
            <w:vMerge w:val="continue"/>
            <w:shd w:val="clear" w:color="auto" w:fill="FFFFFF"/>
            <w:vAlign w:val="center"/>
          </w:tcPr>
          <w:p w14:paraId="49FA5DEC">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FFFFFF"/>
            <w:vAlign w:val="center"/>
          </w:tcPr>
          <w:p w14:paraId="5B27902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龙小七冰箱贴(根据龙小七形象定制异形+健康标语，呼吁群众关注健康)约6cm</w:t>
            </w:r>
          </w:p>
        </w:tc>
        <w:tc>
          <w:tcPr>
            <w:tcW w:w="780" w:type="dxa"/>
            <w:shd w:val="clear" w:color="auto" w:fill="FFFFFF"/>
            <w:vAlign w:val="center"/>
          </w:tcPr>
          <w:p w14:paraId="585D65B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个</w:t>
            </w:r>
          </w:p>
        </w:tc>
        <w:tc>
          <w:tcPr>
            <w:tcW w:w="705" w:type="dxa"/>
            <w:shd w:val="clear" w:color="auto" w:fill="FFFFFF"/>
            <w:vAlign w:val="center"/>
          </w:tcPr>
          <w:p w14:paraId="676D44F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400</w:t>
            </w:r>
          </w:p>
        </w:tc>
      </w:tr>
      <w:tr w14:paraId="3303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11CB600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1527" w:type="dxa"/>
            <w:vMerge w:val="restart"/>
            <w:shd w:val="clear" w:color="auto" w:fill="auto"/>
            <w:vAlign w:val="center"/>
          </w:tcPr>
          <w:p w14:paraId="7D991AF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现场搭建及物料相关</w:t>
            </w:r>
          </w:p>
        </w:tc>
        <w:tc>
          <w:tcPr>
            <w:tcW w:w="5222" w:type="dxa"/>
            <w:shd w:val="clear" w:color="auto" w:fill="auto"/>
            <w:vAlign w:val="center"/>
          </w:tcPr>
          <w:p w14:paraId="7A1E44C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知识展架，双面，1.2*2M</w:t>
            </w:r>
          </w:p>
        </w:tc>
        <w:tc>
          <w:tcPr>
            <w:tcW w:w="780" w:type="dxa"/>
            <w:shd w:val="clear" w:color="auto" w:fill="auto"/>
            <w:vAlign w:val="center"/>
          </w:tcPr>
          <w:p w14:paraId="7F6680B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块</w:t>
            </w:r>
          </w:p>
        </w:tc>
        <w:tc>
          <w:tcPr>
            <w:tcW w:w="705" w:type="dxa"/>
            <w:shd w:val="clear" w:color="auto" w:fill="auto"/>
            <w:vAlign w:val="center"/>
          </w:tcPr>
          <w:p w14:paraId="3DF3C77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r>
      <w:tr w14:paraId="49F8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5" w:hRule="atLeast"/>
        </w:trPr>
        <w:tc>
          <w:tcPr>
            <w:tcW w:w="460" w:type="dxa"/>
            <w:shd w:val="clear" w:color="auto" w:fill="FFFFFF"/>
            <w:vAlign w:val="center"/>
          </w:tcPr>
          <w:p w14:paraId="637F144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11</w:t>
            </w:r>
          </w:p>
        </w:tc>
        <w:tc>
          <w:tcPr>
            <w:tcW w:w="1527" w:type="dxa"/>
            <w:vMerge w:val="continue"/>
            <w:shd w:val="clear" w:color="auto" w:fill="auto"/>
            <w:vAlign w:val="center"/>
          </w:tcPr>
          <w:p w14:paraId="6ED3FA9F">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735ACD0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异形打卡点，PVC、KT，多层异形画面，桁架支撑。约3*6M</w:t>
            </w:r>
          </w:p>
        </w:tc>
        <w:tc>
          <w:tcPr>
            <w:tcW w:w="780" w:type="dxa"/>
            <w:shd w:val="clear" w:color="auto" w:fill="auto"/>
            <w:vAlign w:val="center"/>
          </w:tcPr>
          <w:p w14:paraId="028A3E1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4D325D2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234C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460" w:type="dxa"/>
            <w:shd w:val="clear" w:color="auto" w:fill="FFFFFF"/>
            <w:vAlign w:val="center"/>
          </w:tcPr>
          <w:p w14:paraId="34E4EC5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12</w:t>
            </w:r>
          </w:p>
        </w:tc>
        <w:tc>
          <w:tcPr>
            <w:tcW w:w="1527" w:type="dxa"/>
            <w:vMerge w:val="continue"/>
            <w:shd w:val="clear" w:color="auto" w:fill="auto"/>
            <w:vAlign w:val="center"/>
          </w:tcPr>
          <w:p w14:paraId="163CB451">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0EE9886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拉绒地毯，含地毯胶等辅材</w:t>
            </w:r>
          </w:p>
        </w:tc>
        <w:tc>
          <w:tcPr>
            <w:tcW w:w="780" w:type="dxa"/>
            <w:shd w:val="clear" w:color="auto" w:fill="auto"/>
            <w:vAlign w:val="center"/>
          </w:tcPr>
          <w:p w14:paraId="7F14073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平方</w:t>
            </w:r>
          </w:p>
        </w:tc>
        <w:tc>
          <w:tcPr>
            <w:tcW w:w="705" w:type="dxa"/>
            <w:shd w:val="clear" w:color="auto" w:fill="auto"/>
            <w:vAlign w:val="center"/>
          </w:tcPr>
          <w:p w14:paraId="2B27880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18</w:t>
            </w:r>
          </w:p>
        </w:tc>
      </w:tr>
      <w:tr w14:paraId="4BFA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460" w:type="dxa"/>
            <w:shd w:val="clear" w:color="auto" w:fill="FFFFFF"/>
            <w:vAlign w:val="center"/>
          </w:tcPr>
          <w:p w14:paraId="7E69957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13</w:t>
            </w:r>
          </w:p>
        </w:tc>
        <w:tc>
          <w:tcPr>
            <w:tcW w:w="1527" w:type="dxa"/>
            <w:vMerge w:val="continue"/>
            <w:shd w:val="clear" w:color="auto" w:fill="auto"/>
            <w:vAlign w:val="center"/>
          </w:tcPr>
          <w:p w14:paraId="09071AA6">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0AFE342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户外活动音响含麦克风及播放设备、调音人员</w:t>
            </w:r>
          </w:p>
        </w:tc>
        <w:tc>
          <w:tcPr>
            <w:tcW w:w="780" w:type="dxa"/>
            <w:shd w:val="clear" w:color="auto" w:fill="auto"/>
            <w:vAlign w:val="center"/>
          </w:tcPr>
          <w:p w14:paraId="274A36E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套</w:t>
            </w:r>
          </w:p>
        </w:tc>
        <w:tc>
          <w:tcPr>
            <w:tcW w:w="705" w:type="dxa"/>
            <w:shd w:val="clear" w:color="auto" w:fill="auto"/>
            <w:vAlign w:val="center"/>
          </w:tcPr>
          <w:p w14:paraId="04E5DCB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6298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7BDCD02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14</w:t>
            </w:r>
          </w:p>
        </w:tc>
        <w:tc>
          <w:tcPr>
            <w:tcW w:w="1527" w:type="dxa"/>
            <w:vMerge w:val="continue"/>
            <w:shd w:val="clear" w:color="auto" w:fill="auto"/>
            <w:vAlign w:val="center"/>
          </w:tcPr>
          <w:p w14:paraId="136B8104">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6316077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绒面桌布+条桌</w:t>
            </w:r>
          </w:p>
        </w:tc>
        <w:tc>
          <w:tcPr>
            <w:tcW w:w="780" w:type="dxa"/>
            <w:shd w:val="clear" w:color="auto" w:fill="auto"/>
            <w:vAlign w:val="center"/>
          </w:tcPr>
          <w:p w14:paraId="5E05815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张</w:t>
            </w:r>
          </w:p>
        </w:tc>
        <w:tc>
          <w:tcPr>
            <w:tcW w:w="705" w:type="dxa"/>
            <w:shd w:val="clear" w:color="auto" w:fill="auto"/>
            <w:vAlign w:val="center"/>
          </w:tcPr>
          <w:p w14:paraId="17B10E9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r>
      <w:tr w14:paraId="3680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50F9027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15</w:t>
            </w:r>
          </w:p>
        </w:tc>
        <w:tc>
          <w:tcPr>
            <w:tcW w:w="1527" w:type="dxa"/>
            <w:vMerge w:val="continue"/>
            <w:shd w:val="clear" w:color="auto" w:fill="auto"/>
            <w:vAlign w:val="center"/>
          </w:tcPr>
          <w:p w14:paraId="7B718670">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7BD5F35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折叠塑料椅</w:t>
            </w:r>
          </w:p>
        </w:tc>
        <w:tc>
          <w:tcPr>
            <w:tcW w:w="780" w:type="dxa"/>
            <w:shd w:val="clear" w:color="auto" w:fill="auto"/>
            <w:vAlign w:val="center"/>
          </w:tcPr>
          <w:p w14:paraId="12E7C35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把</w:t>
            </w:r>
          </w:p>
        </w:tc>
        <w:tc>
          <w:tcPr>
            <w:tcW w:w="705" w:type="dxa"/>
            <w:shd w:val="clear" w:color="auto" w:fill="auto"/>
            <w:vAlign w:val="center"/>
          </w:tcPr>
          <w:p w14:paraId="6D5C35D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40</w:t>
            </w:r>
          </w:p>
        </w:tc>
      </w:tr>
      <w:tr w14:paraId="5077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0F70607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16</w:t>
            </w:r>
          </w:p>
        </w:tc>
        <w:tc>
          <w:tcPr>
            <w:tcW w:w="1527" w:type="dxa"/>
            <w:vMerge w:val="continue"/>
            <w:shd w:val="clear" w:color="auto" w:fill="auto"/>
            <w:vAlign w:val="center"/>
          </w:tcPr>
          <w:p w14:paraId="7308BCF1">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232B62A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帐篷租用3*3M</w:t>
            </w:r>
          </w:p>
        </w:tc>
        <w:tc>
          <w:tcPr>
            <w:tcW w:w="780" w:type="dxa"/>
            <w:shd w:val="clear" w:color="auto" w:fill="auto"/>
            <w:vAlign w:val="center"/>
          </w:tcPr>
          <w:p w14:paraId="5CE22AA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顶</w:t>
            </w:r>
          </w:p>
        </w:tc>
        <w:tc>
          <w:tcPr>
            <w:tcW w:w="705" w:type="dxa"/>
            <w:shd w:val="clear" w:color="auto" w:fill="auto"/>
            <w:vAlign w:val="center"/>
          </w:tcPr>
          <w:p w14:paraId="58330D0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r>
      <w:tr w14:paraId="279F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4AFDCA6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17</w:t>
            </w:r>
          </w:p>
        </w:tc>
        <w:tc>
          <w:tcPr>
            <w:tcW w:w="1527" w:type="dxa"/>
            <w:vMerge w:val="continue"/>
            <w:shd w:val="clear" w:color="auto" w:fill="auto"/>
            <w:vAlign w:val="center"/>
          </w:tcPr>
          <w:p w14:paraId="441016F1">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651B1F4F">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帐篷门头KT说明3M</w:t>
            </w:r>
          </w:p>
        </w:tc>
        <w:tc>
          <w:tcPr>
            <w:tcW w:w="780" w:type="dxa"/>
            <w:shd w:val="clear" w:color="auto" w:fill="auto"/>
            <w:vAlign w:val="center"/>
          </w:tcPr>
          <w:p w14:paraId="4AFAF89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个</w:t>
            </w:r>
          </w:p>
        </w:tc>
        <w:tc>
          <w:tcPr>
            <w:tcW w:w="705" w:type="dxa"/>
            <w:shd w:val="clear" w:color="auto" w:fill="auto"/>
            <w:vAlign w:val="center"/>
          </w:tcPr>
          <w:p w14:paraId="7057C3F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r>
      <w:tr w14:paraId="02D9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606DDEC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18</w:t>
            </w:r>
          </w:p>
        </w:tc>
        <w:tc>
          <w:tcPr>
            <w:tcW w:w="1527" w:type="dxa"/>
            <w:vMerge w:val="continue"/>
            <w:shd w:val="clear" w:color="auto" w:fill="auto"/>
            <w:vAlign w:val="center"/>
          </w:tcPr>
          <w:p w14:paraId="54428361">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7644F6F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游戏1—健康套圈（游戏道具一套+背景展板搭建）</w:t>
            </w:r>
          </w:p>
        </w:tc>
        <w:tc>
          <w:tcPr>
            <w:tcW w:w="780" w:type="dxa"/>
            <w:shd w:val="clear" w:color="auto" w:fill="auto"/>
            <w:vAlign w:val="center"/>
          </w:tcPr>
          <w:p w14:paraId="560F6A5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3BE8DBD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10E2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460" w:type="dxa"/>
            <w:shd w:val="clear" w:color="auto" w:fill="FFFFFF"/>
            <w:vAlign w:val="center"/>
          </w:tcPr>
          <w:p w14:paraId="633C743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19</w:t>
            </w:r>
          </w:p>
        </w:tc>
        <w:tc>
          <w:tcPr>
            <w:tcW w:w="1527" w:type="dxa"/>
            <w:vMerge w:val="continue"/>
            <w:shd w:val="clear" w:color="auto" w:fill="auto"/>
            <w:vAlign w:val="center"/>
          </w:tcPr>
          <w:p w14:paraId="4C6668A2">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1E2A974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游戏2—投球问路（游戏道具一套+背景展板搭建）</w:t>
            </w:r>
          </w:p>
        </w:tc>
        <w:tc>
          <w:tcPr>
            <w:tcW w:w="780" w:type="dxa"/>
            <w:shd w:val="clear" w:color="auto" w:fill="auto"/>
            <w:vAlign w:val="center"/>
          </w:tcPr>
          <w:p w14:paraId="43575F7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36B8ED1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7197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2993261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20</w:t>
            </w:r>
          </w:p>
        </w:tc>
        <w:tc>
          <w:tcPr>
            <w:tcW w:w="1527" w:type="dxa"/>
            <w:vMerge w:val="continue"/>
            <w:shd w:val="clear" w:color="auto" w:fill="auto"/>
            <w:vAlign w:val="center"/>
          </w:tcPr>
          <w:p w14:paraId="1F67BC10">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6E5BD46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印章6个</w:t>
            </w:r>
          </w:p>
        </w:tc>
        <w:tc>
          <w:tcPr>
            <w:tcW w:w="780" w:type="dxa"/>
            <w:shd w:val="clear" w:color="auto" w:fill="auto"/>
            <w:vAlign w:val="center"/>
          </w:tcPr>
          <w:p w14:paraId="3039D25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76C2392D">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60A6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2AEF59F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21</w:t>
            </w:r>
          </w:p>
        </w:tc>
        <w:tc>
          <w:tcPr>
            <w:tcW w:w="1527" w:type="dxa"/>
            <w:vMerge w:val="restart"/>
            <w:shd w:val="clear" w:color="auto" w:fill="auto"/>
            <w:vAlign w:val="center"/>
          </w:tcPr>
          <w:p w14:paraId="3B41CB1C">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急救科普宣传片</w:t>
            </w:r>
          </w:p>
        </w:tc>
        <w:tc>
          <w:tcPr>
            <w:tcW w:w="5222" w:type="dxa"/>
            <w:shd w:val="clear" w:color="auto" w:fill="auto"/>
            <w:vAlign w:val="center"/>
          </w:tcPr>
          <w:p w14:paraId="0D3B9138">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宣传片策划、脚本创作、现场导演</w:t>
            </w:r>
          </w:p>
        </w:tc>
        <w:tc>
          <w:tcPr>
            <w:tcW w:w="780" w:type="dxa"/>
            <w:shd w:val="clear" w:color="auto" w:fill="auto"/>
            <w:vAlign w:val="center"/>
          </w:tcPr>
          <w:p w14:paraId="5CD6443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5C2EBA2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723C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60" w:type="dxa"/>
            <w:shd w:val="clear" w:color="auto" w:fill="FFFFFF"/>
            <w:vAlign w:val="center"/>
          </w:tcPr>
          <w:p w14:paraId="14CC47E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22</w:t>
            </w:r>
          </w:p>
        </w:tc>
        <w:tc>
          <w:tcPr>
            <w:tcW w:w="1527" w:type="dxa"/>
            <w:vMerge w:val="continue"/>
            <w:shd w:val="clear" w:color="auto" w:fill="auto"/>
            <w:vAlign w:val="center"/>
          </w:tcPr>
          <w:p w14:paraId="21B814B8">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581D679F">
            <w:pPr>
              <w:keepNext w:val="0"/>
              <w:keepLines w:val="0"/>
              <w:widowControl/>
              <w:suppressLineNumbers w:val="0"/>
              <w:jc w:val="both"/>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设备及要求：采用全画幅专业电影级摄影机，支持·4K60fps内录；搭配专业影视灯光、专业收音麦克风、监视器全套拍摄配套设备及拍摄人员</w:t>
            </w:r>
          </w:p>
        </w:tc>
        <w:tc>
          <w:tcPr>
            <w:tcW w:w="780" w:type="dxa"/>
            <w:shd w:val="clear" w:color="auto" w:fill="auto"/>
            <w:vAlign w:val="center"/>
          </w:tcPr>
          <w:p w14:paraId="3EF5D43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0490E80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r w14:paraId="2E05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60" w:type="dxa"/>
            <w:shd w:val="clear" w:color="auto" w:fill="FFFFFF"/>
            <w:vAlign w:val="center"/>
          </w:tcPr>
          <w:p w14:paraId="0ADE517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23</w:t>
            </w:r>
          </w:p>
        </w:tc>
        <w:tc>
          <w:tcPr>
            <w:tcW w:w="1527" w:type="dxa"/>
            <w:vMerge w:val="continue"/>
            <w:shd w:val="clear" w:color="auto" w:fill="auto"/>
            <w:vAlign w:val="center"/>
          </w:tcPr>
          <w:p w14:paraId="7FDA163C">
            <w:pPr>
              <w:jc w:val="center"/>
              <w:rPr>
                <w:rFonts w:hint="eastAsia" w:ascii="仿宋_GB2312" w:hAnsi="仿宋_GB2312" w:eastAsia="仿宋_GB2312" w:cs="仿宋_GB2312"/>
                <w:i w:val="0"/>
                <w:iCs w:val="0"/>
                <w:color w:val="000000"/>
                <w:sz w:val="22"/>
                <w:szCs w:val="22"/>
                <w:highlight w:val="none"/>
                <w:u w:val="none"/>
              </w:rPr>
            </w:pPr>
          </w:p>
        </w:tc>
        <w:tc>
          <w:tcPr>
            <w:tcW w:w="5222" w:type="dxa"/>
            <w:shd w:val="clear" w:color="auto" w:fill="auto"/>
            <w:vAlign w:val="center"/>
          </w:tcPr>
          <w:p w14:paraId="216A8A8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影片剪辑，音效设计，特效包装等，成片约4分钟</w:t>
            </w:r>
          </w:p>
        </w:tc>
        <w:tc>
          <w:tcPr>
            <w:tcW w:w="780" w:type="dxa"/>
            <w:shd w:val="clear" w:color="auto" w:fill="auto"/>
            <w:vAlign w:val="center"/>
          </w:tcPr>
          <w:p w14:paraId="62A0DE4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分钟</w:t>
            </w:r>
          </w:p>
        </w:tc>
        <w:tc>
          <w:tcPr>
            <w:tcW w:w="705" w:type="dxa"/>
            <w:shd w:val="clear" w:color="auto" w:fill="auto"/>
            <w:vAlign w:val="center"/>
          </w:tcPr>
          <w:p w14:paraId="63CC051B">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r>
      <w:tr w14:paraId="6FA3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460" w:type="dxa"/>
            <w:shd w:val="clear" w:color="auto" w:fill="FFFFFF"/>
            <w:vAlign w:val="center"/>
          </w:tcPr>
          <w:p w14:paraId="3465DCE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24</w:t>
            </w:r>
          </w:p>
        </w:tc>
        <w:tc>
          <w:tcPr>
            <w:tcW w:w="1527" w:type="dxa"/>
            <w:shd w:val="clear" w:color="auto" w:fill="auto"/>
            <w:vAlign w:val="center"/>
          </w:tcPr>
          <w:p w14:paraId="45C74614">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其它</w:t>
            </w:r>
          </w:p>
        </w:tc>
        <w:tc>
          <w:tcPr>
            <w:tcW w:w="5222" w:type="dxa"/>
            <w:shd w:val="clear" w:color="auto" w:fill="auto"/>
            <w:vAlign w:val="center"/>
          </w:tcPr>
          <w:p w14:paraId="3E7081F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搭建安装人工、运输等</w:t>
            </w:r>
          </w:p>
        </w:tc>
        <w:tc>
          <w:tcPr>
            <w:tcW w:w="780" w:type="dxa"/>
            <w:shd w:val="clear" w:color="auto" w:fill="auto"/>
            <w:vAlign w:val="center"/>
          </w:tcPr>
          <w:p w14:paraId="2C649B9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项</w:t>
            </w:r>
          </w:p>
        </w:tc>
        <w:tc>
          <w:tcPr>
            <w:tcW w:w="705" w:type="dxa"/>
            <w:shd w:val="clear" w:color="auto" w:fill="auto"/>
            <w:vAlign w:val="center"/>
          </w:tcPr>
          <w:p w14:paraId="11CB5A5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r>
    </w:tbl>
    <w:p w14:paraId="0CD6DC59">
      <w:pPr>
        <w:keepLines w:val="0"/>
        <w:pageBreakBefore w:val="0"/>
        <w:widowControl/>
        <w:numPr>
          <w:ilvl w:val="-1"/>
          <w:numId w:val="0"/>
        </w:numPr>
        <w:kinsoku/>
        <w:wordWrap/>
        <w:overflowPunct/>
        <w:topLinePunct w:val="0"/>
        <w:bidi w:val="0"/>
        <w:spacing w:line="560" w:lineRule="exact"/>
        <w:ind w:leftChars="0" w:firstLine="560" w:firstLineChars="200"/>
        <w:rPr>
          <w:rFonts w:hint="default"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三</w:t>
      </w:r>
      <w:r>
        <w:rPr>
          <w:rFonts w:hint="eastAsia" w:ascii="楷体_GB2312" w:hAnsi="楷体_GB2312" w:eastAsia="楷体_GB2312" w:cs="楷体_GB2312"/>
          <w:b w:val="0"/>
          <w:bCs w:val="0"/>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lang w:val="en-US" w:eastAsia="zh-CN"/>
        </w:rPr>
        <w:t>服务要求</w:t>
      </w:r>
    </w:p>
    <w:p w14:paraId="3C2B3D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合同签订之日起5个工作日内完成设计，设计内容需经过采购方审核确认后方可推进执行，期间需配合采购方完成不少于2次方案调整优化，相关费用已包含在报价中。各项设计图稿及策划方案、脚本需与采购方确认，提供电子版和纸质版确认稿。</w:t>
      </w:r>
    </w:p>
    <w:p w14:paraId="69BBFCE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2.中标人须对其出具的各项方案及图稿的原创性、真实性、准确性、合法性负责。若因方案或图稿问题导致采购方做出错误决策并造成损失的，中标人应承担相应法律责任及经济赔偿。</w:t>
      </w:r>
    </w:p>
    <w:p w14:paraId="77857BA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3.中标人应遵守采购方医院内的安全管理规定，在活动执行过程中做好安全防护措施，因中标人原因造成的人员伤亡或财产损失，由中标人自行承担。</w:t>
      </w:r>
    </w:p>
    <w:p w14:paraId="7C3060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4.活动执行过程中如需对场地进行布置或改造，须提前征得采购方书面同意，并在活动结束后按要求恢复原貌（费用自理）。</w:t>
      </w:r>
    </w:p>
    <w:p w14:paraId="299E1D2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5.本项目涉及活动宣传、策划实施、落地执行、活动视觉设计、物料设计制作、视频创作、定制健康促进工具包等内容，中标人需配合提供验收材料，协助完成活动总结及相关汇报。</w:t>
      </w:r>
    </w:p>
    <w:p w14:paraId="20A22F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6.能及时响应采购人服务要求，在接到采购人通知后，</w:t>
      </w:r>
      <w:r>
        <w:rPr>
          <w:rFonts w:hint="eastAsia" w:ascii="仿宋_GB2312" w:hAnsi="仿宋_GB2312" w:eastAsia="仿宋_GB2312" w:cs="仿宋_GB2312"/>
          <w:color w:val="auto"/>
          <w:sz w:val="28"/>
          <w:szCs w:val="28"/>
          <w:highlight w:val="none"/>
          <w:lang w:val="en-US" w:eastAsia="zh-CN"/>
        </w:rPr>
        <w:t>线上服务响应需在2小时内响应，线下服务响应需在48小时内响应</w:t>
      </w:r>
      <w:r>
        <w:rPr>
          <w:rFonts w:hint="eastAsia" w:ascii="仿宋_GB2312" w:hAnsi="仿宋_GB2312" w:eastAsia="仿宋_GB2312" w:cs="仿宋_GB2312"/>
          <w:b w:val="0"/>
          <w:bCs w:val="0"/>
          <w:color w:val="auto"/>
          <w:sz w:val="28"/>
          <w:szCs w:val="28"/>
          <w:highlight w:val="none"/>
          <w:lang w:val="en-US" w:eastAsia="zh-CN"/>
        </w:rPr>
        <w:t>，不影响活动进程和效果</w:t>
      </w:r>
      <w:r>
        <w:rPr>
          <w:rFonts w:hint="eastAsia" w:ascii="仿宋_GB2312" w:hAnsi="仿宋_GB2312" w:eastAsia="仿宋_GB2312" w:cs="仿宋_GB2312"/>
          <w:color w:val="auto"/>
          <w:sz w:val="28"/>
          <w:szCs w:val="28"/>
          <w:highlight w:val="none"/>
          <w:lang w:val="en-US" w:eastAsia="zh-CN"/>
        </w:rPr>
        <w:t>。</w:t>
      </w:r>
    </w:p>
    <w:p w14:paraId="4278618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7.除以租赁使用为目的的设备/物品外，保证所提供设备和器材、物品是全新的，且备件齐全、包装完整，并</w:t>
      </w:r>
      <w:r>
        <w:rPr>
          <w:rFonts w:hint="eastAsia" w:ascii="仿宋_GB2312" w:hAnsi="仿宋_GB2312" w:eastAsia="仿宋_GB2312" w:cs="仿宋_GB2312"/>
          <w:b w:val="0"/>
          <w:bCs w:val="0"/>
          <w:strike w:val="0"/>
          <w:color w:val="auto"/>
          <w:sz w:val="28"/>
          <w:szCs w:val="28"/>
          <w:highlight w:val="none"/>
          <w:lang w:val="en-US" w:eastAsia="zh-CN"/>
        </w:rPr>
        <w:t>保证</w:t>
      </w:r>
      <w:r>
        <w:rPr>
          <w:rFonts w:hint="eastAsia" w:ascii="仿宋_GB2312" w:hAnsi="仿宋_GB2312" w:eastAsia="仿宋_GB2312" w:cs="仿宋_GB2312"/>
          <w:b w:val="0"/>
          <w:bCs w:val="0"/>
          <w:color w:val="auto"/>
          <w:sz w:val="28"/>
          <w:szCs w:val="28"/>
          <w:highlight w:val="none"/>
          <w:lang w:val="en-US" w:eastAsia="zh-CN"/>
        </w:rPr>
        <w:t>产品质量符合国家相关法律、法规和规定的要求，严格按照国家相关规定进行安装和调试产品。</w:t>
      </w:r>
    </w:p>
    <w:p w14:paraId="3E03754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8.所提供的设计形象、字体、音乐、视频等文学、艺术和科学作品均受著作权保护，使用所有权归中标人，不存在争议。纳入本项目采购的原创作品所有权归服务采购方所有，如有必要，中标人应配合进行相关权利登记。</w:t>
      </w:r>
    </w:p>
    <w:p w14:paraId="6AA6030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9.活动开始前完成现场踏勘，重点排查活动区域布局，对接供电需求等，对可能影响安全生产、居民通行的区域，提前与场地提供方沟通，制定规避措施并报医院审核，严禁堵塞消防通道。</w:t>
      </w:r>
    </w:p>
    <w:p w14:paraId="3A4119B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10.现场所有作业需遵循安全生产操作规范，落实《中华人民共和国安全生产法》《城市市容和环境卫生管理条例》等相关规定。中标人作为现场搭建及活动保障的责任主体，需承诺对自身所有工作人员（含临时聘请人员）的现场作业安全及行为规范负有全面的管理责任，并接受采购方及场地方对现场作业安全的监督检查。如活动执行涉及高空作业，在活动开始前需向采购方提供</w:t>
      </w:r>
      <w:r>
        <w:rPr>
          <w:rStyle w:val="21"/>
          <w:rFonts w:hint="eastAsia" w:ascii="仿宋_GB2312" w:hAnsi="仿宋_GB2312" w:eastAsia="仿宋_GB2312" w:cs="仿宋_GB2312"/>
          <w:b w:val="0"/>
          <w:i w:val="0"/>
          <w:iCs w:val="0"/>
          <w:caps w:val="0"/>
          <w:color w:val="auto"/>
          <w:spacing w:val="0"/>
          <w:sz w:val="28"/>
          <w:szCs w:val="28"/>
          <w:highlight w:val="none"/>
          <w:shd w:val="clear" w:fill="FFFFFF"/>
        </w:rPr>
        <w:t>特种作业操作证</w:t>
      </w:r>
      <w:r>
        <w:rPr>
          <w:rStyle w:val="21"/>
          <w:rFonts w:hint="eastAsia" w:ascii="仿宋_GB2312" w:hAnsi="仿宋_GB2312" w:eastAsia="仿宋_GB2312" w:cs="仿宋_GB2312"/>
          <w:b w:val="0"/>
          <w:i w:val="0"/>
          <w:iCs w:val="0"/>
          <w:caps w:val="0"/>
          <w:color w:val="auto"/>
          <w:spacing w:val="0"/>
          <w:sz w:val="28"/>
          <w:szCs w:val="28"/>
          <w:highlight w:val="none"/>
          <w:shd w:val="clear" w:fill="FFFFFF"/>
          <w:lang w:eastAsia="zh-CN"/>
        </w:rPr>
        <w:t>（</w:t>
      </w:r>
      <w:r>
        <w:rPr>
          <w:rFonts w:hint="eastAsia" w:ascii="仿宋_GB2312" w:hAnsi="仿宋_GB2312" w:eastAsia="仿宋_GB2312" w:cs="仿宋_GB2312"/>
          <w:b w:val="0"/>
          <w:bCs w:val="0"/>
          <w:color w:val="auto"/>
          <w:sz w:val="28"/>
          <w:szCs w:val="28"/>
          <w:highlight w:val="none"/>
          <w:lang w:val="en-US" w:eastAsia="zh-CN"/>
        </w:rPr>
        <w:t>作业类别为</w:t>
      </w:r>
      <w:r>
        <w:rPr>
          <w:rStyle w:val="21"/>
          <w:rFonts w:hint="eastAsia" w:ascii="仿宋_GB2312" w:hAnsi="仿宋_GB2312" w:eastAsia="仿宋_GB2312" w:cs="仿宋_GB2312"/>
          <w:b w:val="0"/>
          <w:i w:val="0"/>
          <w:iCs w:val="0"/>
          <w:caps w:val="0"/>
          <w:color w:val="auto"/>
          <w:spacing w:val="0"/>
          <w:sz w:val="28"/>
          <w:szCs w:val="28"/>
          <w:highlight w:val="none"/>
          <w:shd w:val="clear" w:fill="FFFFFF"/>
        </w:rPr>
        <w:t>高处</w:t>
      </w:r>
      <w:r>
        <w:rPr>
          <w:rFonts w:hint="eastAsia" w:ascii="仿宋_GB2312" w:hAnsi="仿宋_GB2312" w:eastAsia="仿宋_GB2312" w:cs="仿宋_GB2312"/>
          <w:b w:val="0"/>
          <w:i w:val="0"/>
          <w:iCs w:val="0"/>
          <w:caps w:val="0"/>
          <w:color w:val="auto"/>
          <w:spacing w:val="0"/>
          <w:sz w:val="28"/>
          <w:szCs w:val="28"/>
          <w:highlight w:val="none"/>
          <w:shd w:val="clear"/>
          <w:lang w:val="en-US" w:eastAsia="zh-CN"/>
        </w:rPr>
        <w:t>作业</w:t>
      </w:r>
      <w:r>
        <w:rPr>
          <w:rStyle w:val="21"/>
          <w:rFonts w:hint="eastAsia" w:ascii="仿宋_GB2312" w:hAnsi="仿宋_GB2312" w:eastAsia="仿宋_GB2312" w:cs="仿宋_GB2312"/>
          <w:b w:val="0"/>
          <w:i w:val="0"/>
          <w:iCs w:val="0"/>
          <w:caps w:val="0"/>
          <w:color w:val="auto"/>
          <w:spacing w:val="0"/>
          <w:sz w:val="28"/>
          <w:szCs w:val="28"/>
          <w:highlight w:val="none"/>
          <w:shd w:val="clear" w:fill="FFFFFF"/>
          <w:lang w:eastAsia="zh-CN"/>
        </w:rPr>
        <w:t>）</w:t>
      </w:r>
      <w:r>
        <w:rPr>
          <w:rFonts w:hint="eastAsia" w:ascii="仿宋_GB2312" w:hAnsi="仿宋_GB2312" w:eastAsia="仿宋_GB2312" w:cs="仿宋_GB2312"/>
          <w:b w:val="0"/>
          <w:i w:val="0"/>
          <w:iCs w:val="0"/>
          <w:caps w:val="0"/>
          <w:color w:val="auto"/>
          <w:spacing w:val="0"/>
          <w:sz w:val="28"/>
          <w:szCs w:val="28"/>
          <w:highlight w:val="none"/>
          <w:shd w:val="clear"/>
          <w:lang w:val="en-US" w:eastAsia="zh-CN"/>
        </w:rPr>
        <w:t>进行备案；如活动执行涉及接电通电作业，</w:t>
      </w:r>
      <w:r>
        <w:rPr>
          <w:rFonts w:hint="eastAsia" w:ascii="仿宋_GB2312" w:hAnsi="仿宋_GB2312" w:eastAsia="仿宋_GB2312" w:cs="仿宋_GB2312"/>
          <w:b w:val="0"/>
          <w:bCs w:val="0"/>
          <w:color w:val="auto"/>
          <w:sz w:val="28"/>
          <w:szCs w:val="28"/>
          <w:highlight w:val="none"/>
          <w:lang w:val="en-US" w:eastAsia="zh-CN"/>
        </w:rPr>
        <w:t>在活动开始前</w:t>
      </w:r>
      <w:r>
        <w:rPr>
          <w:rFonts w:hint="eastAsia" w:ascii="仿宋_GB2312" w:hAnsi="仿宋_GB2312" w:eastAsia="仿宋_GB2312" w:cs="仿宋_GB2312"/>
          <w:b w:val="0"/>
          <w:i w:val="0"/>
          <w:iCs w:val="0"/>
          <w:caps w:val="0"/>
          <w:color w:val="auto"/>
          <w:spacing w:val="0"/>
          <w:sz w:val="28"/>
          <w:szCs w:val="28"/>
          <w:highlight w:val="none"/>
          <w:shd w:val="clear"/>
          <w:lang w:val="en-US" w:eastAsia="zh-CN"/>
        </w:rPr>
        <w:t>需向采购方提供特种</w:t>
      </w:r>
      <w:r>
        <w:rPr>
          <w:rFonts w:hint="eastAsia" w:ascii="仿宋_GB2312" w:hAnsi="仿宋_GB2312" w:eastAsia="仿宋_GB2312" w:cs="仿宋_GB2312"/>
          <w:b w:val="0"/>
          <w:i w:val="0"/>
          <w:iCs w:val="0"/>
          <w:caps w:val="0"/>
          <w:color w:val="auto"/>
          <w:spacing w:val="0"/>
          <w:sz w:val="28"/>
          <w:szCs w:val="28"/>
          <w:highlight w:val="none"/>
          <w:shd w:val="clear"/>
        </w:rPr>
        <w:t>作业操作证</w:t>
      </w:r>
      <w:r>
        <w:rPr>
          <w:rFonts w:hint="eastAsia" w:ascii="仿宋_GB2312" w:hAnsi="仿宋_GB2312" w:eastAsia="仿宋_GB2312" w:cs="仿宋_GB2312"/>
          <w:b w:val="0"/>
          <w:i w:val="0"/>
          <w:iCs w:val="0"/>
          <w:caps w:val="0"/>
          <w:color w:val="auto"/>
          <w:spacing w:val="0"/>
          <w:sz w:val="28"/>
          <w:szCs w:val="28"/>
          <w:highlight w:val="none"/>
          <w:shd w:val="clear"/>
          <w:lang w:val="en-US" w:eastAsia="zh-CN"/>
        </w:rPr>
        <w:t>(作业类别为电工作业)进行备案。</w:t>
      </w:r>
      <w:r>
        <w:rPr>
          <w:rFonts w:hint="eastAsia" w:ascii="仿宋_GB2312" w:hAnsi="仿宋_GB2312" w:eastAsia="仿宋_GB2312" w:cs="仿宋_GB2312"/>
          <w:b w:val="0"/>
          <w:bCs w:val="0"/>
          <w:color w:val="auto"/>
          <w:sz w:val="28"/>
          <w:szCs w:val="28"/>
          <w:highlight w:val="none"/>
          <w:lang w:val="en-US" w:eastAsia="zh-CN"/>
        </w:rPr>
        <w:t>以上内容须由中标人出具书面《安全生产责任承诺书》，明确承诺事项并加盖中标人公章，并承诺于进场前提交相关证件复印件给采购方备案。此承诺书作为合同履约的组成部分。中标人未按时提交或提交资料不全的，采购方有权拒绝其进场搭建，且因此导致的工期延误责任由中标人自行承担，工期不予顺延。（投标时提供《安全生产责任承诺书》，格式自拟）</w:t>
      </w:r>
    </w:p>
    <w:p w14:paraId="7BA487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11.中标人应严格按照合同约定的搭建、活动及撤场时间节点推进工作。若因采购方需求变更或不可抗力（如极端天气、政府临时管制等）导致工期延误，中标人须及时与采购方书面协商并办理工期顺延或调整手续。在施工过程中，若发现活动现场实际尺寸、地面条件、电力负荷等与设计图或前期沟通不符，或物料存在安全隐患、质量问题，中标人须立即停止相关工序，并书面上报采购方及场地方，经书面确认后方可调整方案或更换物料。严禁擅自变更设计方案、替换物料或使用不合格、不合规的设备材料。</w:t>
      </w:r>
    </w:p>
    <w:p w14:paraId="0091C7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12.项目团队由不少于3人组成，其中包括项目负责人1名，负责对接物料设计制作的团队成员1名，负责对接现场活动搭建的团队成员1名。（提供项目团队成员清单，格式自拟）</w:t>
      </w:r>
    </w:p>
    <w:p w14:paraId="4AB9E30F">
      <w:pPr>
        <w:keepLines w:val="0"/>
        <w:pageBreakBefore w:val="0"/>
        <w:widowControl w:val="0"/>
        <w:numPr>
          <w:ilvl w:val="-1"/>
          <w:numId w:val="0"/>
        </w:numPr>
        <w:kinsoku/>
        <w:wordWrap/>
        <w:overflowPunct/>
        <w:topLinePunct w:val="0"/>
        <w:bidi w:val="0"/>
        <w:spacing w:line="560" w:lineRule="exact"/>
        <w:ind w:leftChars="0"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（四）商务要求</w:t>
      </w:r>
    </w:p>
    <w:p w14:paraId="0CDC35C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1.服务</w:t>
      </w:r>
      <w:r>
        <w:rPr>
          <w:rFonts w:hint="eastAsia" w:ascii="仿宋_GB2312" w:hAnsi="仿宋_GB2312" w:eastAsia="仿宋_GB2312" w:cs="仿宋_GB2312"/>
          <w:b w:val="0"/>
          <w:bCs w:val="0"/>
          <w:color w:val="auto"/>
          <w:sz w:val="28"/>
          <w:szCs w:val="28"/>
          <w:highlight w:val="none"/>
          <w:lang w:eastAsia="zh-CN"/>
        </w:rPr>
        <w:t>期</w:t>
      </w:r>
      <w:r>
        <w:rPr>
          <w:rFonts w:hint="eastAsia" w:ascii="仿宋_GB2312" w:hAnsi="仿宋_GB2312" w:eastAsia="仿宋_GB2312" w:cs="仿宋_GB2312"/>
          <w:b w:val="0"/>
          <w:bCs w:val="0"/>
          <w:color w:val="auto"/>
          <w:sz w:val="28"/>
          <w:szCs w:val="28"/>
          <w:highlight w:val="none"/>
          <w:lang w:val="en-US" w:eastAsia="zh-CN"/>
        </w:rPr>
        <w:t>限</w:t>
      </w:r>
      <w:r>
        <w:rPr>
          <w:rFonts w:hint="eastAsia" w:ascii="仿宋_GB2312" w:hAnsi="仿宋_GB2312" w:eastAsia="仿宋_GB2312" w:cs="仿宋_GB2312"/>
          <w:b w:val="0"/>
          <w:bCs w:val="0"/>
          <w:color w:val="auto"/>
          <w:sz w:val="28"/>
          <w:szCs w:val="28"/>
          <w:highlight w:val="none"/>
          <w:lang w:eastAsia="zh-CN"/>
        </w:rPr>
        <w:t>：自合同签订之日起</w:t>
      </w:r>
      <w:r>
        <w:rPr>
          <w:rFonts w:hint="eastAsia" w:ascii="仿宋_GB2312" w:hAnsi="仿宋_GB2312" w:eastAsia="仿宋_GB2312" w:cs="仿宋_GB2312"/>
          <w:b w:val="0"/>
          <w:bCs w:val="0"/>
          <w:color w:val="auto"/>
          <w:sz w:val="28"/>
          <w:szCs w:val="28"/>
          <w:highlight w:val="none"/>
          <w:lang w:val="en-US" w:eastAsia="zh-CN"/>
        </w:rPr>
        <w:t>40</w:t>
      </w:r>
      <w:r>
        <w:rPr>
          <w:rFonts w:hint="eastAsia" w:ascii="仿宋_GB2312" w:hAnsi="仿宋_GB2312" w:eastAsia="仿宋_GB2312" w:cs="仿宋_GB2312"/>
          <w:b w:val="0"/>
          <w:bCs w:val="0"/>
          <w:color w:val="auto"/>
          <w:sz w:val="28"/>
          <w:szCs w:val="28"/>
          <w:highlight w:val="none"/>
          <w:lang w:eastAsia="zh-CN"/>
        </w:rPr>
        <w:t>日（日历日）内完成</w:t>
      </w:r>
      <w:r>
        <w:rPr>
          <w:rFonts w:hint="eastAsia" w:ascii="仿宋_GB2312" w:hAnsi="仿宋_GB2312" w:eastAsia="仿宋_GB2312" w:cs="仿宋_GB2312"/>
          <w:b w:val="0"/>
          <w:bCs w:val="0"/>
          <w:color w:val="auto"/>
          <w:sz w:val="28"/>
          <w:szCs w:val="28"/>
          <w:highlight w:val="none"/>
          <w:lang w:val="en-US" w:eastAsia="zh-CN"/>
        </w:rPr>
        <w:t>全部策划、设计、物料制作、科普宣传片拍摄制作及活动执行工作</w:t>
      </w:r>
      <w:r>
        <w:rPr>
          <w:rFonts w:hint="eastAsia" w:ascii="仿宋_GB2312" w:hAnsi="仿宋_GB2312" w:eastAsia="仿宋_GB2312" w:cs="仿宋_GB2312"/>
          <w:b w:val="0"/>
          <w:bCs w:val="0"/>
          <w:color w:val="auto"/>
          <w:sz w:val="28"/>
          <w:szCs w:val="28"/>
          <w:highlight w:val="none"/>
          <w:lang w:eastAsia="zh-CN"/>
        </w:rPr>
        <w:t>，并提交全部成果资料。（日历日为自然</w:t>
      </w:r>
      <w:r>
        <w:rPr>
          <w:rFonts w:hint="eastAsia" w:ascii="仿宋_GB2312" w:hAnsi="仿宋_GB2312" w:eastAsia="仿宋_GB2312" w:cs="仿宋_GB2312"/>
          <w:b w:val="0"/>
          <w:bCs w:val="0"/>
          <w:color w:val="auto"/>
          <w:sz w:val="28"/>
          <w:szCs w:val="28"/>
          <w:highlight w:val="none"/>
        </w:rPr>
        <w:t>天，包括双休日及法定节假日，不等同于工作日；投标文件中的交货期条款为不可负偏离条款，若投标文件中响应的</w:t>
      </w:r>
      <w:r>
        <w:rPr>
          <w:rFonts w:hint="eastAsia" w:ascii="仿宋_GB2312" w:hAnsi="仿宋_GB2312" w:eastAsia="仿宋_GB2312" w:cs="仿宋_GB2312"/>
          <w:b w:val="0"/>
          <w:bCs w:val="0"/>
          <w:color w:val="auto"/>
          <w:sz w:val="28"/>
          <w:szCs w:val="28"/>
          <w:highlight w:val="none"/>
          <w:lang w:val="en-US" w:eastAsia="zh-CN"/>
        </w:rPr>
        <w:t>服务</w:t>
      </w:r>
      <w:r>
        <w:rPr>
          <w:rFonts w:hint="eastAsia" w:ascii="仿宋_GB2312" w:hAnsi="仿宋_GB2312" w:eastAsia="仿宋_GB2312" w:cs="仿宋_GB2312"/>
          <w:b w:val="0"/>
          <w:bCs w:val="0"/>
          <w:color w:val="auto"/>
          <w:sz w:val="28"/>
          <w:szCs w:val="28"/>
          <w:highlight w:val="none"/>
        </w:rPr>
        <w:t>期超过招标文件规定期限时，其投标文件按投标无效处理。）</w:t>
      </w:r>
    </w:p>
    <w:p w14:paraId="241F244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2.</w:t>
      </w:r>
      <w:r>
        <w:rPr>
          <w:rFonts w:hint="eastAsia" w:ascii="仿宋_GB2312" w:hAnsi="仿宋_GB2312" w:eastAsia="仿宋_GB2312" w:cs="仿宋_GB2312"/>
          <w:b w:val="0"/>
          <w:bCs w:val="0"/>
          <w:color w:val="auto"/>
          <w:sz w:val="28"/>
          <w:szCs w:val="28"/>
          <w:highlight w:val="none"/>
        </w:rPr>
        <w:t>交货地点：深圳市龙岗区第七人民医院指定地点。</w:t>
      </w:r>
    </w:p>
    <w:p w14:paraId="17780C77">
      <w:pPr>
        <w:snapToGrid/>
        <w:spacing w:line="560" w:lineRule="exact"/>
        <w:ind w:firstLine="560" w:firstLineChars="200"/>
        <w:rPr>
          <w:rFonts w:hint="eastAsia" w:ascii="仿宋_GB2312" w:hAnsi="仿宋_GB2312" w:eastAsia="仿宋_GB2312" w:cs="仿宋_GB2312"/>
          <w:b w:val="0"/>
          <w:bCs w:val="0"/>
          <w:color w:val="auto"/>
          <w:sz w:val="28"/>
          <w:szCs w:val="28"/>
          <w:highlight w:val="none"/>
          <w:lang w:val="en-US"/>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color w:val="auto"/>
          <w:sz w:val="28"/>
          <w:szCs w:val="28"/>
          <w:highlight w:val="none"/>
        </w:rPr>
        <w:t>付款方式：</w:t>
      </w:r>
      <w:r>
        <w:rPr>
          <w:rFonts w:hint="eastAsia" w:ascii="仿宋_GB2312" w:hAnsi="仿宋_GB2312" w:eastAsia="仿宋_GB2312" w:cs="仿宋_GB2312"/>
          <w:b w:val="0"/>
          <w:bCs w:val="0"/>
          <w:color w:val="auto"/>
          <w:sz w:val="28"/>
          <w:szCs w:val="28"/>
          <w:highlight w:val="none"/>
          <w:lang w:val="en-US" w:eastAsia="zh-CN"/>
        </w:rPr>
        <w:t>本项目采取阶段性付费方式，即合同签订后付项目总额的30%，完成所有项目内容并验收合格后，支付尾款即项目总额的70%。我院在中标供应商提供正式发票后的10个工作日内通过银行转账付款。</w:t>
      </w:r>
    </w:p>
    <w:p w14:paraId="3FFC547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val="0"/>
          <w:color w:val="auto"/>
          <w:sz w:val="28"/>
          <w:szCs w:val="28"/>
          <w:highlight w:val="none"/>
        </w:rPr>
        <w:t>★</w:t>
      </w: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报价要求：人民币报价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精确到小数点后两位。投标报价总额上限为</w:t>
      </w:r>
      <w:r>
        <w:rPr>
          <w:rFonts w:hint="eastAsia" w:ascii="仿宋_GB2312" w:hAnsi="仿宋_GB2312" w:eastAsia="仿宋_GB2312" w:cs="仿宋_GB2312"/>
          <w:color w:val="auto"/>
          <w:sz w:val="28"/>
          <w:szCs w:val="28"/>
          <w:highlight w:val="none"/>
          <w:lang w:val="en-US" w:eastAsia="zh-CN"/>
        </w:rPr>
        <w:t>6.0</w:t>
      </w:r>
      <w:r>
        <w:rPr>
          <w:rFonts w:hint="eastAsia" w:ascii="仿宋_GB2312" w:hAnsi="仿宋_GB2312" w:eastAsia="仿宋_GB2312" w:cs="仿宋_GB2312"/>
          <w:color w:val="auto"/>
          <w:sz w:val="28"/>
          <w:szCs w:val="28"/>
          <w:highlight w:val="none"/>
        </w:rPr>
        <w:t>万元</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投标人应结合项目需求、市场行情及企业自身因素，自行填报投标总价。报价应包括策划</w:t>
      </w:r>
      <w:r>
        <w:rPr>
          <w:rFonts w:hint="eastAsia" w:ascii="仿宋_GB2312" w:hAnsi="仿宋_GB2312" w:eastAsia="仿宋_GB2312" w:cs="仿宋_GB2312"/>
          <w:color w:val="auto"/>
          <w:sz w:val="28"/>
          <w:szCs w:val="28"/>
          <w:highlight w:val="none"/>
          <w:lang w:val="en-US" w:eastAsia="zh-CN"/>
        </w:rPr>
        <w:t>服务</w:t>
      </w:r>
      <w:r>
        <w:rPr>
          <w:rFonts w:hint="eastAsia" w:ascii="仿宋_GB2312" w:hAnsi="仿宋_GB2312" w:eastAsia="仿宋_GB2312" w:cs="仿宋_GB2312"/>
          <w:color w:val="auto"/>
          <w:sz w:val="28"/>
          <w:szCs w:val="28"/>
          <w:highlight w:val="none"/>
        </w:rPr>
        <w:t>费、设计费、物料制作费、人工费、运输费、税费等为完成本项目所需的一切费用。</w:t>
      </w:r>
    </w:p>
    <w:p w14:paraId="749932C2">
      <w:pPr>
        <w:keepLines w:val="0"/>
        <w:pageBreakBefore w:val="0"/>
        <w:widowControl w:val="0"/>
        <w:numPr>
          <w:ilvl w:val="-1"/>
          <w:numId w:val="0"/>
        </w:numPr>
        <w:kinsoku/>
        <w:wordWrap/>
        <w:overflowPunct/>
        <w:topLinePunct w:val="0"/>
        <w:bidi w:val="0"/>
        <w:snapToGrid/>
        <w:spacing w:line="560" w:lineRule="exact"/>
        <w:ind w:leftChars="0" w:firstLine="560" w:firstLineChars="200"/>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5.验收及售后服务</w:t>
      </w:r>
    </w:p>
    <w:p w14:paraId="755B3D84">
      <w:pPr>
        <w:snapToGrid/>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开展活动或运送宣传材料等货物到现场，中标人应在活动或运送前通知采购方指定人员到场，并提供明细交由采购方验收。中标人需对货物（材料、设备）的质量、规格、性能、数量或活动规模、布置、执行等做出记录，如有任何不符规定要求的产品及人为质量问题，采购方可无条件要求退货或更换。非不可抗力造成的活动质量下降或货物破损、缺陷等事故，由中标人承担后果并主动积极解决问题；</w:t>
      </w:r>
    </w:p>
    <w:p w14:paraId="6837AC00">
      <w:pPr>
        <w:snapToGrid/>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（2）采购方验收时需确认中标人送达安装或用于宣传的物品品质及数量特征满足预定要求。通过现场检验和测试后确保供货商的产品符合质量标准；</w:t>
      </w:r>
    </w:p>
    <w:p w14:paraId="0733E6EB">
      <w:pPr>
        <w:snapToGrid/>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（3）中标人需提供活动策划方案、视觉设计、视频、音频等资料，由采购方组织专家验收，并出具验收报告；</w:t>
      </w:r>
    </w:p>
    <w:p w14:paraId="5972C0F3">
      <w:pPr>
        <w:snapToGrid/>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中标人需按照既定的活动方案提供服务，对于质量、规格不符合要求的材料及配件、文学、艺术和科学作品，采购方有权拒绝验收，由中标人按要求时间重新提供符合要求的材料及配件、文学、艺术和科学作品，并承担由此发生的费用；</w:t>
      </w:r>
    </w:p>
    <w:p w14:paraId="76E10D2E">
      <w:pPr>
        <w:snapToGrid/>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（5）在产品验收后，即使已经交付采购方使用，也不得以产品已经通过验收为由拒绝承担应其承担的质量责任，任何获奖证书和证明文件不可以作为质量问题或质量缺陷不存在的理由；</w:t>
      </w:r>
    </w:p>
    <w:p w14:paraId="386365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（6）所提供的设计形象、字体、音乐、视频等文学、艺术和科学作品的格式适用于各个平台上展播使用，3年免费协助调整格式；</w:t>
      </w:r>
    </w:p>
    <w:p w14:paraId="72D6C7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（7）中标人所提供服务涉及著作权、人员劳务费等争议，由中标人交涉处理并承担相应后果。</w:t>
      </w:r>
    </w:p>
    <w:p w14:paraId="51D61BAE">
      <w:pPr>
        <w:widowControl w:val="0"/>
        <w:snapToGrid/>
        <w:spacing w:line="5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6.违约责任</w:t>
      </w:r>
    </w:p>
    <w:p w14:paraId="43D47201">
      <w:pPr>
        <w:widowControl w:val="0"/>
        <w:snapToGrid/>
        <w:spacing w:line="5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（1）中标人未能按合同约定的时间（合同签订</w:t>
      </w:r>
      <w:r>
        <w:rPr>
          <w:rFonts w:hint="eastAsia" w:ascii="仿宋_GB2312" w:hAnsi="仿宋_GB2312" w:eastAsia="仿宋_GB2312" w:cs="仿宋_GB2312"/>
          <w:b w:val="0"/>
          <w:bCs w:val="0"/>
          <w:color w:val="auto"/>
          <w:kern w:val="2"/>
          <w:sz w:val="28"/>
          <w:szCs w:val="28"/>
          <w:highlight w:val="none"/>
          <w:lang w:val="en-US" w:eastAsia="zh-CN" w:bidi="ar-SA"/>
        </w:rPr>
        <w:t>后40个日历日内）提交成果或完成服务的，每逾期一日，应按合同总金额的0.05%向采购方支付违约金，</w:t>
      </w:r>
      <w:r>
        <w:rPr>
          <w:rFonts w:hint="eastAsia" w:ascii="仿宋_GB2312" w:hAnsi="仿宋_GB2312" w:eastAsia="仿宋_GB2312" w:cs="仿宋_GB2312"/>
          <w:color w:val="auto"/>
          <w:sz w:val="28"/>
          <w:szCs w:val="28"/>
          <w:highlight w:val="none"/>
        </w:rPr>
        <w:t>累计违约金总额不超过合同总价款10%</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 w:val="0"/>
          <w:bCs w:val="0"/>
          <w:color w:val="auto"/>
          <w:kern w:val="2"/>
          <w:sz w:val="28"/>
          <w:szCs w:val="28"/>
          <w:highlight w:val="none"/>
          <w:lang w:val="en-US" w:eastAsia="zh-CN" w:bidi="ar-SA"/>
        </w:rPr>
        <w:t>逾期超过15日的，采购方有权单方解除合同，并要求中标人赔偿损失。</w:t>
      </w:r>
    </w:p>
    <w:p w14:paraId="00CB82A2">
      <w:pPr>
        <w:snapToGrid/>
        <w:spacing w:line="5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b w:val="0"/>
          <w:bCs w:val="0"/>
          <w:color w:val="auto"/>
          <w:sz w:val="28"/>
          <w:szCs w:val="28"/>
          <w:highlight w:val="none"/>
          <w:lang w:val="en-US" w:eastAsia="zh-CN"/>
        </w:rPr>
        <w:t>若中标人擅自变更、替换或使用不合格物料，采购方有权要求其返工整改，并按合同总价款的5%向采购方支付违约金，因此造成的全部费用及损失（包括但不限于场地方索赔、活动延误损失等）由中标人承担。</w:t>
      </w:r>
    </w:p>
    <w:p w14:paraId="27CAD6CB">
      <w:pPr>
        <w:snapToGrid/>
        <w:spacing w:line="560" w:lineRule="exact"/>
        <w:ind w:firstLine="560" w:firstLineChars="200"/>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仿宋_GB2312" w:hAnsi="仿宋_GB2312" w:eastAsia="仿宋_GB2312" w:cs="仿宋_GB2312"/>
          <w:b w:val="0"/>
          <w:bCs w:val="0"/>
          <w:color w:val="auto"/>
          <w:kern w:val="2"/>
          <w:sz w:val="28"/>
          <w:szCs w:val="28"/>
          <w:highlight w:val="none"/>
          <w:lang w:val="en-US" w:eastAsia="zh-CN" w:bidi="ar-SA"/>
        </w:rPr>
        <w:t>7.签订合同</w:t>
      </w:r>
    </w:p>
    <w:p w14:paraId="1F41C36C">
      <w:pPr>
        <w:keepLines w:val="0"/>
        <w:pageBreakBefore w:val="0"/>
        <w:kinsoku/>
        <w:wordWrap/>
        <w:overflowPunct/>
        <w:topLinePunct w:val="0"/>
        <w:bidi w:val="0"/>
        <w:snapToGrid/>
        <w:spacing w:line="560" w:lineRule="exact"/>
        <w:ind w:firstLine="560" w:firstLineChars="200"/>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采购方和中标人应当自中标通知书发出之日起十个工作日内，按照招标文件和中标人的投标文件订立书面合同。</w:t>
      </w:r>
      <w:r>
        <w:rPr>
          <w:rFonts w:hint="default" w:ascii="仿宋_GB2312" w:hAnsi="仿宋_GB2312" w:eastAsia="仿宋_GB2312" w:cs="仿宋_GB2312"/>
          <w:color w:val="auto"/>
          <w:kern w:val="2"/>
          <w:sz w:val="28"/>
          <w:szCs w:val="28"/>
          <w:highlight w:val="none"/>
          <w:lang w:val="en-US" w:eastAsia="zh-CN" w:bidi="ar-SA"/>
        </w:rPr>
        <w:br w:type="page"/>
      </w:r>
    </w:p>
    <w:p w14:paraId="3333FE0D">
      <w:pPr>
        <w:keepLines w:val="0"/>
        <w:pageBreakBefore w:val="0"/>
        <w:numPr>
          <w:ilvl w:val="0"/>
          <w:numId w:val="0"/>
        </w:numPr>
        <w:kinsoku/>
        <w:wordWrap/>
        <w:overflowPunct/>
        <w:topLinePunct w:val="0"/>
        <w:bidi w:val="0"/>
        <w:spacing w:line="560" w:lineRule="exact"/>
        <w:jc w:val="center"/>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三章 评标标准</w:t>
      </w:r>
    </w:p>
    <w:p w14:paraId="20EBA973">
      <w:pPr>
        <w:keepLines w:val="0"/>
        <w:pageBreakBefore w:val="0"/>
        <w:kinsoku/>
        <w:wordWrap/>
        <w:overflowPunct/>
        <w:topLinePunct w:val="0"/>
        <w:bidi w:val="0"/>
        <w:spacing w:line="560" w:lineRule="exact"/>
        <w:rPr>
          <w:rFonts w:hint="eastAsia" w:ascii="仿宋_GB2312" w:hAnsi="仿宋_GB2312" w:eastAsia="仿宋_GB2312" w:cs="仿宋_GB2312"/>
          <w:b/>
          <w:bCs/>
          <w:color w:val="auto"/>
          <w:kern w:val="0"/>
          <w:sz w:val="28"/>
          <w:szCs w:val="28"/>
          <w:highlight w:val="none"/>
        </w:rPr>
      </w:pPr>
    </w:p>
    <w:p w14:paraId="36351059">
      <w:pPr>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一、评标方法说明</w:t>
      </w:r>
    </w:p>
    <w:p w14:paraId="3D43EA52">
      <w:pPr>
        <w:spacing w:line="3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评标方法：综合评分法。按照招标文件中规定的各项因素进行量化打分，以评标总得分的平均分最高的投标人为中标候选</w:t>
      </w:r>
      <w:r>
        <w:rPr>
          <w:rFonts w:hint="eastAsia" w:ascii="仿宋_GB2312" w:hAnsi="仿宋_GB2312" w:eastAsia="仿宋_GB2312" w:cs="仿宋_GB2312"/>
          <w:sz w:val="28"/>
          <w:szCs w:val="28"/>
          <w:highlight w:val="none"/>
        </w:rPr>
        <w:t>供应商</w:t>
      </w:r>
      <w:r>
        <w:rPr>
          <w:rFonts w:hint="eastAsia" w:ascii="仿宋_GB2312" w:hAnsi="仿宋_GB2312" w:eastAsia="仿宋_GB2312" w:cs="仿宋_GB2312"/>
          <w:color w:val="auto"/>
          <w:kern w:val="2"/>
          <w:sz w:val="28"/>
          <w:szCs w:val="28"/>
          <w:highlight w:val="none"/>
          <w:lang w:val="en-US" w:eastAsia="zh-CN" w:bidi="ar-SA"/>
        </w:rPr>
        <w:t>；采购人根据评标委员会评审结果确定中标候选</w:t>
      </w:r>
      <w:r>
        <w:rPr>
          <w:rFonts w:hint="eastAsia" w:ascii="仿宋_GB2312" w:hAnsi="仿宋_GB2312" w:eastAsia="仿宋_GB2312" w:cs="仿宋_GB2312"/>
          <w:sz w:val="28"/>
          <w:szCs w:val="28"/>
          <w:highlight w:val="none"/>
        </w:rPr>
        <w:t>供应商</w:t>
      </w:r>
      <w:r>
        <w:rPr>
          <w:rFonts w:hint="eastAsia" w:ascii="仿宋_GB2312" w:hAnsi="仿宋_GB2312" w:eastAsia="仿宋_GB2312" w:cs="仿宋_GB2312"/>
          <w:color w:val="auto"/>
          <w:kern w:val="2"/>
          <w:sz w:val="28"/>
          <w:szCs w:val="28"/>
          <w:highlight w:val="none"/>
          <w:lang w:val="en-US" w:eastAsia="zh-CN" w:bidi="ar-SA"/>
        </w:rPr>
        <w:t>为</w:t>
      </w:r>
      <w:r>
        <w:rPr>
          <w:rFonts w:hint="eastAsia" w:ascii="仿宋_GB2312" w:hAnsi="仿宋_GB2312" w:eastAsia="仿宋_GB2312" w:cs="仿宋_GB2312"/>
          <w:sz w:val="28"/>
          <w:szCs w:val="28"/>
          <w:highlight w:val="none"/>
        </w:rPr>
        <w:t>中标人</w:t>
      </w:r>
      <w:r>
        <w:rPr>
          <w:rFonts w:hint="eastAsia" w:ascii="仿宋_GB2312" w:hAnsi="仿宋_GB2312" w:eastAsia="仿宋_GB2312" w:cs="仿宋_GB2312"/>
          <w:color w:val="auto"/>
          <w:kern w:val="2"/>
          <w:sz w:val="28"/>
          <w:szCs w:val="28"/>
          <w:highlight w:val="none"/>
          <w:lang w:val="en-US" w:eastAsia="zh-CN" w:bidi="ar-SA"/>
        </w:rPr>
        <w:t>。</w:t>
      </w:r>
    </w:p>
    <w:p w14:paraId="068CBEFD">
      <w:pPr>
        <w:spacing w:line="3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综合评分法中的价格分统一采用低价优先法计算,即满足采购文件要求且投标价格最低的投标报价为评标基准价,其价格分为满分。其他投标人的价格分统一按照下列公式计算：投标报价得分=(评标基准价/投标报价)×权重。</w:t>
      </w:r>
    </w:p>
    <w:p w14:paraId="3FD20183">
      <w:pPr>
        <w:keepLines w:val="0"/>
        <w:pageBreakBefore w:val="0"/>
        <w:numPr>
          <w:ilvl w:val="0"/>
          <w:numId w:val="2"/>
        </w:numPr>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935"/>
        <w:gridCol w:w="930"/>
        <w:gridCol w:w="5097"/>
      </w:tblGrid>
      <w:tr w14:paraId="6D67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34025DD8">
            <w:pPr>
              <w:spacing w:line="360" w:lineRule="exact"/>
              <w:jc w:val="center"/>
              <w:rPr>
                <w:b/>
                <w:bCs/>
                <w:color w:val="auto"/>
                <w:sz w:val="22"/>
                <w:highlight w:val="none"/>
              </w:rPr>
            </w:pPr>
            <w:r>
              <w:rPr>
                <w:b/>
                <w:bCs/>
                <w:color w:val="auto"/>
                <w:sz w:val="22"/>
                <w:highlight w:val="none"/>
              </w:rPr>
              <w:t>评分项</w:t>
            </w:r>
          </w:p>
        </w:tc>
        <w:tc>
          <w:tcPr>
            <w:tcW w:w="5097" w:type="dxa"/>
            <w:tcBorders>
              <w:top w:val="single" w:color="auto" w:sz="4" w:space="0"/>
              <w:left w:val="single" w:color="auto" w:sz="4" w:space="0"/>
              <w:bottom w:val="single" w:color="auto" w:sz="4" w:space="0"/>
              <w:right w:val="single" w:color="auto" w:sz="4" w:space="0"/>
            </w:tcBorders>
            <w:vAlign w:val="center"/>
          </w:tcPr>
          <w:p w14:paraId="253C7AB7">
            <w:pPr>
              <w:spacing w:line="360" w:lineRule="exact"/>
              <w:jc w:val="center"/>
              <w:rPr>
                <w:b/>
                <w:bCs/>
                <w:color w:val="auto"/>
                <w:sz w:val="22"/>
                <w:highlight w:val="none"/>
              </w:rPr>
            </w:pPr>
            <w:r>
              <w:rPr>
                <w:b/>
                <w:bCs/>
                <w:color w:val="auto"/>
                <w:sz w:val="22"/>
                <w:highlight w:val="none"/>
              </w:rPr>
              <w:t>分值</w:t>
            </w:r>
          </w:p>
        </w:tc>
      </w:tr>
      <w:tr w14:paraId="6511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3F20DAD7">
            <w:pPr>
              <w:spacing w:line="360" w:lineRule="exact"/>
              <w:jc w:val="center"/>
              <w:rPr>
                <w:b/>
                <w:bCs/>
                <w:color w:val="auto"/>
                <w:sz w:val="22"/>
                <w:highlight w:val="none"/>
              </w:rPr>
            </w:pPr>
            <w:r>
              <w:rPr>
                <w:b/>
                <w:bCs/>
                <w:color w:val="auto"/>
                <w:sz w:val="22"/>
                <w:highlight w:val="none"/>
              </w:rPr>
              <w:t>价格</w:t>
            </w:r>
          </w:p>
        </w:tc>
        <w:tc>
          <w:tcPr>
            <w:tcW w:w="5097" w:type="dxa"/>
            <w:tcBorders>
              <w:top w:val="single" w:color="auto" w:sz="4" w:space="0"/>
              <w:left w:val="single" w:color="auto" w:sz="4" w:space="0"/>
              <w:bottom w:val="single" w:color="auto" w:sz="4" w:space="0"/>
              <w:right w:val="single" w:color="auto" w:sz="4" w:space="0"/>
            </w:tcBorders>
            <w:vAlign w:val="center"/>
          </w:tcPr>
          <w:p w14:paraId="4E5C4A40">
            <w:pPr>
              <w:spacing w:line="360" w:lineRule="exact"/>
              <w:jc w:val="center"/>
              <w:rPr>
                <w:rFonts w:hint="default" w:eastAsia="宋体"/>
                <w:b/>
                <w:bCs/>
                <w:color w:val="auto"/>
                <w:sz w:val="22"/>
                <w:highlight w:val="none"/>
                <w:lang w:val="en-US" w:eastAsia="zh-CN"/>
              </w:rPr>
            </w:pPr>
            <w:r>
              <w:rPr>
                <w:rFonts w:hint="eastAsia"/>
                <w:b/>
                <w:bCs/>
                <w:color w:val="auto"/>
                <w:sz w:val="22"/>
                <w:highlight w:val="none"/>
                <w:lang w:val="en-US" w:eastAsia="zh-CN"/>
              </w:rPr>
              <w:t>10</w:t>
            </w:r>
          </w:p>
        </w:tc>
      </w:tr>
      <w:tr w14:paraId="2A5A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22A20ABA">
            <w:pPr>
              <w:spacing w:line="360" w:lineRule="exact"/>
              <w:jc w:val="center"/>
              <w:rPr>
                <w:b/>
                <w:bCs/>
                <w:color w:val="auto"/>
                <w:sz w:val="22"/>
                <w:highlight w:val="none"/>
              </w:rPr>
            </w:pPr>
            <w:r>
              <w:rPr>
                <w:b/>
                <w:bCs/>
                <w:color w:val="auto"/>
                <w:sz w:val="22"/>
                <w:highlight w:val="none"/>
              </w:rPr>
              <w:t>技术部分</w:t>
            </w:r>
          </w:p>
        </w:tc>
        <w:tc>
          <w:tcPr>
            <w:tcW w:w="5097" w:type="dxa"/>
            <w:tcBorders>
              <w:top w:val="single" w:color="auto" w:sz="4" w:space="0"/>
              <w:left w:val="single" w:color="auto" w:sz="4" w:space="0"/>
              <w:bottom w:val="single" w:color="auto" w:sz="4" w:space="0"/>
              <w:right w:val="single" w:color="auto" w:sz="4" w:space="0"/>
            </w:tcBorders>
            <w:vAlign w:val="center"/>
          </w:tcPr>
          <w:p w14:paraId="57FC3571">
            <w:pPr>
              <w:pStyle w:val="11"/>
              <w:spacing w:line="360" w:lineRule="exact"/>
              <w:jc w:val="center"/>
              <w:rPr>
                <w:rFonts w:hint="default" w:hAnsi="Times New Roman" w:eastAsia="宋体"/>
                <w:color w:val="auto"/>
                <w:sz w:val="22"/>
                <w:szCs w:val="22"/>
                <w:highlight w:val="none"/>
                <w:lang w:val="en-US" w:eastAsia="zh-CN"/>
              </w:rPr>
            </w:pPr>
            <w:r>
              <w:rPr>
                <w:rFonts w:hint="eastAsia" w:hAnsi="Times New Roman"/>
                <w:b/>
                <w:bCs/>
                <w:color w:val="auto"/>
                <w:sz w:val="22"/>
                <w:szCs w:val="22"/>
                <w:highlight w:val="none"/>
                <w:lang w:val="en-US" w:eastAsia="zh-CN"/>
              </w:rPr>
              <w:t>55</w:t>
            </w:r>
          </w:p>
        </w:tc>
      </w:tr>
      <w:tr w14:paraId="2CB1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46C6B4DA">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0FF25844">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6F7415E7">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603ABC82">
            <w:pPr>
              <w:spacing w:line="360" w:lineRule="exact"/>
              <w:jc w:val="center"/>
              <w:rPr>
                <w:color w:val="auto"/>
                <w:sz w:val="22"/>
                <w:highlight w:val="none"/>
              </w:rPr>
            </w:pPr>
            <w:r>
              <w:rPr>
                <w:color w:val="auto"/>
                <w:sz w:val="22"/>
                <w:highlight w:val="none"/>
              </w:rPr>
              <w:t>评分准则</w:t>
            </w:r>
          </w:p>
        </w:tc>
      </w:tr>
      <w:tr w14:paraId="40B5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046402E3">
            <w:pPr>
              <w:spacing w:line="360" w:lineRule="auto"/>
              <w:jc w:val="left"/>
              <w:rPr>
                <w:color w:val="auto"/>
                <w:sz w:val="22"/>
                <w:highlight w:val="none"/>
              </w:rPr>
            </w:pPr>
            <w:r>
              <w:rPr>
                <w:rFonts w:hint="eastAsia"/>
                <w:sz w:val="24"/>
                <w:highlight w:val="none"/>
                <w:lang w:val="en-US" w:eastAsia="zh-CN"/>
              </w:rPr>
              <w:t>1</w:t>
            </w:r>
          </w:p>
        </w:tc>
        <w:tc>
          <w:tcPr>
            <w:tcW w:w="1935" w:type="dxa"/>
            <w:tcBorders>
              <w:top w:val="single" w:color="auto" w:sz="4" w:space="0"/>
              <w:left w:val="single" w:color="auto" w:sz="4" w:space="0"/>
              <w:bottom w:val="single" w:color="auto" w:sz="4" w:space="0"/>
              <w:right w:val="single" w:color="auto" w:sz="4" w:space="0"/>
            </w:tcBorders>
            <w:vAlign w:val="center"/>
          </w:tcPr>
          <w:p w14:paraId="5493F432">
            <w:pPr>
              <w:pStyle w:val="17"/>
              <w:keepNext w:val="0"/>
              <w:keepLines w:val="0"/>
              <w:widowControl/>
              <w:suppressLineNumbers w:val="0"/>
              <w:spacing w:before="0" w:beforeAutospacing="0" w:after="0" w:afterAutospacing="0" w:line="280" w:lineRule="exact"/>
              <w:ind w:left="0" w:leftChars="0" w:right="0" w:rightChars="0"/>
              <w:jc w:val="center"/>
              <w:rPr>
                <w:rFonts w:hint="eastAsia" w:ascii="宋体" w:hAnsi="宋体" w:eastAsia="宋体"/>
                <w:kern w:val="2"/>
                <w:sz w:val="21"/>
                <w:szCs w:val="21"/>
                <w:highlight w:val="none"/>
                <w:lang w:val="en-US" w:eastAsia="zh-CN"/>
              </w:rPr>
            </w:pPr>
            <w:r>
              <w:rPr>
                <w:rFonts w:hint="eastAsia" w:ascii="宋体" w:hAnsi="宋体" w:eastAsia="宋体" w:cs="黑体"/>
                <w:b w:val="0"/>
                <w:bCs w:val="0"/>
                <w:i w:val="0"/>
                <w:iCs w:val="0"/>
                <w:spacing w:val="0"/>
                <w:w w:val="100"/>
                <w:kern w:val="2"/>
                <w:sz w:val="21"/>
                <w:szCs w:val="21"/>
                <w:highlight w:val="none"/>
                <w:vertAlign w:val="baseline"/>
              </w:rPr>
              <w:t>活动方案</w:t>
            </w:r>
          </w:p>
        </w:tc>
        <w:tc>
          <w:tcPr>
            <w:tcW w:w="930" w:type="dxa"/>
            <w:tcBorders>
              <w:top w:val="single" w:color="auto" w:sz="4" w:space="0"/>
              <w:left w:val="single" w:color="auto" w:sz="4" w:space="0"/>
              <w:bottom w:val="single" w:color="auto" w:sz="4" w:space="0"/>
              <w:right w:val="single" w:color="auto" w:sz="4" w:space="0"/>
            </w:tcBorders>
            <w:vAlign w:val="center"/>
          </w:tcPr>
          <w:p w14:paraId="4BA175FB">
            <w:pPr>
              <w:pStyle w:val="17"/>
              <w:keepNext w:val="0"/>
              <w:keepLines w:val="0"/>
              <w:widowControl/>
              <w:suppressLineNumbers w:val="0"/>
              <w:spacing w:before="0" w:beforeAutospacing="0" w:after="0" w:afterAutospacing="0" w:line="280" w:lineRule="exact"/>
              <w:ind w:left="0" w:leftChars="0" w:right="0" w:rightChars="0"/>
              <w:jc w:val="center"/>
              <w:rPr>
                <w:rFonts w:hint="eastAsia" w:ascii="宋体" w:hAnsi="宋体" w:eastAsia="宋体"/>
                <w:kern w:val="2"/>
                <w:sz w:val="21"/>
                <w:szCs w:val="21"/>
                <w:highlight w:val="none"/>
                <w:lang w:val="en-US" w:eastAsia="zh-CN"/>
              </w:rPr>
            </w:pPr>
            <w:r>
              <w:rPr>
                <w:rFonts w:hint="eastAsia" w:ascii="宋体" w:hAnsi="宋体" w:eastAsia="宋体" w:cs="黑体"/>
                <w:b w:val="0"/>
                <w:bCs w:val="0"/>
                <w:i w:val="0"/>
                <w:iCs w:val="0"/>
                <w:spacing w:val="0"/>
                <w:w w:val="100"/>
                <w:kern w:val="2"/>
                <w:sz w:val="21"/>
                <w:szCs w:val="21"/>
                <w:highlight w:val="none"/>
                <w:vertAlign w:val="baseline"/>
              </w:rPr>
              <w:t>15</w:t>
            </w:r>
          </w:p>
        </w:tc>
        <w:tc>
          <w:tcPr>
            <w:tcW w:w="5097" w:type="dxa"/>
            <w:tcBorders>
              <w:top w:val="single" w:color="auto" w:sz="4" w:space="0"/>
              <w:left w:val="single" w:color="auto" w:sz="4" w:space="0"/>
              <w:bottom w:val="single" w:color="auto" w:sz="4" w:space="0"/>
              <w:right w:val="single" w:color="auto" w:sz="4" w:space="0"/>
            </w:tcBorders>
            <w:vAlign w:val="center"/>
          </w:tcPr>
          <w:p w14:paraId="4B144626">
            <w:pPr>
              <w:jc w:val="left"/>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kern w:val="0"/>
                <w:sz w:val="21"/>
                <w:szCs w:val="21"/>
                <w:highlight w:val="none"/>
                <w:vertAlign w:val="baseline"/>
                <w14:textFill>
                  <w14:solidFill>
                    <w14:schemeClr w14:val="tx1"/>
                  </w14:solidFill>
                </w14:textFill>
              </w:rPr>
              <w:t>（一）评审内容</w:t>
            </w:r>
          </w:p>
          <w:p w14:paraId="4DB92128">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评标委员会根据投标人提供的活动方案进行评审，包括但不限于以下内容：</w:t>
            </w:r>
          </w:p>
          <w:p w14:paraId="55610098">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1.</w:t>
            </w:r>
            <w:r>
              <w:rPr>
                <w:rFonts w:hint="eastAsia" w:ascii="宋体" w:hAnsi="宋体" w:eastAsia="宋体" w:cs="宋体"/>
                <w:b w:val="0"/>
                <w:bCs w:val="0"/>
                <w:i w:val="0"/>
                <w:iCs w:val="0"/>
                <w:spacing w:val="0"/>
                <w:w w:val="100"/>
                <w:sz w:val="21"/>
                <w:szCs w:val="21"/>
                <w:highlight w:val="none"/>
                <w:vertAlign w:val="baseline"/>
              </w:rPr>
              <w:t>项目理解与执行思路：对本项目“强身心涨健识”的理解，对活动执行目标、受众特点及</w:t>
            </w:r>
            <w:r>
              <w:rPr>
                <w:rFonts w:hint="eastAsia" w:ascii="宋体" w:hAnsi="宋体" w:cs="宋体"/>
                <w:b w:val="0"/>
                <w:bCs w:val="0"/>
                <w:i w:val="0"/>
                <w:iCs w:val="0"/>
                <w:spacing w:val="0"/>
                <w:w w:val="100"/>
                <w:sz w:val="21"/>
                <w:szCs w:val="21"/>
                <w:highlight w:val="none"/>
                <w:vertAlign w:val="baseline"/>
                <w:lang w:val="en-US" w:eastAsia="zh-CN"/>
              </w:rPr>
              <w:t>采购人</w:t>
            </w:r>
            <w:r>
              <w:rPr>
                <w:rFonts w:hint="eastAsia" w:ascii="宋体" w:hAnsi="宋体" w:eastAsia="宋体" w:cs="宋体"/>
                <w:b w:val="0"/>
                <w:bCs w:val="0"/>
                <w:i w:val="0"/>
                <w:iCs w:val="0"/>
                <w:spacing w:val="0"/>
                <w:w w:val="100"/>
                <w:sz w:val="21"/>
                <w:szCs w:val="21"/>
                <w:highlight w:val="none"/>
                <w:vertAlign w:val="baseline"/>
              </w:rPr>
              <w:t>需求的准确把握；</w:t>
            </w:r>
          </w:p>
          <w:p w14:paraId="6A275C87">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2.</w:t>
            </w:r>
            <w:r>
              <w:rPr>
                <w:rFonts w:hint="eastAsia" w:ascii="宋体" w:hAnsi="宋体" w:eastAsia="宋体" w:cs="宋体"/>
                <w:b w:val="0"/>
                <w:bCs w:val="0"/>
                <w:i w:val="0"/>
                <w:iCs w:val="0"/>
                <w:spacing w:val="0"/>
                <w:w w:val="100"/>
                <w:sz w:val="21"/>
                <w:szCs w:val="21"/>
                <w:highlight w:val="none"/>
                <w:vertAlign w:val="baseline"/>
              </w:rPr>
              <w:t>现场执行方案：场地规划布局（义诊咨询台、急救技能互动体验区、签到区等功能区划）、动线设计、流程管控方案；</w:t>
            </w:r>
          </w:p>
          <w:p w14:paraId="3974F064">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3.</w:t>
            </w:r>
            <w:r>
              <w:rPr>
                <w:rFonts w:hint="eastAsia" w:ascii="宋体" w:hAnsi="宋体" w:eastAsia="宋体" w:cs="宋体"/>
                <w:b w:val="0"/>
                <w:bCs w:val="0"/>
                <w:i w:val="0"/>
                <w:iCs w:val="0"/>
                <w:spacing w:val="0"/>
                <w:w w:val="100"/>
                <w:sz w:val="21"/>
                <w:szCs w:val="21"/>
                <w:highlight w:val="none"/>
                <w:vertAlign w:val="baseline"/>
              </w:rPr>
              <w:t>搭建与物料落实方案：主视觉延展设计落实方案、各类宣传物料（海报、展架、横幅、宣传单页等）制作安排、现场搭建布置方案；</w:t>
            </w:r>
          </w:p>
          <w:p w14:paraId="0292A32C">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4.</w:t>
            </w:r>
            <w:r>
              <w:rPr>
                <w:rFonts w:hint="eastAsia" w:ascii="宋体" w:hAnsi="宋体" w:eastAsia="宋体" w:cs="宋体"/>
                <w:b w:val="0"/>
                <w:bCs w:val="0"/>
                <w:i w:val="0"/>
                <w:iCs w:val="0"/>
                <w:spacing w:val="0"/>
                <w:w w:val="100"/>
                <w:sz w:val="21"/>
                <w:szCs w:val="21"/>
                <w:highlight w:val="none"/>
                <w:vertAlign w:val="baseline"/>
              </w:rPr>
              <w:t>宣传片拍摄执行方案：急救科普宣传片拍摄执行计划（含脚本细化、分镜设计、拍摄排期、后期制作流程、交付标准）；</w:t>
            </w:r>
          </w:p>
          <w:p w14:paraId="3079A9B2">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5.</w:t>
            </w:r>
            <w:r>
              <w:rPr>
                <w:rFonts w:hint="eastAsia" w:ascii="宋体" w:hAnsi="宋体" w:eastAsia="宋体" w:cs="宋体"/>
                <w:b w:val="0"/>
                <w:bCs w:val="0"/>
                <w:i w:val="0"/>
                <w:iCs w:val="0"/>
                <w:spacing w:val="0"/>
                <w:w w:val="100"/>
                <w:sz w:val="21"/>
                <w:szCs w:val="21"/>
                <w:highlight w:val="none"/>
                <w:vertAlign w:val="baseline"/>
              </w:rPr>
              <w:t>撤场与收尾方案：活动结束后的撤场安排、场地恢复、物料清运及现场清理方案。</w:t>
            </w:r>
          </w:p>
          <w:p w14:paraId="14F93D81">
            <w:pPr>
              <w:jc w:val="left"/>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kern w:val="0"/>
                <w:sz w:val="21"/>
                <w:szCs w:val="21"/>
                <w:highlight w:val="none"/>
                <w:vertAlign w:val="baseline"/>
                <w14:textFill>
                  <w14:solidFill>
                    <w14:schemeClr w14:val="tx1"/>
                  </w14:solidFill>
                </w14:textFill>
              </w:rPr>
              <w:t>（二）评分依据</w:t>
            </w:r>
          </w:p>
          <w:p w14:paraId="55195288">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提供上述任意一点内容得1</w:t>
            </w:r>
            <w:r>
              <w:rPr>
                <w:rFonts w:hint="eastAsia" w:ascii="宋体" w:hAnsi="宋体" w:cs="宋体"/>
                <w:b w:val="0"/>
                <w:bCs w:val="0"/>
                <w:i w:val="0"/>
                <w:iCs w:val="0"/>
                <w:spacing w:val="0"/>
                <w:w w:val="100"/>
                <w:sz w:val="21"/>
                <w:szCs w:val="21"/>
                <w:highlight w:val="none"/>
                <w:vertAlign w:val="baseline"/>
                <w:lang w:val="en-US" w:eastAsia="zh-CN"/>
              </w:rPr>
              <w:t>.5</w:t>
            </w:r>
            <w:r>
              <w:rPr>
                <w:rFonts w:hint="eastAsia" w:ascii="宋体" w:hAnsi="宋体" w:eastAsia="宋体" w:cs="宋体"/>
                <w:b w:val="0"/>
                <w:bCs w:val="0"/>
                <w:i w:val="0"/>
                <w:iCs w:val="0"/>
                <w:spacing w:val="0"/>
                <w:w w:val="100"/>
                <w:sz w:val="21"/>
                <w:szCs w:val="21"/>
                <w:highlight w:val="none"/>
                <w:vertAlign w:val="baseline"/>
              </w:rPr>
              <w:t>分，最高得</w:t>
            </w:r>
            <w:r>
              <w:rPr>
                <w:rFonts w:hint="eastAsia" w:ascii="宋体" w:hAnsi="宋体" w:cs="宋体"/>
                <w:b w:val="0"/>
                <w:bCs w:val="0"/>
                <w:i w:val="0"/>
                <w:iCs w:val="0"/>
                <w:spacing w:val="0"/>
                <w:w w:val="100"/>
                <w:sz w:val="21"/>
                <w:szCs w:val="21"/>
                <w:highlight w:val="none"/>
                <w:vertAlign w:val="baseline"/>
                <w:lang w:val="en-US" w:eastAsia="zh-CN"/>
              </w:rPr>
              <w:t>7.</w:t>
            </w:r>
            <w:r>
              <w:rPr>
                <w:rFonts w:hint="eastAsia" w:ascii="宋体" w:hAnsi="宋体" w:eastAsia="宋体" w:cs="宋体"/>
                <w:b w:val="0"/>
                <w:bCs w:val="0"/>
                <w:i w:val="0"/>
                <w:iCs w:val="0"/>
                <w:spacing w:val="0"/>
                <w:w w:val="100"/>
                <w:sz w:val="21"/>
                <w:szCs w:val="21"/>
                <w:highlight w:val="none"/>
                <w:vertAlign w:val="baseline"/>
              </w:rPr>
              <w:t>5分。</w:t>
            </w:r>
          </w:p>
          <w:p w14:paraId="6AA90678">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在此基础上，专家根据内容进行评分：</w:t>
            </w:r>
          </w:p>
          <w:p w14:paraId="6FD4783F">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1.</w:t>
            </w:r>
            <w:r>
              <w:rPr>
                <w:rFonts w:hint="eastAsia" w:ascii="宋体" w:hAnsi="宋体" w:eastAsia="宋体" w:cs="宋体"/>
                <w:b w:val="0"/>
                <w:bCs w:val="0"/>
                <w:i w:val="0"/>
                <w:iCs w:val="0"/>
                <w:spacing w:val="0"/>
                <w:w w:val="100"/>
                <w:sz w:val="21"/>
                <w:szCs w:val="21"/>
                <w:highlight w:val="none"/>
                <w:vertAlign w:val="baseline"/>
              </w:rPr>
              <w:t>优评分标准：活动执行方案全面完整、排期紧凑合理、各环节衔接紧密，搭建方案细致可行，现场功能区划科学、动线合理，宣传片拍摄执行计划详细、技术指标明确、交付节点清晰，可操作性强，得</w:t>
            </w:r>
            <w:r>
              <w:rPr>
                <w:rFonts w:hint="eastAsia" w:ascii="宋体" w:hAnsi="宋体" w:cs="宋体"/>
                <w:b w:val="0"/>
                <w:bCs w:val="0"/>
                <w:i w:val="0"/>
                <w:iCs w:val="0"/>
                <w:spacing w:val="0"/>
                <w:w w:val="100"/>
                <w:sz w:val="21"/>
                <w:szCs w:val="21"/>
                <w:highlight w:val="none"/>
                <w:vertAlign w:val="baseline"/>
                <w:lang w:val="en-US" w:eastAsia="zh-CN"/>
              </w:rPr>
              <w:t>7.5</w:t>
            </w:r>
            <w:r>
              <w:rPr>
                <w:rFonts w:hint="eastAsia" w:ascii="宋体" w:hAnsi="宋体" w:eastAsia="宋体" w:cs="宋体"/>
                <w:b w:val="0"/>
                <w:bCs w:val="0"/>
                <w:i w:val="0"/>
                <w:iCs w:val="0"/>
                <w:spacing w:val="0"/>
                <w:w w:val="100"/>
                <w:sz w:val="21"/>
                <w:szCs w:val="21"/>
                <w:highlight w:val="none"/>
                <w:vertAlign w:val="baseline"/>
              </w:rPr>
              <w:t>分；</w:t>
            </w:r>
          </w:p>
          <w:p w14:paraId="4C2B3D2D">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2.</w:t>
            </w:r>
            <w:r>
              <w:rPr>
                <w:rFonts w:hint="eastAsia" w:ascii="宋体" w:hAnsi="宋体" w:eastAsia="宋体" w:cs="宋体"/>
                <w:b w:val="0"/>
                <w:bCs w:val="0"/>
                <w:i w:val="0"/>
                <w:iCs w:val="0"/>
                <w:spacing w:val="0"/>
                <w:w w:val="100"/>
                <w:sz w:val="21"/>
                <w:szCs w:val="21"/>
                <w:highlight w:val="none"/>
                <w:vertAlign w:val="baseline"/>
              </w:rPr>
              <w:t>良评分标准：活动执行方案较为完整、排期较合理、各环节衔接较顺畅，搭建及拍摄执行计划较为详细可行，技术指标</w:t>
            </w:r>
            <w:r>
              <w:rPr>
                <w:rFonts w:hint="eastAsia" w:ascii="宋体" w:hAnsi="宋体" w:cs="宋体"/>
                <w:b w:val="0"/>
                <w:bCs w:val="0"/>
                <w:i w:val="0"/>
                <w:iCs w:val="0"/>
                <w:spacing w:val="0"/>
                <w:w w:val="100"/>
                <w:sz w:val="21"/>
                <w:szCs w:val="21"/>
                <w:highlight w:val="none"/>
                <w:vertAlign w:val="baseline"/>
                <w:lang w:val="en-US" w:eastAsia="zh-CN"/>
              </w:rPr>
              <w:t>较</w:t>
            </w:r>
            <w:r>
              <w:rPr>
                <w:rFonts w:hint="eastAsia" w:ascii="宋体" w:hAnsi="宋体" w:eastAsia="宋体" w:cs="宋体"/>
                <w:b w:val="0"/>
                <w:bCs w:val="0"/>
                <w:i w:val="0"/>
                <w:iCs w:val="0"/>
                <w:spacing w:val="0"/>
                <w:w w:val="100"/>
                <w:sz w:val="21"/>
                <w:szCs w:val="21"/>
                <w:highlight w:val="none"/>
                <w:vertAlign w:val="baseline"/>
              </w:rPr>
              <w:t>明确、交付节点</w:t>
            </w:r>
            <w:r>
              <w:rPr>
                <w:rFonts w:hint="eastAsia" w:ascii="宋体" w:hAnsi="宋体" w:cs="宋体"/>
                <w:b w:val="0"/>
                <w:bCs w:val="0"/>
                <w:i w:val="0"/>
                <w:iCs w:val="0"/>
                <w:spacing w:val="0"/>
                <w:w w:val="100"/>
                <w:sz w:val="21"/>
                <w:szCs w:val="21"/>
                <w:highlight w:val="none"/>
                <w:vertAlign w:val="baseline"/>
                <w:lang w:val="en-US" w:eastAsia="zh-CN"/>
              </w:rPr>
              <w:t>较</w:t>
            </w:r>
            <w:r>
              <w:rPr>
                <w:rFonts w:hint="eastAsia" w:ascii="宋体" w:hAnsi="宋体" w:eastAsia="宋体" w:cs="宋体"/>
                <w:b w:val="0"/>
                <w:bCs w:val="0"/>
                <w:i w:val="0"/>
                <w:iCs w:val="0"/>
                <w:spacing w:val="0"/>
                <w:w w:val="100"/>
                <w:sz w:val="21"/>
                <w:szCs w:val="21"/>
                <w:highlight w:val="none"/>
                <w:vertAlign w:val="baseline"/>
              </w:rPr>
              <w:t>清晰</w:t>
            </w:r>
            <w:r>
              <w:rPr>
                <w:rFonts w:hint="eastAsia" w:ascii="宋体" w:hAnsi="宋体" w:cs="宋体"/>
                <w:b w:val="0"/>
                <w:bCs w:val="0"/>
                <w:i w:val="0"/>
                <w:iCs w:val="0"/>
                <w:spacing w:val="0"/>
                <w:w w:val="100"/>
                <w:sz w:val="21"/>
                <w:szCs w:val="21"/>
                <w:highlight w:val="none"/>
                <w:vertAlign w:val="baseline"/>
                <w:lang w:eastAsia="zh-CN"/>
              </w:rPr>
              <w:t>、</w:t>
            </w:r>
            <w:r>
              <w:rPr>
                <w:rFonts w:hint="eastAsia" w:ascii="宋体" w:hAnsi="宋体" w:eastAsia="宋体" w:cs="宋体"/>
                <w:b w:val="0"/>
                <w:bCs w:val="0"/>
                <w:i w:val="0"/>
                <w:iCs w:val="0"/>
                <w:spacing w:val="0"/>
                <w:w w:val="100"/>
                <w:sz w:val="21"/>
                <w:szCs w:val="21"/>
                <w:highlight w:val="none"/>
                <w:vertAlign w:val="baseline"/>
              </w:rPr>
              <w:t>现场功能区划</w:t>
            </w:r>
            <w:r>
              <w:rPr>
                <w:rFonts w:hint="eastAsia" w:ascii="宋体" w:hAnsi="宋体" w:cs="宋体"/>
                <w:b w:val="0"/>
                <w:bCs w:val="0"/>
                <w:i w:val="0"/>
                <w:iCs w:val="0"/>
                <w:spacing w:val="0"/>
                <w:w w:val="100"/>
                <w:sz w:val="21"/>
                <w:szCs w:val="21"/>
                <w:highlight w:val="none"/>
                <w:vertAlign w:val="baseline"/>
                <w:lang w:val="en-US" w:eastAsia="zh-CN"/>
              </w:rPr>
              <w:t>较</w:t>
            </w:r>
            <w:r>
              <w:rPr>
                <w:rFonts w:hint="eastAsia" w:ascii="宋体" w:hAnsi="宋体" w:eastAsia="宋体" w:cs="宋体"/>
                <w:b w:val="0"/>
                <w:bCs w:val="0"/>
                <w:i w:val="0"/>
                <w:iCs w:val="0"/>
                <w:spacing w:val="0"/>
                <w:w w:val="100"/>
                <w:sz w:val="21"/>
                <w:szCs w:val="21"/>
                <w:highlight w:val="none"/>
                <w:vertAlign w:val="baseline"/>
              </w:rPr>
              <w:t>科学、合理，可操作性</w:t>
            </w:r>
            <w:r>
              <w:rPr>
                <w:rFonts w:hint="eastAsia" w:ascii="宋体" w:hAnsi="宋体" w:cs="宋体"/>
                <w:b w:val="0"/>
                <w:bCs w:val="0"/>
                <w:i w:val="0"/>
                <w:iCs w:val="0"/>
                <w:spacing w:val="0"/>
                <w:w w:val="100"/>
                <w:sz w:val="21"/>
                <w:szCs w:val="21"/>
                <w:highlight w:val="none"/>
                <w:vertAlign w:val="baseline"/>
                <w:lang w:val="en-US" w:eastAsia="zh-CN"/>
              </w:rPr>
              <w:t>较</w:t>
            </w:r>
            <w:r>
              <w:rPr>
                <w:rFonts w:hint="eastAsia" w:ascii="宋体" w:hAnsi="宋体" w:eastAsia="宋体" w:cs="宋体"/>
                <w:b w:val="0"/>
                <w:bCs w:val="0"/>
                <w:i w:val="0"/>
                <w:iCs w:val="0"/>
                <w:spacing w:val="0"/>
                <w:w w:val="100"/>
                <w:sz w:val="21"/>
                <w:szCs w:val="21"/>
                <w:highlight w:val="none"/>
                <w:vertAlign w:val="baseline"/>
              </w:rPr>
              <w:t>强，得</w:t>
            </w:r>
            <w:r>
              <w:rPr>
                <w:rFonts w:hint="eastAsia" w:ascii="宋体" w:hAnsi="宋体" w:cs="宋体"/>
                <w:b w:val="0"/>
                <w:bCs w:val="0"/>
                <w:i w:val="0"/>
                <w:iCs w:val="0"/>
                <w:spacing w:val="0"/>
                <w:w w:val="100"/>
                <w:sz w:val="21"/>
                <w:szCs w:val="21"/>
                <w:highlight w:val="none"/>
                <w:vertAlign w:val="baseline"/>
                <w:lang w:val="en-US" w:eastAsia="zh-CN"/>
              </w:rPr>
              <w:t>5.5</w:t>
            </w:r>
            <w:r>
              <w:rPr>
                <w:rFonts w:hint="eastAsia" w:ascii="宋体" w:hAnsi="宋体" w:eastAsia="宋体" w:cs="宋体"/>
                <w:b w:val="0"/>
                <w:bCs w:val="0"/>
                <w:i w:val="0"/>
                <w:iCs w:val="0"/>
                <w:spacing w:val="0"/>
                <w:w w:val="100"/>
                <w:sz w:val="21"/>
                <w:szCs w:val="21"/>
                <w:highlight w:val="none"/>
                <w:vertAlign w:val="baseline"/>
              </w:rPr>
              <w:t>分；</w:t>
            </w:r>
          </w:p>
          <w:p w14:paraId="5437C8E2">
            <w:pPr>
              <w:jc w:val="left"/>
              <w:rPr>
                <w:rFonts w:hint="eastAsia" w:ascii="宋体" w:hAnsi="宋体" w:cs="宋体"/>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3.</w:t>
            </w:r>
            <w:r>
              <w:rPr>
                <w:rFonts w:hint="eastAsia" w:ascii="宋体" w:hAnsi="宋体" w:eastAsia="宋体" w:cs="宋体"/>
                <w:b w:val="0"/>
                <w:bCs w:val="0"/>
                <w:i w:val="0"/>
                <w:iCs w:val="0"/>
                <w:spacing w:val="0"/>
                <w:w w:val="100"/>
                <w:sz w:val="21"/>
                <w:szCs w:val="21"/>
                <w:highlight w:val="none"/>
                <w:vertAlign w:val="baseline"/>
              </w:rPr>
              <w:t>中评分标准：活动执行方案基本完整</w:t>
            </w:r>
            <w:r>
              <w:rPr>
                <w:rFonts w:hint="eastAsia" w:ascii="宋体" w:hAnsi="宋体" w:cs="宋体"/>
                <w:b w:val="0"/>
                <w:bCs w:val="0"/>
                <w:i w:val="0"/>
                <w:iCs w:val="0"/>
                <w:spacing w:val="0"/>
                <w:w w:val="100"/>
                <w:sz w:val="21"/>
                <w:szCs w:val="21"/>
                <w:highlight w:val="none"/>
                <w:vertAlign w:val="baseline"/>
                <w:lang w:eastAsia="zh-CN"/>
              </w:rPr>
              <w:t>，</w:t>
            </w:r>
            <w:r>
              <w:rPr>
                <w:rFonts w:hint="eastAsia" w:ascii="宋体" w:hAnsi="宋体" w:eastAsia="宋体" w:cs="宋体"/>
                <w:b w:val="0"/>
                <w:bCs w:val="0"/>
                <w:i w:val="0"/>
                <w:iCs w:val="0"/>
                <w:spacing w:val="0"/>
                <w:w w:val="100"/>
                <w:sz w:val="21"/>
                <w:szCs w:val="21"/>
                <w:highlight w:val="none"/>
                <w:vertAlign w:val="baseline"/>
              </w:rPr>
              <w:t>排期、各环节衔接</w:t>
            </w:r>
            <w:r>
              <w:rPr>
                <w:rFonts w:hint="eastAsia" w:ascii="宋体" w:hAnsi="宋体" w:cs="宋体"/>
                <w:b w:val="0"/>
                <w:bCs w:val="0"/>
                <w:i w:val="0"/>
                <w:iCs w:val="0"/>
                <w:spacing w:val="0"/>
                <w:w w:val="100"/>
                <w:sz w:val="21"/>
                <w:szCs w:val="21"/>
                <w:highlight w:val="none"/>
                <w:vertAlign w:val="baseline"/>
                <w:lang w:eastAsia="zh-CN"/>
              </w:rPr>
              <w:t>、</w:t>
            </w:r>
            <w:r>
              <w:rPr>
                <w:rFonts w:hint="eastAsia" w:ascii="宋体" w:hAnsi="宋体" w:eastAsia="宋体" w:cs="宋体"/>
                <w:b w:val="0"/>
                <w:bCs w:val="0"/>
                <w:i w:val="0"/>
                <w:iCs w:val="0"/>
                <w:spacing w:val="0"/>
                <w:w w:val="100"/>
                <w:sz w:val="21"/>
                <w:szCs w:val="21"/>
                <w:highlight w:val="none"/>
                <w:vertAlign w:val="baseline"/>
              </w:rPr>
              <w:t>搭建及拍摄执行计划可操作性一般，得</w:t>
            </w:r>
            <w:r>
              <w:rPr>
                <w:rFonts w:hint="eastAsia" w:ascii="宋体" w:hAnsi="宋体" w:cs="宋体"/>
                <w:b w:val="0"/>
                <w:bCs w:val="0"/>
                <w:i w:val="0"/>
                <w:iCs w:val="0"/>
                <w:spacing w:val="0"/>
                <w:w w:val="100"/>
                <w:sz w:val="21"/>
                <w:szCs w:val="21"/>
                <w:highlight w:val="none"/>
                <w:vertAlign w:val="baseline"/>
                <w:lang w:val="en-US" w:eastAsia="zh-CN"/>
              </w:rPr>
              <w:t>3.5</w:t>
            </w:r>
            <w:r>
              <w:rPr>
                <w:rFonts w:hint="eastAsia" w:ascii="宋体" w:hAnsi="宋体" w:eastAsia="宋体" w:cs="宋体"/>
                <w:b w:val="0"/>
                <w:bCs w:val="0"/>
                <w:i w:val="0"/>
                <w:iCs w:val="0"/>
                <w:spacing w:val="0"/>
                <w:w w:val="100"/>
                <w:sz w:val="21"/>
                <w:szCs w:val="21"/>
                <w:highlight w:val="none"/>
                <w:vertAlign w:val="baseline"/>
              </w:rPr>
              <w:t>分；</w:t>
            </w:r>
          </w:p>
          <w:p w14:paraId="7CC0AA4A">
            <w:pPr>
              <w:jc w:val="left"/>
              <w:rPr>
                <w:rFonts w:hint="eastAsia" w:ascii="宋体" w:hAnsi="宋体" w:cs="宋体"/>
                <w:sz w:val="21"/>
                <w:szCs w:val="21"/>
                <w:highlight w:val="none"/>
              </w:rPr>
            </w:pPr>
            <w:r>
              <w:rPr>
                <w:rFonts w:hint="eastAsia" w:ascii="宋体" w:hAnsi="宋体" w:cs="宋体"/>
                <w:b w:val="0"/>
                <w:bCs w:val="0"/>
                <w:i w:val="0"/>
                <w:iCs w:val="0"/>
                <w:spacing w:val="0"/>
                <w:w w:val="100"/>
                <w:sz w:val="21"/>
                <w:szCs w:val="21"/>
                <w:highlight w:val="none"/>
                <w:vertAlign w:val="baseline"/>
                <w:lang w:val="en-US" w:eastAsia="zh-CN"/>
              </w:rPr>
              <w:t>4.</w:t>
            </w:r>
            <w:r>
              <w:rPr>
                <w:rFonts w:hint="eastAsia" w:ascii="宋体" w:hAnsi="宋体" w:eastAsia="宋体" w:cs="宋体"/>
                <w:b w:val="0"/>
                <w:bCs w:val="0"/>
                <w:i w:val="0"/>
                <w:iCs w:val="0"/>
                <w:spacing w:val="0"/>
                <w:w w:val="100"/>
                <w:sz w:val="21"/>
                <w:szCs w:val="21"/>
                <w:highlight w:val="none"/>
                <w:vertAlign w:val="baseline"/>
              </w:rPr>
              <w:t>差评分标准：活动执行方案不完整、排期、各环节衔接</w:t>
            </w:r>
            <w:r>
              <w:rPr>
                <w:rFonts w:hint="eastAsia" w:ascii="宋体" w:hAnsi="宋体" w:cs="宋体"/>
                <w:b w:val="0"/>
                <w:bCs w:val="0"/>
                <w:i w:val="0"/>
                <w:iCs w:val="0"/>
                <w:spacing w:val="0"/>
                <w:w w:val="100"/>
                <w:sz w:val="21"/>
                <w:szCs w:val="21"/>
                <w:highlight w:val="none"/>
                <w:vertAlign w:val="baseline"/>
                <w:lang w:eastAsia="zh-CN"/>
              </w:rPr>
              <w:t>、</w:t>
            </w:r>
            <w:r>
              <w:rPr>
                <w:rFonts w:hint="eastAsia" w:ascii="宋体" w:hAnsi="宋体" w:eastAsia="宋体" w:cs="宋体"/>
                <w:b w:val="0"/>
                <w:bCs w:val="0"/>
                <w:i w:val="0"/>
                <w:iCs w:val="0"/>
                <w:spacing w:val="0"/>
                <w:w w:val="100"/>
                <w:sz w:val="21"/>
                <w:szCs w:val="21"/>
                <w:highlight w:val="none"/>
                <w:vertAlign w:val="baseline"/>
              </w:rPr>
              <w:t>搭建及拍摄执行计划思路不清晰</w:t>
            </w:r>
            <w:r>
              <w:rPr>
                <w:rFonts w:hint="eastAsia" w:ascii="宋体" w:hAnsi="宋体" w:cs="宋体"/>
                <w:b w:val="0"/>
                <w:bCs w:val="0"/>
                <w:i w:val="0"/>
                <w:iCs w:val="0"/>
                <w:spacing w:val="0"/>
                <w:w w:val="100"/>
                <w:sz w:val="21"/>
                <w:szCs w:val="21"/>
                <w:highlight w:val="none"/>
                <w:vertAlign w:val="baseline"/>
                <w:lang w:eastAsia="zh-CN"/>
              </w:rPr>
              <w:t>，</w:t>
            </w:r>
            <w:r>
              <w:rPr>
                <w:rFonts w:hint="eastAsia" w:ascii="宋体" w:hAnsi="宋体" w:cs="宋体"/>
                <w:b w:val="0"/>
                <w:bCs w:val="0"/>
                <w:i w:val="0"/>
                <w:iCs w:val="0"/>
                <w:spacing w:val="0"/>
                <w:w w:val="100"/>
                <w:sz w:val="21"/>
                <w:szCs w:val="21"/>
                <w:highlight w:val="none"/>
                <w:vertAlign w:val="baseline"/>
                <w:lang w:val="en-US" w:eastAsia="zh-CN"/>
              </w:rPr>
              <w:t>可操作性差</w:t>
            </w:r>
            <w:r>
              <w:rPr>
                <w:rFonts w:hint="eastAsia" w:ascii="宋体" w:hAnsi="宋体" w:eastAsia="宋体" w:cs="宋体"/>
                <w:b w:val="0"/>
                <w:bCs w:val="0"/>
                <w:i w:val="0"/>
                <w:iCs w:val="0"/>
                <w:spacing w:val="0"/>
                <w:w w:val="100"/>
                <w:sz w:val="21"/>
                <w:szCs w:val="21"/>
                <w:highlight w:val="none"/>
                <w:vertAlign w:val="baseline"/>
              </w:rPr>
              <w:t>或未提供，不加分。</w:t>
            </w:r>
          </w:p>
        </w:tc>
      </w:tr>
      <w:tr w14:paraId="295B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37DAEAFF">
            <w:pPr>
              <w:spacing w:line="360" w:lineRule="auto"/>
              <w:jc w:val="left"/>
              <w:rPr>
                <w:color w:val="auto"/>
                <w:sz w:val="22"/>
                <w:highlight w:val="none"/>
              </w:rPr>
            </w:pPr>
            <w:r>
              <w:rPr>
                <w:rFonts w:hint="eastAsia"/>
                <w:szCs w:val="21"/>
                <w:highlight w:val="none"/>
                <w:lang w:val="en-US" w:eastAsia="zh-CN"/>
              </w:rPr>
              <w:t>2</w:t>
            </w:r>
          </w:p>
        </w:tc>
        <w:tc>
          <w:tcPr>
            <w:tcW w:w="1935" w:type="dxa"/>
            <w:tcBorders>
              <w:top w:val="single" w:color="auto" w:sz="4" w:space="0"/>
              <w:left w:val="single" w:color="auto" w:sz="4" w:space="0"/>
              <w:bottom w:val="single" w:color="auto" w:sz="4" w:space="0"/>
              <w:right w:val="single" w:color="auto" w:sz="4" w:space="0"/>
            </w:tcBorders>
            <w:vAlign w:val="center"/>
          </w:tcPr>
          <w:p w14:paraId="7521FA80">
            <w:pPr>
              <w:pStyle w:val="17"/>
              <w:keepNext w:val="0"/>
              <w:keepLines w:val="0"/>
              <w:widowControl/>
              <w:suppressLineNumbers w:val="0"/>
              <w:spacing w:before="0" w:beforeAutospacing="0" w:after="0" w:afterAutospacing="0" w:line="280" w:lineRule="exact"/>
              <w:ind w:left="0" w:leftChars="0" w:right="0" w:rightChars="0"/>
              <w:jc w:val="center"/>
              <w:rPr>
                <w:rFonts w:hint="eastAsia" w:ascii="宋体" w:hAnsi="宋体" w:cs="黑体"/>
                <w:kern w:val="2"/>
                <w:sz w:val="21"/>
                <w:szCs w:val="21"/>
                <w:highlight w:val="none"/>
                <w:lang w:val="en-US" w:eastAsia="zh-CN"/>
              </w:rPr>
            </w:pPr>
            <w:r>
              <w:rPr>
                <w:rFonts w:hint="eastAsia" w:ascii="宋体" w:hAnsi="宋体" w:eastAsia="宋体" w:cs="黑体"/>
                <w:b w:val="0"/>
                <w:bCs w:val="0"/>
                <w:i w:val="0"/>
                <w:iCs w:val="0"/>
                <w:spacing w:val="0"/>
                <w:w w:val="100"/>
                <w:kern w:val="2"/>
                <w:sz w:val="21"/>
                <w:szCs w:val="21"/>
                <w:highlight w:val="none"/>
                <w:vertAlign w:val="baseline"/>
              </w:rPr>
              <w:t>质量保障与风险管控</w:t>
            </w:r>
          </w:p>
        </w:tc>
        <w:tc>
          <w:tcPr>
            <w:tcW w:w="930" w:type="dxa"/>
            <w:tcBorders>
              <w:top w:val="single" w:color="auto" w:sz="4" w:space="0"/>
              <w:left w:val="single" w:color="auto" w:sz="4" w:space="0"/>
              <w:bottom w:val="single" w:color="auto" w:sz="4" w:space="0"/>
              <w:right w:val="single" w:color="auto" w:sz="4" w:space="0"/>
            </w:tcBorders>
            <w:vAlign w:val="center"/>
          </w:tcPr>
          <w:p w14:paraId="7F192C6E">
            <w:pPr>
              <w:pStyle w:val="17"/>
              <w:keepNext w:val="0"/>
              <w:keepLines w:val="0"/>
              <w:widowControl/>
              <w:suppressLineNumbers w:val="0"/>
              <w:spacing w:before="0" w:beforeAutospacing="0" w:after="0" w:afterAutospacing="0" w:line="280" w:lineRule="exact"/>
              <w:ind w:left="0" w:leftChars="0" w:right="0" w:rightChars="0"/>
              <w:jc w:val="center"/>
              <w:rPr>
                <w:rFonts w:hint="eastAsia" w:ascii="宋体" w:hAnsi="宋体" w:cs="黑体"/>
                <w:kern w:val="2"/>
                <w:sz w:val="21"/>
                <w:szCs w:val="21"/>
                <w:highlight w:val="none"/>
                <w:lang w:val="en-US" w:eastAsia="zh-CN"/>
              </w:rPr>
            </w:pPr>
            <w:r>
              <w:rPr>
                <w:rFonts w:hint="eastAsia" w:ascii="宋体" w:hAnsi="宋体" w:eastAsia="宋体" w:cs="黑体"/>
                <w:b w:val="0"/>
                <w:bCs w:val="0"/>
                <w:i w:val="0"/>
                <w:iCs w:val="0"/>
                <w:spacing w:val="0"/>
                <w:w w:val="100"/>
                <w:kern w:val="2"/>
                <w:sz w:val="21"/>
                <w:szCs w:val="21"/>
                <w:highlight w:val="none"/>
                <w:vertAlign w:val="baseline"/>
              </w:rPr>
              <w:t>15</w:t>
            </w:r>
          </w:p>
        </w:tc>
        <w:tc>
          <w:tcPr>
            <w:tcW w:w="5097" w:type="dxa"/>
            <w:tcBorders>
              <w:top w:val="single" w:color="auto" w:sz="4" w:space="0"/>
              <w:left w:val="single" w:color="auto" w:sz="4" w:space="0"/>
              <w:bottom w:val="single" w:color="auto" w:sz="4" w:space="0"/>
              <w:right w:val="single" w:color="auto" w:sz="4" w:space="0"/>
            </w:tcBorders>
            <w:vAlign w:val="center"/>
          </w:tcPr>
          <w:p w14:paraId="3146AC80">
            <w:pPr>
              <w:jc w:val="left"/>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kern w:val="0"/>
                <w:sz w:val="21"/>
                <w:szCs w:val="21"/>
                <w:highlight w:val="none"/>
                <w:vertAlign w:val="baseline"/>
                <w14:textFill>
                  <w14:solidFill>
                    <w14:schemeClr w14:val="tx1"/>
                  </w14:solidFill>
                </w14:textFill>
              </w:rPr>
              <w:t>（一）评审内容</w:t>
            </w:r>
          </w:p>
          <w:p w14:paraId="6825DCC0">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评标委员会根据投标人提供的质量保障与风险管控方案进行评审，包括但不限于以下内容：</w:t>
            </w:r>
          </w:p>
          <w:p w14:paraId="712FC815">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1.</w:t>
            </w:r>
            <w:r>
              <w:rPr>
                <w:rFonts w:hint="eastAsia" w:ascii="宋体" w:hAnsi="宋体" w:eastAsia="宋体" w:cs="宋体"/>
                <w:b w:val="0"/>
                <w:bCs w:val="0"/>
                <w:i w:val="0"/>
                <w:iCs w:val="0"/>
                <w:spacing w:val="0"/>
                <w:w w:val="100"/>
                <w:sz w:val="21"/>
                <w:szCs w:val="21"/>
                <w:highlight w:val="none"/>
                <w:vertAlign w:val="baseline"/>
              </w:rPr>
              <w:t>物料质量保障：宣传物料制作的材质标准、色差控制、验收流程，确保成品质量符合采购人要求；</w:t>
            </w:r>
          </w:p>
          <w:p w14:paraId="6B1E50B6">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2.</w:t>
            </w:r>
            <w:r>
              <w:rPr>
                <w:rFonts w:hint="eastAsia" w:ascii="宋体" w:hAnsi="宋体" w:eastAsia="宋体" w:cs="宋体"/>
                <w:b w:val="0"/>
                <w:bCs w:val="0"/>
                <w:i w:val="0"/>
                <w:iCs w:val="0"/>
                <w:spacing w:val="0"/>
                <w:w w:val="100"/>
                <w:sz w:val="21"/>
                <w:szCs w:val="21"/>
                <w:highlight w:val="none"/>
                <w:vertAlign w:val="baseline"/>
              </w:rPr>
              <w:t>工具包产品质量保障：健促工具包内各类产品的质量检验标准（如产品质量合格证、有效期、包装完好性等）、进货验收流程、不合格品处理机制；</w:t>
            </w:r>
          </w:p>
          <w:p w14:paraId="7DCC3CC2">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3.</w:t>
            </w:r>
            <w:r>
              <w:rPr>
                <w:rFonts w:hint="eastAsia" w:ascii="宋体" w:hAnsi="宋体" w:eastAsia="宋体" w:cs="宋体"/>
                <w:b w:val="0"/>
                <w:bCs w:val="0"/>
                <w:i w:val="0"/>
                <w:iCs w:val="0"/>
                <w:spacing w:val="0"/>
                <w:w w:val="100"/>
                <w:sz w:val="21"/>
                <w:szCs w:val="21"/>
                <w:highlight w:val="none"/>
                <w:vertAlign w:val="baseline"/>
              </w:rPr>
              <w:t>宣传片成片质量保障：急救科普宣传片拍摄的阶段性审核机制（脚本确认→粗剪审核→成片终审）、技术指标（分辨率、格式、时长等）达标保障措施，确保急救操作示范画面准确规范；</w:t>
            </w:r>
          </w:p>
          <w:p w14:paraId="4D2C3BC1">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4.</w:t>
            </w:r>
            <w:r>
              <w:rPr>
                <w:rFonts w:hint="eastAsia" w:ascii="宋体" w:hAnsi="宋体" w:eastAsia="宋体" w:cs="宋体"/>
                <w:b w:val="0"/>
                <w:bCs w:val="0"/>
                <w:i w:val="0"/>
                <w:iCs w:val="0"/>
                <w:spacing w:val="0"/>
                <w:w w:val="100"/>
                <w:sz w:val="21"/>
                <w:szCs w:val="21"/>
                <w:highlight w:val="none"/>
                <w:vertAlign w:val="baseline"/>
              </w:rPr>
              <w:t>进度保障措施：各阶段工作排期、进度监控机制、物料制作及宣传片拍摄延期的应对预案；</w:t>
            </w:r>
          </w:p>
          <w:p w14:paraId="32B10621">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5.</w:t>
            </w:r>
            <w:r>
              <w:rPr>
                <w:rFonts w:hint="eastAsia" w:ascii="宋体" w:hAnsi="宋体" w:eastAsia="宋体" w:cs="宋体"/>
                <w:b w:val="0"/>
                <w:bCs w:val="0"/>
                <w:i w:val="0"/>
                <w:iCs w:val="0"/>
                <w:spacing w:val="0"/>
                <w:w w:val="100"/>
                <w:sz w:val="21"/>
                <w:szCs w:val="21"/>
                <w:highlight w:val="none"/>
                <w:vertAlign w:val="baseline"/>
              </w:rPr>
              <w:t>现场安全与应急保障：活动现场搭建安全、用电安全、撤场安全的管理措施；物资短缺（如展架配件不足、备用电源缺失等）的替代方案；运输途中突发状况（车辆故障、恶劣天气等）的应急处理措施及备用配送保障；活动当日项目成员临时缺席的替补方案。</w:t>
            </w:r>
          </w:p>
          <w:p w14:paraId="78975358">
            <w:pPr>
              <w:rPr>
                <w:rFonts w:hint="eastAsia" w:ascii="宋体" w:hAnsi="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kern w:val="0"/>
                <w:sz w:val="21"/>
                <w:szCs w:val="21"/>
                <w:highlight w:val="none"/>
                <w:vertAlign w:val="baseline"/>
                <w14:textFill>
                  <w14:solidFill>
                    <w14:schemeClr w14:val="tx1"/>
                  </w14:solidFill>
                </w14:textFill>
              </w:rPr>
              <w:t>（二）评分依据</w:t>
            </w:r>
          </w:p>
          <w:p w14:paraId="142A9CFB">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提供上述任意一点内容得1</w:t>
            </w:r>
            <w:r>
              <w:rPr>
                <w:rFonts w:hint="eastAsia" w:ascii="宋体" w:hAnsi="宋体" w:cs="宋体"/>
                <w:b w:val="0"/>
                <w:bCs w:val="0"/>
                <w:i w:val="0"/>
                <w:iCs w:val="0"/>
                <w:spacing w:val="0"/>
                <w:w w:val="100"/>
                <w:sz w:val="21"/>
                <w:szCs w:val="21"/>
                <w:highlight w:val="none"/>
                <w:vertAlign w:val="baseline"/>
                <w:lang w:val="en-US" w:eastAsia="zh-CN"/>
              </w:rPr>
              <w:t>.5</w:t>
            </w:r>
            <w:r>
              <w:rPr>
                <w:rFonts w:hint="eastAsia" w:ascii="宋体" w:hAnsi="宋体" w:eastAsia="宋体" w:cs="宋体"/>
                <w:b w:val="0"/>
                <w:bCs w:val="0"/>
                <w:i w:val="0"/>
                <w:iCs w:val="0"/>
                <w:spacing w:val="0"/>
                <w:w w:val="100"/>
                <w:sz w:val="21"/>
                <w:szCs w:val="21"/>
                <w:highlight w:val="none"/>
                <w:vertAlign w:val="baseline"/>
              </w:rPr>
              <w:t>分，最高得</w:t>
            </w:r>
            <w:r>
              <w:rPr>
                <w:rFonts w:hint="eastAsia" w:ascii="宋体" w:hAnsi="宋体" w:cs="宋体"/>
                <w:b w:val="0"/>
                <w:bCs w:val="0"/>
                <w:i w:val="0"/>
                <w:iCs w:val="0"/>
                <w:spacing w:val="0"/>
                <w:w w:val="100"/>
                <w:sz w:val="21"/>
                <w:szCs w:val="21"/>
                <w:highlight w:val="none"/>
                <w:vertAlign w:val="baseline"/>
                <w:lang w:val="en-US" w:eastAsia="zh-CN"/>
              </w:rPr>
              <w:t>7.5</w:t>
            </w:r>
            <w:r>
              <w:rPr>
                <w:rFonts w:hint="eastAsia" w:ascii="宋体" w:hAnsi="宋体" w:eastAsia="宋体" w:cs="宋体"/>
                <w:b w:val="0"/>
                <w:bCs w:val="0"/>
                <w:i w:val="0"/>
                <w:iCs w:val="0"/>
                <w:spacing w:val="0"/>
                <w:w w:val="100"/>
                <w:sz w:val="21"/>
                <w:szCs w:val="21"/>
                <w:highlight w:val="none"/>
                <w:vertAlign w:val="baseline"/>
              </w:rPr>
              <w:t>分。</w:t>
            </w:r>
          </w:p>
          <w:p w14:paraId="65C8539A">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在此基础上，专家根据内容进行评分：</w:t>
            </w:r>
          </w:p>
          <w:p w14:paraId="52024D40">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1.</w:t>
            </w:r>
            <w:r>
              <w:rPr>
                <w:rFonts w:hint="eastAsia" w:ascii="宋体" w:hAnsi="宋体" w:eastAsia="宋体" w:cs="宋体"/>
                <w:b w:val="0"/>
                <w:bCs w:val="0"/>
                <w:i w:val="0"/>
                <w:iCs w:val="0"/>
                <w:spacing w:val="0"/>
                <w:w w:val="100"/>
                <w:sz w:val="21"/>
                <w:szCs w:val="21"/>
                <w:highlight w:val="none"/>
                <w:vertAlign w:val="baseline"/>
              </w:rPr>
              <w:t>优评分标准：质量保障与风险管控方案全面完整，物料及工具包产品质量标准明确、验收流程严格，宣传片审核机制严密、技术指标清晰，进度计划科学、延期预案切实可行，现场安全管理到位，物资短缺、运输故障、人员缺席等突发状况应急措施具体可靠，得</w:t>
            </w:r>
            <w:r>
              <w:rPr>
                <w:rFonts w:hint="eastAsia" w:ascii="宋体" w:hAnsi="宋体" w:cs="宋体"/>
                <w:b w:val="0"/>
                <w:bCs w:val="0"/>
                <w:i w:val="0"/>
                <w:iCs w:val="0"/>
                <w:spacing w:val="0"/>
                <w:w w:val="100"/>
                <w:sz w:val="21"/>
                <w:szCs w:val="21"/>
                <w:highlight w:val="none"/>
                <w:vertAlign w:val="baseline"/>
                <w:lang w:val="en-US" w:eastAsia="zh-CN"/>
              </w:rPr>
              <w:t>7.5</w:t>
            </w:r>
            <w:r>
              <w:rPr>
                <w:rFonts w:hint="eastAsia" w:ascii="宋体" w:hAnsi="宋体" w:eastAsia="宋体" w:cs="宋体"/>
                <w:b w:val="0"/>
                <w:bCs w:val="0"/>
                <w:i w:val="0"/>
                <w:iCs w:val="0"/>
                <w:spacing w:val="0"/>
                <w:w w:val="100"/>
                <w:sz w:val="21"/>
                <w:szCs w:val="21"/>
                <w:highlight w:val="none"/>
                <w:vertAlign w:val="baseline"/>
              </w:rPr>
              <w:t>分；</w:t>
            </w:r>
          </w:p>
          <w:p w14:paraId="42B66896">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2.</w:t>
            </w:r>
            <w:r>
              <w:rPr>
                <w:rFonts w:hint="eastAsia" w:ascii="宋体" w:hAnsi="宋体" w:eastAsia="宋体" w:cs="宋体"/>
                <w:b w:val="0"/>
                <w:bCs w:val="0"/>
                <w:i w:val="0"/>
                <w:iCs w:val="0"/>
                <w:spacing w:val="0"/>
                <w:w w:val="100"/>
                <w:sz w:val="21"/>
                <w:szCs w:val="21"/>
                <w:highlight w:val="none"/>
                <w:vertAlign w:val="baseline"/>
              </w:rPr>
              <w:t>良评分标准：质量保障与风险管控方案较为全面，质量标准较明确、验收流程较规范，进度计划较合理、基本应急措施</w:t>
            </w:r>
            <w:r>
              <w:rPr>
                <w:rFonts w:hint="eastAsia" w:ascii="宋体" w:hAnsi="宋体" w:cs="宋体"/>
                <w:b w:val="0"/>
                <w:bCs w:val="0"/>
                <w:i w:val="0"/>
                <w:iCs w:val="0"/>
                <w:spacing w:val="0"/>
                <w:w w:val="100"/>
                <w:sz w:val="21"/>
                <w:szCs w:val="21"/>
                <w:highlight w:val="none"/>
                <w:vertAlign w:val="baseline"/>
                <w:lang w:val="en-US" w:eastAsia="zh-CN"/>
              </w:rPr>
              <w:t>较具体可靠</w:t>
            </w:r>
            <w:r>
              <w:rPr>
                <w:rFonts w:hint="eastAsia" w:ascii="宋体" w:hAnsi="宋体" w:eastAsia="宋体" w:cs="宋体"/>
                <w:b w:val="0"/>
                <w:bCs w:val="0"/>
                <w:i w:val="0"/>
                <w:iCs w:val="0"/>
                <w:spacing w:val="0"/>
                <w:w w:val="100"/>
                <w:sz w:val="21"/>
                <w:szCs w:val="21"/>
                <w:highlight w:val="none"/>
                <w:vertAlign w:val="baseline"/>
              </w:rPr>
              <w:t>，得</w:t>
            </w:r>
            <w:r>
              <w:rPr>
                <w:rFonts w:hint="eastAsia" w:ascii="宋体" w:hAnsi="宋体" w:cs="宋体"/>
                <w:b w:val="0"/>
                <w:bCs w:val="0"/>
                <w:i w:val="0"/>
                <w:iCs w:val="0"/>
                <w:spacing w:val="0"/>
                <w:w w:val="100"/>
                <w:sz w:val="21"/>
                <w:szCs w:val="21"/>
                <w:highlight w:val="none"/>
                <w:vertAlign w:val="baseline"/>
                <w:lang w:val="en-US" w:eastAsia="zh-CN"/>
              </w:rPr>
              <w:t>5.5</w:t>
            </w:r>
            <w:r>
              <w:rPr>
                <w:rFonts w:hint="eastAsia" w:ascii="宋体" w:hAnsi="宋体" w:eastAsia="宋体" w:cs="宋体"/>
                <w:b w:val="0"/>
                <w:bCs w:val="0"/>
                <w:i w:val="0"/>
                <w:iCs w:val="0"/>
                <w:spacing w:val="0"/>
                <w:w w:val="100"/>
                <w:sz w:val="21"/>
                <w:szCs w:val="21"/>
                <w:highlight w:val="none"/>
                <w:vertAlign w:val="baseline"/>
              </w:rPr>
              <w:t>分；</w:t>
            </w:r>
          </w:p>
          <w:p w14:paraId="4955F354">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3.</w:t>
            </w:r>
            <w:r>
              <w:rPr>
                <w:rFonts w:hint="eastAsia" w:ascii="宋体" w:hAnsi="宋体" w:eastAsia="宋体" w:cs="宋体"/>
                <w:b w:val="0"/>
                <w:bCs w:val="0"/>
                <w:i w:val="0"/>
                <w:iCs w:val="0"/>
                <w:spacing w:val="0"/>
                <w:w w:val="100"/>
                <w:sz w:val="21"/>
                <w:szCs w:val="21"/>
                <w:highlight w:val="none"/>
                <w:vertAlign w:val="baseline"/>
              </w:rPr>
              <w:t>中评分标准：质量保障与风险管控方案基本完整、标准一般、可操作性一般，得</w:t>
            </w:r>
            <w:r>
              <w:rPr>
                <w:rFonts w:hint="eastAsia" w:ascii="宋体" w:hAnsi="宋体" w:cs="宋体"/>
                <w:b w:val="0"/>
                <w:bCs w:val="0"/>
                <w:i w:val="0"/>
                <w:iCs w:val="0"/>
                <w:spacing w:val="0"/>
                <w:w w:val="100"/>
                <w:sz w:val="21"/>
                <w:szCs w:val="21"/>
                <w:highlight w:val="none"/>
                <w:vertAlign w:val="baseline"/>
                <w:lang w:val="en-US" w:eastAsia="zh-CN"/>
              </w:rPr>
              <w:t>3.5</w:t>
            </w:r>
            <w:r>
              <w:rPr>
                <w:rFonts w:hint="eastAsia" w:ascii="宋体" w:hAnsi="宋体" w:eastAsia="宋体" w:cs="宋体"/>
                <w:b w:val="0"/>
                <w:bCs w:val="0"/>
                <w:i w:val="0"/>
                <w:iCs w:val="0"/>
                <w:spacing w:val="0"/>
                <w:w w:val="100"/>
                <w:sz w:val="21"/>
                <w:szCs w:val="21"/>
                <w:highlight w:val="none"/>
                <w:vertAlign w:val="baseline"/>
              </w:rPr>
              <w:t>分；</w:t>
            </w:r>
          </w:p>
          <w:p w14:paraId="1CD0CFD4">
            <w:pPr>
              <w:jc w:val="left"/>
              <w:rPr>
                <w:rFonts w:hint="eastAsia" w:ascii="宋体" w:hAnsi="宋体" w:eastAsia="宋体" w:cs="宋体"/>
                <w:sz w:val="21"/>
                <w:szCs w:val="21"/>
                <w:highlight w:val="none"/>
              </w:rPr>
            </w:pPr>
            <w:r>
              <w:rPr>
                <w:rFonts w:hint="eastAsia" w:ascii="宋体" w:hAnsi="宋体" w:eastAsia="宋体" w:cs="宋体"/>
                <w:b w:val="0"/>
                <w:bCs w:val="0"/>
                <w:i w:val="0"/>
                <w:iCs w:val="0"/>
                <w:spacing w:val="0"/>
                <w:w w:val="100"/>
                <w:sz w:val="21"/>
                <w:szCs w:val="21"/>
                <w:highlight w:val="none"/>
                <w:vertAlign w:val="baseline"/>
                <w:lang w:val="en-US" w:eastAsia="zh-CN"/>
              </w:rPr>
              <w:t>4.</w:t>
            </w:r>
            <w:r>
              <w:rPr>
                <w:rFonts w:hint="eastAsia" w:ascii="宋体" w:hAnsi="宋体" w:eastAsia="宋体" w:cs="宋体"/>
                <w:b w:val="0"/>
                <w:bCs w:val="0"/>
                <w:i w:val="0"/>
                <w:iCs w:val="0"/>
                <w:spacing w:val="0"/>
                <w:w w:val="100"/>
                <w:sz w:val="21"/>
                <w:szCs w:val="21"/>
                <w:highlight w:val="none"/>
                <w:vertAlign w:val="baseline"/>
              </w:rPr>
              <w:t>差评分标准：质量保障与风险管控方案不完整、思路不清晰</w:t>
            </w:r>
            <w:r>
              <w:rPr>
                <w:rFonts w:hint="eastAsia" w:ascii="宋体" w:hAnsi="宋体" w:cs="宋体"/>
                <w:b w:val="0"/>
                <w:bCs w:val="0"/>
                <w:i w:val="0"/>
                <w:iCs w:val="0"/>
                <w:spacing w:val="0"/>
                <w:w w:val="100"/>
                <w:sz w:val="21"/>
                <w:szCs w:val="21"/>
                <w:highlight w:val="none"/>
                <w:vertAlign w:val="baseline"/>
                <w:lang w:eastAsia="zh-CN"/>
              </w:rPr>
              <w:t>、</w:t>
            </w:r>
            <w:r>
              <w:rPr>
                <w:rFonts w:hint="eastAsia" w:ascii="宋体" w:hAnsi="宋体" w:cs="宋体"/>
                <w:b w:val="0"/>
                <w:bCs w:val="0"/>
                <w:i w:val="0"/>
                <w:iCs w:val="0"/>
                <w:spacing w:val="0"/>
                <w:w w:val="100"/>
                <w:sz w:val="21"/>
                <w:szCs w:val="21"/>
                <w:highlight w:val="none"/>
                <w:vertAlign w:val="baseline"/>
                <w:lang w:val="en-US" w:eastAsia="zh-CN"/>
              </w:rPr>
              <w:t>可操作性差</w:t>
            </w:r>
            <w:r>
              <w:rPr>
                <w:rFonts w:hint="eastAsia" w:ascii="宋体" w:hAnsi="宋体" w:eastAsia="宋体" w:cs="宋体"/>
                <w:b w:val="0"/>
                <w:bCs w:val="0"/>
                <w:i w:val="0"/>
                <w:iCs w:val="0"/>
                <w:spacing w:val="0"/>
                <w:w w:val="100"/>
                <w:sz w:val="21"/>
                <w:szCs w:val="21"/>
                <w:highlight w:val="none"/>
                <w:vertAlign w:val="baseline"/>
              </w:rPr>
              <w:t>或未提供，不加分。</w:t>
            </w:r>
          </w:p>
        </w:tc>
      </w:tr>
      <w:tr w14:paraId="64CA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0DA0545E">
            <w:pPr>
              <w:spacing w:line="360" w:lineRule="auto"/>
              <w:jc w:val="left"/>
              <w:rPr>
                <w:color w:val="auto"/>
                <w:sz w:val="22"/>
                <w:highlight w:val="none"/>
              </w:rPr>
            </w:pPr>
            <w:r>
              <w:rPr>
                <w:rFonts w:hint="eastAsia"/>
                <w:sz w:val="24"/>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14:paraId="3D646473">
            <w:pPr>
              <w:pStyle w:val="17"/>
              <w:keepNext w:val="0"/>
              <w:keepLines w:val="0"/>
              <w:widowControl/>
              <w:suppressLineNumbers w:val="0"/>
              <w:spacing w:before="0" w:beforeAutospacing="0" w:after="0" w:afterAutospacing="0" w:line="280" w:lineRule="exact"/>
              <w:ind w:left="0" w:leftChars="0" w:right="0" w:rightChars="0"/>
              <w:jc w:val="center"/>
              <w:rPr>
                <w:rFonts w:hint="eastAsia" w:ascii="宋体" w:hAnsi="宋体"/>
                <w:color w:val="000000" w:themeColor="text1"/>
                <w:szCs w:val="21"/>
                <w:highlight w:val="none"/>
                <w14:textFill>
                  <w14:solidFill>
                    <w14:schemeClr w14:val="tx1"/>
                  </w14:solidFill>
                </w14:textFill>
              </w:rPr>
            </w:pPr>
            <w:r>
              <w:rPr>
                <w:rFonts w:hint="eastAsia" w:ascii="宋体" w:hAnsi="宋体" w:eastAsia="宋体" w:cs="黑体"/>
                <w:b w:val="0"/>
                <w:bCs w:val="0"/>
                <w:i w:val="0"/>
                <w:iCs w:val="0"/>
                <w:spacing w:val="0"/>
                <w:w w:val="100"/>
                <w:kern w:val="2"/>
                <w:sz w:val="21"/>
                <w:szCs w:val="21"/>
                <w:highlight w:val="none"/>
                <w:vertAlign w:val="baseline"/>
              </w:rPr>
              <w:t>售后保障</w:t>
            </w:r>
          </w:p>
        </w:tc>
        <w:tc>
          <w:tcPr>
            <w:tcW w:w="930" w:type="dxa"/>
            <w:tcBorders>
              <w:top w:val="single" w:color="auto" w:sz="4" w:space="0"/>
              <w:left w:val="single" w:color="auto" w:sz="4" w:space="0"/>
              <w:bottom w:val="single" w:color="auto" w:sz="4" w:space="0"/>
              <w:right w:val="single" w:color="auto" w:sz="4" w:space="0"/>
            </w:tcBorders>
            <w:vAlign w:val="center"/>
          </w:tcPr>
          <w:p w14:paraId="3F902BF8">
            <w:pPr>
              <w:pStyle w:val="17"/>
              <w:keepNext w:val="0"/>
              <w:keepLines w:val="0"/>
              <w:widowControl/>
              <w:suppressLineNumbers w:val="0"/>
              <w:spacing w:before="0" w:beforeAutospacing="0" w:after="0" w:afterAutospacing="0" w:line="280" w:lineRule="exact"/>
              <w:ind w:left="0" w:leftChars="0" w:right="0" w:rightChars="0"/>
              <w:jc w:val="center"/>
              <w:rPr>
                <w:rFonts w:hint="default" w:eastAsia="宋体"/>
                <w:color w:val="000000" w:themeColor="text1"/>
                <w:sz w:val="22"/>
                <w:highlight w:val="none"/>
                <w:lang w:val="en-US" w:eastAsia="zh-CN"/>
                <w14:textFill>
                  <w14:solidFill>
                    <w14:schemeClr w14:val="tx1"/>
                  </w14:solidFill>
                </w14:textFill>
              </w:rPr>
            </w:pPr>
            <w:r>
              <w:rPr>
                <w:rFonts w:hint="eastAsia" w:ascii="宋体" w:hAnsi="宋体" w:eastAsia="宋体" w:cs="黑体"/>
                <w:b w:val="0"/>
                <w:bCs w:val="0"/>
                <w:i w:val="0"/>
                <w:iCs w:val="0"/>
                <w:spacing w:val="0"/>
                <w:w w:val="100"/>
                <w:kern w:val="2"/>
                <w:sz w:val="21"/>
                <w:szCs w:val="21"/>
                <w:highlight w:val="none"/>
                <w:vertAlign w:val="baseline"/>
              </w:rPr>
              <w:t>14</w:t>
            </w:r>
          </w:p>
        </w:tc>
        <w:tc>
          <w:tcPr>
            <w:tcW w:w="5097" w:type="dxa"/>
            <w:tcBorders>
              <w:top w:val="single" w:color="auto" w:sz="4" w:space="0"/>
              <w:left w:val="single" w:color="auto" w:sz="4" w:space="0"/>
              <w:bottom w:val="single" w:color="auto" w:sz="4" w:space="0"/>
              <w:right w:val="single" w:color="auto" w:sz="4" w:space="0"/>
            </w:tcBorders>
            <w:vAlign w:val="top"/>
          </w:tcPr>
          <w:p w14:paraId="701C3F32">
            <w:pPr>
              <w:pStyle w:val="17"/>
              <w:keepNext w:val="0"/>
              <w:keepLines w:val="0"/>
              <w:widowControl/>
              <w:suppressLineNumbers w:val="0"/>
              <w:spacing w:before="0" w:beforeAutospacing="0" w:after="0" w:afterAutospacing="0" w:line="280" w:lineRule="exact"/>
              <w:ind w:left="0" w:right="0"/>
              <w:jc w:val="left"/>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（一）评审内容</w:t>
            </w:r>
          </w:p>
          <w:p w14:paraId="37DB7780">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评标委员会根据投标人提供的售后保障承诺进行评审，按以下内容响应得分，最高分14分：</w:t>
            </w:r>
          </w:p>
          <w:p w14:paraId="747D059D">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1.宣传物料质量保证与售后：如出现色差/瑕疵/损坏等质量问题，在接到通知后24小时内完成退换，得3分；48小时内完成退换，得1分。</w:t>
            </w:r>
          </w:p>
          <w:p w14:paraId="3ED2FF11">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2.工具包产品售后：交付产品破损/瑕疵/数量短缺等问题，在接到通知后24小时内完成退换，得3分；48小时内完成退换，得1分。</w:t>
            </w:r>
          </w:p>
          <w:p w14:paraId="21D93ED5">
            <w:pPr>
              <w:jc w:val="left"/>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3.宣传片交付后修改服务：成片交付后承诺免费修改次数3次，在发出修改通知后24小时内完成修改的，得3分；成片交付后承诺免费修改次数3次，在发出修改通知后48小时内完成修改，得1分。</w:t>
            </w:r>
          </w:p>
          <w:p w14:paraId="3D6C5F2F">
            <w:pPr>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4.宣传物料、工具包在活动开始72小时前完成交付，得2分；在活动开始24小时前完成交付，得1分。</w:t>
            </w:r>
          </w:p>
          <w:p w14:paraId="7C3E18FD">
            <w:pPr>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5.承诺宣传物料、工具包出现质量问题导致的退换货，有替代方案确保不影响活动进程与效果，自行承担相关费用，并在活动结束后及时交付相关物料及工具包，得2分。</w:t>
            </w:r>
          </w:p>
          <w:p w14:paraId="06658D81">
            <w:pPr>
              <w:rPr>
                <w:rFonts w:hint="eastAsia" w:ascii="宋体" w:hAnsi="宋体" w:cs="宋体"/>
                <w:szCs w:val="21"/>
                <w:highlight w:val="none"/>
              </w:rPr>
            </w:pPr>
            <w:r>
              <w:rPr>
                <w:rFonts w:hint="eastAsia" w:ascii="宋体" w:hAnsi="宋体" w:eastAsia="宋体" w:cs="宋体"/>
                <w:b w:val="0"/>
                <w:bCs w:val="0"/>
                <w:i w:val="0"/>
                <w:iCs w:val="0"/>
                <w:spacing w:val="0"/>
                <w:w w:val="100"/>
                <w:sz w:val="21"/>
                <w:szCs w:val="21"/>
                <w:highlight w:val="none"/>
                <w:vertAlign w:val="baseline"/>
              </w:rPr>
              <w:t>6.售后服务响应机制：提供售后服务联系人姓名及联系电话，得1分。</w:t>
            </w:r>
          </w:p>
          <w:p w14:paraId="137CB482">
            <w:pPr>
              <w:pStyle w:val="17"/>
              <w:keepNext w:val="0"/>
              <w:keepLines w:val="0"/>
              <w:widowControl/>
              <w:suppressLineNumbers w:val="0"/>
              <w:spacing w:before="0" w:beforeAutospacing="0" w:after="0" w:afterAutospacing="0" w:line="280" w:lineRule="exact"/>
              <w:ind w:left="0" w:right="0"/>
              <w:jc w:val="left"/>
              <w:rPr>
                <w:color w:val="000000" w:themeColor="text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（二）评分依据</w:t>
            </w:r>
          </w:p>
          <w:p w14:paraId="49B82D19">
            <w:pPr>
              <w:pStyle w:val="17"/>
              <w:keepNext w:val="0"/>
              <w:keepLines w:val="0"/>
              <w:widowControl/>
              <w:suppressLineNumbers w:val="0"/>
              <w:spacing w:before="0" w:beforeAutospacing="0" w:after="0" w:afterAutospacing="0" w:line="280" w:lineRule="exact"/>
              <w:ind w:left="0" w:right="0"/>
              <w:jc w:val="left"/>
              <w:rPr>
                <w:color w:val="000000" w:themeColor="text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1.提供承诺函（格式自拟）</w:t>
            </w:r>
            <w:r>
              <w:rPr>
                <w:rFonts w:hint="eastAsia" w:ascii="宋体" w:hAnsi="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及</w:t>
            </w:r>
            <w:r>
              <w:rPr>
                <w:rFonts w:hint="eastAsia" w:ascii="宋体" w:hAnsi="宋体" w:eastAsia="宋体" w:cs="宋体"/>
                <w:b w:val="0"/>
                <w:bCs w:val="0"/>
                <w:i w:val="0"/>
                <w:iCs w:val="0"/>
                <w:spacing w:val="0"/>
                <w:w w:val="100"/>
                <w:sz w:val="21"/>
                <w:szCs w:val="21"/>
                <w:highlight w:val="none"/>
                <w:vertAlign w:val="baseline"/>
              </w:rPr>
              <w:t>售后服务联系人姓名及联系电话</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 xml:space="preserve">。 </w:t>
            </w:r>
          </w:p>
          <w:p w14:paraId="6846416F">
            <w:pPr>
              <w:pStyle w:val="17"/>
              <w:keepNext w:val="0"/>
              <w:keepLines w:val="0"/>
              <w:widowControl/>
              <w:suppressLineNumbers w:val="0"/>
              <w:spacing w:before="0" w:beforeAutospacing="0" w:after="0" w:afterAutospacing="0" w:line="280" w:lineRule="exact"/>
              <w:ind w:left="0" w:leftChars="0" w:right="0" w:rightChars="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2.未提供承诺函</w:t>
            </w:r>
            <w:r>
              <w:rPr>
                <w:rFonts w:hint="eastAsia" w:ascii="宋体" w:hAnsi="宋体" w:cs="宋体"/>
                <w:b w:val="0"/>
                <w:bCs w:val="0"/>
                <w:i w:val="0"/>
                <w:iCs w:val="0"/>
                <w:color w:val="000000" w:themeColor="text1"/>
                <w:spacing w:val="0"/>
                <w:w w:val="100"/>
                <w:sz w:val="21"/>
                <w:szCs w:val="21"/>
                <w:highlight w:val="none"/>
                <w:vertAlign w:val="baseline"/>
                <w:lang w:val="en-US" w:eastAsia="zh-CN"/>
                <w14:textFill>
                  <w14:solidFill>
                    <w14:schemeClr w14:val="tx1"/>
                  </w14:solidFill>
                </w14:textFill>
              </w:rPr>
              <w:t>或</w:t>
            </w:r>
            <w:r>
              <w:rPr>
                <w:rFonts w:hint="eastAsia" w:ascii="宋体" w:hAnsi="宋体" w:eastAsia="宋体" w:cs="宋体"/>
                <w:b w:val="0"/>
                <w:bCs w:val="0"/>
                <w:i w:val="0"/>
                <w:iCs w:val="0"/>
                <w:spacing w:val="0"/>
                <w:w w:val="100"/>
                <w:sz w:val="21"/>
                <w:szCs w:val="21"/>
                <w:highlight w:val="none"/>
                <w:vertAlign w:val="baseline"/>
              </w:rPr>
              <w:t>售后服务联系人姓名及联系电话</w:t>
            </w: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或内容不符合要求的按不得分处理。</w:t>
            </w:r>
          </w:p>
        </w:tc>
      </w:tr>
      <w:tr w14:paraId="7884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50E97D6">
            <w:pPr>
              <w:spacing w:line="360" w:lineRule="auto"/>
              <w:jc w:val="left"/>
              <w:rPr>
                <w:rFonts w:hint="eastAsia" w:eastAsia="宋体"/>
                <w:sz w:val="24"/>
                <w:highlight w:val="none"/>
                <w:lang w:val="en-US" w:eastAsia="zh-CN"/>
              </w:rPr>
            </w:pPr>
            <w:r>
              <w:rPr>
                <w:rFonts w:hint="eastAsia"/>
                <w:sz w:val="24"/>
                <w:highlight w:val="none"/>
                <w:lang w:val="en-US" w:eastAsia="zh-CN"/>
              </w:rPr>
              <w:t>4</w:t>
            </w:r>
          </w:p>
        </w:tc>
        <w:tc>
          <w:tcPr>
            <w:tcW w:w="1935" w:type="dxa"/>
            <w:tcBorders>
              <w:top w:val="single" w:color="auto" w:sz="4" w:space="0"/>
              <w:left w:val="single" w:color="auto" w:sz="4" w:space="0"/>
              <w:bottom w:val="single" w:color="auto" w:sz="4" w:space="0"/>
              <w:right w:val="single" w:color="auto" w:sz="4" w:space="0"/>
            </w:tcBorders>
            <w:vAlign w:val="center"/>
          </w:tcPr>
          <w:p w14:paraId="7EF0FC2C">
            <w:pPr>
              <w:spacing w:line="360" w:lineRule="auto"/>
              <w:jc w:val="center"/>
              <w:rPr>
                <w:rFonts w:hint="default" w:ascii="宋体" w:hAnsi="宋体" w:eastAsia="宋体"/>
                <w:szCs w:val="21"/>
                <w:highlight w:val="none"/>
                <w:lang w:val="en-US" w:eastAsia="zh-CN"/>
              </w:rPr>
            </w:pPr>
            <w:bookmarkStart w:id="1" w:name="OLE_LINK72"/>
            <w:r>
              <w:rPr>
                <w:rFonts w:hint="eastAsia" w:ascii="宋体" w:hAnsi="宋体" w:eastAsia="宋体" w:cs="黑体"/>
                <w:sz w:val="21"/>
                <w:szCs w:val="21"/>
                <w:highlight w:val="none"/>
              </w:rPr>
              <w:t>服务</w:t>
            </w:r>
            <w:bookmarkStart w:id="2" w:name="OLE_LINK77"/>
            <w:r>
              <w:rPr>
                <w:rFonts w:hint="eastAsia" w:ascii="宋体" w:hAnsi="宋体" w:eastAsia="宋体" w:cs="黑体"/>
                <w:sz w:val="21"/>
                <w:szCs w:val="21"/>
                <w:highlight w:val="none"/>
              </w:rPr>
              <w:t>条款</w:t>
            </w:r>
            <w:bookmarkStart w:id="3" w:name="OLE_LINK69"/>
            <w:r>
              <w:rPr>
                <w:rFonts w:hint="eastAsia" w:ascii="宋体" w:hAnsi="宋体" w:eastAsia="宋体" w:cs="黑体"/>
                <w:sz w:val="21"/>
                <w:szCs w:val="21"/>
                <w:highlight w:val="none"/>
              </w:rPr>
              <w:t>偏离</w:t>
            </w:r>
            <w:bookmarkEnd w:id="3"/>
            <w:r>
              <w:rPr>
                <w:rFonts w:hint="eastAsia" w:ascii="宋体" w:hAnsi="宋体" w:eastAsia="宋体" w:cs="黑体"/>
                <w:sz w:val="21"/>
                <w:szCs w:val="21"/>
                <w:highlight w:val="none"/>
              </w:rPr>
              <w:t>情况</w:t>
            </w:r>
            <w:bookmarkEnd w:id="1"/>
            <w:bookmarkEnd w:id="2"/>
          </w:p>
        </w:tc>
        <w:tc>
          <w:tcPr>
            <w:tcW w:w="930" w:type="dxa"/>
            <w:tcBorders>
              <w:top w:val="single" w:color="auto" w:sz="4" w:space="0"/>
              <w:left w:val="single" w:color="auto" w:sz="4" w:space="0"/>
              <w:bottom w:val="single" w:color="auto" w:sz="4" w:space="0"/>
              <w:right w:val="single" w:color="auto" w:sz="4" w:space="0"/>
            </w:tcBorders>
            <w:vAlign w:val="center"/>
          </w:tcPr>
          <w:p w14:paraId="0C2ED3D4">
            <w:pPr>
              <w:spacing w:line="360" w:lineRule="auto"/>
              <w:jc w:val="center"/>
              <w:rPr>
                <w:rFonts w:hint="default"/>
                <w:sz w:val="24"/>
                <w:highlight w:val="none"/>
                <w:lang w:val="en-US" w:eastAsia="zh-CN"/>
              </w:rPr>
            </w:pPr>
            <w:r>
              <w:rPr>
                <w:rFonts w:hint="eastAsia"/>
                <w:sz w:val="24"/>
                <w:highlight w:val="none"/>
                <w:lang w:val="en-US" w:eastAsia="zh-CN"/>
              </w:rPr>
              <w:t>11</w:t>
            </w:r>
          </w:p>
        </w:tc>
        <w:tc>
          <w:tcPr>
            <w:tcW w:w="5097" w:type="dxa"/>
            <w:tcBorders>
              <w:top w:val="single" w:color="auto" w:sz="4" w:space="0"/>
              <w:left w:val="single" w:color="auto" w:sz="4" w:space="0"/>
              <w:bottom w:val="single" w:color="auto" w:sz="4" w:space="0"/>
              <w:right w:val="single" w:color="auto" w:sz="4" w:space="0"/>
            </w:tcBorders>
            <w:vAlign w:val="top"/>
          </w:tcPr>
          <w:p w14:paraId="39B9AD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（一）评分内容</w:t>
            </w:r>
          </w:p>
          <w:p w14:paraId="125FF75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Calibri" w:hAnsi="Calibri" w:eastAsia="宋体" w:cs="黑体"/>
                <w:sz w:val="21"/>
                <w:szCs w:val="21"/>
                <w:highlight w:val="none"/>
              </w:rPr>
            </w:pPr>
            <w:r>
              <w:rPr>
                <w:rFonts w:hint="eastAsia" w:ascii="Calibri" w:hAnsi="Calibri" w:eastAsia="宋体" w:cs="黑体"/>
                <w:sz w:val="21"/>
                <w:szCs w:val="21"/>
                <w:highlight w:val="none"/>
              </w:rPr>
              <w:t>投标人应如实填写《</w:t>
            </w:r>
            <w:bookmarkStart w:id="4" w:name="OLE_LINK100"/>
            <w:bookmarkStart w:id="5" w:name="OLE_LINK73"/>
            <w:r>
              <w:rPr>
                <w:rFonts w:hint="eastAsia" w:ascii="Calibri" w:hAnsi="Calibri" w:eastAsia="宋体" w:cs="黑体"/>
                <w:sz w:val="21"/>
                <w:szCs w:val="21"/>
                <w:highlight w:val="none"/>
              </w:rPr>
              <w:t>服务</w:t>
            </w:r>
            <w:bookmarkEnd w:id="4"/>
            <w:r>
              <w:rPr>
                <w:rFonts w:hint="eastAsia" w:ascii="Calibri" w:hAnsi="Calibri" w:eastAsia="宋体" w:cs="黑体"/>
                <w:sz w:val="21"/>
                <w:szCs w:val="21"/>
                <w:highlight w:val="none"/>
              </w:rPr>
              <w:t>条款偏离表</w:t>
            </w:r>
            <w:bookmarkEnd w:id="5"/>
            <w:r>
              <w:rPr>
                <w:rFonts w:hint="eastAsia" w:ascii="Calibri" w:hAnsi="Calibri" w:eastAsia="宋体" w:cs="黑体"/>
                <w:sz w:val="21"/>
                <w:szCs w:val="21"/>
                <w:highlight w:val="none"/>
              </w:rPr>
              <w:t>》，评审委员会根据</w:t>
            </w:r>
            <w:r>
              <w:rPr>
                <w:rFonts w:hint="eastAsia" w:ascii="Calibri" w:hAnsi="Calibri" w:eastAsia="宋体" w:cs="黑体"/>
                <w:sz w:val="21"/>
                <w:szCs w:val="21"/>
                <w:highlight w:val="none"/>
                <w:lang w:val="en-US" w:eastAsia="zh-CN"/>
              </w:rPr>
              <w:t>服务</w:t>
            </w:r>
            <w:r>
              <w:rPr>
                <w:rFonts w:hint="eastAsia" w:ascii="Calibri" w:hAnsi="Calibri" w:eastAsia="宋体" w:cs="黑体"/>
                <w:sz w:val="21"/>
                <w:szCs w:val="21"/>
                <w:highlight w:val="none"/>
              </w:rPr>
              <w:t>条款响应情况进行打分。</w:t>
            </w:r>
          </w:p>
          <w:p w14:paraId="2B33F41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（二）评分依据</w:t>
            </w:r>
          </w:p>
          <w:p w14:paraId="6B943156">
            <w:pPr>
              <w:spacing w:line="240" w:lineRule="auto"/>
              <w:jc w:val="left"/>
              <w:rPr>
                <w:rFonts w:hint="eastAsia" w:eastAsia="宋体"/>
                <w:szCs w:val="21"/>
                <w:highlight w:val="none"/>
                <w:lang w:val="en-US" w:eastAsia="zh-CN"/>
              </w:rPr>
            </w:pPr>
            <w:r>
              <w:rPr>
                <w:rFonts w:hint="eastAsia" w:ascii="Calibri" w:hAnsi="Calibri" w:eastAsia="宋体" w:cs="黑体"/>
                <w:sz w:val="21"/>
                <w:szCs w:val="21"/>
                <w:highlight w:val="none"/>
              </w:rPr>
              <w:t>各项服务条款及要求全部满足的得满分（实质性条款除外），各项服务条款及要求共计</w:t>
            </w:r>
            <w:r>
              <w:rPr>
                <w:rFonts w:hint="eastAsia" w:ascii="Calibri" w:hAnsi="Calibri" w:eastAsia="宋体" w:cs="黑体"/>
                <w:sz w:val="21"/>
                <w:szCs w:val="21"/>
                <w:highlight w:val="none"/>
                <w:lang w:val="en-US" w:eastAsia="zh-CN"/>
              </w:rPr>
              <w:t>11</w:t>
            </w:r>
            <w:r>
              <w:rPr>
                <w:rFonts w:hint="eastAsia" w:ascii="Calibri" w:hAnsi="Calibri" w:eastAsia="宋体" w:cs="黑体"/>
                <w:sz w:val="21"/>
                <w:szCs w:val="21"/>
                <w:highlight w:val="none"/>
              </w:rPr>
              <w:t>项，每负偏离一项扣</w:t>
            </w:r>
            <w:r>
              <w:rPr>
                <w:rFonts w:hint="eastAsia" w:ascii="Calibri" w:hAnsi="Calibri" w:eastAsia="宋体" w:cs="黑体"/>
                <w:sz w:val="21"/>
                <w:szCs w:val="21"/>
                <w:highlight w:val="none"/>
                <w:lang w:val="en-US" w:eastAsia="zh-CN"/>
              </w:rPr>
              <w:t>1</w:t>
            </w:r>
            <w:r>
              <w:rPr>
                <w:rFonts w:hint="eastAsia" w:ascii="Calibri" w:hAnsi="Calibri" w:eastAsia="宋体" w:cs="黑体"/>
                <w:sz w:val="21"/>
                <w:szCs w:val="21"/>
                <w:highlight w:val="none"/>
              </w:rPr>
              <w:t>分</w:t>
            </w:r>
            <w:r>
              <w:rPr>
                <w:rFonts w:hint="eastAsia" w:ascii="Calibri" w:hAnsi="Calibri" w:eastAsia="宋体" w:cs="黑体"/>
                <w:sz w:val="21"/>
                <w:szCs w:val="21"/>
                <w:highlight w:val="none"/>
                <w:lang w:eastAsia="zh-CN"/>
              </w:rPr>
              <w:t>，</w:t>
            </w:r>
            <w:r>
              <w:rPr>
                <w:rFonts w:hint="eastAsia" w:ascii="Calibri" w:hAnsi="Calibri" w:eastAsia="宋体" w:cs="黑体"/>
                <w:sz w:val="21"/>
                <w:szCs w:val="21"/>
                <w:highlight w:val="none"/>
                <w:lang w:val="en-US" w:eastAsia="zh-CN"/>
              </w:rPr>
              <w:t>扣完为止</w:t>
            </w:r>
            <w:r>
              <w:rPr>
                <w:rFonts w:hint="eastAsia" w:ascii="Calibri" w:hAnsi="Calibri" w:eastAsia="宋体" w:cs="黑体"/>
                <w:sz w:val="21"/>
                <w:szCs w:val="21"/>
                <w:highlight w:val="none"/>
              </w:rPr>
              <w:t>。</w:t>
            </w:r>
          </w:p>
        </w:tc>
      </w:tr>
      <w:tr w14:paraId="0EA0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vAlign w:val="center"/>
          </w:tcPr>
          <w:p w14:paraId="3284EB3E">
            <w:pPr>
              <w:spacing w:line="360" w:lineRule="exact"/>
              <w:jc w:val="center"/>
              <w:rPr>
                <w:b/>
                <w:bCs/>
                <w:color w:val="auto"/>
                <w:sz w:val="22"/>
                <w:highlight w:val="none"/>
              </w:rPr>
            </w:pPr>
            <w:r>
              <w:rPr>
                <w:b/>
                <w:bCs/>
                <w:color w:val="auto"/>
                <w:sz w:val="22"/>
                <w:highlight w:val="none"/>
              </w:rPr>
              <w:t>商务部分</w:t>
            </w:r>
          </w:p>
        </w:tc>
        <w:tc>
          <w:tcPr>
            <w:tcW w:w="5097" w:type="dxa"/>
            <w:tcBorders>
              <w:top w:val="single" w:color="auto" w:sz="4" w:space="0"/>
              <w:left w:val="single" w:color="auto" w:sz="4" w:space="0"/>
              <w:bottom w:val="single" w:color="auto" w:sz="4" w:space="0"/>
              <w:right w:val="single" w:color="auto" w:sz="4" w:space="0"/>
            </w:tcBorders>
            <w:vAlign w:val="center"/>
          </w:tcPr>
          <w:p w14:paraId="45EB851F">
            <w:pPr>
              <w:spacing w:line="240" w:lineRule="auto"/>
              <w:jc w:val="center"/>
              <w:rPr>
                <w:rFonts w:hint="default" w:eastAsia="宋体"/>
                <w:b/>
                <w:bCs/>
                <w:color w:val="auto"/>
                <w:sz w:val="22"/>
                <w:highlight w:val="none"/>
                <w:lang w:val="en-US" w:eastAsia="zh-CN"/>
              </w:rPr>
            </w:pPr>
            <w:r>
              <w:rPr>
                <w:rFonts w:hint="eastAsia"/>
                <w:b/>
                <w:bCs/>
                <w:color w:val="auto"/>
                <w:sz w:val="22"/>
                <w:highlight w:val="none"/>
                <w:lang w:val="en-US" w:eastAsia="zh-CN"/>
              </w:rPr>
              <w:t>30</w:t>
            </w:r>
          </w:p>
        </w:tc>
      </w:tr>
      <w:tr w14:paraId="42F6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4D16965C">
            <w:pPr>
              <w:spacing w:line="360" w:lineRule="exact"/>
              <w:jc w:val="center"/>
              <w:rPr>
                <w:color w:val="auto"/>
                <w:sz w:val="22"/>
                <w:highlight w:val="none"/>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1E4F297D">
            <w:pPr>
              <w:spacing w:line="360" w:lineRule="exact"/>
              <w:jc w:val="center"/>
              <w:rPr>
                <w:color w:val="auto"/>
                <w:sz w:val="22"/>
                <w:highlight w:val="none"/>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5284BE83">
            <w:pPr>
              <w:spacing w:line="360" w:lineRule="exact"/>
              <w:jc w:val="center"/>
              <w:rPr>
                <w:color w:val="auto"/>
                <w:sz w:val="22"/>
                <w:highlight w:val="none"/>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43C9C1F8">
            <w:pPr>
              <w:spacing w:line="240" w:lineRule="auto"/>
              <w:jc w:val="center"/>
              <w:rPr>
                <w:color w:val="auto"/>
                <w:sz w:val="22"/>
                <w:highlight w:val="none"/>
              </w:rPr>
            </w:pPr>
            <w:r>
              <w:rPr>
                <w:color w:val="auto"/>
                <w:sz w:val="22"/>
                <w:highlight w:val="none"/>
              </w:rPr>
              <w:t>评分准则</w:t>
            </w:r>
          </w:p>
        </w:tc>
      </w:tr>
      <w:tr w14:paraId="1F6F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8CB2147">
            <w:pPr>
              <w:jc w:val="center"/>
              <w:rPr>
                <w:rFonts w:hint="eastAsia" w:ascii="宋体" w:hAnsi="宋体" w:eastAsia="宋体" w:cs="宋体"/>
                <w:color w:val="auto"/>
                <w:sz w:val="21"/>
                <w:szCs w:val="21"/>
                <w:highlight w:val="none"/>
              </w:rPr>
            </w:pPr>
            <w:r>
              <w:rPr>
                <w:rFonts w:hint="eastAsia" w:ascii="宋体" w:hAnsi="宋体" w:eastAsia="宋体" w:cs="宋体"/>
                <w:szCs w:val="21"/>
                <w:highlight w:val="none"/>
              </w:rPr>
              <w:t>1</w:t>
            </w:r>
          </w:p>
        </w:tc>
        <w:tc>
          <w:tcPr>
            <w:tcW w:w="1935" w:type="dxa"/>
            <w:tcBorders>
              <w:top w:val="single" w:color="auto" w:sz="4" w:space="0"/>
              <w:left w:val="single" w:color="auto" w:sz="4" w:space="0"/>
              <w:bottom w:val="single" w:color="auto" w:sz="4" w:space="0"/>
              <w:right w:val="single" w:color="auto" w:sz="4" w:space="0"/>
            </w:tcBorders>
            <w:vAlign w:val="center"/>
          </w:tcPr>
          <w:p w14:paraId="1D13E082">
            <w:pPr>
              <w:jc w:val="center"/>
              <w:rPr>
                <w:rFonts w:hint="eastAsia" w:ascii="宋体" w:hAnsi="宋体" w:eastAsia="宋体" w:cs="宋体"/>
                <w:color w:val="auto"/>
                <w:sz w:val="21"/>
                <w:szCs w:val="21"/>
                <w:highlight w:val="none"/>
              </w:rPr>
            </w:pPr>
            <w:r>
              <w:rPr>
                <w:rFonts w:hint="eastAsia" w:ascii="宋体" w:hAnsi="宋体" w:eastAsia="宋体" w:cs="宋体"/>
                <w:szCs w:val="21"/>
                <w:highlight w:val="none"/>
              </w:rPr>
              <w:t>同类项目业绩</w:t>
            </w:r>
          </w:p>
        </w:tc>
        <w:tc>
          <w:tcPr>
            <w:tcW w:w="930" w:type="dxa"/>
            <w:tcBorders>
              <w:top w:val="single" w:color="auto" w:sz="4" w:space="0"/>
              <w:left w:val="single" w:color="auto" w:sz="4" w:space="0"/>
              <w:bottom w:val="single" w:color="auto" w:sz="4" w:space="0"/>
              <w:right w:val="single" w:color="auto" w:sz="4" w:space="0"/>
            </w:tcBorders>
            <w:vAlign w:val="center"/>
          </w:tcPr>
          <w:p w14:paraId="0BBDA94B">
            <w:pPr>
              <w:jc w:val="center"/>
              <w:rPr>
                <w:rFonts w:hint="eastAsia" w:ascii="宋体" w:hAnsi="宋体" w:eastAsia="宋体" w:cs="宋体"/>
                <w:color w:val="auto"/>
                <w:sz w:val="21"/>
                <w:szCs w:val="21"/>
                <w:highlight w:val="none"/>
              </w:rPr>
            </w:pPr>
            <w:r>
              <w:rPr>
                <w:rFonts w:hint="eastAsia" w:ascii="宋体" w:hAnsi="宋体" w:eastAsia="宋体" w:cs="宋体"/>
                <w:szCs w:val="21"/>
                <w:highlight w:val="none"/>
                <w:lang w:val="en-US" w:eastAsia="zh-CN"/>
              </w:rPr>
              <w:t>8</w:t>
            </w:r>
          </w:p>
        </w:tc>
        <w:tc>
          <w:tcPr>
            <w:tcW w:w="5097" w:type="dxa"/>
            <w:tcBorders>
              <w:top w:val="single" w:color="auto" w:sz="4" w:space="0"/>
              <w:left w:val="single" w:color="auto" w:sz="4" w:space="0"/>
              <w:bottom w:val="single" w:color="auto" w:sz="4" w:space="0"/>
              <w:right w:val="single" w:color="auto" w:sz="4" w:space="0"/>
            </w:tcBorders>
            <w:vAlign w:val="top"/>
          </w:tcPr>
          <w:p w14:paraId="25F538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（一）评分内容</w:t>
            </w:r>
          </w:p>
          <w:p w14:paraId="11D7FCBB">
            <w:pPr>
              <w:jc w:val="left"/>
              <w:rPr>
                <w:rFonts w:ascii="宋体" w:hAnsi="宋体"/>
                <w:b/>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lang w:eastAsia="zh-CN"/>
              </w:rPr>
              <w:t>投标人自202</w:t>
            </w:r>
            <w:r>
              <w:rPr>
                <w:rFonts w:hint="eastAsia" w:ascii="宋体" w:hAnsi="宋体" w:cs="宋体"/>
                <w:szCs w:val="21"/>
                <w:highlight w:val="none"/>
                <w:lang w:val="en-US" w:eastAsia="zh-CN"/>
              </w:rPr>
              <w:t>4</w:t>
            </w:r>
            <w:r>
              <w:rPr>
                <w:rFonts w:hint="eastAsia" w:ascii="宋体" w:hAnsi="宋体" w:cs="宋体"/>
                <w:szCs w:val="21"/>
                <w:highlight w:val="none"/>
                <w:lang w:eastAsia="zh-CN"/>
              </w:rPr>
              <w:t>年</w:t>
            </w:r>
            <w:r>
              <w:rPr>
                <w:rFonts w:hint="eastAsia" w:ascii="宋体" w:hAnsi="宋体" w:cs="宋体"/>
                <w:szCs w:val="21"/>
                <w:highlight w:val="none"/>
                <w:lang w:val="en-US" w:eastAsia="zh-CN"/>
              </w:rPr>
              <w:t>7</w:t>
            </w:r>
            <w:r>
              <w:rPr>
                <w:rFonts w:hint="eastAsia" w:ascii="宋体" w:hAnsi="宋体" w:cs="宋体"/>
                <w:szCs w:val="21"/>
                <w:highlight w:val="none"/>
                <w:lang w:eastAsia="zh-CN"/>
              </w:rPr>
              <w:t>月1日至投标截止时间前完成的</w:t>
            </w:r>
            <w:r>
              <w:rPr>
                <w:rFonts w:hint="eastAsia" w:ascii="宋体" w:hAnsi="宋体" w:cs="宋体"/>
                <w:szCs w:val="21"/>
                <w:highlight w:val="none"/>
                <w:lang w:val="en-US" w:eastAsia="zh-CN"/>
              </w:rPr>
              <w:t>活动策划</w:t>
            </w:r>
            <w:r>
              <w:rPr>
                <w:rFonts w:hint="eastAsia" w:ascii="宋体" w:hAnsi="宋体" w:cs="宋体"/>
                <w:szCs w:val="21"/>
                <w:highlight w:val="none"/>
                <w:lang w:eastAsia="zh-CN"/>
              </w:rPr>
              <w:t>类项目业绩(以合同签订时间为准)，每项业绩得</w:t>
            </w:r>
            <w:r>
              <w:rPr>
                <w:rFonts w:hint="eastAsia" w:ascii="宋体" w:hAnsi="宋体" w:cs="宋体"/>
                <w:szCs w:val="21"/>
                <w:highlight w:val="none"/>
                <w:lang w:val="en-US" w:eastAsia="zh-CN"/>
              </w:rPr>
              <w:t>2</w:t>
            </w:r>
            <w:r>
              <w:rPr>
                <w:rFonts w:hint="eastAsia" w:ascii="宋体" w:hAnsi="宋体" w:cs="宋体"/>
                <w:szCs w:val="21"/>
                <w:highlight w:val="none"/>
                <w:lang w:eastAsia="zh-CN"/>
              </w:rPr>
              <w:t>分，</w:t>
            </w:r>
            <w:r>
              <w:rPr>
                <w:rFonts w:hint="eastAsia" w:ascii="宋体" w:hAnsi="宋体" w:cs="宋体"/>
                <w:szCs w:val="21"/>
                <w:highlight w:val="none"/>
                <w:lang w:val="en-US" w:eastAsia="zh-CN"/>
              </w:rPr>
              <w:t>最高不得超过8分</w:t>
            </w:r>
            <w:r>
              <w:rPr>
                <w:rFonts w:hint="eastAsia" w:ascii="宋体" w:hAnsi="宋体" w:cs="宋体"/>
                <w:szCs w:val="21"/>
                <w:highlight w:val="none"/>
                <w:lang w:eastAsia="zh-CN"/>
              </w:rPr>
              <w:t>。</w:t>
            </w:r>
          </w:p>
          <w:p w14:paraId="48961F4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（二）评分依据</w:t>
            </w:r>
          </w:p>
          <w:p w14:paraId="4F0E9504">
            <w:pPr>
              <w:jc w:val="left"/>
              <w:rPr>
                <w:rFonts w:hint="eastAsia" w:ascii="宋体" w:hAnsi="宋体" w:cs="宋体"/>
                <w:szCs w:val="21"/>
                <w:highlight w:val="none"/>
                <w:lang w:eastAsia="zh-CN"/>
              </w:rPr>
            </w:pPr>
            <w:r>
              <w:rPr>
                <w:rFonts w:hint="eastAsia" w:ascii="宋体" w:hAnsi="宋体" w:cs="宋体"/>
                <w:szCs w:val="21"/>
                <w:highlight w:val="none"/>
                <w:lang w:eastAsia="zh-CN"/>
              </w:rPr>
              <w:t>1. 提供合同关键页（关键信息包括但不仅限于合同的项目名称、项目内容、合同签订日期、甲乙双方签字盖章页）且提供的材料各项信息不得有任何遮挡；</w:t>
            </w:r>
          </w:p>
          <w:p w14:paraId="1D4B1283">
            <w:pPr>
              <w:jc w:val="left"/>
              <w:rPr>
                <w:color w:val="auto"/>
                <w:sz w:val="22"/>
                <w:szCs w:val="22"/>
                <w:highlight w:val="none"/>
              </w:rPr>
            </w:pPr>
            <w:r>
              <w:rPr>
                <w:rFonts w:hint="eastAsia" w:ascii="宋体" w:hAnsi="宋体" w:cs="宋体"/>
                <w:szCs w:val="21"/>
                <w:highlight w:val="none"/>
                <w:lang w:eastAsia="zh-CN"/>
              </w:rPr>
              <w:t>2. 提供以上证明文</w:t>
            </w:r>
            <w:r>
              <w:rPr>
                <w:rFonts w:hint="eastAsia" w:ascii="宋体" w:hAnsi="宋体" w:eastAsia="宋体" w:cs="宋体"/>
                <w:szCs w:val="21"/>
                <w:highlight w:val="none"/>
              </w:rPr>
              <w:t>件复印件或扫描件，均要求加盖</w:t>
            </w:r>
            <w:r>
              <w:rPr>
                <w:rFonts w:hint="eastAsia" w:ascii="宋体" w:hAnsi="宋体" w:cs="宋体"/>
                <w:szCs w:val="21"/>
                <w:highlight w:val="none"/>
                <w:lang w:eastAsia="zh-CN"/>
              </w:rPr>
              <w:t>投标人</w:t>
            </w:r>
            <w:r>
              <w:rPr>
                <w:rFonts w:hint="eastAsia" w:ascii="宋体" w:hAnsi="宋体" w:eastAsia="宋体" w:cs="宋体"/>
                <w:szCs w:val="21"/>
                <w:highlight w:val="none"/>
              </w:rPr>
              <w:t>公章,原件备查。未按要求提供有效证明材料或提供不清晰导致评委无法识别的不计得分。</w:t>
            </w:r>
          </w:p>
        </w:tc>
      </w:tr>
      <w:tr w14:paraId="2BC2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7ADE93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35" w:type="dxa"/>
            <w:tcBorders>
              <w:top w:val="single" w:color="auto" w:sz="4" w:space="0"/>
              <w:left w:val="single" w:color="auto" w:sz="4" w:space="0"/>
              <w:bottom w:val="single" w:color="auto" w:sz="4" w:space="0"/>
              <w:right w:val="single" w:color="auto" w:sz="4" w:space="0"/>
            </w:tcBorders>
            <w:vAlign w:val="center"/>
          </w:tcPr>
          <w:p w14:paraId="3A4A106D">
            <w:pPr>
              <w:jc w:val="center"/>
              <w:rPr>
                <w:rFonts w:hint="eastAsia" w:ascii="宋体" w:hAnsi="宋体" w:eastAsia="宋体" w:cs="宋体"/>
                <w:szCs w:val="21"/>
                <w:highlight w:val="none"/>
              </w:rPr>
            </w:pPr>
            <w:r>
              <w:rPr>
                <w:rFonts w:hint="eastAsia" w:ascii="宋体" w:hAnsi="宋体" w:eastAsia="宋体" w:cs="宋体"/>
                <w:szCs w:val="21"/>
                <w:highlight w:val="none"/>
              </w:rPr>
              <w:t>履约评价</w:t>
            </w:r>
          </w:p>
        </w:tc>
        <w:tc>
          <w:tcPr>
            <w:tcW w:w="930" w:type="dxa"/>
            <w:tcBorders>
              <w:top w:val="single" w:color="auto" w:sz="4" w:space="0"/>
              <w:left w:val="single" w:color="auto" w:sz="4" w:space="0"/>
              <w:bottom w:val="single" w:color="auto" w:sz="4" w:space="0"/>
              <w:right w:val="single" w:color="auto" w:sz="4" w:space="0"/>
            </w:tcBorders>
            <w:vAlign w:val="center"/>
          </w:tcPr>
          <w:p w14:paraId="26A77C8C">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p>
        </w:tc>
        <w:tc>
          <w:tcPr>
            <w:tcW w:w="5097" w:type="dxa"/>
            <w:tcBorders>
              <w:top w:val="single" w:color="auto" w:sz="4" w:space="0"/>
              <w:left w:val="single" w:color="auto" w:sz="4" w:space="0"/>
              <w:bottom w:val="single" w:color="auto" w:sz="4" w:space="0"/>
              <w:right w:val="single" w:color="auto" w:sz="4" w:space="0"/>
            </w:tcBorders>
            <w:vAlign w:val="top"/>
          </w:tcPr>
          <w:p w14:paraId="5C2C094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（一）评分内容</w:t>
            </w:r>
          </w:p>
          <w:p w14:paraId="6316906B">
            <w:pPr>
              <w:jc w:val="left"/>
              <w:rPr>
                <w:rFonts w:ascii="宋体" w:hAnsi="宋体"/>
                <w:szCs w:val="21"/>
                <w:highlight w:val="none"/>
              </w:rPr>
            </w:pPr>
            <w:r>
              <w:rPr>
                <w:rFonts w:hint="eastAsia" w:ascii="宋体" w:hAnsi="宋体"/>
                <w:szCs w:val="21"/>
                <w:highlight w:val="none"/>
                <w:lang w:eastAsia="zh-CN"/>
              </w:rPr>
              <w:t>投标人</w:t>
            </w:r>
            <w:r>
              <w:rPr>
                <w:rFonts w:hint="eastAsia" w:ascii="宋体" w:hAnsi="宋体"/>
                <w:szCs w:val="21"/>
                <w:highlight w:val="none"/>
              </w:rPr>
              <w:t>在上述“同类项目业绩”评审项中参加评审的业绩，能够提供用户出具的履约评价书，且评价为优的，每份得</w:t>
            </w:r>
            <w:r>
              <w:rPr>
                <w:rFonts w:hint="eastAsia" w:ascii="宋体" w:hAnsi="宋体"/>
                <w:szCs w:val="21"/>
                <w:highlight w:val="none"/>
                <w:lang w:val="en-US" w:eastAsia="zh-CN"/>
              </w:rPr>
              <w:t>2分</w:t>
            </w:r>
            <w:r>
              <w:rPr>
                <w:rFonts w:hint="eastAsia" w:ascii="宋体" w:hAnsi="宋体"/>
                <w:szCs w:val="21"/>
                <w:highlight w:val="none"/>
              </w:rPr>
              <w:t>，评价为合格（或满意）的，每份得</w:t>
            </w:r>
            <w:r>
              <w:rPr>
                <w:rFonts w:hint="eastAsia" w:ascii="宋体" w:hAnsi="宋体"/>
                <w:szCs w:val="21"/>
                <w:highlight w:val="none"/>
                <w:lang w:val="en-US" w:eastAsia="zh-CN"/>
              </w:rPr>
              <w:t>1分</w:t>
            </w:r>
            <w:r>
              <w:rPr>
                <w:rFonts w:hint="eastAsia" w:ascii="宋体" w:hAnsi="宋体"/>
                <w:szCs w:val="21"/>
                <w:highlight w:val="none"/>
              </w:rPr>
              <w:t>，其他情况不得分；最高得</w:t>
            </w:r>
            <w:r>
              <w:rPr>
                <w:rFonts w:hint="eastAsia" w:ascii="宋体" w:hAnsi="宋体"/>
                <w:szCs w:val="21"/>
                <w:highlight w:val="none"/>
                <w:lang w:val="en-US" w:eastAsia="zh-CN"/>
              </w:rPr>
              <w:t>8分</w:t>
            </w:r>
            <w:r>
              <w:rPr>
                <w:rFonts w:hint="eastAsia" w:ascii="宋体" w:hAnsi="宋体"/>
                <w:szCs w:val="21"/>
                <w:highlight w:val="none"/>
              </w:rPr>
              <w:t>。</w:t>
            </w:r>
          </w:p>
          <w:p w14:paraId="1ED3561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（二）评分依据</w:t>
            </w:r>
          </w:p>
          <w:p w14:paraId="3E94772F">
            <w:pPr>
              <w:jc w:val="left"/>
              <w:rPr>
                <w:rFonts w:hint="eastAsia" w:ascii="宋体" w:hAnsi="宋体"/>
                <w:szCs w:val="21"/>
                <w:highlight w:val="none"/>
              </w:rPr>
            </w:pPr>
            <w:r>
              <w:rPr>
                <w:rFonts w:hint="eastAsia" w:ascii="宋体" w:hAnsi="宋体"/>
                <w:szCs w:val="21"/>
                <w:highlight w:val="none"/>
                <w:lang w:eastAsia="zh-CN"/>
              </w:rPr>
              <w:t>投标人</w:t>
            </w:r>
            <w:r>
              <w:rPr>
                <w:rFonts w:hint="eastAsia" w:ascii="宋体" w:hAnsi="宋体"/>
                <w:szCs w:val="21"/>
                <w:highlight w:val="none"/>
              </w:rPr>
              <w:t>提供用户出具的履约评价书（</w:t>
            </w:r>
            <w:r>
              <w:rPr>
                <w:rFonts w:hint="eastAsia"/>
                <w:highlight w:val="none"/>
              </w:rPr>
              <w:t>加盖用户单位公章）</w:t>
            </w:r>
            <w:r>
              <w:rPr>
                <w:rFonts w:hint="eastAsia" w:ascii="宋体" w:hAnsi="宋体"/>
                <w:szCs w:val="21"/>
                <w:highlight w:val="none"/>
              </w:rPr>
              <w:t>原件扫描件，原件备查，</w:t>
            </w:r>
            <w:r>
              <w:rPr>
                <w:rFonts w:hint="eastAsia"/>
                <w:szCs w:val="21"/>
                <w:highlight w:val="none"/>
              </w:rPr>
              <w:t>未提供或提供不清晰导致无法判断的，不得分</w:t>
            </w:r>
            <w:r>
              <w:rPr>
                <w:rFonts w:hint="eastAsia" w:ascii="宋体" w:hAnsi="宋体" w:cs="宋体"/>
                <w:kern w:val="0"/>
                <w:szCs w:val="21"/>
                <w:highlight w:val="none"/>
              </w:rPr>
              <w:t>。</w:t>
            </w:r>
          </w:p>
        </w:tc>
      </w:tr>
      <w:tr w14:paraId="3DA5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5CCB3A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35" w:type="dxa"/>
            <w:tcBorders>
              <w:top w:val="single" w:color="auto" w:sz="4" w:space="0"/>
              <w:left w:val="single" w:color="auto" w:sz="4" w:space="0"/>
              <w:bottom w:val="single" w:color="auto" w:sz="4" w:space="0"/>
              <w:right w:val="single" w:color="auto" w:sz="4" w:space="0"/>
            </w:tcBorders>
            <w:vAlign w:val="center"/>
          </w:tcPr>
          <w:p w14:paraId="282DCB89">
            <w:pPr>
              <w:jc w:val="center"/>
              <w:rPr>
                <w:rFonts w:hint="eastAsia" w:ascii="宋体" w:hAnsi="宋体" w:eastAsia="宋体" w:cs="宋体"/>
                <w:szCs w:val="21"/>
                <w:highlight w:val="none"/>
              </w:rPr>
            </w:pPr>
            <w:r>
              <w:rPr>
                <w:rFonts w:hint="eastAsia" w:ascii="宋体" w:hAnsi="宋体" w:eastAsia="宋体" w:cs="宋体"/>
                <w:szCs w:val="21"/>
                <w:highlight w:val="none"/>
              </w:rPr>
              <w:t>拟派本项目的服务人员及素质要求</w:t>
            </w:r>
          </w:p>
        </w:tc>
        <w:tc>
          <w:tcPr>
            <w:tcW w:w="930" w:type="dxa"/>
            <w:tcBorders>
              <w:top w:val="single" w:color="auto" w:sz="4" w:space="0"/>
              <w:left w:val="single" w:color="auto" w:sz="4" w:space="0"/>
              <w:bottom w:val="single" w:color="auto" w:sz="4" w:space="0"/>
              <w:right w:val="single" w:color="auto" w:sz="4" w:space="0"/>
            </w:tcBorders>
            <w:vAlign w:val="center"/>
          </w:tcPr>
          <w:p w14:paraId="3F0B77C9">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14</w:t>
            </w:r>
          </w:p>
        </w:tc>
        <w:tc>
          <w:tcPr>
            <w:tcW w:w="5097" w:type="dxa"/>
            <w:tcBorders>
              <w:top w:val="single" w:color="auto" w:sz="4" w:space="0"/>
              <w:left w:val="single" w:color="auto" w:sz="4" w:space="0"/>
              <w:bottom w:val="single" w:color="auto" w:sz="4" w:space="0"/>
              <w:right w:val="single" w:color="auto" w:sz="4" w:space="0"/>
            </w:tcBorders>
            <w:vAlign w:val="top"/>
          </w:tcPr>
          <w:p w14:paraId="2AB5E65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（一）评分内容</w:t>
            </w:r>
          </w:p>
          <w:p w14:paraId="1AFBC8C2">
            <w:pPr>
              <w:numPr>
                <w:ilvl w:val="-1"/>
                <w:numId w:val="0"/>
              </w:numPr>
              <w:spacing w:line="240" w:lineRule="auto"/>
              <w:ind w:firstLine="0" w:firstLineChars="0"/>
              <w:jc w:val="left"/>
              <w:rPr>
                <w:rFonts w:hint="eastAsia" w:ascii="宋体" w:hAnsi="宋体" w:cs="黑体"/>
                <w:szCs w:val="21"/>
                <w:highlight w:val="none"/>
              </w:rPr>
            </w:pPr>
            <w:r>
              <w:rPr>
                <w:rFonts w:hint="eastAsia" w:ascii="宋体" w:hAnsi="宋体" w:cs="黑体"/>
                <w:szCs w:val="21"/>
                <w:highlight w:val="none"/>
              </w:rPr>
              <w:t>1</w:t>
            </w:r>
            <w:r>
              <w:rPr>
                <w:rFonts w:hint="eastAsia" w:ascii="宋体" w:hAnsi="宋体" w:cs="黑体"/>
                <w:szCs w:val="21"/>
                <w:highlight w:val="none"/>
                <w:lang w:val="en-US" w:eastAsia="zh-CN"/>
              </w:rPr>
              <w:t>.</w:t>
            </w:r>
            <w:r>
              <w:rPr>
                <w:rFonts w:hint="eastAsia" w:ascii="宋体" w:hAnsi="宋体" w:cs="黑体"/>
                <w:szCs w:val="21"/>
                <w:highlight w:val="none"/>
              </w:rPr>
              <w:t>拟派项目负责人</w:t>
            </w:r>
            <w:r>
              <w:rPr>
                <w:rFonts w:hint="eastAsia" w:ascii="宋体" w:hAnsi="宋体" w:cs="黑体"/>
                <w:szCs w:val="21"/>
                <w:highlight w:val="none"/>
                <w:lang w:eastAsia="zh-CN"/>
              </w:rPr>
              <w:t>（</w:t>
            </w:r>
            <w:r>
              <w:rPr>
                <w:rFonts w:hint="eastAsia" w:ascii="宋体" w:hAnsi="宋体" w:cs="黑体"/>
                <w:szCs w:val="21"/>
                <w:highlight w:val="none"/>
                <w:lang w:val="en-US" w:eastAsia="zh-CN"/>
              </w:rPr>
              <w:t>1人</w:t>
            </w:r>
            <w:r>
              <w:rPr>
                <w:rFonts w:hint="eastAsia" w:ascii="宋体" w:hAnsi="宋体" w:cs="黑体"/>
                <w:szCs w:val="21"/>
                <w:highlight w:val="none"/>
                <w:lang w:eastAsia="zh-CN"/>
              </w:rPr>
              <w:t>）</w:t>
            </w:r>
            <w:r>
              <w:rPr>
                <w:rFonts w:hint="eastAsia" w:ascii="宋体" w:hAnsi="宋体" w:cs="黑体"/>
                <w:szCs w:val="21"/>
                <w:highlight w:val="none"/>
              </w:rPr>
              <w:t>要求：</w:t>
            </w:r>
          </w:p>
          <w:p w14:paraId="7D843429">
            <w:pPr>
              <w:numPr>
                <w:ilvl w:val="-1"/>
                <w:numId w:val="0"/>
              </w:numPr>
              <w:spacing w:line="240" w:lineRule="auto"/>
              <w:ind w:firstLine="0" w:firstLineChars="0"/>
              <w:jc w:val="left"/>
              <w:rPr>
                <w:rFonts w:hint="eastAsia" w:ascii="宋体" w:hAnsi="宋体" w:cs="黑体"/>
                <w:szCs w:val="21"/>
                <w:highlight w:val="none"/>
              </w:rPr>
            </w:pPr>
            <w:r>
              <w:rPr>
                <w:rFonts w:hint="eastAsia" w:ascii="宋体" w:hAnsi="宋体" w:cs="黑体"/>
                <w:szCs w:val="21"/>
                <w:highlight w:val="none"/>
              </w:rPr>
              <w:t>2024年1月1日至今，项目负责人有带领团队完成同类项目</w:t>
            </w:r>
            <w:r>
              <w:rPr>
                <w:rFonts w:hint="eastAsia" w:ascii="宋体" w:hAnsi="宋体" w:cs="黑体"/>
                <w:szCs w:val="21"/>
                <w:highlight w:val="none"/>
                <w:lang w:eastAsia="zh-CN"/>
              </w:rPr>
              <w:t>（</w:t>
            </w:r>
            <w:r>
              <w:rPr>
                <w:rFonts w:hint="eastAsia" w:ascii="宋体" w:hAnsi="宋体" w:eastAsia="宋体" w:cs="黑体"/>
                <w:sz w:val="21"/>
                <w:szCs w:val="21"/>
                <w:highlight w:val="none"/>
              </w:rPr>
              <w:t>活动策划</w:t>
            </w:r>
            <w:r>
              <w:rPr>
                <w:rFonts w:hint="eastAsia" w:ascii="宋体" w:hAnsi="宋体" w:cs="黑体"/>
                <w:sz w:val="21"/>
                <w:szCs w:val="21"/>
                <w:highlight w:val="none"/>
                <w:lang w:val="en-US" w:eastAsia="zh-CN"/>
              </w:rPr>
              <w:t>类</w:t>
            </w:r>
            <w:r>
              <w:rPr>
                <w:rFonts w:hint="eastAsia" w:ascii="宋体" w:hAnsi="宋体" w:cs="黑体"/>
                <w:szCs w:val="21"/>
                <w:highlight w:val="none"/>
                <w:lang w:eastAsia="zh-CN"/>
              </w:rPr>
              <w:t>）</w:t>
            </w:r>
            <w:r>
              <w:rPr>
                <w:rFonts w:hint="eastAsia" w:ascii="宋体" w:hAnsi="宋体" w:cs="黑体"/>
                <w:szCs w:val="21"/>
                <w:highlight w:val="none"/>
              </w:rPr>
              <w:t>的业绩，每提供一个得</w:t>
            </w:r>
            <w:r>
              <w:rPr>
                <w:rFonts w:hint="eastAsia" w:ascii="宋体" w:hAnsi="宋体" w:cs="黑体"/>
                <w:szCs w:val="21"/>
                <w:highlight w:val="none"/>
                <w:lang w:val="en-US"/>
              </w:rPr>
              <w:t>2</w:t>
            </w:r>
            <w:r>
              <w:rPr>
                <w:rFonts w:hint="eastAsia" w:ascii="宋体" w:hAnsi="宋体" w:cs="黑体"/>
                <w:szCs w:val="21"/>
                <w:highlight w:val="none"/>
              </w:rPr>
              <w:t>分，最高得</w:t>
            </w:r>
            <w:r>
              <w:rPr>
                <w:rFonts w:hint="eastAsia" w:ascii="宋体" w:hAnsi="宋体" w:cs="黑体"/>
                <w:szCs w:val="21"/>
                <w:highlight w:val="none"/>
                <w:lang w:val="en-US" w:eastAsia="zh-CN"/>
              </w:rPr>
              <w:t>6</w:t>
            </w:r>
            <w:r>
              <w:rPr>
                <w:rFonts w:hint="eastAsia" w:ascii="宋体" w:hAnsi="宋体" w:cs="黑体"/>
                <w:szCs w:val="21"/>
                <w:highlight w:val="none"/>
              </w:rPr>
              <w:t>分。</w:t>
            </w:r>
          </w:p>
          <w:p w14:paraId="0AA36C27">
            <w:pPr>
              <w:numPr>
                <w:ilvl w:val="-1"/>
                <w:numId w:val="0"/>
              </w:numPr>
              <w:spacing w:line="240" w:lineRule="auto"/>
              <w:ind w:firstLine="0" w:firstLineChars="0"/>
              <w:jc w:val="left"/>
              <w:rPr>
                <w:rFonts w:hint="eastAsia" w:ascii="宋体" w:hAnsi="宋体" w:cs="黑体"/>
                <w:szCs w:val="21"/>
                <w:highlight w:val="none"/>
              </w:rPr>
            </w:pPr>
            <w:r>
              <w:rPr>
                <w:rFonts w:hint="eastAsia" w:ascii="宋体" w:hAnsi="宋体" w:cs="黑体"/>
                <w:szCs w:val="21"/>
                <w:highlight w:val="none"/>
              </w:rPr>
              <w:t>2</w:t>
            </w:r>
            <w:r>
              <w:rPr>
                <w:rFonts w:hint="eastAsia" w:ascii="宋体" w:hAnsi="宋体" w:cs="黑体"/>
                <w:szCs w:val="21"/>
                <w:highlight w:val="none"/>
                <w:lang w:val="en-US" w:eastAsia="zh-CN"/>
              </w:rPr>
              <w:t>.</w:t>
            </w:r>
            <w:r>
              <w:rPr>
                <w:rFonts w:hint="eastAsia" w:ascii="宋体" w:hAnsi="宋体" w:cs="黑体"/>
                <w:szCs w:val="21"/>
                <w:highlight w:val="none"/>
              </w:rPr>
              <w:t>拟派项目团队成员（项目负责人除外）要求：</w:t>
            </w:r>
          </w:p>
          <w:p w14:paraId="28362B21">
            <w:pPr>
              <w:numPr>
                <w:ilvl w:val="-1"/>
                <w:numId w:val="0"/>
              </w:numPr>
              <w:spacing w:line="240" w:lineRule="auto"/>
              <w:ind w:firstLine="0" w:firstLineChars="0"/>
              <w:jc w:val="left"/>
              <w:rPr>
                <w:rFonts w:hint="eastAsia" w:ascii="宋体" w:hAnsi="宋体" w:cs="黑体"/>
                <w:szCs w:val="21"/>
                <w:highlight w:val="none"/>
              </w:rPr>
            </w:pPr>
            <w:r>
              <w:rPr>
                <w:rFonts w:hint="eastAsia" w:ascii="宋体" w:hAnsi="宋体" w:cs="黑体"/>
                <w:szCs w:val="21"/>
                <w:highlight w:val="none"/>
              </w:rPr>
              <w:t>（1）拟派项目团队成员不少于2人</w:t>
            </w:r>
            <w:r>
              <w:rPr>
                <w:rFonts w:hint="eastAsia" w:ascii="宋体" w:hAnsi="宋体" w:cs="黑体"/>
                <w:szCs w:val="21"/>
                <w:highlight w:val="none"/>
                <w:lang w:eastAsia="zh-CN"/>
              </w:rPr>
              <w:t>，</w:t>
            </w:r>
            <w:r>
              <w:rPr>
                <w:rFonts w:hint="eastAsia" w:ascii="宋体" w:hAnsi="宋体" w:cs="黑体"/>
                <w:szCs w:val="21"/>
                <w:highlight w:val="none"/>
                <w:lang w:val="en-US" w:eastAsia="zh-CN"/>
              </w:rPr>
              <w:t>在此基础上，</w:t>
            </w:r>
            <w:r>
              <w:rPr>
                <w:rFonts w:hint="eastAsia" w:ascii="宋体" w:hAnsi="宋体" w:cs="黑体"/>
                <w:szCs w:val="21"/>
                <w:highlight w:val="none"/>
              </w:rPr>
              <w:t>每</w:t>
            </w:r>
            <w:r>
              <w:rPr>
                <w:rFonts w:hint="eastAsia" w:ascii="宋体" w:hAnsi="宋体" w:cs="黑体"/>
                <w:szCs w:val="21"/>
                <w:highlight w:val="none"/>
                <w:lang w:val="en-US" w:eastAsia="zh-CN"/>
              </w:rPr>
              <w:t>提供</w:t>
            </w:r>
            <w:r>
              <w:rPr>
                <w:rFonts w:hint="eastAsia" w:ascii="宋体" w:hAnsi="宋体" w:cs="黑体"/>
                <w:szCs w:val="21"/>
                <w:highlight w:val="none"/>
              </w:rPr>
              <w:t>多1人，加1分，最高得</w:t>
            </w:r>
            <w:r>
              <w:rPr>
                <w:rFonts w:hint="eastAsia" w:ascii="宋体" w:hAnsi="宋体" w:cs="黑体"/>
                <w:szCs w:val="21"/>
                <w:highlight w:val="none"/>
                <w:lang w:val="en-US" w:eastAsia="zh-CN"/>
              </w:rPr>
              <w:t>2</w:t>
            </w:r>
            <w:r>
              <w:rPr>
                <w:rFonts w:hint="eastAsia" w:ascii="宋体" w:hAnsi="宋体" w:cs="黑体"/>
                <w:szCs w:val="21"/>
                <w:highlight w:val="none"/>
              </w:rPr>
              <w:t>分；</w:t>
            </w:r>
          </w:p>
          <w:p w14:paraId="3B9DC168">
            <w:pPr>
              <w:numPr>
                <w:ilvl w:val="0"/>
                <w:numId w:val="0"/>
              </w:numPr>
              <w:spacing w:line="240" w:lineRule="auto"/>
              <w:ind w:firstLine="0"/>
              <w:jc w:val="left"/>
              <w:rPr>
                <w:rFonts w:hint="eastAsia" w:ascii="宋体" w:hAnsi="宋体" w:eastAsia="宋体" w:cs="黑体"/>
                <w:sz w:val="21"/>
                <w:szCs w:val="21"/>
                <w:highlight w:val="none"/>
              </w:rPr>
            </w:pPr>
            <w:r>
              <w:rPr>
                <w:rFonts w:hint="eastAsia" w:ascii="宋体" w:hAnsi="宋体" w:cs="黑体"/>
                <w:szCs w:val="21"/>
                <w:highlight w:val="none"/>
              </w:rPr>
              <w:t>（2）拟派项目成员具有</w:t>
            </w:r>
            <w:r>
              <w:rPr>
                <w:rFonts w:hint="eastAsia" w:ascii="宋体" w:hAnsi="宋体" w:eastAsia="宋体" w:cs="黑体"/>
                <w:sz w:val="21"/>
                <w:szCs w:val="21"/>
                <w:highlight w:val="none"/>
              </w:rPr>
              <w:t>健康传播</w:t>
            </w:r>
            <w:r>
              <w:rPr>
                <w:rFonts w:hint="eastAsia" w:ascii="宋体" w:hAnsi="宋体" w:eastAsia="宋体" w:cs="黑体"/>
                <w:sz w:val="21"/>
                <w:szCs w:val="21"/>
                <w:highlight w:val="none"/>
                <w:lang w:eastAsia="zh-CN"/>
              </w:rPr>
              <w:t>、</w:t>
            </w:r>
            <w:r>
              <w:rPr>
                <w:rFonts w:hint="eastAsia" w:ascii="宋体" w:hAnsi="宋体" w:eastAsia="宋体" w:cs="黑体"/>
                <w:sz w:val="21"/>
                <w:szCs w:val="21"/>
                <w:highlight w:val="none"/>
              </w:rPr>
              <w:t>公共卫生</w:t>
            </w:r>
            <w:r>
              <w:rPr>
                <w:rFonts w:hint="eastAsia" w:ascii="宋体" w:hAnsi="宋体" w:eastAsia="宋体" w:cs="黑体"/>
                <w:sz w:val="21"/>
                <w:szCs w:val="21"/>
                <w:highlight w:val="none"/>
                <w:lang w:eastAsia="zh-CN"/>
              </w:rPr>
              <w:t>、</w:t>
            </w:r>
            <w:r>
              <w:rPr>
                <w:rFonts w:hint="eastAsia" w:ascii="宋体" w:hAnsi="宋体" w:eastAsia="宋体" w:cs="黑体"/>
                <w:sz w:val="21"/>
                <w:szCs w:val="21"/>
                <w:highlight w:val="none"/>
              </w:rPr>
              <w:t>健康教育</w:t>
            </w:r>
            <w:r>
              <w:rPr>
                <w:rFonts w:hint="eastAsia" w:ascii="宋体" w:hAnsi="宋体" w:eastAsia="宋体" w:cs="黑体"/>
                <w:sz w:val="21"/>
                <w:szCs w:val="21"/>
                <w:highlight w:val="none"/>
                <w:lang w:eastAsia="zh-CN"/>
              </w:rPr>
              <w:t>、</w:t>
            </w:r>
            <w:r>
              <w:rPr>
                <w:rFonts w:hint="eastAsia" w:ascii="宋体" w:hAnsi="宋体" w:eastAsia="宋体" w:cs="黑体"/>
                <w:sz w:val="21"/>
                <w:szCs w:val="21"/>
                <w:highlight w:val="none"/>
              </w:rPr>
              <w:t>预防医学</w:t>
            </w:r>
            <w:r>
              <w:rPr>
                <w:rFonts w:hint="eastAsia" w:ascii="宋体" w:hAnsi="宋体" w:eastAsia="宋体" w:cs="黑体"/>
                <w:sz w:val="21"/>
                <w:szCs w:val="21"/>
                <w:highlight w:val="none"/>
                <w:lang w:eastAsia="zh-CN"/>
              </w:rPr>
              <w:t>、</w:t>
            </w:r>
            <w:r>
              <w:rPr>
                <w:rFonts w:hint="eastAsia" w:ascii="宋体" w:hAnsi="宋体" w:eastAsia="宋体" w:cs="黑体"/>
                <w:sz w:val="21"/>
                <w:szCs w:val="21"/>
                <w:highlight w:val="none"/>
              </w:rPr>
              <w:t>艺术设计</w:t>
            </w:r>
            <w:r>
              <w:rPr>
                <w:rFonts w:hint="eastAsia" w:ascii="宋体" w:hAnsi="宋体" w:cs="黑体"/>
                <w:sz w:val="21"/>
                <w:szCs w:val="21"/>
                <w:highlight w:val="none"/>
                <w:lang w:val="en-US" w:eastAsia="zh-CN"/>
              </w:rPr>
              <w:t>类</w:t>
            </w:r>
            <w:r>
              <w:rPr>
                <w:rFonts w:hint="eastAsia" w:ascii="宋体" w:hAnsi="宋体" w:eastAsia="宋体" w:cs="黑体"/>
                <w:sz w:val="21"/>
                <w:szCs w:val="21"/>
                <w:highlight w:val="none"/>
              </w:rPr>
              <w:t>相关专业专科及以上学历，</w:t>
            </w:r>
            <w:r>
              <w:rPr>
                <w:rFonts w:hint="eastAsia" w:ascii="宋体" w:hAnsi="宋体" w:eastAsia="宋体" w:cs="黑体"/>
                <w:sz w:val="21"/>
                <w:szCs w:val="21"/>
                <w:highlight w:val="none"/>
                <w:lang w:val="en-US" w:eastAsia="zh-CN"/>
              </w:rPr>
              <w:t>每提供1人</w:t>
            </w:r>
            <w:r>
              <w:rPr>
                <w:rFonts w:hint="eastAsia" w:ascii="宋体" w:hAnsi="宋体" w:eastAsia="宋体" w:cs="黑体"/>
                <w:sz w:val="21"/>
                <w:szCs w:val="21"/>
                <w:highlight w:val="none"/>
              </w:rPr>
              <w:t>得</w:t>
            </w:r>
            <w:r>
              <w:rPr>
                <w:rFonts w:hint="eastAsia" w:ascii="宋体" w:hAnsi="宋体" w:eastAsia="宋体" w:cs="黑体"/>
                <w:sz w:val="21"/>
                <w:szCs w:val="21"/>
                <w:highlight w:val="none"/>
                <w:lang w:val="en-US" w:eastAsia="zh-CN"/>
              </w:rPr>
              <w:t>1</w:t>
            </w:r>
            <w:r>
              <w:rPr>
                <w:rFonts w:hint="eastAsia" w:ascii="宋体" w:hAnsi="宋体" w:eastAsia="宋体" w:cs="黑体"/>
                <w:sz w:val="21"/>
                <w:szCs w:val="21"/>
                <w:highlight w:val="none"/>
              </w:rPr>
              <w:t>分</w:t>
            </w:r>
            <w:r>
              <w:rPr>
                <w:rFonts w:hint="eastAsia" w:ascii="宋体" w:hAnsi="宋体" w:eastAsia="宋体" w:cs="黑体"/>
                <w:sz w:val="21"/>
                <w:szCs w:val="21"/>
                <w:highlight w:val="none"/>
                <w:lang w:eastAsia="zh-CN"/>
              </w:rPr>
              <w:t>，</w:t>
            </w:r>
            <w:r>
              <w:rPr>
                <w:rFonts w:hint="eastAsia" w:ascii="宋体" w:hAnsi="宋体" w:eastAsia="宋体" w:cs="黑体"/>
                <w:sz w:val="21"/>
                <w:szCs w:val="21"/>
                <w:highlight w:val="none"/>
              </w:rPr>
              <w:t>同一人员不重复计分，本项最高得</w:t>
            </w:r>
            <w:r>
              <w:rPr>
                <w:rFonts w:hint="eastAsia" w:ascii="宋体" w:hAnsi="宋体" w:eastAsia="宋体" w:cs="黑体"/>
                <w:sz w:val="21"/>
                <w:szCs w:val="21"/>
                <w:highlight w:val="none"/>
                <w:lang w:val="en-US" w:eastAsia="zh-CN"/>
              </w:rPr>
              <w:t>3</w:t>
            </w:r>
            <w:r>
              <w:rPr>
                <w:rFonts w:hint="eastAsia" w:ascii="宋体" w:hAnsi="宋体" w:eastAsia="宋体" w:cs="黑体"/>
                <w:sz w:val="21"/>
                <w:szCs w:val="21"/>
                <w:highlight w:val="none"/>
              </w:rPr>
              <w:t>分。</w:t>
            </w:r>
          </w:p>
          <w:p w14:paraId="74CC5FB2">
            <w:pPr>
              <w:numPr>
                <w:ilvl w:val="0"/>
                <w:numId w:val="0"/>
              </w:numPr>
              <w:spacing w:line="240" w:lineRule="auto"/>
              <w:ind w:firstLine="0"/>
              <w:jc w:val="left"/>
              <w:rPr>
                <w:rFonts w:hint="eastAsia" w:ascii="宋体" w:hAnsi="宋体" w:eastAsia="宋体" w:cs="黑体"/>
                <w:sz w:val="21"/>
                <w:szCs w:val="21"/>
                <w:highlight w:val="none"/>
                <w:lang w:eastAsia="zh-CN"/>
              </w:rPr>
            </w:pPr>
            <w:r>
              <w:rPr>
                <w:rFonts w:hint="eastAsia" w:ascii="宋体" w:hAnsi="宋体" w:cs="黑体"/>
                <w:szCs w:val="21"/>
                <w:highlight w:val="none"/>
              </w:rPr>
              <w:t>（</w:t>
            </w:r>
            <w:r>
              <w:rPr>
                <w:rFonts w:hint="eastAsia" w:ascii="宋体" w:hAnsi="宋体" w:cs="黑体"/>
                <w:szCs w:val="21"/>
                <w:highlight w:val="none"/>
                <w:lang w:val="en-US" w:eastAsia="zh-CN"/>
              </w:rPr>
              <w:t>3</w:t>
            </w:r>
            <w:r>
              <w:rPr>
                <w:rFonts w:hint="eastAsia" w:ascii="宋体" w:hAnsi="宋体" w:cs="黑体"/>
                <w:szCs w:val="21"/>
                <w:highlight w:val="none"/>
              </w:rPr>
              <w:t>）项目成员具有</w:t>
            </w:r>
            <w:r>
              <w:rPr>
                <w:rFonts w:hint="eastAsia" w:ascii="宋体" w:hAnsi="宋体" w:eastAsia="宋体" w:cs="黑体"/>
                <w:sz w:val="21"/>
                <w:szCs w:val="21"/>
                <w:highlight w:val="none"/>
              </w:rPr>
              <w:t>健康促进、健康科普类</w:t>
            </w:r>
            <w:r>
              <w:rPr>
                <w:rFonts w:hint="eastAsia" w:ascii="宋体" w:hAnsi="宋体" w:cs="黑体"/>
                <w:sz w:val="21"/>
                <w:szCs w:val="21"/>
                <w:highlight w:val="none"/>
                <w:lang w:val="en-US" w:eastAsia="zh-CN"/>
              </w:rPr>
              <w:t>策划</w:t>
            </w:r>
            <w:r>
              <w:rPr>
                <w:rFonts w:hint="eastAsia" w:ascii="宋体" w:hAnsi="宋体" w:eastAsia="宋体" w:cs="黑体"/>
                <w:sz w:val="21"/>
                <w:szCs w:val="21"/>
                <w:highlight w:val="none"/>
              </w:rPr>
              <w:t>活动相关工作经历，每人得</w:t>
            </w:r>
            <w:r>
              <w:rPr>
                <w:rFonts w:hint="eastAsia" w:ascii="宋体" w:hAnsi="宋体" w:eastAsia="宋体" w:cs="黑体"/>
                <w:sz w:val="21"/>
                <w:szCs w:val="21"/>
                <w:highlight w:val="none"/>
                <w:lang w:val="en-US" w:eastAsia="zh-CN"/>
              </w:rPr>
              <w:t>1</w:t>
            </w:r>
            <w:r>
              <w:rPr>
                <w:rFonts w:hint="eastAsia" w:ascii="宋体" w:hAnsi="宋体" w:eastAsia="宋体" w:cs="黑体"/>
                <w:sz w:val="21"/>
                <w:szCs w:val="21"/>
                <w:highlight w:val="none"/>
              </w:rPr>
              <w:t>分；同一人员不重复计分，本项最高得</w:t>
            </w:r>
            <w:r>
              <w:rPr>
                <w:rFonts w:hint="eastAsia" w:ascii="宋体" w:hAnsi="宋体" w:eastAsia="宋体" w:cs="黑体"/>
                <w:sz w:val="21"/>
                <w:szCs w:val="21"/>
                <w:highlight w:val="none"/>
                <w:lang w:val="en-US" w:eastAsia="zh-CN"/>
              </w:rPr>
              <w:t>3</w:t>
            </w:r>
            <w:r>
              <w:rPr>
                <w:rFonts w:hint="eastAsia" w:ascii="宋体" w:hAnsi="宋体" w:eastAsia="宋体" w:cs="黑体"/>
                <w:sz w:val="21"/>
                <w:szCs w:val="21"/>
                <w:highlight w:val="none"/>
              </w:rPr>
              <w:t>分。</w:t>
            </w:r>
          </w:p>
          <w:p w14:paraId="7167D5D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（二）评分依据</w:t>
            </w:r>
          </w:p>
          <w:p w14:paraId="4406F6B3">
            <w:pPr>
              <w:spacing w:line="240" w:lineRule="auto"/>
              <w:jc w:val="left"/>
              <w:rPr>
                <w:rFonts w:hint="eastAsia" w:ascii="宋体" w:hAnsi="宋体" w:cs="宋体"/>
                <w:szCs w:val="21"/>
                <w:highlight w:val="none"/>
              </w:rPr>
            </w:pPr>
            <w:r>
              <w:rPr>
                <w:rFonts w:hint="eastAsia" w:ascii="宋体" w:hAnsi="宋体" w:cs="黑体"/>
                <w:szCs w:val="21"/>
                <w:highlight w:val="none"/>
              </w:rPr>
              <w:t>1.要求提供相关</w:t>
            </w:r>
            <w:r>
              <w:rPr>
                <w:rFonts w:hint="eastAsia" w:ascii="宋体" w:hAnsi="宋体" w:cs="宋体"/>
                <w:szCs w:val="21"/>
                <w:highlight w:val="none"/>
              </w:rPr>
              <w:t>人员</w:t>
            </w:r>
            <w:r>
              <w:rPr>
                <w:rFonts w:hint="eastAsia" w:asciiTheme="minorEastAsia" w:hAnsiTheme="minorEastAsia" w:eastAsiaTheme="minorEastAsia" w:cstheme="minorEastAsia"/>
                <w:color w:val="auto"/>
                <w:szCs w:val="21"/>
                <w:highlight w:val="none"/>
              </w:rPr>
              <w:t>通过投标人缴纳的近三个月的任意一个月的社保证明作为本单位员工的证明依据。若供应商成立不足</w:t>
            </w:r>
            <w:r>
              <w:rPr>
                <w:rFonts w:hint="eastAsia" w:asciiTheme="minorEastAsia" w:hAnsiTheme="minorEastAsia" w:eastAsiaTheme="minorEastAsia" w:cstheme="minorEastAsia"/>
                <w:color w:val="auto"/>
                <w:szCs w:val="21"/>
                <w:highlight w:val="none"/>
                <w:lang w:eastAsia="zh-CN"/>
              </w:rPr>
              <w:t>一</w:t>
            </w:r>
            <w:r>
              <w:rPr>
                <w:rFonts w:hint="eastAsia" w:asciiTheme="minorEastAsia" w:hAnsiTheme="minorEastAsia" w:eastAsiaTheme="minorEastAsia" w:cstheme="minorEastAsia"/>
                <w:color w:val="auto"/>
                <w:szCs w:val="21"/>
                <w:highlight w:val="none"/>
              </w:rPr>
              <w:t>个月的，需提供成立情况说明函（格式自拟），无需提供相关人员社保，亦可得分；若为退休返聘人员，需提供说明函（格式自拟），无需提供相关人员社保，亦可得分</w:t>
            </w:r>
            <w:r>
              <w:rPr>
                <w:rFonts w:hint="eastAsia" w:asciiTheme="minorEastAsia" w:hAnsiTheme="minorEastAsia" w:eastAsiaTheme="minorEastAsia" w:cstheme="minorEastAsia"/>
                <w:color w:val="auto"/>
                <w:szCs w:val="21"/>
                <w:highlight w:val="none"/>
                <w:lang w:eastAsia="zh-CN"/>
              </w:rPr>
              <w:t>。</w:t>
            </w:r>
          </w:p>
          <w:p w14:paraId="7C9093DE">
            <w:pPr>
              <w:keepNext w:val="0"/>
              <w:keepLines w:val="0"/>
              <w:pageBreakBefore w:val="0"/>
              <w:kinsoku/>
              <w:overflowPunct/>
              <w:topLinePunct w:val="0"/>
              <w:autoSpaceDN/>
              <w:bidi w:val="0"/>
              <w:spacing w:line="360" w:lineRule="exact"/>
              <w:rPr>
                <w:rFonts w:hint="eastAsia" w:ascii="宋体" w:hAnsi="宋体" w:eastAsia="宋体" w:cs="宋体"/>
                <w:color w:val="auto"/>
                <w:sz w:val="21"/>
                <w:szCs w:val="21"/>
                <w:highlight w:val="none"/>
              </w:rPr>
            </w:pPr>
            <w:r>
              <w:rPr>
                <w:rFonts w:hint="eastAsia" w:ascii="宋体" w:hAnsi="宋体" w:cs="宋体"/>
                <w:szCs w:val="21"/>
                <w:highlight w:val="none"/>
              </w:rPr>
              <w:t>2.</w:t>
            </w:r>
            <w:r>
              <w:rPr>
                <w:rFonts w:hint="eastAsia" w:ascii="宋体" w:hAnsi="宋体" w:eastAsia="宋体" w:cs="宋体"/>
                <w:color w:val="auto"/>
                <w:sz w:val="21"/>
                <w:szCs w:val="21"/>
                <w:highlight w:val="none"/>
              </w:rPr>
              <w:t>涉及学历证明的，要求同时提供：（1）毕业证书；（2）学信网查询记录（对于较早颁发的学历学位证书，学信网无法查询的，需提供毕业院校、人社部门等颁发机构或监管机构等单位出具的证明）。海外留学人员（含港澳台）学历无法通过学信网站查询，允许提供“教育部留学服务中心出具的国外学历认证证书以及教育部留学服务中心官网（https://zwfw.cscse.edu.cn/）查询截图”。</w:t>
            </w:r>
          </w:p>
          <w:p w14:paraId="195FD67A">
            <w:pPr>
              <w:keepNext w:val="0"/>
              <w:keepLines w:val="0"/>
              <w:pageBreakBefore w:val="0"/>
              <w:kinsoku/>
              <w:overflowPunct/>
              <w:topLinePunct w:val="0"/>
              <w:autoSpaceDN/>
              <w:bidi w:val="0"/>
              <w:spacing w:line="36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如涉及考察人员工作经验，要求提供项目合同关键信息（需体现人员）作为得分依据，通过合同关键信息无法判断是否得分的，还须同时提供合同甲方出具的证明文件</w:t>
            </w:r>
            <w:r>
              <w:rPr>
                <w:rFonts w:hint="eastAsia" w:ascii="宋体" w:hAnsi="宋体" w:eastAsia="宋体" w:cs="宋体"/>
                <w:color w:val="auto"/>
                <w:sz w:val="21"/>
                <w:szCs w:val="21"/>
                <w:highlight w:val="none"/>
                <w:lang w:eastAsia="zh-CN"/>
              </w:rPr>
              <w:t>；</w:t>
            </w:r>
          </w:p>
          <w:p w14:paraId="3BBCB3A8">
            <w:pPr>
              <w:spacing w:line="360" w:lineRule="exact"/>
              <w:jc w:val="left"/>
              <w:rPr>
                <w:rFonts w:hint="eastAsia" w:ascii="宋体" w:hAnsi="宋体"/>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.以上证明材料均要求提供复印件或扫描件，原件备查。评分中未按要求提供证明资料或专家无法凭所提供资料判断是否得分的情况，一律作不得分处理。</w:t>
            </w:r>
          </w:p>
        </w:tc>
      </w:tr>
      <w:tr w14:paraId="2F3D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115E03">
            <w:pPr>
              <w:spacing w:line="360" w:lineRule="exact"/>
              <w:jc w:val="center"/>
              <w:rPr>
                <w:rFonts w:hint="eastAsia" w:ascii="Calibri" w:hAnsi="Calibri" w:eastAsia="宋体" w:cs="黑体"/>
                <w:b/>
                <w:bCs/>
                <w:color w:val="auto"/>
                <w:kern w:val="2"/>
                <w:sz w:val="22"/>
                <w:szCs w:val="24"/>
                <w:highlight w:val="none"/>
                <w:lang w:val="en-US" w:eastAsia="zh-CN" w:bidi="ar-SA"/>
              </w:rPr>
            </w:pPr>
            <w:r>
              <w:rPr>
                <w:rFonts w:hint="eastAsia"/>
                <w:b/>
                <w:bCs/>
                <w:color w:val="auto"/>
                <w:sz w:val="22"/>
                <w:highlight w:val="none"/>
                <w:lang w:val="en-US" w:eastAsia="zh-CN"/>
              </w:rPr>
              <w:t>诚信</w:t>
            </w:r>
            <w:r>
              <w:rPr>
                <w:b/>
                <w:bCs/>
                <w:color w:val="auto"/>
                <w:sz w:val="22"/>
                <w:highlight w:val="none"/>
              </w:rPr>
              <w:t>部分</w:t>
            </w:r>
          </w:p>
        </w:tc>
        <w:tc>
          <w:tcPr>
            <w:tcW w:w="5097" w:type="dxa"/>
            <w:tcBorders>
              <w:top w:val="single" w:color="auto" w:sz="4" w:space="0"/>
              <w:left w:val="single" w:color="auto" w:sz="4" w:space="0"/>
              <w:bottom w:val="single" w:color="auto" w:sz="4" w:space="0"/>
              <w:right w:val="single" w:color="auto" w:sz="4" w:space="0"/>
            </w:tcBorders>
            <w:shd w:val="clear" w:color="auto" w:fill="auto"/>
            <w:vAlign w:val="center"/>
          </w:tcPr>
          <w:p w14:paraId="4160DE03">
            <w:pPr>
              <w:spacing w:line="240" w:lineRule="auto"/>
              <w:jc w:val="center"/>
              <w:rPr>
                <w:rFonts w:hint="eastAsia" w:ascii="Calibri" w:hAnsi="Calibri" w:eastAsia="宋体" w:cs="黑体"/>
                <w:b/>
                <w:bCs/>
                <w:color w:val="auto"/>
                <w:kern w:val="2"/>
                <w:sz w:val="22"/>
                <w:szCs w:val="24"/>
                <w:highlight w:val="none"/>
                <w:lang w:val="en-US" w:eastAsia="zh-CN" w:bidi="ar-SA"/>
              </w:rPr>
            </w:pPr>
            <w:r>
              <w:rPr>
                <w:rFonts w:hint="eastAsia"/>
                <w:b/>
                <w:bCs/>
                <w:color w:val="auto"/>
                <w:sz w:val="22"/>
                <w:highlight w:val="none"/>
                <w:lang w:val="en-US" w:eastAsia="zh-CN"/>
              </w:rPr>
              <w:t>5</w:t>
            </w:r>
          </w:p>
        </w:tc>
      </w:tr>
      <w:tr w14:paraId="6524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7F9E3400">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序号</w:t>
            </w:r>
          </w:p>
        </w:tc>
        <w:tc>
          <w:tcPr>
            <w:tcW w:w="1935" w:type="dxa"/>
            <w:tcBorders>
              <w:top w:val="single" w:color="auto" w:sz="4" w:space="0"/>
              <w:left w:val="single" w:color="auto" w:sz="4" w:space="0"/>
              <w:bottom w:val="single" w:color="auto" w:sz="4" w:space="0"/>
              <w:right w:val="single" w:color="auto" w:sz="4" w:space="0"/>
            </w:tcBorders>
            <w:shd w:val="clear" w:color="auto" w:fill="C7DAF1"/>
            <w:vAlign w:val="center"/>
          </w:tcPr>
          <w:p w14:paraId="2DCA6858">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评分因素</w:t>
            </w:r>
          </w:p>
        </w:tc>
        <w:tc>
          <w:tcPr>
            <w:tcW w:w="930" w:type="dxa"/>
            <w:tcBorders>
              <w:top w:val="single" w:color="auto" w:sz="4" w:space="0"/>
              <w:left w:val="single" w:color="auto" w:sz="4" w:space="0"/>
              <w:bottom w:val="single" w:color="auto" w:sz="4" w:space="0"/>
              <w:right w:val="single" w:color="auto" w:sz="4" w:space="0"/>
            </w:tcBorders>
            <w:shd w:val="clear" w:color="auto" w:fill="C7DAF1"/>
            <w:vAlign w:val="center"/>
          </w:tcPr>
          <w:p w14:paraId="3B3036EF">
            <w:pPr>
              <w:spacing w:line="360" w:lineRule="exact"/>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分值</w:t>
            </w:r>
          </w:p>
        </w:tc>
        <w:tc>
          <w:tcPr>
            <w:tcW w:w="5097" w:type="dxa"/>
            <w:tcBorders>
              <w:top w:val="single" w:color="auto" w:sz="4" w:space="0"/>
              <w:left w:val="single" w:color="auto" w:sz="4" w:space="0"/>
              <w:bottom w:val="single" w:color="auto" w:sz="4" w:space="0"/>
              <w:right w:val="single" w:color="auto" w:sz="4" w:space="0"/>
            </w:tcBorders>
            <w:shd w:val="clear" w:color="auto" w:fill="C7DAF1"/>
            <w:vAlign w:val="center"/>
          </w:tcPr>
          <w:p w14:paraId="6084EA08">
            <w:pPr>
              <w:spacing w:line="240" w:lineRule="auto"/>
              <w:jc w:val="center"/>
              <w:rPr>
                <w:rFonts w:hint="eastAsia" w:ascii="Calibri" w:hAnsi="Calibri" w:eastAsia="宋体" w:cs="黑体"/>
                <w:color w:val="auto"/>
                <w:kern w:val="2"/>
                <w:sz w:val="22"/>
                <w:szCs w:val="24"/>
                <w:highlight w:val="none"/>
                <w:lang w:val="en-US" w:eastAsia="zh-CN" w:bidi="ar-SA"/>
              </w:rPr>
            </w:pPr>
            <w:r>
              <w:rPr>
                <w:color w:val="auto"/>
                <w:sz w:val="22"/>
                <w:highlight w:val="none"/>
              </w:rPr>
              <w:t>评分准则</w:t>
            </w:r>
          </w:p>
        </w:tc>
      </w:tr>
      <w:tr w14:paraId="2F03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7D2948A1">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1</w:t>
            </w:r>
          </w:p>
        </w:tc>
        <w:tc>
          <w:tcPr>
            <w:tcW w:w="1935" w:type="dxa"/>
            <w:tcBorders>
              <w:top w:val="single" w:color="auto" w:sz="4" w:space="0"/>
              <w:left w:val="single" w:color="auto" w:sz="4" w:space="0"/>
              <w:bottom w:val="single" w:color="auto" w:sz="4" w:space="0"/>
              <w:right w:val="single" w:color="auto" w:sz="4" w:space="0"/>
            </w:tcBorders>
            <w:vAlign w:val="center"/>
          </w:tcPr>
          <w:p w14:paraId="722D6E2C">
            <w:pPr>
              <w:spacing w:line="360" w:lineRule="exact"/>
              <w:jc w:val="center"/>
              <w:rPr>
                <w:color w:val="auto"/>
                <w:sz w:val="22"/>
                <w:highlight w:val="none"/>
              </w:rPr>
            </w:pPr>
            <w:r>
              <w:rPr>
                <w:rFonts w:hint="eastAsia" w:ascii="宋体" w:hAnsi="宋体" w:eastAsia="宋体"/>
                <w:szCs w:val="21"/>
                <w:highlight w:val="none"/>
              </w:rPr>
              <w:t>诚信</w:t>
            </w:r>
          </w:p>
        </w:tc>
        <w:tc>
          <w:tcPr>
            <w:tcW w:w="930" w:type="dxa"/>
            <w:tcBorders>
              <w:top w:val="single" w:color="auto" w:sz="4" w:space="0"/>
              <w:left w:val="single" w:color="auto" w:sz="4" w:space="0"/>
              <w:bottom w:val="single" w:color="auto" w:sz="4" w:space="0"/>
              <w:right w:val="single" w:color="auto" w:sz="4" w:space="0"/>
            </w:tcBorders>
            <w:vAlign w:val="center"/>
          </w:tcPr>
          <w:p w14:paraId="5A902FA4">
            <w:pPr>
              <w:spacing w:line="360" w:lineRule="exact"/>
              <w:jc w:val="center"/>
              <w:rPr>
                <w:rFonts w:hint="eastAsia" w:eastAsia="宋体"/>
                <w:color w:val="auto"/>
                <w:sz w:val="22"/>
                <w:highlight w:val="none"/>
                <w:lang w:eastAsia="zh-CN"/>
              </w:rPr>
            </w:pPr>
            <w:r>
              <w:rPr>
                <w:rFonts w:hint="eastAsia"/>
                <w:color w:val="auto"/>
                <w:sz w:val="22"/>
                <w:highlight w:val="none"/>
                <w:lang w:val="en-US" w:eastAsia="zh-CN"/>
              </w:rPr>
              <w:t>5</w:t>
            </w:r>
          </w:p>
        </w:tc>
        <w:tc>
          <w:tcPr>
            <w:tcW w:w="5097" w:type="dxa"/>
            <w:tcBorders>
              <w:top w:val="single" w:color="auto" w:sz="4" w:space="0"/>
              <w:left w:val="single" w:color="auto" w:sz="4" w:space="0"/>
              <w:bottom w:val="single" w:color="auto" w:sz="4" w:space="0"/>
              <w:right w:val="single" w:color="auto" w:sz="4" w:space="0"/>
            </w:tcBorders>
          </w:tcPr>
          <w:p w14:paraId="4403C872">
            <w:pPr>
              <w:pStyle w:val="7"/>
              <w:spacing w:line="240" w:lineRule="auto"/>
              <w:rPr>
                <w:color w:val="auto"/>
                <w:sz w:val="22"/>
                <w:szCs w:val="22"/>
                <w:highlight w:val="none"/>
              </w:rPr>
            </w:pPr>
            <w:r>
              <w:rPr>
                <w:color w:val="auto"/>
                <w:sz w:val="22"/>
                <w:szCs w:val="22"/>
                <w:highlight w:val="none"/>
              </w:rPr>
              <w:t>根据《深圳市财政局关于印发&lt;深圳市财政局政府采购</w:t>
            </w:r>
            <w:r>
              <w:rPr>
                <w:rFonts w:hint="eastAsia"/>
                <w:color w:val="auto"/>
                <w:sz w:val="22"/>
                <w:szCs w:val="22"/>
                <w:highlight w:val="none"/>
                <w:lang w:eastAsia="zh-CN"/>
              </w:rPr>
              <w:t>投标人</w:t>
            </w:r>
            <w:r>
              <w:rPr>
                <w:color w:val="auto"/>
                <w:sz w:val="22"/>
                <w:szCs w:val="22"/>
                <w:highlight w:val="none"/>
              </w:rPr>
              <w:t>信用信息管理办法&gt;的通知》（深财规〔2023〕3号）相关规定，如</w:t>
            </w:r>
            <w:r>
              <w:rPr>
                <w:rFonts w:hint="eastAsia"/>
                <w:color w:val="auto"/>
                <w:sz w:val="22"/>
                <w:szCs w:val="22"/>
                <w:highlight w:val="none"/>
                <w:lang w:eastAsia="zh-CN"/>
              </w:rPr>
              <w:t>投标人</w:t>
            </w:r>
            <w:r>
              <w:rPr>
                <w:color w:val="auto"/>
                <w:sz w:val="22"/>
                <w:szCs w:val="22"/>
                <w:highlight w:val="none"/>
              </w:rPr>
              <w:t>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color w:val="auto"/>
                <w:sz w:val="22"/>
                <w:szCs w:val="22"/>
                <w:highlight w:val="none"/>
                <w:lang w:val="en-US" w:eastAsia="zh-CN"/>
              </w:rPr>
              <w:t>5</w:t>
            </w:r>
            <w:r>
              <w:rPr>
                <w:color w:val="auto"/>
                <w:sz w:val="22"/>
                <w:szCs w:val="22"/>
                <w:highlight w:val="none"/>
              </w:rPr>
              <w:t>分。（采购代理机构通过“信用中国”、“中国政府采购网”、“深圳市政府采购监管网”以及市、区财政部门认定的其他渠道查询</w:t>
            </w:r>
            <w:r>
              <w:rPr>
                <w:rFonts w:hint="eastAsia"/>
                <w:color w:val="auto"/>
                <w:sz w:val="22"/>
                <w:szCs w:val="22"/>
                <w:highlight w:val="none"/>
                <w:lang w:eastAsia="zh-CN"/>
              </w:rPr>
              <w:t>投标人</w:t>
            </w:r>
            <w:r>
              <w:rPr>
                <w:color w:val="auto"/>
                <w:sz w:val="22"/>
                <w:szCs w:val="22"/>
                <w:highlight w:val="none"/>
              </w:rPr>
              <w:t>信用信息，投标人无需提供证明材料。）</w:t>
            </w:r>
          </w:p>
        </w:tc>
      </w:tr>
    </w:tbl>
    <w:p w14:paraId="3D3164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备注：1.价格、技术、商务</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lang w:val="en-US" w:eastAsia="zh-CN"/>
        </w:rPr>
        <w:t>诚信</w:t>
      </w:r>
      <w:r>
        <w:rPr>
          <w:rFonts w:hint="eastAsia" w:ascii="仿宋_GB2312" w:hAnsi="仿宋_GB2312" w:eastAsia="仿宋_GB2312" w:cs="仿宋_GB2312"/>
          <w:bCs/>
          <w:color w:val="auto"/>
          <w:kern w:val="0"/>
          <w:sz w:val="28"/>
          <w:szCs w:val="28"/>
          <w:highlight w:val="none"/>
        </w:rPr>
        <w:t>部分累加分为100分。</w:t>
      </w:r>
    </w:p>
    <w:p w14:paraId="357BB07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lang w:val="en-US" w:eastAsia="zh-CN"/>
        </w:rPr>
      </w:pPr>
      <w:r>
        <w:rPr>
          <w:rFonts w:hint="eastAsia" w:ascii="仿宋_GB2312" w:hAnsi="仿宋_GB2312" w:eastAsia="仿宋_GB2312" w:cs="仿宋_GB2312"/>
          <w:bCs/>
          <w:color w:val="auto"/>
          <w:kern w:val="0"/>
          <w:sz w:val="28"/>
          <w:szCs w:val="28"/>
          <w:highlight w:val="none"/>
        </w:rPr>
        <w:t>2.各投标人得分精确到小数点后两位。</w:t>
      </w:r>
    </w:p>
    <w:p w14:paraId="33B241F6">
      <w:pPr>
        <w:pStyle w:val="26"/>
        <w:keepLines w:val="0"/>
        <w:pageBreakBefore w:val="0"/>
        <w:kinsoku/>
        <w:wordWrap/>
        <w:overflowPunct/>
        <w:topLinePunct w:val="0"/>
        <w:bidi w:val="0"/>
        <w:spacing w:line="560" w:lineRule="exact"/>
        <w:ind w:firstLine="560" w:firstLineChars="200"/>
        <w:rPr>
          <w:rFonts w:hint="eastAsia" w:ascii="黑体" w:hAnsi="黑体" w:eastAsia="黑体" w:cs="黑体"/>
          <w:b w:val="0"/>
          <w:bCs w:val="0"/>
          <w:color w:val="auto"/>
          <w:kern w:val="0"/>
          <w:sz w:val="28"/>
          <w:szCs w:val="28"/>
          <w:highlight w:val="none"/>
          <w:lang w:val="en-US" w:eastAsia="zh-CN" w:bidi="ar-SA"/>
        </w:rPr>
      </w:pPr>
      <w:r>
        <w:rPr>
          <w:rFonts w:hint="eastAsia" w:ascii="黑体" w:hAnsi="黑体" w:eastAsia="黑体" w:cs="黑体"/>
          <w:b w:val="0"/>
          <w:bCs w:val="0"/>
          <w:color w:val="auto"/>
          <w:kern w:val="0"/>
          <w:sz w:val="28"/>
          <w:szCs w:val="28"/>
          <w:highlight w:val="none"/>
          <w:lang w:val="en-US" w:eastAsia="zh-CN" w:bidi="ar-SA"/>
        </w:rPr>
        <w:t>三、政策导向</w:t>
      </w:r>
    </w:p>
    <w:p w14:paraId="3FCE956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（1）投标人提供的服务</w:t>
      </w:r>
      <w:r>
        <w:rPr>
          <w:rFonts w:hint="eastAsia" w:ascii="仿宋_GB2312" w:hAnsi="仿宋_GB2312" w:eastAsia="仿宋_GB2312" w:cs="仿宋_GB2312"/>
          <w:bCs/>
          <w:color w:val="auto"/>
          <w:kern w:val="0"/>
          <w:sz w:val="28"/>
          <w:szCs w:val="28"/>
          <w:highlight w:val="none"/>
          <w:lang w:eastAsia="zh-CN"/>
        </w:rPr>
        <w:t>全部</w:t>
      </w:r>
      <w:r>
        <w:rPr>
          <w:rFonts w:hint="eastAsia" w:ascii="仿宋_GB2312" w:hAnsi="仿宋_GB2312" w:eastAsia="仿宋_GB2312" w:cs="仿宋_GB2312"/>
          <w:bCs/>
          <w:color w:val="auto"/>
          <w:kern w:val="0"/>
          <w:sz w:val="28"/>
          <w:szCs w:val="28"/>
          <w:highlight w:val="none"/>
        </w:rPr>
        <w:t>由优惠主体承接，则对其投标总价给予</w:t>
      </w:r>
      <w:r>
        <w:rPr>
          <w:rFonts w:hint="eastAsia" w:ascii="仿宋_GB2312" w:hAnsi="仿宋_GB2312" w:eastAsia="仿宋_GB2312" w:cs="仿宋_GB2312"/>
          <w:b/>
          <w:bCs w:val="0"/>
          <w:color w:val="auto"/>
          <w:kern w:val="0"/>
          <w:sz w:val="28"/>
          <w:szCs w:val="28"/>
          <w:highlight w:val="none"/>
          <w:u w:val="single"/>
        </w:rPr>
        <w:t>10%</w:t>
      </w:r>
      <w:r>
        <w:rPr>
          <w:rFonts w:hint="eastAsia" w:ascii="仿宋_GB2312" w:hAnsi="仿宋_GB2312" w:eastAsia="仿宋_GB2312" w:cs="仿宋_GB2312"/>
          <w:bCs/>
          <w:color w:val="auto"/>
          <w:kern w:val="0"/>
          <w:sz w:val="28"/>
          <w:szCs w:val="28"/>
          <w:highlight w:val="none"/>
        </w:rPr>
        <w:t>的扣除，用扣除后的价格参与评审。满足多项优惠政策的企业，不重复享受多项价格扣除政策。</w:t>
      </w:r>
    </w:p>
    <w:p w14:paraId="5FD2AD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b</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优惠主体承接是指提供服务的人员为中小企业依照《中华人民共和国劳动合同法》订立劳动合同的从业人员。</w:t>
      </w:r>
    </w:p>
    <w:p w14:paraId="4AB1AC3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2）根据《工业和信息化部、国家统计局、国家发展和改革委员会、财政部关于印发中小企业划型标准规定的通知》（工信部联企业〔2011〕300号），本项目采购标的（项目需求）对应的中小企业划分标准所属行业为</w:t>
      </w:r>
      <w:r>
        <w:rPr>
          <w:rFonts w:ascii="宋体" w:hAnsi="宋体" w:eastAsia="宋体" w:cs="宋体"/>
          <w:b/>
          <w:bCs/>
          <w:sz w:val="24"/>
          <w:szCs w:val="24"/>
          <w:highlight w:val="none"/>
          <w:u w:val="single"/>
        </w:rPr>
        <w:t>租赁和商务服务业</w:t>
      </w:r>
      <w:r>
        <w:rPr>
          <w:rFonts w:hint="eastAsia" w:ascii="仿宋_GB2312" w:hAnsi="仿宋_GB2312" w:eastAsia="仿宋_GB2312" w:cs="仿宋_GB2312"/>
          <w:bCs/>
          <w:color w:val="auto"/>
          <w:kern w:val="0"/>
          <w:sz w:val="28"/>
          <w:szCs w:val="28"/>
          <w:highlight w:val="none"/>
        </w:rPr>
        <w:t>。</w:t>
      </w:r>
    </w:p>
    <w:p w14:paraId="526B3BF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（3）小型企业、微型企业、残疾人福利性单位作为优惠主体的认定资料为《中小企业声明函</w:t>
      </w:r>
      <w:r>
        <w:rPr>
          <w:rFonts w:hint="eastAsia" w:ascii="仿宋_GB2312" w:hAnsi="仿宋_GB2312" w:eastAsia="仿宋_GB2312" w:cs="仿宋_GB2312"/>
          <w:bCs/>
          <w:color w:val="auto"/>
          <w:kern w:val="0"/>
          <w:sz w:val="28"/>
          <w:szCs w:val="28"/>
          <w:highlight w:val="none"/>
          <w:lang w:eastAsia="zh-CN"/>
        </w:rPr>
        <w:t>》《</w:t>
      </w:r>
      <w:r>
        <w:rPr>
          <w:rFonts w:hint="eastAsia" w:ascii="仿宋_GB2312" w:hAnsi="仿宋_GB2312" w:eastAsia="仿宋_GB2312" w:cs="仿宋_GB2312"/>
          <w:bCs/>
          <w:color w:val="auto"/>
          <w:kern w:val="0"/>
          <w:sz w:val="28"/>
          <w:szCs w:val="28"/>
          <w:highlight w:val="none"/>
        </w:rPr>
        <w:t>残疾人福利性单位声明函》；监狱企业作为优惠主体的认定资料为省级以上监狱管理局、戒毒管理局出具的监狱企业证明文件。监狱企业或者代理提供监狱企业货物的</w:t>
      </w:r>
      <w:r>
        <w:rPr>
          <w:rFonts w:hint="eastAsia" w:ascii="仿宋_GB2312" w:hAnsi="仿宋_GB2312" w:eastAsia="仿宋_GB2312" w:cs="仿宋_GB2312"/>
          <w:sz w:val="28"/>
          <w:szCs w:val="28"/>
          <w:highlight w:val="none"/>
        </w:rPr>
        <w:t>供应商</w:t>
      </w:r>
      <w:r>
        <w:rPr>
          <w:rFonts w:hint="eastAsia" w:ascii="仿宋_GB2312" w:hAnsi="仿宋_GB2312" w:eastAsia="仿宋_GB2312" w:cs="仿宋_GB2312"/>
          <w:bCs/>
          <w:color w:val="auto"/>
          <w:kern w:val="0"/>
          <w:sz w:val="28"/>
          <w:szCs w:val="28"/>
          <w:highlight w:val="none"/>
        </w:rPr>
        <w:t>如须享受优惠政策，除上述资料外，还须提供省级以上监狱管理局、戒毒管理局出具的监狱企业证明文件。</w:t>
      </w:r>
    </w:p>
    <w:p w14:paraId="31205094">
      <w:pPr>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bCs/>
          <w:color w:val="auto"/>
          <w:kern w:val="0"/>
          <w:sz w:val="28"/>
          <w:szCs w:val="28"/>
          <w:highlight w:val="none"/>
        </w:rPr>
      </w:pPr>
      <w:r>
        <w:rPr>
          <w:rFonts w:hint="eastAsia" w:ascii="仿宋_GB2312" w:hAnsi="仿宋_GB2312" w:eastAsia="仿宋_GB2312" w:cs="仿宋_GB2312"/>
          <w:bCs/>
          <w:color w:val="auto"/>
          <w:kern w:val="0"/>
          <w:sz w:val="28"/>
          <w:szCs w:val="28"/>
          <w:highlight w:val="none"/>
        </w:rPr>
        <w:t>（4）享受价格扣除获得政府采购合同的，小微企业不得将合同分包给大中型企业。</w:t>
      </w:r>
    </w:p>
    <w:p w14:paraId="6501300C">
      <w:pPr>
        <w:keepNext w:val="0"/>
        <w:keepLines w:val="0"/>
        <w:pageBreakBefore w:val="0"/>
        <w:widowControl/>
        <w:numPr>
          <w:ilvl w:val="-1"/>
          <w:numId w:val="0"/>
        </w:numPr>
        <w:kinsoku/>
        <w:wordWrap/>
        <w:overflowPunct/>
        <w:topLinePunct w:val="0"/>
        <w:autoSpaceDE/>
        <w:autoSpaceDN/>
        <w:bidi w:val="0"/>
        <w:adjustRightInd/>
        <w:spacing w:line="240" w:lineRule="auto"/>
        <w:jc w:val="left"/>
        <w:textAlignment w:val="auto"/>
        <w:rPr>
          <w:rFonts w:ascii="仿宋_GB2312" w:hAnsi="仿宋_GB2312" w:eastAsia="仿宋_GB2312" w:cs="仿宋_GB2312"/>
          <w:b/>
          <w:bCs/>
          <w:color w:val="auto"/>
          <w:kern w:val="2"/>
          <w:sz w:val="36"/>
          <w:szCs w:val="36"/>
          <w:highlight w:val="none"/>
          <w:lang w:val="en-US" w:eastAsia="zh-CN" w:bidi="ar-SA"/>
        </w:rPr>
      </w:pPr>
      <w:r>
        <w:rPr>
          <w:rFonts w:ascii="仿宋_GB2312" w:hAnsi="仿宋_GB2312" w:eastAsia="仿宋_GB2312" w:cs="仿宋_GB2312"/>
          <w:b/>
          <w:bCs/>
          <w:color w:val="auto"/>
          <w:kern w:val="2"/>
          <w:sz w:val="36"/>
          <w:szCs w:val="36"/>
          <w:highlight w:val="none"/>
          <w:lang w:val="en-US" w:eastAsia="zh-CN" w:bidi="ar-SA"/>
        </w:rPr>
        <w:br w:type="page"/>
      </w:r>
    </w:p>
    <w:p w14:paraId="1957EB96">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ascii="仿宋_GB2312" w:hAnsi="仿宋_GB2312" w:eastAsia="仿宋_GB2312" w:cs="仿宋_GB2312"/>
          <w:b/>
          <w:bCs/>
          <w:color w:val="auto"/>
          <w:sz w:val="36"/>
          <w:szCs w:val="36"/>
          <w:highlight w:val="none"/>
        </w:rPr>
      </w:pPr>
      <w:r>
        <w:rPr>
          <w:rFonts w:ascii="仿宋_GB2312" w:hAnsi="仿宋_GB2312" w:eastAsia="仿宋_GB2312" w:cs="仿宋_GB2312"/>
          <w:b/>
          <w:bCs/>
          <w:color w:val="auto"/>
          <w:kern w:val="2"/>
          <w:sz w:val="36"/>
          <w:szCs w:val="36"/>
          <w:highlight w:val="none"/>
          <w:lang w:val="en-US" w:eastAsia="zh-CN" w:bidi="ar-SA"/>
        </w:rPr>
        <w:t>第</w:t>
      </w:r>
      <w:r>
        <w:rPr>
          <w:rFonts w:hint="eastAsia" w:ascii="仿宋_GB2312" w:hAnsi="仿宋_GB2312" w:eastAsia="仿宋_GB2312" w:cs="仿宋_GB2312"/>
          <w:b/>
          <w:bCs/>
          <w:color w:val="auto"/>
          <w:kern w:val="2"/>
          <w:sz w:val="36"/>
          <w:szCs w:val="36"/>
          <w:highlight w:val="none"/>
          <w:lang w:val="en-US" w:eastAsia="zh-CN" w:bidi="ar-SA"/>
        </w:rPr>
        <w:t>四</w:t>
      </w:r>
      <w:r>
        <w:rPr>
          <w:rFonts w:ascii="仿宋_GB2312" w:hAnsi="仿宋_GB2312" w:eastAsia="仿宋_GB2312" w:cs="仿宋_GB2312"/>
          <w:b/>
          <w:bCs/>
          <w:color w:val="auto"/>
          <w:kern w:val="2"/>
          <w:sz w:val="36"/>
          <w:szCs w:val="36"/>
          <w:highlight w:val="none"/>
          <w:lang w:val="en-US" w:eastAsia="zh-CN" w:bidi="ar-SA"/>
        </w:rPr>
        <w:t>章</w:t>
      </w:r>
      <w:r>
        <w:rPr>
          <w:rFonts w:hint="eastAsia" w:ascii="仿宋_GB2312" w:hAnsi="仿宋_GB2312" w:eastAsia="仿宋_GB2312" w:cs="仿宋_GB2312"/>
          <w:b/>
          <w:bCs/>
          <w:color w:val="auto"/>
          <w:kern w:val="2"/>
          <w:sz w:val="36"/>
          <w:szCs w:val="36"/>
          <w:highlight w:val="none"/>
          <w:lang w:val="en-US" w:eastAsia="zh-CN" w:bidi="ar-SA"/>
        </w:rPr>
        <w:t xml:space="preserve"> </w:t>
      </w:r>
      <w:r>
        <w:rPr>
          <w:rFonts w:hint="eastAsia" w:ascii="仿宋_GB2312" w:hAnsi="仿宋_GB2312" w:eastAsia="仿宋_GB2312" w:cs="仿宋_GB2312"/>
          <w:b/>
          <w:bCs/>
          <w:color w:val="auto"/>
          <w:sz w:val="36"/>
          <w:szCs w:val="36"/>
          <w:highlight w:val="none"/>
        </w:rPr>
        <w:t>投标须知</w:t>
      </w:r>
    </w:p>
    <w:p w14:paraId="54B0E0B0">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一、为充分体现公平、公正、公开原则，择优选择供应商，参加投标的单位必须满足本项目投标供应商的资质要求。</w:t>
      </w:r>
    </w:p>
    <w:p w14:paraId="3F1D607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本项目的潜在供应商应在递交投标文件截止日之前到医院招采办报名投标。</w:t>
      </w:r>
    </w:p>
    <w:p w14:paraId="002394C2">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符合条件的供应商严格按照采购单位提供的招标文件，认真填写投标资料，并在规定时间</w:t>
      </w:r>
      <w:r>
        <w:rPr>
          <w:rFonts w:hint="eastAsia" w:ascii="仿宋" w:hAnsi="仿宋" w:eastAsia="仿宋" w:cs="仿宋"/>
          <w:color w:val="auto"/>
          <w:sz w:val="28"/>
          <w:szCs w:val="28"/>
          <w:highlight w:val="none"/>
          <w:lang w:val="en-US" w:eastAsia="zh-CN"/>
        </w:rPr>
        <w:t>内</w:t>
      </w:r>
      <w:r>
        <w:rPr>
          <w:rFonts w:hint="eastAsia" w:ascii="仿宋" w:hAnsi="仿宋" w:eastAsia="仿宋" w:cs="仿宋"/>
          <w:color w:val="auto"/>
          <w:sz w:val="28"/>
          <w:szCs w:val="28"/>
          <w:highlight w:val="none"/>
        </w:rPr>
        <w:t>将</w:t>
      </w:r>
      <w:r>
        <w:rPr>
          <w:rFonts w:hint="eastAsia" w:ascii="仿宋" w:hAnsi="仿宋" w:eastAsia="仿宋" w:cs="仿宋"/>
          <w:b/>
          <w:bCs/>
          <w:color w:val="auto"/>
          <w:sz w:val="28"/>
          <w:szCs w:val="28"/>
          <w:highlight w:val="none"/>
        </w:rPr>
        <w:t>投标文件密封</w:t>
      </w:r>
      <w:r>
        <w:rPr>
          <w:rFonts w:hint="eastAsia" w:ascii="仿宋" w:hAnsi="仿宋" w:eastAsia="仿宋" w:cs="仿宋"/>
          <w:color w:val="auto"/>
          <w:sz w:val="28"/>
          <w:szCs w:val="28"/>
          <w:highlight w:val="none"/>
        </w:rPr>
        <w:t>送达指定地点。投标单位法定代表人或授权代</w:t>
      </w:r>
      <w:r>
        <w:rPr>
          <w:rFonts w:hint="eastAsia" w:ascii="仿宋" w:hAnsi="仿宋" w:eastAsia="仿宋" w:cs="仿宋"/>
          <w:color w:val="auto"/>
          <w:sz w:val="28"/>
          <w:szCs w:val="28"/>
          <w:highlight w:val="none"/>
          <w:lang w:eastAsia="zh-CN"/>
        </w:rPr>
        <w:t>表人</w:t>
      </w:r>
      <w:r>
        <w:rPr>
          <w:rFonts w:hint="eastAsia" w:ascii="仿宋" w:hAnsi="仿宋" w:eastAsia="仿宋" w:cs="仿宋"/>
          <w:color w:val="auto"/>
          <w:sz w:val="28"/>
          <w:szCs w:val="28"/>
          <w:highlight w:val="none"/>
        </w:rPr>
        <w:t>在规定的时间内未递交投标资料的，视为自动放弃。</w:t>
      </w:r>
    </w:p>
    <w:p w14:paraId="20BD582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院内公开招标有效投标的供应商不足三家，不得开标。</w:t>
      </w:r>
    </w:p>
    <w:p w14:paraId="1B5FF04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存在下列情形的，应予废标：</w:t>
      </w:r>
    </w:p>
    <w:p w14:paraId="51FA40CF">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符合专业条件的供应商或者对招标文件作实质性响应的供应商不足三家的；</w:t>
      </w:r>
    </w:p>
    <w:p w14:paraId="54A802DC">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出现影响采购公正的违法、违规行为的；</w:t>
      </w:r>
    </w:p>
    <w:p w14:paraId="1EF7F246">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投标人的报价均超过采购预算或最高限价，采购人不能支付的；</w:t>
      </w:r>
    </w:p>
    <w:p w14:paraId="438E3DF7">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kern w:val="0"/>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因重大变故，采购任务取消的。</w:t>
      </w:r>
    </w:p>
    <w:p w14:paraId="01F3714C">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投标文件有效期</w:t>
      </w:r>
    </w:p>
    <w:p w14:paraId="363A7B59">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在递交投标文件截止日期之后的60天内有效</w:t>
      </w:r>
      <w:r>
        <w:rPr>
          <w:rFonts w:hint="eastAsia" w:ascii="仿宋" w:hAnsi="仿宋" w:eastAsia="仿宋" w:cs="仿宋"/>
          <w:color w:val="auto"/>
          <w:sz w:val="28"/>
          <w:szCs w:val="28"/>
          <w:highlight w:val="none"/>
          <w:lang w:val="en-US" w:eastAsia="zh-CN"/>
        </w:rPr>
        <w:t>；</w:t>
      </w:r>
    </w:p>
    <w:p w14:paraId="02A6F769">
      <w:pPr>
        <w:keepNext w:val="0"/>
        <w:keepLines w:val="0"/>
        <w:pageBreakBefore w:val="0"/>
        <w:widowControl w:val="0"/>
        <w:kinsoku/>
        <w:wordWrap/>
        <w:overflowPunct/>
        <w:topLinePunct w:val="0"/>
        <w:autoSpaceDE/>
        <w:autoSpaceDN/>
        <w:bidi w:val="0"/>
        <w:adjustRightInd/>
        <w:snapToGrid w:val="0"/>
        <w:spacing w:line="540" w:lineRule="exact"/>
        <w:ind w:firstLine="638" w:firstLineChars="228"/>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在原定投标文件有效期满之前，如果出现特殊情况，招采办可以书面形式向供应商提出延长投标文件有效期的要求。</w:t>
      </w:r>
    </w:p>
    <w:p w14:paraId="33F9C75D">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二、需提供资料及标准</w:t>
      </w:r>
    </w:p>
    <w:p w14:paraId="592C6E4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（一）投标文件的规定。投标文件</w:t>
      </w:r>
      <w:r>
        <w:rPr>
          <w:rFonts w:hint="eastAsia" w:ascii="仿宋_GB2312" w:hAnsi="仿宋_GB2312" w:eastAsia="仿宋_GB2312" w:cs="仿宋_GB2312"/>
          <w:b/>
          <w:bCs/>
          <w:color w:val="auto"/>
          <w:sz w:val="28"/>
          <w:szCs w:val="36"/>
          <w:highlight w:val="none"/>
        </w:rPr>
        <w:t>须密封装袋</w:t>
      </w:r>
      <w:r>
        <w:rPr>
          <w:rFonts w:hint="eastAsia" w:ascii="仿宋_GB2312" w:hAnsi="仿宋_GB2312" w:eastAsia="仿宋_GB2312" w:cs="仿宋_GB2312"/>
          <w:color w:val="auto"/>
          <w:sz w:val="28"/>
          <w:szCs w:val="36"/>
          <w:highlight w:val="none"/>
        </w:rPr>
        <w:t>，制作</w:t>
      </w:r>
      <w:r>
        <w:rPr>
          <w:rFonts w:hint="eastAsia" w:ascii="仿宋_GB2312" w:hAnsi="仿宋_GB2312" w:eastAsia="仿宋_GB2312" w:cs="仿宋_GB2312"/>
          <w:b/>
          <w:bCs/>
          <w:color w:val="auto"/>
          <w:sz w:val="28"/>
          <w:szCs w:val="36"/>
          <w:highlight w:val="none"/>
        </w:rPr>
        <w:t>一本正本，2本副本（另：提交一本电子投标文件，用U盘拷贝，U盘不退还，并标明项目名称和公司名称）</w:t>
      </w:r>
      <w:r>
        <w:rPr>
          <w:rFonts w:hint="eastAsia" w:ascii="仿宋_GB2312" w:hAnsi="仿宋_GB2312" w:eastAsia="仿宋_GB2312" w:cs="仿宋_GB2312"/>
          <w:color w:val="auto"/>
          <w:sz w:val="28"/>
          <w:szCs w:val="36"/>
          <w:highlight w:val="none"/>
        </w:rPr>
        <w:t>，每份投标文件必须装订且须在封面上清楚标明“</w:t>
      </w:r>
      <w:r>
        <w:rPr>
          <w:rFonts w:hint="eastAsia" w:ascii="仿宋_GB2312" w:hAnsi="仿宋_GB2312" w:eastAsia="仿宋_GB2312" w:cs="仿宋_GB2312"/>
          <w:b/>
          <w:bCs/>
          <w:color w:val="auto"/>
          <w:sz w:val="28"/>
          <w:szCs w:val="36"/>
          <w:highlight w:val="none"/>
        </w:rPr>
        <w:t>正本</w:t>
      </w:r>
      <w:r>
        <w:rPr>
          <w:rFonts w:hint="eastAsia" w:ascii="仿宋_GB2312" w:hAnsi="仿宋_GB2312" w:eastAsia="仿宋_GB2312" w:cs="仿宋_GB2312"/>
          <w:color w:val="auto"/>
          <w:sz w:val="28"/>
          <w:szCs w:val="36"/>
          <w:highlight w:val="none"/>
        </w:rPr>
        <w:t>”或“</w:t>
      </w:r>
      <w:r>
        <w:rPr>
          <w:rFonts w:hint="eastAsia" w:ascii="仿宋_GB2312" w:hAnsi="仿宋_GB2312" w:eastAsia="仿宋_GB2312" w:cs="仿宋_GB2312"/>
          <w:b/>
          <w:bCs/>
          <w:color w:val="auto"/>
          <w:sz w:val="28"/>
          <w:szCs w:val="36"/>
          <w:highlight w:val="none"/>
        </w:rPr>
        <w:t>副本</w:t>
      </w:r>
      <w:r>
        <w:rPr>
          <w:rFonts w:hint="eastAsia" w:ascii="仿宋_GB2312" w:hAnsi="仿宋_GB2312" w:eastAsia="仿宋_GB2312" w:cs="仿宋_GB2312"/>
          <w:color w:val="auto"/>
          <w:sz w:val="28"/>
          <w:szCs w:val="36"/>
          <w:highlight w:val="none"/>
        </w:rPr>
        <w:t>”字样。一旦正本与副本不符，以正本为准。 投标文件不得涂改和增删，如要修改错漏处，必须由同一签署人</w:t>
      </w:r>
      <w:r>
        <w:rPr>
          <w:rFonts w:hint="eastAsia" w:ascii="仿宋_GB2312" w:hAnsi="仿宋_GB2312" w:eastAsia="仿宋_GB2312" w:cs="仿宋_GB2312"/>
          <w:b/>
          <w:bCs/>
          <w:color w:val="auto"/>
          <w:sz w:val="28"/>
          <w:szCs w:val="36"/>
          <w:highlight w:val="none"/>
        </w:rPr>
        <w:t>在修改处签字或盖章</w:t>
      </w:r>
      <w:r>
        <w:rPr>
          <w:rFonts w:hint="eastAsia" w:ascii="仿宋_GB2312" w:hAnsi="仿宋_GB2312" w:eastAsia="仿宋_GB2312" w:cs="仿宋_GB2312"/>
          <w:color w:val="auto"/>
          <w:sz w:val="28"/>
          <w:szCs w:val="36"/>
          <w:highlight w:val="none"/>
        </w:rPr>
        <w:t>。</w:t>
      </w:r>
    </w:p>
    <w:p w14:paraId="5189D47A">
      <w:pPr>
        <w:keepNext w:val="0"/>
        <w:keepLines w:val="0"/>
        <w:pageBreakBefore w:val="0"/>
        <w:widowControl w:val="0"/>
        <w:kinsoku/>
        <w:wordWrap/>
        <w:overflowPunct/>
        <w:topLinePunct w:val="0"/>
        <w:autoSpaceDE/>
        <w:autoSpaceDN/>
        <w:bidi w:val="0"/>
        <w:adjustRightInd/>
        <w:spacing w:line="540" w:lineRule="exact"/>
        <w:ind w:firstLine="562"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（二）提供本项目开标一览表一份，开标一览表须加盖公章并单独密封，供应商须在开标一览表上签名确认。</w:t>
      </w:r>
    </w:p>
    <w:p w14:paraId="7031B36F">
      <w:pPr>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（三）资料封面注有公司名称、地址、联系人、手机号码、办公电话和邮箱地址。</w:t>
      </w:r>
    </w:p>
    <w:p w14:paraId="462CF3C2">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1.</w:t>
      </w:r>
      <w:r>
        <w:rPr>
          <w:rFonts w:hint="eastAsia" w:ascii="仿宋_GB2312" w:hAnsi="仿宋_GB2312" w:eastAsia="仿宋_GB2312" w:cs="仿宋_GB2312"/>
          <w:snapToGrid w:val="0"/>
          <w:color w:val="auto"/>
          <w:kern w:val="144"/>
          <w:sz w:val="28"/>
          <w:szCs w:val="28"/>
          <w:highlight w:val="none"/>
        </w:rPr>
        <w:t>所有资料要有封面、目录、页码、装订成册。</w:t>
      </w:r>
    </w:p>
    <w:p w14:paraId="03F9F280">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2.</w:t>
      </w:r>
      <w:r>
        <w:rPr>
          <w:rFonts w:hint="eastAsia" w:ascii="仿宋_GB2312" w:hAnsi="仿宋_GB2312" w:eastAsia="仿宋_GB2312" w:cs="仿宋_GB2312"/>
          <w:snapToGrid w:val="0"/>
          <w:color w:val="auto"/>
          <w:kern w:val="144"/>
          <w:sz w:val="28"/>
          <w:szCs w:val="28"/>
          <w:highlight w:val="none"/>
        </w:rPr>
        <w:t>所有资料</w:t>
      </w:r>
      <w:r>
        <w:rPr>
          <w:rFonts w:hint="eastAsia" w:ascii="仿宋_GB2312" w:hAnsi="仿宋_GB2312" w:eastAsia="仿宋_GB2312" w:cs="仿宋_GB2312"/>
          <w:b/>
          <w:bCs/>
          <w:snapToGrid w:val="0"/>
          <w:color w:val="auto"/>
          <w:kern w:val="144"/>
          <w:sz w:val="28"/>
          <w:szCs w:val="28"/>
          <w:highlight w:val="none"/>
        </w:rPr>
        <w:t>每页须加盖公章</w:t>
      </w:r>
      <w:r>
        <w:rPr>
          <w:rFonts w:hint="eastAsia" w:ascii="仿宋_GB2312" w:hAnsi="仿宋_GB2312" w:eastAsia="仿宋_GB2312" w:cs="仿宋_GB2312"/>
          <w:snapToGrid w:val="0"/>
          <w:color w:val="auto"/>
          <w:kern w:val="144"/>
          <w:sz w:val="28"/>
          <w:szCs w:val="28"/>
          <w:highlight w:val="none"/>
        </w:rPr>
        <w:t>。</w:t>
      </w:r>
    </w:p>
    <w:p w14:paraId="4CB2A29F">
      <w:pPr>
        <w:keepNext w:val="0"/>
        <w:keepLines w:val="0"/>
        <w:pageBreakBefore w:val="0"/>
        <w:widowControl w:val="0"/>
        <w:numPr>
          <w:ilvl w:val="-1"/>
          <w:numId w:val="0"/>
        </w:numPr>
        <w:kinsoku/>
        <w:wordWrap/>
        <w:overflowPunct/>
        <w:topLinePunct w:val="0"/>
        <w:autoSpaceDE/>
        <w:autoSpaceDN/>
        <w:bidi w:val="0"/>
        <w:adjustRightInd/>
        <w:snapToGrid w:val="0"/>
        <w:spacing w:line="540" w:lineRule="exact"/>
        <w:ind w:left="-5" w:firstLine="560" w:firstLineChars="200"/>
        <w:jc w:val="left"/>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lang w:val="en-US" w:eastAsia="zh-CN"/>
        </w:rPr>
        <w:t>3.</w:t>
      </w:r>
      <w:r>
        <w:rPr>
          <w:rFonts w:hint="eastAsia" w:ascii="仿宋_GB2312" w:hAnsi="仿宋_GB2312" w:eastAsia="仿宋_GB2312" w:cs="仿宋_GB2312"/>
          <w:snapToGrid w:val="0"/>
          <w:color w:val="auto"/>
          <w:kern w:val="144"/>
          <w:sz w:val="28"/>
          <w:szCs w:val="28"/>
          <w:highlight w:val="none"/>
        </w:rPr>
        <w:t>所有资料须</w:t>
      </w:r>
      <w:r>
        <w:rPr>
          <w:rFonts w:hint="eastAsia" w:ascii="仿宋_GB2312" w:hAnsi="仿宋_GB2312" w:eastAsia="仿宋_GB2312" w:cs="仿宋_GB2312"/>
          <w:b/>
          <w:bCs/>
          <w:snapToGrid w:val="0"/>
          <w:color w:val="auto"/>
          <w:kern w:val="144"/>
          <w:sz w:val="28"/>
          <w:szCs w:val="28"/>
          <w:highlight w:val="none"/>
        </w:rPr>
        <w:t>密封并加盖公章</w:t>
      </w:r>
      <w:r>
        <w:rPr>
          <w:rFonts w:hint="eastAsia" w:ascii="仿宋_GB2312" w:hAnsi="仿宋_GB2312" w:eastAsia="仿宋_GB2312" w:cs="仿宋_GB2312"/>
          <w:snapToGrid w:val="0"/>
          <w:color w:val="auto"/>
          <w:kern w:val="144"/>
          <w:sz w:val="28"/>
          <w:szCs w:val="28"/>
          <w:highlight w:val="none"/>
        </w:rPr>
        <w:t>。</w:t>
      </w:r>
    </w:p>
    <w:p w14:paraId="3FEEFBA7">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（四）携带完整资料到招采办报名登记好公司名称、业务代表姓名、联系电话及提供的产品项目。</w:t>
      </w:r>
    </w:p>
    <w:p w14:paraId="72B94F0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snapToGrid w:val="0"/>
          <w:color w:val="auto"/>
          <w:kern w:val="144"/>
          <w:sz w:val="28"/>
          <w:szCs w:val="28"/>
          <w:highlight w:val="none"/>
        </w:rPr>
      </w:pPr>
      <w:r>
        <w:rPr>
          <w:rFonts w:hint="eastAsia" w:ascii="仿宋_GB2312" w:hAnsi="仿宋_GB2312" w:eastAsia="仿宋_GB2312" w:cs="仿宋_GB2312"/>
          <w:snapToGrid w:val="0"/>
          <w:color w:val="auto"/>
          <w:kern w:val="144"/>
          <w:sz w:val="28"/>
          <w:szCs w:val="28"/>
          <w:highlight w:val="none"/>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4FEAC0D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color w:val="auto"/>
          <w:sz w:val="28"/>
          <w:szCs w:val="36"/>
          <w:highlight w:val="none"/>
        </w:rPr>
      </w:pPr>
      <w:r>
        <w:rPr>
          <w:rFonts w:hint="eastAsia" w:ascii="仿宋_GB2312" w:hAnsi="仿宋_GB2312" w:eastAsia="仿宋_GB2312" w:cs="仿宋_GB2312"/>
          <w:color w:val="auto"/>
          <w:sz w:val="28"/>
          <w:szCs w:val="36"/>
          <w:highlight w:val="none"/>
        </w:rPr>
        <w:t>（六）投标人的产品质量及服务承诺书不能严重低于招标文件中的服务要求标准</w:t>
      </w:r>
      <w:r>
        <w:rPr>
          <w:rFonts w:hint="eastAsia" w:ascii="仿宋_GB2312" w:hAnsi="仿宋_GB2312" w:eastAsia="仿宋_GB2312" w:cs="仿宋_GB2312"/>
          <w:color w:val="auto"/>
          <w:sz w:val="28"/>
          <w:szCs w:val="36"/>
          <w:highlight w:val="none"/>
          <w:lang w:val="en-US" w:eastAsia="zh-CN"/>
        </w:rPr>
        <w:t>作</w:t>
      </w:r>
      <w:r>
        <w:rPr>
          <w:rFonts w:hint="eastAsia" w:ascii="仿宋_GB2312" w:hAnsi="仿宋_GB2312" w:eastAsia="仿宋_GB2312" w:cs="仿宋_GB2312"/>
          <w:color w:val="auto"/>
          <w:sz w:val="28"/>
          <w:szCs w:val="36"/>
          <w:highlight w:val="none"/>
        </w:rPr>
        <w:t>出响应，允许出现负偏差，但不得出现严重负偏差。</w:t>
      </w:r>
    </w:p>
    <w:p w14:paraId="3CC6B66D">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36"/>
          <w:highlight w:val="none"/>
        </w:rPr>
        <w:t>（七）评审结束，中标结果公示</w:t>
      </w:r>
      <w:r>
        <w:rPr>
          <w:rFonts w:hint="eastAsia" w:ascii="仿宋_GB2312" w:hAnsi="仿宋_GB2312" w:eastAsia="仿宋_GB2312" w:cs="仿宋_GB2312"/>
          <w:b w:val="0"/>
          <w:bCs w:val="0"/>
          <w:color w:val="auto"/>
          <w:sz w:val="28"/>
          <w:szCs w:val="36"/>
          <w:highlight w:val="none"/>
        </w:rPr>
        <w:t>3天</w:t>
      </w:r>
      <w:r>
        <w:rPr>
          <w:rFonts w:hint="eastAsia" w:ascii="仿宋_GB2312" w:hAnsi="仿宋_GB2312" w:eastAsia="仿宋_GB2312" w:cs="仿宋_GB2312"/>
          <w:color w:val="auto"/>
          <w:sz w:val="28"/>
          <w:szCs w:val="36"/>
          <w:highlight w:val="none"/>
        </w:rPr>
        <w:t>，中标供应商须在收到我院中标通知书后</w:t>
      </w:r>
      <w:r>
        <w:rPr>
          <w:rFonts w:hint="eastAsia" w:ascii="仿宋_GB2312" w:hAnsi="仿宋_GB2312" w:eastAsia="仿宋_GB2312" w:cs="仿宋_GB2312"/>
          <w:b/>
          <w:bCs/>
          <w:color w:val="auto"/>
          <w:sz w:val="28"/>
          <w:szCs w:val="36"/>
          <w:highlight w:val="none"/>
        </w:rPr>
        <w:t>10个工作日内</w:t>
      </w:r>
      <w:r>
        <w:rPr>
          <w:rFonts w:hint="eastAsia" w:ascii="仿宋_GB2312" w:hAnsi="仿宋_GB2312" w:eastAsia="仿宋_GB2312" w:cs="仿宋_GB2312"/>
          <w:color w:val="auto"/>
          <w:sz w:val="28"/>
          <w:szCs w:val="36"/>
          <w:highlight w:val="none"/>
        </w:rPr>
        <w:t>到我院签署合同，超过</w:t>
      </w:r>
      <w:r>
        <w:rPr>
          <w:rFonts w:hint="eastAsia" w:ascii="仿宋_GB2312" w:hAnsi="仿宋_GB2312" w:eastAsia="仿宋_GB2312" w:cs="仿宋_GB2312"/>
          <w:b/>
          <w:bCs/>
          <w:color w:val="auto"/>
          <w:sz w:val="28"/>
          <w:szCs w:val="36"/>
          <w:highlight w:val="none"/>
        </w:rPr>
        <w:t>10个工作日</w:t>
      </w:r>
      <w:r>
        <w:rPr>
          <w:rFonts w:hint="eastAsia" w:ascii="仿宋_GB2312" w:hAnsi="仿宋_GB2312" w:eastAsia="仿宋_GB2312" w:cs="仿宋_GB2312"/>
          <w:color w:val="auto"/>
          <w:sz w:val="28"/>
          <w:szCs w:val="36"/>
          <w:highlight w:val="none"/>
        </w:rPr>
        <w:t>未前来</w:t>
      </w:r>
      <w:r>
        <w:rPr>
          <w:rFonts w:hint="eastAsia" w:ascii="仿宋_GB2312" w:hAnsi="仿宋_GB2312" w:eastAsia="仿宋_GB2312" w:cs="仿宋_GB2312"/>
          <w:color w:val="auto"/>
          <w:sz w:val="28"/>
          <w:szCs w:val="36"/>
          <w:highlight w:val="none"/>
          <w:lang w:eastAsia="zh-CN"/>
        </w:rPr>
        <w:t>签订</w:t>
      </w:r>
      <w:r>
        <w:rPr>
          <w:rFonts w:hint="eastAsia" w:ascii="仿宋_GB2312" w:hAnsi="仿宋_GB2312" w:eastAsia="仿宋_GB2312" w:cs="仿宋_GB2312"/>
          <w:color w:val="auto"/>
          <w:sz w:val="28"/>
          <w:szCs w:val="36"/>
          <w:highlight w:val="none"/>
        </w:rPr>
        <w:t>合同的，我院有权宣布本次采购结果作废，重新确定供应商。</w:t>
      </w:r>
    </w:p>
    <w:p w14:paraId="046B13D4">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三、招标文件的澄清</w:t>
      </w:r>
    </w:p>
    <w:p w14:paraId="353917C4">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1.投标人在收到招标文件后，可以对已发出的招标文件进行必要的澄清或者修改。澄清或者修改应当在原公告发布媒体上发布澄清（更正/变更）公告。</w:t>
      </w:r>
    </w:p>
    <w:p w14:paraId="0B39968A">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50E1F983">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3.采购人发出的澄清或修改（更正/变更）的内容为招标文件的组成部分，并对供应商具有约束力。</w:t>
      </w:r>
    </w:p>
    <w:p w14:paraId="624E1C86">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对招标文件中描述有歧义或前后不一致的地方，评标委员会有权进行评判，但对同一条款的评判应适用于每个投标人。</w:t>
      </w:r>
    </w:p>
    <w:p w14:paraId="42576314">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四、招标文件的补充和修正</w:t>
      </w:r>
    </w:p>
    <w:p w14:paraId="5B67D3EF">
      <w:pPr>
        <w:keepNext w:val="0"/>
        <w:keepLines w:val="0"/>
        <w:pageBreakBefore w:val="0"/>
        <w:widowControl w:val="0"/>
        <w:kinsoku/>
        <w:wordWrap/>
        <w:overflowPunct/>
        <w:topLinePunct w:val="0"/>
        <w:autoSpaceDE/>
        <w:autoSpaceDN/>
        <w:bidi w:val="0"/>
        <w:adjustRightInd/>
        <w:snapToGrid w:val="0"/>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采购人可以对已发出的招标文件进行必要的澄清或者修改。澄清或者修改应当在原公告发布媒体上发布澄清（更正/变更）公告。</w:t>
      </w:r>
    </w:p>
    <w:p w14:paraId="559D0A0B">
      <w:pPr>
        <w:pStyle w:val="3"/>
        <w:keepNext w:val="0"/>
        <w:keepLines w:val="0"/>
        <w:pageBreakBefore w:val="0"/>
        <w:widowControl w:val="0"/>
        <w:kinsoku/>
        <w:wordWrap/>
        <w:overflowPunct/>
        <w:topLinePunct w:val="0"/>
        <w:autoSpaceDE/>
        <w:autoSpaceDN/>
        <w:bidi w:val="0"/>
        <w:adjustRightInd/>
        <w:spacing w:line="54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ascii="仿宋" w:hAnsi="仿宋" w:eastAsia="仿宋" w:cs="仿宋"/>
          <w:color w:val="auto"/>
          <w:sz w:val="28"/>
          <w:szCs w:val="28"/>
          <w:highlight w:val="none"/>
        </w:rPr>
        <w:t>采购人对招标文件的补充和修正，将以电子文件等方式发给所有获得招标文件的供应商，补充通知作为招标文件的组成部分，对同意参与招标单位起约束作用。</w:t>
      </w:r>
    </w:p>
    <w:p w14:paraId="53FB6BA6">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五、投标文件有效期</w:t>
      </w:r>
    </w:p>
    <w:p w14:paraId="14C9FCE7">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1.</w:t>
      </w:r>
      <w:r>
        <w:rPr>
          <w:rFonts w:hint="eastAsia" w:ascii="仿宋" w:hAnsi="仿宋" w:eastAsia="仿宋" w:cs="仿宋"/>
          <w:color w:val="auto"/>
          <w:sz w:val="28"/>
          <w:szCs w:val="28"/>
          <w:highlight w:val="none"/>
        </w:rPr>
        <w:t>在递交投标文件截止日期之后的60天内有效。</w:t>
      </w:r>
    </w:p>
    <w:p w14:paraId="2D4E2AE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2.</w:t>
      </w:r>
      <w:r>
        <w:rPr>
          <w:rFonts w:hint="eastAsia" w:ascii="仿宋" w:hAnsi="仿宋" w:eastAsia="仿宋" w:cs="仿宋"/>
          <w:color w:val="auto"/>
          <w:sz w:val="28"/>
          <w:szCs w:val="28"/>
          <w:highlight w:val="none"/>
        </w:rPr>
        <w:t>在原定投标文件有效期满之前，如果出现特殊情况，招采办可以书面形式向投标人提出延长投标文件有效期的要求。</w:t>
      </w:r>
    </w:p>
    <w:p w14:paraId="54640CDE">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kern w:val="2"/>
          <w:sz w:val="28"/>
          <w:szCs w:val="28"/>
          <w:highlight w:val="none"/>
          <w:lang w:val="en-US" w:eastAsia="zh-CN" w:bidi="ar-SA"/>
        </w:rPr>
        <w:t>3.</w:t>
      </w:r>
      <w:r>
        <w:rPr>
          <w:rFonts w:hint="eastAsia" w:ascii="仿宋" w:hAnsi="仿宋" w:eastAsia="仿宋" w:cs="仿宋"/>
          <w:color w:val="auto"/>
          <w:sz w:val="28"/>
          <w:szCs w:val="28"/>
          <w:highlight w:val="none"/>
        </w:rPr>
        <w:t>质疑期限：凡对招标文件有任何质疑的（包括认为招标文件的技术指标或参数存在排他性或歧视性条款），请于开标之日前提出疑问，逾期不予处理。</w:t>
      </w:r>
    </w:p>
    <w:p w14:paraId="31024886">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420" w:firstLineChars="200"/>
        <w:textAlignment w:val="auto"/>
        <w:rPr>
          <w:rFonts w:hint="eastAsia" w:ascii="仿宋" w:hAnsi="仿宋" w:eastAsia="仿宋" w:cs="仿宋"/>
          <w:color w:val="auto"/>
          <w:sz w:val="28"/>
          <w:szCs w:val="28"/>
          <w:highlight w:val="none"/>
        </w:rPr>
      </w:pPr>
      <w:r>
        <w:rPr>
          <w:rFonts w:hint="eastAsia" w:cs="黑体"/>
          <w:color w:val="auto"/>
          <w:kern w:val="2"/>
          <w:sz w:val="21"/>
          <w:szCs w:val="24"/>
          <w:highlight w:val="none"/>
          <w:lang w:val="en-US" w:eastAsia="zh-CN" w:bidi="ar-SA"/>
        </w:rPr>
        <w:t>4.</w:t>
      </w:r>
      <w:r>
        <w:rPr>
          <w:rFonts w:hint="eastAsia" w:ascii="仿宋" w:hAnsi="仿宋" w:eastAsia="仿宋" w:cs="仿宋"/>
          <w:color w:val="auto"/>
          <w:sz w:val="28"/>
          <w:szCs w:val="28"/>
          <w:highlight w:val="none"/>
        </w:rPr>
        <w:t>招采办将</w:t>
      </w:r>
      <w:r>
        <w:rPr>
          <w:rFonts w:hint="eastAsia" w:ascii="仿宋" w:hAnsi="仿宋" w:eastAsia="仿宋" w:cs="仿宋"/>
          <w:color w:val="auto"/>
          <w:sz w:val="28"/>
          <w:szCs w:val="28"/>
          <w:highlight w:val="none"/>
          <w:lang w:val="en-US" w:eastAsia="zh-CN"/>
        </w:rPr>
        <w:t>作</w:t>
      </w:r>
      <w:r>
        <w:rPr>
          <w:rFonts w:hint="eastAsia" w:ascii="仿宋" w:hAnsi="仿宋" w:eastAsia="仿宋" w:cs="仿宋"/>
          <w:color w:val="auto"/>
          <w:sz w:val="28"/>
          <w:szCs w:val="28"/>
          <w:highlight w:val="none"/>
        </w:rPr>
        <w:t>出澄清和解答，逾期未提交质疑文件的视同无问题。</w:t>
      </w:r>
    </w:p>
    <w:p w14:paraId="007E6CE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0" w:leftChars="0" w:firstLine="560" w:firstLineChars="200"/>
        <w:textAlignment w:val="auto"/>
        <w:rPr>
          <w:rFonts w:hint="eastAsia" w:ascii="仿宋" w:hAnsi="仿宋" w:eastAsia="仿宋" w:cs="仿宋"/>
          <w:color w:val="auto"/>
          <w:sz w:val="28"/>
          <w:szCs w:val="28"/>
          <w:highlight w:val="none"/>
        </w:rPr>
      </w:pPr>
    </w:p>
    <w:p w14:paraId="152CC961">
      <w:pPr>
        <w:keepNext w:val="0"/>
        <w:keepLines w:val="0"/>
        <w:pageBreakBefore w:val="0"/>
        <w:widowControl w:val="0"/>
        <w:kinsoku/>
        <w:wordWrap/>
        <w:overflowPunct/>
        <w:topLinePunct w:val="0"/>
        <w:bidi w:val="0"/>
        <w:adjustRightInd/>
        <w:spacing w:line="500" w:lineRule="exact"/>
        <w:jc w:val="center"/>
        <w:textAlignment w:val="auto"/>
        <w:outlineLvl w:val="0"/>
        <w:rPr>
          <w:rFonts w:hint="eastAsia" w:ascii="宋体" w:hAnsi="宋体"/>
          <w:color w:val="auto"/>
          <w:sz w:val="24"/>
          <w:highlight w:val="none"/>
        </w:rPr>
      </w:pPr>
      <w:r>
        <w:rPr>
          <w:rFonts w:hint="eastAsia" w:asciiTheme="minorEastAsia" w:hAnsiTheme="minorEastAsia" w:eastAsiaTheme="minorEastAsia"/>
          <w:b/>
          <w:bCs/>
          <w:color w:val="auto"/>
          <w:sz w:val="44"/>
          <w:szCs w:val="44"/>
          <w:highlight w:val="none"/>
        </w:rPr>
        <w:t>特别警示条款</w:t>
      </w:r>
    </w:p>
    <w:p w14:paraId="299DA83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p>
    <w:p w14:paraId="316D8CA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一、《深圳经济特区政府采购条例》</w:t>
      </w:r>
    </w:p>
    <w:p w14:paraId="0D8AB53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3707F6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（一）在采购活动中应当回避而未回避的；</w:t>
      </w:r>
    </w:p>
    <w:p w14:paraId="4A2736A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（二）未按本条例规定签订、履行采购合同，造成严重后果的；</w:t>
      </w:r>
    </w:p>
    <w:p w14:paraId="553EE8E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（三）隐瞒真实情况，提供虚假资料的；</w:t>
      </w:r>
    </w:p>
    <w:p w14:paraId="58CC4EE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（四）以非法手段排斥其他供应商参与竞争的；</w:t>
      </w:r>
    </w:p>
    <w:p w14:paraId="166AC1EF">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（五）与其他采购参加人串通投标的；</w:t>
      </w:r>
    </w:p>
    <w:p w14:paraId="01ACA15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（六）恶意投诉的；</w:t>
      </w:r>
    </w:p>
    <w:p w14:paraId="75016F66">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（七）向采购项目相关人行贿或者提供其他不当利益的；</w:t>
      </w:r>
    </w:p>
    <w:p w14:paraId="69EB52C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（八）阻碍、抗拒主管部门监督检查的；</w:t>
      </w:r>
    </w:p>
    <w:p w14:paraId="71FAA31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rPr>
        <w:t>（九）其他违反本条例规定的行为。</w:t>
      </w:r>
    </w:p>
    <w:p w14:paraId="6BE20274">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二、《深圳经济特区政府采购条例实施细则》</w:t>
      </w:r>
    </w:p>
    <w:p w14:paraId="7B76699E">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第七十五条  供应商有下列情形的，属于采购条例所称的串通投标行为，按照采购条例第五十七条有关规定处理：</w:t>
      </w:r>
    </w:p>
    <w:p w14:paraId="203F63A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（一）投标供应商之间相互约定给予未中标的供应商利益补偿；</w:t>
      </w:r>
    </w:p>
    <w:p w14:paraId="7D1C18A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（二）不同投标供应商的法定代表人、主要经营负责人、项目投标授权代表人、项目负责人、主要技术人员为同一人、属于同一单位或者在同一单位缴纳社会保险；</w:t>
      </w:r>
    </w:p>
    <w:p w14:paraId="0CBC91F0">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（三）不同投标供应商的投标文件由同一单位或者同一人编制，或者由同一人分阶段参与编制的；</w:t>
      </w:r>
    </w:p>
    <w:p w14:paraId="597B09ED">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（四）不同投标供应商的投标文件或部分投标文件相互混装；</w:t>
      </w:r>
    </w:p>
    <w:p w14:paraId="2396A1D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（五）不同投标供应商的投标文件内容存在非正常一致；</w:t>
      </w:r>
    </w:p>
    <w:p w14:paraId="428388C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（六）由同一单位工作人员为两家以上（含两家）供应商进行同一项投标活动的；</w:t>
      </w:r>
    </w:p>
    <w:p w14:paraId="532B924B">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（七）主管部门依照法律法规认定的其他情形。</w:t>
      </w:r>
    </w:p>
    <w:p w14:paraId="16AF75C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第七十七条  供应商有下列情形之一的，属于隐瞒真实情况，提供虚假资料，按照采购条例第五十七条的有关规定处理：</w:t>
      </w:r>
    </w:p>
    <w:p w14:paraId="3846BED9">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（一）通过转让或者租借等方式从其他单位获取资格或者资质证书投标的；</w:t>
      </w:r>
    </w:p>
    <w:p w14:paraId="5B76728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（二）由其他单位或者其他单位负责人在投标供应商编制的投标文件上加盖印章或者签字的；</w:t>
      </w:r>
    </w:p>
    <w:p w14:paraId="5C68ECCC">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（三）项目负责人或者主要技术人员不是本单位人员的；</w:t>
      </w:r>
    </w:p>
    <w:p w14:paraId="368E043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（四）投标保证金不是从投标供应商基本账户转出的；</w:t>
      </w:r>
    </w:p>
    <w:p w14:paraId="442B3003">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（五）其他隐瞒真实情况、提供虚假资料的行为。</w:t>
      </w:r>
    </w:p>
    <w:p w14:paraId="3AB942A8">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投标供应商不能提供项目负责人或者主要技术人员的劳动合同、社会保险等劳动关系证明材料的，视为存在前款第（三）项规定的情形。</w:t>
      </w:r>
    </w:p>
    <w:p w14:paraId="0D630BEA">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三、《中华人民共和国政府采购法实施条例》</w:t>
      </w:r>
    </w:p>
    <w:p w14:paraId="352A2907">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第十八条  单位负责人为同一人或者存在直接控股、管理关系的不同供应商，不得参加同一合同项下的政府采购活动。</w:t>
      </w:r>
    </w:p>
    <w:p w14:paraId="20B89842">
      <w:pPr>
        <w:keepNext w:val="0"/>
        <w:keepLines w:val="0"/>
        <w:pageBreakBefore w:val="0"/>
        <w:widowControl w:val="0"/>
        <w:kinsoku/>
        <w:wordWrap/>
        <w:overflowPunct/>
        <w:topLinePunct w:val="0"/>
        <w:bidi w:val="0"/>
        <w:adjustRightInd/>
        <w:snapToGrid w:val="0"/>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除单一来源采购项目外，为采购项目提供整体设计、规范编制或者项目管理、监理、检测等服务的供应商，不得再参加该采购项目的其他采购活动。</w:t>
      </w:r>
    </w:p>
    <w:p w14:paraId="0320D312">
      <w:pPr>
        <w:keepNext w:val="0"/>
        <w:keepLines w:val="0"/>
        <w:pageBreakBefore w:val="0"/>
        <w:widowControl w:val="0"/>
        <w:kinsoku/>
        <w:wordWrap/>
        <w:overflowPunct/>
        <w:topLinePunct w:val="0"/>
        <w:autoSpaceDE w:val="0"/>
        <w:autoSpaceDN w:val="0"/>
        <w:bidi w:val="0"/>
        <w:adjustRightInd/>
        <w:spacing w:line="500" w:lineRule="exact"/>
        <w:ind w:firstLine="498" w:firstLineChars="177"/>
        <w:textAlignment w:val="auto"/>
        <w:rPr>
          <w:rFonts w:hint="eastAsia" w:ascii="仿宋_GB2312" w:eastAsia="仿宋_GB2312" w:hAnsiTheme="minorEastAsia"/>
          <w:b/>
          <w:color w:val="auto"/>
          <w:sz w:val="28"/>
          <w:highlight w:val="none"/>
        </w:rPr>
      </w:pPr>
      <w:r>
        <w:rPr>
          <w:rFonts w:hint="eastAsia" w:ascii="仿宋_GB2312" w:eastAsia="仿宋_GB2312" w:hAnsiTheme="minorEastAsia"/>
          <w:b/>
          <w:color w:val="auto"/>
          <w:sz w:val="28"/>
          <w:szCs w:val="28"/>
          <w:highlight w:val="none"/>
        </w:rPr>
        <w:t>投标供应商涉嫌存在串通投标等违法行为的，将书面报告财政主管部门依法处理。</w:t>
      </w:r>
    </w:p>
    <w:p w14:paraId="6318A08A">
      <w:pPr>
        <w:keepNext w:val="0"/>
        <w:keepLines w:val="0"/>
        <w:pageBreakBefore w:val="0"/>
        <w:widowControl w:val="0"/>
        <w:kinsoku/>
        <w:wordWrap/>
        <w:overflowPunct/>
        <w:topLinePunct w:val="0"/>
        <w:bidi w:val="0"/>
        <w:spacing w:line="560" w:lineRule="exact"/>
        <w:jc w:val="center"/>
        <w:textAlignment w:val="auto"/>
        <w:rPr>
          <w:rFonts w:hint="eastAsia" w:ascii="仿宋_GB2312" w:hAnsi="仿宋_GB2312" w:eastAsia="仿宋_GB2312" w:cs="仿宋_GB2312"/>
          <w:b/>
          <w:bCs/>
          <w:color w:val="auto"/>
          <w:sz w:val="36"/>
          <w:szCs w:val="36"/>
          <w:highlight w:val="none"/>
        </w:rPr>
      </w:pPr>
    </w:p>
    <w:p w14:paraId="4BA13B10">
      <w:pPr>
        <w:keepNext w:val="0"/>
        <w:keepLines w:val="0"/>
        <w:pageBreakBefore w:val="0"/>
        <w:widowControl w:val="0"/>
        <w:kinsoku/>
        <w:wordWrap/>
        <w:overflowPunct/>
        <w:topLinePunct w:val="0"/>
        <w:bidi w:val="0"/>
        <w:spacing w:line="560" w:lineRule="exact"/>
        <w:jc w:val="center"/>
        <w:textAlignment w:val="auto"/>
        <w:rPr>
          <w:rFonts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投标文件初审表</w:t>
      </w:r>
    </w:p>
    <w:p w14:paraId="7E2B8EB0">
      <w:pPr>
        <w:keepNext w:val="0"/>
        <w:keepLines w:val="0"/>
        <w:pageBreakBefore w:val="0"/>
        <w:widowControl w:val="0"/>
        <w:kinsoku/>
        <w:wordWrap/>
        <w:overflowPunct/>
        <w:topLinePunct w:val="0"/>
        <w:bidi w:val="0"/>
        <w:spacing w:line="560" w:lineRule="exact"/>
        <w:jc w:val="center"/>
        <w:textAlignment w:val="auto"/>
        <w:rPr>
          <w:rFonts w:asciiTheme="majorEastAsia" w:hAnsiTheme="majorEastAsia" w:eastAsiaTheme="majorEastAsia"/>
          <w:color w:val="auto"/>
          <w:sz w:val="30"/>
          <w:szCs w:val="30"/>
          <w:highlight w:val="none"/>
        </w:rPr>
      </w:pPr>
      <w:r>
        <w:rPr>
          <w:rFonts w:hint="eastAsia" w:ascii="仿宋" w:hAnsi="仿宋" w:eastAsia="仿宋" w:cs="仿宋"/>
          <w:b/>
          <w:color w:val="auto"/>
          <w:sz w:val="22"/>
          <w:szCs w:val="28"/>
          <w:highlight w:val="none"/>
        </w:rPr>
        <w:t>（凡未满足下列情形的，投标文件无效，投标作废标处理）</w:t>
      </w:r>
    </w:p>
    <w:p w14:paraId="28D961A4">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14:paraId="3F22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42C2D22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cs="宋体"/>
                <w:b/>
                <w:color w:val="auto"/>
                <w:highlight w:val="none"/>
              </w:rPr>
              <w:t>序号</w:t>
            </w:r>
          </w:p>
        </w:tc>
        <w:tc>
          <w:tcPr>
            <w:tcW w:w="7634" w:type="dxa"/>
            <w:vAlign w:val="center"/>
          </w:tcPr>
          <w:p w14:paraId="70D4D82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cs="宋体"/>
                <w:b/>
                <w:color w:val="auto"/>
                <w:highlight w:val="none"/>
              </w:rPr>
            </w:pPr>
            <w:r>
              <w:rPr>
                <w:rFonts w:hint="eastAsia" w:ascii="宋体" w:hAnsi="宋体" w:cs="宋体"/>
                <w:b/>
                <w:color w:val="auto"/>
                <w:highlight w:val="none"/>
              </w:rPr>
              <w:t>评 审 内 容</w:t>
            </w:r>
          </w:p>
        </w:tc>
        <w:tc>
          <w:tcPr>
            <w:tcW w:w="1573" w:type="dxa"/>
            <w:vAlign w:val="center"/>
          </w:tcPr>
          <w:p w14:paraId="5767B8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301FB8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52C4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0429E7DA">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0D1FAA6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具备招标文件中规定要求的资格，且资格证明文件齐全</w:t>
            </w:r>
            <w:r>
              <w:rPr>
                <w:rFonts w:hint="eastAsia" w:ascii="宋体" w:hAnsi="宋体" w:cs="宋体"/>
                <w:color w:val="auto"/>
                <w:sz w:val="22"/>
                <w:szCs w:val="22"/>
                <w:highlight w:val="none"/>
                <w:lang w:eastAsia="zh-CN"/>
              </w:rPr>
              <w:t>。</w:t>
            </w:r>
          </w:p>
        </w:tc>
        <w:tc>
          <w:tcPr>
            <w:tcW w:w="1573" w:type="dxa"/>
            <w:vAlign w:val="center"/>
          </w:tcPr>
          <w:p w14:paraId="1E7378B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062C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476A7C8A">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52C2240C">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投标及履约承诺函已提交并符合招标文件要求的</w:t>
            </w:r>
            <w:r>
              <w:rPr>
                <w:rFonts w:hint="eastAsia" w:ascii="宋体" w:hAnsi="宋体" w:cs="宋体"/>
                <w:color w:val="auto"/>
                <w:sz w:val="22"/>
                <w:szCs w:val="22"/>
                <w:highlight w:val="none"/>
                <w:lang w:eastAsia="zh-CN"/>
              </w:rPr>
              <w:t>。</w:t>
            </w:r>
          </w:p>
        </w:tc>
        <w:tc>
          <w:tcPr>
            <w:tcW w:w="1573" w:type="dxa"/>
            <w:vAlign w:val="center"/>
          </w:tcPr>
          <w:p w14:paraId="463F1C5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13CF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AB3427D">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72EE47EB">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供应商基本情况表已提交，提供法定代表人、主要经营负责人、项目投标授权代表人、项目负责人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最近一个月的社会保险证明。</w:t>
            </w:r>
          </w:p>
          <w:p w14:paraId="3780D6B2">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备注：</w:t>
            </w:r>
          </w:p>
          <w:p w14:paraId="60118831">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1.法定代表人、主要经营负责人、项目投标授权代表人的社会保险未由投标人单位缴纳，亦须提供相应单位为其缴纳的社会保险证明。</w:t>
            </w:r>
          </w:p>
          <w:p w14:paraId="43AE823F">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2.项目负责人和主要技术人员的社会保险须由投标人单位缴纳。</w:t>
            </w:r>
          </w:p>
          <w:p w14:paraId="5B9A87EA">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3.投标人为新成立企业且成立时间不足一个月可提供加盖投标人公章的情况说明或者证明材料亦视为符合。</w:t>
            </w:r>
          </w:p>
          <w:p w14:paraId="1807444B">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4.若为退休人员，提供退休证明。如依法不需要缴纳社会保险的，应提供相应文件证明。</w:t>
            </w:r>
          </w:p>
          <w:p w14:paraId="7BB94917">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5.若因社保部门原因无法提供的，需提供劳动合同及社保部门官方通知证明</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或官网公告截图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w:t>
            </w:r>
          </w:p>
          <w:p w14:paraId="141F32A0">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6.如本项目未安排项目负责人、主要技术人员的，无需提供项目负责人、主要技术人员的社保。</w:t>
            </w:r>
          </w:p>
        </w:tc>
        <w:tc>
          <w:tcPr>
            <w:tcW w:w="1573" w:type="dxa"/>
            <w:vAlign w:val="center"/>
          </w:tcPr>
          <w:p w14:paraId="52AED7F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r w14:paraId="68DD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0948AD1B">
            <w:pPr>
              <w:keepNext w:val="0"/>
              <w:keepLines w:val="0"/>
              <w:pageBreakBefore w:val="0"/>
              <w:widowControl w:val="0"/>
              <w:numPr>
                <w:ilvl w:val="0"/>
                <w:numId w:val="3"/>
              </w:numPr>
              <w:tabs>
                <w:tab w:val="left" w:pos="176"/>
                <w:tab w:val="left" w:pos="612"/>
              </w:tabs>
              <w:kinsoku/>
              <w:wordWrap/>
              <w:overflowPunct/>
              <w:topLinePunct w:val="0"/>
              <w:autoSpaceDE/>
              <w:autoSpaceDN/>
              <w:bidi w:val="0"/>
              <w:adjustRightInd/>
              <w:snapToGrid/>
              <w:spacing w:line="240" w:lineRule="atLeast"/>
              <w:ind w:left="342"/>
              <w:jc w:val="center"/>
              <w:textAlignment w:val="auto"/>
              <w:rPr>
                <w:rFonts w:ascii="宋体" w:hAnsi="宋体" w:cs="宋体"/>
                <w:color w:val="auto"/>
                <w:highlight w:val="none"/>
              </w:rPr>
            </w:pPr>
          </w:p>
        </w:tc>
        <w:tc>
          <w:tcPr>
            <w:tcW w:w="7634" w:type="dxa"/>
            <w:vAlign w:val="center"/>
          </w:tcPr>
          <w:p w14:paraId="0040A2D8">
            <w:pPr>
              <w:keepNext w:val="0"/>
              <w:keepLines w:val="0"/>
              <w:pageBreakBefore w:val="0"/>
              <w:widowControl w:val="0"/>
              <w:kinsoku/>
              <w:wordWrap/>
              <w:overflowPunct/>
              <w:topLinePunct w:val="0"/>
              <w:autoSpaceDE/>
              <w:autoSpaceDN/>
              <w:bidi w:val="0"/>
              <w:adjustRightInd/>
              <w:snapToGrid/>
              <w:spacing w:line="240" w:lineRule="atLeast"/>
              <w:textAlignment w:val="auto"/>
              <w:rPr>
                <w:rFonts w:ascii="宋体" w:hAnsi="宋体" w:cs="宋体"/>
                <w:color w:val="auto"/>
                <w:sz w:val="22"/>
                <w:szCs w:val="22"/>
                <w:highlight w:val="none"/>
              </w:rPr>
            </w:pPr>
            <w:r>
              <w:rPr>
                <w:rFonts w:hint="eastAsia" w:ascii="宋体" w:hAnsi="宋体" w:cs="宋体"/>
                <w:color w:val="auto"/>
                <w:sz w:val="22"/>
                <w:szCs w:val="22"/>
                <w:highlight w:val="none"/>
              </w:rPr>
              <w:t>不同供应商的法定代表人、主要经营负责人、项目投标授权代表人、项目负责人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、主要技术人员</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如有</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不存在为同一人或在同一单位缴纳社会保险；或者不存在直接控股、管理关系；不存在因违法行为而被禁止参加政府采购活动等情形。</w:t>
            </w:r>
          </w:p>
        </w:tc>
        <w:tc>
          <w:tcPr>
            <w:tcW w:w="1573" w:type="dxa"/>
            <w:vAlign w:val="center"/>
          </w:tcPr>
          <w:p w14:paraId="55479D2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p>
        </w:tc>
      </w:tr>
    </w:tbl>
    <w:p w14:paraId="7C4E2042">
      <w:pPr>
        <w:pStyle w:val="3"/>
        <w:spacing w:line="240" w:lineRule="atLeast"/>
        <w:rPr>
          <w:color w:val="auto"/>
          <w:highlight w:val="none"/>
        </w:rPr>
      </w:pPr>
    </w:p>
    <w:p w14:paraId="4F8997E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3B7DE67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4332902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0AA7696D">
      <w:pPr>
        <w:rPr>
          <w:color w:val="auto"/>
          <w:highlight w:val="none"/>
        </w:rPr>
      </w:pPr>
    </w:p>
    <w:p w14:paraId="5FE43AEF">
      <w:pPr>
        <w:rPr>
          <w:color w:val="auto"/>
          <w:highlight w:val="none"/>
        </w:rPr>
      </w:pPr>
    </w:p>
    <w:p w14:paraId="50570B5C">
      <w:pPr>
        <w:rPr>
          <w:color w:val="auto"/>
          <w:highlight w:val="none"/>
        </w:rPr>
      </w:pPr>
    </w:p>
    <w:p w14:paraId="651464A6">
      <w:pPr>
        <w:rPr>
          <w:color w:val="auto"/>
          <w:highlight w:val="none"/>
        </w:rPr>
      </w:pPr>
    </w:p>
    <w:p w14:paraId="5C2FCEA6">
      <w:pPr>
        <w:rPr>
          <w:color w:val="auto"/>
          <w:highlight w:val="none"/>
        </w:rPr>
      </w:pPr>
    </w:p>
    <w:p w14:paraId="326F695A">
      <w:pPr>
        <w:rPr>
          <w:color w:val="auto"/>
          <w:highlight w:val="none"/>
        </w:rPr>
      </w:pPr>
    </w:p>
    <w:p w14:paraId="2808CA10">
      <w:pPr>
        <w:pStyle w:val="3"/>
        <w:keepNext w:val="0"/>
        <w:keepLines w:val="0"/>
        <w:pageBreakBefore w:val="0"/>
        <w:widowControl w:val="0"/>
        <w:kinsoku/>
        <w:wordWrap/>
        <w:overflowPunct/>
        <w:topLinePunct w:val="0"/>
        <w:bidi w:val="0"/>
        <w:spacing w:line="56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650"/>
        <w:gridCol w:w="1613"/>
      </w:tblGrid>
      <w:tr w14:paraId="5BA9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10" w:type="dxa"/>
            <w:noWrap/>
            <w:vAlign w:val="center"/>
          </w:tcPr>
          <w:p w14:paraId="36BA9E6D">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序号</w:t>
            </w:r>
          </w:p>
        </w:tc>
        <w:tc>
          <w:tcPr>
            <w:tcW w:w="7650" w:type="dxa"/>
            <w:noWrap/>
            <w:vAlign w:val="center"/>
          </w:tcPr>
          <w:p w14:paraId="442406A7">
            <w:pPr>
              <w:keepNext w:val="0"/>
              <w:keepLines w:val="0"/>
              <w:pageBreakBefore w:val="0"/>
              <w:widowControl w:val="0"/>
              <w:kinsoku/>
              <w:wordWrap/>
              <w:overflowPunct/>
              <w:topLinePunct w:val="0"/>
              <w:bidi w:val="0"/>
              <w:spacing w:line="240" w:lineRule="atLeast"/>
              <w:jc w:val="left"/>
              <w:textAlignment w:val="auto"/>
              <w:rPr>
                <w:rFonts w:ascii="宋体" w:hAnsi="宋体" w:cs="宋体"/>
                <w:b/>
                <w:color w:val="auto"/>
                <w:highlight w:val="none"/>
              </w:rPr>
            </w:pPr>
            <w:r>
              <w:rPr>
                <w:rFonts w:hint="eastAsia" w:ascii="宋体" w:hAnsi="宋体" w:cs="宋体"/>
                <w:b/>
                <w:color w:val="auto"/>
                <w:highlight w:val="none"/>
              </w:rPr>
              <w:t>评审内容</w:t>
            </w:r>
          </w:p>
        </w:tc>
        <w:tc>
          <w:tcPr>
            <w:tcW w:w="1613" w:type="dxa"/>
            <w:noWrap/>
            <w:vAlign w:val="center"/>
          </w:tcPr>
          <w:p w14:paraId="3B0AE34F">
            <w:pPr>
              <w:keepNext w:val="0"/>
              <w:keepLines w:val="0"/>
              <w:pageBreakBefore w:val="0"/>
              <w:widowControl w:val="0"/>
              <w:kinsoku/>
              <w:wordWrap/>
              <w:overflowPunct/>
              <w:topLinePunct w:val="0"/>
              <w:bidi w:val="0"/>
              <w:spacing w:line="240" w:lineRule="atLeast"/>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自查情况</w:t>
            </w:r>
          </w:p>
          <w:p w14:paraId="2546101C">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
                <w:color w:val="auto"/>
                <w:highlight w:val="none"/>
              </w:rPr>
            </w:pPr>
            <w:r>
              <w:rPr>
                <w:rFonts w:hint="eastAsia" w:ascii="宋体" w:hAnsi="宋体"/>
                <w:color w:val="auto"/>
                <w:szCs w:val="21"/>
                <w:highlight w:val="none"/>
                <w:lang w:eastAsia="zh-CN"/>
              </w:rPr>
              <w:t>（填写“</w:t>
            </w:r>
            <w:r>
              <w:rPr>
                <w:rFonts w:hint="eastAsia" w:ascii="宋体" w:hAnsi="宋体"/>
                <w:color w:val="auto"/>
                <w:szCs w:val="21"/>
                <w:highlight w:val="none"/>
                <w:lang w:val="en-US" w:eastAsia="zh-CN"/>
              </w:rPr>
              <w:t>满足</w:t>
            </w:r>
            <w:r>
              <w:rPr>
                <w:rFonts w:hint="eastAsia" w:ascii="宋体" w:hAnsi="宋体"/>
                <w:color w:val="auto"/>
                <w:szCs w:val="21"/>
                <w:highlight w:val="none"/>
                <w:lang w:eastAsia="zh-CN"/>
              </w:rPr>
              <w:t>”或“</w:t>
            </w:r>
            <w:r>
              <w:rPr>
                <w:rFonts w:hint="eastAsia" w:ascii="宋体" w:hAnsi="宋体"/>
                <w:color w:val="auto"/>
                <w:szCs w:val="21"/>
                <w:highlight w:val="none"/>
                <w:lang w:val="en-US" w:eastAsia="zh-CN"/>
              </w:rPr>
              <w:t>不满足</w:t>
            </w:r>
            <w:r>
              <w:rPr>
                <w:rFonts w:hint="eastAsia" w:ascii="宋体" w:hAnsi="宋体"/>
                <w:color w:val="auto"/>
                <w:szCs w:val="21"/>
                <w:highlight w:val="none"/>
                <w:lang w:eastAsia="zh-CN"/>
              </w:rPr>
              <w:t>”）</w:t>
            </w:r>
          </w:p>
        </w:tc>
      </w:tr>
      <w:tr w14:paraId="728D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0" w:type="dxa"/>
            <w:noWrap/>
            <w:vAlign w:val="center"/>
          </w:tcPr>
          <w:p w14:paraId="2DCC6406">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7650" w:type="dxa"/>
            <w:noWrap/>
            <w:vAlign w:val="center"/>
          </w:tcPr>
          <w:p w14:paraId="0969C902">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color w:val="auto"/>
                <w:highlight w:val="none"/>
              </w:rPr>
              <w:t>未</w:t>
            </w:r>
            <w:r>
              <w:rPr>
                <w:rFonts w:hint="eastAsia" w:ascii="宋体" w:hAnsi="宋体" w:cs="宋体"/>
                <w:bCs/>
                <w:color w:val="auto"/>
                <w:sz w:val="22"/>
                <w:szCs w:val="22"/>
                <w:highlight w:val="none"/>
              </w:rPr>
              <w:t>将一个包中的内容拆开投标。</w:t>
            </w:r>
          </w:p>
        </w:tc>
        <w:tc>
          <w:tcPr>
            <w:tcW w:w="1613" w:type="dxa"/>
            <w:noWrap/>
            <w:vAlign w:val="center"/>
          </w:tcPr>
          <w:p w14:paraId="593108CC">
            <w:pPr>
              <w:keepNext w:val="0"/>
              <w:keepLines w:val="0"/>
              <w:pageBreakBefore w:val="0"/>
              <w:widowControl w:val="0"/>
              <w:kinsoku/>
              <w:wordWrap/>
              <w:overflowPunct/>
              <w:topLinePunct w:val="0"/>
              <w:bidi w:val="0"/>
              <w:spacing w:line="240" w:lineRule="atLeast"/>
              <w:jc w:val="left"/>
              <w:textAlignment w:val="auto"/>
              <w:rPr>
                <w:rFonts w:hint="eastAsia"/>
                <w:color w:val="auto"/>
                <w:highlight w:val="none"/>
              </w:rPr>
            </w:pPr>
          </w:p>
        </w:tc>
      </w:tr>
      <w:tr w14:paraId="2039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10" w:type="dxa"/>
            <w:noWrap/>
            <w:vAlign w:val="center"/>
          </w:tcPr>
          <w:p w14:paraId="54ADB7A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7650" w:type="dxa"/>
            <w:noWrap/>
            <w:vAlign w:val="center"/>
          </w:tcPr>
          <w:p w14:paraId="1701AF1B">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招标文件未规定允许有替代方案时，对同一货物投标时，</w:t>
            </w:r>
            <w:r>
              <w:rPr>
                <w:rFonts w:hint="eastAsia"/>
                <w:color w:val="auto"/>
                <w:highlight w:val="none"/>
              </w:rPr>
              <w:t>未</w:t>
            </w:r>
            <w:r>
              <w:rPr>
                <w:rFonts w:hint="eastAsia" w:ascii="宋体" w:hAnsi="宋体" w:cs="宋体"/>
                <w:bCs/>
                <w:color w:val="auto"/>
                <w:sz w:val="22"/>
                <w:szCs w:val="22"/>
                <w:highlight w:val="none"/>
              </w:rPr>
              <w:t>同时提供两套或两套以上的投标方案。</w:t>
            </w:r>
          </w:p>
        </w:tc>
        <w:tc>
          <w:tcPr>
            <w:tcW w:w="1613" w:type="dxa"/>
            <w:noWrap/>
            <w:vAlign w:val="center"/>
          </w:tcPr>
          <w:p w14:paraId="345E56B7">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75FF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10" w:type="dxa"/>
            <w:noWrap/>
            <w:vAlign w:val="center"/>
          </w:tcPr>
          <w:p w14:paraId="592B5401">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7650" w:type="dxa"/>
            <w:noWrap/>
            <w:vAlign w:val="center"/>
          </w:tcPr>
          <w:p w14:paraId="33717855">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color w:val="auto"/>
                <w:szCs w:val="21"/>
                <w:highlight w:val="none"/>
              </w:rPr>
              <w:t>投标报价按照招标文件要求进行报价，</w:t>
            </w:r>
            <w:r>
              <w:rPr>
                <w:rFonts w:hint="eastAsia" w:ascii="宋体" w:hAnsi="宋体" w:cs="宋体"/>
                <w:bCs/>
                <w:color w:val="auto"/>
                <w:sz w:val="22"/>
                <w:szCs w:val="22"/>
                <w:highlight w:val="none"/>
              </w:rPr>
              <w:t>投标总价或分项报价</w:t>
            </w:r>
            <w:r>
              <w:rPr>
                <w:rFonts w:hint="eastAsia"/>
                <w:color w:val="auto"/>
                <w:highlight w:val="none"/>
              </w:rPr>
              <w:t>未</w:t>
            </w:r>
            <w:r>
              <w:rPr>
                <w:rFonts w:hint="eastAsia" w:ascii="宋体" w:hAnsi="宋体" w:cs="宋体"/>
                <w:bCs/>
                <w:color w:val="auto"/>
                <w:sz w:val="22"/>
                <w:szCs w:val="22"/>
                <w:highlight w:val="none"/>
              </w:rPr>
              <w:t>高于项目预算限额。</w:t>
            </w:r>
          </w:p>
        </w:tc>
        <w:tc>
          <w:tcPr>
            <w:tcW w:w="1613" w:type="dxa"/>
            <w:noWrap/>
            <w:vAlign w:val="center"/>
          </w:tcPr>
          <w:p w14:paraId="0B531DC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color w:val="auto"/>
                <w:szCs w:val="21"/>
                <w:highlight w:val="none"/>
              </w:rPr>
            </w:pPr>
          </w:p>
        </w:tc>
      </w:tr>
      <w:tr w14:paraId="32CC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10" w:type="dxa"/>
            <w:noWrap/>
            <w:vAlign w:val="center"/>
          </w:tcPr>
          <w:p w14:paraId="2A3940EB">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7650" w:type="dxa"/>
            <w:noWrap/>
            <w:vAlign w:val="center"/>
          </w:tcPr>
          <w:p w14:paraId="72646345">
            <w:pPr>
              <w:keepNext w:val="0"/>
              <w:keepLines w:val="0"/>
              <w:pageBreakBefore w:val="0"/>
              <w:widowControl w:val="0"/>
              <w:kinsoku/>
              <w:wordWrap/>
              <w:overflowPunct/>
              <w:topLinePunct w:val="0"/>
              <w:bidi w:val="0"/>
              <w:spacing w:line="240" w:lineRule="atLeast"/>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color w:val="auto"/>
                <w:szCs w:val="21"/>
                <w:highlight w:val="none"/>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r>
              <w:rPr>
                <w:rFonts w:hint="eastAsia" w:ascii="宋体" w:hAnsi="宋体" w:eastAsia="宋体" w:cs="宋体"/>
                <w:color w:val="auto"/>
                <w:szCs w:val="21"/>
                <w:highlight w:val="none"/>
                <w:lang w:eastAsia="zh-CN"/>
              </w:rPr>
              <w:t>。</w:t>
            </w:r>
          </w:p>
        </w:tc>
        <w:tc>
          <w:tcPr>
            <w:tcW w:w="1613" w:type="dxa"/>
            <w:noWrap/>
            <w:vAlign w:val="center"/>
          </w:tcPr>
          <w:p w14:paraId="1ECB0010">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EFE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10" w:type="dxa"/>
            <w:noWrap/>
            <w:vAlign w:val="center"/>
          </w:tcPr>
          <w:p w14:paraId="469FC8B3">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7650" w:type="dxa"/>
            <w:noWrap/>
            <w:vAlign w:val="center"/>
          </w:tcPr>
          <w:p w14:paraId="5661CA1F">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613" w:type="dxa"/>
            <w:noWrap/>
            <w:vAlign w:val="center"/>
          </w:tcPr>
          <w:p w14:paraId="1A5C84F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77EF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10" w:type="dxa"/>
            <w:noWrap/>
            <w:vAlign w:val="center"/>
          </w:tcPr>
          <w:p w14:paraId="1E8B47B0">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7650" w:type="dxa"/>
            <w:noWrap/>
            <w:vAlign w:val="center"/>
          </w:tcPr>
          <w:p w14:paraId="7136D7B8">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投标报价无缺漏项目或未对采购文件规定的服务清单项目及数量进行修改。</w:t>
            </w:r>
          </w:p>
        </w:tc>
        <w:tc>
          <w:tcPr>
            <w:tcW w:w="1613" w:type="dxa"/>
            <w:noWrap/>
            <w:vAlign w:val="center"/>
          </w:tcPr>
          <w:p w14:paraId="58375425">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683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10" w:type="dxa"/>
            <w:noWrap/>
            <w:vAlign w:val="center"/>
          </w:tcPr>
          <w:p w14:paraId="43B7B06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7650" w:type="dxa"/>
            <w:noWrap/>
            <w:vAlign w:val="center"/>
          </w:tcPr>
          <w:p w14:paraId="4E2F3406">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所投产品、工程、服务在质量、技术、方案等方面实质性满足采购文件要求，本项目实质性条款以标注“★”条款为准（是否实质性满足招标文件要求，由评审委员会根据《实质性条款响应情况表》作出评判）。</w:t>
            </w:r>
          </w:p>
        </w:tc>
        <w:tc>
          <w:tcPr>
            <w:tcW w:w="1613" w:type="dxa"/>
            <w:noWrap/>
            <w:vAlign w:val="center"/>
          </w:tcPr>
          <w:p w14:paraId="55E7EC18">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200F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0" w:type="dxa"/>
            <w:noWrap/>
            <w:vAlign w:val="center"/>
          </w:tcPr>
          <w:p w14:paraId="1DBEAC93">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7650" w:type="dxa"/>
            <w:noWrap/>
            <w:vAlign w:val="center"/>
          </w:tcPr>
          <w:p w14:paraId="3BC7C487">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w:t>
            </w:r>
            <w:r>
              <w:rPr>
                <w:rFonts w:hint="eastAsia" w:ascii="宋体" w:hAnsi="宋体" w:cs="宋体"/>
                <w:bCs/>
                <w:color w:val="auto"/>
                <w:sz w:val="22"/>
                <w:szCs w:val="22"/>
                <w:highlight w:val="none"/>
                <w:lang w:bidi="ar"/>
              </w:rPr>
              <w:t>法定代表人授权书</w:t>
            </w:r>
            <w:r>
              <w:rPr>
                <w:rFonts w:hint="eastAsia" w:ascii="宋体" w:hAnsi="宋体" w:cs="宋体"/>
                <w:bCs/>
                <w:color w:val="auto"/>
                <w:sz w:val="22"/>
                <w:szCs w:val="22"/>
                <w:highlight w:val="none"/>
              </w:rPr>
              <w:t>”或“分项报价表”。</w:t>
            </w:r>
          </w:p>
        </w:tc>
        <w:tc>
          <w:tcPr>
            <w:tcW w:w="1613" w:type="dxa"/>
            <w:noWrap/>
            <w:vAlign w:val="center"/>
          </w:tcPr>
          <w:p w14:paraId="0993EA15">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05E7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10" w:type="dxa"/>
            <w:noWrap/>
            <w:vAlign w:val="center"/>
          </w:tcPr>
          <w:p w14:paraId="2EE2EF2A">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7650" w:type="dxa"/>
            <w:noWrap/>
            <w:vAlign w:val="center"/>
          </w:tcPr>
          <w:p w14:paraId="7F5AF416">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与其他投标供应商的投标文件未存在异常雷同现象的。</w:t>
            </w:r>
          </w:p>
        </w:tc>
        <w:tc>
          <w:tcPr>
            <w:tcW w:w="1613" w:type="dxa"/>
            <w:noWrap/>
            <w:vAlign w:val="center"/>
          </w:tcPr>
          <w:p w14:paraId="499286D3">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1D6C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10" w:type="dxa"/>
            <w:noWrap/>
            <w:vAlign w:val="center"/>
          </w:tcPr>
          <w:p w14:paraId="6DE4BB37">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7650" w:type="dxa"/>
            <w:noWrap/>
            <w:vAlign w:val="center"/>
          </w:tcPr>
          <w:p w14:paraId="2262C81C">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未存在招标文件规定的其他投标无效情形。</w:t>
            </w:r>
          </w:p>
        </w:tc>
        <w:tc>
          <w:tcPr>
            <w:tcW w:w="1613" w:type="dxa"/>
            <w:noWrap/>
            <w:vAlign w:val="center"/>
          </w:tcPr>
          <w:p w14:paraId="2B483D4F">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r w14:paraId="5697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10" w:type="dxa"/>
            <w:noWrap/>
            <w:vAlign w:val="center"/>
          </w:tcPr>
          <w:p w14:paraId="220A91B8">
            <w:pPr>
              <w:keepNext w:val="0"/>
              <w:keepLines w:val="0"/>
              <w:pageBreakBefore w:val="0"/>
              <w:widowControl w:val="0"/>
              <w:kinsoku/>
              <w:wordWrap/>
              <w:overflowPunct/>
              <w:topLinePunct w:val="0"/>
              <w:bidi w:val="0"/>
              <w:spacing w:line="240" w:lineRule="atLeast"/>
              <w:jc w:val="left"/>
              <w:textAlignment w:val="auto"/>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7650" w:type="dxa"/>
            <w:noWrap/>
            <w:vAlign w:val="center"/>
          </w:tcPr>
          <w:p w14:paraId="5ECBDE4F">
            <w:pPr>
              <w:keepNext w:val="0"/>
              <w:keepLines w:val="0"/>
              <w:pageBreakBefore w:val="0"/>
              <w:widowControl w:val="0"/>
              <w:kinsoku/>
              <w:wordWrap/>
              <w:overflowPunct/>
              <w:topLinePunct w:val="0"/>
              <w:bidi w:val="0"/>
              <w:spacing w:line="240" w:lineRule="atLeast"/>
              <w:jc w:val="left"/>
              <w:textAlignment w:val="auto"/>
              <w:rPr>
                <w:rFonts w:ascii="宋体" w:hAnsi="宋体" w:cs="宋体"/>
                <w:bCs/>
                <w:color w:val="auto"/>
                <w:sz w:val="22"/>
                <w:szCs w:val="22"/>
                <w:highlight w:val="none"/>
              </w:rPr>
            </w:pPr>
            <w:r>
              <w:rPr>
                <w:rFonts w:hint="eastAsia" w:ascii="宋体" w:hAnsi="宋体" w:cs="宋体"/>
                <w:bCs/>
                <w:color w:val="auto"/>
                <w:sz w:val="22"/>
                <w:szCs w:val="22"/>
                <w:highlight w:val="none"/>
              </w:rPr>
              <w:t>法律、法规规定的其他情形。</w:t>
            </w:r>
          </w:p>
        </w:tc>
        <w:tc>
          <w:tcPr>
            <w:tcW w:w="1613" w:type="dxa"/>
            <w:noWrap/>
            <w:vAlign w:val="center"/>
          </w:tcPr>
          <w:p w14:paraId="55A1EAAB">
            <w:pPr>
              <w:keepNext w:val="0"/>
              <w:keepLines w:val="0"/>
              <w:pageBreakBefore w:val="0"/>
              <w:widowControl w:val="0"/>
              <w:kinsoku/>
              <w:wordWrap/>
              <w:overflowPunct/>
              <w:topLinePunct w:val="0"/>
              <w:bidi w:val="0"/>
              <w:spacing w:line="240" w:lineRule="atLeast"/>
              <w:jc w:val="left"/>
              <w:textAlignment w:val="auto"/>
              <w:rPr>
                <w:rFonts w:hint="eastAsia" w:ascii="宋体" w:hAnsi="宋体" w:cs="宋体"/>
                <w:bCs/>
                <w:color w:val="auto"/>
                <w:sz w:val="22"/>
                <w:szCs w:val="22"/>
                <w:highlight w:val="none"/>
              </w:rPr>
            </w:pPr>
          </w:p>
        </w:tc>
      </w:tr>
    </w:tbl>
    <w:p w14:paraId="7D435C6C">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highlight w:val="none"/>
        </w:rPr>
      </w:pPr>
    </w:p>
    <w:p w14:paraId="7DF5753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投标人（公章）：</w:t>
      </w:r>
    </w:p>
    <w:p w14:paraId="0BE18D0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法定代表人或其授权代表签名：</w:t>
      </w:r>
    </w:p>
    <w:p w14:paraId="475CF43C">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14A013E3">
      <w:pPr>
        <w:keepNext w:val="0"/>
        <w:keepLines w:val="0"/>
        <w:pageBreakBefore w:val="0"/>
        <w:widowControl w:val="0"/>
        <w:kinsoku/>
        <w:wordWrap/>
        <w:overflowPunct/>
        <w:topLinePunct w:val="0"/>
        <w:bidi w:val="0"/>
        <w:spacing w:line="240" w:lineRule="atLeast"/>
        <w:jc w:val="both"/>
        <w:textAlignment w:val="auto"/>
        <w:rPr>
          <w:rFonts w:hint="eastAsia" w:ascii="宋体" w:hAnsi="宋体" w:cs="宋体"/>
          <w:color w:val="auto"/>
          <w:sz w:val="22"/>
          <w:szCs w:val="22"/>
          <w:highlight w:val="none"/>
        </w:rPr>
      </w:pPr>
    </w:p>
    <w:p w14:paraId="671CA94F">
      <w:pPr>
        <w:keepNext w:val="0"/>
        <w:keepLines w:val="0"/>
        <w:pageBreakBefore w:val="0"/>
        <w:widowControl w:val="0"/>
        <w:kinsoku/>
        <w:wordWrap/>
        <w:overflowPunct/>
        <w:topLinePunct w:val="0"/>
        <w:bidi w:val="0"/>
        <w:spacing w:line="240" w:lineRule="atLeast"/>
        <w:jc w:val="both"/>
        <w:textAlignment w:val="auto"/>
        <w:rPr>
          <w:rFonts w:hint="eastAsia" w:ascii="宋体" w:hAnsi="宋体" w:eastAsia="宋体" w:cs="宋体"/>
          <w:b/>
          <w:bCs/>
          <w:color w:val="auto"/>
          <w:sz w:val="40"/>
          <w:szCs w:val="40"/>
          <w:highlight w:val="none"/>
          <w:lang w:eastAsia="zh-CN"/>
        </w:rPr>
      </w:pPr>
      <w:r>
        <w:rPr>
          <w:rFonts w:hint="eastAsia" w:ascii="宋体" w:hAnsi="宋体" w:cs="宋体"/>
          <w:color w:val="auto"/>
          <w:highlight w:val="none"/>
        </w:rPr>
        <w:t>说明：</w:t>
      </w:r>
      <w:r>
        <w:rPr>
          <w:rFonts w:hint="eastAsia" w:ascii="宋体" w:hAnsi="宋体"/>
          <w:color w:val="auto"/>
          <w:highlight w:val="none"/>
        </w:rPr>
        <w:t>投标人必须严格按照《资格性审查表》《符合性检查表》的评审内容的要求如实提供材料</w:t>
      </w:r>
      <w:r>
        <w:rPr>
          <w:rFonts w:hint="eastAsia" w:ascii="宋体" w:hAnsi="宋体"/>
          <w:bCs/>
          <w:color w:val="auto"/>
          <w:highlight w:val="none"/>
        </w:rPr>
        <w:t>并应加盖投标人公章</w:t>
      </w:r>
      <w:r>
        <w:rPr>
          <w:rFonts w:hint="eastAsia" w:ascii="宋体" w:hAnsi="宋体"/>
          <w:bCs/>
          <w:color w:val="auto"/>
          <w:highlight w:val="none"/>
          <w:lang w:eastAsia="zh-CN"/>
        </w:rPr>
        <w:t>，</w:t>
      </w:r>
      <w:r>
        <w:rPr>
          <w:rFonts w:hint="eastAsia" w:ascii="宋体" w:hAnsi="宋体"/>
          <w:color w:val="auto"/>
          <w:highlight w:val="none"/>
        </w:rPr>
        <w:t>对缺漏或不符合项将直接导致无效投标</w:t>
      </w:r>
      <w:r>
        <w:rPr>
          <w:rFonts w:hint="eastAsia" w:ascii="宋体" w:cs="宋体"/>
          <w:color w:val="auto"/>
          <w:szCs w:val="21"/>
          <w:highlight w:val="none"/>
        </w:rPr>
        <w:t>。</w:t>
      </w:r>
    </w:p>
    <w:p w14:paraId="23AC3E05">
      <w:pPr>
        <w:pStyle w:val="3"/>
        <w:spacing w:line="400" w:lineRule="exact"/>
        <w:jc w:val="center"/>
        <w:rPr>
          <w:rFonts w:ascii="宋体" w:hAnsi="宋体" w:cs="宋体"/>
          <w:b/>
          <w:bCs/>
          <w:color w:val="auto"/>
          <w:sz w:val="32"/>
          <w:szCs w:val="32"/>
          <w:highlight w:val="none"/>
        </w:rPr>
      </w:pPr>
      <w:r>
        <w:rPr>
          <w:rFonts w:hint="eastAsia" w:ascii="宋体" w:hAnsi="宋体" w:cs="宋体"/>
          <w:b/>
          <w:bCs/>
          <w:color w:val="auto"/>
          <w:sz w:val="28"/>
          <w:szCs w:val="28"/>
          <w:highlight w:val="none"/>
        </w:rPr>
        <w:t>（三）供应商自查表</w:t>
      </w:r>
    </w:p>
    <w:p w14:paraId="3C2A7304">
      <w:pPr>
        <w:spacing w:before="157" w:line="198" w:lineRule="auto"/>
        <w:ind w:left="126" w:right="-21" w:rightChars="-10"/>
        <w:jc w:val="center"/>
        <w:rPr>
          <w:color w:val="auto"/>
          <w:highlight w:val="none"/>
        </w:rPr>
      </w:pPr>
      <w:r>
        <w:rPr>
          <w:rFonts w:hint="eastAsia" w:ascii="宋体" w:hAnsi="宋体" w:cs="宋体"/>
          <w:color w:val="auto"/>
          <w:szCs w:val="21"/>
          <w:highlight w:val="none"/>
        </w:rPr>
        <w:t xml:space="preserve">填表单位：（加盖单位公章）       </w:t>
      </w:r>
      <w:r>
        <w:rPr>
          <w:rFonts w:hint="eastAsia" w:ascii="宋体" w:hAnsi="宋体" w:cs="宋体"/>
          <w:color w:val="auto"/>
          <w:spacing w:val="4"/>
          <w:szCs w:val="21"/>
          <w:highlight w:val="none"/>
        </w:rPr>
        <w:t xml:space="preserve">             </w:t>
      </w:r>
      <w:r>
        <w:rPr>
          <w:rFonts w:hint="eastAsia" w:ascii="宋体" w:hAnsi="宋体" w:cs="宋体"/>
          <w:color w:val="auto"/>
          <w:szCs w:val="21"/>
          <w:highlight w:val="none"/>
        </w:rPr>
        <w:t>填表日期：</w:t>
      </w:r>
      <w:r>
        <w:rPr>
          <w:rFonts w:hint="eastAsia" w:ascii="宋体" w:hAnsi="宋体" w:cs="宋体"/>
          <w:color w:val="auto"/>
          <w:spacing w:val="13"/>
          <w:szCs w:val="21"/>
          <w:highlight w:val="none"/>
        </w:rPr>
        <w:t xml:space="preserve">   </w:t>
      </w:r>
      <w:r>
        <w:rPr>
          <w:rFonts w:hint="eastAsia" w:ascii="宋体" w:hAnsi="宋体" w:cs="宋体"/>
          <w:color w:val="auto"/>
          <w:szCs w:val="21"/>
          <w:highlight w:val="none"/>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5985"/>
        <w:gridCol w:w="2820"/>
        <w:gridCol w:w="780"/>
      </w:tblGrid>
      <w:tr w14:paraId="2FDD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47EB362B">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5985" w:type="dxa"/>
            <w:vAlign w:val="center"/>
          </w:tcPr>
          <w:p w14:paraId="2B2FFDD6">
            <w:pPr>
              <w:spacing w:line="360" w:lineRule="exact"/>
              <w:jc w:val="center"/>
              <w:rPr>
                <w:rFonts w:ascii="宋体" w:hAnsi="宋体"/>
                <w:color w:val="auto"/>
                <w:szCs w:val="21"/>
                <w:highlight w:val="none"/>
              </w:rPr>
            </w:pPr>
            <w:r>
              <w:rPr>
                <w:rFonts w:hint="eastAsia" w:ascii="宋体" w:hAnsi="宋体"/>
                <w:color w:val="auto"/>
                <w:szCs w:val="21"/>
                <w:highlight w:val="none"/>
              </w:rPr>
              <w:t>是否存在以下投标违规行为</w:t>
            </w:r>
          </w:p>
        </w:tc>
        <w:tc>
          <w:tcPr>
            <w:tcW w:w="2820" w:type="dxa"/>
            <w:vAlign w:val="center"/>
          </w:tcPr>
          <w:p w14:paraId="1DB6FA3A">
            <w:pPr>
              <w:spacing w:line="360" w:lineRule="exact"/>
              <w:jc w:val="center"/>
              <w:rPr>
                <w:rFonts w:ascii="宋体" w:hAnsi="宋体"/>
                <w:color w:val="auto"/>
                <w:szCs w:val="21"/>
                <w:highlight w:val="none"/>
              </w:rPr>
            </w:pPr>
            <w:r>
              <w:rPr>
                <w:rFonts w:hint="eastAsia" w:ascii="宋体" w:hAnsi="宋体"/>
                <w:color w:val="auto"/>
                <w:szCs w:val="21"/>
                <w:highlight w:val="none"/>
              </w:rPr>
              <w:t>自查情况</w:t>
            </w:r>
          </w:p>
          <w:p w14:paraId="1068FF42">
            <w:pPr>
              <w:spacing w:line="360" w:lineRule="exact"/>
              <w:jc w:val="center"/>
              <w:rPr>
                <w:rFonts w:ascii="宋体" w:hAnsi="宋体"/>
                <w:color w:val="auto"/>
                <w:szCs w:val="21"/>
                <w:highlight w:val="none"/>
              </w:rPr>
            </w:pPr>
            <w:r>
              <w:rPr>
                <w:rFonts w:hint="eastAsia" w:ascii="宋体" w:hAnsi="宋体"/>
                <w:color w:val="auto"/>
                <w:szCs w:val="21"/>
                <w:highlight w:val="none"/>
              </w:rPr>
              <w:t>（填写“不存在”或“存在”）</w:t>
            </w:r>
          </w:p>
        </w:tc>
        <w:tc>
          <w:tcPr>
            <w:tcW w:w="780" w:type="dxa"/>
            <w:vAlign w:val="center"/>
          </w:tcPr>
          <w:p w14:paraId="17762158">
            <w:pPr>
              <w:spacing w:line="360" w:lineRule="exact"/>
              <w:jc w:val="center"/>
              <w:rPr>
                <w:rFonts w:ascii="宋体" w:hAnsi="宋体"/>
                <w:color w:val="auto"/>
                <w:szCs w:val="21"/>
                <w:highlight w:val="none"/>
              </w:rPr>
            </w:pPr>
            <w:r>
              <w:rPr>
                <w:rFonts w:hint="eastAsia" w:ascii="宋体" w:hAnsi="宋体"/>
                <w:color w:val="auto"/>
                <w:szCs w:val="21"/>
                <w:highlight w:val="none"/>
              </w:rPr>
              <w:t>备注</w:t>
            </w:r>
          </w:p>
        </w:tc>
      </w:tr>
      <w:tr w14:paraId="5D03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6238789D">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5985" w:type="dxa"/>
            <w:vAlign w:val="center"/>
          </w:tcPr>
          <w:p w14:paraId="1B99F25A">
            <w:pPr>
              <w:jc w:val="left"/>
              <w:rPr>
                <w:rFonts w:ascii="宋体" w:hAnsi="宋体" w:cs="宋体"/>
                <w:color w:val="auto"/>
                <w:highlight w:val="none"/>
              </w:rPr>
            </w:pPr>
            <w:r>
              <w:rPr>
                <w:rFonts w:hint="eastAsia" w:ascii="宋体" w:hAnsi="宋体" w:cs="宋体"/>
                <w:bCs/>
                <w:color w:val="auto"/>
                <w:szCs w:val="21"/>
                <w:highlight w:val="none"/>
              </w:rPr>
              <w:t>投标供应商之间相互约定给予未中标的供应商利益补偿。</w:t>
            </w:r>
          </w:p>
        </w:tc>
        <w:tc>
          <w:tcPr>
            <w:tcW w:w="2820" w:type="dxa"/>
            <w:vAlign w:val="center"/>
          </w:tcPr>
          <w:p w14:paraId="1E6FA48C">
            <w:pPr>
              <w:spacing w:line="360" w:lineRule="exact"/>
              <w:jc w:val="center"/>
              <w:rPr>
                <w:rFonts w:ascii="宋体" w:hAnsi="宋体"/>
                <w:b/>
                <w:color w:val="auto"/>
                <w:szCs w:val="21"/>
                <w:highlight w:val="none"/>
              </w:rPr>
            </w:pPr>
          </w:p>
        </w:tc>
        <w:tc>
          <w:tcPr>
            <w:tcW w:w="780" w:type="dxa"/>
            <w:vAlign w:val="center"/>
          </w:tcPr>
          <w:p w14:paraId="5CEB09D8">
            <w:pPr>
              <w:spacing w:line="360" w:lineRule="exact"/>
              <w:jc w:val="center"/>
              <w:rPr>
                <w:rFonts w:ascii="宋体" w:hAnsi="宋体"/>
                <w:b/>
                <w:color w:val="auto"/>
                <w:szCs w:val="21"/>
                <w:highlight w:val="none"/>
              </w:rPr>
            </w:pPr>
          </w:p>
        </w:tc>
      </w:tr>
      <w:tr w14:paraId="28EC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2393CEF7">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5985" w:type="dxa"/>
            <w:vAlign w:val="center"/>
          </w:tcPr>
          <w:p w14:paraId="40041521">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不同投标供应商的法定代表人、主要经营负责人、项目投标授权代表人、项目负责人、主要技术人员为同一人、属于同一单位或者在同一单位缴纳社会保险。</w:t>
            </w:r>
          </w:p>
        </w:tc>
        <w:tc>
          <w:tcPr>
            <w:tcW w:w="2820" w:type="dxa"/>
            <w:vAlign w:val="center"/>
          </w:tcPr>
          <w:p w14:paraId="7DF2D6C3">
            <w:pPr>
              <w:spacing w:line="360" w:lineRule="exact"/>
              <w:jc w:val="center"/>
              <w:rPr>
                <w:rFonts w:ascii="宋体" w:hAnsi="宋体"/>
                <w:b/>
                <w:color w:val="auto"/>
                <w:szCs w:val="21"/>
                <w:highlight w:val="none"/>
              </w:rPr>
            </w:pPr>
          </w:p>
        </w:tc>
        <w:tc>
          <w:tcPr>
            <w:tcW w:w="780" w:type="dxa"/>
            <w:vAlign w:val="center"/>
          </w:tcPr>
          <w:p w14:paraId="16AEC8B9">
            <w:pPr>
              <w:spacing w:line="360" w:lineRule="exact"/>
              <w:jc w:val="center"/>
              <w:rPr>
                <w:rFonts w:ascii="宋体" w:hAnsi="宋体"/>
                <w:b/>
                <w:color w:val="auto"/>
                <w:szCs w:val="21"/>
                <w:highlight w:val="none"/>
              </w:rPr>
            </w:pPr>
          </w:p>
        </w:tc>
      </w:tr>
      <w:tr w14:paraId="7888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0D9F5B6D">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5985" w:type="dxa"/>
            <w:vAlign w:val="center"/>
          </w:tcPr>
          <w:p w14:paraId="64622DAC">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不同投标供应商的投标文件由同一单位或者同一人编制，或者由同一人分阶段参与编制的。</w:t>
            </w:r>
          </w:p>
        </w:tc>
        <w:tc>
          <w:tcPr>
            <w:tcW w:w="2820" w:type="dxa"/>
            <w:vAlign w:val="center"/>
          </w:tcPr>
          <w:p w14:paraId="544944BE">
            <w:pPr>
              <w:spacing w:line="360" w:lineRule="exact"/>
              <w:jc w:val="center"/>
              <w:rPr>
                <w:rFonts w:ascii="宋体" w:hAnsi="宋体"/>
                <w:b/>
                <w:color w:val="auto"/>
                <w:szCs w:val="21"/>
                <w:highlight w:val="none"/>
              </w:rPr>
            </w:pPr>
          </w:p>
        </w:tc>
        <w:tc>
          <w:tcPr>
            <w:tcW w:w="780" w:type="dxa"/>
            <w:vAlign w:val="center"/>
          </w:tcPr>
          <w:p w14:paraId="1FA04A84">
            <w:pPr>
              <w:spacing w:line="360" w:lineRule="exact"/>
              <w:jc w:val="center"/>
              <w:rPr>
                <w:rFonts w:ascii="宋体" w:hAnsi="宋体"/>
                <w:b/>
                <w:color w:val="auto"/>
                <w:szCs w:val="21"/>
                <w:highlight w:val="none"/>
              </w:rPr>
            </w:pPr>
          </w:p>
        </w:tc>
      </w:tr>
      <w:tr w14:paraId="0806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00D5ACD9">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5985" w:type="dxa"/>
            <w:vAlign w:val="center"/>
          </w:tcPr>
          <w:p w14:paraId="76F292D6">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不同投标供应商的投标文件或部分投标文件相互混装。</w:t>
            </w:r>
          </w:p>
        </w:tc>
        <w:tc>
          <w:tcPr>
            <w:tcW w:w="2820" w:type="dxa"/>
            <w:vAlign w:val="center"/>
          </w:tcPr>
          <w:p w14:paraId="0B0DF960">
            <w:pPr>
              <w:spacing w:line="360" w:lineRule="exact"/>
              <w:jc w:val="center"/>
              <w:rPr>
                <w:rFonts w:ascii="宋体" w:hAnsi="宋体"/>
                <w:b/>
                <w:color w:val="auto"/>
                <w:szCs w:val="21"/>
                <w:highlight w:val="none"/>
              </w:rPr>
            </w:pPr>
          </w:p>
        </w:tc>
        <w:tc>
          <w:tcPr>
            <w:tcW w:w="780" w:type="dxa"/>
            <w:vAlign w:val="center"/>
          </w:tcPr>
          <w:p w14:paraId="4B250FE2">
            <w:pPr>
              <w:spacing w:line="360" w:lineRule="exact"/>
              <w:jc w:val="center"/>
              <w:rPr>
                <w:rFonts w:ascii="宋体" w:hAnsi="宋体"/>
                <w:b/>
                <w:color w:val="auto"/>
                <w:szCs w:val="21"/>
                <w:highlight w:val="none"/>
              </w:rPr>
            </w:pPr>
          </w:p>
        </w:tc>
      </w:tr>
      <w:tr w14:paraId="1018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6B34817A">
            <w:pPr>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5985" w:type="dxa"/>
            <w:vAlign w:val="center"/>
          </w:tcPr>
          <w:p w14:paraId="67EA2F4B">
            <w:pPr>
              <w:jc w:val="left"/>
              <w:rPr>
                <w:rFonts w:ascii="宋体" w:hAnsi="宋体" w:cs="宋体"/>
                <w:snapToGrid w:val="0"/>
                <w:color w:val="auto"/>
                <w:kern w:val="0"/>
                <w:szCs w:val="21"/>
                <w:highlight w:val="none"/>
              </w:rPr>
            </w:pPr>
            <w:r>
              <w:rPr>
                <w:color w:val="auto"/>
                <w:szCs w:val="21"/>
                <w:highlight w:val="none"/>
              </w:rPr>
              <w:t>不同投标供应商的投标文件内容存在非正常一致。</w:t>
            </w:r>
          </w:p>
        </w:tc>
        <w:tc>
          <w:tcPr>
            <w:tcW w:w="2820" w:type="dxa"/>
            <w:vAlign w:val="center"/>
          </w:tcPr>
          <w:p w14:paraId="1A469079">
            <w:pPr>
              <w:spacing w:line="360" w:lineRule="exact"/>
              <w:jc w:val="center"/>
              <w:rPr>
                <w:rFonts w:ascii="宋体" w:hAnsi="宋体"/>
                <w:b/>
                <w:color w:val="auto"/>
                <w:szCs w:val="21"/>
                <w:highlight w:val="none"/>
              </w:rPr>
            </w:pPr>
          </w:p>
        </w:tc>
        <w:tc>
          <w:tcPr>
            <w:tcW w:w="780" w:type="dxa"/>
            <w:vAlign w:val="center"/>
          </w:tcPr>
          <w:p w14:paraId="6882EA95">
            <w:pPr>
              <w:spacing w:line="360" w:lineRule="exact"/>
              <w:jc w:val="center"/>
              <w:rPr>
                <w:rFonts w:ascii="宋体" w:hAnsi="宋体"/>
                <w:b/>
                <w:color w:val="auto"/>
                <w:szCs w:val="21"/>
                <w:highlight w:val="none"/>
              </w:rPr>
            </w:pPr>
          </w:p>
        </w:tc>
      </w:tr>
      <w:tr w14:paraId="370F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3AED62A9">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5985" w:type="dxa"/>
            <w:vAlign w:val="center"/>
          </w:tcPr>
          <w:p w14:paraId="5E449536">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由同一单位工作人员为两家以上（含两家）供应商进行同一项投标活动。</w:t>
            </w:r>
          </w:p>
        </w:tc>
        <w:tc>
          <w:tcPr>
            <w:tcW w:w="2820" w:type="dxa"/>
            <w:vAlign w:val="center"/>
          </w:tcPr>
          <w:p w14:paraId="7B362242">
            <w:pPr>
              <w:spacing w:line="360" w:lineRule="exact"/>
              <w:jc w:val="center"/>
              <w:rPr>
                <w:rFonts w:ascii="宋体" w:hAnsi="宋体"/>
                <w:b/>
                <w:color w:val="auto"/>
                <w:szCs w:val="21"/>
                <w:highlight w:val="none"/>
              </w:rPr>
            </w:pPr>
          </w:p>
        </w:tc>
        <w:tc>
          <w:tcPr>
            <w:tcW w:w="780" w:type="dxa"/>
            <w:vAlign w:val="center"/>
          </w:tcPr>
          <w:p w14:paraId="12487D41">
            <w:pPr>
              <w:spacing w:line="360" w:lineRule="exact"/>
              <w:jc w:val="center"/>
              <w:rPr>
                <w:rFonts w:ascii="宋体" w:hAnsi="宋体"/>
                <w:b/>
                <w:color w:val="auto"/>
                <w:szCs w:val="21"/>
                <w:highlight w:val="none"/>
              </w:rPr>
            </w:pPr>
          </w:p>
        </w:tc>
      </w:tr>
      <w:tr w14:paraId="088C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288C1574">
            <w:pPr>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5985" w:type="dxa"/>
            <w:vAlign w:val="center"/>
          </w:tcPr>
          <w:p w14:paraId="2435A140">
            <w:pPr>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不同投标人的投标文件载明的项目管理成员或者联系人员为同一人。</w:t>
            </w:r>
          </w:p>
        </w:tc>
        <w:tc>
          <w:tcPr>
            <w:tcW w:w="2820" w:type="dxa"/>
            <w:vAlign w:val="center"/>
          </w:tcPr>
          <w:p w14:paraId="70196BA1">
            <w:pPr>
              <w:spacing w:line="360" w:lineRule="exact"/>
              <w:jc w:val="center"/>
              <w:rPr>
                <w:rFonts w:ascii="宋体" w:hAnsi="宋体"/>
                <w:b/>
                <w:color w:val="auto"/>
                <w:szCs w:val="21"/>
                <w:highlight w:val="none"/>
              </w:rPr>
            </w:pPr>
          </w:p>
        </w:tc>
        <w:tc>
          <w:tcPr>
            <w:tcW w:w="780" w:type="dxa"/>
            <w:vAlign w:val="center"/>
          </w:tcPr>
          <w:p w14:paraId="601D11BB">
            <w:pPr>
              <w:spacing w:line="360" w:lineRule="exact"/>
              <w:jc w:val="center"/>
              <w:rPr>
                <w:rFonts w:ascii="宋体" w:hAnsi="宋体"/>
                <w:b/>
                <w:color w:val="auto"/>
                <w:szCs w:val="21"/>
                <w:highlight w:val="none"/>
              </w:rPr>
            </w:pPr>
          </w:p>
        </w:tc>
      </w:tr>
      <w:tr w14:paraId="63FD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73C7F939">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5985" w:type="dxa"/>
            <w:vAlign w:val="center"/>
          </w:tcPr>
          <w:p w14:paraId="523642C4">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不同投标人的投标报价呈规律性差异。</w:t>
            </w:r>
          </w:p>
        </w:tc>
        <w:tc>
          <w:tcPr>
            <w:tcW w:w="2820" w:type="dxa"/>
            <w:vAlign w:val="center"/>
          </w:tcPr>
          <w:p w14:paraId="2CB7972B">
            <w:pPr>
              <w:spacing w:line="360" w:lineRule="exact"/>
              <w:jc w:val="center"/>
              <w:rPr>
                <w:rFonts w:ascii="宋体" w:hAnsi="宋体"/>
                <w:b/>
                <w:color w:val="auto"/>
                <w:szCs w:val="21"/>
                <w:highlight w:val="none"/>
              </w:rPr>
            </w:pPr>
          </w:p>
        </w:tc>
        <w:tc>
          <w:tcPr>
            <w:tcW w:w="780" w:type="dxa"/>
            <w:vAlign w:val="center"/>
          </w:tcPr>
          <w:p w14:paraId="03799389">
            <w:pPr>
              <w:spacing w:line="360" w:lineRule="exact"/>
              <w:jc w:val="center"/>
              <w:rPr>
                <w:rFonts w:ascii="宋体" w:hAnsi="宋体"/>
                <w:b/>
                <w:color w:val="auto"/>
                <w:szCs w:val="21"/>
                <w:highlight w:val="none"/>
              </w:rPr>
            </w:pPr>
          </w:p>
        </w:tc>
      </w:tr>
      <w:tr w14:paraId="723D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663C4FAD">
            <w:pPr>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5985" w:type="dxa"/>
            <w:vAlign w:val="center"/>
          </w:tcPr>
          <w:p w14:paraId="3FCBA61C">
            <w:pPr>
              <w:jc w:val="left"/>
              <w:rPr>
                <w:rFonts w:ascii="宋体" w:hAnsi="宋体" w:cs="宋体"/>
                <w:snapToGrid w:val="0"/>
                <w:color w:val="auto"/>
                <w:kern w:val="0"/>
                <w:szCs w:val="21"/>
                <w:highlight w:val="none"/>
              </w:rPr>
            </w:pPr>
            <w:r>
              <w:rPr>
                <w:rFonts w:hint="eastAsia" w:ascii="宋体" w:hAnsi="宋体" w:cs="宋体"/>
                <w:color w:val="auto"/>
                <w:highlight w:val="none"/>
              </w:rPr>
              <w:t>不同投标人的投标保证金从同一单位或者个人的账户转出。</w:t>
            </w:r>
          </w:p>
        </w:tc>
        <w:tc>
          <w:tcPr>
            <w:tcW w:w="2820" w:type="dxa"/>
            <w:vAlign w:val="center"/>
          </w:tcPr>
          <w:p w14:paraId="606ED066">
            <w:pPr>
              <w:spacing w:line="360" w:lineRule="exact"/>
              <w:jc w:val="center"/>
              <w:rPr>
                <w:rFonts w:ascii="宋体" w:hAnsi="宋体"/>
                <w:b/>
                <w:color w:val="auto"/>
                <w:szCs w:val="21"/>
                <w:highlight w:val="none"/>
              </w:rPr>
            </w:pPr>
          </w:p>
        </w:tc>
        <w:tc>
          <w:tcPr>
            <w:tcW w:w="780" w:type="dxa"/>
            <w:vAlign w:val="center"/>
          </w:tcPr>
          <w:p w14:paraId="1FE2BA0F">
            <w:pPr>
              <w:spacing w:line="360" w:lineRule="exact"/>
              <w:jc w:val="center"/>
              <w:rPr>
                <w:rFonts w:ascii="宋体" w:hAnsi="宋体"/>
                <w:b/>
                <w:color w:val="auto"/>
                <w:szCs w:val="21"/>
                <w:highlight w:val="none"/>
              </w:rPr>
            </w:pPr>
          </w:p>
        </w:tc>
      </w:tr>
      <w:tr w14:paraId="76C7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4AA9B81">
            <w:pPr>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5985" w:type="dxa"/>
            <w:vAlign w:val="center"/>
          </w:tcPr>
          <w:p w14:paraId="411A8455">
            <w:pPr>
              <w:jc w:val="left"/>
              <w:rPr>
                <w:rFonts w:ascii="宋体" w:hAnsi="宋体" w:cs="宋体"/>
                <w:color w:val="auto"/>
                <w:szCs w:val="21"/>
                <w:highlight w:val="none"/>
              </w:rPr>
            </w:pPr>
            <w:r>
              <w:rPr>
                <w:rFonts w:hint="eastAsia" w:ascii="宋体" w:hAnsi="宋体"/>
                <w:color w:val="auto"/>
                <w:szCs w:val="21"/>
                <w:highlight w:val="none"/>
              </w:rPr>
              <w:t>投标人之间协商投标报价等投标文件的实质性内容。</w:t>
            </w:r>
          </w:p>
        </w:tc>
        <w:tc>
          <w:tcPr>
            <w:tcW w:w="2820" w:type="dxa"/>
            <w:vAlign w:val="center"/>
          </w:tcPr>
          <w:p w14:paraId="23881B42">
            <w:pPr>
              <w:spacing w:line="360" w:lineRule="exact"/>
              <w:jc w:val="center"/>
              <w:rPr>
                <w:rFonts w:ascii="宋体" w:hAnsi="宋体"/>
                <w:b/>
                <w:color w:val="auto"/>
                <w:szCs w:val="21"/>
                <w:highlight w:val="none"/>
              </w:rPr>
            </w:pPr>
          </w:p>
        </w:tc>
        <w:tc>
          <w:tcPr>
            <w:tcW w:w="780" w:type="dxa"/>
            <w:vAlign w:val="center"/>
          </w:tcPr>
          <w:p w14:paraId="2183FF6E">
            <w:pPr>
              <w:spacing w:line="360" w:lineRule="exact"/>
              <w:jc w:val="center"/>
              <w:rPr>
                <w:rFonts w:ascii="宋体" w:hAnsi="宋体"/>
                <w:b/>
                <w:color w:val="auto"/>
                <w:szCs w:val="21"/>
                <w:highlight w:val="none"/>
              </w:rPr>
            </w:pPr>
          </w:p>
        </w:tc>
      </w:tr>
      <w:tr w14:paraId="1A46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3B792EE0">
            <w:pPr>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5985" w:type="dxa"/>
            <w:vAlign w:val="center"/>
          </w:tcPr>
          <w:p w14:paraId="6A6F6E65">
            <w:pPr>
              <w:jc w:val="left"/>
              <w:rPr>
                <w:rFonts w:ascii="宋体" w:hAnsi="宋体" w:cs="宋体"/>
                <w:color w:val="auto"/>
                <w:szCs w:val="21"/>
                <w:highlight w:val="none"/>
              </w:rPr>
            </w:pPr>
            <w:r>
              <w:rPr>
                <w:rFonts w:hint="eastAsia" w:ascii="宋体" w:hAnsi="宋体"/>
                <w:color w:val="auto"/>
                <w:szCs w:val="21"/>
                <w:highlight w:val="none"/>
              </w:rPr>
              <w:t>投标人之间约定中标人。</w:t>
            </w:r>
          </w:p>
        </w:tc>
        <w:tc>
          <w:tcPr>
            <w:tcW w:w="2820" w:type="dxa"/>
            <w:vAlign w:val="center"/>
          </w:tcPr>
          <w:p w14:paraId="0354F776">
            <w:pPr>
              <w:spacing w:line="360" w:lineRule="exact"/>
              <w:jc w:val="center"/>
              <w:rPr>
                <w:rFonts w:ascii="宋体" w:hAnsi="宋体"/>
                <w:b/>
                <w:color w:val="auto"/>
                <w:szCs w:val="21"/>
                <w:highlight w:val="none"/>
              </w:rPr>
            </w:pPr>
          </w:p>
        </w:tc>
        <w:tc>
          <w:tcPr>
            <w:tcW w:w="780" w:type="dxa"/>
            <w:vAlign w:val="center"/>
          </w:tcPr>
          <w:p w14:paraId="1D41D68D">
            <w:pPr>
              <w:spacing w:line="360" w:lineRule="exact"/>
              <w:jc w:val="center"/>
              <w:rPr>
                <w:rFonts w:ascii="宋体" w:hAnsi="宋体"/>
                <w:b/>
                <w:color w:val="auto"/>
                <w:szCs w:val="21"/>
                <w:highlight w:val="none"/>
              </w:rPr>
            </w:pPr>
          </w:p>
        </w:tc>
      </w:tr>
      <w:tr w14:paraId="5D58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7179E8E">
            <w:pPr>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5985" w:type="dxa"/>
            <w:vAlign w:val="center"/>
          </w:tcPr>
          <w:p w14:paraId="62D4A9AA">
            <w:pPr>
              <w:jc w:val="left"/>
              <w:rPr>
                <w:rFonts w:ascii="宋体" w:hAnsi="宋体" w:cs="宋体"/>
                <w:color w:val="auto"/>
                <w:szCs w:val="21"/>
                <w:highlight w:val="none"/>
              </w:rPr>
            </w:pPr>
            <w:r>
              <w:rPr>
                <w:rFonts w:hint="eastAsia" w:ascii="宋体" w:hAnsi="宋体"/>
                <w:color w:val="auto"/>
                <w:szCs w:val="21"/>
                <w:highlight w:val="none"/>
              </w:rPr>
              <w:t>投标人之间约定部分投标人放弃投标或者中标。</w:t>
            </w:r>
          </w:p>
        </w:tc>
        <w:tc>
          <w:tcPr>
            <w:tcW w:w="2820" w:type="dxa"/>
            <w:vAlign w:val="center"/>
          </w:tcPr>
          <w:p w14:paraId="453435AE">
            <w:pPr>
              <w:spacing w:line="360" w:lineRule="exact"/>
              <w:jc w:val="center"/>
              <w:rPr>
                <w:rFonts w:ascii="宋体" w:hAnsi="宋体"/>
                <w:b/>
                <w:color w:val="auto"/>
                <w:szCs w:val="21"/>
                <w:highlight w:val="none"/>
              </w:rPr>
            </w:pPr>
          </w:p>
        </w:tc>
        <w:tc>
          <w:tcPr>
            <w:tcW w:w="780" w:type="dxa"/>
            <w:vAlign w:val="center"/>
          </w:tcPr>
          <w:p w14:paraId="1DD69DEA">
            <w:pPr>
              <w:spacing w:line="360" w:lineRule="exact"/>
              <w:jc w:val="center"/>
              <w:rPr>
                <w:rFonts w:ascii="宋体" w:hAnsi="宋体"/>
                <w:b/>
                <w:color w:val="auto"/>
                <w:szCs w:val="21"/>
                <w:highlight w:val="none"/>
              </w:rPr>
            </w:pPr>
          </w:p>
        </w:tc>
      </w:tr>
      <w:tr w14:paraId="43B5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FB5186F">
            <w:pPr>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5985" w:type="dxa"/>
            <w:vAlign w:val="center"/>
          </w:tcPr>
          <w:p w14:paraId="3BBA4BCF">
            <w:pPr>
              <w:jc w:val="left"/>
              <w:rPr>
                <w:rFonts w:ascii="宋体" w:hAnsi="宋体" w:cs="宋体"/>
                <w:color w:val="auto"/>
                <w:szCs w:val="21"/>
                <w:highlight w:val="none"/>
              </w:rPr>
            </w:pPr>
            <w:r>
              <w:rPr>
                <w:rFonts w:hint="eastAsia" w:ascii="宋体" w:hAnsi="宋体"/>
                <w:color w:val="auto"/>
                <w:szCs w:val="21"/>
                <w:highlight w:val="none"/>
              </w:rPr>
              <w:t>属于同一集团、协会、商会等组织成员的投标人按照该组织要求协同投标。</w:t>
            </w:r>
          </w:p>
        </w:tc>
        <w:tc>
          <w:tcPr>
            <w:tcW w:w="2820" w:type="dxa"/>
            <w:vAlign w:val="center"/>
          </w:tcPr>
          <w:p w14:paraId="36E7413C">
            <w:pPr>
              <w:spacing w:line="360" w:lineRule="exact"/>
              <w:jc w:val="center"/>
              <w:rPr>
                <w:rFonts w:ascii="宋体" w:hAnsi="宋体"/>
                <w:b/>
                <w:color w:val="auto"/>
                <w:szCs w:val="21"/>
                <w:highlight w:val="none"/>
              </w:rPr>
            </w:pPr>
          </w:p>
        </w:tc>
        <w:tc>
          <w:tcPr>
            <w:tcW w:w="780" w:type="dxa"/>
            <w:vAlign w:val="center"/>
          </w:tcPr>
          <w:p w14:paraId="4392896B">
            <w:pPr>
              <w:spacing w:line="360" w:lineRule="exact"/>
              <w:jc w:val="center"/>
              <w:rPr>
                <w:rFonts w:ascii="宋体" w:hAnsi="宋体"/>
                <w:b/>
                <w:color w:val="auto"/>
                <w:szCs w:val="21"/>
                <w:highlight w:val="none"/>
              </w:rPr>
            </w:pPr>
          </w:p>
        </w:tc>
      </w:tr>
      <w:tr w14:paraId="1871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B27423E">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5985" w:type="dxa"/>
            <w:vAlign w:val="center"/>
          </w:tcPr>
          <w:p w14:paraId="6FE2E415">
            <w:pPr>
              <w:jc w:val="left"/>
              <w:rPr>
                <w:rFonts w:ascii="宋体" w:hAnsi="宋体" w:cs="宋体"/>
                <w:color w:val="auto"/>
                <w:szCs w:val="21"/>
                <w:highlight w:val="none"/>
              </w:rPr>
            </w:pPr>
            <w:r>
              <w:rPr>
                <w:rFonts w:hint="eastAsia" w:ascii="宋体" w:hAnsi="宋体"/>
                <w:color w:val="auto"/>
                <w:szCs w:val="21"/>
                <w:highlight w:val="none"/>
              </w:rPr>
              <w:t>投标人之间为谋取中标或者排斥特定投标人而采取的其他联合行动。</w:t>
            </w:r>
          </w:p>
        </w:tc>
        <w:tc>
          <w:tcPr>
            <w:tcW w:w="2820" w:type="dxa"/>
            <w:vAlign w:val="center"/>
          </w:tcPr>
          <w:p w14:paraId="3FBBB421">
            <w:pPr>
              <w:spacing w:line="360" w:lineRule="exact"/>
              <w:jc w:val="center"/>
              <w:rPr>
                <w:rFonts w:ascii="宋体" w:hAnsi="宋体"/>
                <w:b/>
                <w:color w:val="auto"/>
                <w:szCs w:val="21"/>
                <w:highlight w:val="none"/>
              </w:rPr>
            </w:pPr>
          </w:p>
        </w:tc>
        <w:tc>
          <w:tcPr>
            <w:tcW w:w="780" w:type="dxa"/>
            <w:vAlign w:val="center"/>
          </w:tcPr>
          <w:p w14:paraId="4C9D6892">
            <w:pPr>
              <w:spacing w:line="360" w:lineRule="exact"/>
              <w:jc w:val="center"/>
              <w:rPr>
                <w:rFonts w:ascii="宋体" w:hAnsi="宋体"/>
                <w:b/>
                <w:color w:val="auto"/>
                <w:szCs w:val="21"/>
                <w:highlight w:val="none"/>
              </w:rPr>
            </w:pPr>
          </w:p>
        </w:tc>
      </w:tr>
      <w:tr w14:paraId="687B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74A6F6B">
            <w:pPr>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5985" w:type="dxa"/>
            <w:vAlign w:val="center"/>
          </w:tcPr>
          <w:p w14:paraId="4E0F1919">
            <w:pPr>
              <w:jc w:val="left"/>
              <w:rPr>
                <w:rFonts w:ascii="宋体" w:hAnsi="宋体" w:cs="宋体"/>
                <w:color w:val="auto"/>
                <w:szCs w:val="21"/>
                <w:highlight w:val="none"/>
              </w:rPr>
            </w:pPr>
            <w:r>
              <w:rPr>
                <w:rFonts w:hint="eastAsia" w:ascii="宋体" w:hAnsi="宋体"/>
                <w:snapToGrid w:val="0"/>
                <w:color w:val="auto"/>
                <w:highlight w:val="none"/>
              </w:rPr>
              <w:t>其他与政府采购活动参加人串通投标的</w:t>
            </w:r>
            <w:r>
              <w:rPr>
                <w:rFonts w:hint="eastAsia" w:ascii="宋体" w:hAnsi="宋体" w:cs="宋体"/>
                <w:color w:val="auto"/>
                <w:szCs w:val="21"/>
                <w:highlight w:val="none"/>
              </w:rPr>
              <w:t>行为。</w:t>
            </w:r>
          </w:p>
        </w:tc>
        <w:tc>
          <w:tcPr>
            <w:tcW w:w="2820" w:type="dxa"/>
            <w:vAlign w:val="center"/>
          </w:tcPr>
          <w:p w14:paraId="7C1A8DB8">
            <w:pPr>
              <w:spacing w:line="360" w:lineRule="exact"/>
              <w:jc w:val="center"/>
              <w:rPr>
                <w:rFonts w:ascii="宋体" w:hAnsi="宋体"/>
                <w:b/>
                <w:color w:val="auto"/>
                <w:szCs w:val="21"/>
                <w:highlight w:val="none"/>
              </w:rPr>
            </w:pPr>
          </w:p>
        </w:tc>
        <w:tc>
          <w:tcPr>
            <w:tcW w:w="780" w:type="dxa"/>
            <w:vAlign w:val="center"/>
          </w:tcPr>
          <w:p w14:paraId="30823B37">
            <w:pPr>
              <w:spacing w:line="360" w:lineRule="exact"/>
              <w:jc w:val="center"/>
              <w:rPr>
                <w:rFonts w:ascii="宋体" w:hAnsi="宋体"/>
                <w:b/>
                <w:color w:val="auto"/>
                <w:szCs w:val="21"/>
                <w:highlight w:val="none"/>
              </w:rPr>
            </w:pPr>
          </w:p>
        </w:tc>
      </w:tr>
      <w:tr w14:paraId="3BC7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5CA58959">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5985" w:type="dxa"/>
            <w:vAlign w:val="center"/>
          </w:tcPr>
          <w:p w14:paraId="0945B73B">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通过转让或者租借等方式从其他单位获取资格或者资质证书投标。</w:t>
            </w:r>
          </w:p>
        </w:tc>
        <w:tc>
          <w:tcPr>
            <w:tcW w:w="2820" w:type="dxa"/>
            <w:vAlign w:val="center"/>
          </w:tcPr>
          <w:p w14:paraId="30350E88">
            <w:pPr>
              <w:spacing w:line="360" w:lineRule="exact"/>
              <w:jc w:val="center"/>
              <w:rPr>
                <w:rFonts w:ascii="宋体" w:hAnsi="宋体"/>
                <w:b/>
                <w:color w:val="auto"/>
                <w:szCs w:val="21"/>
                <w:highlight w:val="none"/>
              </w:rPr>
            </w:pPr>
          </w:p>
        </w:tc>
        <w:tc>
          <w:tcPr>
            <w:tcW w:w="780" w:type="dxa"/>
            <w:vAlign w:val="center"/>
          </w:tcPr>
          <w:p w14:paraId="1BA101CF">
            <w:pPr>
              <w:spacing w:line="360" w:lineRule="exact"/>
              <w:jc w:val="center"/>
              <w:rPr>
                <w:rFonts w:ascii="宋体" w:hAnsi="宋体"/>
                <w:b/>
                <w:color w:val="auto"/>
                <w:szCs w:val="21"/>
                <w:highlight w:val="none"/>
              </w:rPr>
            </w:pPr>
          </w:p>
        </w:tc>
      </w:tr>
      <w:tr w14:paraId="7E4A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7882A6A7">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5985" w:type="dxa"/>
            <w:vAlign w:val="center"/>
          </w:tcPr>
          <w:p w14:paraId="037D3B25">
            <w:pPr>
              <w:jc w:val="left"/>
              <w:rPr>
                <w:rFonts w:ascii="宋体" w:hAnsi="宋体" w:cs="宋体"/>
                <w:snapToGrid w:val="0"/>
                <w:color w:val="auto"/>
                <w:kern w:val="0"/>
                <w:szCs w:val="21"/>
                <w:highlight w:val="none"/>
              </w:rPr>
            </w:pPr>
            <w:r>
              <w:rPr>
                <w:rFonts w:hint="eastAsia" w:ascii="宋体" w:hAnsi="宋体" w:cs="宋体"/>
                <w:color w:val="auto"/>
                <w:szCs w:val="21"/>
                <w:highlight w:val="none"/>
              </w:rPr>
              <w:t>由其他单位或者其他单位负责人在投标供应商编制的投标文件上加盖印章或者签字。</w:t>
            </w:r>
          </w:p>
        </w:tc>
        <w:tc>
          <w:tcPr>
            <w:tcW w:w="2820" w:type="dxa"/>
            <w:vAlign w:val="center"/>
          </w:tcPr>
          <w:p w14:paraId="4734C34E">
            <w:pPr>
              <w:spacing w:line="360" w:lineRule="exact"/>
              <w:jc w:val="center"/>
              <w:rPr>
                <w:rFonts w:ascii="宋体" w:hAnsi="宋体"/>
                <w:b/>
                <w:color w:val="auto"/>
                <w:szCs w:val="21"/>
                <w:highlight w:val="none"/>
              </w:rPr>
            </w:pPr>
          </w:p>
        </w:tc>
        <w:tc>
          <w:tcPr>
            <w:tcW w:w="780" w:type="dxa"/>
            <w:vAlign w:val="center"/>
          </w:tcPr>
          <w:p w14:paraId="42A8744D">
            <w:pPr>
              <w:spacing w:line="360" w:lineRule="exact"/>
              <w:jc w:val="center"/>
              <w:rPr>
                <w:rFonts w:ascii="宋体" w:hAnsi="宋体"/>
                <w:b/>
                <w:color w:val="auto"/>
                <w:szCs w:val="21"/>
                <w:highlight w:val="none"/>
              </w:rPr>
            </w:pPr>
          </w:p>
        </w:tc>
      </w:tr>
      <w:tr w14:paraId="4B7F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0B927AE3">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5985" w:type="dxa"/>
            <w:vAlign w:val="center"/>
          </w:tcPr>
          <w:p w14:paraId="4AA85C9B">
            <w:pPr>
              <w:jc w:val="left"/>
              <w:rPr>
                <w:rFonts w:ascii="宋体" w:hAnsi="宋体" w:cs="宋体"/>
                <w:snapToGrid w:val="0"/>
                <w:color w:val="auto"/>
                <w:kern w:val="0"/>
                <w:szCs w:val="21"/>
                <w:highlight w:val="none"/>
              </w:rPr>
            </w:pPr>
            <w:r>
              <w:rPr>
                <w:rFonts w:hint="eastAsia" w:ascii="宋体" w:hAnsi="宋体" w:cs="宋体"/>
                <w:color w:val="auto"/>
                <w:szCs w:val="21"/>
                <w:highlight w:val="none"/>
              </w:rPr>
              <w:t>项目负责人或者主要技术人员不是本单位人员，不能提供项目负责人或者主要技术人员的劳动合同、社会保险等劳动关系证明材料。</w:t>
            </w:r>
          </w:p>
        </w:tc>
        <w:tc>
          <w:tcPr>
            <w:tcW w:w="2820" w:type="dxa"/>
            <w:vAlign w:val="center"/>
          </w:tcPr>
          <w:p w14:paraId="78B8F55E">
            <w:pPr>
              <w:spacing w:line="360" w:lineRule="exact"/>
              <w:jc w:val="center"/>
              <w:rPr>
                <w:rFonts w:ascii="宋体" w:hAnsi="宋体"/>
                <w:b/>
                <w:color w:val="auto"/>
                <w:szCs w:val="21"/>
                <w:highlight w:val="none"/>
              </w:rPr>
            </w:pPr>
          </w:p>
        </w:tc>
        <w:tc>
          <w:tcPr>
            <w:tcW w:w="780" w:type="dxa"/>
            <w:vAlign w:val="center"/>
          </w:tcPr>
          <w:p w14:paraId="1A19E40A">
            <w:pPr>
              <w:spacing w:line="360" w:lineRule="exact"/>
              <w:jc w:val="center"/>
              <w:rPr>
                <w:rFonts w:ascii="宋体" w:hAnsi="宋体"/>
                <w:b/>
                <w:color w:val="auto"/>
                <w:szCs w:val="21"/>
                <w:highlight w:val="none"/>
              </w:rPr>
            </w:pPr>
          </w:p>
        </w:tc>
      </w:tr>
      <w:tr w14:paraId="2BDA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31BEB7DC">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5985" w:type="dxa"/>
            <w:vAlign w:val="center"/>
          </w:tcPr>
          <w:p w14:paraId="11B95CBA">
            <w:pPr>
              <w:jc w:val="left"/>
              <w:rPr>
                <w:rFonts w:ascii="宋体" w:hAnsi="宋体" w:cs="宋体"/>
                <w:snapToGrid w:val="0"/>
                <w:color w:val="auto"/>
                <w:kern w:val="0"/>
                <w:szCs w:val="21"/>
                <w:highlight w:val="none"/>
              </w:rPr>
            </w:pPr>
            <w:r>
              <w:rPr>
                <w:rFonts w:hint="eastAsia" w:ascii="宋体" w:hAnsi="宋体" w:cs="宋体"/>
                <w:color w:val="auto"/>
                <w:szCs w:val="21"/>
                <w:highlight w:val="none"/>
              </w:rPr>
              <w:t>投标保证金不是从投标供应商基本账户转出。</w:t>
            </w:r>
          </w:p>
        </w:tc>
        <w:tc>
          <w:tcPr>
            <w:tcW w:w="2820" w:type="dxa"/>
            <w:vAlign w:val="center"/>
          </w:tcPr>
          <w:p w14:paraId="3DEAD73E">
            <w:pPr>
              <w:spacing w:line="360" w:lineRule="exact"/>
              <w:jc w:val="center"/>
              <w:rPr>
                <w:rFonts w:ascii="宋体" w:hAnsi="宋体"/>
                <w:b/>
                <w:color w:val="auto"/>
                <w:szCs w:val="21"/>
                <w:highlight w:val="none"/>
              </w:rPr>
            </w:pPr>
          </w:p>
        </w:tc>
        <w:tc>
          <w:tcPr>
            <w:tcW w:w="780" w:type="dxa"/>
            <w:vAlign w:val="center"/>
          </w:tcPr>
          <w:p w14:paraId="37771A45">
            <w:pPr>
              <w:spacing w:line="360" w:lineRule="exact"/>
              <w:jc w:val="center"/>
              <w:rPr>
                <w:rFonts w:ascii="宋体" w:hAnsi="宋体"/>
                <w:b/>
                <w:color w:val="auto"/>
                <w:szCs w:val="21"/>
                <w:highlight w:val="none"/>
              </w:rPr>
            </w:pPr>
          </w:p>
        </w:tc>
      </w:tr>
      <w:tr w14:paraId="664A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38F126B9">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5985" w:type="dxa"/>
            <w:vAlign w:val="center"/>
          </w:tcPr>
          <w:p w14:paraId="75DC8BF1">
            <w:pPr>
              <w:jc w:val="left"/>
              <w:rPr>
                <w:rFonts w:ascii="宋体" w:hAnsi="宋体" w:cs="宋体"/>
                <w:snapToGrid w:val="0"/>
                <w:color w:val="auto"/>
                <w:kern w:val="0"/>
                <w:szCs w:val="21"/>
                <w:highlight w:val="none"/>
              </w:rPr>
            </w:pPr>
            <w:r>
              <w:rPr>
                <w:color w:val="auto"/>
                <w:szCs w:val="21"/>
                <w:highlight w:val="none"/>
              </w:rPr>
              <w:t>其他隐瞒真实情况、提供虚假资料的行为。</w:t>
            </w:r>
          </w:p>
        </w:tc>
        <w:tc>
          <w:tcPr>
            <w:tcW w:w="2820" w:type="dxa"/>
            <w:vAlign w:val="center"/>
          </w:tcPr>
          <w:p w14:paraId="7D916B97">
            <w:pPr>
              <w:spacing w:line="360" w:lineRule="exact"/>
              <w:jc w:val="center"/>
              <w:rPr>
                <w:rFonts w:ascii="宋体" w:hAnsi="宋体"/>
                <w:b/>
                <w:color w:val="auto"/>
                <w:szCs w:val="21"/>
                <w:highlight w:val="none"/>
              </w:rPr>
            </w:pPr>
          </w:p>
        </w:tc>
        <w:tc>
          <w:tcPr>
            <w:tcW w:w="780" w:type="dxa"/>
            <w:vAlign w:val="center"/>
          </w:tcPr>
          <w:p w14:paraId="2FFEC68F">
            <w:pPr>
              <w:spacing w:line="360" w:lineRule="exact"/>
              <w:jc w:val="center"/>
              <w:rPr>
                <w:rFonts w:ascii="宋体" w:hAnsi="宋体"/>
                <w:b/>
                <w:color w:val="auto"/>
                <w:szCs w:val="21"/>
                <w:highlight w:val="none"/>
              </w:rPr>
            </w:pPr>
          </w:p>
        </w:tc>
      </w:tr>
    </w:tbl>
    <w:p w14:paraId="50035C15">
      <w:pPr>
        <w:keepNext w:val="0"/>
        <w:keepLines w:val="0"/>
        <w:pageBreakBefore w:val="0"/>
        <w:widowControl w:val="0"/>
        <w:numPr>
          <w:ilvl w:val="0"/>
          <w:numId w:val="0"/>
        </w:numPr>
        <w:kinsoku/>
        <w:wordWrap/>
        <w:overflowPunct/>
        <w:topLinePunct w:val="0"/>
        <w:bidi w:val="0"/>
        <w:snapToGrid w:val="0"/>
        <w:spacing w:line="560" w:lineRule="exact"/>
        <w:ind w:left="0" w:leftChars="0" w:firstLine="420" w:firstLineChars="200"/>
        <w:textAlignment w:val="auto"/>
        <w:rPr>
          <w:rFonts w:hint="eastAsia" w:ascii="仿宋" w:hAnsi="仿宋" w:eastAsia="仿宋" w:cs="仿宋"/>
          <w:color w:val="auto"/>
          <w:sz w:val="28"/>
          <w:szCs w:val="28"/>
          <w:highlight w:val="none"/>
        </w:rPr>
      </w:pPr>
      <w:r>
        <w:rPr>
          <w:rFonts w:hint="eastAsia" w:ascii="宋体" w:hAnsi="宋体" w:cs="宋体"/>
          <w:color w:val="auto"/>
          <w:szCs w:val="21"/>
          <w:highlight w:val="none"/>
        </w:rPr>
        <w:t>注：投标供应商出现上述与其他采购参加人串通投标、隐瞒真实情况</w:t>
      </w:r>
      <w:r>
        <w:rPr>
          <w:rFonts w:hint="eastAsia" w:cs="宋体"/>
          <w:color w:val="auto"/>
          <w:szCs w:val="21"/>
          <w:highlight w:val="none"/>
        </w:rPr>
        <w:t>或者</w:t>
      </w:r>
      <w:r>
        <w:rPr>
          <w:rFonts w:hint="eastAsia" w:ascii="宋体" w:hAnsi="宋体" w:cs="宋体"/>
          <w:color w:val="auto"/>
          <w:szCs w:val="21"/>
          <w:highlight w:val="none"/>
        </w:rPr>
        <w:t>提供虚假资料行为的，将依法承担法律责任。</w:t>
      </w:r>
    </w:p>
    <w:p w14:paraId="07A347AB">
      <w:pPr>
        <w:keepLines w:val="0"/>
        <w:pageBreakBefore w:val="0"/>
        <w:numPr>
          <w:ilvl w:val="0"/>
          <w:numId w:val="0"/>
        </w:numPr>
        <w:kinsoku/>
        <w:wordWrap/>
        <w:overflowPunct/>
        <w:topLinePunct w:val="0"/>
        <w:bidi w:val="0"/>
        <w:snapToGrid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44"/>
          <w:szCs w:val="44"/>
          <w:highlight w:val="none"/>
        </w:rPr>
        <w:t xml:space="preserve">第五章  </w:t>
      </w:r>
      <w:r>
        <w:rPr>
          <w:rFonts w:hint="eastAsia" w:ascii="仿宋" w:hAnsi="仿宋" w:eastAsia="仿宋" w:cs="仿宋"/>
          <w:color w:val="auto"/>
          <w:sz w:val="44"/>
          <w:szCs w:val="44"/>
          <w:highlight w:val="none"/>
          <w:lang w:eastAsia="zh-CN"/>
        </w:rPr>
        <w:t>供应商</w:t>
      </w:r>
      <w:r>
        <w:rPr>
          <w:rFonts w:hint="eastAsia" w:ascii="仿宋" w:hAnsi="仿宋" w:eastAsia="仿宋" w:cs="仿宋"/>
          <w:color w:val="auto"/>
          <w:sz w:val="44"/>
          <w:szCs w:val="44"/>
          <w:highlight w:val="none"/>
        </w:rPr>
        <w:t>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735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54762185">
            <w:pPr>
              <w:keepLines w:val="0"/>
              <w:pageBreakBefore w:val="0"/>
              <w:kinsoku/>
              <w:wordWrap/>
              <w:overflowPunct/>
              <w:topLinePunct w:val="0"/>
              <w:bidi w:val="0"/>
              <w:snapToGrid w:val="0"/>
              <w:spacing w:line="560" w:lineRule="exact"/>
              <w:jc w:val="center"/>
              <w:rPr>
                <w:rFonts w:hint="eastAsia" w:ascii="仿宋" w:hAnsi="仿宋" w:eastAsia="仿宋" w:cs="仿宋"/>
                <w:b/>
                <w:bCs/>
                <w:color w:val="auto"/>
                <w:sz w:val="96"/>
                <w:szCs w:val="96"/>
                <w:highlight w:val="none"/>
              </w:rPr>
            </w:pPr>
          </w:p>
          <w:p w14:paraId="4AE8B7BC">
            <w:pPr>
              <w:keepLines w:val="0"/>
              <w:pageBreakBefore w:val="0"/>
              <w:kinsoku/>
              <w:wordWrap/>
              <w:overflowPunct/>
              <w:topLinePunct w:val="0"/>
              <w:bidi w:val="0"/>
              <w:snapToGrid w:val="0"/>
              <w:spacing w:line="560" w:lineRule="exact"/>
              <w:jc w:val="center"/>
              <w:rPr>
                <w:rFonts w:hint="eastAsia" w:ascii="仿宋" w:hAnsi="仿宋" w:eastAsia="仿宋" w:cs="仿宋"/>
                <w:color w:val="auto"/>
                <w:sz w:val="72"/>
                <w:szCs w:val="72"/>
                <w:highlight w:val="none"/>
                <w:lang w:eastAsia="zh-CN"/>
              </w:rPr>
            </w:pPr>
            <w:r>
              <w:rPr>
                <w:rFonts w:hint="eastAsia" w:ascii="仿宋" w:hAnsi="仿宋" w:eastAsia="仿宋" w:cs="仿宋"/>
                <w:b/>
                <w:bCs/>
                <w:color w:val="auto"/>
                <w:sz w:val="56"/>
                <w:szCs w:val="56"/>
                <w:highlight w:val="none"/>
                <w:lang w:val="en-US" w:eastAsia="zh-CN"/>
              </w:rPr>
              <w:t>投标书</w:t>
            </w:r>
          </w:p>
          <w:p w14:paraId="37407278">
            <w:pPr>
              <w:keepLines w:val="0"/>
              <w:pageBreakBefore w:val="0"/>
              <w:kinsoku/>
              <w:wordWrap/>
              <w:overflowPunct/>
              <w:topLinePunct w:val="0"/>
              <w:bidi w:val="0"/>
              <w:snapToGrid w:val="0"/>
              <w:spacing w:line="560" w:lineRule="exact"/>
              <w:rPr>
                <w:rFonts w:ascii="仿宋" w:hAnsi="仿宋" w:eastAsia="仿宋" w:cs="仿宋"/>
                <w:color w:val="auto"/>
                <w:sz w:val="72"/>
                <w:szCs w:val="72"/>
                <w:highlight w:val="none"/>
              </w:rPr>
            </w:pPr>
          </w:p>
          <w:p w14:paraId="15976BDA">
            <w:pPr>
              <w:pStyle w:val="26"/>
              <w:keepLines w:val="0"/>
              <w:pageBreakBefore w:val="0"/>
              <w:numPr>
                <w:ilvl w:val="0"/>
                <w:numId w:val="0"/>
              </w:numPr>
              <w:kinsoku/>
              <w:wordWrap/>
              <w:overflowPunct/>
              <w:topLinePunct w:val="0"/>
              <w:bidi w:val="0"/>
              <w:snapToGrid w:val="0"/>
              <w:spacing w:line="560" w:lineRule="exact"/>
              <w:jc w:val="center"/>
              <w:rPr>
                <w:rFonts w:hint="eastAsia" w:ascii="仿宋_GB2312" w:hAnsi="仿宋_GB2312" w:eastAsia="仿宋_GB2312" w:cs="仿宋_GB2312"/>
                <w:color w:val="auto"/>
                <w:sz w:val="44"/>
                <w:szCs w:val="44"/>
                <w:highlight w:val="none"/>
                <w:lang w:val="en-US" w:eastAsia="zh-CN"/>
              </w:rPr>
            </w:pPr>
            <w:r>
              <w:rPr>
                <w:rFonts w:hint="eastAsia" w:ascii="仿宋_GB2312" w:hAnsi="仿宋_GB2312" w:eastAsia="仿宋_GB2312" w:cs="仿宋_GB2312"/>
                <w:color w:val="auto"/>
                <w:sz w:val="44"/>
                <w:szCs w:val="44"/>
                <w:highlight w:val="none"/>
              </w:rPr>
              <w:t>项目名称</w:t>
            </w:r>
            <w:r>
              <w:rPr>
                <w:rFonts w:hint="eastAsia" w:ascii="仿宋_GB2312" w:hAnsi="仿宋_GB2312" w:eastAsia="仿宋_GB2312" w:cs="仿宋_GB2312"/>
                <w:color w:val="auto"/>
                <w:sz w:val="44"/>
                <w:szCs w:val="44"/>
                <w:highlight w:val="none"/>
                <w:lang w:eastAsia="zh-CN"/>
              </w:rPr>
              <w:t>：</w:t>
            </w:r>
            <w:r>
              <w:rPr>
                <w:rFonts w:hint="eastAsia" w:ascii="仿宋_GB2312" w:hAnsi="仿宋_GB2312" w:eastAsia="仿宋_GB2312" w:cs="仿宋_GB2312"/>
                <w:color w:val="auto"/>
                <w:sz w:val="44"/>
                <w:szCs w:val="44"/>
                <w:highlight w:val="none"/>
                <w:lang w:val="en-US" w:eastAsia="zh-CN"/>
              </w:rPr>
              <w:t>深圳市龙岗区第七人民医院“强身心涨健识”健康促进主题活动策划服务</w:t>
            </w:r>
          </w:p>
          <w:p w14:paraId="51BD46AD">
            <w:pPr>
              <w:keepLines w:val="0"/>
              <w:pageBreakBefore w:val="0"/>
              <w:kinsoku/>
              <w:wordWrap/>
              <w:overflowPunct/>
              <w:topLinePunct w:val="0"/>
              <w:bidi w:val="0"/>
              <w:snapToGrid w:val="0"/>
              <w:spacing w:line="560" w:lineRule="exact"/>
              <w:ind w:left="0" w:firstLine="0" w:firstLineChars="0"/>
              <w:rPr>
                <w:rFonts w:ascii="仿宋_GB2312" w:hAnsi="仿宋_GB2312" w:eastAsia="仿宋_GB2312" w:cs="仿宋_GB2312"/>
                <w:color w:val="auto"/>
                <w:sz w:val="44"/>
                <w:szCs w:val="44"/>
                <w:highlight w:val="none"/>
              </w:rPr>
            </w:pPr>
          </w:p>
          <w:p w14:paraId="4F6AA2F6">
            <w:pPr>
              <w:pStyle w:val="31"/>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w:t>
            </w:r>
            <w:r>
              <w:rPr>
                <w:rFonts w:hint="eastAsia" w:ascii="仿宋_GB2312" w:hAnsi="仿宋_GB2312" w:eastAsia="仿宋_GB2312" w:cs="仿宋_GB2312"/>
                <w:color w:val="auto"/>
                <w:sz w:val="36"/>
                <w:szCs w:val="36"/>
                <w:highlight w:val="none"/>
                <w:lang w:val="en-US" w:eastAsia="zh-CN"/>
              </w:rPr>
              <w:t>深龙七医采[LGQY2026XJ001]</w:t>
            </w:r>
            <w:r>
              <w:rPr>
                <w:rFonts w:hint="eastAsia" w:ascii="仿宋_GB2312" w:hAnsi="仿宋_GB2312" w:eastAsia="仿宋_GB2312" w:cs="仿宋_GB2312"/>
                <w:color w:val="auto"/>
                <w:sz w:val="44"/>
                <w:szCs w:val="44"/>
                <w:highlight w:val="none"/>
              </w:rPr>
              <w:t>）</w:t>
            </w:r>
          </w:p>
          <w:p w14:paraId="1204C272">
            <w:pPr>
              <w:pStyle w:val="31"/>
              <w:keepLines w:val="0"/>
              <w:pageBreakBefore w:val="0"/>
              <w:kinsoku/>
              <w:wordWrap/>
              <w:overflowPunct/>
              <w:topLinePunct w:val="0"/>
              <w:bidi w:val="0"/>
              <w:snapToGrid w:val="0"/>
              <w:spacing w:line="560" w:lineRule="exact"/>
              <w:ind w:firstLine="0" w:firstLineChars="0"/>
              <w:jc w:val="center"/>
              <w:rPr>
                <w:rFonts w:ascii="仿宋_GB2312" w:hAnsi="仿宋_GB2312" w:eastAsia="仿宋_GB2312" w:cs="仿宋_GB2312"/>
                <w:color w:val="auto"/>
                <w:sz w:val="44"/>
                <w:szCs w:val="44"/>
                <w:highlight w:val="none"/>
              </w:rPr>
            </w:pPr>
          </w:p>
          <w:p w14:paraId="55FFC4BC">
            <w:pPr>
              <w:keepLines w:val="0"/>
              <w:pageBreakBefore w:val="0"/>
              <w:kinsoku/>
              <w:wordWrap/>
              <w:overflowPunct/>
              <w:topLinePunct w:val="0"/>
              <w:bidi w:val="0"/>
              <w:snapToGrid w:val="0"/>
              <w:spacing w:line="560" w:lineRule="exact"/>
              <w:jc w:val="center"/>
              <w:rPr>
                <w:rFonts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采购单位：深圳市龙岗区第七人民医院</w:t>
            </w:r>
          </w:p>
          <w:p w14:paraId="4999EBA8">
            <w:pPr>
              <w:keepLines w:val="0"/>
              <w:pageBreakBefore w:val="0"/>
              <w:kinsoku/>
              <w:wordWrap/>
              <w:overflowPunct/>
              <w:topLinePunct w:val="0"/>
              <w:bidi w:val="0"/>
              <w:snapToGrid w:val="0"/>
              <w:spacing w:line="560" w:lineRule="exact"/>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w:t>
            </w:r>
            <w:r>
              <w:rPr>
                <w:rFonts w:hint="eastAsia" w:ascii="仿宋_GB2312" w:hAnsi="仿宋_GB2312" w:eastAsia="仿宋_GB2312" w:cs="仿宋_GB2312"/>
                <w:color w:val="auto"/>
                <w:sz w:val="44"/>
                <w:szCs w:val="44"/>
                <w:highlight w:val="none"/>
              </w:rPr>
              <w:t>202</w:t>
            </w:r>
            <w:r>
              <w:rPr>
                <w:rFonts w:hint="eastAsia" w:ascii="仿宋_GB2312" w:hAnsi="仿宋_GB2312" w:eastAsia="仿宋_GB2312" w:cs="仿宋_GB2312"/>
                <w:color w:val="auto"/>
                <w:sz w:val="44"/>
                <w:szCs w:val="44"/>
                <w:highlight w:val="none"/>
                <w:lang w:val="en-US" w:eastAsia="zh-CN"/>
              </w:rPr>
              <w:t>6</w:t>
            </w:r>
            <w:r>
              <w:rPr>
                <w:rFonts w:hint="eastAsia" w:ascii="仿宋_GB2312" w:hAnsi="仿宋_GB2312" w:eastAsia="仿宋_GB2312" w:cs="仿宋_GB2312"/>
                <w:color w:val="auto"/>
                <w:sz w:val="44"/>
                <w:szCs w:val="44"/>
                <w:highlight w:val="none"/>
              </w:rPr>
              <w:t>年</w:t>
            </w:r>
            <w:r>
              <w:rPr>
                <w:rFonts w:hint="eastAsia" w:ascii="仿宋_GB2312" w:hAnsi="仿宋_GB2312" w:eastAsia="仿宋_GB2312" w:cs="仿宋_GB2312"/>
                <w:b/>
                <w:color w:val="auto"/>
                <w:sz w:val="44"/>
                <w:szCs w:val="44"/>
                <w:highlight w:val="none"/>
              </w:rPr>
              <w:t>）</w:t>
            </w:r>
          </w:p>
          <w:p w14:paraId="28886343">
            <w:pPr>
              <w:keepLines w:val="0"/>
              <w:pageBreakBefore w:val="0"/>
              <w:kinsoku/>
              <w:wordWrap/>
              <w:overflowPunct/>
              <w:topLinePunct w:val="0"/>
              <w:bidi w:val="0"/>
              <w:snapToGrid w:val="0"/>
              <w:spacing w:line="560" w:lineRule="exact"/>
              <w:rPr>
                <w:rFonts w:ascii="仿宋" w:hAnsi="仿宋" w:eastAsia="仿宋" w:cs="仿宋"/>
                <w:b/>
                <w:color w:val="auto"/>
                <w:sz w:val="36"/>
                <w:szCs w:val="36"/>
                <w:highlight w:val="none"/>
              </w:rPr>
            </w:pPr>
          </w:p>
          <w:p w14:paraId="7D2D7C1A">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投标人：</w:t>
            </w:r>
          </w:p>
          <w:p w14:paraId="0E98645E">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地  址：</w:t>
            </w:r>
          </w:p>
          <w:p w14:paraId="5C6E31DE">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联系人：</w:t>
            </w:r>
          </w:p>
          <w:p w14:paraId="4A5E3E85">
            <w:pPr>
              <w:keepLines w:val="0"/>
              <w:pageBreakBefore w:val="0"/>
              <w:kinsoku/>
              <w:wordWrap/>
              <w:overflowPunct/>
              <w:topLinePunct w:val="0"/>
              <w:bidi w:val="0"/>
              <w:snapToGrid w:val="0"/>
              <w:spacing w:line="560" w:lineRule="exact"/>
              <w:jc w:val="left"/>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电  话：</w:t>
            </w:r>
          </w:p>
          <w:p w14:paraId="31274937">
            <w:pPr>
              <w:keepLines w:val="0"/>
              <w:pageBreakBefore w:val="0"/>
              <w:kinsoku/>
              <w:wordWrap/>
              <w:overflowPunct/>
              <w:topLinePunct w:val="0"/>
              <w:bidi w:val="0"/>
              <w:snapToGrid w:val="0"/>
              <w:spacing w:line="560" w:lineRule="exact"/>
              <w:jc w:val="left"/>
              <w:rPr>
                <w:rFonts w:ascii="仿宋" w:hAnsi="仿宋" w:eastAsia="仿宋" w:cs="仿宋"/>
                <w:color w:val="auto"/>
                <w:sz w:val="28"/>
                <w:highlight w:val="none"/>
              </w:rPr>
            </w:pPr>
            <w:r>
              <w:rPr>
                <w:rFonts w:hint="eastAsia" w:ascii="仿宋" w:hAnsi="仿宋" w:eastAsia="仿宋" w:cs="仿宋"/>
                <w:b/>
                <w:color w:val="auto"/>
                <w:sz w:val="40"/>
                <w:szCs w:val="40"/>
                <w:highlight w:val="none"/>
              </w:rPr>
              <w:t>邮  箱：</w:t>
            </w:r>
          </w:p>
        </w:tc>
      </w:tr>
    </w:tbl>
    <w:p w14:paraId="44BB43F0">
      <w:pPr>
        <w:keepLines w:val="0"/>
        <w:pageBreakBefore w:val="0"/>
        <w:kinsoku/>
        <w:wordWrap/>
        <w:overflowPunct/>
        <w:topLinePunct w:val="0"/>
        <w:bidi w:val="0"/>
        <w:spacing w:line="560" w:lineRule="exact"/>
        <w:jc w:val="center"/>
        <w:rPr>
          <w:rFonts w:hint="eastAsia" w:ascii="仿宋_GB2312" w:hAnsi="仿宋_GB2312" w:eastAsia="仿宋_GB2312" w:cs="仿宋_GB2312"/>
          <w:color w:val="auto"/>
          <w:sz w:val="28"/>
          <w:szCs w:val="28"/>
          <w:highlight w:val="none"/>
        </w:rPr>
      </w:pPr>
      <w:r>
        <w:rPr>
          <w:rFonts w:hint="eastAsia" w:ascii="宋体" w:hAnsi="宋体" w:cs="宋体"/>
          <w:b/>
          <w:bCs/>
          <w:color w:val="auto"/>
          <w:sz w:val="44"/>
          <w:szCs w:val="44"/>
          <w:highlight w:val="none"/>
        </w:rPr>
        <w:t>目录</w:t>
      </w:r>
      <w:r>
        <w:rPr>
          <w:rFonts w:hint="eastAsia" w:ascii="宋体" w:hAnsi="宋体" w:cs="宋体"/>
          <w:b/>
          <w:bCs/>
          <w:color w:val="auto"/>
          <w:sz w:val="28"/>
          <w:szCs w:val="28"/>
          <w:highlight w:val="none"/>
        </w:rPr>
        <w:t>（附页码）</w:t>
      </w:r>
    </w:p>
    <w:p w14:paraId="4006C508">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1.封面</w:t>
      </w:r>
    </w:p>
    <w:p w14:paraId="0E9FA40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2.目录</w:t>
      </w:r>
    </w:p>
    <w:p w14:paraId="29120418">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3.法定代表人资格证明书及身份证复印件</w:t>
      </w:r>
    </w:p>
    <w:p w14:paraId="5CFF0E0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bidi="ar"/>
        </w:rPr>
        <w:t>法定代表人授权书</w:t>
      </w:r>
      <w:r>
        <w:rPr>
          <w:rFonts w:hint="eastAsia" w:ascii="仿宋_GB2312" w:hAnsi="仿宋_GB2312" w:eastAsia="仿宋_GB2312" w:cs="仿宋_GB2312"/>
          <w:color w:val="auto"/>
          <w:sz w:val="28"/>
          <w:szCs w:val="28"/>
          <w:highlight w:val="none"/>
        </w:rPr>
        <w:t>及授权代表人身份证复印件（如有）</w:t>
      </w:r>
    </w:p>
    <w:p w14:paraId="042C1F3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default"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rPr>
        <w:t>5.独立承担民事责任能力的法人或其他组织或个体工商户的营业执照或法人证</w:t>
      </w:r>
      <w:r>
        <w:rPr>
          <w:rFonts w:hint="eastAsia" w:ascii="仿宋_GB2312" w:hAnsi="仿宋_GB2312" w:eastAsia="仿宋_GB2312" w:cs="仿宋_GB2312"/>
          <w:color w:val="auto"/>
          <w:sz w:val="28"/>
          <w:szCs w:val="28"/>
          <w:highlight w:val="none"/>
          <w:lang w:bidi="ar"/>
        </w:rPr>
        <w:t>书等证明材料复印件</w:t>
      </w:r>
      <w:r>
        <w:rPr>
          <w:rFonts w:hint="eastAsia" w:ascii="仿宋_GB2312" w:hAnsi="仿宋_GB2312" w:eastAsia="仿宋_GB2312" w:cs="仿宋_GB2312"/>
          <w:color w:val="auto"/>
          <w:sz w:val="28"/>
          <w:szCs w:val="28"/>
          <w:highlight w:val="none"/>
          <w:lang w:val="en-US" w:eastAsia="zh-CN" w:bidi="ar"/>
        </w:rPr>
        <w:t>或扫描件</w:t>
      </w:r>
    </w:p>
    <w:p w14:paraId="07CC17C2">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6.</w:t>
      </w:r>
      <w:r>
        <w:rPr>
          <w:rFonts w:hint="eastAsia" w:ascii="仿宋_GB2312" w:hAnsi="仿宋_GB2312" w:eastAsia="仿宋_GB2312" w:cs="仿宋_GB2312"/>
          <w:color w:val="auto"/>
          <w:sz w:val="28"/>
          <w:szCs w:val="28"/>
          <w:highlight w:val="none"/>
          <w:lang w:bidi="ar"/>
        </w:rPr>
        <w:t>投标文件初审表</w:t>
      </w:r>
    </w:p>
    <w:p w14:paraId="5E04A84A">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7</w:t>
      </w:r>
      <w:r>
        <w:rPr>
          <w:rFonts w:hint="eastAsia" w:ascii="仿宋_GB2312" w:hAnsi="仿宋_GB2312" w:eastAsia="仿宋_GB2312" w:cs="仿宋_GB2312"/>
          <w:color w:val="auto"/>
          <w:sz w:val="28"/>
          <w:szCs w:val="28"/>
          <w:highlight w:val="none"/>
          <w:lang w:bidi="ar"/>
        </w:rPr>
        <w:t>.</w:t>
      </w:r>
      <w:r>
        <w:rPr>
          <w:rFonts w:hint="eastAsia" w:ascii="仿宋_GB2312" w:hAnsi="仿宋_GB2312" w:eastAsia="仿宋_GB2312" w:cs="仿宋_GB2312"/>
          <w:color w:val="auto"/>
          <w:sz w:val="28"/>
          <w:szCs w:val="28"/>
          <w:highlight w:val="none"/>
          <w:lang w:eastAsia="zh-CN" w:bidi="ar"/>
        </w:rPr>
        <w:t>供应商</w:t>
      </w:r>
      <w:r>
        <w:rPr>
          <w:rFonts w:hint="eastAsia" w:ascii="仿宋_GB2312" w:hAnsi="仿宋_GB2312" w:eastAsia="仿宋_GB2312" w:cs="仿宋_GB2312"/>
          <w:color w:val="auto"/>
          <w:sz w:val="28"/>
          <w:szCs w:val="28"/>
          <w:highlight w:val="none"/>
          <w:lang w:bidi="ar"/>
        </w:rPr>
        <w:t>自查表</w:t>
      </w:r>
    </w:p>
    <w:p w14:paraId="6772BE69">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val="en-US" w:eastAsia="zh-CN" w:bidi="ar"/>
        </w:rPr>
        <w:t>8</w:t>
      </w:r>
      <w:r>
        <w:rPr>
          <w:rFonts w:hint="eastAsia" w:ascii="仿宋_GB2312" w:hAnsi="仿宋_GB2312" w:eastAsia="仿宋_GB2312" w:cs="仿宋_GB2312"/>
          <w:color w:val="auto"/>
          <w:sz w:val="28"/>
          <w:szCs w:val="28"/>
          <w:highlight w:val="none"/>
          <w:lang w:bidi="ar"/>
        </w:rPr>
        <w:t>.投标函</w:t>
      </w:r>
    </w:p>
    <w:p w14:paraId="14D7D23B">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.投标及履约承诺函</w:t>
      </w:r>
    </w:p>
    <w:p w14:paraId="24BB7AC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lang w:val="zh-CN"/>
        </w:rPr>
        <w:t>.供应商基本情况表</w:t>
      </w:r>
    </w:p>
    <w:p w14:paraId="4A3DE91C">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val="zh-CN"/>
        </w:rPr>
        <w:t>.社会保险证明</w:t>
      </w:r>
    </w:p>
    <w:p w14:paraId="2BE8980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zh-CN"/>
        </w:rPr>
        <w:t>.开标一览表</w:t>
      </w:r>
    </w:p>
    <w:p w14:paraId="6B8F74A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13.</w:t>
      </w:r>
      <w:r>
        <w:rPr>
          <w:rFonts w:hint="eastAsia" w:ascii="仿宋_GB2312" w:hAnsi="仿宋_GB2312" w:eastAsia="仿宋_GB2312" w:cs="仿宋_GB2312"/>
          <w:color w:val="auto"/>
          <w:sz w:val="28"/>
          <w:szCs w:val="28"/>
          <w:highlight w:val="none"/>
          <w:lang w:val="zh-CN"/>
        </w:rPr>
        <w:t>分</w:t>
      </w:r>
      <w:r>
        <w:rPr>
          <w:rFonts w:hint="eastAsia" w:ascii="仿宋_GB2312" w:hAnsi="仿宋_GB2312" w:eastAsia="仿宋_GB2312" w:cs="仿宋_GB2312"/>
          <w:color w:val="auto"/>
          <w:sz w:val="28"/>
          <w:szCs w:val="28"/>
          <w:highlight w:val="none"/>
          <w:lang w:val="en-US" w:eastAsia="zh-CN"/>
        </w:rPr>
        <w:t>项</w:t>
      </w:r>
      <w:r>
        <w:rPr>
          <w:rFonts w:hint="eastAsia" w:ascii="仿宋_GB2312" w:hAnsi="仿宋_GB2312" w:eastAsia="仿宋_GB2312" w:cs="仿宋_GB2312"/>
          <w:color w:val="auto"/>
          <w:sz w:val="28"/>
          <w:szCs w:val="28"/>
          <w:highlight w:val="none"/>
          <w:lang w:val="zh-CN"/>
        </w:rPr>
        <w:t>报价表</w:t>
      </w:r>
    </w:p>
    <w:p w14:paraId="1474A42E">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14.</w:t>
      </w:r>
      <w:r>
        <w:rPr>
          <w:rFonts w:hint="eastAsia" w:ascii="仿宋_GB2312" w:hAnsi="仿宋_GB2312" w:eastAsia="仿宋_GB2312" w:cs="仿宋_GB2312"/>
          <w:color w:val="auto"/>
          <w:sz w:val="28"/>
          <w:szCs w:val="28"/>
          <w:highlight w:val="none"/>
          <w:lang w:val="zh-CN"/>
        </w:rPr>
        <w:t>实质性条款响应情况表</w:t>
      </w:r>
    </w:p>
    <w:p w14:paraId="02C61CF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lang w:val="zh-CN"/>
        </w:rPr>
        <w:t>.商务条款偏离表</w:t>
      </w:r>
    </w:p>
    <w:p w14:paraId="4A5D3642">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rPr>
        <w:t>1</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lang w:val="en-US" w:eastAsia="zh-CN"/>
        </w:rPr>
        <w:t>服务</w:t>
      </w:r>
      <w:r>
        <w:rPr>
          <w:rFonts w:hint="eastAsia" w:ascii="仿宋_GB2312" w:hAnsi="仿宋_GB2312" w:eastAsia="仿宋_GB2312" w:cs="仿宋_GB2312"/>
          <w:color w:val="auto"/>
          <w:sz w:val="28"/>
          <w:szCs w:val="28"/>
          <w:highlight w:val="none"/>
          <w:lang w:val="zh-CN"/>
        </w:rPr>
        <w:t>条款偏离</w:t>
      </w:r>
      <w:r>
        <w:rPr>
          <w:rFonts w:hint="eastAsia" w:ascii="仿宋_GB2312" w:hAnsi="仿宋_GB2312" w:eastAsia="仿宋_GB2312" w:cs="仿宋_GB2312"/>
          <w:color w:val="auto"/>
          <w:sz w:val="28"/>
          <w:szCs w:val="28"/>
          <w:highlight w:val="none"/>
          <w:lang w:val="en-US" w:eastAsia="zh-CN"/>
        </w:rPr>
        <w:t>表</w:t>
      </w:r>
    </w:p>
    <w:p w14:paraId="00548674">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17.</w:t>
      </w:r>
      <w:r>
        <w:rPr>
          <w:rFonts w:hint="eastAsia" w:ascii="仿宋_GB2312" w:hAnsi="仿宋_GB2312" w:eastAsia="仿宋_GB2312" w:cs="仿宋_GB2312"/>
          <w:b w:val="0"/>
          <w:bCs w:val="0"/>
          <w:i w:val="0"/>
          <w:iCs w:val="0"/>
          <w:spacing w:val="0"/>
          <w:w w:val="100"/>
          <w:kern w:val="2"/>
          <w:sz w:val="28"/>
          <w:szCs w:val="28"/>
          <w:highlight w:val="none"/>
          <w:vertAlign w:val="baseline"/>
        </w:rPr>
        <w:t>活动方案</w:t>
      </w:r>
    </w:p>
    <w:p w14:paraId="5CB79FAA">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18</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b w:val="0"/>
          <w:bCs w:val="0"/>
          <w:i w:val="0"/>
          <w:iCs w:val="0"/>
          <w:spacing w:val="0"/>
          <w:w w:val="100"/>
          <w:kern w:val="2"/>
          <w:sz w:val="28"/>
          <w:szCs w:val="28"/>
          <w:highlight w:val="none"/>
          <w:vertAlign w:val="baseline"/>
        </w:rPr>
        <w:t>质量保障与风险管控</w:t>
      </w:r>
    </w:p>
    <w:p w14:paraId="2FFDE42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19</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b w:val="0"/>
          <w:bCs w:val="0"/>
          <w:i w:val="0"/>
          <w:iCs w:val="0"/>
          <w:spacing w:val="0"/>
          <w:w w:val="100"/>
          <w:kern w:val="2"/>
          <w:sz w:val="28"/>
          <w:szCs w:val="28"/>
          <w:highlight w:val="none"/>
          <w:vertAlign w:val="baseline"/>
        </w:rPr>
        <w:t>售后保障</w:t>
      </w:r>
    </w:p>
    <w:p w14:paraId="176A420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20</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sz w:val="28"/>
          <w:szCs w:val="28"/>
          <w:highlight w:val="none"/>
        </w:rPr>
        <w:t>服务条款偏离情况</w:t>
      </w:r>
    </w:p>
    <w:p w14:paraId="011F7981">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21</w:t>
      </w:r>
      <w:r>
        <w:rPr>
          <w:rFonts w:hint="eastAsia" w:ascii="仿宋_GB2312" w:hAnsi="仿宋_GB2312" w:eastAsia="仿宋_GB2312" w:cs="仿宋_GB2312"/>
          <w:color w:val="auto"/>
          <w:sz w:val="28"/>
          <w:szCs w:val="28"/>
          <w:highlight w:val="none"/>
        </w:rPr>
        <w:t>同类项目业绩</w:t>
      </w:r>
    </w:p>
    <w:p w14:paraId="149DA47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22.履约评价</w:t>
      </w:r>
    </w:p>
    <w:p w14:paraId="7137478E">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23.拟派本项目的服务人员及素质要求</w:t>
      </w:r>
    </w:p>
    <w:p w14:paraId="1B919ED0">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24.</w:t>
      </w:r>
      <w:r>
        <w:rPr>
          <w:rFonts w:hint="eastAsia" w:ascii="仿宋_GB2312" w:hAnsi="仿宋_GB2312" w:eastAsia="仿宋_GB2312" w:cs="仿宋_GB2312"/>
          <w:color w:val="auto"/>
          <w:sz w:val="28"/>
          <w:szCs w:val="28"/>
          <w:highlight w:val="none"/>
          <w:lang w:val="zh-CN"/>
        </w:rPr>
        <w:t>企业诚信</w:t>
      </w:r>
    </w:p>
    <w:p w14:paraId="5E8E4897">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en-US" w:eastAsia="zh-CN"/>
        </w:rPr>
        <w:t>25.</w:t>
      </w:r>
      <w:r>
        <w:rPr>
          <w:rFonts w:hint="eastAsia" w:ascii="仿宋_GB2312" w:hAnsi="仿宋_GB2312" w:eastAsia="仿宋_GB2312" w:cs="仿宋_GB2312"/>
          <w:color w:val="auto"/>
          <w:sz w:val="28"/>
          <w:szCs w:val="28"/>
          <w:highlight w:val="none"/>
          <w:lang w:val="zh-CN"/>
        </w:rPr>
        <w:t>中小企业声明函</w:t>
      </w:r>
    </w:p>
    <w:p w14:paraId="0A9A3CE9">
      <w:pPr>
        <w:keepNext w:val="0"/>
        <w:keepLines w:val="0"/>
        <w:pageBreakBefore w:val="0"/>
        <w:tabs>
          <w:tab w:val="left" w:pos="630"/>
          <w:tab w:val="left" w:pos="840"/>
        </w:tabs>
        <w:kinsoku/>
        <w:wordWrap/>
        <w:overflowPunct/>
        <w:topLinePunct w:val="0"/>
        <w:autoSpaceDE/>
        <w:autoSpaceDN/>
        <w:bidi w:val="0"/>
        <w:adjustRightInd/>
        <w:snapToGrid/>
        <w:spacing w:line="500" w:lineRule="exact"/>
        <w:ind w:left="420"/>
        <w:textAlignment w:val="auto"/>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lang w:val="zh-CN"/>
        </w:rPr>
        <w:t>.其他证明材料</w:t>
      </w:r>
    </w:p>
    <w:p w14:paraId="664AE71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8077E0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44896CAA">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D19594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67BA71D6">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7EDA4EE0">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73DFC8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0694704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163F118">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EAF5D0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22F45F5">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D5B8B4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22CFA47">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258F67A4">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59BC892B">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37F4DA13">
      <w:pPr>
        <w:keepNext w:val="0"/>
        <w:keepLines w:val="0"/>
        <w:pageBreakBefore w:val="0"/>
        <w:widowControl/>
        <w:tabs>
          <w:tab w:val="left" w:pos="630"/>
          <w:tab w:val="left" w:pos="840"/>
        </w:tabs>
        <w:kinsoku/>
        <w:wordWrap/>
        <w:overflowPunct/>
        <w:topLinePunct w:val="0"/>
        <w:autoSpaceDE/>
        <w:autoSpaceDN/>
        <w:bidi w:val="0"/>
        <w:adjustRightInd/>
        <w:snapToGrid/>
        <w:spacing w:line="500" w:lineRule="exact"/>
        <w:ind w:left="420"/>
        <w:jc w:val="left"/>
        <w:textAlignment w:val="auto"/>
        <w:rPr>
          <w:rFonts w:hint="eastAsia" w:ascii="仿宋_GB2312" w:hAnsi="仿宋_GB2312" w:eastAsia="仿宋_GB2312" w:cs="仿宋_GB2312"/>
          <w:color w:val="auto"/>
          <w:sz w:val="28"/>
          <w:szCs w:val="28"/>
          <w:highlight w:val="none"/>
          <w:lang w:bidi="ar"/>
        </w:rPr>
      </w:pPr>
    </w:p>
    <w:p w14:paraId="1D645797">
      <w:pP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br w:type="page"/>
      </w:r>
    </w:p>
    <w:p w14:paraId="5D73C22E">
      <w:pPr>
        <w:keepLines w:val="0"/>
        <w:pageBreakBefore w:val="0"/>
        <w:kinsoku/>
        <w:wordWrap/>
        <w:overflowPunct/>
        <w:topLinePunct w:val="0"/>
        <w:bidi w:val="0"/>
        <w:spacing w:line="50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投标函</w:t>
      </w:r>
    </w:p>
    <w:p w14:paraId="1850851A">
      <w:pPr>
        <w:keepLines w:val="0"/>
        <w:pageBreakBefore w:val="0"/>
        <w:kinsoku/>
        <w:wordWrap/>
        <w:overflowPunct/>
        <w:topLinePunct w:val="0"/>
        <w:bidi w:val="0"/>
        <w:spacing w:line="500" w:lineRule="exact"/>
        <w:jc w:val="center"/>
        <w:rPr>
          <w:rFonts w:hint="eastAsia" w:ascii="仿宋" w:hAnsi="仿宋" w:eastAsia="仿宋" w:cs="仿宋"/>
          <w:b/>
          <w:bCs/>
          <w:color w:val="auto"/>
          <w:sz w:val="36"/>
          <w:szCs w:val="44"/>
          <w:highlight w:val="none"/>
        </w:rPr>
      </w:pPr>
    </w:p>
    <w:p w14:paraId="28FC1EF2">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34A61489">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我司已经认真仔细阅读了贵单位关于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27E439F4">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项目的招标文件，完全同意招标文件中的所有条款，愿意按招标文件要求，决定以投标报价：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元参与投标并按招标文件要求承包上述项目，并许以如下承诺：</w:t>
      </w:r>
    </w:p>
    <w:p w14:paraId="1F70D58A">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1.我方愿意向招标人提供与本次招标的相关资料，并对其真实性、合法性、有效性负责。</w:t>
      </w:r>
    </w:p>
    <w:p w14:paraId="0F9E280D">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2.我方将严格履行本投标文件中的全部承诺和责任，并遵守招标文件中对投标人的所有规定。</w:t>
      </w:r>
    </w:p>
    <w:p w14:paraId="092657FF">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3.我方完全理解招标人有保留在授标之前，任何时候根据评标委员会的意见接受或拒绝任何投标的权利，并完全理解招标人对此无解释的义务。</w:t>
      </w:r>
    </w:p>
    <w:p w14:paraId="536A0F8B">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4.我方完全理解招标人不保证投标价最低的投标人中标。</w:t>
      </w:r>
    </w:p>
    <w:p w14:paraId="72FBFDD0">
      <w:pPr>
        <w:keepLines w:val="0"/>
        <w:pageBreakBefore w:val="0"/>
        <w:kinsoku/>
        <w:wordWrap/>
        <w:overflowPunct/>
        <w:topLinePunct w:val="0"/>
        <w:bidi w:val="0"/>
        <w:spacing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5.我方承诺在此次招标过程中涉及的一切应当保密的事项，不向任何第三方泄露，否则承担一切法律责任。</w:t>
      </w:r>
    </w:p>
    <w:p w14:paraId="6285E496">
      <w:pPr>
        <w:keepLines w:val="0"/>
        <w:pageBreakBefore w:val="0"/>
        <w:kinsoku/>
        <w:wordWrap/>
        <w:overflowPunct/>
        <w:topLinePunct w:val="0"/>
        <w:bidi w:val="0"/>
        <w:spacing w:line="500" w:lineRule="exact"/>
        <w:ind w:firstLine="560" w:firstLineChars="200"/>
        <w:rPr>
          <w:color w:val="auto"/>
          <w:sz w:val="28"/>
          <w:szCs w:val="28"/>
          <w:highlight w:val="none"/>
        </w:rPr>
      </w:pPr>
      <w:r>
        <w:rPr>
          <w:rFonts w:hint="eastAsia" w:ascii="仿宋_GB2312" w:hAnsi="仿宋_GB2312" w:eastAsia="仿宋_GB2312" w:cs="仿宋_GB2312"/>
          <w:color w:val="auto"/>
          <w:sz w:val="28"/>
          <w:szCs w:val="28"/>
          <w:highlight w:val="none"/>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363C0A48">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79EF97C6">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p>
    <w:p w14:paraId="21047444">
      <w:pPr>
        <w:keepLines w:val="0"/>
        <w:pageBreakBefore w:val="0"/>
        <w:kinsoku/>
        <w:wordWrap/>
        <w:overflowPunct/>
        <w:topLinePunct w:val="0"/>
        <w:bidi w:val="0"/>
        <w:spacing w:line="500" w:lineRule="exact"/>
        <w:ind w:firstLine="3360" w:firstLineChars="1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法定代表人或其授权代表人（签字）：</w:t>
      </w:r>
    </w:p>
    <w:p w14:paraId="36B6F4FA">
      <w:pPr>
        <w:keepLines w:val="0"/>
        <w:pageBreakBefore w:val="0"/>
        <w:kinsoku/>
        <w:wordWrap/>
        <w:overflowPunct/>
        <w:topLinePunct w:val="0"/>
        <w:bidi w:val="0"/>
        <w:spacing w:line="50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      投标单位全称（加盖公章）：</w:t>
      </w:r>
    </w:p>
    <w:p w14:paraId="3626EC7F">
      <w:pPr>
        <w:keepLines w:val="0"/>
        <w:pageBreakBefore w:val="0"/>
        <w:kinsoku/>
        <w:wordWrap/>
        <w:overflowPunct/>
        <w:topLinePunct w:val="0"/>
        <w:bidi w:val="0"/>
        <w:spacing w:line="500" w:lineRule="exact"/>
        <w:ind w:firstLine="3640" w:firstLineChars="13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日期：</w:t>
      </w:r>
      <w:r>
        <w:rPr>
          <w:rFonts w:hint="eastAsia" w:ascii="仿宋_GB2312" w:hAnsi="仿宋_GB2312" w:eastAsia="仿宋_GB2312" w:cs="仿宋_GB2312"/>
          <w:color w:val="auto"/>
          <w:sz w:val="28"/>
          <w:szCs w:val="28"/>
          <w:highlight w:val="none"/>
        </w:rPr>
        <w:t xml:space="preserve">      年    月    日</w:t>
      </w:r>
    </w:p>
    <w:p w14:paraId="6F3371F1">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0D61A011">
      <w:pPr>
        <w:keepLines w:val="0"/>
        <w:pageBreakBefore w:val="0"/>
        <w:kinsoku/>
        <w:wordWrap/>
        <w:overflowPunct/>
        <w:topLinePunct w:val="0"/>
        <w:bidi w:val="0"/>
        <w:spacing w:line="5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投标及履约承诺函</w:t>
      </w:r>
    </w:p>
    <w:p w14:paraId="13210280">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60705BBE">
      <w:pPr>
        <w:keepLines w:val="0"/>
        <w:pageBreakBefore w:val="0"/>
        <w:kinsoku/>
        <w:wordWrap/>
        <w:overflowPunct/>
        <w:topLinePunct w:val="0"/>
        <w:bidi w:val="0"/>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深圳市龙岗区第七人民医院：</w:t>
      </w:r>
    </w:p>
    <w:p w14:paraId="25FA06DB">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我公司参与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项目，编号：</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（以下简称“本项目”）院内采购活动，承诺：</w:t>
      </w:r>
    </w:p>
    <w:p w14:paraId="0E037515">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1.我单位参与本项目所投标（响应）的货物、工程或服务，不存在侵犯知识产权的情况；已知悉并同意中标（成交）结果信息公示（公开）的内容。</w:t>
      </w:r>
    </w:p>
    <w:p w14:paraId="11A8078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2.我单位参与该项目投标，符合采购文件关于联合体及进口产品的相关资格要求。</w:t>
      </w:r>
    </w:p>
    <w:p w14:paraId="4FB5143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3.我单位参与本项目投标前三年内，在经营活动中没有重大违法记录。</w:t>
      </w:r>
    </w:p>
    <w:p w14:paraId="60517101">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4.我单位参与本项目政府采购活动时不存在被有关部门禁止参与政府采购活动且在有效期内的情况。</w:t>
      </w:r>
    </w:p>
    <w:p w14:paraId="026E1AA2">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5.我单位具备《中华人民共和国政府采购法》第二十二条的条件。</w:t>
      </w:r>
    </w:p>
    <w:p w14:paraId="22D234DE">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6.我单位未被列入失信被执行人、重大税收违法案件当事人名单（重大税收违法失信主体）、政府采购严重违法失信行为记录名单。</w:t>
      </w:r>
    </w:p>
    <w:p w14:paraId="247DC64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5623C86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5116B9D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54AC5E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A9F0EA0">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10.我单位承诺中标后项目不转包，未经采购人同意不进行分包。</w:t>
      </w:r>
    </w:p>
    <w:p w14:paraId="154FB1E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BFB4C56">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12.我单位保证，若所投货物涉及《财政部生态环境部关于印发节能产品政府采购品目清单的通知》（财库〔2019〕19号）列明的政府采购强制产品，则所投该产品符合节能产品的认证要求。</w:t>
      </w:r>
    </w:p>
    <w:p w14:paraId="24DE08F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06A220B3">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75501047">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15.我单位清楚，如存在违反投标承诺行为情节严重的，将根据《深圳市财政局关于印发&lt;深圳市财政局政府采购供应商信用信息管理办法&gt;的通知》，依法被列入失信信息。</w:t>
      </w:r>
    </w:p>
    <w:p w14:paraId="4D8328B4">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16.我单位保证，参与本项目不存在《深圳市财政局政府采购供应商信用信息管理办法》列明的严重违法失信行为。</w:t>
      </w:r>
    </w:p>
    <w:p w14:paraId="6E85B5FC">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p>
    <w:p w14:paraId="63D8AECF">
      <w:pPr>
        <w:keepLines w:val="0"/>
        <w:pageBreakBefore w:val="0"/>
        <w:widowControl/>
        <w:kinsoku/>
        <w:wordWrap/>
        <w:overflowPunct/>
        <w:topLinePunct w:val="0"/>
        <w:bidi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以上承诺，如有违反，愿依照国家相关法律法规处理，并承担由此给采购人带来的损失。</w:t>
      </w:r>
    </w:p>
    <w:p w14:paraId="5457ED39">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7D9DA3D6">
      <w:pPr>
        <w:keepLines w:val="0"/>
        <w:pageBreakBefore w:val="0"/>
        <w:widowControl/>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12FD42CC">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投标人（公章）：</w:t>
      </w:r>
    </w:p>
    <w:p w14:paraId="781A3303">
      <w:pPr>
        <w:keepLines w:val="0"/>
        <w:pageBreakBefore w:val="0"/>
        <w:widowControl/>
        <w:kinsoku/>
        <w:wordWrap/>
        <w:overflowPunct/>
        <w:topLinePunct w:val="0"/>
        <w:bidi w:val="0"/>
        <w:spacing w:line="560" w:lineRule="exact"/>
        <w:ind w:firstLine="3080" w:firstLineChars="11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法定代表人或其授权代表签名：</w:t>
      </w:r>
    </w:p>
    <w:p w14:paraId="57545B2B">
      <w:pPr>
        <w:keepLines w:val="0"/>
        <w:pageBreakBefore w:val="0"/>
        <w:widowControl/>
        <w:kinsoku/>
        <w:wordWrap/>
        <w:overflowPunct/>
        <w:topLinePunct w:val="0"/>
        <w:bidi w:val="0"/>
        <w:spacing w:line="560" w:lineRule="exact"/>
        <w:ind w:firstLine="3080" w:firstLineChars="1100"/>
        <w:jc w:val="left"/>
        <w:rPr>
          <w:rFonts w:hint="eastAsia" w:ascii="宋体" w:hAnsi="宋体" w:cs="宋体"/>
          <w:color w:val="auto"/>
          <w:kern w:val="0"/>
          <w:sz w:val="44"/>
          <w:szCs w:val="44"/>
          <w:highlight w:val="none"/>
          <w:lang w:bidi="ar"/>
        </w:rPr>
      </w:pPr>
      <w:r>
        <w:rPr>
          <w:rFonts w:hint="eastAsia" w:ascii="仿宋_GB2312" w:hAnsi="仿宋_GB2312" w:eastAsia="仿宋_GB2312" w:cs="仿宋_GB2312"/>
          <w:color w:val="auto"/>
          <w:sz w:val="28"/>
          <w:szCs w:val="28"/>
          <w:highlight w:val="none"/>
        </w:rPr>
        <w:t>日期：      年    月    日</w:t>
      </w:r>
    </w:p>
    <w:p w14:paraId="6C7F2D85">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p>
    <w:p w14:paraId="4C5E4827">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30BEBD13">
      <w:pPr>
        <w:keepLines w:val="0"/>
        <w:pageBreakBefore w:val="0"/>
        <w:widowControl/>
        <w:kinsoku/>
        <w:wordWrap/>
        <w:overflowPunct/>
        <w:topLinePunct w:val="0"/>
        <w:bidi w:val="0"/>
        <w:spacing w:line="560" w:lineRule="exact"/>
        <w:jc w:val="both"/>
        <w:textAlignment w:val="center"/>
        <w:rPr>
          <w:rFonts w:hint="eastAsia" w:ascii="宋体" w:hAnsi="宋体" w:cs="宋体"/>
          <w:color w:val="auto"/>
          <w:kern w:val="0"/>
          <w:sz w:val="44"/>
          <w:szCs w:val="44"/>
          <w:highlight w:val="none"/>
          <w:lang w:bidi="ar"/>
        </w:rPr>
      </w:pPr>
    </w:p>
    <w:p w14:paraId="35BEC903">
      <w:pPr>
        <w:keepLines w:val="0"/>
        <w:pageBreakBefore w:val="0"/>
        <w:widowControl/>
        <w:kinsoku/>
        <w:wordWrap/>
        <w:overflowPunct/>
        <w:topLinePunct w:val="0"/>
        <w:bidi w:val="0"/>
        <w:spacing w:line="56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法定代表人证明书</w:t>
      </w:r>
    </w:p>
    <w:p w14:paraId="7B4026BC">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2070B036">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先生/小姐，现任我单位</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职务，为法定代表人，特此证明。</w:t>
      </w:r>
    </w:p>
    <w:p w14:paraId="171283B2">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77F07C8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有效日期：               签发日期：  </w:t>
      </w:r>
    </w:p>
    <w:p w14:paraId="1E21B9C9">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                   （盖章）</w:t>
      </w:r>
    </w:p>
    <w:p w14:paraId="40604D8F">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3C13C32D">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代表人性别：        年龄：       身份证号码：</w:t>
      </w:r>
    </w:p>
    <w:p w14:paraId="48112437">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营业执照号码：                   经济性质：</w:t>
      </w:r>
    </w:p>
    <w:p w14:paraId="11545DFD">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7E90C822">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20DE4414">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进口物品经营许可证号码：</w:t>
      </w:r>
    </w:p>
    <w:p w14:paraId="260F6D66">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主营（产）：</w:t>
      </w:r>
    </w:p>
    <w:p w14:paraId="39335A6F">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兼营（产）：</w:t>
      </w:r>
    </w:p>
    <w:p w14:paraId="2A702381">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p>
    <w:p w14:paraId="320BBA9F">
      <w:pPr>
        <w:keepLines w:val="0"/>
        <w:pageBreakBefore w:val="0"/>
        <w:kinsoku/>
        <w:wordWrap/>
        <w:overflowPunct/>
        <w:topLinePunct w:val="0"/>
        <w:bidi w:val="0"/>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1D26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2E0218F8">
            <w:pPr>
              <w:keepLines w:val="0"/>
              <w:pageBreakBefore w:val="0"/>
              <w:kinsoku/>
              <w:wordWrap/>
              <w:overflowPunct/>
              <w:topLinePunct w:val="0"/>
              <w:bidi w:val="0"/>
              <w:spacing w:line="560" w:lineRule="exact"/>
              <w:rPr>
                <w:color w:val="auto"/>
                <w:highlight w:val="none"/>
              </w:rPr>
            </w:pPr>
          </w:p>
          <w:p w14:paraId="06A475C1">
            <w:pPr>
              <w:keepLines w:val="0"/>
              <w:pageBreakBefore w:val="0"/>
              <w:kinsoku/>
              <w:wordWrap/>
              <w:overflowPunct/>
              <w:topLinePunct w:val="0"/>
              <w:bidi w:val="0"/>
              <w:spacing w:line="560" w:lineRule="exact"/>
              <w:rPr>
                <w:color w:val="auto"/>
                <w:highlight w:val="none"/>
              </w:rPr>
            </w:pPr>
          </w:p>
          <w:p w14:paraId="4EC46894">
            <w:pPr>
              <w:pStyle w:val="8"/>
              <w:keepLines w:val="0"/>
              <w:pageBreakBefore w:val="0"/>
              <w:kinsoku/>
              <w:wordWrap/>
              <w:overflowPunct/>
              <w:topLinePunct w:val="0"/>
              <w:bidi w:val="0"/>
              <w:spacing w:line="560" w:lineRule="exact"/>
              <w:rPr>
                <w:rFonts w:hint="eastAsia"/>
                <w:color w:val="auto"/>
                <w:highlight w:val="none"/>
              </w:rPr>
            </w:pPr>
          </w:p>
          <w:p w14:paraId="74B39978">
            <w:pPr>
              <w:keepLines w:val="0"/>
              <w:pageBreakBefore w:val="0"/>
              <w:kinsoku/>
              <w:wordWrap/>
              <w:overflowPunct/>
              <w:topLinePunct w:val="0"/>
              <w:bidi w:val="0"/>
              <w:spacing w:line="560" w:lineRule="exact"/>
              <w:ind w:firstLine="2100" w:firstLineChars="1000"/>
              <w:rPr>
                <w:color w:val="auto"/>
                <w:highlight w:val="none"/>
              </w:rPr>
            </w:pPr>
            <w:r>
              <w:rPr>
                <w:rFonts w:hint="eastAsia"/>
                <w:color w:val="auto"/>
                <w:highlight w:val="none"/>
              </w:rPr>
              <w:t>正反面</w:t>
            </w:r>
          </w:p>
        </w:tc>
      </w:tr>
    </w:tbl>
    <w:p w14:paraId="1E694484">
      <w:pP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br w:type="page"/>
      </w:r>
    </w:p>
    <w:p w14:paraId="0D7D14F3">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法定代表人授权书</w:t>
      </w:r>
    </w:p>
    <w:p w14:paraId="28417380">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7070E015">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4E28311D">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本授权书于</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日签字生效，有效期至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2CFF9ADB">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45A2F66C">
      <w:pPr>
        <w:keepNext w:val="0"/>
        <w:keepLines w:val="0"/>
        <w:pageBreakBefore w:val="0"/>
        <w:kinsoku/>
        <w:wordWrap/>
        <w:overflowPunct/>
        <w:topLinePunct w:val="0"/>
        <w:autoSpaceDE/>
        <w:autoSpaceDN/>
        <w:bidi w:val="0"/>
        <w:adjustRightInd/>
        <w:snapToGrid/>
        <w:spacing w:line="500" w:lineRule="exact"/>
        <w:ind w:firstLine="560" w:firstLineChars="200"/>
        <w:rPr>
          <w:rFonts w:hint="eastAsia" w:ascii="仿宋" w:hAnsi="仿宋" w:eastAsia="仿宋" w:cs="仿宋"/>
          <w:color w:val="auto"/>
          <w:sz w:val="28"/>
          <w:szCs w:val="28"/>
          <w:highlight w:val="none"/>
        </w:rPr>
      </w:pPr>
    </w:p>
    <w:p w14:paraId="453354FC">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w:t>
      </w:r>
    </w:p>
    <w:p w14:paraId="5BBD551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被授权人签字：　</w:t>
      </w:r>
    </w:p>
    <w:p w14:paraId="53F80040">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单位盖章：　</w:t>
      </w:r>
    </w:p>
    <w:p w14:paraId="75A6B4C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p>
    <w:p w14:paraId="419BE4B7">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被授权人姓名：                       身份证号：</w:t>
      </w:r>
    </w:p>
    <w:p w14:paraId="51971328">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职务：</w:t>
      </w:r>
    </w:p>
    <w:p w14:paraId="60251DF7">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详细通信地址：</w:t>
      </w:r>
    </w:p>
    <w:p w14:paraId="0CED02B2">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邮政编码：</w:t>
      </w:r>
    </w:p>
    <w:p w14:paraId="76A4C73D">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3704C18D">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移动电话：</w:t>
      </w:r>
    </w:p>
    <w:p w14:paraId="191DEDF4">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传真：</w:t>
      </w:r>
    </w:p>
    <w:p w14:paraId="4843D8B3">
      <w:pPr>
        <w:keepNext w:val="0"/>
        <w:keepLines w:val="0"/>
        <w:pageBreakBefore w:val="0"/>
        <w:kinsoku/>
        <w:wordWrap/>
        <w:overflowPunct/>
        <w:topLinePunct w:val="0"/>
        <w:autoSpaceDE/>
        <w:autoSpaceDN/>
        <w:bidi w:val="0"/>
        <w:adjustRightInd/>
        <w:snapToGrid/>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67B1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14:paraId="71DE806C">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40451249">
            <w:pPr>
              <w:keepNext w:val="0"/>
              <w:keepLines w:val="0"/>
              <w:pageBreakBefore w:val="0"/>
              <w:kinsoku/>
              <w:wordWrap/>
              <w:overflowPunct/>
              <w:topLinePunct w:val="0"/>
              <w:autoSpaceDE/>
              <w:autoSpaceDN/>
              <w:bidi w:val="0"/>
              <w:adjustRightInd/>
              <w:snapToGrid/>
              <w:spacing w:line="500" w:lineRule="exact"/>
              <w:rPr>
                <w:color w:val="auto"/>
                <w:highlight w:val="none"/>
              </w:rPr>
            </w:pPr>
          </w:p>
          <w:p w14:paraId="5F0A58BA">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p>
          <w:p w14:paraId="7ABD6402">
            <w:pPr>
              <w:keepNext w:val="0"/>
              <w:keepLines w:val="0"/>
              <w:pageBreakBefore w:val="0"/>
              <w:kinsoku/>
              <w:wordWrap/>
              <w:overflowPunct/>
              <w:topLinePunct w:val="0"/>
              <w:autoSpaceDE/>
              <w:autoSpaceDN/>
              <w:bidi w:val="0"/>
              <w:adjustRightInd/>
              <w:snapToGrid/>
              <w:spacing w:line="500" w:lineRule="exact"/>
              <w:ind w:firstLine="2310" w:firstLineChars="1100"/>
              <w:rPr>
                <w:color w:val="auto"/>
                <w:highlight w:val="none"/>
              </w:rPr>
            </w:pPr>
            <w:r>
              <w:rPr>
                <w:rFonts w:hint="eastAsia"/>
                <w:color w:val="auto"/>
                <w:highlight w:val="none"/>
              </w:rPr>
              <w:t>正反面</w:t>
            </w:r>
          </w:p>
        </w:tc>
      </w:tr>
    </w:tbl>
    <w:p w14:paraId="56CBB1EC">
      <w:pPr>
        <w:pStyle w:val="3"/>
        <w:keepLines w:val="0"/>
        <w:pageBreakBefore w:val="0"/>
        <w:kinsoku/>
        <w:wordWrap/>
        <w:overflowPunct/>
        <w:topLinePunct w:val="0"/>
        <w:bidi w:val="0"/>
        <w:spacing w:line="560" w:lineRule="exact"/>
        <w:ind w:left="420" w:hanging="420"/>
        <w:jc w:val="center"/>
        <w:rPr>
          <w:rFonts w:hint="eastAsia" w:ascii="宋体" w:hAnsi="宋体" w:cs="宋体"/>
          <w:b/>
          <w:bCs/>
          <w:color w:val="auto"/>
          <w:sz w:val="44"/>
          <w:szCs w:val="44"/>
          <w:highlight w:val="none"/>
        </w:rPr>
      </w:pPr>
    </w:p>
    <w:p w14:paraId="0D434745">
      <w:pPr>
        <w:pStyle w:val="3"/>
        <w:keepLines w:val="0"/>
        <w:pageBreakBefore w:val="0"/>
        <w:kinsoku/>
        <w:wordWrap/>
        <w:overflowPunct/>
        <w:topLinePunct w:val="0"/>
        <w:bidi w:val="0"/>
        <w:spacing w:line="560" w:lineRule="exact"/>
        <w:ind w:left="420" w:hanging="420"/>
        <w:jc w:val="center"/>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供应商基本情况表</w:t>
      </w:r>
    </w:p>
    <w:p w14:paraId="030D7101">
      <w:pPr>
        <w:keepLines w:val="0"/>
        <w:pageBreakBefore w:val="0"/>
        <w:kinsoku/>
        <w:wordWrap/>
        <w:overflowPunct/>
        <w:topLinePunct w:val="0"/>
        <w:bidi w:val="0"/>
        <w:spacing w:line="560" w:lineRule="exact"/>
        <w:rPr>
          <w:color w:val="auto"/>
          <w:highlight w:val="none"/>
          <w:u w:val="single"/>
        </w:rPr>
      </w:pPr>
      <w:r>
        <w:rPr>
          <w:rFonts w:hint="eastAsia"/>
          <w:color w:val="auto"/>
          <w:highlight w:val="none"/>
        </w:rPr>
        <w:t>填表单位：</w:t>
      </w:r>
      <w:r>
        <w:rPr>
          <w:rFonts w:hint="eastAsia"/>
          <w:color w:val="auto"/>
          <w:highlight w:val="none"/>
          <w:u w:val="single"/>
        </w:rPr>
        <w:t xml:space="preserve">           </w:t>
      </w:r>
      <w:r>
        <w:rPr>
          <w:rFonts w:hint="eastAsia"/>
          <w:color w:val="auto"/>
          <w:highlight w:val="none"/>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26A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62" w:type="dxa"/>
            <w:vAlign w:val="center"/>
          </w:tcPr>
          <w:p w14:paraId="3EC53E8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w:t>
            </w:r>
          </w:p>
        </w:tc>
        <w:tc>
          <w:tcPr>
            <w:tcW w:w="3386" w:type="dxa"/>
            <w:gridSpan w:val="2"/>
            <w:vAlign w:val="center"/>
          </w:tcPr>
          <w:p w14:paraId="3A90246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4D9F1E7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583" w:type="dxa"/>
            <w:vAlign w:val="center"/>
          </w:tcPr>
          <w:p w14:paraId="5B1F32F7">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7F6A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6C3BE96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3386" w:type="dxa"/>
            <w:gridSpan w:val="2"/>
            <w:vAlign w:val="center"/>
          </w:tcPr>
          <w:p w14:paraId="5B5C866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234B392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1583" w:type="dxa"/>
            <w:vAlign w:val="center"/>
          </w:tcPr>
          <w:p w14:paraId="1DFF884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4214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0DF7287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投标（响应）供应商相关人员情况</w:t>
            </w:r>
          </w:p>
        </w:tc>
      </w:tr>
      <w:tr w14:paraId="4F23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59B1DD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57" w:type="dxa"/>
            <w:vAlign w:val="center"/>
          </w:tcPr>
          <w:p w14:paraId="502572E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429" w:type="dxa"/>
            <w:vAlign w:val="center"/>
          </w:tcPr>
          <w:p w14:paraId="03F65CC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583" w:type="dxa"/>
            <w:vAlign w:val="center"/>
          </w:tcPr>
          <w:p w14:paraId="3DCE553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83" w:type="dxa"/>
            <w:vAlign w:val="center"/>
          </w:tcPr>
          <w:p w14:paraId="6912562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14:paraId="1D5865C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583" w:type="dxa"/>
            <w:vAlign w:val="center"/>
          </w:tcPr>
          <w:p w14:paraId="12BB33E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14:paraId="58619174">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14:paraId="379A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2CF8AB0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57" w:type="dxa"/>
            <w:vAlign w:val="center"/>
          </w:tcPr>
          <w:p w14:paraId="2D10670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w:t>
            </w:r>
          </w:p>
        </w:tc>
        <w:tc>
          <w:tcPr>
            <w:tcW w:w="1429" w:type="dxa"/>
            <w:vAlign w:val="center"/>
          </w:tcPr>
          <w:p w14:paraId="56A3A2D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A8BAC8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7A52F3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2B00E0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40F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0125BCB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57" w:type="dxa"/>
            <w:vAlign w:val="center"/>
          </w:tcPr>
          <w:p w14:paraId="2B9C41A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主要经营负责人</w:t>
            </w:r>
          </w:p>
        </w:tc>
        <w:tc>
          <w:tcPr>
            <w:tcW w:w="1429" w:type="dxa"/>
            <w:vAlign w:val="center"/>
          </w:tcPr>
          <w:p w14:paraId="3B212672">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2E8568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9E88E2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7884E6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61B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876097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57" w:type="dxa"/>
            <w:vAlign w:val="center"/>
          </w:tcPr>
          <w:p w14:paraId="62CB1BE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1429" w:type="dxa"/>
            <w:vAlign w:val="center"/>
          </w:tcPr>
          <w:p w14:paraId="2D0FDF9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B854CC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3DA0270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6A59F5C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2938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F94FF3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57" w:type="dxa"/>
            <w:vAlign w:val="center"/>
          </w:tcPr>
          <w:p w14:paraId="71D44AF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1429" w:type="dxa"/>
            <w:vAlign w:val="center"/>
          </w:tcPr>
          <w:p w14:paraId="4BC61A56">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7DBE6D3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2B7F65B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C77828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A90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C1F2B5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57" w:type="dxa"/>
            <w:vAlign w:val="center"/>
          </w:tcPr>
          <w:p w14:paraId="48BFD12B">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1429" w:type="dxa"/>
            <w:vAlign w:val="center"/>
          </w:tcPr>
          <w:p w14:paraId="4D333F9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EB31B9F">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5EE954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8B570C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31C4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413354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57" w:type="dxa"/>
            <w:vAlign w:val="center"/>
          </w:tcPr>
          <w:p w14:paraId="712C5389">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1429" w:type="dxa"/>
            <w:vAlign w:val="center"/>
          </w:tcPr>
          <w:p w14:paraId="35EAB631">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4106BEB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5000FA7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1583" w:type="dxa"/>
            <w:vAlign w:val="center"/>
          </w:tcPr>
          <w:p w14:paraId="0866E29D">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r>
      <w:tr w14:paraId="5C73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3F523921">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14:paraId="7586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5C42F0E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投标（响应）供应商关联关系情况</w:t>
            </w:r>
          </w:p>
        </w:tc>
      </w:tr>
      <w:tr w14:paraId="1C9A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97B116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386" w:type="dxa"/>
            <w:gridSpan w:val="2"/>
            <w:vAlign w:val="center"/>
          </w:tcPr>
          <w:p w14:paraId="6C1C768C">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583" w:type="dxa"/>
            <w:vAlign w:val="center"/>
          </w:tcPr>
          <w:p w14:paraId="21D292BE">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3166" w:type="dxa"/>
            <w:gridSpan w:val="2"/>
            <w:vAlign w:val="center"/>
          </w:tcPr>
          <w:p w14:paraId="24D3726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9DE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404E1B4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3386" w:type="dxa"/>
            <w:gridSpan w:val="2"/>
            <w:vAlign w:val="center"/>
          </w:tcPr>
          <w:p w14:paraId="7F409E0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583" w:type="dxa"/>
            <w:vAlign w:val="center"/>
          </w:tcPr>
          <w:p w14:paraId="23A0AFFA">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2AA586C3">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466EEE2C">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影响的股东。</w:t>
            </w:r>
          </w:p>
        </w:tc>
      </w:tr>
      <w:tr w14:paraId="01CE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4EB6CFC5">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3386" w:type="dxa"/>
            <w:gridSpan w:val="2"/>
            <w:vAlign w:val="center"/>
          </w:tcPr>
          <w:p w14:paraId="6B94E618">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583" w:type="dxa"/>
            <w:vAlign w:val="center"/>
          </w:tcPr>
          <w:p w14:paraId="0C3D3E20">
            <w:pPr>
              <w:keepLines w:val="0"/>
              <w:pageBreakBefore w:val="0"/>
              <w:kinsoku/>
              <w:wordWrap/>
              <w:overflowPunct/>
              <w:topLinePunct w:val="0"/>
              <w:bidi w:val="0"/>
              <w:spacing w:line="560" w:lineRule="exact"/>
              <w:jc w:val="center"/>
              <w:rPr>
                <w:rFonts w:hint="eastAsia" w:ascii="宋体" w:hAnsi="宋体" w:cs="宋体"/>
                <w:color w:val="auto"/>
                <w:szCs w:val="21"/>
                <w:highlight w:val="none"/>
              </w:rPr>
            </w:pPr>
          </w:p>
        </w:tc>
        <w:tc>
          <w:tcPr>
            <w:tcW w:w="3166" w:type="dxa"/>
            <w:gridSpan w:val="2"/>
            <w:vAlign w:val="center"/>
          </w:tcPr>
          <w:p w14:paraId="7EEB1212">
            <w:pPr>
              <w:keepLines w:val="0"/>
              <w:pageBreakBefore w:val="0"/>
              <w:kinsoku/>
              <w:wordWrap/>
              <w:overflowPunct/>
              <w:topLinePunct w:val="0"/>
              <w:bidi w:val="0"/>
              <w:spacing w:line="56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1B7D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31B400B5">
            <w:pPr>
              <w:keepLines w:val="0"/>
              <w:pageBreakBefore w:val="0"/>
              <w:kinsoku/>
              <w:wordWrap/>
              <w:overflowPunct/>
              <w:topLinePunct w:val="0"/>
              <w:bidi w:val="0"/>
              <w:spacing w:line="56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14:paraId="5448B137">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备注：</w:t>
      </w:r>
    </w:p>
    <w:p w14:paraId="4F0B6FA1">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1.本表中填报的人员姓名、身份证号码、缴纳社会保险单位应与社保证明材料中显示的信息相同。</w:t>
      </w:r>
    </w:p>
    <w:p w14:paraId="65F276DA">
      <w:pPr>
        <w:keepLines w:val="0"/>
        <w:pageBreakBefore w:val="0"/>
        <w:kinsoku/>
        <w:wordWrap/>
        <w:overflowPunct/>
        <w:topLinePunct w:val="0"/>
        <w:bidi w:val="0"/>
        <w:spacing w:line="560" w:lineRule="exact"/>
        <w:rPr>
          <w:rFonts w:hint="eastAsia" w:ascii="宋体" w:hAnsi="宋体" w:cs="宋体"/>
          <w:b/>
          <w:bCs/>
          <w:color w:val="auto"/>
          <w:highlight w:val="none"/>
        </w:rPr>
      </w:pPr>
      <w:r>
        <w:rPr>
          <w:rFonts w:hint="eastAsia" w:ascii="宋体" w:hAnsi="宋体" w:cs="宋体"/>
          <w:b/>
          <w:bCs/>
          <w:color w:val="auto"/>
          <w:highlight w:val="none"/>
        </w:rPr>
        <w:t>2.投标（响应）供应商未按要求填报《供应商基本情况表》或未加盖公章或未按要求提供证明材料的，将按投标（响应）无效处理。</w:t>
      </w:r>
    </w:p>
    <w:p w14:paraId="7EB67E3E">
      <w:pPr>
        <w:keepLines w:val="0"/>
        <w:pageBreakBefore w:val="0"/>
        <w:kinsoku/>
        <w:wordWrap/>
        <w:overflowPunct/>
        <w:topLinePunct w:val="0"/>
        <w:bidi w:val="0"/>
        <w:spacing w:line="56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br w:type="page"/>
      </w:r>
    </w:p>
    <w:p w14:paraId="726EAAA2">
      <w:pPr>
        <w:pStyle w:val="3"/>
        <w:keepNext w:val="0"/>
        <w:keepLines w:val="0"/>
        <w:pageBreakBefore w:val="0"/>
        <w:widowControl w:val="0"/>
        <w:kinsoku/>
        <w:wordWrap/>
        <w:overflowPunct/>
        <w:topLinePunct w:val="0"/>
        <w:bidi w:val="0"/>
        <w:adjustRightInd/>
        <w:snapToGrid/>
        <w:spacing w:line="500" w:lineRule="exact"/>
        <w:ind w:left="420" w:hanging="420"/>
        <w:jc w:val="center"/>
        <w:textAlignment w:val="auto"/>
        <w:rPr>
          <w:rFonts w:hint="eastAsia" w:ascii="宋体" w:hAnsi="宋体" w:cs="宋体"/>
          <w:color w:val="auto"/>
          <w:kern w:val="0"/>
          <w:sz w:val="44"/>
          <w:szCs w:val="44"/>
          <w:highlight w:val="none"/>
          <w:lang w:bidi="ar"/>
        </w:rPr>
      </w:pPr>
      <w:r>
        <w:rPr>
          <w:rFonts w:hint="eastAsia" w:ascii="宋体" w:hAnsi="宋体" w:cs="宋体"/>
          <w:color w:val="auto"/>
          <w:kern w:val="0"/>
          <w:sz w:val="44"/>
          <w:szCs w:val="44"/>
          <w:highlight w:val="none"/>
          <w:lang w:bidi="ar"/>
        </w:rPr>
        <w:t>提供社会保险证明</w:t>
      </w:r>
    </w:p>
    <w:p w14:paraId="2B3F0B59">
      <w:pPr>
        <w:pStyle w:val="25"/>
        <w:keepNext w:val="0"/>
        <w:keepLines w:val="0"/>
        <w:pageBreakBefore w:val="0"/>
        <w:widowControl w:val="0"/>
        <w:kinsoku/>
        <w:wordWrap/>
        <w:overflowPunct/>
        <w:topLinePunct w:val="0"/>
        <w:bidi w:val="0"/>
        <w:adjustRightInd/>
        <w:snapToGrid/>
        <w:spacing w:line="500" w:lineRule="exact"/>
        <w:textAlignment w:val="auto"/>
        <w:rPr>
          <w:color w:val="auto"/>
          <w:highlight w:val="none"/>
        </w:rPr>
      </w:pPr>
    </w:p>
    <w:p w14:paraId="7EE8863C">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提供法定代表人最近一个月的社保证明：</w:t>
      </w:r>
    </w:p>
    <w:p w14:paraId="43748603">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提供主要经营负责人最近一个月的社保证明：</w:t>
      </w:r>
    </w:p>
    <w:p w14:paraId="75A0B7A8">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项目投标授权代表人最近一个月的社保证明：</w:t>
      </w:r>
    </w:p>
    <w:p w14:paraId="5074043B">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提供项目负责人最近一个月的社保证明（如有）：</w:t>
      </w:r>
    </w:p>
    <w:p w14:paraId="04643380">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提供主要技术人员最近一个月的社保证明（如有）：</w:t>
      </w:r>
    </w:p>
    <w:p w14:paraId="75B670EB">
      <w:pPr>
        <w:keepNext w:val="0"/>
        <w:keepLines w:val="0"/>
        <w:pageBreakBefore w:val="0"/>
        <w:widowControl w:val="0"/>
        <w:kinsoku/>
        <w:wordWrap/>
        <w:overflowPunct/>
        <w:topLinePunct w:val="0"/>
        <w:bidi w:val="0"/>
        <w:adjustRightInd/>
        <w:snapToGrid/>
        <w:spacing w:line="500" w:lineRule="exact"/>
        <w:textAlignment w:val="auto"/>
        <w:rPr>
          <w:rFonts w:hint="eastAsia" w:ascii="宋体" w:hAnsi="宋体"/>
          <w:color w:val="auto"/>
          <w:sz w:val="28"/>
          <w:szCs w:val="28"/>
          <w:highlight w:val="none"/>
        </w:rPr>
      </w:pPr>
    </w:p>
    <w:p w14:paraId="258087DE">
      <w:pPr>
        <w:pStyle w:val="8"/>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color w:val="auto"/>
          <w:sz w:val="28"/>
          <w:szCs w:val="28"/>
          <w:highlight w:val="none"/>
        </w:rPr>
      </w:pPr>
      <w:r>
        <w:rPr>
          <w:rFonts w:hint="eastAsia"/>
          <w:color w:val="auto"/>
          <w:sz w:val="28"/>
          <w:szCs w:val="28"/>
          <w:highlight w:val="none"/>
        </w:rPr>
        <w:t>注：</w:t>
      </w:r>
    </w:p>
    <w:p w14:paraId="5545DDAF">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1.法定代表人、主要经营负责人、项目投标授权代表人的社会保险未由投标人单位缴纳，亦须提供相应单位为其缴纳的社会保险证明（须体现投标人的单位信息）。</w:t>
      </w:r>
    </w:p>
    <w:p w14:paraId="2CA99523">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2.项目负责人和主要技术人员的社会保险须由投标人单位缴纳（须体现投标人的单位信息）。</w:t>
      </w:r>
    </w:p>
    <w:p w14:paraId="6401A2D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3.投标人为新成立企业且成立时间不足一个月可提供加盖投标人公章的情况说明或者证明材料亦视为符合。</w:t>
      </w:r>
    </w:p>
    <w:p w14:paraId="5F0C5896">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4.由于社保部门或税务部门的原因最近一个月的社保证明无法提供的可往前顺延一个月。</w:t>
      </w:r>
    </w:p>
    <w:p w14:paraId="34F6EAD1">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5.如依法不需要缴纳社会保险的，应提供相应文件证明；如为退休返聘人员提供退休证明和聘用合同。</w:t>
      </w:r>
    </w:p>
    <w:p w14:paraId="7F40FC37">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6.若因社保部门原因无法提供的，需提供劳动合同及社保部门官方通知证明（或官网公告截图）。</w:t>
      </w:r>
    </w:p>
    <w:p w14:paraId="3DAE1583">
      <w:pPr>
        <w:keepNext w:val="0"/>
        <w:keepLines w:val="0"/>
        <w:pageBreakBefore w:val="0"/>
        <w:widowControl w:val="0"/>
        <w:kinsoku/>
        <w:wordWrap/>
        <w:overflowPunct/>
        <w:topLinePunct w:val="0"/>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7.如本项目未安排项目负责人、主要技术人员的，无需提供项目负责人、主要技术人员的社会保险证明。</w:t>
      </w:r>
    </w:p>
    <w:p w14:paraId="039B817F">
      <w:pP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br w:type="page"/>
      </w:r>
    </w:p>
    <w:p w14:paraId="7F3BD47B">
      <w:pPr>
        <w:keepLines w:val="0"/>
        <w:pageBreakBefore w:val="0"/>
        <w:kinsoku/>
        <w:wordWrap/>
        <w:overflowPunct/>
        <w:topLinePunct w:val="0"/>
        <w:bidi w:val="0"/>
        <w:spacing w:line="560" w:lineRule="exact"/>
        <w:jc w:val="both"/>
        <w:rPr>
          <w:rFonts w:hint="eastAsia" w:ascii="宋体" w:hAnsi="宋体" w:cs="宋体"/>
          <w:b/>
          <w:bCs/>
          <w:color w:val="auto"/>
          <w:sz w:val="44"/>
          <w:szCs w:val="44"/>
          <w:highlight w:val="none"/>
        </w:rPr>
      </w:pPr>
    </w:p>
    <w:p w14:paraId="470422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黑体"/>
          <w:color w:val="auto"/>
          <w:sz w:val="32"/>
          <w:szCs w:val="32"/>
          <w:highlight w:val="none"/>
        </w:rPr>
      </w:pPr>
      <w:r>
        <w:rPr>
          <w:rFonts w:hint="eastAsia" w:ascii="宋体" w:hAnsi="宋体" w:cs="宋体"/>
          <w:b/>
          <w:bCs/>
          <w:color w:val="auto"/>
          <w:sz w:val="44"/>
          <w:szCs w:val="44"/>
          <w:highlight w:val="none"/>
        </w:rPr>
        <w:t>政府采购优惠政策（根据实际情况提供）</w:t>
      </w:r>
    </w:p>
    <w:p w14:paraId="40609BF3">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黑体" w:hAnsi="黑体" w:eastAsia="黑体" w:cs="黑体"/>
          <w:bCs/>
          <w:color w:val="auto"/>
          <w:sz w:val="28"/>
          <w:szCs w:val="28"/>
          <w:highlight w:val="none"/>
        </w:rPr>
      </w:pPr>
      <w:r>
        <w:rPr>
          <w:rFonts w:ascii="黑体" w:hAnsi="黑体" w:eastAsia="黑体" w:cs="黑体"/>
          <w:color w:val="auto"/>
          <w:sz w:val="28"/>
          <w:szCs w:val="28"/>
          <w:highlight w:val="none"/>
        </w:rPr>
        <w:t>一、投标人情况及资格证明文件</w:t>
      </w:r>
    </w:p>
    <w:p w14:paraId="0F2FA63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（一）投标人资格证明文件</w:t>
      </w:r>
    </w:p>
    <w:p w14:paraId="55D43CB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eastAsia="仿宋_GB2312"/>
          <w:b/>
          <w:bCs/>
          <w:color w:val="auto"/>
          <w:sz w:val="28"/>
          <w:szCs w:val="28"/>
          <w:highlight w:val="none"/>
        </w:rPr>
      </w:pPr>
      <w:r>
        <w:rPr>
          <w:rFonts w:hint="eastAsia" w:ascii="仿宋_GB2312" w:hAnsi="仿宋_GB2312" w:eastAsia="仿宋_GB2312" w:cs="仿宋_GB2312"/>
          <w:color w:val="auto"/>
          <w:sz w:val="28"/>
          <w:szCs w:val="28"/>
          <w:highlight w:val="none"/>
        </w:rPr>
        <w:t>[特别提示：投标人须按本招标文件第一册第一章招标公告“申请人的资格要求”（即投标人资格要求）提供相关的资格证明资料，未提供或提供不完整、不符合要求的，将作投标无效处理]</w:t>
      </w:r>
    </w:p>
    <w:p w14:paraId="313ECE58">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3"/>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（二）中小企业声明函、残疾人福利性单位声明函及监狱企业声明函</w:t>
      </w:r>
    </w:p>
    <w:p w14:paraId="409E2EB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填写指引：</w:t>
      </w:r>
    </w:p>
    <w:p w14:paraId="105562A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600C057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2.该部分内容填写需要参考的相关文件：</w:t>
      </w:r>
    </w:p>
    <w:p w14:paraId="1FF4E83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（1）财政部《政府采购促进中小企业发展管理办法》（财库〔2020〕46号）；</w:t>
      </w:r>
    </w:p>
    <w:p w14:paraId="396CFA3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（2）《工业和信息化部、国家统计局、国家发展和改革委员会、财政部关于印发中小企业划型标准规定的通知》（工信部联企业〔2011〕300号，以下简称300号文）；</w:t>
      </w:r>
    </w:p>
    <w:p w14:paraId="28E34D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（3）《政府采购促进中小企业发展管理办法》（财库〔2020〕46号）；</w:t>
      </w:r>
    </w:p>
    <w:p w14:paraId="4BE7C4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（4）《关于印发中小企业划型标准规定的通知》（工信部联企业〔2011〕300号）；</w:t>
      </w:r>
    </w:p>
    <w:p w14:paraId="347CFC0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color w:val="auto"/>
          <w:sz w:val="28"/>
          <w:szCs w:val="28"/>
          <w:highlight w:val="none"/>
        </w:rPr>
      </w:pPr>
      <w:r>
        <w:rPr>
          <w:rFonts w:hint="eastAsia" w:ascii="仿宋_GB2312" w:hAnsi="仿宋_GB2312" w:eastAsia="仿宋_GB2312" w:cs="仿宋_GB2312"/>
          <w:color w:val="auto"/>
          <w:sz w:val="28"/>
          <w:szCs w:val="28"/>
          <w:highlight w:val="none"/>
        </w:rPr>
        <w:t>（5）《统计上大中小微型企业划分办法（2017）》（国统字〔2017〕213号）；</w:t>
      </w:r>
    </w:p>
    <w:p w14:paraId="7C97A45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（6）《关于促进残疾人就业政府采购政策的通知》（财库〔2017〕141号）；</w:t>
      </w:r>
    </w:p>
    <w:p w14:paraId="21DFACE8">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（7）《关于政府采购支持监狱企业发展有关问题的通知》（财库〔2014〕68号）。</w:t>
      </w:r>
    </w:p>
    <w:p w14:paraId="116ACAF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3.请依照提供的格式和内容填写声明函，不要随意变更格式；声明函不需要盖章或签字；满足多项优惠政策的投标人，不重复享受多项价格扣除政策。</w:t>
      </w:r>
    </w:p>
    <w:p w14:paraId="5C05672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4.声明函具体填写要求：</w:t>
      </w:r>
    </w:p>
    <w:p w14:paraId="08E8E12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（1）声明是中小企业须填写《中小企业声明函》的以下内容：</w:t>
      </w:r>
    </w:p>
    <w:p w14:paraId="0F0D202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第一处，在“单位名称”下划线处如实填写采购人名称（深圳公共资源交易中心不是本项目的采购人，而是组织实施机构）；</w:t>
      </w:r>
    </w:p>
    <w:p w14:paraId="168C732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第二处，在“项目名称”下划线处如实填写采购项目名称；</w:t>
      </w:r>
    </w:p>
    <w:p w14:paraId="2072B71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第三处，在“标的名称”下划线处填写所采购货物（标的）的具体名称；如果涉及多项货物（标的）为同一企业制造，“标的名称”下划线处可以如实填写多项货物；</w:t>
      </w:r>
    </w:p>
    <w:p w14:paraId="5868CEA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第四处，在“招标文件中明确的所属行业”下划线处填写采购标的对应的中小企业划分标准所属行业；</w:t>
      </w:r>
    </w:p>
    <w:p w14:paraId="72DFE4C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13A2C2A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（2）声明：残疾人福利性单位须填写《残疾人福利性单位声明函》的相关内容，具体参照以上《中小企业声明函》填写要求执行。</w:t>
      </w:r>
    </w:p>
    <w:p w14:paraId="43BEA2C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（3）声明：监狱企业须填写《监狱企业声明函》的三项内容（填写位置的字体已加粗），具体参照以上《中小企业声明函》填写要求执行。</w:t>
      </w:r>
    </w:p>
    <w:p w14:paraId="48D6E90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5.声明函的有效性最终由评审委员会判定；如评审委员会判定声明函无效，相关供应商不享受价格扣除（但不作投标无效处理）。</w:t>
      </w:r>
    </w:p>
    <w:p w14:paraId="42817A4C">
      <w:pPr>
        <w:pStyle w:val="4"/>
        <w:keepLines w:val="0"/>
        <w:pageBreakBefore w:val="0"/>
        <w:kinsoku/>
        <w:wordWrap/>
        <w:overflowPunct/>
        <w:topLinePunct w:val="0"/>
        <w:bidi w:val="0"/>
        <w:spacing w:beforeAutospacing="0" w:afterAutospacing="0" w:line="560" w:lineRule="exact"/>
        <w:ind w:firstLine="560" w:firstLineChars="200"/>
        <w:jc w:val="both"/>
        <w:rPr>
          <w:rFonts w:ascii="黑体" w:hAnsi="黑体" w:eastAsia="黑体" w:cs="黑体"/>
          <w:color w:val="auto"/>
          <w:sz w:val="28"/>
          <w:szCs w:val="28"/>
          <w:highlight w:val="none"/>
        </w:rPr>
      </w:pPr>
    </w:p>
    <w:p w14:paraId="7C3614AF">
      <w:pPr>
        <w:pStyle w:val="4"/>
        <w:keepLines w:val="0"/>
        <w:pageBreakBefore w:val="0"/>
        <w:kinsoku/>
        <w:wordWrap/>
        <w:overflowPunct/>
        <w:topLinePunct w:val="0"/>
        <w:bidi w:val="0"/>
        <w:spacing w:beforeAutospacing="0" w:afterAutospacing="0" w:line="560" w:lineRule="exact"/>
        <w:jc w:val="both"/>
        <w:rPr>
          <w:rFonts w:hint="eastAsia"/>
          <w:b/>
          <w:color w:val="auto"/>
          <w:sz w:val="36"/>
          <w:szCs w:val="36"/>
          <w:highlight w:val="none"/>
        </w:rPr>
      </w:pPr>
      <w:r>
        <w:rPr>
          <w:rFonts w:ascii="黑体" w:hAnsi="黑体" w:eastAsia="黑体" w:cs="黑体"/>
          <w:color w:val="auto"/>
          <w:sz w:val="28"/>
          <w:szCs w:val="28"/>
          <w:highlight w:val="none"/>
        </w:rPr>
        <w:t>二、相关模板</w:t>
      </w:r>
    </w:p>
    <w:p w14:paraId="2DF53F74">
      <w:pPr>
        <w:pStyle w:val="6"/>
        <w:keepLines w:val="0"/>
        <w:pageBreakBefore w:val="0"/>
        <w:kinsoku/>
        <w:wordWrap/>
        <w:overflowPunct/>
        <w:topLinePunct w:val="0"/>
        <w:bidi w:val="0"/>
        <w:adjustRightInd w:val="0"/>
        <w:snapToGrid w:val="0"/>
        <w:spacing w:line="560" w:lineRule="exact"/>
        <w:ind w:firstLine="0"/>
        <w:jc w:val="center"/>
        <w:outlineLvl w:val="3"/>
        <w:rPr>
          <w:rFonts w:hint="eastAsia" w:ascii="仿宋_GB2312" w:hAnsi="仿宋_GB2312" w:eastAsia="仿宋_GB2312" w:cs="仿宋_GB2312"/>
          <w:b/>
          <w:color w:val="auto"/>
          <w:kern w:val="2"/>
          <w:sz w:val="36"/>
          <w:szCs w:val="36"/>
          <w:highlight w:val="none"/>
          <w:lang w:val="en-US" w:eastAsia="zh-CN" w:bidi="ar-SA"/>
        </w:rPr>
      </w:pPr>
      <w:r>
        <w:rPr>
          <w:rFonts w:hint="eastAsia" w:ascii="仿宋_GB2312" w:hAnsi="仿宋_GB2312" w:eastAsia="仿宋_GB2312" w:cs="仿宋_GB2312"/>
          <w:b/>
          <w:color w:val="auto"/>
          <w:kern w:val="2"/>
          <w:sz w:val="36"/>
          <w:szCs w:val="36"/>
          <w:highlight w:val="none"/>
          <w:lang w:val="en-US" w:eastAsia="zh-CN" w:bidi="ar-SA"/>
        </w:rPr>
        <w:t>（一）中小企业声明函</w:t>
      </w:r>
    </w:p>
    <w:p w14:paraId="2F981E45">
      <w:pPr>
        <w:pStyle w:val="8"/>
        <w:keepLines w:val="0"/>
        <w:pageBreakBefore w:val="0"/>
        <w:kinsoku/>
        <w:wordWrap/>
        <w:overflowPunct/>
        <w:topLinePunct w:val="0"/>
        <w:bidi w:val="0"/>
        <w:spacing w:line="560" w:lineRule="exact"/>
        <w:ind w:firstLine="560" w:firstLineChars="20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186C0DD0">
      <w:pPr>
        <w:pStyle w:val="8"/>
        <w:keepLines w:val="0"/>
        <w:pageBreakBefore w:val="0"/>
        <w:kinsoku/>
        <w:wordWrap/>
        <w:overflowPunct/>
        <w:topLinePunct w:val="0"/>
        <w:bidi w:val="0"/>
        <w:spacing w:line="560" w:lineRule="exact"/>
        <w:ind w:firstLine="640"/>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1.</w:t>
      </w:r>
      <w:r>
        <w:rPr>
          <w:rFonts w:hint="eastAsia" w:ascii="仿宋_GB2312" w:hAnsi="仿宋_GB2312" w:eastAsia="仿宋_GB2312" w:cs="仿宋_GB2312"/>
          <w:color w:val="auto"/>
          <w:kern w:val="2"/>
          <w:sz w:val="28"/>
          <w:szCs w:val="28"/>
          <w:highlight w:val="none"/>
          <w:u w:val="single"/>
          <w:lang w:val="en-US" w:eastAsia="zh-CN" w:bidi="ar-SA"/>
        </w:rPr>
        <w:t xml:space="preserve"> （采购标的名称）</w:t>
      </w:r>
      <w:r>
        <w:rPr>
          <w:rFonts w:hint="eastAsia" w:ascii="仿宋_GB2312" w:hAnsi="仿宋_GB2312" w:eastAsia="仿宋_GB2312" w:cs="仿宋_GB2312"/>
          <w:color w:val="auto"/>
          <w:kern w:val="2"/>
          <w:sz w:val="28"/>
          <w:szCs w:val="28"/>
          <w:highlight w:val="none"/>
          <w:lang w:val="en-US" w:eastAsia="zh-CN" w:bidi="ar-SA"/>
        </w:rPr>
        <w:t>，属于</w:t>
      </w:r>
      <w:r>
        <w:rPr>
          <w:rFonts w:hint="eastAsia" w:ascii="仿宋_GB2312" w:hAnsi="仿宋_GB2312" w:eastAsia="仿宋_GB2312" w:cs="仿宋_GB2312"/>
          <w:color w:val="auto"/>
          <w:kern w:val="2"/>
          <w:sz w:val="28"/>
          <w:szCs w:val="28"/>
          <w:highlight w:val="none"/>
          <w:u w:val="single"/>
          <w:lang w:val="en-US" w:eastAsia="zh-CN" w:bidi="ar-SA"/>
        </w:rPr>
        <w:t xml:space="preserve"> 工业 </w:t>
      </w:r>
      <w:r>
        <w:rPr>
          <w:rFonts w:hint="eastAsia" w:ascii="仿宋_GB2312" w:hAnsi="仿宋_GB2312" w:eastAsia="仿宋_GB2312" w:cs="仿宋_GB2312"/>
          <w:color w:val="auto"/>
          <w:kern w:val="2"/>
          <w:sz w:val="28"/>
          <w:szCs w:val="28"/>
          <w:highlight w:val="none"/>
          <w:lang w:val="en-US" w:eastAsia="zh-CN" w:bidi="ar-SA"/>
        </w:rPr>
        <w:t>行业；制造商为</w:t>
      </w:r>
      <w:r>
        <w:rPr>
          <w:rFonts w:hint="eastAsia" w:ascii="仿宋_GB2312" w:hAnsi="仿宋_GB2312" w:eastAsia="仿宋_GB2312" w:cs="仿宋_GB2312"/>
          <w:color w:val="auto"/>
          <w:kern w:val="2"/>
          <w:sz w:val="28"/>
          <w:szCs w:val="28"/>
          <w:highlight w:val="none"/>
          <w:u w:val="single"/>
          <w:lang w:val="en-US" w:eastAsia="zh-CN" w:bidi="ar-SA"/>
        </w:rPr>
        <w:t>（企业名称）</w:t>
      </w:r>
      <w:r>
        <w:rPr>
          <w:rFonts w:hint="eastAsia" w:ascii="仿宋_GB2312" w:hAnsi="仿宋_GB2312" w:eastAsia="仿宋_GB2312" w:cs="仿宋_GB2312"/>
          <w:color w:val="auto"/>
          <w:kern w:val="2"/>
          <w:sz w:val="28"/>
          <w:szCs w:val="28"/>
          <w:highlight w:val="none"/>
          <w:lang w:val="en-US" w:eastAsia="zh-CN" w:bidi="ar-SA"/>
        </w:rPr>
        <w:t>，从业人员</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人，营业收入为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万元，资产总额为</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u w:val="single"/>
          <w:lang w:val="en-US" w:eastAsia="zh-CN" w:bidi="ar-SA"/>
        </w:rPr>
        <w:tab/>
      </w:r>
      <w:r>
        <w:rPr>
          <w:rFonts w:hint="eastAsia" w:ascii="仿宋_GB2312" w:hAnsi="仿宋_GB2312" w:eastAsia="仿宋_GB2312" w:cs="仿宋_GB2312"/>
          <w:color w:val="auto"/>
          <w:kern w:val="2"/>
          <w:sz w:val="28"/>
          <w:szCs w:val="28"/>
          <w:highlight w:val="none"/>
          <w:lang w:val="en-US" w:eastAsia="zh-CN" w:bidi="ar-SA"/>
        </w:rPr>
        <w:t>万元，属于</w:t>
      </w:r>
      <w:r>
        <w:rPr>
          <w:rFonts w:hint="eastAsia" w:ascii="仿宋_GB2312" w:hAnsi="仿宋_GB2312" w:eastAsia="仿宋_GB2312" w:cs="仿宋_GB2312"/>
          <w:color w:val="auto"/>
          <w:kern w:val="2"/>
          <w:sz w:val="28"/>
          <w:szCs w:val="28"/>
          <w:highlight w:val="none"/>
          <w:u w:val="single"/>
          <w:lang w:val="en-US" w:eastAsia="zh-CN" w:bidi="ar-SA"/>
        </w:rPr>
        <w:t>（中型企业、小型企业、微型企业）</w:t>
      </w:r>
      <w:r>
        <w:rPr>
          <w:rFonts w:hint="eastAsia" w:ascii="仿宋_GB2312" w:hAnsi="仿宋_GB2312" w:eastAsia="仿宋_GB2312" w:cs="仿宋_GB2312"/>
          <w:color w:val="auto"/>
          <w:kern w:val="2"/>
          <w:sz w:val="28"/>
          <w:szCs w:val="28"/>
          <w:highlight w:val="none"/>
          <w:lang w:val="en-US" w:eastAsia="zh-CN" w:bidi="ar-SA"/>
        </w:rPr>
        <w:t>；</w:t>
      </w:r>
    </w:p>
    <w:p w14:paraId="0DCE36E6">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以上企业，不属于大企业的分支机构，不存在控股股东为大企业的情形，也不存在与大企业的负责人为同一人的情形。</w:t>
      </w:r>
    </w:p>
    <w:p w14:paraId="68996BE4">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本企业对上述声明内容的真实性负责。如有虚假，将依法承担相应责任。</w:t>
      </w:r>
    </w:p>
    <w:p w14:paraId="134DD7D0">
      <w:pPr>
        <w:pStyle w:val="8"/>
        <w:keepLines w:val="0"/>
        <w:pageBreakBefore w:val="0"/>
        <w:kinsoku/>
        <w:wordWrap/>
        <w:overflowPunct/>
        <w:topLinePunct w:val="0"/>
        <w:bidi w:val="0"/>
        <w:spacing w:line="560" w:lineRule="exact"/>
        <w:ind w:firstLine="645"/>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w:t>
      </w:r>
    </w:p>
    <w:p w14:paraId="31B1BC35">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企业名称（盖章）：</w:t>
      </w:r>
    </w:p>
    <w:p w14:paraId="6BF41508">
      <w:pPr>
        <w:pStyle w:val="8"/>
        <w:keepLines w:val="0"/>
        <w:pageBreakBefore w:val="0"/>
        <w:kinsoku/>
        <w:wordWrap/>
        <w:overflowPunct/>
        <w:topLinePunct w:val="0"/>
        <w:bidi w:val="0"/>
        <w:spacing w:line="560" w:lineRule="exact"/>
        <w:ind w:firstLine="645"/>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 xml:space="preserve">                                      日期：</w:t>
      </w:r>
    </w:p>
    <w:p w14:paraId="67DB10E8">
      <w:pPr>
        <w:keepLines w:val="0"/>
        <w:pageBreakBefore w:val="0"/>
        <w:kinsoku/>
        <w:wordWrap/>
        <w:overflowPunct/>
        <w:topLinePunct w:val="0"/>
        <w:bidi w:val="0"/>
        <w:spacing w:line="560" w:lineRule="exact"/>
        <w:jc w:val="left"/>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从业人员、营业收入、资产总额填报上一年度数据，无上一年度数据的新成立企业可不填报。</w:t>
      </w:r>
    </w:p>
    <w:p w14:paraId="2A73AAE5">
      <w:pPr>
        <w:pStyle w:val="8"/>
        <w:keepLines w:val="0"/>
        <w:pageBreakBefore w:val="0"/>
        <w:kinsoku/>
        <w:wordWrap/>
        <w:overflowPunct/>
        <w:topLinePunct w:val="0"/>
        <w:bidi w:val="0"/>
        <w:spacing w:line="560" w:lineRule="exact"/>
        <w:rPr>
          <w:rFonts w:hint="eastAsia"/>
          <w:color w:val="auto"/>
          <w:highlight w:val="none"/>
        </w:rPr>
      </w:pPr>
    </w:p>
    <w:p w14:paraId="177C2C5B">
      <w:pPr>
        <w:pStyle w:val="8"/>
        <w:keepLines w:val="0"/>
        <w:pageBreakBefore w:val="0"/>
        <w:kinsoku/>
        <w:wordWrap/>
        <w:overflowPunct/>
        <w:topLinePunct w:val="0"/>
        <w:bidi w:val="0"/>
        <w:spacing w:line="560" w:lineRule="exact"/>
        <w:rPr>
          <w:rFonts w:hint="eastAsia"/>
          <w:color w:val="auto"/>
          <w:highlight w:val="none"/>
        </w:rPr>
      </w:pPr>
    </w:p>
    <w:p w14:paraId="64C4A0DB">
      <w:pPr>
        <w:pStyle w:val="8"/>
        <w:keepLines w:val="0"/>
        <w:pageBreakBefore w:val="0"/>
        <w:kinsoku/>
        <w:wordWrap/>
        <w:overflowPunct/>
        <w:topLinePunct w:val="0"/>
        <w:bidi w:val="0"/>
        <w:spacing w:line="560" w:lineRule="exact"/>
        <w:rPr>
          <w:rFonts w:hint="eastAsia"/>
          <w:color w:val="auto"/>
          <w:highlight w:val="none"/>
        </w:rPr>
      </w:pPr>
    </w:p>
    <w:p w14:paraId="434E0348">
      <w:pPr>
        <w:spacing w:line="560" w:lineRule="exact"/>
        <w:rPr>
          <w:rFonts w:hint="eastAsia"/>
          <w:color w:val="auto"/>
          <w:highlight w:val="none"/>
        </w:rPr>
      </w:pPr>
    </w:p>
    <w:p w14:paraId="3E53C4FC">
      <w:pPr>
        <w:keepLines w:val="0"/>
        <w:pageBreakBefore w:val="0"/>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（二）残疾人福利性单位声明函</w:t>
      </w:r>
    </w:p>
    <w:p w14:paraId="240C182C">
      <w:pPr>
        <w:keepLines w:val="0"/>
        <w:pageBreakBefore w:val="0"/>
        <w:kinsoku/>
        <w:wordWrap/>
        <w:overflowPunct/>
        <w:topLinePunct w:val="0"/>
        <w:bidi w:val="0"/>
        <w:spacing w:line="560" w:lineRule="exact"/>
        <w:ind w:firstLine="640" w:firstLineChars="200"/>
        <w:jc w:val="left"/>
        <w:rPr>
          <w:rFonts w:hint="eastAsia" w:ascii="仿宋_GB2312" w:hAnsi="仿宋_GB2312" w:eastAsia="仿宋_GB2312" w:cs="仿宋_GB2312"/>
          <w:color w:val="auto"/>
          <w:sz w:val="32"/>
          <w:szCs w:val="32"/>
          <w:highlight w:val="none"/>
        </w:rPr>
      </w:pPr>
    </w:p>
    <w:p w14:paraId="5127CB73">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本单位知悉《促进残疾人就业政府采购政策的通知》（财库〔2017〕141号）的规定，承诺提供的声明函内容是真实的，如提供声明函内容不实，则依法追究相关法律责任。</w:t>
      </w:r>
    </w:p>
    <w:p w14:paraId="10F897D5">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17D6E58">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6B36DB78">
      <w:pPr>
        <w:pStyle w:val="8"/>
        <w:keepLines w:val="0"/>
        <w:pageBreakBefore w:val="0"/>
        <w:tabs>
          <w:tab w:val="left" w:pos="562"/>
          <w:tab w:val="left" w:pos="3372"/>
          <w:tab w:val="left" w:pos="3653"/>
        </w:tabs>
        <w:kinsoku/>
        <w:wordWrap/>
        <w:overflowPunct/>
        <w:topLinePunct w:val="0"/>
        <w:bidi w:val="0"/>
        <w:spacing w:line="560" w:lineRule="exact"/>
        <w:rPr>
          <w:rFonts w:hint="eastAsia" w:ascii="仿宋_GB2312" w:hAnsi="仿宋_GB2312" w:eastAsia="仿宋_GB2312" w:cs="仿宋_GB2312"/>
          <w:color w:val="auto"/>
          <w:sz w:val="28"/>
          <w:szCs w:val="28"/>
          <w:highlight w:val="none"/>
        </w:rPr>
      </w:pPr>
    </w:p>
    <w:p w14:paraId="10FDE8E2">
      <w:pPr>
        <w:keepLines w:val="0"/>
        <w:pageBreakBefore w:val="0"/>
        <w:kinsoku/>
        <w:wordWrap/>
        <w:overflowPunct/>
        <w:topLinePunct w:val="0"/>
        <w:bidi w:val="0"/>
        <w:spacing w:line="560" w:lineRule="exact"/>
        <w:rPr>
          <w:color w:val="auto"/>
          <w:sz w:val="28"/>
          <w:szCs w:val="28"/>
          <w:highlight w:val="none"/>
        </w:rPr>
      </w:pPr>
    </w:p>
    <w:p w14:paraId="13D1E99D">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39DDEDE8">
      <w:pPr>
        <w:keepLines w:val="0"/>
        <w:pageBreakBefore w:val="0"/>
        <w:kinsoku/>
        <w:wordWrap/>
        <w:overflowPunct/>
        <w:topLinePunct w:val="0"/>
        <w:bidi w:val="0"/>
        <w:spacing w:line="560" w:lineRule="exact"/>
        <w:ind w:firstLine="3920" w:firstLineChars="14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p>
    <w:p w14:paraId="24B4BAC3">
      <w:pPr>
        <w:keepLines w:val="0"/>
        <w:pageBreakBefore w:val="0"/>
        <w:kinsoku/>
        <w:wordWrap/>
        <w:overflowPunct/>
        <w:topLinePunct w:val="0"/>
        <w:bidi w:val="0"/>
        <w:spacing w:line="560" w:lineRule="exact"/>
        <w:rPr>
          <w:rFonts w:hint="eastAsia" w:ascii="仿宋_GB2312" w:hAnsi="仿宋_GB2312" w:eastAsia="仿宋_GB2312" w:cs="仿宋_GB2312"/>
          <w:color w:val="auto"/>
          <w:sz w:val="32"/>
          <w:szCs w:val="32"/>
          <w:highlight w:val="none"/>
        </w:rPr>
      </w:pPr>
    </w:p>
    <w:p w14:paraId="19A6C543">
      <w:pPr>
        <w:pStyle w:val="3"/>
        <w:spacing w:line="560" w:lineRule="exact"/>
        <w:rPr>
          <w:rFonts w:hint="eastAsia" w:ascii="仿宋_GB2312" w:hAnsi="仿宋_GB2312" w:eastAsia="仿宋_GB2312" w:cs="仿宋_GB2312"/>
          <w:color w:val="auto"/>
          <w:sz w:val="32"/>
          <w:szCs w:val="32"/>
          <w:highlight w:val="none"/>
        </w:rPr>
      </w:pPr>
    </w:p>
    <w:p w14:paraId="5E56830F">
      <w:pPr>
        <w:spacing w:line="560" w:lineRule="exact"/>
        <w:rPr>
          <w:rFonts w:hint="eastAsia" w:ascii="仿宋_GB2312" w:hAnsi="仿宋_GB2312" w:eastAsia="仿宋_GB2312" w:cs="仿宋_GB2312"/>
          <w:color w:val="auto"/>
          <w:sz w:val="32"/>
          <w:szCs w:val="32"/>
          <w:highlight w:val="none"/>
        </w:rPr>
      </w:pPr>
    </w:p>
    <w:p w14:paraId="7C4E6F2E">
      <w:pPr>
        <w:spacing w:line="560" w:lineRule="exact"/>
        <w:rPr>
          <w:rFonts w:hint="eastAsia" w:ascii="仿宋_GB2312" w:hAnsi="仿宋_GB2312" w:eastAsia="仿宋_GB2312" w:cs="仿宋_GB2312"/>
          <w:color w:val="auto"/>
          <w:sz w:val="32"/>
          <w:szCs w:val="32"/>
          <w:highlight w:val="none"/>
        </w:rPr>
      </w:pPr>
    </w:p>
    <w:p w14:paraId="5A2F3C16">
      <w:pPr>
        <w:spacing w:line="560" w:lineRule="exact"/>
        <w:rPr>
          <w:rFonts w:hint="eastAsia" w:ascii="仿宋_GB2312" w:hAnsi="仿宋_GB2312" w:eastAsia="仿宋_GB2312" w:cs="仿宋_GB2312"/>
          <w:color w:val="auto"/>
          <w:sz w:val="32"/>
          <w:szCs w:val="32"/>
          <w:highlight w:val="none"/>
        </w:rPr>
      </w:pPr>
    </w:p>
    <w:p w14:paraId="53950720">
      <w:pPr>
        <w:spacing w:line="560" w:lineRule="exact"/>
        <w:rPr>
          <w:rFonts w:hint="eastAsia" w:ascii="仿宋_GB2312" w:hAnsi="仿宋_GB2312" w:eastAsia="仿宋_GB2312" w:cs="仿宋_GB2312"/>
          <w:color w:val="auto"/>
          <w:sz w:val="32"/>
          <w:szCs w:val="32"/>
          <w:highlight w:val="none"/>
        </w:rPr>
      </w:pPr>
    </w:p>
    <w:p w14:paraId="6DA59E06">
      <w:pPr>
        <w:pStyle w:val="3"/>
        <w:spacing w:line="560" w:lineRule="exact"/>
        <w:rPr>
          <w:rFonts w:hint="eastAsia"/>
          <w:color w:val="auto"/>
          <w:highlight w:val="none"/>
        </w:rPr>
      </w:pPr>
    </w:p>
    <w:p w14:paraId="1F908774">
      <w:pPr>
        <w:keepLines w:val="0"/>
        <w:pageBreakBefore w:val="0"/>
        <w:numPr>
          <w:ilvl w:val="0"/>
          <w:numId w:val="4"/>
        </w:numPr>
        <w:kinsoku/>
        <w:wordWrap/>
        <w:overflowPunct/>
        <w:topLinePunct w:val="0"/>
        <w:bidi w:val="0"/>
        <w:spacing w:line="560" w:lineRule="exact"/>
        <w:jc w:val="center"/>
        <w:rPr>
          <w:b/>
          <w:color w:val="auto"/>
          <w:sz w:val="36"/>
          <w:szCs w:val="36"/>
          <w:highlight w:val="none"/>
        </w:rPr>
      </w:pPr>
      <w:r>
        <w:rPr>
          <w:rFonts w:hint="eastAsia"/>
          <w:b/>
          <w:color w:val="auto"/>
          <w:sz w:val="36"/>
          <w:szCs w:val="36"/>
          <w:highlight w:val="none"/>
        </w:rPr>
        <w:t>监狱企业声明函</w:t>
      </w:r>
    </w:p>
    <w:p w14:paraId="5183B055">
      <w:pPr>
        <w:pStyle w:val="8"/>
        <w:keepLines w:val="0"/>
        <w:pageBreakBefore w:val="0"/>
        <w:kinsoku/>
        <w:wordWrap/>
        <w:overflowPunct/>
        <w:topLinePunct w:val="0"/>
        <w:bidi w:val="0"/>
        <w:spacing w:line="560" w:lineRule="exact"/>
        <w:rPr>
          <w:rFonts w:hint="eastAsia"/>
          <w:color w:val="auto"/>
          <w:highlight w:val="none"/>
        </w:rPr>
      </w:pPr>
    </w:p>
    <w:p w14:paraId="33C85B21">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3D30291E">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本单位对上述声明的真实性负责。如有虚假，将依法承担相应责任。</w:t>
      </w:r>
    </w:p>
    <w:p w14:paraId="6447E6FD">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附：省级以上监狱管理局、戒毒管理局（含新疆生产建设兵团）出具的监狱企业证明文件。</w:t>
      </w:r>
    </w:p>
    <w:p w14:paraId="2B84F39C">
      <w:pPr>
        <w:keepLines w:val="0"/>
        <w:pageBreakBefore w:val="0"/>
        <w:kinsoku/>
        <w:wordWrap/>
        <w:overflowPunct/>
        <w:topLinePunct w:val="0"/>
        <w:bidi w:val="0"/>
        <w:spacing w:line="560" w:lineRule="exact"/>
        <w:ind w:firstLine="560" w:firstLineChars="200"/>
        <w:jc w:val="left"/>
        <w:rPr>
          <w:rFonts w:hint="eastAsia" w:ascii="仿宋_GB2312" w:hAnsi="仿宋_GB2312" w:eastAsia="仿宋_GB2312" w:cs="仿宋_GB2312"/>
          <w:color w:val="auto"/>
          <w:sz w:val="28"/>
          <w:szCs w:val="28"/>
          <w:highlight w:val="none"/>
        </w:rPr>
      </w:pPr>
    </w:p>
    <w:p w14:paraId="74377791">
      <w:pPr>
        <w:pStyle w:val="8"/>
        <w:keepLines w:val="0"/>
        <w:pageBreakBefore w:val="0"/>
        <w:kinsoku/>
        <w:wordWrap/>
        <w:overflowPunct/>
        <w:topLinePunct w:val="0"/>
        <w:bidi w:val="0"/>
        <w:spacing w:line="560" w:lineRule="exact"/>
        <w:rPr>
          <w:rFonts w:hint="eastAsia"/>
          <w:color w:val="auto"/>
          <w:sz w:val="28"/>
          <w:szCs w:val="28"/>
          <w:highlight w:val="none"/>
        </w:rPr>
      </w:pPr>
    </w:p>
    <w:p w14:paraId="7FD855CD">
      <w:pPr>
        <w:keepLines w:val="0"/>
        <w:pageBreakBefore w:val="0"/>
        <w:kinsoku/>
        <w:wordWrap/>
        <w:overflowPunct/>
        <w:topLinePunct w:val="0"/>
        <w:bidi w:val="0"/>
        <w:spacing w:line="560" w:lineRule="exact"/>
        <w:ind w:firstLine="4480" w:firstLineChars="16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单位名称（盖章）：</w:t>
      </w:r>
    </w:p>
    <w:p w14:paraId="3B224D8A">
      <w:pPr>
        <w:keepLines w:val="0"/>
        <w:pageBreakBefore w:val="0"/>
        <w:kinsoku/>
        <w:wordWrap/>
        <w:overflowPunct/>
        <w:topLinePunct w:val="0"/>
        <w:bidi w:val="0"/>
        <w:spacing w:line="560" w:lineRule="exact"/>
        <w:ind w:firstLine="4480" w:firstLineChars="1600"/>
        <w:jc w:val="left"/>
        <w:rPr>
          <w:b/>
          <w:color w:val="auto"/>
          <w:sz w:val="28"/>
          <w:szCs w:val="28"/>
          <w:highlight w:val="none"/>
        </w:rPr>
      </w:pPr>
      <w:r>
        <w:rPr>
          <w:rFonts w:hint="eastAsia" w:ascii="仿宋_GB2312" w:hAnsi="仿宋_GB2312" w:eastAsia="仿宋_GB2312" w:cs="仿宋_GB2312"/>
          <w:color w:val="auto"/>
          <w:sz w:val="28"/>
          <w:szCs w:val="28"/>
          <w:highlight w:val="none"/>
        </w:rPr>
        <w:t>日  期：</w:t>
      </w:r>
    </w:p>
    <w:p w14:paraId="2221B02C">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4C7468A8">
      <w:pPr>
        <w:pStyle w:val="4"/>
        <w:keepLines w:val="0"/>
        <w:pageBreakBefore w:val="0"/>
        <w:kinsoku/>
        <w:wordWrap/>
        <w:overflowPunct/>
        <w:topLinePunct w:val="0"/>
        <w:bidi w:val="0"/>
        <w:spacing w:beforeAutospacing="0" w:afterAutospacing="0" w:line="560" w:lineRule="exact"/>
        <w:ind w:firstLine="643" w:firstLineChars="200"/>
        <w:jc w:val="both"/>
        <w:rPr>
          <w:rFonts w:hint="default" w:ascii="Calibri" w:hAnsi="Calibri" w:cs="黑体"/>
          <w:b/>
          <w:color w:val="auto"/>
          <w:kern w:val="2"/>
          <w:sz w:val="32"/>
          <w:szCs w:val="32"/>
          <w:highlight w:val="none"/>
        </w:rPr>
      </w:pPr>
    </w:p>
    <w:p w14:paraId="197C1C1B">
      <w:pPr>
        <w:keepLines w:val="0"/>
        <w:pageBreakBefore w:val="0"/>
        <w:kinsoku/>
        <w:wordWrap/>
        <w:overflowPunct/>
        <w:topLinePunct w:val="0"/>
        <w:bidi w:val="0"/>
        <w:spacing w:line="560" w:lineRule="exact"/>
        <w:rPr>
          <w:color w:val="auto"/>
          <w:highlight w:val="none"/>
        </w:rPr>
        <w:sectPr>
          <w:headerReference r:id="rId3" w:type="default"/>
          <w:footerReference r:id="rId4" w:type="default"/>
          <w:pgSz w:w="11906" w:h="16838"/>
          <w:pgMar w:top="1644" w:right="1474" w:bottom="1531" w:left="1474" w:header="31" w:footer="1587" w:gutter="0"/>
          <w:pgNumType w:fmt="numberInDash"/>
          <w:cols w:space="720" w:num="1"/>
          <w:docGrid w:type="lines" w:linePitch="312" w:charSpace="0"/>
        </w:sectPr>
      </w:pPr>
    </w:p>
    <w:tbl>
      <w:tblPr>
        <w:tblStyle w:val="19"/>
        <w:tblW w:w="13061" w:type="dxa"/>
        <w:tblInd w:w="0" w:type="dxa"/>
        <w:tblLayout w:type="fixed"/>
        <w:tblCellMar>
          <w:top w:w="15" w:type="dxa"/>
          <w:left w:w="15" w:type="dxa"/>
          <w:bottom w:w="15" w:type="dxa"/>
          <w:right w:w="15" w:type="dxa"/>
        </w:tblCellMar>
      </w:tblPr>
      <w:tblGrid>
        <w:gridCol w:w="7515"/>
        <w:gridCol w:w="5546"/>
      </w:tblGrid>
      <w:tr w14:paraId="78CEFB6D">
        <w:tblPrEx>
          <w:tblCellMar>
            <w:top w:w="15" w:type="dxa"/>
            <w:left w:w="15" w:type="dxa"/>
            <w:bottom w:w="15" w:type="dxa"/>
            <w:right w:w="15" w:type="dxa"/>
          </w:tblCellMar>
        </w:tblPrEx>
        <w:trPr>
          <w:trHeight w:val="705" w:hRule="atLeast"/>
        </w:trPr>
        <w:tc>
          <w:tcPr>
            <w:tcW w:w="13061" w:type="dxa"/>
            <w:gridSpan w:val="2"/>
            <w:noWrap/>
            <w:vAlign w:val="center"/>
          </w:tcPr>
          <w:p w14:paraId="3DCF0176">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rPr>
            </w:pPr>
          </w:p>
          <w:p w14:paraId="37E7C517">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sz w:val="44"/>
                <w:szCs w:val="44"/>
                <w:highlight w:val="none"/>
              </w:rPr>
            </w:pPr>
            <w:r>
              <w:rPr>
                <w:rFonts w:hint="eastAsia" w:ascii="仿宋" w:hAnsi="仿宋" w:eastAsia="仿宋" w:cs="仿宋"/>
                <w:b/>
                <w:color w:val="auto"/>
                <w:kern w:val="0"/>
                <w:sz w:val="44"/>
                <w:szCs w:val="44"/>
                <w:highlight w:val="none"/>
              </w:rPr>
              <w:t>开标一览表</w:t>
            </w:r>
          </w:p>
        </w:tc>
      </w:tr>
      <w:tr w14:paraId="26FD65F7">
        <w:tblPrEx>
          <w:tblCellMar>
            <w:top w:w="15" w:type="dxa"/>
            <w:left w:w="15" w:type="dxa"/>
            <w:bottom w:w="15" w:type="dxa"/>
            <w:right w:w="15" w:type="dxa"/>
          </w:tblCellMar>
        </w:tblPrEx>
        <w:trPr>
          <w:trHeight w:val="524" w:hRule="atLeast"/>
        </w:trPr>
        <w:tc>
          <w:tcPr>
            <w:tcW w:w="13061" w:type="dxa"/>
            <w:gridSpan w:val="2"/>
            <w:tcBorders>
              <w:top w:val="single" w:color="000000" w:sz="4" w:space="0"/>
              <w:left w:val="single" w:color="000000" w:sz="4" w:space="0"/>
              <w:bottom w:val="single" w:color="000000" w:sz="4" w:space="0"/>
              <w:right w:val="single" w:color="000000" w:sz="4" w:space="0"/>
            </w:tcBorders>
            <w:noWrap/>
            <w:vAlign w:val="center"/>
          </w:tcPr>
          <w:p w14:paraId="75937370">
            <w:pPr>
              <w:keepLines w:val="0"/>
              <w:pageBreakBefore w:val="0"/>
              <w:widowControl/>
              <w:kinsoku/>
              <w:wordWrap/>
              <w:overflowPunct/>
              <w:topLinePunct w:val="0"/>
              <w:bidi w:val="0"/>
              <w:spacing w:line="560" w:lineRule="exact"/>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32"/>
                <w:szCs w:val="32"/>
                <w:highlight w:val="none"/>
              </w:rPr>
              <w:t>投标人名称：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sz w:val="32"/>
                <w:szCs w:val="32"/>
                <w:highlight w:val="none"/>
              </w:rPr>
              <w:t>采购项目编号：</w:t>
            </w:r>
            <w:r>
              <w:rPr>
                <w:rFonts w:hint="eastAsia" w:ascii="仿宋" w:hAnsi="仿宋" w:eastAsia="仿宋" w:cs="仿宋"/>
                <w:color w:val="auto"/>
                <w:kern w:val="0"/>
                <w:sz w:val="32"/>
                <w:szCs w:val="32"/>
                <w:highlight w:val="none"/>
                <w:lang w:val="en-US" w:eastAsia="zh-CN"/>
              </w:rPr>
              <w:t>深龙七医采[LGQY2026XJ001]</w:t>
            </w:r>
          </w:p>
        </w:tc>
      </w:tr>
      <w:tr w14:paraId="35A7F89F">
        <w:tblPrEx>
          <w:tblCellMar>
            <w:top w:w="15" w:type="dxa"/>
            <w:left w:w="15" w:type="dxa"/>
            <w:bottom w:w="15" w:type="dxa"/>
            <w:right w:w="15" w:type="dxa"/>
          </w:tblCellMar>
        </w:tblPrEx>
        <w:trPr>
          <w:trHeight w:val="509"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3C1ED9BD">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752FC632">
            <w:pPr>
              <w:keepLines w:val="0"/>
              <w:pageBreakBefore w:val="0"/>
              <w:widowControl/>
              <w:kinsoku/>
              <w:wordWrap/>
              <w:overflowPunct/>
              <w:topLinePunct w:val="0"/>
              <w:bidi w:val="0"/>
              <w:spacing w:line="560" w:lineRule="exact"/>
              <w:jc w:val="center"/>
              <w:textAlignment w:val="center"/>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投标报价（元）</w:t>
            </w:r>
          </w:p>
        </w:tc>
      </w:tr>
      <w:tr w14:paraId="72ECF686">
        <w:tblPrEx>
          <w:tblCellMar>
            <w:top w:w="15" w:type="dxa"/>
            <w:left w:w="15" w:type="dxa"/>
            <w:bottom w:w="15" w:type="dxa"/>
            <w:right w:w="15" w:type="dxa"/>
          </w:tblCellMar>
        </w:tblPrEx>
        <w:trPr>
          <w:trHeight w:val="655"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16E00A79">
            <w:pPr>
              <w:pStyle w:val="26"/>
              <w:keepNext w:val="0"/>
              <w:keepLines w:val="0"/>
              <w:pageBreakBefore w:val="0"/>
              <w:widowControl/>
              <w:numPr>
                <w:ilvl w:val="0"/>
                <w:numId w:val="0"/>
              </w:numPr>
              <w:kinsoku/>
              <w:wordWrap/>
              <w:overflowPunct/>
              <w:topLinePunct w:val="0"/>
              <w:autoSpaceDE/>
              <w:autoSpaceDN/>
              <w:bidi w:val="0"/>
              <w:adjustRightInd/>
              <w:snapToGrid w:val="0"/>
              <w:spacing w:line="560" w:lineRule="exact"/>
              <w:jc w:val="center"/>
              <w:textAlignment w:val="auto"/>
              <w:rPr>
                <w:rFonts w:hint="eastAsia" w:eastAsia="宋体"/>
                <w:color w:val="auto"/>
                <w:sz w:val="22"/>
                <w:szCs w:val="28"/>
                <w:highlight w:val="none"/>
                <w:lang w:val="en-US" w:eastAsia="zh-CN"/>
              </w:rPr>
            </w:pPr>
            <w:r>
              <w:rPr>
                <w:rFonts w:hint="eastAsia" w:ascii="仿宋" w:hAnsi="仿宋" w:eastAsia="仿宋" w:cs="仿宋"/>
                <w:color w:val="auto"/>
                <w:kern w:val="2"/>
                <w:sz w:val="32"/>
                <w:szCs w:val="32"/>
                <w:highlight w:val="none"/>
                <w:lang w:val="en-US" w:eastAsia="zh-CN" w:bidi="ar-SA"/>
              </w:rPr>
              <w:t>深圳市龙岗区第七人民医院“强身心涨健识”健康促进主题活动策划服务</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4C9A38C5">
            <w:pPr>
              <w:spacing w:line="560" w:lineRule="exact"/>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大写：</w:t>
            </w:r>
          </w:p>
          <w:p w14:paraId="345D8C5A">
            <w:pPr>
              <w:keepLines w:val="0"/>
              <w:pageBreakBefore w:val="0"/>
              <w:kinsoku/>
              <w:wordWrap/>
              <w:overflowPunct/>
              <w:topLinePunct w:val="0"/>
              <w:bidi w:val="0"/>
              <w:spacing w:line="560" w:lineRule="exact"/>
              <w:rPr>
                <w:rFonts w:hint="eastAsia" w:ascii="仿宋" w:hAnsi="仿宋" w:eastAsia="仿宋" w:cs="仿宋"/>
                <w:color w:val="auto"/>
                <w:sz w:val="24"/>
                <w:szCs w:val="24"/>
                <w:highlight w:val="none"/>
              </w:rPr>
            </w:pPr>
            <w:r>
              <w:rPr>
                <w:rFonts w:hint="eastAsia" w:ascii="仿宋" w:hAnsi="仿宋" w:eastAsia="仿宋" w:cs="仿宋"/>
                <w:color w:val="auto"/>
                <w:kern w:val="2"/>
                <w:sz w:val="32"/>
                <w:szCs w:val="32"/>
                <w:highlight w:val="none"/>
                <w:lang w:val="en-US" w:eastAsia="zh-CN" w:bidi="ar-SA"/>
              </w:rPr>
              <w:t>小写：</w:t>
            </w:r>
          </w:p>
        </w:tc>
      </w:tr>
    </w:tbl>
    <w:p w14:paraId="1689CEC8">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14:paraId="58430D07">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开标一览表格式不得自行改动。</w:t>
      </w:r>
    </w:p>
    <w:p w14:paraId="0DF5B5F9">
      <w:pPr>
        <w:keepLines w:val="0"/>
        <w:pageBreakBefore w:val="0"/>
        <w:kinsoku/>
        <w:wordWrap/>
        <w:overflowPunct/>
        <w:topLinePunct w:val="0"/>
        <w:bidi w:val="0"/>
        <w:spacing w:line="560" w:lineRule="exact"/>
        <w:ind w:left="425" w:hanging="425"/>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价格条件为能否满足标书要求的投标报价。</w:t>
      </w:r>
    </w:p>
    <w:p w14:paraId="3D1FFFF8">
      <w:pPr>
        <w:keepLines w:val="0"/>
        <w:pageBreakBefore w:val="0"/>
        <w:kinsoku/>
        <w:wordWrap/>
        <w:overflowPunct/>
        <w:topLinePunct w:val="0"/>
        <w:bidi w:val="0"/>
        <w:spacing w:line="560" w:lineRule="exact"/>
        <w:rPr>
          <w:rFonts w:hint="eastAsia" w:ascii="仿宋" w:hAnsi="仿宋" w:eastAsia="仿宋" w:cs="仿宋"/>
          <w:color w:val="auto"/>
          <w:sz w:val="28"/>
          <w:szCs w:val="28"/>
          <w:highlight w:val="none"/>
        </w:rPr>
      </w:pPr>
    </w:p>
    <w:p w14:paraId="2C7279BE">
      <w:pPr>
        <w:keepLines w:val="0"/>
        <w:pageBreakBefore w:val="0"/>
        <w:kinsoku/>
        <w:wordWrap/>
        <w:overflowPunct/>
        <w:topLinePunct w:val="0"/>
        <w:bidi w:val="0"/>
        <w:spacing w:line="560" w:lineRule="exact"/>
        <w:ind w:firstLine="6160" w:firstLineChars="2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法定代表人或其授权代表人（签字）：</w:t>
      </w:r>
    </w:p>
    <w:p w14:paraId="146A6467">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投标单位全称（加盖公章）：</w:t>
      </w:r>
    </w:p>
    <w:p w14:paraId="7D88F6AF">
      <w:pPr>
        <w:keepLines w:val="0"/>
        <w:pageBreakBefore w:val="0"/>
        <w:kinsoku/>
        <w:wordWrap/>
        <w:overflowPunct/>
        <w:topLinePunct w:val="0"/>
        <w:bidi w:val="0"/>
        <w:spacing w:line="56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日期：      年    月    日</w:t>
      </w:r>
    </w:p>
    <w:p w14:paraId="64BB9E14">
      <w:pPr>
        <w:keepLines w:val="0"/>
        <w:pageBreakBefore w:val="0"/>
        <w:kinsoku/>
        <w:wordWrap/>
        <w:overflowPunct/>
        <w:topLinePunct w:val="0"/>
        <w:bidi w:val="0"/>
        <w:spacing w:line="560" w:lineRule="exact"/>
        <w:outlineLvl w:val="2"/>
        <w:rPr>
          <w:rFonts w:hint="eastAsia" w:ascii="宋体" w:cs="宋体"/>
          <w:b/>
          <w:color w:val="auto"/>
          <w:szCs w:val="21"/>
          <w:highlight w:val="none"/>
        </w:rPr>
      </w:pPr>
    </w:p>
    <w:p w14:paraId="765775DF">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p>
    <w:p w14:paraId="42E2BD35">
      <w:pPr>
        <w:keepLines w:val="0"/>
        <w:pageBreakBefore w:val="0"/>
        <w:widowControl/>
        <w:kinsoku/>
        <w:wordWrap/>
        <w:overflowPunct/>
        <w:topLinePunct w:val="0"/>
        <w:bidi w:val="0"/>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分</w:t>
      </w:r>
      <w:r>
        <w:rPr>
          <w:rFonts w:hint="eastAsia" w:ascii="仿宋" w:hAnsi="仿宋" w:eastAsia="仿宋" w:cs="仿宋"/>
          <w:b/>
          <w:color w:val="auto"/>
          <w:kern w:val="0"/>
          <w:sz w:val="44"/>
          <w:szCs w:val="44"/>
          <w:highlight w:val="none"/>
          <w:lang w:val="en-US" w:eastAsia="zh-CN"/>
        </w:rPr>
        <w:t>项</w:t>
      </w:r>
      <w:r>
        <w:rPr>
          <w:rFonts w:hint="eastAsia" w:ascii="仿宋" w:hAnsi="仿宋" w:eastAsia="仿宋" w:cs="仿宋"/>
          <w:b/>
          <w:color w:val="auto"/>
          <w:kern w:val="0"/>
          <w:sz w:val="44"/>
          <w:szCs w:val="44"/>
          <w:highlight w:val="none"/>
          <w:lang w:val="zh-CN"/>
        </w:rPr>
        <w:t>报价表</w:t>
      </w:r>
    </w:p>
    <w:p w14:paraId="58F387F9">
      <w:pPr>
        <w:pStyle w:val="6"/>
        <w:rPr>
          <w:rFonts w:hint="eastAsia"/>
          <w:highlight w:val="none"/>
          <w:lang w:val="zh-CN"/>
        </w:rPr>
      </w:pPr>
    </w:p>
    <w:p w14:paraId="1598F646">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Calibri" w:hAnsi="Calibri" w:eastAsia="宋体" w:cs="黑体"/>
          <w:color w:val="auto"/>
          <w:kern w:val="2"/>
          <w:sz w:val="24"/>
          <w:szCs w:val="32"/>
          <w:highlight w:val="none"/>
          <w:lang w:val="zh-CN" w:eastAsia="zh-CN" w:bidi="ar-SA"/>
        </w:rPr>
      </w:pPr>
      <w:r>
        <w:rPr>
          <w:rFonts w:hint="eastAsia" w:ascii="Calibri" w:hAnsi="Calibri" w:eastAsia="宋体" w:cs="黑体"/>
          <w:color w:val="auto"/>
          <w:kern w:val="2"/>
          <w:sz w:val="24"/>
          <w:szCs w:val="32"/>
          <w:highlight w:val="none"/>
          <w:lang w:val="zh-CN" w:eastAsia="zh-CN" w:bidi="ar-SA"/>
        </w:rPr>
        <w:t>项目名称：</w:t>
      </w:r>
      <w:r>
        <w:rPr>
          <w:rFonts w:hint="eastAsia" w:cs="黑体"/>
          <w:color w:val="auto"/>
          <w:kern w:val="2"/>
          <w:sz w:val="24"/>
          <w:szCs w:val="32"/>
          <w:highlight w:val="none"/>
          <w:lang w:val="en-US" w:eastAsia="zh-CN" w:bidi="ar-SA"/>
        </w:rPr>
        <w:t>深圳市龙岗区第七人民医院</w:t>
      </w:r>
      <w:r>
        <w:rPr>
          <w:rFonts w:hint="eastAsia" w:ascii="Calibri" w:hAnsi="Calibri" w:eastAsia="宋体" w:cs="黑体"/>
          <w:color w:val="auto"/>
          <w:kern w:val="2"/>
          <w:sz w:val="24"/>
          <w:szCs w:val="32"/>
          <w:highlight w:val="none"/>
          <w:lang w:val="en-US" w:eastAsia="zh-CN" w:bidi="ar-SA"/>
        </w:rPr>
        <w:t>“强身心涨健识”健康促进主题活动策划服务</w:t>
      </w:r>
    </w:p>
    <w:p w14:paraId="0ECF7A0B">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default" w:ascii="Calibri" w:hAnsi="Calibri" w:eastAsia="宋体" w:cs="黑体"/>
          <w:color w:val="auto"/>
          <w:kern w:val="2"/>
          <w:sz w:val="24"/>
          <w:szCs w:val="32"/>
          <w:highlight w:val="none"/>
          <w:lang w:val="en-US" w:eastAsia="zh-CN" w:bidi="ar-SA"/>
        </w:rPr>
      </w:pPr>
      <w:r>
        <w:rPr>
          <w:rFonts w:hint="eastAsia" w:ascii="Calibri" w:hAnsi="Calibri" w:eastAsia="宋体" w:cs="黑体"/>
          <w:color w:val="auto"/>
          <w:kern w:val="2"/>
          <w:sz w:val="24"/>
          <w:szCs w:val="32"/>
          <w:highlight w:val="none"/>
          <w:lang w:val="en-US" w:eastAsia="zh-CN" w:bidi="ar-SA"/>
        </w:rPr>
        <w:t>项目编号：</w:t>
      </w:r>
      <w:r>
        <w:rPr>
          <w:rFonts w:hint="eastAsia" w:cs="黑体"/>
          <w:color w:val="auto"/>
          <w:kern w:val="2"/>
          <w:sz w:val="24"/>
          <w:szCs w:val="32"/>
          <w:highlight w:val="none"/>
          <w:lang w:val="en-US" w:eastAsia="zh-CN" w:bidi="ar-SA"/>
        </w:rPr>
        <w:t>深龙七医采[LGQY2026XJ001]</w:t>
      </w:r>
    </w:p>
    <w:tbl>
      <w:tblPr>
        <w:tblStyle w:val="19"/>
        <w:tblW w:w="130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4"/>
        <w:gridCol w:w="974"/>
        <w:gridCol w:w="4635"/>
        <w:gridCol w:w="750"/>
        <w:gridCol w:w="810"/>
        <w:gridCol w:w="1365"/>
        <w:gridCol w:w="1080"/>
        <w:gridCol w:w="724"/>
        <w:gridCol w:w="1231"/>
        <w:gridCol w:w="960"/>
      </w:tblGrid>
      <w:tr w14:paraId="76750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524" w:type="dxa"/>
            <w:vAlign w:val="center"/>
          </w:tcPr>
          <w:p w14:paraId="38CBC7F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974" w:type="dxa"/>
            <w:vAlign w:val="center"/>
          </w:tcPr>
          <w:p w14:paraId="547DD44F">
            <w:pPr>
              <w:keepNext w:val="0"/>
              <w:keepLines w:val="0"/>
              <w:widowControl/>
              <w:suppressLineNumbers w:val="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Microsoft YaHei UI" w:hAnsi="Microsoft YaHei UI" w:eastAsia="Microsoft YaHei UI" w:cs="Microsoft YaHei UI"/>
                <w:b/>
                <w:bCs/>
                <w:i w:val="0"/>
                <w:iCs w:val="0"/>
                <w:color w:val="000000"/>
                <w:kern w:val="0"/>
                <w:sz w:val="22"/>
                <w:szCs w:val="22"/>
                <w:highlight w:val="none"/>
                <w:u w:val="none"/>
                <w:lang w:val="en-US" w:eastAsia="zh-CN" w:bidi="ar"/>
              </w:rPr>
              <w:t>内容</w:t>
            </w:r>
          </w:p>
        </w:tc>
        <w:tc>
          <w:tcPr>
            <w:tcW w:w="4635" w:type="dxa"/>
            <w:vAlign w:val="center"/>
          </w:tcPr>
          <w:p w14:paraId="03DD795D">
            <w:pPr>
              <w:keepNext w:val="0"/>
              <w:keepLines w:val="0"/>
              <w:widowControl/>
              <w:suppressLineNumbers w:val="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Microsoft YaHei UI" w:hAnsi="Microsoft YaHei UI" w:eastAsia="Microsoft YaHei UI" w:cs="Microsoft YaHei UI"/>
                <w:b/>
                <w:bCs/>
                <w:i w:val="0"/>
                <w:iCs w:val="0"/>
                <w:color w:val="000000"/>
                <w:kern w:val="0"/>
                <w:sz w:val="22"/>
                <w:szCs w:val="22"/>
                <w:highlight w:val="none"/>
                <w:u w:val="none"/>
                <w:lang w:val="en-US" w:eastAsia="zh-CN" w:bidi="ar"/>
              </w:rPr>
              <w:t>要求</w:t>
            </w:r>
          </w:p>
        </w:tc>
        <w:tc>
          <w:tcPr>
            <w:tcW w:w="750" w:type="dxa"/>
            <w:vAlign w:val="center"/>
          </w:tcPr>
          <w:p w14:paraId="765AF49F">
            <w:pPr>
              <w:keepNext w:val="0"/>
              <w:keepLines w:val="0"/>
              <w:widowControl/>
              <w:suppressLineNumbers w:val="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Microsoft YaHei UI" w:hAnsi="Microsoft YaHei UI" w:eastAsia="Microsoft YaHei UI" w:cs="Microsoft YaHei UI"/>
                <w:b/>
                <w:bCs/>
                <w:i w:val="0"/>
                <w:iCs w:val="0"/>
                <w:color w:val="000000"/>
                <w:kern w:val="0"/>
                <w:sz w:val="22"/>
                <w:szCs w:val="22"/>
                <w:highlight w:val="none"/>
                <w:u w:val="none"/>
                <w:lang w:val="en-US" w:eastAsia="zh-CN" w:bidi="ar"/>
              </w:rPr>
              <w:t>单位</w:t>
            </w:r>
          </w:p>
        </w:tc>
        <w:tc>
          <w:tcPr>
            <w:tcW w:w="810" w:type="dxa"/>
            <w:vAlign w:val="center"/>
          </w:tcPr>
          <w:p w14:paraId="72FC15EF">
            <w:pPr>
              <w:keepNext w:val="0"/>
              <w:keepLines w:val="0"/>
              <w:widowControl/>
              <w:suppressLineNumbers w:val="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Microsoft YaHei UI" w:hAnsi="Microsoft YaHei UI" w:eastAsia="Microsoft YaHei UI" w:cs="Microsoft YaHei UI"/>
                <w:b/>
                <w:bCs/>
                <w:i w:val="0"/>
                <w:iCs w:val="0"/>
                <w:color w:val="000000"/>
                <w:kern w:val="0"/>
                <w:sz w:val="22"/>
                <w:szCs w:val="22"/>
                <w:highlight w:val="none"/>
                <w:u w:val="none"/>
                <w:lang w:val="en-US" w:eastAsia="zh-CN" w:bidi="ar"/>
              </w:rPr>
              <w:t>数量</w:t>
            </w:r>
          </w:p>
        </w:tc>
        <w:tc>
          <w:tcPr>
            <w:tcW w:w="1365" w:type="dxa"/>
            <w:vAlign w:val="center"/>
          </w:tcPr>
          <w:p w14:paraId="57DD73D9">
            <w:pPr>
              <w:keepNext w:val="0"/>
              <w:keepLines w:val="0"/>
              <w:widowControl/>
              <w:suppressLineNumbers w:val="0"/>
              <w:shd w:val="clear"/>
              <w:snapToGrid/>
              <w:spacing w:line="240" w:lineRule="auto"/>
              <w:ind w:left="0" w:leftChars="0" w:right="0" w:rightChars="0" w:firstLine="0" w:firstLineChars="0"/>
              <w:jc w:val="center"/>
              <w:textAlignment w:val="center"/>
              <w:rPr>
                <w:rFonts w:hint="default" w:ascii="宋体" w:hAnsi="宋体" w:eastAsia="宋体" w:cs="宋体"/>
                <w:b/>
                <w:i w:val="0"/>
                <w:iCs w:val="0"/>
                <w:color w:val="auto"/>
                <w:kern w:val="0"/>
                <w:sz w:val="24"/>
                <w:szCs w:val="24"/>
                <w:highlight w:val="none"/>
                <w:u w:val="none"/>
                <w:lang w:val="en-US" w:eastAsia="zh-CN" w:bidi="ar"/>
              </w:rPr>
            </w:pPr>
            <w:r>
              <w:rPr>
                <w:rFonts w:hint="eastAsia" w:ascii="Microsoft YaHei UI" w:hAnsi="Microsoft YaHei UI" w:eastAsia="Microsoft YaHei UI" w:cs="Microsoft YaHei UI"/>
                <w:b/>
                <w:bCs/>
                <w:i w:val="0"/>
                <w:iCs w:val="0"/>
                <w:color w:val="000000"/>
                <w:kern w:val="0"/>
                <w:sz w:val="22"/>
                <w:szCs w:val="22"/>
                <w:highlight w:val="none"/>
                <w:u w:val="none"/>
                <w:lang w:val="en-US" w:eastAsia="zh-CN" w:bidi="ar"/>
              </w:rPr>
              <w:t>规格/品牌/型号（如有）</w:t>
            </w:r>
          </w:p>
        </w:tc>
        <w:tc>
          <w:tcPr>
            <w:tcW w:w="1080" w:type="dxa"/>
            <w:vAlign w:val="center"/>
          </w:tcPr>
          <w:p w14:paraId="7553563C">
            <w:pPr>
              <w:keepNext w:val="0"/>
              <w:keepLines w:val="0"/>
              <w:widowControl/>
              <w:suppressLineNumbers w:val="0"/>
              <w:shd w:val="clear"/>
              <w:snapToGrid w:val="0"/>
              <w:spacing w:line="560" w:lineRule="exact"/>
              <w:ind w:left="0" w:leftChars="0" w:right="0" w:rightChars="0" w:firstLine="0" w:firstLineChars="0"/>
              <w:jc w:val="center"/>
              <w:textAlignment w:val="center"/>
              <w:rPr>
                <w:rFonts w:hint="default" w:ascii="宋体" w:hAnsi="宋体" w:eastAsia="宋体" w:cs="宋体"/>
                <w:b/>
                <w:i w:val="0"/>
                <w:iCs w:val="0"/>
                <w:color w:val="auto"/>
                <w:kern w:val="0"/>
                <w:sz w:val="24"/>
                <w:szCs w:val="24"/>
                <w:highlight w:val="none"/>
                <w:u w:val="none"/>
                <w:lang w:val="en-US" w:eastAsia="zh-CN" w:bidi="ar"/>
              </w:rPr>
            </w:pPr>
            <w:r>
              <w:rPr>
                <w:rFonts w:hint="eastAsia" w:ascii="宋体" w:hAnsi="宋体" w:cs="宋体"/>
                <w:b/>
                <w:i w:val="0"/>
                <w:iCs w:val="0"/>
                <w:color w:val="auto"/>
                <w:kern w:val="0"/>
                <w:sz w:val="24"/>
                <w:szCs w:val="24"/>
                <w:highlight w:val="none"/>
                <w:u w:val="none"/>
                <w:lang w:val="en-US" w:eastAsia="zh-CN" w:bidi="ar"/>
              </w:rPr>
              <w:t>制造商名称</w:t>
            </w:r>
          </w:p>
        </w:tc>
        <w:tc>
          <w:tcPr>
            <w:tcW w:w="724" w:type="dxa"/>
            <w:vAlign w:val="center"/>
          </w:tcPr>
          <w:p w14:paraId="6B2F68AB">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原产地</w:t>
            </w:r>
          </w:p>
        </w:tc>
        <w:tc>
          <w:tcPr>
            <w:tcW w:w="1231" w:type="dxa"/>
            <w:vAlign w:val="center"/>
          </w:tcPr>
          <w:p w14:paraId="5F6A18D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投标分项报价（元）</w:t>
            </w:r>
          </w:p>
        </w:tc>
        <w:tc>
          <w:tcPr>
            <w:tcW w:w="960" w:type="dxa"/>
            <w:vAlign w:val="center"/>
          </w:tcPr>
          <w:p w14:paraId="1E68631B">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合计</w:t>
            </w:r>
            <w:r>
              <w:rPr>
                <w:rFonts w:hint="eastAsia" w:ascii="宋体" w:hAnsi="宋体" w:cs="宋体"/>
                <w:b/>
                <w:i w:val="0"/>
                <w:iCs w:val="0"/>
                <w:color w:val="auto"/>
                <w:kern w:val="0"/>
                <w:sz w:val="24"/>
                <w:szCs w:val="24"/>
                <w:highlight w:val="none"/>
                <w:u w:val="none"/>
                <w:lang w:val="en-US" w:eastAsia="zh-CN" w:bidi="ar"/>
              </w:rPr>
              <w:t>（元）</w:t>
            </w:r>
          </w:p>
        </w:tc>
      </w:tr>
      <w:tr w14:paraId="0DB47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524" w:type="dxa"/>
            <w:vAlign w:val="center"/>
          </w:tcPr>
          <w:p w14:paraId="628F7A2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1</w:t>
            </w:r>
          </w:p>
        </w:tc>
        <w:tc>
          <w:tcPr>
            <w:tcW w:w="974" w:type="dxa"/>
            <w:vAlign w:val="center"/>
          </w:tcPr>
          <w:p w14:paraId="2324DBB9">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主视觉设计</w:t>
            </w:r>
          </w:p>
        </w:tc>
        <w:tc>
          <w:tcPr>
            <w:tcW w:w="4635" w:type="dxa"/>
            <w:vAlign w:val="center"/>
          </w:tcPr>
          <w:p w14:paraId="0B74DE15">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活动主KV设计，要求契合活动调性，有利于促进宣传，适合本项目物料延展使用</w:t>
            </w:r>
          </w:p>
        </w:tc>
        <w:tc>
          <w:tcPr>
            <w:tcW w:w="750" w:type="dxa"/>
            <w:vAlign w:val="center"/>
          </w:tcPr>
          <w:p w14:paraId="392C0F8F">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2655CEC1">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6A9CCB6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080" w:type="dxa"/>
            <w:vAlign w:val="center"/>
          </w:tcPr>
          <w:p w14:paraId="3860E56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724" w:type="dxa"/>
            <w:vAlign w:val="center"/>
          </w:tcPr>
          <w:p w14:paraId="5A48322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231" w:type="dxa"/>
            <w:vAlign w:val="center"/>
          </w:tcPr>
          <w:p w14:paraId="4CE55D6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restart"/>
            <w:vAlign w:val="center"/>
          </w:tcPr>
          <w:p w14:paraId="626EBF7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r>
      <w:tr w14:paraId="5C6DE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jc w:val="center"/>
        </w:trPr>
        <w:tc>
          <w:tcPr>
            <w:tcW w:w="524" w:type="dxa"/>
            <w:vAlign w:val="center"/>
          </w:tcPr>
          <w:p w14:paraId="6A701E6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2</w:t>
            </w:r>
          </w:p>
        </w:tc>
        <w:tc>
          <w:tcPr>
            <w:tcW w:w="974" w:type="dxa"/>
            <w:vAlign w:val="center"/>
          </w:tcPr>
          <w:p w14:paraId="2A065B98">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延展设计</w:t>
            </w:r>
          </w:p>
        </w:tc>
        <w:tc>
          <w:tcPr>
            <w:tcW w:w="4635" w:type="dxa"/>
            <w:vAlign w:val="center"/>
          </w:tcPr>
          <w:p w14:paraId="390CDDE4">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相关物料设计：帆布袋1项、打卡点1个、知识展架4个、游戏展板2套、帐篷门头4个、定制洋画等</w:t>
            </w:r>
          </w:p>
        </w:tc>
        <w:tc>
          <w:tcPr>
            <w:tcW w:w="750" w:type="dxa"/>
            <w:vAlign w:val="center"/>
          </w:tcPr>
          <w:p w14:paraId="39199A65">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44744ADA">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0948687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080" w:type="dxa"/>
            <w:vAlign w:val="center"/>
          </w:tcPr>
          <w:p w14:paraId="4487D8F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724" w:type="dxa"/>
            <w:vAlign w:val="center"/>
          </w:tcPr>
          <w:p w14:paraId="1653FCC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231" w:type="dxa"/>
            <w:vAlign w:val="center"/>
          </w:tcPr>
          <w:p w14:paraId="07ACE6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center"/>
          </w:tcPr>
          <w:p w14:paraId="570C7DA0">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2B108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jc w:val="center"/>
        </w:trPr>
        <w:tc>
          <w:tcPr>
            <w:tcW w:w="524" w:type="dxa"/>
            <w:vAlign w:val="center"/>
          </w:tcPr>
          <w:p w14:paraId="12D7666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3</w:t>
            </w:r>
          </w:p>
        </w:tc>
        <w:tc>
          <w:tcPr>
            <w:tcW w:w="974" w:type="dxa"/>
            <w:vMerge w:val="restart"/>
            <w:vAlign w:val="center"/>
          </w:tcPr>
          <w:p w14:paraId="60E96D8A">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健康素养宣传促进工具包</w:t>
            </w:r>
          </w:p>
        </w:tc>
        <w:tc>
          <w:tcPr>
            <w:tcW w:w="4635" w:type="dxa"/>
            <w:vAlign w:val="center"/>
          </w:tcPr>
          <w:p w14:paraId="6FCEE48F">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定制健康帆布袋（定制健康标语或图案，呼吁群众关注健康）</w:t>
            </w:r>
          </w:p>
        </w:tc>
        <w:tc>
          <w:tcPr>
            <w:tcW w:w="750" w:type="dxa"/>
            <w:vAlign w:val="center"/>
          </w:tcPr>
          <w:p w14:paraId="1A055F1B">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个</w:t>
            </w:r>
          </w:p>
        </w:tc>
        <w:tc>
          <w:tcPr>
            <w:tcW w:w="810" w:type="dxa"/>
            <w:vAlign w:val="center"/>
          </w:tcPr>
          <w:p w14:paraId="3BFA519B">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400</w:t>
            </w:r>
          </w:p>
        </w:tc>
        <w:tc>
          <w:tcPr>
            <w:tcW w:w="1365" w:type="dxa"/>
            <w:vAlign w:val="center"/>
          </w:tcPr>
          <w:p w14:paraId="601C91D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662350B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33C3489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center"/>
          </w:tcPr>
          <w:p w14:paraId="3A306DF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center"/>
          </w:tcPr>
          <w:p w14:paraId="628C7838">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0C333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0368102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r>
              <w:rPr>
                <w:rFonts w:hint="eastAsia" w:eastAsia="宋体"/>
                <w:color w:val="auto"/>
                <w:sz w:val="22"/>
                <w:highlight w:val="none"/>
                <w:lang w:val="en-US" w:eastAsia="zh-CN"/>
              </w:rPr>
              <w:t>4</w:t>
            </w:r>
          </w:p>
        </w:tc>
        <w:tc>
          <w:tcPr>
            <w:tcW w:w="974" w:type="dxa"/>
            <w:vMerge w:val="continue"/>
            <w:vAlign w:val="center"/>
          </w:tcPr>
          <w:p w14:paraId="5E9838E2">
            <w:pPr>
              <w:jc w:val="center"/>
              <w:rPr>
                <w:rFonts w:hint="eastAsia" w:eastAsia="宋体"/>
                <w:color w:val="auto"/>
                <w:sz w:val="22"/>
                <w:highlight w:val="none"/>
                <w:lang w:val="en-US" w:eastAsia="zh-CN"/>
              </w:rPr>
            </w:pPr>
          </w:p>
        </w:tc>
        <w:tc>
          <w:tcPr>
            <w:tcW w:w="4635" w:type="dxa"/>
            <w:vAlign w:val="center"/>
          </w:tcPr>
          <w:p w14:paraId="10031931">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定制不锈钢保温杯（食品级304不锈钢，双层真空、食品级PP，定制健康标语或图案，呼吁群众关注健康）</w:t>
            </w:r>
          </w:p>
        </w:tc>
        <w:tc>
          <w:tcPr>
            <w:tcW w:w="750" w:type="dxa"/>
            <w:vAlign w:val="center"/>
          </w:tcPr>
          <w:p w14:paraId="2C2C45F4">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个</w:t>
            </w:r>
          </w:p>
        </w:tc>
        <w:tc>
          <w:tcPr>
            <w:tcW w:w="810" w:type="dxa"/>
            <w:vAlign w:val="center"/>
          </w:tcPr>
          <w:p w14:paraId="79D794AF">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200</w:t>
            </w:r>
          </w:p>
        </w:tc>
        <w:tc>
          <w:tcPr>
            <w:tcW w:w="1365" w:type="dxa"/>
            <w:vAlign w:val="center"/>
          </w:tcPr>
          <w:p w14:paraId="198495C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623A095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67BF622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1320B31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3D60AC27">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0883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29F4637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5</w:t>
            </w:r>
          </w:p>
        </w:tc>
        <w:tc>
          <w:tcPr>
            <w:tcW w:w="974" w:type="dxa"/>
            <w:vMerge w:val="continue"/>
            <w:vAlign w:val="center"/>
          </w:tcPr>
          <w:p w14:paraId="68EABBC5">
            <w:pPr>
              <w:jc w:val="center"/>
              <w:rPr>
                <w:rFonts w:hint="eastAsia" w:eastAsia="宋体"/>
                <w:color w:val="auto"/>
                <w:sz w:val="22"/>
                <w:highlight w:val="none"/>
                <w:lang w:val="en-US" w:eastAsia="zh-CN"/>
              </w:rPr>
            </w:pPr>
          </w:p>
        </w:tc>
        <w:tc>
          <w:tcPr>
            <w:tcW w:w="4635" w:type="dxa"/>
            <w:vAlign w:val="center"/>
          </w:tcPr>
          <w:p w14:paraId="630D2416">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定制健康抱枕被1*1.5M,荷兰绒+水洗棉，（双面定制健康标语或图案，呼吁群众关注健康）</w:t>
            </w:r>
          </w:p>
        </w:tc>
        <w:tc>
          <w:tcPr>
            <w:tcW w:w="750" w:type="dxa"/>
            <w:vAlign w:val="center"/>
          </w:tcPr>
          <w:p w14:paraId="3A09EA20">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个</w:t>
            </w:r>
          </w:p>
        </w:tc>
        <w:tc>
          <w:tcPr>
            <w:tcW w:w="810" w:type="dxa"/>
            <w:vAlign w:val="center"/>
          </w:tcPr>
          <w:p w14:paraId="7F8A9C15">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200</w:t>
            </w:r>
          </w:p>
        </w:tc>
        <w:tc>
          <w:tcPr>
            <w:tcW w:w="1365" w:type="dxa"/>
            <w:vAlign w:val="center"/>
          </w:tcPr>
          <w:p w14:paraId="2F42D37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2621330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2FEB2A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6D32ABB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5FBB6DA3">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42EB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3197851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6</w:t>
            </w:r>
          </w:p>
        </w:tc>
        <w:tc>
          <w:tcPr>
            <w:tcW w:w="974" w:type="dxa"/>
            <w:vMerge w:val="continue"/>
            <w:vAlign w:val="center"/>
          </w:tcPr>
          <w:p w14:paraId="25907323">
            <w:pPr>
              <w:jc w:val="center"/>
              <w:rPr>
                <w:rFonts w:hint="eastAsia" w:eastAsia="宋体"/>
                <w:color w:val="auto"/>
                <w:sz w:val="22"/>
                <w:highlight w:val="none"/>
                <w:lang w:val="en-US" w:eastAsia="zh-CN"/>
              </w:rPr>
            </w:pPr>
          </w:p>
        </w:tc>
        <w:tc>
          <w:tcPr>
            <w:tcW w:w="4635" w:type="dxa"/>
            <w:vAlign w:val="center"/>
          </w:tcPr>
          <w:p w14:paraId="2F1A840B">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健康控油玻璃喷壶，600ml（响应三减三健，引导健康生活）</w:t>
            </w:r>
          </w:p>
        </w:tc>
        <w:tc>
          <w:tcPr>
            <w:tcW w:w="750" w:type="dxa"/>
            <w:vAlign w:val="center"/>
          </w:tcPr>
          <w:p w14:paraId="206A1958">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个</w:t>
            </w:r>
          </w:p>
        </w:tc>
        <w:tc>
          <w:tcPr>
            <w:tcW w:w="810" w:type="dxa"/>
            <w:vAlign w:val="center"/>
          </w:tcPr>
          <w:p w14:paraId="275EAD1C">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200</w:t>
            </w:r>
          </w:p>
        </w:tc>
        <w:tc>
          <w:tcPr>
            <w:tcW w:w="1365" w:type="dxa"/>
            <w:vAlign w:val="center"/>
          </w:tcPr>
          <w:p w14:paraId="4EDA129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242EDE2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5D921B8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384F81D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6094967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475C7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6D1D897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7</w:t>
            </w:r>
          </w:p>
        </w:tc>
        <w:tc>
          <w:tcPr>
            <w:tcW w:w="974" w:type="dxa"/>
            <w:vMerge w:val="continue"/>
            <w:vAlign w:val="center"/>
          </w:tcPr>
          <w:p w14:paraId="076ACAAD">
            <w:pPr>
              <w:jc w:val="center"/>
              <w:rPr>
                <w:rFonts w:hint="eastAsia" w:eastAsia="宋体"/>
                <w:color w:val="auto"/>
                <w:sz w:val="22"/>
                <w:highlight w:val="none"/>
                <w:lang w:val="en-US" w:eastAsia="zh-CN"/>
              </w:rPr>
            </w:pPr>
          </w:p>
        </w:tc>
        <w:tc>
          <w:tcPr>
            <w:tcW w:w="4635" w:type="dxa"/>
            <w:vAlign w:val="center"/>
          </w:tcPr>
          <w:p w14:paraId="29265E04">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品牌牙膏（牙膏100G，响应三减三健，引导健康生活）</w:t>
            </w:r>
          </w:p>
        </w:tc>
        <w:tc>
          <w:tcPr>
            <w:tcW w:w="750" w:type="dxa"/>
            <w:vAlign w:val="center"/>
          </w:tcPr>
          <w:p w14:paraId="412FE11C">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条</w:t>
            </w:r>
          </w:p>
        </w:tc>
        <w:tc>
          <w:tcPr>
            <w:tcW w:w="810" w:type="dxa"/>
            <w:vAlign w:val="center"/>
          </w:tcPr>
          <w:p w14:paraId="1E8C350A">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200</w:t>
            </w:r>
          </w:p>
        </w:tc>
        <w:tc>
          <w:tcPr>
            <w:tcW w:w="1365" w:type="dxa"/>
            <w:vAlign w:val="center"/>
          </w:tcPr>
          <w:p w14:paraId="0BBD755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3D88208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6788D6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2C8018C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55CE4956">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2B276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5591E08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8</w:t>
            </w:r>
          </w:p>
        </w:tc>
        <w:tc>
          <w:tcPr>
            <w:tcW w:w="974" w:type="dxa"/>
            <w:vMerge w:val="continue"/>
            <w:vAlign w:val="center"/>
          </w:tcPr>
          <w:p w14:paraId="14361F38">
            <w:pPr>
              <w:jc w:val="center"/>
              <w:rPr>
                <w:rFonts w:hint="eastAsia" w:eastAsia="宋体"/>
                <w:color w:val="auto"/>
                <w:sz w:val="22"/>
                <w:highlight w:val="none"/>
                <w:lang w:val="en-US" w:eastAsia="zh-CN"/>
              </w:rPr>
            </w:pPr>
          </w:p>
        </w:tc>
        <w:tc>
          <w:tcPr>
            <w:tcW w:w="4635" w:type="dxa"/>
            <w:vAlign w:val="center"/>
          </w:tcPr>
          <w:p w14:paraId="1FD8B285">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洋画片(根据龙小七形象定制洋画+健康标语，呼吁群众关注健康，1款6图，设计5款，双面定制。整个版面尺寸：15*10cm，单图大小5*5cm)</w:t>
            </w:r>
          </w:p>
        </w:tc>
        <w:tc>
          <w:tcPr>
            <w:tcW w:w="750" w:type="dxa"/>
            <w:vAlign w:val="center"/>
          </w:tcPr>
          <w:p w14:paraId="1CA2A76C">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张</w:t>
            </w:r>
          </w:p>
        </w:tc>
        <w:tc>
          <w:tcPr>
            <w:tcW w:w="810" w:type="dxa"/>
            <w:vAlign w:val="center"/>
          </w:tcPr>
          <w:p w14:paraId="1ED7DC96">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2000</w:t>
            </w:r>
          </w:p>
        </w:tc>
        <w:tc>
          <w:tcPr>
            <w:tcW w:w="1365" w:type="dxa"/>
            <w:vAlign w:val="center"/>
          </w:tcPr>
          <w:p w14:paraId="3844022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126430E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3E86871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6881CE8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3392F7B5">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6C7F9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07CB1EC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9</w:t>
            </w:r>
          </w:p>
        </w:tc>
        <w:tc>
          <w:tcPr>
            <w:tcW w:w="974" w:type="dxa"/>
            <w:vMerge w:val="continue"/>
            <w:vAlign w:val="center"/>
          </w:tcPr>
          <w:p w14:paraId="61C06941">
            <w:pPr>
              <w:jc w:val="center"/>
              <w:rPr>
                <w:rFonts w:hint="eastAsia" w:eastAsia="宋体"/>
                <w:color w:val="auto"/>
                <w:sz w:val="22"/>
                <w:highlight w:val="none"/>
                <w:lang w:val="en-US" w:eastAsia="zh-CN"/>
              </w:rPr>
            </w:pPr>
          </w:p>
        </w:tc>
        <w:tc>
          <w:tcPr>
            <w:tcW w:w="4635" w:type="dxa"/>
            <w:vAlign w:val="center"/>
          </w:tcPr>
          <w:p w14:paraId="6EEA9736">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龙小七冰箱贴(根据龙小七形象定制异形+健康标语，呼吁群众关注健康)约6cm</w:t>
            </w:r>
          </w:p>
        </w:tc>
        <w:tc>
          <w:tcPr>
            <w:tcW w:w="750" w:type="dxa"/>
            <w:vAlign w:val="center"/>
          </w:tcPr>
          <w:p w14:paraId="55FB50E8">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个</w:t>
            </w:r>
          </w:p>
        </w:tc>
        <w:tc>
          <w:tcPr>
            <w:tcW w:w="810" w:type="dxa"/>
            <w:vAlign w:val="center"/>
          </w:tcPr>
          <w:p w14:paraId="367D2DDB">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400</w:t>
            </w:r>
          </w:p>
        </w:tc>
        <w:tc>
          <w:tcPr>
            <w:tcW w:w="1365" w:type="dxa"/>
            <w:vAlign w:val="center"/>
          </w:tcPr>
          <w:p w14:paraId="1CC2643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713C2A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232D7E3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2624DA3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76B72B9A">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5162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7F4D7C5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10</w:t>
            </w:r>
          </w:p>
        </w:tc>
        <w:tc>
          <w:tcPr>
            <w:tcW w:w="974" w:type="dxa"/>
            <w:vMerge w:val="restart"/>
            <w:vAlign w:val="center"/>
          </w:tcPr>
          <w:p w14:paraId="277A9E8E">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现场搭建及物料相关</w:t>
            </w:r>
          </w:p>
        </w:tc>
        <w:tc>
          <w:tcPr>
            <w:tcW w:w="4635" w:type="dxa"/>
            <w:vAlign w:val="center"/>
          </w:tcPr>
          <w:p w14:paraId="69459632">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知识展架，双面，1.2*2M</w:t>
            </w:r>
          </w:p>
        </w:tc>
        <w:tc>
          <w:tcPr>
            <w:tcW w:w="750" w:type="dxa"/>
            <w:vAlign w:val="center"/>
          </w:tcPr>
          <w:p w14:paraId="2F19DF61">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块</w:t>
            </w:r>
          </w:p>
        </w:tc>
        <w:tc>
          <w:tcPr>
            <w:tcW w:w="810" w:type="dxa"/>
            <w:vAlign w:val="center"/>
          </w:tcPr>
          <w:p w14:paraId="1B67AAFC">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4</w:t>
            </w:r>
          </w:p>
        </w:tc>
        <w:tc>
          <w:tcPr>
            <w:tcW w:w="1365" w:type="dxa"/>
            <w:vAlign w:val="center"/>
          </w:tcPr>
          <w:p w14:paraId="5436693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7EEF2F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7BC1D69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464D5C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55429D00">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3D81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0FDC899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11</w:t>
            </w:r>
          </w:p>
        </w:tc>
        <w:tc>
          <w:tcPr>
            <w:tcW w:w="974" w:type="dxa"/>
            <w:vMerge w:val="continue"/>
            <w:vAlign w:val="center"/>
          </w:tcPr>
          <w:p w14:paraId="5161923B">
            <w:pPr>
              <w:jc w:val="center"/>
              <w:rPr>
                <w:rFonts w:hint="eastAsia" w:eastAsia="宋体"/>
                <w:color w:val="auto"/>
                <w:sz w:val="22"/>
                <w:highlight w:val="none"/>
                <w:lang w:val="en-US" w:eastAsia="zh-CN"/>
              </w:rPr>
            </w:pPr>
          </w:p>
        </w:tc>
        <w:tc>
          <w:tcPr>
            <w:tcW w:w="4635" w:type="dxa"/>
            <w:vAlign w:val="center"/>
          </w:tcPr>
          <w:p w14:paraId="07872DA2">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异形打卡点，PVC、KT，多层异形画面，桁架支撑，约3*6M</w:t>
            </w:r>
          </w:p>
        </w:tc>
        <w:tc>
          <w:tcPr>
            <w:tcW w:w="750" w:type="dxa"/>
            <w:vAlign w:val="center"/>
          </w:tcPr>
          <w:p w14:paraId="31F62EE8">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24173D16">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089A98F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7A42175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4032026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632EBC6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49EC526E">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41D36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6CE2087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12</w:t>
            </w:r>
          </w:p>
        </w:tc>
        <w:tc>
          <w:tcPr>
            <w:tcW w:w="974" w:type="dxa"/>
            <w:vMerge w:val="continue"/>
            <w:vAlign w:val="center"/>
          </w:tcPr>
          <w:p w14:paraId="2B232245">
            <w:pPr>
              <w:jc w:val="center"/>
              <w:rPr>
                <w:rFonts w:hint="eastAsia" w:eastAsia="宋体"/>
                <w:color w:val="auto"/>
                <w:sz w:val="22"/>
                <w:highlight w:val="none"/>
                <w:lang w:val="en-US" w:eastAsia="zh-CN"/>
              </w:rPr>
            </w:pPr>
          </w:p>
        </w:tc>
        <w:tc>
          <w:tcPr>
            <w:tcW w:w="4635" w:type="dxa"/>
            <w:vAlign w:val="center"/>
          </w:tcPr>
          <w:p w14:paraId="7DC753C3">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拉绒地毯，含地毯胶等辅材</w:t>
            </w:r>
          </w:p>
        </w:tc>
        <w:tc>
          <w:tcPr>
            <w:tcW w:w="750" w:type="dxa"/>
            <w:vAlign w:val="center"/>
          </w:tcPr>
          <w:p w14:paraId="766D77F9">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平方</w:t>
            </w:r>
          </w:p>
        </w:tc>
        <w:tc>
          <w:tcPr>
            <w:tcW w:w="810" w:type="dxa"/>
            <w:vAlign w:val="center"/>
          </w:tcPr>
          <w:p w14:paraId="4A4653A1">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18</w:t>
            </w:r>
          </w:p>
        </w:tc>
        <w:tc>
          <w:tcPr>
            <w:tcW w:w="1365" w:type="dxa"/>
            <w:vAlign w:val="center"/>
          </w:tcPr>
          <w:p w14:paraId="7077FDE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4AB061F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6C21730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68FC6A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06E6663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109F2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0521DCC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13</w:t>
            </w:r>
          </w:p>
        </w:tc>
        <w:tc>
          <w:tcPr>
            <w:tcW w:w="974" w:type="dxa"/>
            <w:vMerge w:val="continue"/>
            <w:vAlign w:val="center"/>
          </w:tcPr>
          <w:p w14:paraId="4A19783C">
            <w:pPr>
              <w:jc w:val="center"/>
              <w:rPr>
                <w:rFonts w:hint="eastAsia" w:eastAsia="宋体"/>
                <w:color w:val="auto"/>
                <w:sz w:val="22"/>
                <w:highlight w:val="none"/>
                <w:lang w:val="en-US" w:eastAsia="zh-CN"/>
              </w:rPr>
            </w:pPr>
          </w:p>
        </w:tc>
        <w:tc>
          <w:tcPr>
            <w:tcW w:w="4635" w:type="dxa"/>
            <w:vAlign w:val="center"/>
          </w:tcPr>
          <w:p w14:paraId="0FAF1C1E">
            <w:pPr>
              <w:keepNext w:val="0"/>
              <w:keepLines w:val="0"/>
              <w:widowControl/>
              <w:suppressLineNumbers w:val="0"/>
              <w:jc w:val="left"/>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户外活动音响含麦克风及播放设备、调音人员</w:t>
            </w:r>
          </w:p>
        </w:tc>
        <w:tc>
          <w:tcPr>
            <w:tcW w:w="750" w:type="dxa"/>
            <w:vAlign w:val="center"/>
          </w:tcPr>
          <w:p w14:paraId="5FCA4AF5">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套</w:t>
            </w:r>
          </w:p>
        </w:tc>
        <w:tc>
          <w:tcPr>
            <w:tcW w:w="810" w:type="dxa"/>
            <w:vAlign w:val="center"/>
          </w:tcPr>
          <w:p w14:paraId="0ADDF397">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49EDD9D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0EDA735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48E68B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4C20CE3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33A9512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17F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3295996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14</w:t>
            </w:r>
          </w:p>
        </w:tc>
        <w:tc>
          <w:tcPr>
            <w:tcW w:w="974" w:type="dxa"/>
            <w:vMerge w:val="continue"/>
            <w:vAlign w:val="center"/>
          </w:tcPr>
          <w:p w14:paraId="45234287">
            <w:pPr>
              <w:jc w:val="center"/>
              <w:rPr>
                <w:rFonts w:hint="eastAsia" w:eastAsia="宋体"/>
                <w:color w:val="auto"/>
                <w:sz w:val="22"/>
                <w:highlight w:val="none"/>
                <w:lang w:val="en-US" w:eastAsia="zh-CN"/>
              </w:rPr>
            </w:pPr>
          </w:p>
        </w:tc>
        <w:tc>
          <w:tcPr>
            <w:tcW w:w="4635" w:type="dxa"/>
            <w:vAlign w:val="center"/>
          </w:tcPr>
          <w:p w14:paraId="65D13C9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绒面桌布+条桌</w:t>
            </w:r>
          </w:p>
        </w:tc>
        <w:tc>
          <w:tcPr>
            <w:tcW w:w="750" w:type="dxa"/>
            <w:vAlign w:val="center"/>
          </w:tcPr>
          <w:p w14:paraId="3187988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张</w:t>
            </w:r>
          </w:p>
        </w:tc>
        <w:tc>
          <w:tcPr>
            <w:tcW w:w="810" w:type="dxa"/>
            <w:vAlign w:val="center"/>
          </w:tcPr>
          <w:p w14:paraId="7AB64DD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10</w:t>
            </w:r>
          </w:p>
        </w:tc>
        <w:tc>
          <w:tcPr>
            <w:tcW w:w="1365" w:type="dxa"/>
            <w:vAlign w:val="center"/>
          </w:tcPr>
          <w:p w14:paraId="106348A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7FA7183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008836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0E1596F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2DB85C14">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4AC0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4A5A7CC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15</w:t>
            </w:r>
          </w:p>
        </w:tc>
        <w:tc>
          <w:tcPr>
            <w:tcW w:w="974" w:type="dxa"/>
            <w:vMerge w:val="continue"/>
            <w:vAlign w:val="center"/>
          </w:tcPr>
          <w:p w14:paraId="0B847587">
            <w:pPr>
              <w:jc w:val="center"/>
              <w:rPr>
                <w:rFonts w:hint="eastAsia" w:eastAsia="宋体"/>
                <w:color w:val="auto"/>
                <w:sz w:val="22"/>
                <w:highlight w:val="none"/>
                <w:lang w:val="en-US" w:eastAsia="zh-CN"/>
              </w:rPr>
            </w:pPr>
          </w:p>
        </w:tc>
        <w:tc>
          <w:tcPr>
            <w:tcW w:w="4635" w:type="dxa"/>
            <w:vAlign w:val="center"/>
          </w:tcPr>
          <w:p w14:paraId="3376666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折叠塑料椅</w:t>
            </w:r>
          </w:p>
        </w:tc>
        <w:tc>
          <w:tcPr>
            <w:tcW w:w="750" w:type="dxa"/>
            <w:vAlign w:val="center"/>
          </w:tcPr>
          <w:p w14:paraId="2A83BBF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把</w:t>
            </w:r>
          </w:p>
        </w:tc>
        <w:tc>
          <w:tcPr>
            <w:tcW w:w="810" w:type="dxa"/>
            <w:vAlign w:val="center"/>
          </w:tcPr>
          <w:p w14:paraId="512A6DB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40</w:t>
            </w:r>
          </w:p>
        </w:tc>
        <w:tc>
          <w:tcPr>
            <w:tcW w:w="1365" w:type="dxa"/>
            <w:vAlign w:val="center"/>
          </w:tcPr>
          <w:p w14:paraId="019A0C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4277138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6CB3824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4AC39D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39B576D1">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1CB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030A7ED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16</w:t>
            </w:r>
          </w:p>
        </w:tc>
        <w:tc>
          <w:tcPr>
            <w:tcW w:w="974" w:type="dxa"/>
            <w:vMerge w:val="continue"/>
            <w:vAlign w:val="center"/>
          </w:tcPr>
          <w:p w14:paraId="4B631F23">
            <w:pPr>
              <w:jc w:val="center"/>
              <w:rPr>
                <w:rFonts w:hint="eastAsia" w:eastAsia="宋体"/>
                <w:color w:val="auto"/>
                <w:sz w:val="22"/>
                <w:highlight w:val="none"/>
                <w:lang w:val="en-US" w:eastAsia="zh-CN"/>
              </w:rPr>
            </w:pPr>
          </w:p>
        </w:tc>
        <w:tc>
          <w:tcPr>
            <w:tcW w:w="4635" w:type="dxa"/>
            <w:vAlign w:val="center"/>
          </w:tcPr>
          <w:p w14:paraId="0D21E15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帐篷租用3*3M</w:t>
            </w:r>
          </w:p>
        </w:tc>
        <w:tc>
          <w:tcPr>
            <w:tcW w:w="750" w:type="dxa"/>
            <w:vAlign w:val="center"/>
          </w:tcPr>
          <w:p w14:paraId="1BBA919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顶</w:t>
            </w:r>
          </w:p>
        </w:tc>
        <w:tc>
          <w:tcPr>
            <w:tcW w:w="810" w:type="dxa"/>
            <w:vAlign w:val="center"/>
          </w:tcPr>
          <w:p w14:paraId="58B0066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4</w:t>
            </w:r>
          </w:p>
        </w:tc>
        <w:tc>
          <w:tcPr>
            <w:tcW w:w="1365" w:type="dxa"/>
            <w:vAlign w:val="center"/>
          </w:tcPr>
          <w:p w14:paraId="206C205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1D3AA1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29A3898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5D7B26B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4316E5E2">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49BF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3C5325B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17</w:t>
            </w:r>
          </w:p>
        </w:tc>
        <w:tc>
          <w:tcPr>
            <w:tcW w:w="974" w:type="dxa"/>
            <w:vMerge w:val="continue"/>
            <w:vAlign w:val="center"/>
          </w:tcPr>
          <w:p w14:paraId="6AC4B02B">
            <w:pPr>
              <w:jc w:val="center"/>
              <w:rPr>
                <w:rFonts w:hint="eastAsia" w:eastAsia="宋体"/>
                <w:color w:val="auto"/>
                <w:sz w:val="22"/>
                <w:highlight w:val="none"/>
                <w:lang w:val="en-US" w:eastAsia="zh-CN"/>
              </w:rPr>
            </w:pPr>
          </w:p>
        </w:tc>
        <w:tc>
          <w:tcPr>
            <w:tcW w:w="4635" w:type="dxa"/>
            <w:vAlign w:val="center"/>
          </w:tcPr>
          <w:p w14:paraId="130A3A6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帐篷门头KT说明3M</w:t>
            </w:r>
          </w:p>
        </w:tc>
        <w:tc>
          <w:tcPr>
            <w:tcW w:w="750" w:type="dxa"/>
            <w:vAlign w:val="center"/>
          </w:tcPr>
          <w:p w14:paraId="5653794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个</w:t>
            </w:r>
          </w:p>
        </w:tc>
        <w:tc>
          <w:tcPr>
            <w:tcW w:w="810" w:type="dxa"/>
            <w:vAlign w:val="center"/>
          </w:tcPr>
          <w:p w14:paraId="692FBDB9">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4</w:t>
            </w:r>
          </w:p>
        </w:tc>
        <w:tc>
          <w:tcPr>
            <w:tcW w:w="1365" w:type="dxa"/>
            <w:vAlign w:val="center"/>
          </w:tcPr>
          <w:p w14:paraId="2E11F44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11ACAD3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5AD8199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61CA7C1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218DAED6">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25D1F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2D22F15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18</w:t>
            </w:r>
          </w:p>
        </w:tc>
        <w:tc>
          <w:tcPr>
            <w:tcW w:w="974" w:type="dxa"/>
            <w:vMerge w:val="continue"/>
            <w:vAlign w:val="center"/>
          </w:tcPr>
          <w:p w14:paraId="156B7F95">
            <w:pPr>
              <w:jc w:val="center"/>
              <w:rPr>
                <w:rFonts w:hint="eastAsia" w:eastAsia="宋体"/>
                <w:color w:val="auto"/>
                <w:sz w:val="22"/>
                <w:highlight w:val="none"/>
                <w:lang w:val="en-US" w:eastAsia="zh-CN"/>
              </w:rPr>
            </w:pPr>
          </w:p>
        </w:tc>
        <w:tc>
          <w:tcPr>
            <w:tcW w:w="4635" w:type="dxa"/>
            <w:vAlign w:val="center"/>
          </w:tcPr>
          <w:p w14:paraId="5019F2F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游戏1—健康套圈（游戏道具一套+背景展板搭建）</w:t>
            </w:r>
          </w:p>
        </w:tc>
        <w:tc>
          <w:tcPr>
            <w:tcW w:w="750" w:type="dxa"/>
            <w:vAlign w:val="center"/>
          </w:tcPr>
          <w:p w14:paraId="1D683BF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5DA2BD4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1D04B7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6FD3FA9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182CEA6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4F3EF97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59072859">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2FA6E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331CE3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19</w:t>
            </w:r>
          </w:p>
        </w:tc>
        <w:tc>
          <w:tcPr>
            <w:tcW w:w="974" w:type="dxa"/>
            <w:vMerge w:val="continue"/>
            <w:vAlign w:val="center"/>
          </w:tcPr>
          <w:p w14:paraId="195556B2">
            <w:pPr>
              <w:jc w:val="center"/>
              <w:rPr>
                <w:rFonts w:hint="eastAsia" w:eastAsia="宋体"/>
                <w:color w:val="auto"/>
                <w:sz w:val="22"/>
                <w:highlight w:val="none"/>
                <w:lang w:val="en-US" w:eastAsia="zh-CN"/>
              </w:rPr>
            </w:pPr>
          </w:p>
        </w:tc>
        <w:tc>
          <w:tcPr>
            <w:tcW w:w="4635" w:type="dxa"/>
            <w:vAlign w:val="center"/>
          </w:tcPr>
          <w:p w14:paraId="08A74BA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游戏2—投球问路（游戏道具一套+背景展板搭建）</w:t>
            </w:r>
          </w:p>
        </w:tc>
        <w:tc>
          <w:tcPr>
            <w:tcW w:w="750" w:type="dxa"/>
            <w:vAlign w:val="center"/>
          </w:tcPr>
          <w:p w14:paraId="5EF6534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5BFB617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4E1E2C3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5173E2B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2D63499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192665B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4676FA9C">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44F5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073D90D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20</w:t>
            </w:r>
          </w:p>
        </w:tc>
        <w:tc>
          <w:tcPr>
            <w:tcW w:w="974" w:type="dxa"/>
            <w:vMerge w:val="continue"/>
            <w:vAlign w:val="center"/>
          </w:tcPr>
          <w:p w14:paraId="7195C624">
            <w:pPr>
              <w:jc w:val="center"/>
              <w:rPr>
                <w:rFonts w:hint="eastAsia" w:eastAsia="宋体"/>
                <w:color w:val="auto"/>
                <w:sz w:val="22"/>
                <w:highlight w:val="none"/>
                <w:lang w:val="en-US" w:eastAsia="zh-CN"/>
              </w:rPr>
            </w:pPr>
          </w:p>
        </w:tc>
        <w:tc>
          <w:tcPr>
            <w:tcW w:w="4635" w:type="dxa"/>
            <w:vAlign w:val="center"/>
          </w:tcPr>
          <w:p w14:paraId="1AE01BAC">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印章6个</w:t>
            </w:r>
          </w:p>
        </w:tc>
        <w:tc>
          <w:tcPr>
            <w:tcW w:w="750" w:type="dxa"/>
            <w:vAlign w:val="center"/>
          </w:tcPr>
          <w:p w14:paraId="2DA550C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3CA69DB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2EFA7C9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080" w:type="dxa"/>
            <w:vAlign w:val="center"/>
          </w:tcPr>
          <w:p w14:paraId="7B25F25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724" w:type="dxa"/>
            <w:vAlign w:val="center"/>
          </w:tcPr>
          <w:p w14:paraId="7E1E24E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1231" w:type="dxa"/>
            <w:vAlign w:val="top"/>
          </w:tcPr>
          <w:p w14:paraId="7EDBF10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4D9B55C8">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2FBD8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3871CF1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21</w:t>
            </w:r>
          </w:p>
        </w:tc>
        <w:tc>
          <w:tcPr>
            <w:tcW w:w="974" w:type="dxa"/>
            <w:vMerge w:val="restart"/>
            <w:vAlign w:val="center"/>
          </w:tcPr>
          <w:p w14:paraId="78742918">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急救科普宣传片</w:t>
            </w:r>
          </w:p>
        </w:tc>
        <w:tc>
          <w:tcPr>
            <w:tcW w:w="4635" w:type="dxa"/>
            <w:vAlign w:val="center"/>
          </w:tcPr>
          <w:p w14:paraId="479EF3F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宣传片策划、脚本创作、现场导演</w:t>
            </w:r>
          </w:p>
        </w:tc>
        <w:tc>
          <w:tcPr>
            <w:tcW w:w="750" w:type="dxa"/>
            <w:vAlign w:val="center"/>
          </w:tcPr>
          <w:p w14:paraId="3BE175D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5240453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6324EF4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080" w:type="dxa"/>
            <w:vAlign w:val="center"/>
          </w:tcPr>
          <w:p w14:paraId="6512B74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724" w:type="dxa"/>
            <w:vAlign w:val="center"/>
          </w:tcPr>
          <w:p w14:paraId="0FC8C55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231" w:type="dxa"/>
            <w:vAlign w:val="top"/>
          </w:tcPr>
          <w:p w14:paraId="2EF68FF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45FD9AAF">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46DAF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682356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22</w:t>
            </w:r>
          </w:p>
        </w:tc>
        <w:tc>
          <w:tcPr>
            <w:tcW w:w="974" w:type="dxa"/>
            <w:vMerge w:val="continue"/>
            <w:vAlign w:val="center"/>
          </w:tcPr>
          <w:p w14:paraId="740AB8BA">
            <w:pPr>
              <w:jc w:val="center"/>
              <w:rPr>
                <w:rFonts w:hint="eastAsia" w:eastAsia="宋体"/>
                <w:color w:val="auto"/>
                <w:sz w:val="22"/>
                <w:highlight w:val="none"/>
                <w:lang w:val="en-US" w:eastAsia="zh-CN"/>
              </w:rPr>
            </w:pPr>
          </w:p>
        </w:tc>
        <w:tc>
          <w:tcPr>
            <w:tcW w:w="4635" w:type="dxa"/>
            <w:vAlign w:val="center"/>
          </w:tcPr>
          <w:p w14:paraId="0A36FD15">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设备及要求：采用全画幅专业电影级摄影机，支持·4K60fps内录；搭配专业影视灯光、专业收音麦克风、监视器全套拍摄配套设备及拍摄人员</w:t>
            </w:r>
          </w:p>
        </w:tc>
        <w:tc>
          <w:tcPr>
            <w:tcW w:w="750" w:type="dxa"/>
            <w:vAlign w:val="center"/>
          </w:tcPr>
          <w:p w14:paraId="32541CE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2248AC0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shd w:val="clear" w:color="auto" w:fill="auto"/>
            <w:vAlign w:val="center"/>
          </w:tcPr>
          <w:p w14:paraId="355E61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r>
              <w:rPr>
                <w:rFonts w:hint="eastAsia"/>
                <w:color w:val="auto"/>
                <w:sz w:val="22"/>
                <w:highlight w:val="none"/>
                <w:lang w:val="en-US" w:eastAsia="zh-CN"/>
              </w:rPr>
              <w:t>/</w:t>
            </w:r>
          </w:p>
        </w:tc>
        <w:tc>
          <w:tcPr>
            <w:tcW w:w="1080" w:type="dxa"/>
            <w:shd w:val="clear" w:color="auto" w:fill="auto"/>
            <w:vAlign w:val="center"/>
          </w:tcPr>
          <w:p w14:paraId="6B28CD5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r>
              <w:rPr>
                <w:rFonts w:hint="eastAsia"/>
                <w:color w:val="auto"/>
                <w:sz w:val="22"/>
                <w:highlight w:val="none"/>
                <w:lang w:val="en-US" w:eastAsia="zh-CN"/>
              </w:rPr>
              <w:t>/</w:t>
            </w:r>
          </w:p>
        </w:tc>
        <w:tc>
          <w:tcPr>
            <w:tcW w:w="724" w:type="dxa"/>
            <w:shd w:val="clear" w:color="auto" w:fill="auto"/>
            <w:vAlign w:val="center"/>
          </w:tcPr>
          <w:p w14:paraId="22EF4D1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Calibri" w:hAnsi="Calibri" w:eastAsia="宋体" w:cs="黑体"/>
                <w:color w:val="auto"/>
                <w:kern w:val="2"/>
                <w:sz w:val="22"/>
                <w:szCs w:val="24"/>
                <w:highlight w:val="none"/>
                <w:lang w:val="en-US" w:eastAsia="zh-CN" w:bidi="ar-SA"/>
              </w:rPr>
            </w:pPr>
            <w:r>
              <w:rPr>
                <w:rFonts w:hint="eastAsia"/>
                <w:color w:val="auto"/>
                <w:sz w:val="22"/>
                <w:highlight w:val="none"/>
                <w:lang w:val="en-US" w:eastAsia="zh-CN"/>
              </w:rPr>
              <w:t>/</w:t>
            </w:r>
          </w:p>
        </w:tc>
        <w:tc>
          <w:tcPr>
            <w:tcW w:w="1231" w:type="dxa"/>
            <w:vAlign w:val="top"/>
          </w:tcPr>
          <w:p w14:paraId="3817256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38389BB0">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7EF73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3AA6BC0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23</w:t>
            </w:r>
          </w:p>
        </w:tc>
        <w:tc>
          <w:tcPr>
            <w:tcW w:w="974" w:type="dxa"/>
            <w:vMerge w:val="continue"/>
            <w:vAlign w:val="center"/>
          </w:tcPr>
          <w:p w14:paraId="052663A5">
            <w:pPr>
              <w:jc w:val="center"/>
              <w:rPr>
                <w:rFonts w:hint="eastAsia" w:eastAsia="宋体"/>
                <w:color w:val="auto"/>
                <w:sz w:val="22"/>
                <w:highlight w:val="none"/>
                <w:lang w:val="en-US" w:eastAsia="zh-CN"/>
              </w:rPr>
            </w:pPr>
          </w:p>
        </w:tc>
        <w:tc>
          <w:tcPr>
            <w:tcW w:w="4635" w:type="dxa"/>
            <w:vAlign w:val="center"/>
          </w:tcPr>
          <w:p w14:paraId="68D4592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影片剪辑，音效设计，特效包装等，成片约4分钟</w:t>
            </w:r>
          </w:p>
        </w:tc>
        <w:tc>
          <w:tcPr>
            <w:tcW w:w="750" w:type="dxa"/>
            <w:vAlign w:val="center"/>
          </w:tcPr>
          <w:p w14:paraId="754E298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分钟</w:t>
            </w:r>
          </w:p>
        </w:tc>
        <w:tc>
          <w:tcPr>
            <w:tcW w:w="810" w:type="dxa"/>
            <w:vAlign w:val="center"/>
          </w:tcPr>
          <w:p w14:paraId="24B4BA9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4</w:t>
            </w:r>
          </w:p>
        </w:tc>
        <w:tc>
          <w:tcPr>
            <w:tcW w:w="1365" w:type="dxa"/>
            <w:vAlign w:val="center"/>
          </w:tcPr>
          <w:p w14:paraId="28E3CB9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080" w:type="dxa"/>
            <w:vAlign w:val="center"/>
          </w:tcPr>
          <w:p w14:paraId="31B46B8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724" w:type="dxa"/>
            <w:vAlign w:val="center"/>
          </w:tcPr>
          <w:p w14:paraId="48AE987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231" w:type="dxa"/>
            <w:vAlign w:val="top"/>
          </w:tcPr>
          <w:p w14:paraId="5FF5C1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528C1002">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r w14:paraId="006DF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24" w:type="dxa"/>
            <w:vAlign w:val="center"/>
          </w:tcPr>
          <w:p w14:paraId="56456B1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24</w:t>
            </w:r>
          </w:p>
        </w:tc>
        <w:tc>
          <w:tcPr>
            <w:tcW w:w="974" w:type="dxa"/>
            <w:vAlign w:val="center"/>
          </w:tcPr>
          <w:p w14:paraId="656FCED7">
            <w:pPr>
              <w:keepNext w:val="0"/>
              <w:keepLines w:val="0"/>
              <w:widowControl/>
              <w:suppressLineNumbers w:val="0"/>
              <w:jc w:val="center"/>
              <w:textAlignment w:val="center"/>
              <w:rPr>
                <w:rFonts w:hint="eastAsia" w:eastAsia="宋体"/>
                <w:color w:val="auto"/>
                <w:sz w:val="22"/>
                <w:highlight w:val="none"/>
                <w:lang w:val="en-US" w:eastAsia="zh-CN"/>
              </w:rPr>
            </w:pPr>
            <w:r>
              <w:rPr>
                <w:rFonts w:hint="eastAsia" w:ascii="微软雅黑" w:hAnsi="微软雅黑" w:eastAsia="微软雅黑" w:cs="微软雅黑"/>
                <w:i w:val="0"/>
                <w:iCs w:val="0"/>
                <w:color w:val="000000"/>
                <w:kern w:val="0"/>
                <w:sz w:val="22"/>
                <w:szCs w:val="22"/>
                <w:highlight w:val="none"/>
                <w:u w:val="none"/>
                <w:lang w:val="en-US" w:eastAsia="zh-CN" w:bidi="ar"/>
              </w:rPr>
              <w:t>其它</w:t>
            </w:r>
          </w:p>
        </w:tc>
        <w:tc>
          <w:tcPr>
            <w:tcW w:w="4635" w:type="dxa"/>
            <w:vAlign w:val="center"/>
          </w:tcPr>
          <w:p w14:paraId="1B15E85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搭建安装人工、运输等</w:t>
            </w:r>
          </w:p>
        </w:tc>
        <w:tc>
          <w:tcPr>
            <w:tcW w:w="750" w:type="dxa"/>
            <w:vAlign w:val="center"/>
          </w:tcPr>
          <w:p w14:paraId="4354FAFF">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项</w:t>
            </w:r>
          </w:p>
        </w:tc>
        <w:tc>
          <w:tcPr>
            <w:tcW w:w="810" w:type="dxa"/>
            <w:vAlign w:val="center"/>
          </w:tcPr>
          <w:p w14:paraId="78233A07">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highlight w:val="none"/>
                <w:u w:val="none"/>
                <w:lang w:val="en-US" w:eastAsia="zh-CN" w:bidi="ar"/>
              </w:rPr>
            </w:pPr>
            <w:r>
              <w:rPr>
                <w:rFonts w:hint="eastAsia" w:ascii="微软雅黑" w:hAnsi="微软雅黑" w:eastAsia="微软雅黑" w:cs="微软雅黑"/>
                <w:i w:val="0"/>
                <w:iCs w:val="0"/>
                <w:color w:val="000000"/>
                <w:kern w:val="0"/>
                <w:sz w:val="22"/>
                <w:szCs w:val="22"/>
                <w:highlight w:val="none"/>
                <w:u w:val="none"/>
                <w:lang w:val="en-US" w:eastAsia="zh-CN" w:bidi="ar"/>
              </w:rPr>
              <w:t>1</w:t>
            </w:r>
          </w:p>
        </w:tc>
        <w:tc>
          <w:tcPr>
            <w:tcW w:w="1365" w:type="dxa"/>
            <w:vAlign w:val="center"/>
          </w:tcPr>
          <w:p w14:paraId="0627491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080" w:type="dxa"/>
            <w:vAlign w:val="center"/>
          </w:tcPr>
          <w:p w14:paraId="3C526A8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724" w:type="dxa"/>
            <w:vAlign w:val="center"/>
          </w:tcPr>
          <w:p w14:paraId="74DBB05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eastAsia="宋体"/>
                <w:color w:val="auto"/>
                <w:sz w:val="22"/>
                <w:highlight w:val="none"/>
                <w:lang w:val="en-US" w:eastAsia="zh-CN"/>
              </w:rPr>
            </w:pPr>
            <w:r>
              <w:rPr>
                <w:rFonts w:hint="eastAsia"/>
                <w:color w:val="auto"/>
                <w:sz w:val="22"/>
                <w:highlight w:val="none"/>
                <w:lang w:val="en-US" w:eastAsia="zh-CN"/>
              </w:rPr>
              <w:t>/</w:t>
            </w:r>
          </w:p>
        </w:tc>
        <w:tc>
          <w:tcPr>
            <w:tcW w:w="1231" w:type="dxa"/>
            <w:vAlign w:val="top"/>
          </w:tcPr>
          <w:p w14:paraId="371D305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eastAsia="宋体"/>
                <w:color w:val="auto"/>
                <w:sz w:val="22"/>
                <w:highlight w:val="none"/>
                <w:lang w:val="en-US" w:eastAsia="zh-CN"/>
              </w:rPr>
            </w:pPr>
          </w:p>
        </w:tc>
        <w:tc>
          <w:tcPr>
            <w:tcW w:w="960" w:type="dxa"/>
            <w:vMerge w:val="continue"/>
            <w:vAlign w:val="top"/>
          </w:tcPr>
          <w:p w14:paraId="7F955F14">
            <w:pPr>
              <w:keepNext w:val="0"/>
              <w:keepLines w:val="0"/>
              <w:pageBreakBefore w:val="0"/>
              <w:kinsoku/>
              <w:wordWrap/>
              <w:overflowPunct/>
              <w:topLinePunct w:val="0"/>
              <w:bidi w:val="0"/>
              <w:spacing w:line="240" w:lineRule="atLeast"/>
              <w:jc w:val="center"/>
              <w:textAlignment w:val="auto"/>
              <w:rPr>
                <w:rFonts w:hint="eastAsia" w:ascii="宋体" w:hAnsi="宋体" w:eastAsia="宋体" w:cs="宋体"/>
                <w:b w:val="0"/>
                <w:bCs w:val="0"/>
                <w:color w:val="auto"/>
                <w:sz w:val="22"/>
                <w:szCs w:val="22"/>
                <w:highlight w:val="none"/>
                <w:lang w:val="en-US" w:eastAsia="zh-CN"/>
              </w:rPr>
            </w:pPr>
          </w:p>
        </w:tc>
      </w:tr>
    </w:tbl>
    <w:p w14:paraId="225A7E3D">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Calibri" w:hAnsi="Calibri" w:eastAsia="宋体" w:cs="黑体"/>
          <w:color w:val="auto"/>
          <w:kern w:val="2"/>
          <w:sz w:val="21"/>
          <w:szCs w:val="24"/>
          <w:highlight w:val="none"/>
          <w:lang w:val="zh-CN" w:eastAsia="zh-CN" w:bidi="ar-SA"/>
        </w:rPr>
      </w:pPr>
    </w:p>
    <w:p w14:paraId="3438982B">
      <w:pPr>
        <w:pStyle w:val="6"/>
        <w:rPr>
          <w:rFonts w:hint="default" w:ascii="Calibri" w:hAnsi="Calibri" w:eastAsia="宋体" w:cs="黑体"/>
          <w:color w:val="auto"/>
          <w:kern w:val="2"/>
          <w:sz w:val="21"/>
          <w:szCs w:val="24"/>
          <w:highlight w:val="none"/>
          <w:lang w:val="zh-CN" w:eastAsia="zh-CN" w:bidi="ar-SA"/>
        </w:rPr>
      </w:pPr>
    </w:p>
    <w:p w14:paraId="022202BB">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Calibri" w:hAnsi="Calibri" w:eastAsia="宋体" w:cs="黑体"/>
          <w:color w:val="auto"/>
          <w:kern w:val="2"/>
          <w:sz w:val="21"/>
          <w:szCs w:val="24"/>
          <w:highlight w:val="none"/>
          <w:lang w:val="en-US" w:eastAsia="zh-CN" w:bidi="ar-SA"/>
        </w:rPr>
      </w:pPr>
      <w:r>
        <w:rPr>
          <w:rFonts w:hint="default" w:ascii="Calibri" w:hAnsi="Calibri" w:eastAsia="宋体" w:cs="黑体"/>
          <w:color w:val="auto"/>
          <w:kern w:val="2"/>
          <w:sz w:val="21"/>
          <w:szCs w:val="24"/>
          <w:highlight w:val="none"/>
          <w:lang w:val="zh-CN" w:eastAsia="zh-CN" w:bidi="ar-SA"/>
        </w:rPr>
        <w:t>法定代表人（</w:t>
      </w:r>
      <w:r>
        <w:rPr>
          <w:rFonts w:hint="default" w:ascii="Calibri" w:hAnsi="Calibri" w:eastAsia="宋体" w:cs="黑体"/>
          <w:color w:val="auto"/>
          <w:kern w:val="2"/>
          <w:sz w:val="21"/>
          <w:szCs w:val="24"/>
          <w:highlight w:val="none"/>
          <w:lang w:val="en-US" w:eastAsia="zh-CN" w:bidi="ar-SA"/>
        </w:rPr>
        <w:t>单位负责人</w:t>
      </w:r>
      <w:r>
        <w:rPr>
          <w:rFonts w:hint="default" w:ascii="Calibri" w:hAnsi="Calibri" w:eastAsia="宋体" w:cs="黑体"/>
          <w:color w:val="auto"/>
          <w:kern w:val="2"/>
          <w:sz w:val="21"/>
          <w:szCs w:val="24"/>
          <w:highlight w:val="none"/>
          <w:lang w:val="zh-CN" w:eastAsia="zh-CN" w:bidi="ar-SA"/>
        </w:rPr>
        <w:t>）或其授权代表（签字</w:t>
      </w:r>
      <w:r>
        <w:rPr>
          <w:rFonts w:hint="default" w:ascii="Calibri" w:hAnsi="Calibri" w:eastAsia="宋体" w:cs="黑体"/>
          <w:color w:val="auto"/>
          <w:kern w:val="2"/>
          <w:sz w:val="21"/>
          <w:szCs w:val="24"/>
          <w:highlight w:val="none"/>
          <w:lang w:val="en-US" w:eastAsia="zh-CN" w:bidi="ar-SA"/>
        </w:rPr>
        <w:t>或盖章</w:t>
      </w:r>
      <w:r>
        <w:rPr>
          <w:rFonts w:hint="default" w:ascii="Calibri" w:hAnsi="Calibri" w:eastAsia="宋体" w:cs="黑体"/>
          <w:color w:val="auto"/>
          <w:kern w:val="2"/>
          <w:sz w:val="21"/>
          <w:szCs w:val="24"/>
          <w:highlight w:val="none"/>
          <w:lang w:val="zh-CN" w:eastAsia="zh-CN" w:bidi="ar-SA"/>
        </w:rPr>
        <w:t>）</w:t>
      </w:r>
      <w:r>
        <w:rPr>
          <w:rFonts w:hint="default" w:ascii="Calibri" w:hAnsi="Calibri" w:eastAsia="宋体" w:cs="黑体"/>
          <w:color w:val="auto"/>
          <w:kern w:val="2"/>
          <w:sz w:val="21"/>
          <w:szCs w:val="24"/>
          <w:highlight w:val="none"/>
          <w:lang w:val="en-US" w:eastAsia="zh-CN" w:bidi="ar-SA"/>
        </w:rPr>
        <w:t xml:space="preserve">：                   </w:t>
      </w:r>
    </w:p>
    <w:p w14:paraId="3946941E">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default" w:ascii="Calibri" w:hAnsi="Calibri" w:eastAsia="宋体" w:cs="黑体"/>
          <w:color w:val="auto"/>
          <w:kern w:val="2"/>
          <w:sz w:val="21"/>
          <w:szCs w:val="24"/>
          <w:highlight w:val="none"/>
          <w:lang w:val="en-US" w:eastAsia="zh-CN" w:bidi="ar-SA"/>
        </w:rPr>
      </w:pPr>
      <w:r>
        <w:rPr>
          <w:rFonts w:hint="default" w:ascii="Calibri" w:hAnsi="Calibri" w:eastAsia="宋体" w:cs="黑体"/>
          <w:color w:val="auto"/>
          <w:kern w:val="2"/>
          <w:sz w:val="21"/>
          <w:szCs w:val="24"/>
          <w:highlight w:val="none"/>
          <w:lang w:val="en-US" w:eastAsia="zh-CN" w:bidi="ar-SA"/>
        </w:rPr>
        <w:t xml:space="preserve">投标人名称（盖章）：                        </w:t>
      </w:r>
    </w:p>
    <w:p w14:paraId="016940B3">
      <w:pPr>
        <w:keepNext w:val="0"/>
        <w:keepLines w:val="0"/>
        <w:pageBreakBefore w:val="0"/>
        <w:widowControl w:val="0"/>
        <w:kinsoku/>
        <w:wordWrap/>
        <w:overflowPunct/>
        <w:topLinePunct w:val="0"/>
        <w:autoSpaceDE/>
        <w:autoSpaceDN/>
        <w:bidi w:val="0"/>
        <w:adjustRightInd/>
        <w:snapToGrid/>
        <w:spacing w:line="320" w:lineRule="exact"/>
        <w:ind w:right="0" w:rightChars="0"/>
        <w:jc w:val="left"/>
        <w:textAlignment w:val="auto"/>
        <w:rPr>
          <w:rFonts w:hint="eastAsia" w:ascii="Calibri" w:hAnsi="Calibri" w:eastAsia="宋体" w:cs="黑体"/>
          <w:color w:val="auto"/>
          <w:kern w:val="2"/>
          <w:sz w:val="21"/>
          <w:szCs w:val="24"/>
          <w:highlight w:val="none"/>
          <w:lang w:val="en-US" w:eastAsia="zh-CN" w:bidi="ar-SA"/>
        </w:rPr>
      </w:pPr>
      <w:r>
        <w:rPr>
          <w:rFonts w:hint="default" w:ascii="Calibri" w:hAnsi="Calibri" w:eastAsia="宋体" w:cs="黑体"/>
          <w:color w:val="auto"/>
          <w:kern w:val="2"/>
          <w:sz w:val="21"/>
          <w:szCs w:val="24"/>
          <w:highlight w:val="none"/>
          <w:lang w:val="en-US" w:eastAsia="zh-CN" w:bidi="ar-SA"/>
        </w:rPr>
        <w:t>日期：   年   月   日</w:t>
      </w:r>
    </w:p>
    <w:p w14:paraId="40ADD07B">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p>
    <w:p w14:paraId="7C2CDD1D">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14:paraId="09D28E5A">
      <w:pPr>
        <w:pStyle w:val="18"/>
        <w:keepNext w:val="0"/>
        <w:keepLines w:val="0"/>
        <w:pageBreakBefore w:val="0"/>
        <w:widowControl w:val="0"/>
        <w:numPr>
          <w:ilvl w:val="0"/>
          <w:numId w:val="5"/>
        </w:numPr>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eastAsia" w:ascii="Times New Roman" w:hAnsi="Times New Roman" w:cs="Times New Roman"/>
          <w:color w:val="auto"/>
          <w:sz w:val="22"/>
          <w:szCs w:val="22"/>
          <w:highlight w:val="none"/>
          <w:lang w:val="en-US" w:eastAsia="zh-CN"/>
        </w:rPr>
        <w:t>所投货物</w:t>
      </w:r>
      <w:r>
        <w:rPr>
          <w:rFonts w:hint="default" w:ascii="Times New Roman" w:hAnsi="Times New Roman" w:eastAsia="宋体" w:cs="Times New Roman"/>
          <w:color w:val="auto"/>
          <w:sz w:val="22"/>
          <w:szCs w:val="22"/>
          <w:highlight w:val="none"/>
          <w:lang w:val="zh-CN"/>
        </w:rPr>
        <w:t>“规格/品牌/型号”一栏填写全部或任一信息即可，若为定制类，应填写为“定制”。</w:t>
      </w:r>
    </w:p>
    <w:p w14:paraId="44AB8E24">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14:paraId="72DDCFFF">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14:paraId="207839B3">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5.以上分项报价表的投标总价应当与开标一览表的投标总价一致。</w:t>
      </w:r>
    </w:p>
    <w:p w14:paraId="7A929188">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6.单价、合价和投标总价为包干价，即三者均应包含策划</w:t>
      </w:r>
      <w:r>
        <w:rPr>
          <w:rFonts w:hint="default" w:ascii="Times New Roman" w:hAnsi="Times New Roman" w:eastAsia="宋体" w:cs="Times New Roman"/>
          <w:color w:val="auto"/>
          <w:sz w:val="22"/>
          <w:szCs w:val="22"/>
          <w:highlight w:val="none"/>
          <w:lang w:val="zh-CN" w:eastAsia="zh-CN"/>
        </w:rPr>
        <w:t>服务</w:t>
      </w:r>
      <w:r>
        <w:rPr>
          <w:rFonts w:hint="default" w:ascii="Times New Roman" w:hAnsi="Times New Roman" w:eastAsia="宋体" w:cs="Times New Roman"/>
          <w:color w:val="auto"/>
          <w:sz w:val="22"/>
          <w:szCs w:val="22"/>
          <w:highlight w:val="none"/>
          <w:lang w:val="zh-CN"/>
        </w:rPr>
        <w:t>费、设计费、物料制作费、人工费、运输费、税费及合同明示或暗示的所有责任、义务和风险等全部费用。（若招标文件商务要求中对于报价有要求的以商务要求中的条款为准）</w:t>
      </w:r>
    </w:p>
    <w:p w14:paraId="15F464A7">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eastAsia"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7.所有价格应按“招标文件”中规定的货币单位填写；投标总价应为以上各分项价格之和</w:t>
      </w:r>
      <w:r>
        <w:rPr>
          <w:rFonts w:hint="eastAsia" w:ascii="Times New Roman" w:hAnsi="Times New Roman" w:eastAsia="宋体" w:cs="Times New Roman"/>
          <w:color w:val="auto"/>
          <w:sz w:val="22"/>
          <w:szCs w:val="22"/>
          <w:highlight w:val="none"/>
          <w:lang w:val="zh-CN"/>
        </w:rPr>
        <w:t>。</w:t>
      </w:r>
    </w:p>
    <w:p w14:paraId="76563F03">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440"/>
        <w:textAlignment w:val="auto"/>
        <w:rPr>
          <w:rFonts w:hint="default" w:ascii="Calibri" w:hAnsi="Calibri" w:eastAsia="宋体" w:cs="黑体"/>
          <w:color w:val="auto"/>
          <w:kern w:val="2"/>
          <w:sz w:val="21"/>
          <w:szCs w:val="24"/>
          <w:highlight w:val="none"/>
          <w:lang w:val="zh-CN" w:eastAsia="zh-CN" w:bidi="ar-SA"/>
        </w:rPr>
      </w:pPr>
      <w:r>
        <w:rPr>
          <w:rFonts w:hint="eastAsia" w:ascii="Times New Roman" w:hAnsi="Times New Roman" w:eastAsia="宋体" w:cs="Times New Roman"/>
          <w:color w:val="auto"/>
          <w:sz w:val="22"/>
          <w:szCs w:val="22"/>
          <w:highlight w:val="none"/>
          <w:lang w:val="en-US" w:eastAsia="zh-CN"/>
        </w:rPr>
        <w:t>8.</w:t>
      </w:r>
      <w:r>
        <w:rPr>
          <w:rFonts w:hint="eastAsia" w:ascii="Times New Roman" w:hAnsi="Times New Roman" w:eastAsia="宋体" w:cs="Times New Roman"/>
          <w:color w:val="auto"/>
          <w:sz w:val="22"/>
          <w:szCs w:val="22"/>
          <w:highlight w:val="none"/>
          <w:lang w:val="zh-CN"/>
        </w:rPr>
        <w:t>本项目预算金额为人民币</w:t>
      </w:r>
      <w:r>
        <w:rPr>
          <w:rFonts w:hint="eastAsia" w:ascii="Times New Roman" w:hAnsi="Times New Roman" w:eastAsia="宋体" w:cs="Times New Roman"/>
          <w:color w:val="auto"/>
          <w:sz w:val="22"/>
          <w:szCs w:val="22"/>
          <w:highlight w:val="none"/>
          <w:lang w:val="en-US" w:eastAsia="zh-CN"/>
        </w:rPr>
        <w:t>6.0</w:t>
      </w:r>
      <w:r>
        <w:rPr>
          <w:rFonts w:hint="eastAsia" w:ascii="Times New Roman" w:hAnsi="Times New Roman" w:eastAsia="宋体" w:cs="Times New Roman"/>
          <w:color w:val="auto"/>
          <w:sz w:val="22"/>
          <w:szCs w:val="22"/>
          <w:highlight w:val="none"/>
          <w:lang w:val="zh-CN"/>
        </w:rPr>
        <w:t>万元，最高限价为人民币</w:t>
      </w:r>
      <w:r>
        <w:rPr>
          <w:rFonts w:hint="eastAsia" w:ascii="Times New Roman" w:hAnsi="Times New Roman" w:eastAsia="宋体" w:cs="Times New Roman"/>
          <w:color w:val="auto"/>
          <w:sz w:val="22"/>
          <w:szCs w:val="22"/>
          <w:highlight w:val="none"/>
          <w:lang w:val="en-US" w:eastAsia="zh-CN"/>
        </w:rPr>
        <w:t>6.0</w:t>
      </w:r>
      <w:r>
        <w:rPr>
          <w:rFonts w:hint="eastAsia" w:ascii="Times New Roman" w:hAnsi="Times New Roman" w:eastAsia="宋体" w:cs="Times New Roman"/>
          <w:color w:val="auto"/>
          <w:sz w:val="22"/>
          <w:szCs w:val="22"/>
          <w:highlight w:val="none"/>
          <w:lang w:val="zh-CN"/>
        </w:rPr>
        <w:t>万元，超出最高限价或单价限价的投标将导致投标无效。</w:t>
      </w:r>
    </w:p>
    <w:p w14:paraId="3C21D3F7">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6E2C0C9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70D68713">
      <w:pPr>
        <w:keepNext w:val="0"/>
        <w:keepLines w:val="0"/>
        <w:pageBreakBefore w:val="0"/>
        <w:widowControl w:val="0"/>
        <w:kinsoku/>
        <w:wordWrap/>
        <w:overflowPunct/>
        <w:topLinePunct w:val="0"/>
        <w:autoSpaceDE/>
        <w:autoSpaceDN/>
        <w:bidi w:val="0"/>
        <w:adjustRightInd/>
        <w:snapToGrid/>
        <w:spacing w:line="560" w:lineRule="exact"/>
        <w:ind w:right="2100" w:rightChars="1000"/>
        <w:jc w:val="left"/>
        <w:textAlignment w:val="auto"/>
        <w:rPr>
          <w:rFonts w:ascii="Arial" w:hAnsi="Arial"/>
          <w:b/>
          <w:color w:val="auto"/>
          <w:kern w:val="0"/>
          <w:sz w:val="24"/>
          <w:szCs w:val="20"/>
          <w:highlight w:val="none"/>
        </w:rPr>
      </w:pPr>
    </w:p>
    <w:p w14:paraId="75890AE1">
      <w:pPr>
        <w:rPr>
          <w:rFonts w:ascii="Arial" w:hAnsi="Arial"/>
          <w:b/>
          <w:color w:val="auto"/>
          <w:kern w:val="0"/>
          <w:sz w:val="24"/>
          <w:szCs w:val="20"/>
          <w:highlight w:val="none"/>
        </w:rPr>
      </w:pPr>
      <w:r>
        <w:rPr>
          <w:rFonts w:ascii="Arial" w:hAnsi="Arial"/>
          <w:b/>
          <w:color w:val="auto"/>
          <w:kern w:val="0"/>
          <w:sz w:val="24"/>
          <w:szCs w:val="20"/>
          <w:highlight w:val="none"/>
        </w:rPr>
        <w:br w:type="page"/>
      </w:r>
    </w:p>
    <w:p w14:paraId="31371176">
      <w:pPr>
        <w:widowControl/>
        <w:spacing w:line="560" w:lineRule="exact"/>
        <w:jc w:val="center"/>
        <w:textAlignment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实质性条款响应情况表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7224"/>
        <w:gridCol w:w="2581"/>
        <w:gridCol w:w="1193"/>
        <w:gridCol w:w="1214"/>
      </w:tblGrid>
      <w:tr w14:paraId="30D7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91" w:type="pct"/>
            <w:vAlign w:val="center"/>
          </w:tcPr>
          <w:p w14:paraId="193E4A9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序号</w:t>
            </w:r>
          </w:p>
        </w:tc>
        <w:tc>
          <w:tcPr>
            <w:tcW w:w="2785" w:type="pct"/>
            <w:vAlign w:val="center"/>
          </w:tcPr>
          <w:p w14:paraId="50D04CB2">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实质性条款具体内容</w:t>
            </w:r>
          </w:p>
        </w:tc>
        <w:tc>
          <w:tcPr>
            <w:tcW w:w="995" w:type="pct"/>
            <w:vAlign w:val="center"/>
          </w:tcPr>
          <w:p w14:paraId="3D137A38">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投标响应</w:t>
            </w:r>
          </w:p>
        </w:tc>
        <w:tc>
          <w:tcPr>
            <w:tcW w:w="460" w:type="pct"/>
            <w:vAlign w:val="center"/>
          </w:tcPr>
          <w:p w14:paraId="489A404C">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偏离情况</w:t>
            </w:r>
          </w:p>
        </w:tc>
        <w:tc>
          <w:tcPr>
            <w:tcW w:w="468" w:type="pct"/>
            <w:vAlign w:val="center"/>
          </w:tcPr>
          <w:p w14:paraId="1F80F0E4">
            <w:pPr>
              <w:keepNext w:val="0"/>
              <w:keepLines w:val="0"/>
              <w:widowControl/>
              <w:suppressLineNumbers w:val="0"/>
              <w:shd w:val="clear"/>
              <w:snapToGrid w:val="0"/>
              <w:spacing w:line="560" w:lineRule="exact"/>
              <w:ind w:left="0" w:leftChars="0" w:right="0" w:rightChars="0" w:firstLine="0" w:firstLineChars="0"/>
              <w:jc w:val="center"/>
              <w:textAlignment w:val="center"/>
              <w:rPr>
                <w:rFonts w:hint="eastAsia" w:ascii="宋体" w:hAnsi="宋体" w:eastAsia="宋体" w:cs="宋体"/>
                <w:b/>
                <w:i w:val="0"/>
                <w:iCs w:val="0"/>
                <w:color w:val="auto"/>
                <w:kern w:val="0"/>
                <w:sz w:val="24"/>
                <w:szCs w:val="24"/>
                <w:highlight w:val="none"/>
                <w:u w:val="none"/>
                <w:lang w:val="en-US" w:eastAsia="zh-CN" w:bidi="ar"/>
              </w:rPr>
            </w:pPr>
            <w:r>
              <w:rPr>
                <w:rFonts w:hint="eastAsia" w:ascii="宋体" w:hAnsi="宋体" w:eastAsia="宋体" w:cs="宋体"/>
                <w:b/>
                <w:i w:val="0"/>
                <w:iCs w:val="0"/>
                <w:color w:val="auto"/>
                <w:kern w:val="0"/>
                <w:sz w:val="24"/>
                <w:szCs w:val="24"/>
                <w:highlight w:val="none"/>
                <w:u w:val="none"/>
                <w:lang w:val="en-US" w:eastAsia="zh-CN" w:bidi="ar"/>
              </w:rPr>
              <w:t>说明</w:t>
            </w:r>
          </w:p>
        </w:tc>
      </w:tr>
      <w:tr w14:paraId="5430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53B37125">
            <w:pPr>
              <w:widowControl/>
              <w:spacing w:line="560" w:lineRule="exact"/>
              <w:jc w:val="center"/>
              <w:textAlignment w:val="center"/>
              <w:rPr>
                <w:rFonts w:hint="default" w:ascii="宋体" w:hAnsi="仿宋_GB2312" w:eastAsia="宋体" w:cs="仿宋_GB2312"/>
                <w:color w:val="auto"/>
                <w:kern w:val="2"/>
                <w:sz w:val="24"/>
                <w:szCs w:val="32"/>
                <w:highlight w:val="none"/>
                <w:vertAlign w:val="baseline"/>
                <w:lang w:val="en-US" w:eastAsia="zh-CN" w:bidi="ar-SA"/>
              </w:rPr>
            </w:pPr>
            <w:r>
              <w:rPr>
                <w:rFonts w:hint="eastAsia" w:ascii="宋体" w:hAnsi="仿宋_GB2312" w:eastAsia="宋体" w:cs="仿宋_GB2312"/>
                <w:color w:val="auto"/>
                <w:kern w:val="2"/>
                <w:sz w:val="24"/>
                <w:szCs w:val="32"/>
                <w:highlight w:val="none"/>
                <w:vertAlign w:val="baseline"/>
                <w:lang w:val="en-US" w:eastAsia="zh-CN" w:bidi="ar-SA"/>
              </w:rPr>
              <w:t>1</w:t>
            </w:r>
          </w:p>
        </w:tc>
        <w:tc>
          <w:tcPr>
            <w:tcW w:w="2785" w:type="pct"/>
            <w:vAlign w:val="center"/>
          </w:tcPr>
          <w:p w14:paraId="4C7BF03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第二章 六、服务内容及要求 （四）商务要求</w:t>
            </w:r>
          </w:p>
          <w:p w14:paraId="0F85015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val="en-US" w:eastAsia="zh-CN"/>
              </w:rPr>
              <w:t>★1.服务期限：自合同签订之日起40日（日历日）内完成全部策划、设计、物料制作、科普宣传片拍摄制作及活动执行工作，并提交全部成果资料。（日历日为自然天，包括双休日及法定节假日，不等同于工作日；投标文件中的交货期条款为不可负偏离条款，若投标文件中响应的服务期超过招标文件规定期限时，其投标文件按投标无效处理。）</w:t>
            </w:r>
          </w:p>
        </w:tc>
        <w:tc>
          <w:tcPr>
            <w:tcW w:w="995" w:type="pct"/>
          </w:tcPr>
          <w:p w14:paraId="1ED273FE">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703AFD5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29AD68D0">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61AB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60610EF8">
            <w:pPr>
              <w:widowControl/>
              <w:spacing w:line="560" w:lineRule="exact"/>
              <w:jc w:val="center"/>
              <w:textAlignment w:val="center"/>
              <w:rPr>
                <w:rFonts w:hint="eastAsia" w:ascii="宋体" w:hAnsi="仿宋_GB2312" w:eastAsia="宋体"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2</w:t>
            </w:r>
          </w:p>
        </w:tc>
        <w:tc>
          <w:tcPr>
            <w:tcW w:w="2785" w:type="pct"/>
            <w:vAlign w:val="center"/>
          </w:tcPr>
          <w:p w14:paraId="2A972D38">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第二章 六、服务内容及要求 （四）商务要求</w:t>
            </w:r>
          </w:p>
          <w:p w14:paraId="212FE14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color w:val="auto"/>
                <w:sz w:val="22"/>
                <w:highlight w:val="none"/>
                <w:lang w:val="en-US" w:eastAsia="zh-CN"/>
              </w:rPr>
              <w:t>★4.报价要求：人民币报价，精确到小数点后两位。投标报价总额上限为6.0万元。投标人应结合项目需求、市场行情及企业自身因素，自行填报投标总价。报价应包括策划服务费、设计费、物料制作费、人工费、运输费、税费等为完成本项目所需的一切费用。</w:t>
            </w:r>
          </w:p>
        </w:tc>
        <w:tc>
          <w:tcPr>
            <w:tcW w:w="995" w:type="pct"/>
          </w:tcPr>
          <w:p w14:paraId="047DE4F3">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2B7B04CC">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1407794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r w14:paraId="6CA4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91" w:type="pct"/>
            <w:vAlign w:val="center"/>
          </w:tcPr>
          <w:p w14:paraId="062533D7">
            <w:pPr>
              <w:widowControl/>
              <w:spacing w:line="560" w:lineRule="exact"/>
              <w:jc w:val="center"/>
              <w:textAlignment w:val="center"/>
              <w:rPr>
                <w:rFonts w:hint="default" w:ascii="宋体" w:hAnsi="仿宋_GB2312" w:cs="仿宋_GB2312"/>
                <w:color w:val="auto"/>
                <w:kern w:val="2"/>
                <w:sz w:val="24"/>
                <w:szCs w:val="32"/>
                <w:highlight w:val="none"/>
                <w:vertAlign w:val="baseline"/>
                <w:lang w:val="en-US" w:eastAsia="zh-CN" w:bidi="ar-SA"/>
              </w:rPr>
            </w:pPr>
            <w:r>
              <w:rPr>
                <w:rFonts w:hint="eastAsia" w:ascii="宋体" w:hAnsi="仿宋_GB2312" w:cs="仿宋_GB2312"/>
                <w:color w:val="auto"/>
                <w:kern w:val="2"/>
                <w:sz w:val="24"/>
                <w:szCs w:val="32"/>
                <w:highlight w:val="none"/>
                <w:vertAlign w:val="baseline"/>
                <w:lang w:val="en-US" w:eastAsia="zh-CN" w:bidi="ar-SA"/>
              </w:rPr>
              <w:t>3</w:t>
            </w:r>
          </w:p>
        </w:tc>
        <w:tc>
          <w:tcPr>
            <w:tcW w:w="2785" w:type="pct"/>
            <w:vAlign w:val="center"/>
          </w:tcPr>
          <w:p w14:paraId="6376E483">
            <w:pPr>
              <w:keepNext w:val="0"/>
              <w:keepLines w:val="0"/>
              <w:pageBreakBefore w:val="0"/>
              <w:widowControl w:val="0"/>
              <w:numPr>
                <w:ilvl w:val="0"/>
                <w:numId w:val="1"/>
              </w:numPr>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六、服务内容及要求 （三）服务要求</w:t>
            </w:r>
          </w:p>
          <w:p w14:paraId="7AD98E4A">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rPr>
              <w:t>★</w:t>
            </w:r>
            <w:r>
              <w:rPr>
                <w:rFonts w:hint="eastAsia" w:ascii="Calibri" w:hAnsi="Calibri" w:eastAsia="宋体" w:cs="黑体"/>
                <w:b w:val="0"/>
                <w:bCs w:val="0"/>
                <w:color w:val="auto"/>
                <w:sz w:val="22"/>
                <w:szCs w:val="24"/>
                <w:highlight w:val="none"/>
                <w:lang w:val="en-US" w:eastAsia="zh-CN"/>
              </w:rPr>
              <w:t>10.现场所有作业需遵循安全生产操作规范，落实《中华人民共和国安全生产法》《城市市容和环境卫生管理条例》等相关规定。中标人作为现场搭建及活动保障的责任主体，需承诺对自身所有工作人员（含临时聘请人员）的现场作业安全及行为规范负有全面的管理责任，并接受采购方及场地方对现场作业安全的监督检查。如活动执行涉及高空作业，在活动开始前需向采购方提供</w:t>
            </w:r>
            <w:r>
              <w:rPr>
                <w:rStyle w:val="21"/>
                <w:rFonts w:hint="eastAsia" w:ascii="Calibri" w:hAnsi="Calibri" w:eastAsia="宋体" w:cs="黑体"/>
                <w:b w:val="0"/>
                <w:i w:val="0"/>
                <w:iCs w:val="0"/>
                <w:caps w:val="0"/>
                <w:color w:val="auto"/>
                <w:spacing w:val="0"/>
                <w:sz w:val="22"/>
                <w:szCs w:val="24"/>
                <w:highlight w:val="none"/>
                <w:shd w:val="clear" w:fill="auto"/>
              </w:rPr>
              <w:t>特种作业操作证</w:t>
            </w:r>
            <w:r>
              <w:rPr>
                <w:rStyle w:val="21"/>
                <w:rFonts w:hint="eastAsia" w:ascii="Calibri" w:hAnsi="Calibri" w:eastAsia="宋体" w:cs="黑体"/>
                <w:b w:val="0"/>
                <w:i w:val="0"/>
                <w:iCs w:val="0"/>
                <w:caps w:val="0"/>
                <w:color w:val="auto"/>
                <w:spacing w:val="0"/>
                <w:sz w:val="22"/>
                <w:szCs w:val="24"/>
                <w:highlight w:val="none"/>
                <w:shd w:val="clear" w:fill="auto"/>
                <w:lang w:eastAsia="zh-CN"/>
              </w:rPr>
              <w:t>（</w:t>
            </w:r>
            <w:r>
              <w:rPr>
                <w:rFonts w:hint="eastAsia" w:ascii="Calibri" w:hAnsi="Calibri" w:eastAsia="宋体" w:cs="黑体"/>
                <w:b w:val="0"/>
                <w:bCs w:val="0"/>
                <w:color w:val="auto"/>
                <w:sz w:val="22"/>
                <w:szCs w:val="24"/>
                <w:highlight w:val="none"/>
                <w:lang w:val="en-US" w:eastAsia="zh-CN"/>
              </w:rPr>
              <w:t>作业类别为</w:t>
            </w:r>
            <w:r>
              <w:rPr>
                <w:rStyle w:val="21"/>
                <w:rFonts w:hint="eastAsia" w:ascii="Calibri" w:hAnsi="Calibri" w:eastAsia="宋体" w:cs="黑体"/>
                <w:b w:val="0"/>
                <w:i w:val="0"/>
                <w:iCs w:val="0"/>
                <w:caps w:val="0"/>
                <w:color w:val="auto"/>
                <w:spacing w:val="0"/>
                <w:sz w:val="22"/>
                <w:szCs w:val="24"/>
                <w:highlight w:val="none"/>
                <w:shd w:val="clear" w:fill="auto"/>
              </w:rPr>
              <w:t>高处</w:t>
            </w:r>
            <w:r>
              <w:rPr>
                <w:rFonts w:hint="eastAsia" w:ascii="Calibri" w:hAnsi="Calibri" w:eastAsia="宋体" w:cs="黑体"/>
                <w:b w:val="0"/>
                <w:i w:val="0"/>
                <w:iCs w:val="0"/>
                <w:caps w:val="0"/>
                <w:color w:val="auto"/>
                <w:spacing w:val="0"/>
                <w:sz w:val="22"/>
                <w:szCs w:val="24"/>
                <w:highlight w:val="none"/>
                <w:shd w:val="clear"/>
                <w:lang w:val="en-US" w:eastAsia="zh-CN"/>
              </w:rPr>
              <w:t>作业</w:t>
            </w:r>
            <w:r>
              <w:rPr>
                <w:rStyle w:val="21"/>
                <w:rFonts w:hint="eastAsia" w:ascii="Calibri" w:hAnsi="Calibri" w:eastAsia="宋体" w:cs="黑体"/>
                <w:b w:val="0"/>
                <w:i w:val="0"/>
                <w:iCs w:val="0"/>
                <w:caps w:val="0"/>
                <w:color w:val="auto"/>
                <w:spacing w:val="0"/>
                <w:sz w:val="22"/>
                <w:szCs w:val="24"/>
                <w:highlight w:val="none"/>
                <w:shd w:val="clear" w:fill="auto"/>
                <w:lang w:eastAsia="zh-CN"/>
              </w:rPr>
              <w:t>）</w:t>
            </w:r>
            <w:r>
              <w:rPr>
                <w:rFonts w:hint="eastAsia" w:ascii="Calibri" w:hAnsi="Calibri" w:eastAsia="宋体" w:cs="黑体"/>
                <w:b w:val="0"/>
                <w:i w:val="0"/>
                <w:iCs w:val="0"/>
                <w:caps w:val="0"/>
                <w:color w:val="auto"/>
                <w:spacing w:val="0"/>
                <w:sz w:val="22"/>
                <w:szCs w:val="24"/>
                <w:highlight w:val="none"/>
                <w:shd w:val="clear"/>
                <w:lang w:val="en-US" w:eastAsia="zh-CN"/>
              </w:rPr>
              <w:t>进行备案；如活动执行涉及接电通电作业，</w:t>
            </w:r>
            <w:r>
              <w:rPr>
                <w:rFonts w:hint="eastAsia" w:ascii="Calibri" w:hAnsi="Calibri" w:eastAsia="宋体" w:cs="黑体"/>
                <w:b w:val="0"/>
                <w:bCs w:val="0"/>
                <w:color w:val="auto"/>
                <w:sz w:val="22"/>
                <w:szCs w:val="24"/>
                <w:highlight w:val="none"/>
                <w:lang w:val="en-US" w:eastAsia="zh-CN"/>
              </w:rPr>
              <w:t>在活动开始前</w:t>
            </w:r>
            <w:r>
              <w:rPr>
                <w:rFonts w:hint="eastAsia" w:ascii="Calibri" w:hAnsi="Calibri" w:eastAsia="宋体" w:cs="黑体"/>
                <w:b w:val="0"/>
                <w:i w:val="0"/>
                <w:iCs w:val="0"/>
                <w:caps w:val="0"/>
                <w:color w:val="auto"/>
                <w:spacing w:val="0"/>
                <w:sz w:val="22"/>
                <w:szCs w:val="24"/>
                <w:highlight w:val="none"/>
                <w:shd w:val="clear"/>
                <w:lang w:val="en-US" w:eastAsia="zh-CN"/>
              </w:rPr>
              <w:t>需向采购方提供特种</w:t>
            </w:r>
            <w:r>
              <w:rPr>
                <w:rFonts w:hint="eastAsia" w:ascii="Calibri" w:hAnsi="Calibri" w:eastAsia="宋体" w:cs="黑体"/>
                <w:b w:val="0"/>
                <w:i w:val="0"/>
                <w:iCs w:val="0"/>
                <w:caps w:val="0"/>
                <w:color w:val="auto"/>
                <w:spacing w:val="0"/>
                <w:sz w:val="22"/>
                <w:szCs w:val="24"/>
                <w:highlight w:val="none"/>
                <w:shd w:val="clear"/>
              </w:rPr>
              <w:t>作业操作证</w:t>
            </w:r>
            <w:r>
              <w:rPr>
                <w:rFonts w:hint="eastAsia" w:ascii="Calibri" w:hAnsi="Calibri" w:eastAsia="宋体" w:cs="黑体"/>
                <w:b w:val="0"/>
                <w:i w:val="0"/>
                <w:iCs w:val="0"/>
                <w:caps w:val="0"/>
                <w:color w:val="auto"/>
                <w:spacing w:val="0"/>
                <w:sz w:val="22"/>
                <w:szCs w:val="24"/>
                <w:highlight w:val="none"/>
                <w:shd w:val="clear"/>
                <w:lang w:val="en-US" w:eastAsia="zh-CN"/>
              </w:rPr>
              <w:t>(作业类别为电工作业)进行备案。</w:t>
            </w:r>
            <w:r>
              <w:rPr>
                <w:rFonts w:hint="eastAsia" w:ascii="Calibri" w:hAnsi="Calibri" w:eastAsia="宋体" w:cs="黑体"/>
                <w:b w:val="0"/>
                <w:bCs w:val="0"/>
                <w:color w:val="auto"/>
                <w:sz w:val="22"/>
                <w:szCs w:val="24"/>
                <w:highlight w:val="none"/>
                <w:lang w:val="en-US" w:eastAsia="zh-CN"/>
              </w:rPr>
              <w:t>以上内容须由中标人出具书面《安全生产责任承诺书》，明确承诺事项并加盖中标人公章，并承诺于进场前提交相关证件复印件给采购方备案。此承诺书作为合同履约的组成部分。中标人未按时提交或提交资料不全的，采购方有权拒绝其进场搭建，且因此导致的工期延误责任由中标人自行承担，工期不予顺延。（投标时提供《安全生产责任承诺书》，格式自拟）</w:t>
            </w:r>
          </w:p>
          <w:p w14:paraId="7B58EF8E">
            <w:pPr>
              <w:keepNext w:val="0"/>
              <w:keepLines w:val="0"/>
              <w:pageBreakBefore w:val="0"/>
              <w:widowControl w:val="0"/>
              <w:numPr>
                <w:ilvl w:val="-1"/>
                <w:numId w:val="0"/>
              </w:numPr>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p>
        </w:tc>
        <w:tc>
          <w:tcPr>
            <w:tcW w:w="995" w:type="pct"/>
          </w:tcPr>
          <w:p w14:paraId="01857A2F">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0" w:type="pct"/>
          </w:tcPr>
          <w:p w14:paraId="14C06126">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c>
          <w:tcPr>
            <w:tcW w:w="468" w:type="pct"/>
          </w:tcPr>
          <w:p w14:paraId="4F4E555A">
            <w:pPr>
              <w:adjustRightInd w:val="0"/>
              <w:snapToGrid w:val="0"/>
              <w:spacing w:line="560" w:lineRule="exact"/>
              <w:rPr>
                <w:rFonts w:hint="eastAsia" w:ascii="宋体" w:hAnsi="仿宋_GB2312" w:eastAsia="宋体" w:cs="仿宋_GB2312"/>
                <w:color w:val="auto"/>
                <w:kern w:val="2"/>
                <w:sz w:val="24"/>
                <w:szCs w:val="32"/>
                <w:highlight w:val="none"/>
                <w:vertAlign w:val="baseline"/>
                <w:lang w:val="en-US" w:eastAsia="zh-CN" w:bidi="ar-SA"/>
              </w:rPr>
            </w:pPr>
          </w:p>
        </w:tc>
      </w:tr>
    </w:tbl>
    <w:p w14:paraId="5D7ECC7A">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注：1.上表所列各项均为不可负偏离条款。</w:t>
      </w:r>
    </w:p>
    <w:p w14:paraId="647916DC">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2.“投标响应”一栏应当详细填写投标人自身响应情况。</w:t>
      </w:r>
    </w:p>
    <w:p w14:paraId="16E1B95B">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54D8F332">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4.评审委员会有权对投标响应情况作出判断（作出评审结论）。</w:t>
      </w:r>
    </w:p>
    <w:p w14:paraId="2ED7A2A8">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5.实质性响应条款“投标响应情况”与</w:t>
      </w:r>
      <w:r>
        <w:rPr>
          <w:rFonts w:hint="eastAsia"/>
          <w:color w:val="auto"/>
          <w:highlight w:val="none"/>
          <w:lang w:val="en-US" w:eastAsia="zh-CN"/>
        </w:rPr>
        <w:t>投标</w:t>
      </w:r>
      <w:r>
        <w:rPr>
          <w:rFonts w:hint="eastAsia" w:eastAsia="宋体"/>
          <w:color w:val="auto"/>
          <w:highlight w:val="none"/>
          <w:lang w:val="en-US" w:eastAsia="zh-CN"/>
        </w:rPr>
        <w:t>文件其他内容冲突的，以实质性响应条款“投标响应情况”为准。</w:t>
      </w:r>
    </w:p>
    <w:p w14:paraId="200D086A">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6.要求提供证明资料，在“说明”一栏中列明证明资料的位置，以便评审；未要求提供证明材料的，投标人可以不提供。</w:t>
      </w:r>
    </w:p>
    <w:p w14:paraId="08F6F8DC">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p>
    <w:p w14:paraId="0B0ED589">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6CD3B48C">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09CB8680">
      <w:pPr>
        <w:keepNext w:val="0"/>
        <w:keepLines w:val="0"/>
        <w:pageBreakBefore w:val="0"/>
        <w:widowControl w:val="0"/>
        <w:kinsoku/>
        <w:wordWrap/>
        <w:overflowPunct/>
        <w:topLinePunct w:val="0"/>
        <w:autoSpaceDE/>
        <w:autoSpaceDN/>
        <w:bidi w:val="0"/>
        <w:adjustRightInd/>
        <w:snapToGrid/>
        <w:spacing w:line="240" w:lineRule="auto"/>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254DD649">
      <w:pPr>
        <w:keepLines w:val="0"/>
        <w:pageBreakBefore w:val="0"/>
        <w:widowControl w:val="0"/>
        <w:numPr>
          <w:ilvl w:val="0"/>
          <w:numId w:val="0"/>
        </w:numPr>
        <w:kinsoku/>
        <w:wordWrap/>
        <w:overflowPunct/>
        <w:topLinePunct w:val="0"/>
        <w:bidi w:val="0"/>
        <w:spacing w:line="560" w:lineRule="exact"/>
        <w:ind w:firstLine="5481" w:firstLineChars="2600"/>
        <w:jc w:val="both"/>
        <w:rPr>
          <w:rFonts w:hint="eastAsia" w:ascii="宋体" w:cs="宋体"/>
          <w:b/>
          <w:bCs/>
          <w:color w:val="auto"/>
          <w:szCs w:val="21"/>
          <w:highlight w:val="none"/>
        </w:rPr>
      </w:pPr>
      <w:r>
        <w:rPr>
          <w:rFonts w:hint="eastAsia" w:ascii="宋体" w:cs="宋体"/>
          <w:b/>
          <w:bCs/>
          <w:color w:val="auto"/>
          <w:szCs w:val="21"/>
          <w:highlight w:val="none"/>
        </w:rPr>
        <w:br w:type="page"/>
      </w:r>
    </w:p>
    <w:p w14:paraId="4E2B89F1">
      <w:pPr>
        <w:widowControl/>
        <w:ind w:firstLine="4859" w:firstLineChars="1100"/>
        <w:jc w:val="both"/>
        <w:textAlignment w:val="center"/>
        <w:rPr>
          <w:rFonts w:hint="eastAsia" w:ascii="仿宋" w:hAnsi="仿宋" w:eastAsia="仿宋" w:cs="仿宋"/>
          <w:b/>
          <w:color w:val="000000"/>
          <w:kern w:val="0"/>
          <w:sz w:val="44"/>
          <w:szCs w:val="44"/>
          <w:highlight w:val="none"/>
        </w:rPr>
      </w:pPr>
      <w:r>
        <w:rPr>
          <w:rFonts w:hint="eastAsia" w:ascii="仿宋" w:hAnsi="仿宋" w:eastAsia="仿宋" w:cs="仿宋"/>
          <w:b/>
          <w:color w:val="000000"/>
          <w:kern w:val="0"/>
          <w:sz w:val="44"/>
          <w:szCs w:val="44"/>
          <w:highlight w:val="none"/>
        </w:rPr>
        <w:t>服务条款偏离表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374"/>
        <w:gridCol w:w="2186"/>
        <w:gridCol w:w="1797"/>
        <w:gridCol w:w="579"/>
      </w:tblGrid>
      <w:tr w14:paraId="4D84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3BB575B">
            <w:pPr>
              <w:pStyle w:val="18"/>
              <w:keepNext w:val="0"/>
              <w:keepLines w:val="0"/>
              <w:pageBreakBefore w:val="0"/>
              <w:widowControl w:val="0"/>
              <w:kinsoku/>
              <w:wordWrap/>
              <w:overflowPunct/>
              <w:topLinePunct w:val="0"/>
              <w:autoSpaceDE/>
              <w:autoSpaceDN/>
              <w:bidi w:val="0"/>
              <w:adjustRightInd/>
              <w:snapToGrid/>
              <w:spacing w:after="0" w:line="320" w:lineRule="exact"/>
              <w:ind w:left="0" w:leftChars="0" w:right="0" w:rightChars="0" w:firstLine="0" w:firstLineChars="0"/>
              <w:jc w:val="left"/>
              <w:textAlignment w:val="auto"/>
              <w:rPr>
                <w:rFonts w:hint="eastAsia" w:ascii="仿宋_GB2312" w:hAnsi="仿宋_GB2312" w:eastAsia="仿宋_GB2312" w:cs="仿宋_GB2312"/>
                <w:color w:val="auto"/>
                <w:kern w:val="2"/>
                <w:sz w:val="28"/>
                <w:szCs w:val="28"/>
                <w:highlight w:val="none"/>
                <w:lang w:val="zh-CN" w:eastAsia="zh-CN" w:bidi="ar-SA"/>
              </w:rPr>
            </w:pPr>
            <w:r>
              <w:rPr>
                <w:rFonts w:hint="eastAsia" w:ascii="仿宋_GB2312" w:hAnsi="仿宋_GB2312" w:eastAsia="仿宋_GB2312" w:cs="仿宋_GB2312"/>
                <w:color w:val="auto"/>
                <w:kern w:val="2"/>
                <w:sz w:val="28"/>
                <w:szCs w:val="28"/>
                <w:highlight w:val="none"/>
                <w:lang w:val="zh-CN" w:eastAsia="zh-CN" w:bidi="ar-SA"/>
              </w:rPr>
              <w:t>项目名称：</w:t>
            </w:r>
            <w:r>
              <w:rPr>
                <w:rFonts w:hint="eastAsia" w:ascii="仿宋_GB2312" w:hAnsi="仿宋_GB2312" w:eastAsia="仿宋_GB2312" w:cs="仿宋_GB2312"/>
                <w:sz w:val="28"/>
                <w:szCs w:val="28"/>
                <w:highlight w:val="none"/>
              </w:rPr>
              <w:t>深圳市龙岗区第七人民医院“强身心涨健识”健康促进主题活动策划服务</w:t>
            </w:r>
          </w:p>
          <w:p w14:paraId="4256B448">
            <w:pPr>
              <w:pStyle w:val="18"/>
              <w:keepNext w:val="0"/>
              <w:keepLines w:val="0"/>
              <w:pageBreakBefore w:val="0"/>
              <w:kinsoku/>
              <w:wordWrap/>
              <w:overflowPunct/>
              <w:topLinePunct w:val="0"/>
              <w:autoSpaceDE/>
              <w:autoSpaceDN/>
              <w:bidi w:val="0"/>
              <w:adjustRightInd/>
              <w:snapToGrid/>
              <w:spacing w:line="320" w:lineRule="exact"/>
              <w:ind w:left="0" w:leftChars="0" w:firstLine="0" w:firstLineChars="0"/>
              <w:jc w:val="left"/>
              <w:rPr>
                <w:rFonts w:hint="eastAsia" w:ascii="宋体" w:hAnsi="宋体" w:cs="宋体"/>
                <w:b/>
                <w:bCs/>
                <w:color w:val="auto"/>
                <w:szCs w:val="21"/>
                <w:highlight w:val="none"/>
              </w:rPr>
            </w:pPr>
            <w:r>
              <w:rPr>
                <w:rFonts w:hint="eastAsia" w:ascii="仿宋_GB2312" w:hAnsi="仿宋_GB2312" w:eastAsia="仿宋_GB2312" w:cs="仿宋_GB2312"/>
                <w:color w:val="auto"/>
                <w:kern w:val="2"/>
                <w:sz w:val="28"/>
                <w:szCs w:val="28"/>
                <w:highlight w:val="none"/>
                <w:lang w:val="en-US" w:eastAsia="zh-CN" w:bidi="ar-SA"/>
              </w:rPr>
              <w:t>项目编号：深龙七医采[LGQY2026XJ001]</w:t>
            </w:r>
          </w:p>
        </w:tc>
      </w:tr>
      <w:tr w14:paraId="706C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noWrap w:val="0"/>
            <w:vAlign w:val="center"/>
          </w:tcPr>
          <w:p w14:paraId="7292D73E">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kern w:val="2"/>
                <w:sz w:val="24"/>
                <w:szCs w:val="24"/>
                <w:highlight w:val="none"/>
                <w:lang w:val="en-US" w:eastAsia="zh-CN" w:bidi="ar"/>
              </w:rPr>
              <w:t>序号</w:t>
            </w:r>
          </w:p>
        </w:tc>
        <w:tc>
          <w:tcPr>
            <w:tcW w:w="2918" w:type="pct"/>
            <w:tcBorders>
              <w:top w:val="single" w:color="auto" w:sz="4" w:space="0"/>
              <w:left w:val="single" w:color="auto" w:sz="4" w:space="0"/>
              <w:bottom w:val="single" w:color="auto" w:sz="4" w:space="0"/>
              <w:right w:val="single" w:color="auto" w:sz="4" w:space="0"/>
            </w:tcBorders>
            <w:noWrap w:val="0"/>
            <w:vAlign w:val="center"/>
          </w:tcPr>
          <w:p w14:paraId="5055E813">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rPr>
              <w:t>招标</w:t>
            </w:r>
            <w:r>
              <w:rPr>
                <w:rFonts w:hint="eastAsia" w:ascii="仿宋_GB2312" w:hAnsi="仿宋_GB2312" w:eastAsia="仿宋_GB2312" w:cs="仿宋_GB2312"/>
                <w:b/>
                <w:bCs/>
                <w:sz w:val="24"/>
                <w:szCs w:val="24"/>
                <w:highlight w:val="none"/>
                <w:lang w:val="en-US" w:eastAsia="zh-CN"/>
              </w:rPr>
              <w:t>服务</w:t>
            </w:r>
            <w:r>
              <w:rPr>
                <w:rFonts w:hint="eastAsia" w:ascii="仿宋_GB2312" w:hAnsi="仿宋_GB2312" w:eastAsia="仿宋_GB2312" w:cs="仿宋_GB2312"/>
                <w:b/>
                <w:bCs/>
                <w:sz w:val="24"/>
                <w:szCs w:val="24"/>
                <w:highlight w:val="none"/>
              </w:rPr>
              <w:t>要求</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4FCB9046">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投标</w:t>
            </w:r>
            <w:r>
              <w:rPr>
                <w:rFonts w:hint="eastAsia" w:ascii="仿宋_GB2312" w:hAnsi="仿宋_GB2312" w:eastAsia="仿宋_GB2312" w:cs="仿宋_GB2312"/>
                <w:b/>
                <w:bCs/>
                <w:sz w:val="24"/>
                <w:szCs w:val="24"/>
                <w:highlight w:val="none"/>
                <w:lang w:val="en-US" w:eastAsia="zh-CN"/>
              </w:rPr>
              <w:t>服务</w:t>
            </w:r>
            <w:r>
              <w:rPr>
                <w:rFonts w:hint="eastAsia" w:ascii="仿宋_GB2312" w:hAnsi="仿宋_GB2312" w:eastAsia="仿宋_GB2312" w:cs="仿宋_GB2312"/>
                <w:b/>
                <w:bCs/>
                <w:sz w:val="24"/>
                <w:szCs w:val="24"/>
                <w:highlight w:val="none"/>
              </w:rPr>
              <w:t>响应</w:t>
            </w:r>
          </w:p>
          <w:p w14:paraId="5459D88B">
            <w:pPr>
              <w:spacing w:line="480" w:lineRule="exact"/>
              <w:ind w:firstLine="0" w:firstLineChars="0"/>
              <w:jc w:val="left"/>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rPr>
              <w:t>投标人根据实际情况在此处进行响应</w:t>
            </w:r>
          </w:p>
        </w:tc>
        <w:tc>
          <w:tcPr>
            <w:tcW w:w="711" w:type="pct"/>
            <w:tcBorders>
              <w:top w:val="single" w:color="auto" w:sz="4" w:space="0"/>
              <w:left w:val="single" w:color="auto" w:sz="4" w:space="0"/>
              <w:bottom w:val="single" w:color="auto" w:sz="4" w:space="0"/>
              <w:right w:val="single" w:color="auto" w:sz="4" w:space="0"/>
            </w:tcBorders>
            <w:noWrap w:val="0"/>
            <w:vAlign w:val="center"/>
          </w:tcPr>
          <w:p w14:paraId="5C9958D5">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偏离情况</w:t>
            </w:r>
          </w:p>
          <w:p w14:paraId="4D27C1DB">
            <w:pPr>
              <w:spacing w:line="480" w:lineRule="exact"/>
              <w:ind w:firstLine="0" w:firstLineChars="0"/>
              <w:jc w:val="both"/>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rPr>
              <w:t>“正偏离”或“无偏离”或“负偏离”</w:t>
            </w:r>
          </w:p>
        </w:tc>
        <w:tc>
          <w:tcPr>
            <w:tcW w:w="227" w:type="pct"/>
            <w:tcBorders>
              <w:top w:val="single" w:color="auto" w:sz="4" w:space="0"/>
              <w:left w:val="single" w:color="auto" w:sz="4" w:space="0"/>
              <w:bottom w:val="single" w:color="auto" w:sz="4" w:space="0"/>
              <w:right w:val="single" w:color="auto" w:sz="4" w:space="0"/>
            </w:tcBorders>
            <w:noWrap w:val="0"/>
            <w:vAlign w:val="center"/>
          </w:tcPr>
          <w:p w14:paraId="5E770A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rPr>
              <w:t>说明</w:t>
            </w:r>
          </w:p>
        </w:tc>
      </w:tr>
      <w:tr w14:paraId="4961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89A4BB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3048A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合同签订之日起5个工作日内完成设计，设计内容需经过采购方审核确认后方可推进执行，期间需配合医院完成不少于2次方案调整优化，相关费用已包含在报价中。各项设计图稿及策划方案、脚本需与我院确认，提供电子版和纸质版确认稿。</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07060DCE">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1F4FF761">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3B7F5CB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205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8EA82E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2</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1FD7F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供应商须对其出具的各项方案及图稿的原创性、真实性、准确性、合法性负责。若因方案或图稿问题导致采购方做出错误决策并造成损失的，供应商应承担相应法律责任及经济赔偿。</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33CA2677">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3D5A4221">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6E728404">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3AD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1D8015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3</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D14FC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供应商应遵守采购方医院内的安全管理规定，在活动执行过程中做好安全防护措施，因供应商原因造成的人员伤亡或财产损失，由供应商自行承担。</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77242979">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79550D17">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20FB97B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EC2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36099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4</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AD415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活动执行过程中如需对场地进行布置或改造，须提前征得采购方书面同意，并在活动结束后按要求恢复原貌（费用自理）。</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5C655489">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6A65805F">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58130825">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C1A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E37BC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5</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43315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本项目涉及活动宣传、策划实施、落地执行、活动视觉设计、物料设计制作、视频创作、定制健康促进工具包等内容，供应商需配合提供验收材料，协助完成活动总结及相关汇报。</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15359FDD">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26AFCEF3">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691C8760">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485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1687B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6</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1400CD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ascii="Calibri" w:hAnsi="Calibri" w:eastAsia="宋体" w:cs="黑体"/>
                <w:b w:val="0"/>
                <w:bCs w:val="0"/>
                <w:color w:val="auto"/>
                <w:sz w:val="22"/>
                <w:szCs w:val="24"/>
                <w:highlight w:val="none"/>
                <w:lang w:val="en-US" w:eastAsia="zh-CN"/>
              </w:rPr>
              <w:t>能及时响应</w:t>
            </w:r>
            <w:r>
              <w:rPr>
                <w:rFonts w:hint="eastAsia" w:cs="黑体"/>
                <w:b w:val="0"/>
                <w:bCs w:val="0"/>
                <w:color w:val="auto"/>
                <w:sz w:val="22"/>
                <w:szCs w:val="24"/>
                <w:highlight w:val="none"/>
                <w:lang w:val="en-US" w:eastAsia="zh-CN"/>
              </w:rPr>
              <w:t>采购人</w:t>
            </w:r>
            <w:r>
              <w:rPr>
                <w:rFonts w:hint="eastAsia" w:ascii="Calibri" w:hAnsi="Calibri" w:eastAsia="宋体" w:cs="黑体"/>
                <w:b w:val="0"/>
                <w:bCs w:val="0"/>
                <w:color w:val="auto"/>
                <w:sz w:val="22"/>
                <w:szCs w:val="24"/>
                <w:highlight w:val="none"/>
                <w:lang w:val="en-US" w:eastAsia="zh-CN"/>
              </w:rPr>
              <w:t>服务要求，在接到</w:t>
            </w:r>
            <w:r>
              <w:rPr>
                <w:rFonts w:hint="eastAsia" w:cs="黑体"/>
                <w:b w:val="0"/>
                <w:bCs w:val="0"/>
                <w:color w:val="auto"/>
                <w:sz w:val="22"/>
                <w:szCs w:val="24"/>
                <w:highlight w:val="none"/>
                <w:lang w:val="en-US" w:eastAsia="zh-CN"/>
              </w:rPr>
              <w:t>采购人</w:t>
            </w:r>
            <w:r>
              <w:rPr>
                <w:rFonts w:hint="eastAsia" w:ascii="Calibri" w:hAnsi="Calibri" w:eastAsia="宋体" w:cs="黑体"/>
                <w:b w:val="0"/>
                <w:bCs w:val="0"/>
                <w:color w:val="auto"/>
                <w:sz w:val="22"/>
                <w:szCs w:val="24"/>
                <w:highlight w:val="none"/>
                <w:lang w:val="en-US" w:eastAsia="zh-CN"/>
              </w:rPr>
              <w:t>通知后，线上服务响应需在2小时内响应，线下服务响应需在</w:t>
            </w:r>
            <w:r>
              <w:rPr>
                <w:rFonts w:hint="eastAsia" w:cs="黑体"/>
                <w:b w:val="0"/>
                <w:bCs w:val="0"/>
                <w:color w:val="auto"/>
                <w:sz w:val="22"/>
                <w:szCs w:val="24"/>
                <w:highlight w:val="none"/>
                <w:lang w:val="en-US" w:eastAsia="zh-CN"/>
              </w:rPr>
              <w:t>48</w:t>
            </w:r>
            <w:r>
              <w:rPr>
                <w:rFonts w:hint="eastAsia" w:ascii="Calibri" w:hAnsi="Calibri" w:eastAsia="宋体" w:cs="黑体"/>
                <w:b w:val="0"/>
                <w:bCs w:val="0"/>
                <w:color w:val="auto"/>
                <w:sz w:val="22"/>
                <w:szCs w:val="24"/>
                <w:highlight w:val="none"/>
                <w:lang w:val="en-US" w:eastAsia="zh-CN"/>
              </w:rPr>
              <w:t>小时内响应，不影响活动进程和效果。</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2B80BB43">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4DC17D28">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275C67A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E48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B57FB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7</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F882B8">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Calibri" w:hAnsi="Calibri" w:eastAsia="宋体" w:cs="黑体"/>
                <w:b w:val="0"/>
                <w:bCs w:val="0"/>
                <w:color w:val="auto"/>
                <w:sz w:val="22"/>
                <w:szCs w:val="24"/>
                <w:highlight w:val="none"/>
                <w:lang w:val="en-US" w:eastAsia="zh-CN"/>
              </w:rPr>
            </w:pPr>
            <w:r>
              <w:rPr>
                <w:rFonts w:hint="eastAsia" w:ascii="Calibri" w:hAnsi="Calibri" w:eastAsia="宋体" w:cs="黑体"/>
                <w:b w:val="0"/>
                <w:bCs w:val="0"/>
                <w:color w:val="auto"/>
                <w:sz w:val="22"/>
                <w:szCs w:val="24"/>
                <w:highlight w:val="none"/>
                <w:lang w:val="en-US" w:eastAsia="zh-CN"/>
              </w:rPr>
              <w:t>除以租赁使用为目的的设备/物品外，保证所提供设备和器材、物品是全新的，且备件齐全、包装完整，并</w:t>
            </w:r>
            <w:r>
              <w:rPr>
                <w:rFonts w:hint="eastAsia" w:ascii="Calibri" w:hAnsi="Calibri" w:eastAsia="宋体" w:cs="黑体"/>
                <w:b w:val="0"/>
                <w:bCs w:val="0"/>
                <w:strike w:val="0"/>
                <w:color w:val="auto"/>
                <w:sz w:val="22"/>
                <w:szCs w:val="24"/>
                <w:highlight w:val="none"/>
                <w:lang w:val="en-US" w:eastAsia="zh-CN"/>
              </w:rPr>
              <w:t>保证</w:t>
            </w:r>
            <w:r>
              <w:rPr>
                <w:rFonts w:hint="eastAsia" w:ascii="Calibri" w:hAnsi="Calibri" w:eastAsia="宋体" w:cs="黑体"/>
                <w:b w:val="0"/>
                <w:bCs w:val="0"/>
                <w:color w:val="auto"/>
                <w:sz w:val="22"/>
                <w:szCs w:val="24"/>
                <w:highlight w:val="none"/>
                <w:lang w:val="en-US" w:eastAsia="zh-CN"/>
              </w:rPr>
              <w:t>产品质量符合国家相关法律、法规和规定的要求，严格按照国家相关规定进行安装和调试产品。</w:t>
            </w:r>
          </w:p>
          <w:p w14:paraId="16B49FB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default"/>
                <w:color w:val="auto"/>
                <w:sz w:val="22"/>
                <w:highlight w:val="none"/>
                <w:lang w:val="en-US" w:eastAsia="zh-CN"/>
              </w:rPr>
            </w:pPr>
          </w:p>
        </w:tc>
        <w:tc>
          <w:tcPr>
            <w:tcW w:w="865" w:type="pct"/>
            <w:tcBorders>
              <w:top w:val="single" w:color="auto" w:sz="4" w:space="0"/>
              <w:left w:val="single" w:color="auto" w:sz="4" w:space="0"/>
              <w:bottom w:val="single" w:color="auto" w:sz="4" w:space="0"/>
              <w:right w:val="single" w:color="auto" w:sz="4" w:space="0"/>
            </w:tcBorders>
            <w:noWrap w:val="0"/>
            <w:vAlign w:val="center"/>
          </w:tcPr>
          <w:p w14:paraId="2B2BEDA2">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4CFF4E14">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72802776">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35A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878BB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8</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3982EB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所提供的设计形象、字体、音乐、视频等文学、艺术和科学作品均受著作权保护，使用所有权归供应商，不存在争议。纳入本项目采购的原创作品所有权归服务采购方所有，如有必要，供应商应配合进行相关权利登记。</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661A2E4D">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33F2A777">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2E493AA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5F7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60339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9</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73B69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活动开始前完成现场踏勘，重点排查活动区域布局，对接供电需求等，对可能影响安全生产、居民通行的区域，提前与场地提供方沟通，制定规避措施并报医院审核，严禁堵塞消防通道。</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0668CF35">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10AB3E5F">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55BF4028">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427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BCA23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10</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D3B04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color w:val="auto"/>
                <w:sz w:val="22"/>
                <w:highlight w:val="none"/>
                <w:lang w:val="en-US" w:eastAsia="zh-CN"/>
              </w:rPr>
              <w:t>中标人应严格按照合同约定的搭建、活动及撤场时间节点推进工作。若因采购方需求变更或不可抗力（如极端天气、政府临时管制等）导致工期延误，中标人须及时与采购方书面协商并办理工期顺延或调整手续。在施工过程中，若发现活动现场实际尺寸、地面条件、电力负荷等与设计图或前期沟通不符，或物料存在安全隐患、质量问题，中标人须立即停止相关工序，并书面上报采购方及场地方，经书面确认后方可调整方案或更换物料。严禁擅自变更设计方案、替换物料或使用不合格、不合规的设备材料。</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2B28B85E">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53D1E721">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6F36DE3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B85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D1EBF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11</w:t>
            </w:r>
          </w:p>
        </w:tc>
        <w:tc>
          <w:tcPr>
            <w:tcW w:w="291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AB450B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color w:val="auto"/>
                <w:sz w:val="22"/>
                <w:highlight w:val="none"/>
                <w:lang w:val="en-US" w:eastAsia="zh-CN"/>
              </w:rPr>
            </w:pPr>
            <w:r>
              <w:rPr>
                <w:rFonts w:hint="eastAsia" w:ascii="Calibri" w:hAnsi="Calibri" w:eastAsia="宋体" w:cs="黑体"/>
                <w:b w:val="0"/>
                <w:bCs w:val="0"/>
                <w:color w:val="auto"/>
                <w:sz w:val="22"/>
                <w:szCs w:val="24"/>
                <w:highlight w:val="none"/>
                <w:lang w:val="en-US" w:eastAsia="zh-CN"/>
              </w:rPr>
              <w:t>项目团队由不少于3人组成，其中包括项目负责人1名，负责对接物料设计制作的团队成员1名，负责对接现场活动搭建的团队成员1名。（提供项目团队成员清单，格式自拟）</w:t>
            </w:r>
          </w:p>
        </w:tc>
        <w:tc>
          <w:tcPr>
            <w:tcW w:w="865" w:type="pct"/>
            <w:tcBorders>
              <w:top w:val="single" w:color="auto" w:sz="4" w:space="0"/>
              <w:left w:val="single" w:color="auto" w:sz="4" w:space="0"/>
              <w:bottom w:val="single" w:color="auto" w:sz="4" w:space="0"/>
              <w:right w:val="single" w:color="auto" w:sz="4" w:space="0"/>
            </w:tcBorders>
            <w:noWrap w:val="0"/>
            <w:vAlign w:val="center"/>
          </w:tcPr>
          <w:p w14:paraId="36F4DF56">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22BD8CF6">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7" w:type="pct"/>
            <w:tcBorders>
              <w:top w:val="single" w:color="auto" w:sz="4" w:space="0"/>
              <w:left w:val="single" w:color="auto" w:sz="4" w:space="0"/>
              <w:bottom w:val="single" w:color="auto" w:sz="4" w:space="0"/>
              <w:right w:val="single" w:color="auto" w:sz="4" w:space="0"/>
            </w:tcBorders>
            <w:noWrap w:val="0"/>
            <w:vAlign w:val="center"/>
          </w:tcPr>
          <w:p w14:paraId="683F906B">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79A5AB91">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条款偏离表》编制指引：</w:t>
      </w:r>
    </w:p>
    <w:p w14:paraId="0B40960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1.</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条款偏离表的“招标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 xml:space="preserve">要求”等栏目对应“第二章 </w:t>
      </w:r>
      <w:r>
        <w:rPr>
          <w:rFonts w:hint="eastAsia" w:ascii="仿宋_GB2312" w:hAnsi="仿宋_GB2312" w:eastAsia="仿宋_GB2312" w:cs="仿宋_GB2312"/>
          <w:b w:val="0"/>
          <w:bCs w:val="0"/>
          <w:sz w:val="24"/>
          <w:szCs w:val="24"/>
          <w:highlight w:val="none"/>
        </w:rPr>
        <w:t>院内公开采购项目需求</w:t>
      </w:r>
      <w:r>
        <w:rPr>
          <w:rFonts w:hint="eastAsia" w:ascii="仿宋_GB2312" w:hAnsi="仿宋_GB2312" w:eastAsia="仿宋_GB2312" w:cs="仿宋_GB2312"/>
          <w:sz w:val="24"/>
          <w:szCs w:val="24"/>
          <w:highlight w:val="none"/>
        </w:rPr>
        <w:t>”中的“</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要求”章节相关内容。</w:t>
      </w:r>
    </w:p>
    <w:p w14:paraId="3B2A78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2.</w:t>
      </w:r>
      <w:r>
        <w:rPr>
          <w:rFonts w:hint="eastAsia" w:ascii="仿宋_GB2312" w:hAnsi="仿宋_GB2312" w:eastAsia="仿宋_GB2312" w:cs="仿宋_GB2312"/>
          <w:sz w:val="24"/>
          <w:szCs w:val="24"/>
          <w:highlight w:val="none"/>
        </w:rPr>
        <w:t>“投标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响应”一栏必须一一对照“招标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要求”，详细填写自身响应情况，以体现具体响应情况。</w:t>
      </w:r>
    </w:p>
    <w:p w14:paraId="431D2B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3.</w:t>
      </w:r>
      <w:r>
        <w:rPr>
          <w:rFonts w:hint="eastAsia" w:ascii="仿宋_GB2312" w:hAnsi="仿宋_GB2312" w:eastAsia="仿宋_GB2312" w:cs="仿宋_GB2312"/>
          <w:sz w:val="24"/>
          <w:szCs w:val="24"/>
          <w:highlight w:val="none"/>
        </w:rPr>
        <w:t>“偏离情况”一栏填写如实填写“正偏离</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无偏离”或“负偏离”，其中：“正偏离”表示“投标响应优于招标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要求”，“负偏离”表示“投标响应不满足招标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要求”，“无偏离”表示“投标响应与招标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要求一致”。</w:t>
      </w:r>
    </w:p>
    <w:p w14:paraId="2D54FC8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“投标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响应”对比“招标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要求”存在响应不全（包括未响应整项招标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要求或者未响应一项招标</w:t>
      </w:r>
      <w:r>
        <w:rPr>
          <w:rFonts w:hint="eastAsia" w:ascii="仿宋_GB2312" w:hAnsi="仿宋_GB2312" w:eastAsia="仿宋_GB2312" w:cs="仿宋_GB2312"/>
          <w:sz w:val="24"/>
          <w:szCs w:val="24"/>
          <w:highlight w:val="none"/>
          <w:lang w:val="en-US" w:eastAsia="zh-CN"/>
        </w:rPr>
        <w:t>服务</w:t>
      </w:r>
      <w:r>
        <w:rPr>
          <w:rFonts w:hint="eastAsia" w:ascii="仿宋_GB2312" w:hAnsi="仿宋_GB2312" w:eastAsia="仿宋_GB2312" w:cs="仿宋_GB2312"/>
          <w:sz w:val="24"/>
          <w:szCs w:val="24"/>
          <w:highlight w:val="none"/>
        </w:rPr>
        <w:t>要求的部分内容），均视为“负偏离”。带★号条款为不可偏离条款，如未响应或出现负偏离的，将作投标无效处理。</w:t>
      </w:r>
    </w:p>
    <w:p w14:paraId="7F0BB8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p>
    <w:p w14:paraId="7D0CC5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投标单位全称（加盖公章）：</w:t>
      </w:r>
    </w:p>
    <w:p w14:paraId="65B5E4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法定代表人或其授权代表签名：</w:t>
      </w:r>
    </w:p>
    <w:p w14:paraId="3CC6C9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日期：      年    月    日</w:t>
      </w:r>
    </w:p>
    <w:p w14:paraId="3D5956A8">
      <w:pPr>
        <w:rPr>
          <w:highlight w:val="none"/>
        </w:rPr>
        <w:sectPr>
          <w:pgSz w:w="16838" w:h="11906" w:orient="landscape"/>
          <w:pgMar w:top="1304" w:right="2098" w:bottom="1474" w:left="1984" w:header="851" w:footer="1417" w:gutter="0"/>
          <w:pgNumType w:fmt="numberInDash"/>
          <w:cols w:space="0" w:num="1"/>
          <w:docGrid w:type="lines" w:linePitch="327" w:charSpace="0"/>
        </w:sectPr>
      </w:pPr>
    </w:p>
    <w:p w14:paraId="4D779F78">
      <w:pPr>
        <w:pStyle w:val="16"/>
        <w:rPr>
          <w:rFonts w:hint="eastAsia"/>
          <w:highlight w:val="none"/>
          <w:lang w:val="zh-CN"/>
        </w:rPr>
      </w:pPr>
    </w:p>
    <w:p w14:paraId="325FBBC7">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仿宋" w:hAnsi="仿宋" w:eastAsia="仿宋" w:cs="仿宋"/>
          <w:b/>
          <w:color w:val="auto"/>
          <w:kern w:val="0"/>
          <w:sz w:val="44"/>
          <w:szCs w:val="44"/>
          <w:highlight w:val="none"/>
          <w:lang w:val="zh-CN"/>
        </w:rPr>
      </w:pPr>
      <w:r>
        <w:rPr>
          <w:rFonts w:hint="eastAsia" w:ascii="仿宋" w:hAnsi="仿宋" w:eastAsia="仿宋" w:cs="仿宋"/>
          <w:b/>
          <w:color w:val="auto"/>
          <w:kern w:val="0"/>
          <w:sz w:val="44"/>
          <w:szCs w:val="44"/>
          <w:highlight w:val="none"/>
          <w:lang w:val="zh-CN"/>
        </w:rPr>
        <w:t>商务条款偏离表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6972"/>
        <w:gridCol w:w="2290"/>
        <w:gridCol w:w="2096"/>
        <w:gridCol w:w="559"/>
      </w:tblGrid>
      <w:tr w14:paraId="084E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noWrap w:val="0"/>
            <w:vAlign w:val="center"/>
          </w:tcPr>
          <w:p w14:paraId="1860BEC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bidi="ar"/>
              </w:rPr>
              <w:t>序号</w:t>
            </w:r>
          </w:p>
        </w:tc>
        <w:tc>
          <w:tcPr>
            <w:tcW w:w="2758" w:type="pct"/>
            <w:tcBorders>
              <w:top w:val="single" w:color="auto" w:sz="4" w:space="0"/>
              <w:left w:val="single" w:color="auto" w:sz="4" w:space="0"/>
              <w:bottom w:val="single" w:color="auto" w:sz="4" w:space="0"/>
              <w:right w:val="single" w:color="auto" w:sz="4" w:space="0"/>
            </w:tcBorders>
            <w:noWrap w:val="0"/>
            <w:vAlign w:val="center"/>
          </w:tcPr>
          <w:p w14:paraId="6941AFF6">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color w:val="auto"/>
                <w:szCs w:val="21"/>
                <w:highlight w:val="none"/>
              </w:rPr>
              <w:t>招标商务要求</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3A4A35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宋体"/>
                <w:b/>
                <w:bCs/>
                <w:color w:val="auto"/>
                <w:szCs w:val="21"/>
                <w:highlight w:val="none"/>
              </w:rPr>
            </w:pPr>
            <w:r>
              <w:rPr>
                <w:rFonts w:hint="eastAsia" w:ascii="宋体" w:cs="宋体"/>
                <w:b/>
                <w:bCs/>
                <w:color w:val="auto"/>
                <w:szCs w:val="21"/>
                <w:highlight w:val="none"/>
              </w:rPr>
              <w:t>投标商务响应</w:t>
            </w:r>
          </w:p>
          <w:p w14:paraId="2170E608">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hAnsi="宋体" w:cs="宋体"/>
                <w:b/>
                <w:bCs/>
                <w:color w:val="auto"/>
                <w:highlight w:val="none"/>
              </w:rPr>
            </w:pPr>
            <w:r>
              <w:rPr>
                <w:rFonts w:hint="eastAsia" w:ascii="宋体" w:cs="宋体"/>
                <w:color w:val="auto"/>
                <w:highlight w:val="none"/>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noWrap w:val="0"/>
            <w:vAlign w:val="center"/>
          </w:tcPr>
          <w:p w14:paraId="099986CD">
            <w:pPr>
              <w:keepNext w:val="0"/>
              <w:keepLines w:val="0"/>
              <w:pageBreakBefore w:val="0"/>
              <w:kinsoku/>
              <w:wordWrap/>
              <w:overflowPunct/>
              <w:topLinePunct w:val="0"/>
              <w:autoSpaceDE/>
              <w:autoSpaceDN/>
              <w:bidi w:val="0"/>
              <w:adjustRightInd/>
              <w:snapToGrid/>
              <w:spacing w:line="560" w:lineRule="exact"/>
              <w:jc w:val="center"/>
              <w:rPr>
                <w:rFonts w:ascii="宋体" w:cs="宋体"/>
                <w:b/>
                <w:bCs/>
                <w:color w:val="auto"/>
                <w:szCs w:val="21"/>
                <w:highlight w:val="none"/>
              </w:rPr>
            </w:pPr>
            <w:r>
              <w:rPr>
                <w:rFonts w:hint="eastAsia" w:ascii="宋体" w:cs="宋体"/>
                <w:b/>
                <w:bCs/>
                <w:color w:val="auto"/>
                <w:szCs w:val="21"/>
                <w:highlight w:val="none"/>
              </w:rPr>
              <w:t>偏离情况</w:t>
            </w:r>
          </w:p>
          <w:p w14:paraId="6B4B25F3">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hAnsi="宋体" w:cs="宋体"/>
                <w:b/>
                <w:bCs/>
                <w:color w:val="auto"/>
                <w:highlight w:val="none"/>
              </w:rPr>
            </w:pPr>
            <w:r>
              <w:rPr>
                <w:rFonts w:hint="eastAsia" w:ascii="宋体" w:cs="宋体"/>
                <w:color w:val="auto"/>
                <w:highlight w:val="none"/>
              </w:rPr>
              <w:t>“正偏离”或“无偏离”或“负偏离”</w:t>
            </w:r>
          </w:p>
        </w:tc>
        <w:tc>
          <w:tcPr>
            <w:tcW w:w="221" w:type="pct"/>
            <w:tcBorders>
              <w:top w:val="single" w:color="auto" w:sz="4" w:space="0"/>
              <w:left w:val="single" w:color="auto" w:sz="4" w:space="0"/>
              <w:bottom w:val="single" w:color="auto" w:sz="4" w:space="0"/>
              <w:right w:val="single" w:color="auto" w:sz="4" w:space="0"/>
            </w:tcBorders>
            <w:noWrap w:val="0"/>
            <w:vAlign w:val="center"/>
          </w:tcPr>
          <w:p w14:paraId="0EC040BD">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cs="宋体"/>
                <w:b/>
                <w:bCs/>
                <w:color w:val="auto"/>
                <w:szCs w:val="21"/>
                <w:highlight w:val="none"/>
              </w:rPr>
            </w:pPr>
            <w:r>
              <w:rPr>
                <w:rFonts w:hint="eastAsia" w:ascii="宋体" w:cs="宋体"/>
                <w:b/>
                <w:bCs/>
                <w:color w:val="auto"/>
                <w:szCs w:val="21"/>
                <w:highlight w:val="none"/>
              </w:rPr>
              <w:t>说明</w:t>
            </w:r>
          </w:p>
        </w:tc>
      </w:tr>
      <w:tr w14:paraId="3ADB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BFA47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1</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4BA58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交货地点：深圳市龙岗区第七人民医院指定地点。</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3EB8BA3B">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311E3ED">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2E06C39E">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652E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362592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2</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55CDE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付款方式：本项目采取阶段性付费方式，即合同签订后付项目总额的30%，完成所有项目内容并验收合格后，支付尾款即项目总额的70%。我院在中标人提供正式发票后的10个工作日内通过银行转账付款。</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6ED72E27">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30560DD9">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5C46F7CC">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7C3C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1B60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3</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7FD323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default" w:ascii="Calibri" w:hAnsi="Calibri" w:eastAsia="宋体" w:cs="黑体"/>
                <w:color w:val="auto"/>
                <w:kern w:val="2"/>
                <w:sz w:val="22"/>
                <w:szCs w:val="24"/>
                <w:highlight w:val="none"/>
                <w:lang w:val="en-US" w:eastAsia="zh-CN" w:bidi="ar-SA"/>
              </w:rPr>
            </w:pPr>
            <w:r>
              <w:rPr>
                <w:rFonts w:hint="eastAsia" w:cs="黑体"/>
                <w:color w:val="auto"/>
                <w:kern w:val="2"/>
                <w:sz w:val="22"/>
                <w:szCs w:val="24"/>
                <w:highlight w:val="none"/>
                <w:lang w:val="en-US" w:eastAsia="zh-CN" w:bidi="ar-SA"/>
              </w:rPr>
              <w:t>验收与售后：</w:t>
            </w:r>
          </w:p>
          <w:p w14:paraId="71E423BA">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1）开展活动或运送宣传材料等货物到现场，中标人应在活动或运送前通知采购方指定人员到场，并提供明细交由采购方验收。中标人需对货物（材料、设备）的质量、规格、性能、数量或活动规模、布置、执行等做出记录，如有任何不符规定要求的产品及人为质量问题，采购方可无条件要求退货或更换。非不可抗力造成的活动质量下降或货物破损、缺陷等事故，由中标人承担后果并主动积极解决问题；</w:t>
            </w:r>
          </w:p>
          <w:p w14:paraId="732CDAF5">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（2）采购方验收时需确认中标人送达安装或用于宣传的物品品质及数量特征满足预定要求。通过现场检验和测试后确保供货商的产品符合质量标准；</w:t>
            </w:r>
          </w:p>
          <w:p w14:paraId="33EF1EE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（3）中标人需提供活动策划方案、视觉设计、视频、音频等资料，由采购方组织专家验收，并出具验收报告；</w:t>
            </w:r>
          </w:p>
          <w:p w14:paraId="63E85360">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4）中标人需按照既定的活动方案提供服务，对于质量、规格不符合要求的材料及配件、文学、艺术和科学作品，采购方有权拒绝验收，由中标人按要求时间重新提供符合要求的材料及配件、文学、艺术和科学作品，并承担由此发生的费用；</w:t>
            </w:r>
          </w:p>
          <w:p w14:paraId="053CE01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（5）在产品验收后，即使已经交付采购方使用，也不得以产品已经通过验收为由拒绝承担应其承担的质量责任，任何获奖证书和证明文件不可以作为质量问题或质量缺陷不存在的理由；</w:t>
            </w:r>
          </w:p>
          <w:p w14:paraId="361D40F9">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（6）所提供的设计形象、字体、音乐、视频等文学、艺术和科学作品的格式适用于各个平台上展播使用，3年免费协助调整格式；</w:t>
            </w:r>
          </w:p>
          <w:p w14:paraId="213F80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2"/>
                <w:highlight w:val="none"/>
                <w:lang w:val="en-US" w:eastAsia="zh-CN"/>
              </w:rPr>
            </w:pPr>
            <w:r>
              <w:rPr>
                <w:rFonts w:hint="eastAsia" w:ascii="Calibri" w:hAnsi="Calibri" w:eastAsia="宋体" w:cs="黑体"/>
                <w:color w:val="auto"/>
                <w:kern w:val="2"/>
                <w:sz w:val="22"/>
                <w:szCs w:val="24"/>
                <w:highlight w:val="none"/>
                <w:lang w:val="en-US" w:eastAsia="zh-CN" w:bidi="ar-SA"/>
              </w:rPr>
              <w:t>（7）中标人所提供服务涉及著作权、人员劳务费等争议，由中标人交涉处理并承担相应后果。</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4A6B90E6">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2D764E78">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7DFE4DBD">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4757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A6E5B6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4</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285CA3">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违约责任：</w:t>
            </w:r>
          </w:p>
          <w:p w14:paraId="7AD84D6E">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b w:val="0"/>
                <w:bCs w:val="0"/>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（1）中标人未能按合同约定的时间（合同签订</w:t>
            </w:r>
            <w:r>
              <w:rPr>
                <w:rFonts w:hint="eastAsia" w:ascii="Calibri" w:hAnsi="Calibri" w:eastAsia="宋体" w:cs="黑体"/>
                <w:b w:val="0"/>
                <w:bCs w:val="0"/>
                <w:color w:val="auto"/>
                <w:kern w:val="2"/>
                <w:sz w:val="22"/>
                <w:szCs w:val="24"/>
                <w:highlight w:val="none"/>
                <w:lang w:val="en-US" w:eastAsia="zh-CN" w:bidi="ar-SA"/>
              </w:rPr>
              <w:t>后40个日历日内）提交成果或完成服务的，每逾期一日，应按合同总金额的0.05%向采购方支付违约金，</w:t>
            </w:r>
            <w:r>
              <w:rPr>
                <w:rFonts w:hint="eastAsia" w:ascii="Calibri" w:hAnsi="Calibri" w:eastAsia="宋体" w:cs="黑体"/>
                <w:color w:val="auto"/>
                <w:kern w:val="2"/>
                <w:sz w:val="22"/>
                <w:szCs w:val="24"/>
                <w:highlight w:val="none"/>
              </w:rPr>
              <w:t>累计违约金总额不超过合同总价款10%</w:t>
            </w:r>
            <w:r>
              <w:rPr>
                <w:rFonts w:hint="eastAsia" w:ascii="Calibri" w:hAnsi="Calibri" w:eastAsia="宋体" w:cs="黑体"/>
                <w:color w:val="auto"/>
                <w:kern w:val="2"/>
                <w:sz w:val="22"/>
                <w:szCs w:val="24"/>
                <w:highlight w:val="none"/>
                <w:lang w:eastAsia="zh-CN"/>
              </w:rPr>
              <w:t>；</w:t>
            </w:r>
            <w:r>
              <w:rPr>
                <w:rFonts w:hint="eastAsia" w:ascii="Calibri" w:hAnsi="Calibri" w:eastAsia="宋体" w:cs="黑体"/>
                <w:b w:val="0"/>
                <w:bCs w:val="0"/>
                <w:color w:val="auto"/>
                <w:kern w:val="2"/>
                <w:sz w:val="22"/>
                <w:szCs w:val="24"/>
                <w:highlight w:val="none"/>
                <w:lang w:val="en-US" w:eastAsia="zh-CN" w:bidi="ar-SA"/>
              </w:rPr>
              <w:t>逾期超过15日的，采购方有权单方解除合同，并要求中标人赔偿损失。</w:t>
            </w:r>
          </w:p>
          <w:p w14:paraId="1AD67EAE">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Calibri" w:hAnsi="Calibri" w:eastAsia="宋体" w:cs="黑体"/>
                <w:color w:val="auto"/>
                <w:kern w:val="2"/>
                <w:sz w:val="22"/>
                <w:szCs w:val="24"/>
                <w:highlight w:val="none"/>
                <w:lang w:val="en-US" w:eastAsia="zh-CN" w:bidi="ar-SA"/>
              </w:rPr>
            </w:pPr>
            <w:r>
              <w:rPr>
                <w:rFonts w:hint="eastAsia" w:ascii="Calibri" w:hAnsi="Calibri" w:eastAsia="宋体" w:cs="黑体"/>
                <w:color w:val="auto"/>
                <w:kern w:val="2"/>
                <w:sz w:val="22"/>
                <w:szCs w:val="24"/>
                <w:highlight w:val="none"/>
                <w:lang w:val="en-US" w:eastAsia="zh-CN" w:bidi="ar-SA"/>
              </w:rPr>
              <w:t>（2）</w:t>
            </w:r>
            <w:r>
              <w:rPr>
                <w:rFonts w:hint="eastAsia" w:ascii="Calibri" w:hAnsi="Calibri" w:eastAsia="宋体" w:cs="黑体"/>
                <w:b w:val="0"/>
                <w:bCs w:val="0"/>
                <w:color w:val="auto"/>
                <w:kern w:val="2"/>
                <w:sz w:val="22"/>
                <w:szCs w:val="24"/>
                <w:highlight w:val="none"/>
                <w:lang w:val="en-US" w:eastAsia="zh-CN"/>
              </w:rPr>
              <w:t>若</w:t>
            </w:r>
            <w:r>
              <w:rPr>
                <w:rFonts w:hint="eastAsia" w:cs="黑体"/>
                <w:b w:val="0"/>
                <w:bCs w:val="0"/>
                <w:color w:val="auto"/>
                <w:kern w:val="2"/>
                <w:sz w:val="22"/>
                <w:szCs w:val="24"/>
                <w:highlight w:val="none"/>
                <w:lang w:val="en-US" w:eastAsia="zh-CN"/>
              </w:rPr>
              <w:t>中标人</w:t>
            </w:r>
            <w:r>
              <w:rPr>
                <w:rFonts w:hint="eastAsia" w:ascii="Calibri" w:hAnsi="Calibri" w:eastAsia="宋体" w:cs="黑体"/>
                <w:b w:val="0"/>
                <w:bCs w:val="0"/>
                <w:color w:val="auto"/>
                <w:kern w:val="2"/>
                <w:sz w:val="22"/>
                <w:szCs w:val="24"/>
                <w:highlight w:val="none"/>
                <w:lang w:val="en-US" w:eastAsia="zh-CN"/>
              </w:rPr>
              <w:t>擅自变更、替换或使用不合格物料，</w:t>
            </w:r>
            <w:r>
              <w:rPr>
                <w:rFonts w:hint="eastAsia" w:cs="黑体"/>
                <w:b w:val="0"/>
                <w:bCs w:val="0"/>
                <w:color w:val="auto"/>
                <w:kern w:val="2"/>
                <w:sz w:val="22"/>
                <w:szCs w:val="24"/>
                <w:highlight w:val="none"/>
                <w:lang w:val="en-US" w:eastAsia="zh-CN"/>
              </w:rPr>
              <w:t>采购方</w:t>
            </w:r>
            <w:r>
              <w:rPr>
                <w:rFonts w:hint="eastAsia" w:ascii="Calibri" w:hAnsi="Calibri" w:eastAsia="宋体" w:cs="黑体"/>
                <w:b w:val="0"/>
                <w:bCs w:val="0"/>
                <w:color w:val="auto"/>
                <w:kern w:val="2"/>
                <w:sz w:val="22"/>
                <w:szCs w:val="24"/>
                <w:highlight w:val="none"/>
                <w:lang w:val="en-US" w:eastAsia="zh-CN"/>
              </w:rPr>
              <w:t>有权要求其返工整改，并按合同总价款的</w:t>
            </w:r>
            <w:r>
              <w:rPr>
                <w:rFonts w:hint="eastAsia" w:cs="黑体"/>
                <w:b w:val="0"/>
                <w:bCs w:val="0"/>
                <w:color w:val="auto"/>
                <w:kern w:val="2"/>
                <w:sz w:val="22"/>
                <w:szCs w:val="24"/>
                <w:highlight w:val="none"/>
                <w:lang w:val="en-US" w:eastAsia="zh-CN"/>
              </w:rPr>
              <w:t>5</w:t>
            </w:r>
            <w:r>
              <w:rPr>
                <w:rFonts w:hint="eastAsia" w:ascii="Calibri" w:hAnsi="Calibri" w:eastAsia="宋体" w:cs="黑体"/>
                <w:b w:val="0"/>
                <w:bCs w:val="0"/>
                <w:color w:val="auto"/>
                <w:kern w:val="2"/>
                <w:sz w:val="22"/>
                <w:szCs w:val="24"/>
                <w:highlight w:val="none"/>
                <w:lang w:val="en-US" w:eastAsia="zh-CN"/>
              </w:rPr>
              <w:t>%向</w:t>
            </w:r>
            <w:r>
              <w:rPr>
                <w:rFonts w:hint="eastAsia" w:cs="黑体"/>
                <w:b w:val="0"/>
                <w:bCs w:val="0"/>
                <w:color w:val="auto"/>
                <w:kern w:val="2"/>
                <w:sz w:val="22"/>
                <w:szCs w:val="24"/>
                <w:highlight w:val="none"/>
                <w:lang w:val="en-US" w:eastAsia="zh-CN"/>
              </w:rPr>
              <w:t>采购方</w:t>
            </w:r>
            <w:r>
              <w:rPr>
                <w:rFonts w:hint="eastAsia" w:ascii="Calibri" w:hAnsi="Calibri" w:eastAsia="宋体" w:cs="黑体"/>
                <w:b w:val="0"/>
                <w:bCs w:val="0"/>
                <w:color w:val="auto"/>
                <w:kern w:val="2"/>
                <w:sz w:val="22"/>
                <w:szCs w:val="24"/>
                <w:highlight w:val="none"/>
                <w:lang w:val="en-US" w:eastAsia="zh-CN"/>
              </w:rPr>
              <w:t>支付违约金，因此造成的全部费用及损失（包括但不限于场地方索赔、活动延误损失等）由</w:t>
            </w:r>
            <w:r>
              <w:rPr>
                <w:rFonts w:hint="eastAsia" w:cs="黑体"/>
                <w:b w:val="0"/>
                <w:bCs w:val="0"/>
                <w:color w:val="auto"/>
                <w:kern w:val="2"/>
                <w:sz w:val="22"/>
                <w:szCs w:val="24"/>
                <w:highlight w:val="none"/>
                <w:lang w:val="en-US" w:eastAsia="zh-CN"/>
              </w:rPr>
              <w:t>中标人</w:t>
            </w:r>
            <w:r>
              <w:rPr>
                <w:rFonts w:hint="eastAsia" w:ascii="Calibri" w:hAnsi="Calibri" w:eastAsia="宋体" w:cs="黑体"/>
                <w:b w:val="0"/>
                <w:bCs w:val="0"/>
                <w:color w:val="auto"/>
                <w:kern w:val="2"/>
                <w:sz w:val="22"/>
                <w:szCs w:val="24"/>
                <w:highlight w:val="none"/>
                <w:lang w:val="en-US" w:eastAsia="zh-CN"/>
              </w:rPr>
              <w:t>承担。</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7FE601E1">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44929773">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18E44CF1">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r w14:paraId="1D0A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18BDF2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color w:val="auto"/>
                <w:sz w:val="22"/>
                <w:highlight w:val="none"/>
                <w:lang w:val="en-US" w:eastAsia="zh-CN"/>
              </w:rPr>
            </w:pPr>
            <w:r>
              <w:rPr>
                <w:rFonts w:hint="eastAsia"/>
                <w:color w:val="auto"/>
                <w:sz w:val="22"/>
                <w:highlight w:val="none"/>
                <w:lang w:val="en-US" w:eastAsia="zh-CN"/>
              </w:rPr>
              <w:t>5</w:t>
            </w:r>
          </w:p>
        </w:tc>
        <w:tc>
          <w:tcPr>
            <w:tcW w:w="275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8C9F6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签订合同：</w:t>
            </w:r>
          </w:p>
          <w:p w14:paraId="4E40C72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color w:val="auto"/>
                <w:sz w:val="22"/>
                <w:highlight w:val="none"/>
                <w:lang w:val="en-US" w:eastAsia="zh-CN"/>
              </w:rPr>
            </w:pPr>
            <w:r>
              <w:rPr>
                <w:rFonts w:hint="eastAsia"/>
                <w:color w:val="auto"/>
                <w:sz w:val="22"/>
                <w:highlight w:val="none"/>
                <w:lang w:val="en-US" w:eastAsia="zh-CN"/>
              </w:rPr>
              <w:t>采购方和中标人应当自中标通知书发出之日起十个工作日内，按照招标文件和中标人的投标文件订立书面合同。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504A098A">
            <w:pPr>
              <w:pStyle w:val="31"/>
              <w:keepNext w:val="0"/>
              <w:keepLines w:val="0"/>
              <w:pageBreakBefore w:val="0"/>
              <w:kinsoku/>
              <w:wordWrap/>
              <w:overflowPunct/>
              <w:topLinePunct w:val="0"/>
              <w:autoSpaceDE/>
              <w:autoSpaceDN/>
              <w:bidi w:val="0"/>
              <w:adjustRightInd/>
              <w:snapToGrid/>
              <w:spacing w:line="560" w:lineRule="exact"/>
              <w:ind w:firstLine="0" w:firstLineChars="0"/>
              <w:jc w:val="center"/>
              <w:rPr>
                <w:rFonts w:hint="eastAsia" w:ascii="宋体" w:cs="宋体"/>
                <w:color w:val="auto"/>
                <w:highlight w:val="none"/>
              </w:rPr>
            </w:pPr>
          </w:p>
        </w:tc>
        <w:tc>
          <w:tcPr>
            <w:tcW w:w="829" w:type="pct"/>
            <w:tcBorders>
              <w:top w:val="single" w:color="auto" w:sz="4" w:space="0"/>
              <w:left w:val="single" w:color="auto" w:sz="4" w:space="0"/>
              <w:bottom w:val="single" w:color="auto" w:sz="4" w:space="0"/>
              <w:right w:val="single" w:color="auto" w:sz="4" w:space="0"/>
            </w:tcBorders>
            <w:noWrap w:val="0"/>
            <w:vAlign w:val="center"/>
          </w:tcPr>
          <w:p w14:paraId="076AC9E9">
            <w:pPr>
              <w:pStyle w:val="31"/>
              <w:keepNext w:val="0"/>
              <w:keepLines w:val="0"/>
              <w:pageBreakBefore w:val="0"/>
              <w:kinsoku/>
              <w:wordWrap/>
              <w:overflowPunct/>
              <w:topLinePunct w:val="0"/>
              <w:autoSpaceDE/>
              <w:autoSpaceDN/>
              <w:bidi w:val="0"/>
              <w:adjustRightInd/>
              <w:snapToGrid/>
              <w:spacing w:line="560" w:lineRule="exact"/>
              <w:ind w:firstLine="0" w:firstLineChars="0"/>
              <w:rPr>
                <w:rFonts w:hint="eastAsia" w:ascii="宋体" w:cs="宋体"/>
                <w:color w:val="auto"/>
                <w:highlight w:val="none"/>
              </w:rPr>
            </w:pPr>
          </w:p>
        </w:tc>
        <w:tc>
          <w:tcPr>
            <w:tcW w:w="221" w:type="pct"/>
            <w:tcBorders>
              <w:top w:val="single" w:color="auto" w:sz="4" w:space="0"/>
              <w:left w:val="single" w:color="auto" w:sz="4" w:space="0"/>
              <w:bottom w:val="single" w:color="auto" w:sz="4" w:space="0"/>
              <w:right w:val="single" w:color="auto" w:sz="4" w:space="0"/>
            </w:tcBorders>
            <w:noWrap w:val="0"/>
            <w:vAlign w:val="center"/>
          </w:tcPr>
          <w:p w14:paraId="4AD6C4E7">
            <w:pPr>
              <w:keepNext w:val="0"/>
              <w:keepLines w:val="0"/>
              <w:pageBreakBefore w:val="0"/>
              <w:kinsoku/>
              <w:wordWrap/>
              <w:overflowPunct/>
              <w:topLinePunct w:val="0"/>
              <w:autoSpaceDE/>
              <w:autoSpaceDN/>
              <w:bidi w:val="0"/>
              <w:adjustRightInd/>
              <w:snapToGrid/>
              <w:spacing w:line="560" w:lineRule="exact"/>
              <w:jc w:val="center"/>
              <w:rPr>
                <w:rFonts w:hint="eastAsia" w:ascii="宋体" w:cs="宋体"/>
                <w:b/>
                <w:bCs/>
                <w:color w:val="auto"/>
                <w:szCs w:val="21"/>
                <w:highlight w:val="none"/>
              </w:rPr>
            </w:pPr>
          </w:p>
        </w:tc>
      </w:tr>
    </w:tbl>
    <w:p w14:paraId="799C5860">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法定代表人或其授权代表人（签字）：</w:t>
      </w:r>
    </w:p>
    <w:p w14:paraId="74465036">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eastAsia="宋体"/>
          <w:color w:val="auto"/>
          <w:highlight w:val="none"/>
          <w:lang w:val="en-US" w:eastAsia="zh-CN"/>
        </w:rPr>
      </w:pPr>
      <w:r>
        <w:rPr>
          <w:rFonts w:hint="eastAsia" w:eastAsia="宋体"/>
          <w:color w:val="auto"/>
          <w:highlight w:val="none"/>
          <w:lang w:val="en-US" w:eastAsia="zh-CN"/>
        </w:rPr>
        <w:t>投标单位全称（加盖公章）：</w:t>
      </w:r>
    </w:p>
    <w:p w14:paraId="40E3742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eastAsia="宋体"/>
          <w:color w:val="auto"/>
          <w:highlight w:val="none"/>
          <w:lang w:val="en-US" w:eastAsia="zh-CN"/>
        </w:rPr>
      </w:pPr>
      <w:r>
        <w:rPr>
          <w:rFonts w:hint="eastAsia"/>
          <w:color w:val="auto"/>
          <w:highlight w:val="none"/>
          <w:lang w:val="en-US" w:eastAsia="zh-CN"/>
        </w:rPr>
        <w:t>日期：</w:t>
      </w:r>
    </w:p>
    <w:p w14:paraId="2CD952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cs="宋体"/>
          <w:color w:val="auto"/>
          <w:szCs w:val="21"/>
          <w:highlight w:val="none"/>
        </w:rPr>
      </w:pPr>
      <w:r>
        <w:rPr>
          <w:rFonts w:hint="eastAsia" w:ascii="宋体" w:cs="宋体"/>
          <w:color w:val="auto"/>
          <w:szCs w:val="21"/>
          <w:highlight w:val="none"/>
        </w:rPr>
        <w:t>《商务条款偏离表》编制指引：</w:t>
      </w:r>
    </w:p>
    <w:p w14:paraId="7E7A0D3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1.</w:t>
      </w:r>
      <w:r>
        <w:rPr>
          <w:rFonts w:hint="eastAsia" w:ascii="宋体" w:cs="宋体"/>
          <w:color w:val="auto"/>
          <w:szCs w:val="21"/>
          <w:highlight w:val="none"/>
        </w:rPr>
        <w:t>商务条款偏离表的“招标商务要求”等栏目对应“第二章 招标项目需求”中的“商务要求”章节相关内容。</w:t>
      </w:r>
    </w:p>
    <w:p w14:paraId="7598716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2.</w:t>
      </w:r>
      <w:r>
        <w:rPr>
          <w:rFonts w:hint="eastAsia" w:ascii="宋体" w:cs="宋体"/>
          <w:color w:val="auto"/>
          <w:szCs w:val="21"/>
          <w:highlight w:val="none"/>
        </w:rPr>
        <w:t>“投标商务响应”一栏必须一一对照“招标商务要求”，详细填写自身响应情况，以体现具体响应情况。</w:t>
      </w:r>
    </w:p>
    <w:p w14:paraId="20744FD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lang w:eastAsia="zh-CN"/>
        </w:rPr>
        <w:t>3.</w:t>
      </w:r>
      <w:r>
        <w:rPr>
          <w:rFonts w:hint="eastAsia" w:ascii="宋体" w:cs="宋体"/>
          <w:color w:val="auto"/>
          <w:szCs w:val="21"/>
          <w:highlight w:val="none"/>
        </w:rPr>
        <w:t>“偏离情况”一栏填写如实填写“正偏离</w:t>
      </w:r>
      <w:r>
        <w:rPr>
          <w:rFonts w:hint="eastAsia" w:ascii="宋体" w:cs="宋体"/>
          <w:color w:val="auto"/>
          <w:szCs w:val="21"/>
          <w:highlight w:val="none"/>
          <w:lang w:eastAsia="zh-CN"/>
        </w:rPr>
        <w:t>”“</w:t>
      </w:r>
      <w:r>
        <w:rPr>
          <w:rFonts w:hint="eastAsia" w:ascii="宋体" w:cs="宋体"/>
          <w:color w:val="auto"/>
          <w:szCs w:val="21"/>
          <w:highlight w:val="none"/>
        </w:rPr>
        <w:t>无偏离”或“负偏离”，其中：“正偏离”表示“投标响应优于招标商务要求”，“负偏离”表示“投标响应不满足招标商务要求”，“无偏离”表示“投标响应与招标商务要求一致”。</w:t>
      </w:r>
    </w:p>
    <w:p w14:paraId="49BD7A5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2DD58C7F">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如本表内容与具体商务方案承诺内容有矛盾，以本表为准。</w:t>
      </w:r>
    </w:p>
    <w:p w14:paraId="422BDF5C">
      <w:pPr>
        <w:keepLines w:val="0"/>
        <w:pageBreakBefore w:val="0"/>
        <w:tabs>
          <w:tab w:val="left" w:pos="0"/>
        </w:tabs>
        <w:kinsoku/>
        <w:wordWrap/>
        <w:overflowPunct/>
        <w:topLinePunct w:val="0"/>
        <w:bidi w:val="0"/>
        <w:snapToGrid w:val="0"/>
        <w:spacing w:line="500" w:lineRule="exact"/>
        <w:rPr>
          <w:rFonts w:hint="eastAsia" w:ascii="仿宋" w:hAnsi="仿宋" w:eastAsia="仿宋" w:cs="仿宋"/>
          <w:b/>
          <w:bCs/>
          <w:color w:val="auto"/>
          <w:sz w:val="32"/>
          <w:szCs w:val="32"/>
          <w:highlight w:val="none"/>
        </w:rPr>
        <w:sectPr>
          <w:headerReference r:id="rId5" w:type="default"/>
          <w:footerReference r:id="rId6" w:type="default"/>
          <w:pgSz w:w="16838" w:h="11906" w:orient="landscape"/>
          <w:pgMar w:top="1304" w:right="2098" w:bottom="1142" w:left="1984" w:header="851" w:footer="1417" w:gutter="0"/>
          <w:pgNumType w:fmt="numberInDash"/>
          <w:cols w:space="0" w:num="1"/>
          <w:rtlGutter w:val="0"/>
          <w:docGrid w:type="lines" w:linePitch="338" w:charSpace="0"/>
        </w:sectPr>
      </w:pPr>
    </w:p>
    <w:p w14:paraId="612024EA">
      <w:pPr>
        <w:keepLines w:val="0"/>
        <w:pageBreakBefore w:val="0"/>
        <w:tabs>
          <w:tab w:val="left" w:pos="0"/>
        </w:tabs>
        <w:kinsoku/>
        <w:wordWrap/>
        <w:overflowPunct/>
        <w:topLinePunct w:val="0"/>
        <w:bidi w:val="0"/>
        <w:snapToGrid w:val="0"/>
        <w:spacing w:line="560" w:lineRule="exact"/>
        <w:rPr>
          <w:rFonts w:ascii="仿宋" w:hAnsi="仿宋" w:eastAsia="仿宋" w:cs="仿宋"/>
          <w:b/>
          <w:color w:val="auto"/>
          <w:kern w:val="0"/>
          <w:sz w:val="28"/>
          <w:szCs w:val="28"/>
          <w:highlight w:val="none"/>
        </w:rPr>
      </w:pPr>
      <w:r>
        <w:rPr>
          <w:rFonts w:hint="eastAsia" w:ascii="仿宋" w:hAnsi="仿宋" w:eastAsia="仿宋" w:cs="仿宋"/>
          <w:b/>
          <w:bCs/>
          <w:color w:val="auto"/>
          <w:sz w:val="32"/>
          <w:szCs w:val="32"/>
          <w:highlight w:val="none"/>
        </w:rPr>
        <w:t>合同模板</w:t>
      </w:r>
      <w:r>
        <w:rPr>
          <w:rFonts w:hint="eastAsia" w:ascii="仿宋" w:hAnsi="仿宋" w:eastAsia="仿宋" w:cs="仿宋"/>
          <w:b/>
          <w:bCs/>
          <w:color w:val="auto"/>
          <w:sz w:val="32"/>
          <w:szCs w:val="32"/>
          <w:highlight w:val="none"/>
          <w:lang w:eastAsia="zh-CN"/>
        </w:rPr>
        <w:t>（</w:t>
      </w:r>
      <w:r>
        <w:rPr>
          <w:rFonts w:hint="eastAsia" w:ascii="仿宋" w:hAnsi="仿宋" w:eastAsia="仿宋" w:cs="仿宋"/>
          <w:b/>
          <w:color w:val="auto"/>
          <w:kern w:val="0"/>
          <w:sz w:val="28"/>
          <w:szCs w:val="28"/>
          <w:highlight w:val="none"/>
        </w:rPr>
        <w:t>合同模板仅供参考，</w:t>
      </w:r>
      <w:r>
        <w:rPr>
          <w:rFonts w:hint="eastAsia" w:ascii="仿宋" w:hAnsi="仿宋" w:eastAsia="仿宋" w:cs="仿宋"/>
          <w:b/>
          <w:color w:val="auto"/>
          <w:kern w:val="0"/>
          <w:sz w:val="28"/>
          <w:szCs w:val="28"/>
          <w:highlight w:val="none"/>
          <w:lang w:eastAsia="zh-CN"/>
        </w:rPr>
        <w:t>乙方</w:t>
      </w:r>
      <w:r>
        <w:rPr>
          <w:rFonts w:hint="eastAsia" w:ascii="仿宋" w:hAnsi="仿宋" w:eastAsia="仿宋" w:cs="仿宋"/>
          <w:b/>
          <w:color w:val="auto"/>
          <w:kern w:val="0"/>
          <w:sz w:val="28"/>
          <w:szCs w:val="28"/>
          <w:highlight w:val="none"/>
        </w:rPr>
        <w:t>根据招投标文件拟定</w:t>
      </w:r>
      <w:r>
        <w:rPr>
          <w:rFonts w:hint="eastAsia" w:ascii="仿宋" w:hAnsi="仿宋" w:eastAsia="仿宋" w:cs="仿宋"/>
          <w:b/>
          <w:color w:val="auto"/>
          <w:kern w:val="0"/>
          <w:sz w:val="28"/>
          <w:szCs w:val="28"/>
          <w:highlight w:val="none"/>
          <w:lang w:eastAsia="zh-CN"/>
        </w:rPr>
        <w:t>）</w:t>
      </w:r>
    </w:p>
    <w:p w14:paraId="67185F6F">
      <w:pPr>
        <w:jc w:val="center"/>
        <w:rPr>
          <w:rFonts w:hint="eastAsia" w:ascii="方正小标宋简体" w:hAnsi="方正小标宋简体" w:eastAsia="方正小标宋简体" w:cs="方正小标宋简体"/>
          <w:bCs/>
          <w:sz w:val="44"/>
          <w:szCs w:val="44"/>
          <w:highlight w:val="none"/>
          <w:lang w:val="en-US" w:eastAsia="zh-CN"/>
        </w:rPr>
      </w:pPr>
      <w:r>
        <w:rPr>
          <w:rFonts w:hint="eastAsia" w:ascii="方正小标宋简体" w:hAnsi="方正小标宋简体" w:eastAsia="方正小标宋简体" w:cs="方正小标宋简体"/>
          <w:bCs/>
          <w:sz w:val="44"/>
          <w:szCs w:val="44"/>
          <w:highlight w:val="none"/>
          <w:lang w:val="en-US" w:eastAsia="zh-CN"/>
        </w:rPr>
        <w:t>“强身心涨健识”健康促进主题活动</w:t>
      </w:r>
    </w:p>
    <w:p w14:paraId="52A4EA0D">
      <w:pPr>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lang w:val="en-US" w:eastAsia="zh-CN"/>
        </w:rPr>
        <w:t>策划服务</w:t>
      </w:r>
      <w:r>
        <w:rPr>
          <w:rFonts w:hint="eastAsia" w:ascii="方正小标宋简体" w:hAnsi="方正小标宋简体" w:eastAsia="方正小标宋简体" w:cs="方正小标宋简体"/>
          <w:bCs/>
          <w:sz w:val="44"/>
          <w:szCs w:val="44"/>
          <w:highlight w:val="none"/>
        </w:rPr>
        <w:t>合同</w:t>
      </w:r>
    </w:p>
    <w:p w14:paraId="3CCCB545">
      <w:pPr>
        <w:spacing w:line="440" w:lineRule="exact"/>
        <w:ind w:firstLine="420" w:firstLineChars="200"/>
        <w:rPr>
          <w:rFonts w:hint="eastAsia" w:ascii="仿宋" w:hAnsi="仿宋" w:eastAsia="仿宋" w:cs="Times New Roman"/>
          <w:szCs w:val="21"/>
          <w:highlight w:val="none"/>
        </w:rPr>
      </w:pPr>
    </w:p>
    <w:p w14:paraId="3EF7D5ED">
      <w:pPr>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项目名称：</w:t>
      </w:r>
      <w:r>
        <w:rPr>
          <w:rFonts w:hint="eastAsia" w:ascii="仿宋" w:hAnsi="仿宋" w:eastAsia="仿宋" w:cs="仿宋"/>
          <w:sz w:val="24"/>
          <w:highlight w:val="none"/>
          <w:lang w:val="en-US" w:eastAsia="zh-CN"/>
        </w:rPr>
        <w:t>深圳市龙岗区第七人民医院“强身心涨健识”健康促进主题活动策划服务</w:t>
      </w:r>
      <w:r>
        <w:rPr>
          <w:rFonts w:hint="eastAsia" w:ascii="仿宋" w:hAnsi="仿宋" w:eastAsia="仿宋" w:cs="仿宋"/>
          <w:sz w:val="24"/>
          <w:highlight w:val="none"/>
        </w:rPr>
        <w:t>合同</w:t>
      </w:r>
    </w:p>
    <w:p w14:paraId="53FD7B09">
      <w:pPr>
        <w:spacing w:line="40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项目编号：</w:t>
      </w:r>
      <w:r>
        <w:rPr>
          <w:rFonts w:ascii="仿宋" w:hAnsi="仿宋" w:eastAsia="仿宋" w:cs="仿宋"/>
          <w:sz w:val="24"/>
          <w:highlight w:val="none"/>
        </w:rPr>
        <w:t xml:space="preserve"> </w:t>
      </w:r>
    </w:p>
    <w:p w14:paraId="242F3B9A">
      <w:pPr>
        <w:spacing w:line="40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项目类型：</w:t>
      </w:r>
      <w:r>
        <w:rPr>
          <w:rFonts w:hint="eastAsia" w:ascii="仿宋" w:hAnsi="仿宋" w:eastAsia="仿宋" w:cs="Times New Roman"/>
          <w:sz w:val="24"/>
          <w:highlight w:val="none"/>
        </w:rPr>
        <w:t>服务类</w:t>
      </w:r>
    </w:p>
    <w:p w14:paraId="3625AB63">
      <w:pPr>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采购单位（甲方）：</w:t>
      </w:r>
      <w:r>
        <w:rPr>
          <w:rFonts w:hint="eastAsia" w:ascii="仿宋" w:hAnsi="仿宋" w:eastAsia="仿宋" w:cs="Times New Roman"/>
          <w:sz w:val="24"/>
          <w:highlight w:val="none"/>
        </w:rPr>
        <w:t>深圳市龙岗区第七人民医院</w:t>
      </w:r>
    </w:p>
    <w:p w14:paraId="68167C45">
      <w:pPr>
        <w:spacing w:line="400" w:lineRule="exact"/>
        <w:ind w:firstLine="480" w:firstLineChars="200"/>
        <w:rPr>
          <w:rFonts w:hint="eastAsia" w:ascii="仿宋" w:hAnsi="仿宋" w:eastAsia="仿宋" w:cs="宋体"/>
          <w:kern w:val="0"/>
          <w:sz w:val="24"/>
          <w:highlight w:val="none"/>
          <w:u w:val="single"/>
        </w:rPr>
      </w:pPr>
      <w:r>
        <w:rPr>
          <w:rFonts w:hint="eastAsia" w:ascii="仿宋" w:hAnsi="仿宋" w:eastAsia="仿宋" w:cs="仿宋"/>
          <w:sz w:val="24"/>
          <w:highlight w:val="none"/>
        </w:rPr>
        <w:t>供 应 商（乙方）：</w:t>
      </w:r>
    </w:p>
    <w:p w14:paraId="771A6ABE">
      <w:pPr>
        <w:spacing w:line="400" w:lineRule="exact"/>
        <w:ind w:firstLine="482"/>
        <w:rPr>
          <w:rFonts w:ascii="Verdana" w:hAnsi="Verdana" w:eastAsia="仿宋_GB2312" w:cs="Times New Roman"/>
          <w:b/>
          <w:bCs/>
          <w:kern w:val="0"/>
          <w:sz w:val="24"/>
          <w:highlight w:val="none"/>
        </w:rPr>
      </w:pPr>
    </w:p>
    <w:p w14:paraId="54F70F03">
      <w:pPr>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根据《中华人民共和国政府采购法》《中华人民共和国民法典》《深圳经济特区政府采购条例》《深圳经济特区政府采购条例实施细则》等法律法规的规定，甲乙双方按照</w:t>
      </w:r>
      <w:r>
        <w:rPr>
          <w:rFonts w:hint="eastAsia" w:ascii="仿宋" w:hAnsi="仿宋" w:eastAsia="仿宋" w:cs="仿宋"/>
          <w:sz w:val="24"/>
          <w:highlight w:val="none"/>
          <w:lang w:val="en-US" w:eastAsia="zh-CN"/>
        </w:rPr>
        <w:t>深圳市龙岗区第七人民医院“强身心涨健识”健康促进主题活动策划服务</w:t>
      </w:r>
      <w:r>
        <w:rPr>
          <w:rFonts w:hint="eastAsia" w:ascii="仿宋" w:hAnsi="仿宋" w:eastAsia="仿宋" w:cs="仿宋"/>
          <w:sz w:val="24"/>
          <w:highlight w:val="none"/>
        </w:rPr>
        <w:t>项目的招标结果并经双方协商签订本合同。</w:t>
      </w:r>
    </w:p>
    <w:p w14:paraId="05B3BF92">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第一条</w:t>
      </w:r>
      <w:r>
        <w:rPr>
          <w:rFonts w:hint="eastAsia" w:ascii="仿宋" w:hAnsi="仿宋" w:eastAsia="仿宋" w:cs="仿宋_GB2312"/>
          <w:b/>
          <w:bCs/>
          <w:sz w:val="24"/>
          <w:highlight w:val="none"/>
          <w:lang w:val="en-US" w:eastAsia="zh-CN"/>
        </w:rPr>
        <w:t xml:space="preserve"> </w:t>
      </w:r>
      <w:r>
        <w:rPr>
          <w:rFonts w:hint="eastAsia" w:ascii="仿宋" w:hAnsi="仿宋" w:eastAsia="仿宋" w:cs="仿宋_GB2312"/>
          <w:b/>
          <w:bCs/>
          <w:sz w:val="24"/>
          <w:highlight w:val="none"/>
        </w:rPr>
        <w:t xml:space="preserve"> 合同标的</w:t>
      </w:r>
    </w:p>
    <w:p w14:paraId="08EBC134">
      <w:pPr>
        <w:spacing w:line="40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_GB2312"/>
          <w:sz w:val="24"/>
          <w:highlight w:val="none"/>
        </w:rPr>
        <w:t>乙方为甲方提供</w:t>
      </w:r>
      <w:r>
        <w:rPr>
          <w:rFonts w:hint="eastAsia" w:ascii="仿宋" w:hAnsi="仿宋" w:eastAsia="仿宋" w:cs="仿宋"/>
          <w:sz w:val="24"/>
          <w:highlight w:val="none"/>
          <w:lang w:val="en-US" w:eastAsia="zh-CN"/>
        </w:rPr>
        <w:t>“强身心涨健识”健康促进主题活动策划服务</w:t>
      </w:r>
      <w:r>
        <w:rPr>
          <w:rFonts w:hint="eastAsia" w:ascii="仿宋" w:hAnsi="仿宋" w:eastAsia="仿宋" w:cs="仿宋_GB2312"/>
          <w:sz w:val="24"/>
          <w:highlight w:val="none"/>
        </w:rPr>
        <w:t>，具体包</w:t>
      </w:r>
      <w:r>
        <w:rPr>
          <w:rFonts w:hint="eastAsia" w:ascii="仿宋" w:hAnsi="仿宋" w:eastAsia="仿宋" w:cs="仿宋"/>
          <w:sz w:val="24"/>
          <w:highlight w:val="none"/>
          <w:lang w:val="en-US" w:eastAsia="zh-CN"/>
        </w:rPr>
        <w:t>含：主视觉设计、延展设计、健康素养宣传促进工具包、活动现场搭建及相关物料、急救科普宣传片拍摄及其他辅助工作。</w:t>
      </w:r>
    </w:p>
    <w:p w14:paraId="75CAF66F">
      <w:pPr>
        <w:spacing w:line="400" w:lineRule="exact"/>
        <w:ind w:firstLine="480" w:firstLineChars="200"/>
        <w:rPr>
          <w:rFonts w:hint="eastAsia" w:ascii="仿宋" w:hAnsi="仿宋" w:eastAsia="仿宋" w:cs="仿宋"/>
          <w:sz w:val="24"/>
          <w:highlight w:val="none"/>
          <w:lang w:val="en-US" w:eastAsia="zh-CN"/>
        </w:rPr>
      </w:pPr>
    </w:p>
    <w:p w14:paraId="513ED4FF">
      <w:pPr>
        <w:spacing w:line="400" w:lineRule="exact"/>
        <w:ind w:firstLine="480" w:firstLineChars="200"/>
        <w:rPr>
          <w:rFonts w:hint="eastAsia" w:ascii="仿宋" w:hAnsi="仿宋" w:eastAsia="仿宋" w:cs="仿宋"/>
          <w:sz w:val="24"/>
          <w:highlight w:val="none"/>
          <w:lang w:val="en-US" w:eastAsia="zh-CN"/>
        </w:rPr>
      </w:pPr>
    </w:p>
    <w:p w14:paraId="353FBD38">
      <w:pPr>
        <w:spacing w:line="40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_GB2312"/>
          <w:sz w:val="24"/>
          <w:highlight w:val="none"/>
          <w:lang w:val="en-US" w:eastAsia="zh-CN"/>
        </w:rPr>
        <w:t>服务期限：</w:t>
      </w:r>
      <w:r>
        <w:rPr>
          <w:rFonts w:hint="eastAsia" w:ascii="仿宋" w:hAnsi="仿宋" w:eastAsia="仿宋" w:cs="仿宋_GB2312"/>
          <w:sz w:val="24"/>
          <w:highlight w:val="none"/>
        </w:rPr>
        <w:t>自本合同签订之</w:t>
      </w:r>
      <w:r>
        <w:rPr>
          <w:rFonts w:hint="eastAsia" w:ascii="仿宋" w:hAnsi="仿宋" w:eastAsia="仿宋" w:cs="仿宋"/>
          <w:sz w:val="24"/>
          <w:highlight w:val="none"/>
          <w:lang w:val="en-US" w:eastAsia="zh-CN"/>
        </w:rPr>
        <w:t>日起40日（日历日）内完成全部策划、设计、物料制作</w:t>
      </w:r>
      <w:r>
        <w:rPr>
          <w:rFonts w:hint="eastAsia" w:ascii="仿宋" w:hAnsi="仿宋" w:eastAsia="仿宋" w:cs="仿宋_GB2312"/>
          <w:sz w:val="24"/>
          <w:highlight w:val="none"/>
          <w:lang w:val="en-US" w:eastAsia="zh-CN"/>
        </w:rPr>
        <w:t>、科普宣传片拍摄制作</w:t>
      </w:r>
      <w:r>
        <w:rPr>
          <w:rFonts w:hint="eastAsia" w:ascii="仿宋" w:hAnsi="仿宋" w:eastAsia="仿宋" w:cs="仿宋"/>
          <w:sz w:val="24"/>
          <w:highlight w:val="none"/>
          <w:lang w:val="en-US" w:eastAsia="zh-CN"/>
        </w:rPr>
        <w:t>及活动执行工作，并提交全部成果资料。</w:t>
      </w:r>
    </w:p>
    <w:p w14:paraId="59FFE3D7">
      <w:pPr>
        <w:spacing w:line="400" w:lineRule="exact"/>
        <w:ind w:firstLine="480" w:firstLineChars="200"/>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交货地点：</w:t>
      </w:r>
      <w:r>
        <w:rPr>
          <w:rFonts w:hint="eastAsia" w:ascii="仿宋" w:hAnsi="仿宋" w:eastAsia="仿宋" w:cs="仿宋_GB2312"/>
          <w:b w:val="0"/>
          <w:bCs w:val="0"/>
          <w:sz w:val="24"/>
          <w:szCs w:val="24"/>
          <w:highlight w:val="none"/>
        </w:rPr>
        <w:t>深圳市龙岗区第七人民医院指定地点</w:t>
      </w:r>
    </w:p>
    <w:p w14:paraId="0DFE5BE2">
      <w:pPr>
        <w:tabs>
          <w:tab w:val="left" w:pos="7400"/>
        </w:tabs>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第二条  服务费用</w:t>
      </w:r>
      <w:r>
        <w:rPr>
          <w:rFonts w:hint="eastAsia" w:ascii="仿宋" w:hAnsi="仿宋" w:eastAsia="仿宋" w:cs="仿宋_GB2312"/>
          <w:b/>
          <w:bCs/>
          <w:sz w:val="24"/>
          <w:highlight w:val="none"/>
        </w:rPr>
        <w:tab/>
      </w:r>
    </w:p>
    <w:p w14:paraId="62061A8A">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本合同价款：合同总价为人民币</w:t>
      </w:r>
      <w:r>
        <w:rPr>
          <w:rFonts w:hint="eastAsia" w:ascii="仿宋" w:hAnsi="仿宋" w:eastAsia="仿宋" w:cs="仿宋_GB2312"/>
          <w:sz w:val="24"/>
          <w:highlight w:val="none"/>
          <w:u w:val="single"/>
        </w:rPr>
        <w:t xml:space="preserve"> </w:t>
      </w:r>
      <w:r>
        <w:rPr>
          <w:rFonts w:ascii="仿宋" w:hAnsi="仿宋" w:eastAsia="仿宋" w:cs="仿宋_GB2312"/>
          <w:sz w:val="24"/>
          <w:highlight w:val="none"/>
          <w:u w:val="single"/>
        </w:rPr>
        <w:t xml:space="preserve">   </w:t>
      </w:r>
      <w:r>
        <w:rPr>
          <w:rFonts w:hint="eastAsia" w:ascii="仿宋" w:hAnsi="仿宋" w:eastAsia="仿宋" w:cs="仿宋_GB2312"/>
          <w:sz w:val="24"/>
          <w:highlight w:val="none"/>
          <w:u w:val="single"/>
        </w:rPr>
        <w:t>元整</w:t>
      </w:r>
      <w:r>
        <w:rPr>
          <w:rFonts w:hint="eastAsia" w:ascii="仿宋" w:hAnsi="仿宋" w:eastAsia="仿宋" w:cs="仿宋"/>
          <w:sz w:val="24"/>
          <w:highlight w:val="none"/>
          <w:u w:val="single"/>
        </w:rPr>
        <w:t>（￥</w:t>
      </w:r>
      <w:r>
        <w:rPr>
          <w:rFonts w:ascii="仿宋" w:hAnsi="仿宋" w:eastAsia="仿宋" w:cs="宋体"/>
          <w:b/>
          <w:sz w:val="24"/>
          <w:highlight w:val="none"/>
          <w:u w:val="single"/>
        </w:rPr>
        <w:t xml:space="preserve">    </w:t>
      </w:r>
      <w:r>
        <w:rPr>
          <w:rFonts w:hint="eastAsia" w:ascii="仿宋" w:hAnsi="仿宋" w:eastAsia="仿宋" w:cs="宋体"/>
          <w:b/>
          <w:sz w:val="24"/>
          <w:highlight w:val="none"/>
          <w:u w:val="single"/>
        </w:rPr>
        <w:t>元</w:t>
      </w:r>
      <w:r>
        <w:rPr>
          <w:rFonts w:hint="eastAsia" w:ascii="仿宋" w:hAnsi="仿宋" w:eastAsia="仿宋" w:cs="仿宋"/>
          <w:sz w:val="24"/>
          <w:highlight w:val="none"/>
        </w:rPr>
        <w:t>）</w:t>
      </w:r>
      <w:r>
        <w:rPr>
          <w:rFonts w:hint="eastAsia" w:ascii="仿宋" w:hAnsi="仿宋" w:eastAsia="仿宋" w:cs="仿宋_GB2312"/>
          <w:sz w:val="24"/>
          <w:highlight w:val="none"/>
        </w:rPr>
        <w:t>。</w:t>
      </w:r>
    </w:p>
    <w:p w14:paraId="6905D6E3">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本报价为全包价，包括策划</w:t>
      </w:r>
      <w:r>
        <w:rPr>
          <w:rFonts w:hint="eastAsia" w:ascii="仿宋" w:hAnsi="仿宋" w:eastAsia="仿宋" w:cs="仿宋_GB2312"/>
          <w:sz w:val="24"/>
          <w:highlight w:val="none"/>
          <w:lang w:val="en-US" w:eastAsia="zh-CN"/>
        </w:rPr>
        <w:t>服务</w:t>
      </w:r>
      <w:r>
        <w:rPr>
          <w:rFonts w:hint="eastAsia" w:ascii="仿宋" w:hAnsi="仿宋" w:eastAsia="仿宋" w:cs="仿宋_GB2312"/>
          <w:sz w:val="24"/>
          <w:highlight w:val="none"/>
        </w:rPr>
        <w:t>费、设计费、物料制作费、人工费、运输费、税费等为完成本项目所需的一切费用，甲方无需额外支付其他任何费用。合同总价包干，不因现场工况、人员、材料、市场价格变动等任何因素调整。</w:t>
      </w:r>
    </w:p>
    <w:p w14:paraId="45AAFD50">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第三条  付款方式</w:t>
      </w:r>
    </w:p>
    <w:p w14:paraId="4D847DB9">
      <w:pPr>
        <w:spacing w:line="400" w:lineRule="exact"/>
        <w:ind w:firstLine="480"/>
        <w:rPr>
          <w:rFonts w:hint="eastAsia" w:ascii="仿宋" w:hAnsi="仿宋" w:eastAsia="仿宋" w:cs="仿宋_GB2312"/>
          <w:sz w:val="24"/>
          <w:highlight w:val="none"/>
        </w:rPr>
      </w:pPr>
      <w:r>
        <w:rPr>
          <w:rFonts w:hint="eastAsia" w:ascii="仿宋" w:hAnsi="仿宋" w:eastAsia="仿宋" w:cs="仿宋_GB2312"/>
          <w:sz w:val="24"/>
          <w:highlight w:val="none"/>
        </w:rPr>
        <w:t>1</w:t>
      </w:r>
      <w:r>
        <w:rPr>
          <w:rFonts w:ascii="仿宋" w:hAnsi="仿宋" w:eastAsia="仿宋" w:cs="仿宋_GB2312"/>
          <w:sz w:val="24"/>
          <w:highlight w:val="none"/>
        </w:rPr>
        <w:t>.</w:t>
      </w:r>
      <w:r>
        <w:rPr>
          <w:rFonts w:hint="eastAsia" w:ascii="仿宋" w:hAnsi="仿宋" w:eastAsia="仿宋" w:cs="仿宋_GB2312"/>
          <w:sz w:val="24"/>
          <w:highlight w:val="none"/>
        </w:rPr>
        <w:t>付款方式：</w:t>
      </w:r>
      <w:r>
        <w:rPr>
          <w:rFonts w:hint="eastAsia" w:ascii="仿宋" w:hAnsi="仿宋" w:eastAsia="仿宋" w:cs="仿宋_GB2312"/>
          <w:sz w:val="24"/>
          <w:highlight w:val="none"/>
          <w:lang w:val="en-US" w:eastAsia="zh-CN"/>
        </w:rPr>
        <w:t>本项目采取阶段性付费方式，即合同签订后付项目总额的30%，首付款在合同签订后收到正式发票的10个工作日内支付。完成所有项目内容并验收合格后，支付尾款即项目总额的70%。甲方在乙方提供正式发票后的10个工作日内通过银行转账付款。</w:t>
      </w:r>
    </w:p>
    <w:p w14:paraId="736988F2">
      <w:pPr>
        <w:spacing w:line="400" w:lineRule="exact"/>
        <w:ind w:firstLine="480"/>
        <w:rPr>
          <w:rFonts w:hint="eastAsia" w:ascii="仿宋" w:hAnsi="仿宋" w:eastAsia="仿宋" w:cs="仿宋_GB2312"/>
          <w:sz w:val="24"/>
          <w:highlight w:val="none"/>
        </w:rPr>
      </w:pPr>
      <w:r>
        <w:rPr>
          <w:rFonts w:hint="eastAsia" w:ascii="仿宋" w:hAnsi="仿宋" w:eastAsia="仿宋" w:cs="仿宋_GB2312"/>
          <w:sz w:val="24"/>
          <w:highlight w:val="none"/>
        </w:rPr>
        <w:t>2.付款条件：</w:t>
      </w:r>
      <w:r>
        <w:rPr>
          <w:rFonts w:hint="eastAsia" w:ascii="仿宋" w:hAnsi="仿宋" w:eastAsia="仿宋" w:cs="仿宋_GB2312"/>
          <w:sz w:val="24"/>
          <w:highlight w:val="none"/>
          <w:lang w:val="en-US" w:eastAsia="zh-CN"/>
        </w:rPr>
        <w:t>首付款在合同签订后收到正式发票后支付。</w:t>
      </w:r>
      <w:r>
        <w:rPr>
          <w:rFonts w:hint="eastAsia" w:ascii="仿宋" w:hAnsi="仿宋" w:eastAsia="仿宋" w:cs="仿宋_GB2312"/>
          <w:sz w:val="24"/>
          <w:highlight w:val="none"/>
        </w:rPr>
        <w:t>乙方完</w:t>
      </w:r>
      <w:r>
        <w:rPr>
          <w:rFonts w:hint="eastAsia" w:ascii="仿宋" w:hAnsi="仿宋" w:eastAsia="仿宋" w:cs="仿宋"/>
          <w:sz w:val="24"/>
          <w:highlight w:val="none"/>
          <w:lang w:val="en-US" w:eastAsia="zh-CN"/>
        </w:rPr>
        <w:t>成全部策划、设计、物料制作、科普宣传片拍摄制作及活动执行工作，并提交全部成果资料。经甲方验收合格后，乙方向甲方开具合法、合规、有效的全额增值税发票。</w:t>
      </w:r>
    </w:p>
    <w:p w14:paraId="4EF36940">
      <w:pPr>
        <w:spacing w:line="400" w:lineRule="exact"/>
        <w:ind w:firstLine="480"/>
        <w:rPr>
          <w:rFonts w:hint="eastAsia" w:ascii="仿宋" w:hAnsi="仿宋" w:eastAsia="仿宋" w:cs="仿宋_GB2312"/>
          <w:sz w:val="24"/>
          <w:highlight w:val="none"/>
        </w:rPr>
      </w:pPr>
      <w:r>
        <w:rPr>
          <w:rFonts w:hint="eastAsia" w:ascii="仿宋" w:hAnsi="仿宋" w:eastAsia="仿宋" w:cs="仿宋_GB2312"/>
          <w:sz w:val="24"/>
          <w:highlight w:val="none"/>
        </w:rPr>
        <w:t>3.若由于乙方逾期未提供合法有效的增值税发票或者提供结算票据不齐全，甲方有权拒绝付款，直至票据及结算票据齐全、合法，且不视为甲方违约。</w:t>
      </w:r>
    </w:p>
    <w:p w14:paraId="68EEE7EC">
      <w:pPr>
        <w:pStyle w:val="6"/>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4.乙方需提供合法合规发票，如提供的发票被税务部门稽查认定为不合规发票，所有责任由乙方承担，乙方应当重新提供合法合规的发票，并按合同票面值支付20%的违约金。</w:t>
      </w:r>
    </w:p>
    <w:p w14:paraId="09F380D3">
      <w:pPr>
        <w:pStyle w:val="6"/>
        <w:rPr>
          <w:rFonts w:hint="default" w:eastAsia="仿宋"/>
          <w:highlight w:val="none"/>
          <w:lang w:val="en-US" w:eastAsia="zh-CN"/>
        </w:rPr>
      </w:pPr>
      <w:r>
        <w:rPr>
          <w:rFonts w:hint="eastAsia" w:ascii="仿宋" w:hAnsi="仿宋" w:eastAsia="仿宋" w:cs="仿宋_GB2312"/>
          <w:sz w:val="24"/>
          <w:highlight w:val="none"/>
          <w:lang w:val="en-US" w:eastAsia="zh-CN"/>
        </w:rPr>
        <w:t>5.双方支付金额上限以合同约定为准，超过合同约定金额的，乙方应及时终止提供服务，超过合同金额继续提供服务的，乙方应当向甲方支付超过部分价值20%的违约金；未达到合同约定金额的据实结算，双方另有约定除外。</w:t>
      </w:r>
    </w:p>
    <w:p w14:paraId="3F0686D5">
      <w:pPr>
        <w:spacing w:line="360" w:lineRule="exact"/>
        <w:ind w:firstLine="480" w:firstLineChars="200"/>
        <w:rPr>
          <w:rFonts w:hint="eastAsia" w:ascii="仿宋" w:hAnsi="仿宋" w:eastAsia="仿宋" w:cs="仿宋"/>
          <w:sz w:val="24"/>
          <w:highlight w:val="none"/>
        </w:rPr>
      </w:pPr>
      <w:r>
        <w:rPr>
          <w:rFonts w:hint="eastAsia" w:ascii="仿宋" w:hAnsi="仿宋" w:eastAsia="仿宋" w:cs="仿宋_GB2312"/>
          <w:sz w:val="24"/>
          <w:highlight w:val="none"/>
          <w:lang w:val="en-US" w:eastAsia="zh-CN"/>
        </w:rPr>
        <w:t>6</w:t>
      </w:r>
      <w:r>
        <w:rPr>
          <w:rFonts w:hint="eastAsia" w:ascii="仿宋" w:hAnsi="仿宋" w:eastAsia="仿宋" w:cs="仿宋_GB2312"/>
          <w:sz w:val="24"/>
          <w:highlight w:val="none"/>
        </w:rPr>
        <w:t>.</w:t>
      </w:r>
      <w:r>
        <w:rPr>
          <w:rFonts w:hint="eastAsia" w:ascii="仿宋" w:hAnsi="仿宋" w:eastAsia="仿宋" w:cs="仿宋"/>
          <w:sz w:val="24"/>
          <w:highlight w:val="none"/>
        </w:rPr>
        <w:t>乙方银行账户信息如下：</w:t>
      </w:r>
    </w:p>
    <w:p w14:paraId="29473D5A">
      <w:pPr>
        <w:spacing w:line="42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账户名称： </w:t>
      </w:r>
    </w:p>
    <w:p w14:paraId="3B5FBB20">
      <w:pPr>
        <w:spacing w:line="42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开户行： </w:t>
      </w:r>
    </w:p>
    <w:p w14:paraId="6112F395">
      <w:pPr>
        <w:spacing w:line="42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账  号：</w:t>
      </w:r>
    </w:p>
    <w:p w14:paraId="1A1C4991">
      <w:pPr>
        <w:spacing w:line="400" w:lineRule="exact"/>
        <w:ind w:firstLine="480"/>
        <w:rPr>
          <w:rFonts w:hint="eastAsia" w:ascii="仿宋" w:hAnsi="仿宋" w:eastAsia="仿宋" w:cs="仿宋"/>
          <w:sz w:val="24"/>
          <w:highlight w:val="none"/>
        </w:rPr>
      </w:pPr>
      <w:r>
        <w:rPr>
          <w:rFonts w:hint="eastAsia" w:ascii="仿宋" w:hAnsi="仿宋" w:eastAsia="仿宋" w:cs="仿宋"/>
          <w:sz w:val="24"/>
          <w:highlight w:val="none"/>
        </w:rPr>
        <w:t>纳税人识别号：</w:t>
      </w:r>
    </w:p>
    <w:p w14:paraId="76B2EA6F">
      <w:pPr>
        <w:spacing w:line="400" w:lineRule="exact"/>
        <w:ind w:firstLine="480"/>
        <w:rPr>
          <w:rFonts w:hint="eastAsia" w:ascii="仿宋" w:hAnsi="仿宋" w:eastAsia="仿宋" w:cs="仿宋_GB2312"/>
          <w:sz w:val="24"/>
          <w:highlight w:val="none"/>
        </w:rPr>
      </w:pPr>
      <w:r>
        <w:rPr>
          <w:rFonts w:hint="eastAsia" w:ascii="仿宋" w:hAnsi="仿宋" w:eastAsia="仿宋" w:cs="仿宋"/>
          <w:sz w:val="24"/>
          <w:highlight w:val="none"/>
          <w:lang w:val="en-US" w:eastAsia="zh-CN"/>
        </w:rPr>
        <w:t>7</w:t>
      </w:r>
      <w:r>
        <w:rPr>
          <w:rFonts w:hint="eastAsia" w:ascii="仿宋" w:hAnsi="仿宋" w:eastAsia="仿宋" w:cs="仿宋"/>
          <w:sz w:val="24"/>
          <w:highlight w:val="none"/>
        </w:rPr>
        <w:t>.</w:t>
      </w:r>
      <w:r>
        <w:rPr>
          <w:rFonts w:hint="eastAsia" w:ascii="仿宋" w:hAnsi="仿宋" w:eastAsia="仿宋" w:cs="仿宋_GB2312"/>
          <w:sz w:val="24"/>
          <w:highlight w:val="none"/>
        </w:rPr>
        <w:t>乙方应向甲方提供真实有效的银行账户，银行账户如有变更，应立即书面通知甲方，如乙方银行账户变更未书面通知甲方，甲方向本合同约定的收款账户付款造成乙方实际未收到款的，该责任由乙方自行承担。未经甲方书面认可，乙方不得将应收款项转让给任何第三方或让任何第三方代收，否则甲方有权拒绝付款。</w:t>
      </w:r>
    </w:p>
    <w:p w14:paraId="363FD7BE">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8</w:t>
      </w:r>
      <w:r>
        <w:rPr>
          <w:rFonts w:hint="eastAsia" w:ascii="仿宋" w:hAnsi="仿宋" w:eastAsia="仿宋" w:cs="仿宋_GB2312"/>
          <w:sz w:val="24"/>
          <w:highlight w:val="none"/>
        </w:rPr>
        <w:t>.若本合同付款涉及甲方内部或财政审批迟延的特殊情况，因该种情况造成付款延迟的不视为甲方违约，乙方应继续履行本合同项下义务</w:t>
      </w:r>
    </w:p>
    <w:p w14:paraId="24155D8F">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第四条  具体服务要求</w:t>
      </w:r>
    </w:p>
    <w:p w14:paraId="6434FD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_GB2312"/>
          <w:b w:val="0"/>
          <w:bCs w:val="0"/>
          <w:color w:val="auto"/>
          <w:sz w:val="24"/>
          <w:szCs w:val="24"/>
          <w:highlight w:val="none"/>
          <w:lang w:val="en-US" w:eastAsia="zh-CN"/>
        </w:rPr>
      </w:pPr>
      <w:r>
        <w:rPr>
          <w:rFonts w:hint="eastAsia" w:ascii="仿宋" w:hAnsi="仿宋" w:eastAsia="仿宋" w:cs="仿宋_GB2312"/>
          <w:b w:val="0"/>
          <w:bCs w:val="0"/>
          <w:color w:val="auto"/>
          <w:sz w:val="24"/>
          <w:szCs w:val="24"/>
          <w:highlight w:val="none"/>
          <w:lang w:val="en-US" w:eastAsia="zh-CN"/>
        </w:rPr>
        <w:t>1.合同签订之日起5个工作日内完成设计，设计内容需经过</w:t>
      </w:r>
      <w:r>
        <w:rPr>
          <w:rFonts w:hint="eastAsia" w:ascii="仿宋" w:hAnsi="仿宋" w:eastAsia="仿宋" w:cs="仿宋_GB2312"/>
          <w:b w:val="0"/>
          <w:bCs w:val="0"/>
          <w:sz w:val="24"/>
          <w:szCs w:val="24"/>
          <w:highlight w:val="none"/>
          <w:lang w:val="en-US" w:eastAsia="zh-CN"/>
        </w:rPr>
        <w:t>甲方</w:t>
      </w:r>
      <w:r>
        <w:rPr>
          <w:rFonts w:hint="eastAsia" w:ascii="仿宋" w:hAnsi="仿宋" w:eastAsia="仿宋" w:cs="仿宋_GB2312"/>
          <w:b w:val="0"/>
          <w:bCs w:val="0"/>
          <w:color w:val="auto"/>
          <w:sz w:val="24"/>
          <w:szCs w:val="24"/>
          <w:highlight w:val="none"/>
          <w:lang w:val="en-US" w:eastAsia="zh-CN"/>
        </w:rPr>
        <w:t>审核确认后方可推进执行，期间需配合</w:t>
      </w:r>
      <w:r>
        <w:rPr>
          <w:rFonts w:hint="eastAsia" w:ascii="仿宋" w:hAnsi="仿宋" w:eastAsia="仿宋" w:cs="仿宋_GB2312"/>
          <w:b w:val="0"/>
          <w:bCs w:val="0"/>
          <w:sz w:val="24"/>
          <w:szCs w:val="24"/>
          <w:highlight w:val="none"/>
          <w:lang w:val="en-US" w:eastAsia="zh-CN"/>
        </w:rPr>
        <w:t>甲方</w:t>
      </w:r>
      <w:r>
        <w:rPr>
          <w:rFonts w:hint="eastAsia" w:ascii="仿宋" w:hAnsi="仿宋" w:eastAsia="仿宋" w:cs="仿宋_GB2312"/>
          <w:b w:val="0"/>
          <w:bCs w:val="0"/>
          <w:color w:val="auto"/>
          <w:sz w:val="24"/>
          <w:szCs w:val="24"/>
          <w:highlight w:val="none"/>
          <w:lang w:val="en-US" w:eastAsia="zh-CN"/>
        </w:rPr>
        <w:t>完成不少于2次方案调整优化，相关费用已包含在报价中。各项设计图稿及策划方案、脚本需与</w:t>
      </w:r>
      <w:r>
        <w:rPr>
          <w:rFonts w:hint="eastAsia" w:ascii="仿宋" w:hAnsi="仿宋" w:eastAsia="仿宋" w:cs="仿宋_GB2312"/>
          <w:b w:val="0"/>
          <w:bCs w:val="0"/>
          <w:sz w:val="24"/>
          <w:szCs w:val="24"/>
          <w:highlight w:val="none"/>
          <w:lang w:val="en-US" w:eastAsia="zh-CN"/>
        </w:rPr>
        <w:t>甲方</w:t>
      </w:r>
      <w:r>
        <w:rPr>
          <w:rFonts w:hint="eastAsia" w:ascii="仿宋" w:hAnsi="仿宋" w:eastAsia="仿宋" w:cs="仿宋_GB2312"/>
          <w:b w:val="0"/>
          <w:bCs w:val="0"/>
          <w:color w:val="auto"/>
          <w:sz w:val="24"/>
          <w:szCs w:val="24"/>
          <w:highlight w:val="none"/>
          <w:lang w:val="en-US" w:eastAsia="zh-CN"/>
        </w:rPr>
        <w:t>确认，提供电子版和纸质版确认稿。</w:t>
      </w:r>
    </w:p>
    <w:p w14:paraId="16949A6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_GB2312"/>
          <w:b w:val="0"/>
          <w:bCs w:val="0"/>
          <w:color w:val="auto"/>
          <w:sz w:val="24"/>
          <w:szCs w:val="24"/>
          <w:highlight w:val="none"/>
          <w:lang w:val="en-US" w:eastAsia="zh-CN"/>
        </w:rPr>
      </w:pPr>
      <w:r>
        <w:rPr>
          <w:rFonts w:hint="eastAsia" w:ascii="仿宋" w:hAnsi="仿宋" w:eastAsia="仿宋" w:cs="仿宋_GB2312"/>
          <w:b w:val="0"/>
          <w:bCs w:val="0"/>
          <w:color w:val="auto"/>
          <w:sz w:val="24"/>
          <w:szCs w:val="24"/>
          <w:highlight w:val="none"/>
          <w:lang w:val="en-US" w:eastAsia="zh-CN"/>
        </w:rPr>
        <w:t>2.</w:t>
      </w:r>
      <w:r>
        <w:rPr>
          <w:rFonts w:hint="eastAsia" w:ascii="仿宋" w:hAnsi="仿宋" w:eastAsia="仿宋" w:cs="仿宋_GB2312"/>
          <w:b w:val="0"/>
          <w:bCs w:val="0"/>
          <w:sz w:val="24"/>
          <w:szCs w:val="24"/>
          <w:highlight w:val="none"/>
          <w:lang w:val="en-US" w:eastAsia="zh-CN"/>
        </w:rPr>
        <w:t>乙方</w:t>
      </w:r>
      <w:r>
        <w:rPr>
          <w:rFonts w:hint="eastAsia" w:ascii="仿宋" w:hAnsi="仿宋" w:eastAsia="仿宋" w:cs="仿宋_GB2312"/>
          <w:b w:val="0"/>
          <w:bCs w:val="0"/>
          <w:color w:val="auto"/>
          <w:sz w:val="24"/>
          <w:szCs w:val="24"/>
          <w:highlight w:val="none"/>
          <w:lang w:val="en-US" w:eastAsia="zh-CN"/>
        </w:rPr>
        <w:t>须对其出具的各项方案及图稿的原创性、真实性、准确性、合法性负责。若因方案或图稿问题导致</w:t>
      </w:r>
      <w:r>
        <w:rPr>
          <w:rFonts w:hint="eastAsia" w:ascii="仿宋" w:hAnsi="仿宋" w:eastAsia="仿宋" w:cs="仿宋_GB2312"/>
          <w:b w:val="0"/>
          <w:bCs w:val="0"/>
          <w:sz w:val="24"/>
          <w:szCs w:val="24"/>
          <w:highlight w:val="none"/>
          <w:lang w:val="en-US" w:eastAsia="zh-CN"/>
        </w:rPr>
        <w:t>甲方</w:t>
      </w:r>
      <w:r>
        <w:rPr>
          <w:rFonts w:hint="eastAsia" w:ascii="仿宋" w:hAnsi="仿宋" w:eastAsia="仿宋" w:cs="仿宋_GB2312"/>
          <w:b w:val="0"/>
          <w:bCs w:val="0"/>
          <w:color w:val="auto"/>
          <w:sz w:val="24"/>
          <w:szCs w:val="24"/>
          <w:highlight w:val="none"/>
          <w:lang w:val="en-US" w:eastAsia="zh-CN"/>
        </w:rPr>
        <w:t>做出错误决策并造成损失的，</w:t>
      </w:r>
      <w:r>
        <w:rPr>
          <w:rFonts w:hint="eastAsia" w:ascii="仿宋" w:hAnsi="仿宋" w:eastAsia="仿宋" w:cs="仿宋_GB2312"/>
          <w:b w:val="0"/>
          <w:bCs w:val="0"/>
          <w:sz w:val="24"/>
          <w:szCs w:val="24"/>
          <w:highlight w:val="none"/>
          <w:lang w:val="en-US" w:eastAsia="zh-CN"/>
        </w:rPr>
        <w:t>乙方</w:t>
      </w:r>
      <w:r>
        <w:rPr>
          <w:rFonts w:hint="eastAsia" w:ascii="仿宋" w:hAnsi="仿宋" w:eastAsia="仿宋" w:cs="仿宋_GB2312"/>
          <w:b w:val="0"/>
          <w:bCs w:val="0"/>
          <w:color w:val="auto"/>
          <w:sz w:val="24"/>
          <w:szCs w:val="24"/>
          <w:highlight w:val="none"/>
          <w:lang w:val="en-US" w:eastAsia="zh-CN"/>
        </w:rPr>
        <w:t>应承担相应法律责任及经济赔偿。</w:t>
      </w:r>
    </w:p>
    <w:p w14:paraId="598C2C3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_GB2312"/>
          <w:b w:val="0"/>
          <w:bCs w:val="0"/>
          <w:color w:val="auto"/>
          <w:sz w:val="24"/>
          <w:szCs w:val="24"/>
          <w:highlight w:val="none"/>
          <w:lang w:val="en-US" w:eastAsia="zh-CN"/>
        </w:rPr>
      </w:pPr>
      <w:r>
        <w:rPr>
          <w:rFonts w:hint="eastAsia" w:ascii="仿宋" w:hAnsi="仿宋" w:eastAsia="仿宋" w:cs="仿宋_GB2312"/>
          <w:b w:val="0"/>
          <w:bCs w:val="0"/>
          <w:color w:val="auto"/>
          <w:sz w:val="24"/>
          <w:szCs w:val="24"/>
          <w:highlight w:val="none"/>
          <w:lang w:val="en-US" w:eastAsia="zh-CN"/>
        </w:rPr>
        <w:t>......</w:t>
      </w:r>
    </w:p>
    <w:p w14:paraId="0AD5A58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_GB2312"/>
          <w:b w:val="0"/>
          <w:bCs w:val="0"/>
          <w:color w:val="auto"/>
          <w:sz w:val="24"/>
          <w:szCs w:val="24"/>
          <w:highlight w:val="none"/>
          <w:lang w:val="en-US" w:eastAsia="zh-CN"/>
        </w:rPr>
      </w:pPr>
    </w:p>
    <w:p w14:paraId="67215742">
      <w:pPr>
        <w:spacing w:line="400" w:lineRule="exact"/>
        <w:ind w:firstLine="482" w:firstLineChars="200"/>
        <w:rPr>
          <w:rFonts w:hint="default" w:ascii="仿宋" w:hAnsi="仿宋" w:eastAsia="仿宋" w:cs="仿宋_GB2312"/>
          <w:b/>
          <w:bCs/>
          <w:sz w:val="24"/>
          <w:highlight w:val="none"/>
          <w:lang w:val="en-US" w:eastAsia="zh-CN"/>
        </w:rPr>
      </w:pPr>
      <w:r>
        <w:rPr>
          <w:rFonts w:hint="eastAsia" w:ascii="仿宋" w:hAnsi="仿宋" w:eastAsia="仿宋" w:cs="仿宋_GB2312"/>
          <w:b/>
          <w:bCs/>
          <w:sz w:val="24"/>
          <w:highlight w:val="none"/>
        </w:rPr>
        <w:t xml:space="preserve">第五条  </w:t>
      </w:r>
      <w:r>
        <w:rPr>
          <w:rFonts w:hint="eastAsia" w:ascii="仿宋" w:hAnsi="仿宋" w:eastAsia="仿宋" w:cs="仿宋_GB2312"/>
          <w:b/>
          <w:bCs/>
          <w:sz w:val="24"/>
          <w:highlight w:val="none"/>
          <w:lang w:val="en-US" w:eastAsia="zh-CN"/>
        </w:rPr>
        <w:t>验收及售后服务</w:t>
      </w:r>
    </w:p>
    <w:p w14:paraId="1BAE37C4">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_GB2312"/>
          <w:kern w:val="2"/>
          <w:sz w:val="24"/>
          <w:szCs w:val="24"/>
          <w:highlight w:val="none"/>
          <w:lang w:val="en-US" w:eastAsia="zh-CN" w:bidi="ar-SA"/>
        </w:rPr>
      </w:pPr>
      <w:r>
        <w:rPr>
          <w:rFonts w:hint="eastAsia" w:ascii="仿宋" w:hAnsi="仿宋" w:eastAsia="仿宋" w:cs="仿宋_GB2312"/>
          <w:kern w:val="2"/>
          <w:sz w:val="24"/>
          <w:szCs w:val="24"/>
          <w:highlight w:val="none"/>
          <w:lang w:val="en-US" w:eastAsia="zh-CN" w:bidi="ar-SA"/>
        </w:rPr>
        <w:t>1.开展活动或运送宣传材料等货物到现场，乙方应在活动或运送前通知甲方指定人员到场，并提供明细交由甲方验收。乙方需对货物（材料、设备）的质量、规格、性能、数量或活动规模、布置、执行等做出记录，如有任何不符规定要求的产品及人为质量问题，甲方可无条件要求退货或更换。非不可抗力造成的活动质量下降或货物破损、缺陷等事故，由乙方承担后果并主动积极解决问题；</w:t>
      </w:r>
    </w:p>
    <w:p w14:paraId="6DDA18A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_GB2312"/>
          <w:kern w:val="2"/>
          <w:sz w:val="24"/>
          <w:szCs w:val="24"/>
          <w:highlight w:val="none"/>
          <w:lang w:val="en-US" w:eastAsia="zh-CN" w:bidi="ar-SA"/>
        </w:rPr>
      </w:pPr>
      <w:r>
        <w:rPr>
          <w:rFonts w:hint="eastAsia" w:ascii="仿宋" w:hAnsi="仿宋" w:eastAsia="仿宋" w:cs="仿宋_GB2312"/>
          <w:kern w:val="2"/>
          <w:sz w:val="24"/>
          <w:szCs w:val="24"/>
          <w:highlight w:val="none"/>
          <w:lang w:val="en-US" w:eastAsia="zh-CN" w:bidi="ar-SA"/>
        </w:rPr>
        <w:t>2.甲方验收时需确认乙方送达安装或用于宣传的物品品质及数量特征满足预定要求。通过现场检验和测试后确保供货商的产品符合质量标准；</w:t>
      </w:r>
    </w:p>
    <w:p w14:paraId="720390DE">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default" w:ascii="仿宋" w:hAnsi="仿宋" w:eastAsia="仿宋" w:cs="仿宋_GB2312"/>
          <w:kern w:val="2"/>
          <w:sz w:val="24"/>
          <w:szCs w:val="24"/>
          <w:highlight w:val="none"/>
          <w:lang w:val="en-US" w:eastAsia="zh-CN" w:bidi="ar-SA"/>
        </w:rPr>
      </w:pPr>
      <w:r>
        <w:rPr>
          <w:rFonts w:hint="eastAsia" w:ascii="仿宋" w:hAnsi="仿宋" w:eastAsia="仿宋" w:cs="仿宋_GB2312"/>
          <w:kern w:val="2"/>
          <w:sz w:val="24"/>
          <w:szCs w:val="24"/>
          <w:highlight w:val="none"/>
          <w:lang w:val="en-US" w:eastAsia="zh-CN" w:bidi="ar-SA"/>
        </w:rPr>
        <w:t>3.乙方需提供活动策划方案、视觉设计、视频、音频等资料，由甲方组织专家验收，并出具验收报告；</w:t>
      </w:r>
    </w:p>
    <w:p w14:paraId="0B24EECF">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_GB2312"/>
          <w:kern w:val="2"/>
          <w:sz w:val="24"/>
          <w:szCs w:val="24"/>
          <w:highlight w:val="none"/>
          <w:lang w:val="en-US" w:eastAsia="zh-CN" w:bidi="ar-SA"/>
        </w:rPr>
      </w:pPr>
      <w:r>
        <w:rPr>
          <w:rFonts w:hint="eastAsia" w:ascii="仿宋" w:hAnsi="仿宋" w:eastAsia="仿宋" w:cs="仿宋_GB2312"/>
          <w:kern w:val="2"/>
          <w:sz w:val="24"/>
          <w:szCs w:val="24"/>
          <w:highlight w:val="none"/>
          <w:lang w:val="en-US" w:eastAsia="zh-CN" w:bidi="ar-SA"/>
        </w:rPr>
        <w:t>4.乙方需按照既定的活动方案提供服务，对于质量、规格不符合要求的材料及配件、文学、艺术和科学作品，甲方有权拒绝验收，由乙方按要求时间重新提供符合要求的材料及配件、文学、艺术和科学作品，并承担由此发生的费用；</w:t>
      </w:r>
    </w:p>
    <w:p w14:paraId="01B58D68">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_GB2312"/>
          <w:kern w:val="2"/>
          <w:sz w:val="24"/>
          <w:szCs w:val="24"/>
          <w:highlight w:val="none"/>
          <w:lang w:val="en-US" w:eastAsia="zh-CN" w:bidi="ar-SA"/>
        </w:rPr>
      </w:pPr>
      <w:r>
        <w:rPr>
          <w:rFonts w:hint="eastAsia" w:ascii="仿宋" w:hAnsi="仿宋" w:eastAsia="仿宋" w:cs="仿宋_GB2312"/>
          <w:kern w:val="2"/>
          <w:sz w:val="24"/>
          <w:szCs w:val="24"/>
          <w:highlight w:val="none"/>
          <w:lang w:val="en-US" w:eastAsia="zh-CN" w:bidi="ar-SA"/>
        </w:rPr>
        <w:t>5.在产品验收后，即使已经交付甲方使用，也不得以产品已经通过验收为由拒绝承担应其承担的质量责任，任何获奖证书和证明文件不可以作为质量问题或质量缺陷不存在的理由；</w:t>
      </w:r>
    </w:p>
    <w:p w14:paraId="7C45CF6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_GB2312"/>
          <w:kern w:val="2"/>
          <w:sz w:val="24"/>
          <w:szCs w:val="24"/>
          <w:highlight w:val="none"/>
          <w:lang w:val="en-US" w:eastAsia="zh-CN" w:bidi="ar-SA"/>
        </w:rPr>
      </w:pPr>
      <w:r>
        <w:rPr>
          <w:rFonts w:hint="eastAsia" w:ascii="仿宋" w:hAnsi="仿宋" w:eastAsia="仿宋" w:cs="仿宋_GB2312"/>
          <w:kern w:val="2"/>
          <w:sz w:val="24"/>
          <w:szCs w:val="24"/>
          <w:highlight w:val="none"/>
          <w:lang w:val="en-US" w:eastAsia="zh-CN" w:bidi="ar-SA"/>
        </w:rPr>
        <w:t>6.所提供的设计形象、字体、音乐、视频等文学、艺术和科学作品的格式适用于各个平台上展播使用，3年免费协助调整格式；</w:t>
      </w:r>
    </w:p>
    <w:p w14:paraId="1909268C">
      <w:pPr>
        <w:spacing w:line="400" w:lineRule="exact"/>
        <w:ind w:firstLine="480" w:firstLineChars="200"/>
        <w:rPr>
          <w:rFonts w:hint="eastAsia" w:ascii="仿宋" w:hAnsi="仿宋" w:eastAsia="仿宋" w:cs="仿宋_GB2312"/>
          <w:b/>
          <w:bCs/>
          <w:sz w:val="24"/>
          <w:highlight w:val="none"/>
        </w:rPr>
      </w:pPr>
      <w:r>
        <w:rPr>
          <w:rFonts w:hint="eastAsia" w:ascii="仿宋" w:hAnsi="仿宋" w:eastAsia="仿宋" w:cs="仿宋_GB2312"/>
          <w:kern w:val="2"/>
          <w:sz w:val="24"/>
          <w:szCs w:val="24"/>
          <w:highlight w:val="none"/>
          <w:lang w:val="en-US" w:eastAsia="zh-CN" w:bidi="ar-SA"/>
        </w:rPr>
        <w:t>7.乙方所提供服务涉及著作权、人员劳务费等争议，由乙方交涉处理并承担相应后果。</w:t>
      </w:r>
    </w:p>
    <w:p w14:paraId="24D8BEB9">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lang w:val="en-US" w:eastAsia="zh-CN"/>
        </w:rPr>
        <w:t xml:space="preserve">第六条  </w:t>
      </w:r>
      <w:r>
        <w:rPr>
          <w:rFonts w:hint="eastAsia" w:ascii="仿宋" w:hAnsi="仿宋" w:eastAsia="仿宋" w:cs="仿宋_GB2312"/>
          <w:b/>
          <w:bCs/>
          <w:sz w:val="24"/>
          <w:highlight w:val="none"/>
        </w:rPr>
        <w:t>双方权利与义务</w:t>
      </w:r>
    </w:p>
    <w:p w14:paraId="4C96DC30">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（一）甲方权利与义务</w:t>
      </w:r>
    </w:p>
    <w:p w14:paraId="2C43EDE4">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1.甲方有权对乙方提交的活动策划方案、设计方案、拍摄脚本等提出修改意见，并要求乙方按甲方要求调整。</w:t>
      </w:r>
    </w:p>
    <w:p w14:paraId="5547A7DF">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2.甲方有权对活动筹备、现场执行、物料制作、视频拍摄等各项工作进行监督检查，提出合理改进意见。</w:t>
      </w:r>
    </w:p>
    <w:p w14:paraId="72B1A2F9">
      <w:pPr>
        <w:spacing w:line="400" w:lineRule="exact"/>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3.甲方有权对乙方交付的所有工作成果（设计稿、物料、视频成片等）进行验收，验收不合格的有权要求整改或拒收</w:t>
      </w:r>
      <w:r>
        <w:rPr>
          <w:rFonts w:hint="eastAsia" w:ascii="仿宋" w:hAnsi="仿宋" w:eastAsia="仿宋" w:cs="仿宋_GB2312"/>
          <w:sz w:val="24"/>
          <w:highlight w:val="none"/>
          <w:lang w:eastAsia="zh-CN"/>
        </w:rPr>
        <w:t>。</w:t>
      </w:r>
    </w:p>
    <w:p w14:paraId="05C33667">
      <w:pPr>
        <w:spacing w:line="400" w:lineRule="exact"/>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4.甲方需</w:t>
      </w:r>
      <w:r>
        <w:rPr>
          <w:rFonts w:hint="eastAsia" w:ascii="仿宋" w:hAnsi="仿宋" w:eastAsia="仿宋" w:cs="仿宋_GB2312"/>
          <w:sz w:val="24"/>
          <w:highlight w:val="none"/>
        </w:rPr>
        <w:t>向乙方提供活动所需的背景资料、医院VI规范、场地信息等，确保所提供信息的真实性和完整性</w:t>
      </w:r>
    </w:p>
    <w:p w14:paraId="282EAF15">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5.甲方需</w:t>
      </w:r>
      <w:r>
        <w:rPr>
          <w:rFonts w:hint="eastAsia" w:ascii="仿宋" w:hAnsi="仿宋" w:eastAsia="仿宋" w:cs="仿宋_GB2312"/>
          <w:sz w:val="24"/>
          <w:highlight w:val="none"/>
        </w:rPr>
        <w:t>按合同约定，对乙方</w:t>
      </w:r>
      <w:r>
        <w:rPr>
          <w:rFonts w:hint="eastAsia" w:ascii="仿宋" w:hAnsi="仿宋" w:eastAsia="仿宋" w:cs="仿宋_GB2312"/>
          <w:sz w:val="24"/>
          <w:highlight w:val="none"/>
          <w:lang w:val="en-US" w:eastAsia="zh-CN"/>
        </w:rPr>
        <w:t>交付的合格</w:t>
      </w:r>
      <w:r>
        <w:rPr>
          <w:rFonts w:hint="eastAsia" w:ascii="仿宋" w:hAnsi="仿宋" w:eastAsia="仿宋" w:cs="仿宋_GB2312"/>
          <w:sz w:val="24"/>
          <w:highlight w:val="none"/>
        </w:rPr>
        <w:t>成果及时验收、按时支付服务费用。</w:t>
      </w:r>
    </w:p>
    <w:p w14:paraId="462FCDB1">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6</w:t>
      </w:r>
      <w:r>
        <w:rPr>
          <w:rFonts w:hint="eastAsia" w:ascii="仿宋" w:hAnsi="仿宋" w:eastAsia="仿宋" w:cs="仿宋_GB2312"/>
          <w:sz w:val="24"/>
          <w:highlight w:val="none"/>
        </w:rPr>
        <w:t>.甲方</w:t>
      </w:r>
      <w:r>
        <w:rPr>
          <w:rFonts w:hint="eastAsia" w:ascii="仿宋" w:hAnsi="仿宋" w:eastAsia="仿宋" w:cs="仿宋_GB2312"/>
          <w:sz w:val="24"/>
          <w:highlight w:val="none"/>
          <w:lang w:val="en-US" w:eastAsia="zh-CN"/>
        </w:rPr>
        <w:t>需</w:t>
      </w:r>
      <w:r>
        <w:rPr>
          <w:rFonts w:hint="eastAsia" w:ascii="仿宋" w:hAnsi="仿宋" w:eastAsia="仿宋" w:cs="仿宋_GB2312"/>
          <w:sz w:val="24"/>
          <w:highlight w:val="none"/>
        </w:rPr>
        <w:t>安排专人负责与乙方沟通协调，及时对乙方提交的方案、设计稿、脚本等给予书面确认。</w:t>
      </w:r>
    </w:p>
    <w:p w14:paraId="73109383">
      <w:pPr>
        <w:spacing w:line="400" w:lineRule="exact"/>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lang w:val="en-US" w:eastAsia="zh-CN"/>
        </w:rPr>
        <w:t>7.甲方需</w:t>
      </w:r>
      <w:r>
        <w:rPr>
          <w:rFonts w:hint="eastAsia" w:ascii="仿宋" w:hAnsi="仿宋" w:eastAsia="仿宋" w:cs="仿宋_GB2312"/>
          <w:sz w:val="24"/>
          <w:highlight w:val="none"/>
        </w:rPr>
        <w:t>协助乙方办理活动所需的相关审批手续（如涉及户外活动、人员聚集等需报备的情形）</w:t>
      </w:r>
      <w:r>
        <w:rPr>
          <w:rFonts w:hint="eastAsia" w:ascii="仿宋" w:hAnsi="仿宋" w:eastAsia="仿宋" w:cs="仿宋_GB2312"/>
          <w:sz w:val="24"/>
          <w:highlight w:val="none"/>
          <w:lang w:eastAsia="zh-CN"/>
        </w:rPr>
        <w:t>。</w:t>
      </w:r>
    </w:p>
    <w:p w14:paraId="6F8BD081">
      <w:pPr>
        <w:spacing w:line="400" w:lineRule="exact"/>
        <w:ind w:firstLine="480" w:firstLineChars="200"/>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8.甲方</w:t>
      </w:r>
      <w:r>
        <w:rPr>
          <w:rFonts w:hint="eastAsia" w:ascii="仿宋" w:hAnsi="仿宋" w:eastAsia="仿宋" w:cs="仿宋_GB2312"/>
          <w:sz w:val="24"/>
          <w:highlight w:val="none"/>
        </w:rPr>
        <w:t>提供必要的配合支持</w:t>
      </w:r>
      <w:r>
        <w:rPr>
          <w:rFonts w:hint="eastAsia" w:ascii="仿宋" w:hAnsi="仿宋" w:eastAsia="仿宋" w:cs="仿宋_GB2312"/>
          <w:sz w:val="24"/>
          <w:highlight w:val="none"/>
          <w:lang w:eastAsia="zh-CN"/>
        </w:rPr>
        <w:t>，</w:t>
      </w:r>
      <w:r>
        <w:rPr>
          <w:rFonts w:hint="default" w:ascii="仿宋" w:hAnsi="仿宋" w:eastAsia="仿宋" w:cs="仿宋_GB2312"/>
          <w:sz w:val="24"/>
          <w:highlight w:val="none"/>
        </w:rPr>
        <w:t>如视频拍摄需要提供场地、照明、供电、相关人员配合等拍摄条件</w:t>
      </w:r>
      <w:r>
        <w:rPr>
          <w:rFonts w:hint="eastAsia" w:ascii="仿宋" w:hAnsi="仿宋" w:eastAsia="仿宋" w:cs="仿宋_GB2312"/>
          <w:sz w:val="24"/>
          <w:highlight w:val="none"/>
          <w:lang w:eastAsia="zh-CN"/>
        </w:rPr>
        <w:t>。</w:t>
      </w:r>
    </w:p>
    <w:p w14:paraId="60C226EA">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（二）乙方权利与义务</w:t>
      </w:r>
    </w:p>
    <w:p w14:paraId="788C4419">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1.乙方有权在完成全部合格服务成果后，要求甲方按时足额支付合同款项。</w:t>
      </w:r>
    </w:p>
    <w:p w14:paraId="42D4A33A">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2.乙方</w:t>
      </w:r>
      <w:r>
        <w:rPr>
          <w:rFonts w:hint="default" w:ascii="仿宋" w:hAnsi="仿宋" w:eastAsia="仿宋" w:cs="仿宋_GB2312"/>
          <w:sz w:val="24"/>
          <w:highlight w:val="none"/>
        </w:rPr>
        <w:t>有权要求甲方提供履行合同所必需的资料、信息和配合</w:t>
      </w:r>
      <w:r>
        <w:rPr>
          <w:rFonts w:hint="eastAsia" w:ascii="仿宋" w:hAnsi="仿宋" w:eastAsia="仿宋" w:cs="仿宋_GB2312"/>
          <w:sz w:val="24"/>
          <w:highlight w:val="none"/>
        </w:rPr>
        <w:t>。</w:t>
      </w:r>
    </w:p>
    <w:p w14:paraId="0BED4461">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3.乙方</w:t>
      </w:r>
      <w:r>
        <w:rPr>
          <w:rFonts w:hint="default" w:ascii="仿宋" w:hAnsi="仿宋" w:eastAsia="仿宋" w:cs="仿宋_GB2312"/>
          <w:sz w:val="24"/>
          <w:highlight w:val="none"/>
        </w:rPr>
        <w:t>有权拒绝甲方提出的超出合同约定范围的要求</w:t>
      </w:r>
      <w:r>
        <w:rPr>
          <w:rFonts w:hint="eastAsia" w:ascii="仿宋" w:hAnsi="仿宋" w:eastAsia="仿宋" w:cs="仿宋_GB2312"/>
          <w:sz w:val="24"/>
          <w:highlight w:val="none"/>
        </w:rPr>
        <w:t>。</w:t>
      </w:r>
    </w:p>
    <w:p w14:paraId="6FC8F00F">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4.</w:t>
      </w:r>
      <w:r>
        <w:rPr>
          <w:rFonts w:hint="default" w:ascii="仿宋" w:hAnsi="仿宋" w:eastAsia="仿宋" w:cs="仿宋_GB2312"/>
          <w:sz w:val="24"/>
          <w:highlight w:val="none"/>
        </w:rPr>
        <w:t>未经甲方书面同意，不得将委托项目全部或部分转包给第三方。</w:t>
      </w:r>
    </w:p>
    <w:p w14:paraId="4FF63A5F">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5.</w:t>
      </w:r>
      <w:r>
        <w:rPr>
          <w:rFonts w:hint="default" w:ascii="仿宋" w:hAnsi="仿宋" w:eastAsia="仿宋" w:cs="仿宋_GB2312"/>
          <w:sz w:val="24"/>
          <w:highlight w:val="none"/>
        </w:rPr>
        <w:t>所有策划方案、设计方案、拍摄脚本等须经甲方书面确认后方可实施</w:t>
      </w:r>
    </w:p>
    <w:p w14:paraId="7C70779D">
      <w:pPr>
        <w:spacing w:line="400" w:lineRule="exact"/>
        <w:ind w:firstLine="480" w:firstLineChars="200"/>
        <w:rPr>
          <w:rFonts w:hint="default" w:ascii="仿宋" w:hAnsi="仿宋" w:eastAsia="仿宋" w:cs="仿宋_GB2312"/>
          <w:sz w:val="24"/>
          <w:highlight w:val="none"/>
        </w:rPr>
      </w:pPr>
      <w:r>
        <w:rPr>
          <w:rFonts w:hint="eastAsia" w:ascii="仿宋" w:hAnsi="仿宋" w:eastAsia="仿宋" w:cs="仿宋_GB2312"/>
          <w:sz w:val="24"/>
          <w:highlight w:val="none"/>
          <w:lang w:val="en-US" w:eastAsia="zh-CN"/>
        </w:rPr>
        <w:t>6.</w:t>
      </w:r>
      <w:r>
        <w:rPr>
          <w:rFonts w:hint="default" w:ascii="仿宋" w:hAnsi="仿宋" w:eastAsia="仿宋" w:cs="仿宋_GB2312"/>
          <w:sz w:val="24"/>
          <w:highlight w:val="none"/>
        </w:rPr>
        <w:t>策划方案、设计作品、视频内容等须为原创，不得侵犯他人知识产权</w:t>
      </w:r>
    </w:p>
    <w:p w14:paraId="681FDD00">
      <w:pPr>
        <w:spacing w:line="400" w:lineRule="exact"/>
        <w:ind w:firstLine="480" w:firstLineChars="200"/>
        <w:rPr>
          <w:rFonts w:hint="default" w:ascii="仿宋" w:hAnsi="仿宋" w:eastAsia="仿宋" w:cs="仿宋_GB2312"/>
          <w:sz w:val="24"/>
          <w:highlight w:val="none"/>
        </w:rPr>
      </w:pPr>
      <w:r>
        <w:rPr>
          <w:rFonts w:hint="eastAsia" w:ascii="仿宋" w:hAnsi="仿宋" w:eastAsia="仿宋" w:cs="仿宋_GB2312"/>
          <w:sz w:val="24"/>
          <w:highlight w:val="none"/>
          <w:lang w:val="en-US" w:eastAsia="zh-CN"/>
        </w:rPr>
        <w:t>7.乙方需</w:t>
      </w:r>
      <w:r>
        <w:rPr>
          <w:rFonts w:hint="default" w:ascii="仿宋" w:hAnsi="仿宋" w:eastAsia="仿宋" w:cs="仿宋_GB2312"/>
          <w:sz w:val="24"/>
          <w:highlight w:val="none"/>
        </w:rPr>
        <w:t>及时向甲方通报工作进展，接受甲方监督，为检查监督提供便利</w:t>
      </w:r>
    </w:p>
    <w:p w14:paraId="6D65F591">
      <w:pPr>
        <w:spacing w:line="400" w:lineRule="exact"/>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8.乙方需</w:t>
      </w:r>
      <w:r>
        <w:rPr>
          <w:rFonts w:hint="default" w:ascii="仿宋" w:hAnsi="仿宋" w:eastAsia="仿宋" w:cs="仿宋_GB2312"/>
          <w:sz w:val="24"/>
          <w:highlight w:val="none"/>
        </w:rPr>
        <w:t>按合同约定的时间、标准和质量完成各项工作</w:t>
      </w:r>
    </w:p>
    <w:p w14:paraId="369EB3C9">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9.</w:t>
      </w:r>
      <w:r>
        <w:rPr>
          <w:rFonts w:hint="eastAsia" w:ascii="仿宋" w:hAnsi="仿宋" w:eastAsia="仿宋" w:cs="仿宋_GB2312"/>
          <w:sz w:val="24"/>
          <w:highlight w:val="none"/>
        </w:rPr>
        <w:t>乙方需自主负责工作人员用工、薪酬、社保、安全管理，所有用工纠纷、安全事故、财产损失由乙方全权承担，</w:t>
      </w:r>
      <w:r>
        <w:rPr>
          <w:rFonts w:hint="eastAsia" w:ascii="仿宋" w:hAnsi="仿宋" w:eastAsia="仿宋" w:cs="仿宋_GB2312"/>
          <w:sz w:val="24"/>
          <w:highlight w:val="none"/>
          <w:lang w:val="en-US" w:eastAsia="zh-CN"/>
        </w:rPr>
        <w:t>如非甲方主观原因导致的，</w:t>
      </w:r>
      <w:r>
        <w:rPr>
          <w:rFonts w:hint="eastAsia" w:ascii="仿宋" w:hAnsi="仿宋" w:eastAsia="仿宋" w:cs="仿宋_GB2312"/>
          <w:sz w:val="24"/>
          <w:highlight w:val="none"/>
        </w:rPr>
        <w:t>与甲方无关。</w:t>
      </w:r>
    </w:p>
    <w:p w14:paraId="11B1AD88">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10</w:t>
      </w:r>
      <w:r>
        <w:rPr>
          <w:rFonts w:hint="eastAsia" w:ascii="仿宋" w:hAnsi="仿宋" w:eastAsia="仿宋" w:cs="仿宋_GB2312"/>
          <w:sz w:val="24"/>
          <w:highlight w:val="none"/>
        </w:rPr>
        <w:t>.服务过程中如造成</w:t>
      </w:r>
      <w:r>
        <w:rPr>
          <w:rFonts w:hint="eastAsia" w:ascii="仿宋" w:hAnsi="仿宋" w:eastAsia="仿宋" w:cs="仿宋_GB2312"/>
          <w:sz w:val="24"/>
          <w:highlight w:val="none"/>
          <w:lang w:val="en-US" w:eastAsia="zh-CN"/>
        </w:rPr>
        <w:t>甲方（含活动场所提供方）</w:t>
      </w:r>
      <w:r>
        <w:rPr>
          <w:rFonts w:hint="eastAsia" w:ascii="仿宋" w:hAnsi="仿宋" w:eastAsia="仿宋" w:cs="仿宋_GB2312"/>
          <w:sz w:val="24"/>
          <w:highlight w:val="none"/>
        </w:rPr>
        <w:t>场所及设施损坏、工作人员人身伤害或第三方人身伤害、财产损失，乙方应承担全部赔偿责任。</w:t>
      </w:r>
    </w:p>
    <w:p w14:paraId="64D3DB2D">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11.</w:t>
      </w:r>
      <w:r>
        <w:rPr>
          <w:rFonts w:hint="eastAsia" w:ascii="仿宋" w:hAnsi="仿宋" w:eastAsia="仿宋" w:cs="仿宋_GB2312"/>
          <w:sz w:val="24"/>
          <w:highlight w:val="none"/>
        </w:rPr>
        <w:t>如乙方为提供本合同项下的服务而保管甲方交付的设备、物品等，保管期间，乙方应谨慎尽职，乙方需确保设备、物品的安全，不遭受损害。</w:t>
      </w:r>
    </w:p>
    <w:p w14:paraId="6220EC18">
      <w:pPr>
        <w:spacing w:line="400" w:lineRule="exact"/>
        <w:ind w:firstLine="480" w:firstLineChars="200"/>
        <w:rPr>
          <w:rFonts w:hint="eastAsia" w:ascii="仿宋" w:hAnsi="仿宋" w:eastAsia="仿宋" w:cs="仿宋_GB2312"/>
          <w:sz w:val="24"/>
          <w:highlight w:val="none"/>
        </w:rPr>
      </w:pPr>
    </w:p>
    <w:p w14:paraId="7D9FAD4F">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12.</w:t>
      </w:r>
      <w:r>
        <w:rPr>
          <w:rFonts w:hint="default" w:ascii="仿宋" w:hAnsi="仿宋" w:eastAsia="仿宋" w:cs="仿宋_GB2312"/>
          <w:sz w:val="24"/>
          <w:highlight w:val="none"/>
        </w:rPr>
        <w:t>活动结束后，及时向将活动过程中形成的各类文件、资料、照片、视频等整理归档后交付甲方</w:t>
      </w:r>
      <w:r>
        <w:rPr>
          <w:rFonts w:hint="eastAsia" w:ascii="仿宋" w:hAnsi="仿宋" w:eastAsia="仿宋" w:cs="仿宋_GB2312"/>
          <w:sz w:val="24"/>
          <w:highlight w:val="none"/>
        </w:rPr>
        <w:t>，配合甲方完成</w:t>
      </w:r>
      <w:r>
        <w:rPr>
          <w:rFonts w:hint="eastAsia" w:ascii="仿宋" w:hAnsi="仿宋" w:eastAsia="仿宋" w:cs="仿宋_GB2312"/>
          <w:sz w:val="24"/>
          <w:highlight w:val="none"/>
          <w:lang w:val="en-US" w:eastAsia="zh-CN"/>
        </w:rPr>
        <w:t>活动总结</w:t>
      </w:r>
      <w:r>
        <w:rPr>
          <w:rFonts w:hint="eastAsia" w:ascii="仿宋" w:hAnsi="仿宋" w:eastAsia="仿宋" w:cs="仿宋_GB2312"/>
          <w:sz w:val="24"/>
          <w:highlight w:val="none"/>
        </w:rPr>
        <w:t>。</w:t>
      </w:r>
    </w:p>
    <w:p w14:paraId="797F1297">
      <w:pPr>
        <w:spacing w:line="400" w:lineRule="exact"/>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13.</w:t>
      </w:r>
      <w:r>
        <w:rPr>
          <w:rFonts w:hint="default" w:ascii="仿宋" w:hAnsi="仿宋" w:eastAsia="仿宋" w:cs="仿宋_GB2312"/>
          <w:sz w:val="24"/>
          <w:highlight w:val="none"/>
        </w:rPr>
        <w:t>不得传播、捏造或夸大有关甲方的负面信息</w:t>
      </w:r>
    </w:p>
    <w:p w14:paraId="756DD4E6">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w:t>
      </w:r>
      <w:r>
        <w:rPr>
          <w:rFonts w:hint="eastAsia" w:ascii="仿宋" w:hAnsi="仿宋" w:eastAsia="仿宋" w:cs="仿宋_GB2312"/>
          <w:b/>
          <w:bCs/>
          <w:sz w:val="24"/>
          <w:highlight w:val="none"/>
          <w:lang w:val="en-US" w:eastAsia="zh-CN"/>
        </w:rPr>
        <w:t>七</w:t>
      </w:r>
      <w:r>
        <w:rPr>
          <w:rFonts w:hint="eastAsia" w:ascii="仿宋" w:hAnsi="仿宋" w:eastAsia="仿宋" w:cs="仿宋_GB2312"/>
          <w:b/>
          <w:bCs/>
          <w:sz w:val="24"/>
          <w:highlight w:val="none"/>
        </w:rPr>
        <w:t>条  服务团队</w:t>
      </w:r>
    </w:p>
    <w:p w14:paraId="692A4BC4">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1.乙方指派</w:t>
      </w:r>
      <w:r>
        <w:rPr>
          <w:rFonts w:hint="eastAsia" w:ascii="仿宋" w:hAnsi="仿宋" w:eastAsia="仿宋" w:cs="仿宋_GB2312"/>
          <w:sz w:val="24"/>
          <w:highlight w:val="none"/>
          <w:u w:val="single"/>
        </w:rPr>
        <w:t xml:space="preserve">  </w:t>
      </w:r>
      <w:r>
        <w:rPr>
          <w:rFonts w:ascii="仿宋" w:hAnsi="仿宋" w:eastAsia="仿宋" w:cs="仿宋_GB2312"/>
          <w:sz w:val="24"/>
          <w:highlight w:val="none"/>
          <w:u w:val="single"/>
        </w:rPr>
        <w:t xml:space="preserve">  </w:t>
      </w:r>
      <w:r>
        <w:rPr>
          <w:rFonts w:hint="eastAsia" w:ascii="仿宋" w:hAnsi="仿宋" w:eastAsia="仿宋" w:cs="仿宋_GB2312"/>
          <w:sz w:val="24"/>
          <w:highlight w:val="none"/>
          <w:u w:val="single"/>
        </w:rPr>
        <w:t xml:space="preserve"> </w:t>
      </w:r>
      <w:r>
        <w:rPr>
          <w:rFonts w:hint="eastAsia" w:ascii="仿宋" w:hAnsi="仿宋" w:eastAsia="仿宋" w:cs="仿宋_GB2312"/>
          <w:sz w:val="24"/>
          <w:highlight w:val="none"/>
        </w:rPr>
        <w:t>为项目负责人（联系方式：</w:t>
      </w:r>
      <w:r>
        <w:rPr>
          <w:rFonts w:hint="eastAsia" w:ascii="仿宋" w:hAnsi="仿宋" w:eastAsia="仿宋" w:cs="仿宋_GB2312"/>
          <w:sz w:val="24"/>
          <w:highlight w:val="none"/>
          <w:u w:val="single"/>
        </w:rPr>
        <w:t xml:space="preserve"> </w:t>
      </w:r>
      <w:r>
        <w:rPr>
          <w:rFonts w:ascii="仿宋" w:hAnsi="仿宋" w:eastAsia="仿宋" w:cs="仿宋_GB2312"/>
          <w:sz w:val="24"/>
          <w:highlight w:val="none"/>
          <w:u w:val="single"/>
        </w:rPr>
        <w:t xml:space="preserve">    </w:t>
      </w:r>
      <w:r>
        <w:rPr>
          <w:rFonts w:hint="eastAsia" w:ascii="仿宋" w:hAnsi="仿宋" w:eastAsia="仿宋" w:cs="仿宋_GB2312"/>
          <w:sz w:val="24"/>
          <w:highlight w:val="none"/>
          <w:u w:val="single"/>
        </w:rPr>
        <w:t xml:space="preserve">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 xml:space="preserve">  </w:t>
      </w:r>
      <w:r>
        <w:rPr>
          <w:rFonts w:ascii="仿宋" w:hAnsi="仿宋" w:eastAsia="仿宋" w:cs="仿宋_GB2312"/>
          <w:sz w:val="24"/>
          <w:highlight w:val="none"/>
          <w:u w:val="single"/>
        </w:rPr>
        <w:t xml:space="preserve">  </w:t>
      </w:r>
      <w:r>
        <w:rPr>
          <w:rFonts w:hint="eastAsia" w:ascii="仿宋" w:hAnsi="仿宋" w:eastAsia="仿宋" w:cs="仿宋_GB2312"/>
          <w:sz w:val="24"/>
          <w:highlight w:val="none"/>
          <w:u w:val="single"/>
        </w:rPr>
        <w:t xml:space="preserve"> </w:t>
      </w:r>
      <w:r>
        <w:rPr>
          <w:rFonts w:hint="eastAsia" w:ascii="仿宋" w:hAnsi="仿宋" w:eastAsia="仿宋" w:cs="仿宋_GB2312"/>
          <w:sz w:val="24"/>
          <w:highlight w:val="none"/>
        </w:rPr>
        <w:t>为项目执行负责人（联系方式：</w:t>
      </w:r>
      <w:r>
        <w:rPr>
          <w:rFonts w:ascii="仿宋" w:hAnsi="仿宋" w:eastAsia="仿宋" w:cs="仿宋_GB2312"/>
          <w:sz w:val="24"/>
          <w:highlight w:val="none"/>
          <w:u w:val="single"/>
        </w:rPr>
        <w:t xml:space="preserve">      </w:t>
      </w:r>
      <w:r>
        <w:rPr>
          <w:rFonts w:hint="eastAsia" w:ascii="仿宋" w:hAnsi="仿宋" w:eastAsia="仿宋" w:cs="仿宋_GB2312"/>
          <w:sz w:val="24"/>
          <w:highlight w:val="none"/>
        </w:rPr>
        <w:t>），项目人员</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不含负责人</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不得少于</w:t>
      </w:r>
      <w:r>
        <w:rPr>
          <w:rFonts w:ascii="仿宋" w:hAnsi="仿宋" w:eastAsia="仿宋" w:cs="仿宋_GB2312"/>
          <w:sz w:val="24"/>
          <w:highlight w:val="none"/>
        </w:rPr>
        <w:t xml:space="preserve">   </w:t>
      </w:r>
      <w:r>
        <w:rPr>
          <w:rFonts w:hint="eastAsia" w:ascii="仿宋" w:hAnsi="仿宋" w:eastAsia="仿宋" w:cs="仿宋_GB2312"/>
          <w:sz w:val="24"/>
          <w:highlight w:val="none"/>
        </w:rPr>
        <w:t>人；未经甲方书面同意，乙方不得随意更换团队成员。</w:t>
      </w:r>
    </w:p>
    <w:p w14:paraId="43E218ED">
      <w:pPr>
        <w:spacing w:line="400" w:lineRule="exact"/>
        <w:ind w:firstLine="480" w:firstLineChars="200"/>
        <w:rPr>
          <w:rFonts w:hint="eastAsia" w:ascii="仿宋" w:hAnsi="仿宋" w:eastAsia="仿宋" w:cs="仿宋_GB2312"/>
          <w:b/>
          <w:bCs/>
          <w:sz w:val="24"/>
          <w:highlight w:val="none"/>
        </w:rPr>
      </w:pPr>
      <w:r>
        <w:rPr>
          <w:rFonts w:hint="eastAsia" w:ascii="仿宋" w:hAnsi="仿宋" w:eastAsia="仿宋" w:cs="仿宋_GB2312"/>
          <w:sz w:val="24"/>
          <w:highlight w:val="none"/>
        </w:rPr>
        <w:t>2.乙方指派的团队成员资质和能力必须与投标文件中的服务承诺书和服务组织实施方案一致。如甲方对团队成员有异议或要求，乙方保证无条件配合甲方更换团队成员，且更换后人员的资质和能力符合甲方的要求。</w:t>
      </w:r>
    </w:p>
    <w:p w14:paraId="5A5F81EB">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w:t>
      </w:r>
      <w:r>
        <w:rPr>
          <w:rFonts w:hint="eastAsia" w:ascii="仿宋" w:hAnsi="仿宋" w:eastAsia="仿宋" w:cs="仿宋_GB2312"/>
          <w:b/>
          <w:bCs/>
          <w:sz w:val="24"/>
          <w:highlight w:val="none"/>
          <w:lang w:val="en-US" w:eastAsia="zh-CN"/>
        </w:rPr>
        <w:t>八</w:t>
      </w:r>
      <w:r>
        <w:rPr>
          <w:rFonts w:hint="eastAsia" w:ascii="仿宋" w:hAnsi="仿宋" w:eastAsia="仿宋" w:cs="仿宋_GB2312"/>
          <w:b/>
          <w:bCs/>
          <w:sz w:val="24"/>
          <w:highlight w:val="none"/>
        </w:rPr>
        <w:t>条  服务资料归属</w:t>
      </w:r>
    </w:p>
    <w:p w14:paraId="712E9F43">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1.所有提交给甲方的服务文件及相关的资料的最后文本，包括为履行服务范围所编制的</w:t>
      </w:r>
      <w:r>
        <w:rPr>
          <w:rFonts w:hint="eastAsia" w:ascii="仿宋" w:hAnsi="仿宋" w:eastAsia="仿宋" w:cs="仿宋_GB2312"/>
          <w:sz w:val="24"/>
          <w:highlight w:val="none"/>
          <w:lang w:val="en-US" w:eastAsia="zh-CN"/>
        </w:rPr>
        <w:t>设计稿</w:t>
      </w:r>
      <w:r>
        <w:rPr>
          <w:rFonts w:hint="eastAsia" w:ascii="仿宋" w:hAnsi="仿宋" w:eastAsia="仿宋" w:cs="仿宋_GB2312"/>
          <w:sz w:val="24"/>
          <w:highlight w:val="none"/>
        </w:rPr>
        <w:t>、</w:t>
      </w:r>
      <w:r>
        <w:rPr>
          <w:rFonts w:hint="eastAsia" w:ascii="仿宋" w:hAnsi="仿宋" w:eastAsia="仿宋" w:cs="仿宋_GB2312"/>
          <w:sz w:val="24"/>
          <w:highlight w:val="none"/>
          <w:lang w:val="en-US" w:eastAsia="zh-CN"/>
        </w:rPr>
        <w:t>方案</w:t>
      </w:r>
      <w:r>
        <w:rPr>
          <w:rFonts w:hint="eastAsia" w:ascii="仿宋" w:hAnsi="仿宋" w:eastAsia="仿宋" w:cs="仿宋_GB2312"/>
          <w:sz w:val="24"/>
          <w:highlight w:val="none"/>
        </w:rPr>
        <w:t>资料等，都属于甲方的财产，乙方在提交给甲方之前应将上述资料进行整理归类和编制索引。</w:t>
      </w:r>
    </w:p>
    <w:p w14:paraId="73386A4A">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2.乙方未经甲方的书面同意，不得将上述资料用于与本咨询服务项目之外的任何项目。</w:t>
      </w:r>
    </w:p>
    <w:p w14:paraId="76F40368">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3.合同履行完毕，未经甲方的书面同意，乙方不得保存在履行合同过程中所获得或接触到的任何内部数据资料。</w:t>
      </w:r>
    </w:p>
    <w:p w14:paraId="0D209965">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w:t>
      </w:r>
      <w:r>
        <w:rPr>
          <w:rFonts w:hint="eastAsia" w:ascii="仿宋" w:hAnsi="仿宋" w:eastAsia="仿宋" w:cs="仿宋_GB2312"/>
          <w:b/>
          <w:bCs/>
          <w:sz w:val="24"/>
          <w:highlight w:val="none"/>
          <w:lang w:val="en-US" w:eastAsia="zh-CN"/>
        </w:rPr>
        <w:t>九</w:t>
      </w:r>
      <w:r>
        <w:rPr>
          <w:rFonts w:hint="eastAsia" w:ascii="仿宋" w:hAnsi="仿宋" w:eastAsia="仿宋" w:cs="仿宋_GB2312"/>
          <w:b/>
          <w:bCs/>
          <w:sz w:val="24"/>
          <w:highlight w:val="none"/>
        </w:rPr>
        <w:t>条 保证与承诺</w:t>
      </w:r>
    </w:p>
    <w:p w14:paraId="4AC9E5A1">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1.乙方保证所提供的产品/服务/成果不侵犯任何第三方的知识产权或其他合法权益。</w:t>
      </w:r>
    </w:p>
    <w:p w14:paraId="4CFB896B">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2.甲乙双方保证对在本次合作中知悉对方的商业秘密履行保密义务，在与本协议无关的工作中，不泄露、不以任何原因任意使用相关的合同、数据、资料与信息等。</w:t>
      </w:r>
    </w:p>
    <w:p w14:paraId="53E8BCF5">
      <w:pPr>
        <w:spacing w:line="400" w:lineRule="exact"/>
        <w:ind w:firstLine="480" w:firstLineChars="200"/>
        <w:rPr>
          <w:rFonts w:hint="eastAsia" w:ascii="仿宋" w:hAnsi="仿宋" w:eastAsia="仿宋" w:cs="仿宋_GB2312"/>
          <w:sz w:val="24"/>
          <w:highlight w:val="none"/>
        </w:rPr>
      </w:pPr>
      <w:r>
        <w:rPr>
          <w:rFonts w:ascii="仿宋" w:hAnsi="仿宋" w:eastAsia="仿宋" w:cs="仿宋_GB2312"/>
          <w:sz w:val="24"/>
          <w:highlight w:val="none"/>
        </w:rPr>
        <w:t>3</w:t>
      </w:r>
      <w:r>
        <w:rPr>
          <w:rFonts w:hint="eastAsia" w:ascii="仿宋" w:hAnsi="仿宋" w:eastAsia="仿宋" w:cs="仿宋_GB2312"/>
          <w:sz w:val="24"/>
          <w:highlight w:val="none"/>
        </w:rPr>
        <w:t>.保密义务应同样适用于甲乙双方的员工、辅助人员和三方合作者。本条款的效力长期有效，不因合同履行完毕、终止而失效。如因司法机关或政府部门要求，甲方上级检查及同级单位学习而对外披露商业秘密的，不视为违反保密义务。</w:t>
      </w:r>
    </w:p>
    <w:p w14:paraId="0AAFAC61">
      <w:pPr>
        <w:spacing w:line="400" w:lineRule="exact"/>
        <w:ind w:firstLine="480" w:firstLineChars="200"/>
        <w:rPr>
          <w:rFonts w:hint="eastAsia" w:ascii="仿宋" w:hAnsi="仿宋" w:eastAsia="仿宋" w:cs="仿宋_GB2312"/>
          <w:sz w:val="24"/>
          <w:highlight w:val="none"/>
        </w:rPr>
      </w:pPr>
      <w:r>
        <w:rPr>
          <w:rFonts w:ascii="仿宋" w:hAnsi="仿宋" w:eastAsia="仿宋" w:cs="仿宋_GB2312"/>
          <w:sz w:val="24"/>
          <w:highlight w:val="none"/>
        </w:rPr>
        <w:t>4</w:t>
      </w:r>
      <w:r>
        <w:rPr>
          <w:rFonts w:hint="eastAsia" w:ascii="仿宋" w:hAnsi="仿宋" w:eastAsia="仿宋" w:cs="仿宋_GB2312"/>
          <w:sz w:val="24"/>
          <w:highlight w:val="none"/>
        </w:rPr>
        <w:t>.合同履行期间，乙方应主动维护甲方的名誉与利益，不作出任何损害甲方名誉与利益的行为。</w:t>
      </w:r>
    </w:p>
    <w:p w14:paraId="567C420A">
      <w:pPr>
        <w:spacing w:line="400" w:lineRule="exact"/>
        <w:ind w:firstLine="480" w:firstLineChars="200"/>
        <w:rPr>
          <w:rFonts w:hint="eastAsia" w:ascii="仿宋" w:hAnsi="仿宋" w:eastAsia="仿宋" w:cs="仿宋_GB2312"/>
          <w:sz w:val="24"/>
          <w:highlight w:val="none"/>
        </w:rPr>
      </w:pPr>
      <w:r>
        <w:rPr>
          <w:rFonts w:ascii="仿宋" w:hAnsi="仿宋" w:eastAsia="仿宋" w:cs="仿宋_GB2312"/>
          <w:sz w:val="24"/>
          <w:highlight w:val="none"/>
        </w:rPr>
        <w:t>5</w:t>
      </w:r>
      <w:r>
        <w:rPr>
          <w:rFonts w:hint="eastAsia" w:ascii="仿宋" w:hAnsi="仿宋" w:eastAsia="仿宋" w:cs="仿宋_GB2312"/>
          <w:sz w:val="24"/>
          <w:highlight w:val="none"/>
        </w:rPr>
        <w:t>.未经甲方事先书面同意，乙方不得使用甲方名义等对外进行宣传。</w:t>
      </w:r>
    </w:p>
    <w:p w14:paraId="45C3AFF7">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第十条  免责条款</w:t>
      </w:r>
    </w:p>
    <w:p w14:paraId="128214A4">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若甲、乙双方的任何一方由于不可抗力原因造成不能及时履行或不能履行合同时，应及时向对方通报不能履行或不能及时履行的理由，在取得有关证明后，允许延期履行、部分履行或不履行合同，并根据情况，免除相应责任。</w:t>
      </w:r>
    </w:p>
    <w:p w14:paraId="0700049A">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第十</w:t>
      </w:r>
      <w:r>
        <w:rPr>
          <w:rFonts w:hint="eastAsia" w:ascii="仿宋" w:hAnsi="仿宋" w:eastAsia="仿宋" w:cs="仿宋_GB2312"/>
          <w:b/>
          <w:bCs/>
          <w:sz w:val="24"/>
          <w:highlight w:val="none"/>
          <w:lang w:val="en-US" w:eastAsia="zh-CN"/>
        </w:rPr>
        <w:t>一</w:t>
      </w:r>
      <w:r>
        <w:rPr>
          <w:rFonts w:hint="eastAsia" w:ascii="仿宋" w:hAnsi="仿宋" w:eastAsia="仿宋" w:cs="仿宋_GB2312"/>
          <w:b/>
          <w:bCs/>
          <w:sz w:val="24"/>
          <w:highlight w:val="none"/>
        </w:rPr>
        <w:t>条  违约责任</w:t>
      </w:r>
    </w:p>
    <w:p w14:paraId="6C23462A">
      <w:pPr>
        <w:spacing w:line="400" w:lineRule="exact"/>
        <w:ind w:firstLine="480" w:firstLineChars="200"/>
        <w:rPr>
          <w:rFonts w:hint="eastAsia" w:ascii="仿宋" w:hAnsi="仿宋" w:eastAsia="仿宋" w:cs="仿宋_GB2312"/>
          <w:sz w:val="24"/>
          <w:highlight w:val="none"/>
        </w:rPr>
      </w:pPr>
      <w:bookmarkStart w:id="6" w:name="_Hlk42353112"/>
      <w:r>
        <w:rPr>
          <w:rFonts w:hint="eastAsia" w:ascii="仿宋" w:hAnsi="仿宋" w:eastAsia="仿宋" w:cs="仿宋_GB2312"/>
          <w:sz w:val="24"/>
          <w:highlight w:val="none"/>
        </w:rPr>
        <w:t>1.双方均应忠实履行合同约定的各项内容，任何一方违反本合同，均应承担违约责任。双方约定如一方违反合同约定，则违约方应向守约方支付违约金，违约金的金额为合同总价款的</w:t>
      </w:r>
      <w:r>
        <w:rPr>
          <w:rFonts w:hint="eastAsia" w:ascii="仿宋" w:hAnsi="仿宋" w:eastAsia="仿宋" w:cs="仿宋_GB2312"/>
          <w:sz w:val="24"/>
          <w:highlight w:val="none"/>
          <w:u w:val="single"/>
        </w:rPr>
        <w:t>（</w:t>
      </w:r>
      <w:r>
        <w:rPr>
          <w:rFonts w:hint="eastAsia" w:ascii="仿宋" w:hAnsi="仿宋" w:eastAsia="仿宋" w:cs="仿宋_GB2312"/>
          <w:sz w:val="24"/>
          <w:highlight w:val="none"/>
          <w:u w:val="single"/>
          <w:lang w:val="en-US" w:eastAsia="zh-CN"/>
        </w:rPr>
        <w:t xml:space="preserve">  </w:t>
      </w:r>
      <w:r>
        <w:rPr>
          <w:rFonts w:hint="eastAsia" w:ascii="仿宋" w:hAnsi="仿宋" w:eastAsia="仿宋" w:cs="仿宋_GB2312"/>
          <w:sz w:val="24"/>
          <w:highlight w:val="none"/>
          <w:u w:val="single"/>
        </w:rPr>
        <w:t>）</w:t>
      </w:r>
      <w:r>
        <w:rPr>
          <w:rFonts w:hint="eastAsia" w:ascii="仿宋" w:hAnsi="仿宋" w:eastAsia="仿宋" w:cs="仿宋_GB2312"/>
          <w:sz w:val="24"/>
          <w:highlight w:val="none"/>
        </w:rPr>
        <w:t>%，因一方违约给另一方造成经济损失的，违约方除应支付违约金外，还应另行根据守约方遭受损失的实际情况进行赔偿，赔偿范围包括直接损失、守约方因维权而产生的律师费、鉴定费、差旅费、诉讼费、保全费、保全担保费等合理支出。</w:t>
      </w:r>
    </w:p>
    <w:bookmarkEnd w:id="6"/>
    <w:p w14:paraId="4EBD9D11">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2.乙方未按照双方约定的时间提交服务成果的，每延迟一天，应该按照服务费用金额的</w:t>
      </w:r>
      <w:r>
        <w:rPr>
          <w:rFonts w:hint="eastAsia" w:ascii="仿宋" w:hAnsi="仿宋" w:eastAsia="仿宋" w:cs="仿宋_GB2312"/>
          <w:sz w:val="24"/>
          <w:highlight w:val="none"/>
          <w:u w:val="single"/>
        </w:rPr>
        <w:t>1</w:t>
      </w:r>
      <w:r>
        <w:rPr>
          <w:rFonts w:hint="eastAsia" w:ascii="仿宋" w:hAnsi="仿宋" w:eastAsia="仿宋" w:cs="仿宋_GB2312"/>
          <w:sz w:val="24"/>
          <w:highlight w:val="none"/>
        </w:rPr>
        <w:t>‰向甲方支付违约金。</w:t>
      </w:r>
    </w:p>
    <w:p w14:paraId="49915A0F">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3.发生以下情形之一，甲方有权单方解除本合同，乙方应向甲方退回已支付的全部款项，且甲方有权要求乙方按照服务费总金额的</w:t>
      </w:r>
      <w:r>
        <w:rPr>
          <w:rFonts w:hint="eastAsia" w:ascii="仿宋" w:hAnsi="仿宋" w:eastAsia="仿宋" w:cs="仿宋_GB2312"/>
          <w:sz w:val="24"/>
          <w:highlight w:val="none"/>
          <w:u w:val="single"/>
          <w:lang w:val="en-US" w:eastAsia="zh-CN"/>
        </w:rPr>
        <w:t xml:space="preserve">    </w:t>
      </w:r>
      <w:r>
        <w:rPr>
          <w:rFonts w:hint="eastAsia" w:ascii="仿宋" w:hAnsi="仿宋" w:eastAsia="仿宋" w:cs="仿宋_GB2312"/>
          <w:sz w:val="24"/>
          <w:highlight w:val="none"/>
        </w:rPr>
        <w:t>%支付违约金：</w:t>
      </w:r>
    </w:p>
    <w:p w14:paraId="6F767BDC">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（1）乙方延迟提交服务成果超过</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rPr>
        <w:t>天；</w:t>
      </w:r>
    </w:p>
    <w:p w14:paraId="6444DB6B">
      <w:pPr>
        <w:spacing w:line="40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（2）未经甲方书面同意，乙方将本合同项下部分或全部工作委托给第三方承担的；</w:t>
      </w:r>
    </w:p>
    <w:p w14:paraId="0CC5EAA2">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（3）乙方提交的服务成果未能通过甲方验收，乙方拒绝整改或经二次整改后仍未能通过甲方验收的。</w:t>
      </w:r>
    </w:p>
    <w:p w14:paraId="485DE699">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4.如乙方原因导致提供的服务成果存在侵犯第三方知识产权或其他合法权益的情形，乙方除了承担全部赔偿责任之外，还应按照合同总金额</w:t>
      </w:r>
      <w:r>
        <w:rPr>
          <w:rFonts w:hint="eastAsia" w:ascii="仿宋" w:hAnsi="仿宋" w:eastAsia="仿宋" w:cs="仿宋_GB2312"/>
          <w:sz w:val="24"/>
          <w:highlight w:val="none"/>
          <w:u w:val="single"/>
          <w:lang w:val="en-US" w:eastAsia="zh-CN"/>
        </w:rPr>
        <w:t xml:space="preserve">   </w:t>
      </w:r>
      <w:r>
        <w:rPr>
          <w:rFonts w:hint="eastAsia" w:ascii="仿宋" w:hAnsi="仿宋" w:eastAsia="仿宋" w:cs="仿宋_GB2312"/>
          <w:sz w:val="24"/>
          <w:highlight w:val="none"/>
        </w:rPr>
        <w:t>%向甲方支付违约金。</w:t>
      </w:r>
    </w:p>
    <w:p w14:paraId="046A275A">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5.若</w:t>
      </w:r>
      <w:r>
        <w:rPr>
          <w:rFonts w:hint="eastAsia" w:ascii="仿宋" w:hAnsi="仿宋" w:eastAsia="仿宋" w:cs="仿宋_GB2312"/>
          <w:sz w:val="24"/>
          <w:highlight w:val="none"/>
          <w:lang w:val="en-US" w:eastAsia="zh-CN"/>
        </w:rPr>
        <w:t>乙方</w:t>
      </w:r>
      <w:r>
        <w:rPr>
          <w:rFonts w:hint="eastAsia" w:ascii="仿宋" w:hAnsi="仿宋" w:eastAsia="仿宋" w:cs="仿宋_GB2312"/>
          <w:sz w:val="24"/>
          <w:highlight w:val="none"/>
        </w:rPr>
        <w:t>擅自变更、替换或使用不合格物料，甲方有权要求其返工整改，并按合同总价款的【5】%向甲方支付违约金，因此造成的全部费用及损失（包括但不限于场地方索赔、活动延误损失等）由</w:t>
      </w:r>
      <w:r>
        <w:rPr>
          <w:rFonts w:hint="eastAsia" w:ascii="仿宋" w:hAnsi="仿宋" w:eastAsia="仿宋" w:cs="仿宋_GB2312"/>
          <w:sz w:val="24"/>
          <w:highlight w:val="none"/>
          <w:lang w:val="en-US" w:eastAsia="zh-CN"/>
        </w:rPr>
        <w:t>乙方</w:t>
      </w:r>
      <w:r>
        <w:rPr>
          <w:rFonts w:hint="eastAsia" w:ascii="仿宋" w:hAnsi="仿宋" w:eastAsia="仿宋" w:cs="仿宋_GB2312"/>
          <w:sz w:val="24"/>
          <w:highlight w:val="none"/>
        </w:rPr>
        <w:t>承担。</w:t>
      </w:r>
    </w:p>
    <w:p w14:paraId="300AA965">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6.</w:t>
      </w:r>
      <w:r>
        <w:rPr>
          <w:rFonts w:hint="eastAsia" w:ascii="仿宋" w:hAnsi="仿宋" w:eastAsia="仿宋" w:cs="仿宋_GB2312"/>
          <w:sz w:val="24"/>
          <w:highlight w:val="none"/>
        </w:rPr>
        <w:t>甲方有权自应支付给乙方的服务费用中直接扣除各种索赔款项，包括但不限于赔偿款、违约金、律师费、诉讼费、鉴定费等。</w:t>
      </w:r>
    </w:p>
    <w:p w14:paraId="174A3BFA">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第十</w:t>
      </w:r>
      <w:r>
        <w:rPr>
          <w:rFonts w:hint="eastAsia" w:ascii="仿宋" w:hAnsi="仿宋" w:eastAsia="仿宋" w:cs="仿宋_GB2312"/>
          <w:b/>
          <w:bCs/>
          <w:sz w:val="24"/>
          <w:highlight w:val="none"/>
          <w:lang w:val="en-US" w:eastAsia="zh-CN"/>
        </w:rPr>
        <w:t>二</w:t>
      </w:r>
      <w:r>
        <w:rPr>
          <w:rFonts w:hint="eastAsia" w:ascii="仿宋" w:hAnsi="仿宋" w:eastAsia="仿宋" w:cs="仿宋_GB2312"/>
          <w:b/>
          <w:bCs/>
          <w:sz w:val="24"/>
          <w:highlight w:val="none"/>
        </w:rPr>
        <w:t>条  争议解决</w:t>
      </w:r>
    </w:p>
    <w:p w14:paraId="24D6E59B">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rPr>
        <w:t>因项目质量问题发生争议的，应邀请国家认可的质量检测机构对货物质量进行鉴定。货物符合标准的，鉴定费由甲方承担；货物不符合标准的，鉴定费由乙方承担。</w:t>
      </w:r>
    </w:p>
    <w:p w14:paraId="6E2F873B">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rPr>
        <w:t>因履行本合同引起的或与本合同有关的争议，甲乙双方应首先通过友好协商解决。如果协商不能解决，向甲方所在地人民法院提起诉讼。</w:t>
      </w:r>
    </w:p>
    <w:p w14:paraId="033B1D5A">
      <w:pPr>
        <w:spacing w:line="400" w:lineRule="exact"/>
        <w:ind w:firstLine="480" w:firstLineChars="200"/>
        <w:rPr>
          <w:rFonts w:hint="eastAsia" w:ascii="仿宋" w:hAnsi="仿宋" w:eastAsia="仿宋" w:cs="仿宋_GB2312"/>
          <w:sz w:val="24"/>
          <w:highlight w:val="none"/>
          <w:lang w:val="en-US" w:eastAsia="zh-CN"/>
        </w:rPr>
      </w:pP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rPr>
        <w:t>在诉讼期间，除正在进行诉讼的部分外，合同的其他部分应继续执行。</w:t>
      </w:r>
    </w:p>
    <w:p w14:paraId="4F22D6C6">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第十</w:t>
      </w:r>
      <w:r>
        <w:rPr>
          <w:rFonts w:hint="eastAsia" w:ascii="仿宋" w:hAnsi="仿宋" w:eastAsia="仿宋" w:cs="仿宋_GB2312"/>
          <w:b/>
          <w:bCs/>
          <w:sz w:val="24"/>
          <w:highlight w:val="none"/>
          <w:lang w:val="en-US" w:eastAsia="zh-CN"/>
        </w:rPr>
        <w:t>三</w:t>
      </w:r>
      <w:r>
        <w:rPr>
          <w:rFonts w:hint="eastAsia" w:ascii="仿宋" w:hAnsi="仿宋" w:eastAsia="仿宋" w:cs="仿宋_GB2312"/>
          <w:b/>
          <w:bCs/>
          <w:sz w:val="24"/>
          <w:highlight w:val="none"/>
        </w:rPr>
        <w:t>条  本合同附件</w:t>
      </w:r>
    </w:p>
    <w:p w14:paraId="78D9436F">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以下附件及乙方投标时提供的投标文件和其他相关资料作为本合同的补充内容，具有同等法律效力。</w:t>
      </w:r>
    </w:p>
    <w:p w14:paraId="72DFD3BF">
      <w:pPr>
        <w:spacing w:line="40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附件1：龙岗区进一步规范政商交往行为告知书；</w:t>
      </w:r>
    </w:p>
    <w:p w14:paraId="637417EF">
      <w:pPr>
        <w:spacing w:line="40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附件</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rPr>
        <w:t>：</w:t>
      </w:r>
      <w:r>
        <w:rPr>
          <w:rFonts w:hint="eastAsia" w:ascii="仿宋" w:hAnsi="仿宋" w:eastAsia="仿宋" w:cs="仿宋_GB2312"/>
          <w:sz w:val="24"/>
          <w:highlight w:val="none"/>
          <w:lang w:val="en-US" w:eastAsia="zh-CN"/>
        </w:rPr>
        <w:t>龙岗区第七人民医院廉洁购销合同</w:t>
      </w:r>
      <w:r>
        <w:rPr>
          <w:rFonts w:hint="eastAsia" w:ascii="仿宋" w:hAnsi="仿宋" w:eastAsia="仿宋" w:cs="仿宋_GB2312"/>
          <w:sz w:val="24"/>
          <w:highlight w:val="none"/>
        </w:rPr>
        <w:t>；</w:t>
      </w:r>
    </w:p>
    <w:p w14:paraId="7BB058B3">
      <w:pPr>
        <w:spacing w:line="400" w:lineRule="exact"/>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rPr>
        <w:t>附件</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rPr>
        <w:t>：安全</w:t>
      </w:r>
      <w:r>
        <w:rPr>
          <w:rFonts w:hint="eastAsia" w:ascii="仿宋" w:hAnsi="仿宋" w:eastAsia="仿宋" w:cs="仿宋_GB2312"/>
          <w:sz w:val="24"/>
          <w:highlight w:val="none"/>
          <w:lang w:val="en-US" w:eastAsia="zh-CN"/>
        </w:rPr>
        <w:t>生产责任承诺书</w:t>
      </w:r>
      <w:r>
        <w:rPr>
          <w:rFonts w:hint="eastAsia" w:ascii="仿宋" w:hAnsi="仿宋" w:eastAsia="仿宋" w:cs="仿宋_GB2312"/>
          <w:sz w:val="24"/>
          <w:highlight w:val="none"/>
        </w:rPr>
        <w:t>。</w:t>
      </w:r>
    </w:p>
    <w:p w14:paraId="689920F3">
      <w:pPr>
        <w:spacing w:line="400" w:lineRule="exact"/>
        <w:ind w:firstLine="482" w:firstLineChars="200"/>
        <w:rPr>
          <w:rFonts w:hint="eastAsia" w:ascii="仿宋" w:hAnsi="仿宋" w:eastAsia="仿宋" w:cs="仿宋_GB2312"/>
          <w:b/>
          <w:bCs/>
          <w:sz w:val="24"/>
          <w:highlight w:val="none"/>
        </w:rPr>
      </w:pPr>
      <w:r>
        <w:rPr>
          <w:rFonts w:hint="eastAsia" w:ascii="仿宋" w:hAnsi="仿宋" w:eastAsia="仿宋" w:cs="仿宋_GB2312"/>
          <w:b/>
          <w:bCs/>
          <w:sz w:val="24"/>
          <w:highlight w:val="none"/>
        </w:rPr>
        <w:t>第十五条  合同生效及其它</w:t>
      </w:r>
    </w:p>
    <w:p w14:paraId="0419E18C">
      <w:pPr>
        <w:spacing w:line="40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在本合同中，明确约定服务执行的标准与依据，即双方应严格遵循中标文件中详尽列明的各项技术参数、性能指标及服务要求，作为本服务提供与验收的核心基准。同时，中标时所附带的承诺书，其所有承诺内容均视为本合同不可分割的组成部分，服务提供方需全面、忠实地履行承诺书中的各项义务与保证，包括但不限于服务质量、时间节点、技术支持及后续服务等关键条款。</w:t>
      </w:r>
    </w:p>
    <w:p w14:paraId="19CB75F5">
      <w:pPr>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2.合同经双方法定代表人或授权委托代表人签字并加盖单位公章或合同专用章后生效。</w:t>
      </w:r>
    </w:p>
    <w:p w14:paraId="5E967164">
      <w:pPr>
        <w:spacing w:line="40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3.其他约定条款：</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 xml:space="preserve">   </w:t>
      </w:r>
    </w:p>
    <w:p w14:paraId="218924BE">
      <w:pPr>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4.本合同未尽事宜，遵照《中华人民共和国</w:t>
      </w:r>
      <w:bookmarkStart w:id="7" w:name="_GoBack"/>
      <w:bookmarkEnd w:id="7"/>
      <w:r>
        <w:rPr>
          <w:rFonts w:hint="eastAsia" w:ascii="仿宋" w:hAnsi="仿宋" w:eastAsia="仿宋" w:cs="仿宋"/>
          <w:sz w:val="24"/>
          <w:highlight w:val="none"/>
        </w:rPr>
        <w:t>民法典》有关条文执行。</w:t>
      </w:r>
    </w:p>
    <w:p w14:paraId="0181C78A">
      <w:pPr>
        <w:spacing w:line="400" w:lineRule="exact"/>
        <w:ind w:left="210" w:leftChars="100" w:firstLine="240" w:firstLineChars="100"/>
        <w:rPr>
          <w:rFonts w:hint="eastAsia" w:ascii="仿宋" w:hAnsi="仿宋" w:eastAsia="仿宋" w:cs="Times New Roman"/>
          <w:sz w:val="24"/>
          <w:highlight w:val="none"/>
        </w:rPr>
      </w:pPr>
      <w:r>
        <w:rPr>
          <w:rFonts w:hint="eastAsia" w:ascii="仿宋" w:hAnsi="仿宋" w:eastAsia="仿宋" w:cs="仿宋"/>
          <w:sz w:val="24"/>
          <w:highlight w:val="none"/>
        </w:rPr>
        <w:t>5.本合同正本一式</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肆</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份，具有同等法律效力，甲方执</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叁</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份；乙方执</w:t>
      </w:r>
      <w:r>
        <w:rPr>
          <w:rFonts w:hint="eastAsia" w:ascii="仿宋" w:hAnsi="仿宋" w:eastAsia="仿宋" w:cs="仿宋"/>
          <w:sz w:val="24"/>
          <w:highlight w:val="none"/>
          <w:u w:val="single"/>
          <w:lang w:val="en-US" w:eastAsia="zh-CN"/>
        </w:rPr>
        <w:t>壹</w:t>
      </w:r>
      <w:r>
        <w:rPr>
          <w:rFonts w:hint="eastAsia" w:ascii="仿宋" w:hAnsi="仿宋" w:eastAsia="仿宋" w:cs="仿宋"/>
          <w:sz w:val="24"/>
          <w:highlight w:val="none"/>
        </w:rPr>
        <w:t>份。</w:t>
      </w:r>
    </w:p>
    <w:p w14:paraId="73F51171">
      <w:pPr>
        <w:spacing w:line="440" w:lineRule="exact"/>
        <w:ind w:firstLine="420"/>
        <w:rPr>
          <w:rFonts w:ascii="Times New Roman" w:hAnsi="Times New Roman" w:cs="Times New Roman"/>
          <w:szCs w:val="20"/>
          <w:highlight w:val="none"/>
        </w:rPr>
      </w:pPr>
    </w:p>
    <w:tbl>
      <w:tblPr>
        <w:tblStyle w:val="19"/>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6"/>
        <w:gridCol w:w="4397"/>
      </w:tblGrid>
      <w:tr w14:paraId="4829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846" w:type="dxa"/>
            <w:shd w:val="clear" w:color="auto" w:fill="auto"/>
            <w:noWrap/>
          </w:tcPr>
          <w:p w14:paraId="6FA9FFBA">
            <w:pPr>
              <w:spacing w:line="360" w:lineRule="auto"/>
              <w:ind w:firstLine="482"/>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甲方（盖章）：深圳市龙岗区第七人民医院</w:t>
            </w:r>
          </w:p>
        </w:tc>
        <w:tc>
          <w:tcPr>
            <w:tcW w:w="4397" w:type="dxa"/>
            <w:shd w:val="clear" w:color="auto" w:fill="auto"/>
            <w:noWrap/>
          </w:tcPr>
          <w:p w14:paraId="6B26C9E0">
            <w:pPr>
              <w:spacing w:line="360" w:lineRule="auto"/>
              <w:ind w:firstLine="482"/>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 xml:space="preserve">乙方（盖章）： </w:t>
            </w:r>
          </w:p>
        </w:tc>
      </w:tr>
      <w:tr w14:paraId="18F2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46" w:type="dxa"/>
            <w:shd w:val="clear" w:color="auto" w:fill="auto"/>
            <w:noWrap/>
          </w:tcPr>
          <w:p w14:paraId="07D8F572">
            <w:pPr>
              <w:spacing w:line="360" w:lineRule="auto"/>
              <w:ind w:firstLine="482"/>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 xml:space="preserve">地 址： </w:t>
            </w:r>
          </w:p>
        </w:tc>
        <w:tc>
          <w:tcPr>
            <w:tcW w:w="4397" w:type="dxa"/>
            <w:shd w:val="clear" w:color="auto" w:fill="auto"/>
            <w:noWrap/>
          </w:tcPr>
          <w:p w14:paraId="6C4E5371">
            <w:pPr>
              <w:spacing w:line="360" w:lineRule="auto"/>
              <w:ind w:firstLine="482"/>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 xml:space="preserve">地 址： </w:t>
            </w:r>
          </w:p>
        </w:tc>
      </w:tr>
      <w:tr w14:paraId="0E7C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46" w:type="dxa"/>
            <w:shd w:val="clear" w:color="auto" w:fill="auto"/>
            <w:noWrap/>
          </w:tcPr>
          <w:p w14:paraId="32030B19">
            <w:pPr>
              <w:spacing w:line="360" w:lineRule="auto"/>
              <w:ind w:firstLine="482"/>
              <w:rPr>
                <w:rFonts w:hint="eastAsia" w:ascii="仿宋" w:hAnsi="仿宋" w:eastAsia="仿宋" w:cs="仿宋"/>
                <w:b/>
                <w:bCs/>
                <w:kern w:val="0"/>
                <w:sz w:val="24"/>
                <w:highlight w:val="none"/>
              </w:rPr>
            </w:pPr>
            <w:r>
              <w:rPr>
                <w:rFonts w:hint="eastAsia" w:ascii="仿宋" w:hAnsi="仿宋" w:eastAsia="仿宋" w:cs="仿宋"/>
                <w:b/>
                <w:bCs/>
                <w:color w:val="000000"/>
                <w:sz w:val="24"/>
                <w:highlight w:val="none"/>
              </w:rPr>
              <w:t>电 话：</w:t>
            </w:r>
          </w:p>
        </w:tc>
        <w:tc>
          <w:tcPr>
            <w:tcW w:w="4397" w:type="dxa"/>
            <w:shd w:val="clear" w:color="auto" w:fill="auto"/>
            <w:noWrap/>
          </w:tcPr>
          <w:p w14:paraId="1733F8A6">
            <w:pPr>
              <w:spacing w:line="360" w:lineRule="auto"/>
              <w:ind w:firstLine="482"/>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电 话：</w:t>
            </w:r>
          </w:p>
        </w:tc>
      </w:tr>
      <w:tr w14:paraId="70FB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846" w:type="dxa"/>
            <w:shd w:val="clear" w:color="auto" w:fill="auto"/>
            <w:noWrap/>
          </w:tcPr>
          <w:p w14:paraId="00AA1506">
            <w:pPr>
              <w:spacing w:line="360" w:lineRule="auto"/>
              <w:ind w:firstLine="482"/>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甲方法定代表人或授权人（签字）：</w:t>
            </w:r>
          </w:p>
          <w:p w14:paraId="75E4A91B">
            <w:pPr>
              <w:ind w:firstLine="420"/>
              <w:rPr>
                <w:rFonts w:ascii="Times New Roman" w:hAnsi="Times New Roman" w:cs="Times New Roman"/>
                <w:szCs w:val="20"/>
                <w:highlight w:val="none"/>
              </w:rPr>
            </w:pPr>
          </w:p>
          <w:p w14:paraId="43955F45">
            <w:pPr>
              <w:ind w:firstLine="420"/>
              <w:rPr>
                <w:rFonts w:ascii="Times New Roman" w:hAnsi="Times New Roman" w:cs="Times New Roman"/>
                <w:szCs w:val="20"/>
                <w:highlight w:val="none"/>
              </w:rPr>
            </w:pPr>
          </w:p>
          <w:p w14:paraId="68E64A2A">
            <w:pPr>
              <w:spacing w:line="360" w:lineRule="auto"/>
              <w:ind w:firstLine="482"/>
              <w:rPr>
                <w:rFonts w:ascii="Times New Roman" w:hAnsi="Times New Roman" w:cs="Times New Roman"/>
                <w:highlight w:val="none"/>
              </w:rPr>
            </w:pPr>
            <w:r>
              <w:rPr>
                <w:rFonts w:hint="eastAsia" w:ascii="仿宋" w:hAnsi="仿宋" w:eastAsia="仿宋" w:cs="仿宋"/>
                <w:b/>
                <w:bCs/>
                <w:kern w:val="0"/>
                <w:sz w:val="24"/>
                <w:highlight w:val="none"/>
              </w:rPr>
              <w:t>分管领导、经办科室负责人（签字）：</w:t>
            </w:r>
          </w:p>
        </w:tc>
        <w:tc>
          <w:tcPr>
            <w:tcW w:w="4397" w:type="dxa"/>
            <w:shd w:val="clear" w:color="auto" w:fill="auto"/>
            <w:noWrap/>
          </w:tcPr>
          <w:p w14:paraId="07901DD5">
            <w:pPr>
              <w:spacing w:line="360" w:lineRule="auto"/>
              <w:ind w:firstLine="482"/>
              <w:rPr>
                <w:rFonts w:ascii="Times New Roman" w:hAnsi="Times New Roman" w:cs="Times New Roman"/>
                <w:highlight w:val="none"/>
              </w:rPr>
            </w:pPr>
            <w:r>
              <w:rPr>
                <w:rFonts w:hint="eastAsia" w:ascii="仿宋" w:hAnsi="仿宋" w:eastAsia="仿宋" w:cs="仿宋"/>
                <w:b/>
                <w:bCs/>
                <w:kern w:val="0"/>
                <w:sz w:val="24"/>
                <w:highlight w:val="none"/>
              </w:rPr>
              <w:t>乙方法定代表人或授权人（签字）：</w:t>
            </w:r>
          </w:p>
        </w:tc>
      </w:tr>
      <w:tr w14:paraId="3425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3" w:type="dxa"/>
            <w:gridSpan w:val="2"/>
            <w:shd w:val="clear" w:color="auto" w:fill="auto"/>
            <w:noWrap/>
            <w:vAlign w:val="center"/>
          </w:tcPr>
          <w:p w14:paraId="5019B5A3">
            <w:pPr>
              <w:spacing w:line="480" w:lineRule="exact"/>
              <w:ind w:firstLine="482"/>
              <w:jc w:val="center"/>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签约时间：    年  月  日</w:t>
            </w:r>
          </w:p>
          <w:p w14:paraId="0E146F43">
            <w:pPr>
              <w:spacing w:line="480" w:lineRule="exact"/>
              <w:ind w:firstLine="482"/>
              <w:jc w:val="center"/>
              <w:rPr>
                <w:rFonts w:hint="eastAsia" w:ascii="宋体" w:hAnsi="宋体" w:cs="Times New Roman"/>
                <w:kern w:val="0"/>
                <w:sz w:val="24"/>
                <w:highlight w:val="none"/>
              </w:rPr>
            </w:pPr>
            <w:r>
              <w:rPr>
                <w:rFonts w:hint="eastAsia" w:ascii="仿宋" w:hAnsi="仿宋" w:eastAsia="仿宋" w:cs="仿宋"/>
                <w:b/>
                <w:bCs/>
                <w:color w:val="000000"/>
                <w:sz w:val="24"/>
                <w:highlight w:val="none"/>
              </w:rPr>
              <w:t>签约地址：深圳市龙岗区第七人民医院</w:t>
            </w:r>
          </w:p>
        </w:tc>
      </w:tr>
    </w:tbl>
    <w:p w14:paraId="3A412A95">
      <w:pPr>
        <w:spacing w:line="400" w:lineRule="exact"/>
        <w:ind w:firstLine="643"/>
        <w:rPr>
          <w:rFonts w:ascii="Verdana" w:hAnsi="Verdana" w:eastAsia="仿宋_GB2312" w:cs="Times New Roman"/>
          <w:b/>
          <w:bCs/>
          <w:kern w:val="0"/>
          <w:sz w:val="24"/>
          <w:highlight w:val="none"/>
        </w:rPr>
      </w:pPr>
      <w:r>
        <w:rPr>
          <w:rFonts w:hint="eastAsia" w:ascii="仿宋" w:hAnsi="仿宋" w:eastAsia="仿宋" w:cs="仿宋_GB2312"/>
          <w:b/>
          <w:bCs/>
          <w:sz w:val="32"/>
          <w:szCs w:val="32"/>
          <w:highlight w:val="none"/>
        </w:rPr>
        <w:br w:type="page"/>
      </w:r>
    </w:p>
    <w:p w14:paraId="1DDB425B">
      <w:pPr>
        <w:widowControl/>
        <w:spacing w:line="520" w:lineRule="exact"/>
        <w:ind w:firstLine="320" w:firstLineChars="100"/>
        <w:rPr>
          <w:rFonts w:hint="eastAsia" w:ascii="黑体" w:hAnsi="黑体" w:eastAsia="黑体" w:cs="黑体"/>
          <w:b w:val="0"/>
          <w:bCs/>
          <w:color w:val="000000"/>
          <w:kern w:val="0"/>
          <w:sz w:val="32"/>
          <w:szCs w:val="32"/>
          <w:highlight w:val="none"/>
          <w:lang w:val="en-US" w:eastAsia="zh-CN"/>
        </w:rPr>
      </w:pPr>
      <w:r>
        <w:rPr>
          <w:rFonts w:hint="eastAsia" w:ascii="黑体" w:hAnsi="黑体" w:eastAsia="黑体" w:cs="黑体"/>
          <w:b w:val="0"/>
          <w:bCs/>
          <w:color w:val="000000"/>
          <w:kern w:val="0"/>
          <w:sz w:val="32"/>
          <w:szCs w:val="32"/>
          <w:highlight w:val="none"/>
          <w:lang w:val="en-US" w:eastAsia="zh-CN"/>
        </w:rPr>
        <w:t>附件1</w:t>
      </w:r>
    </w:p>
    <w:p w14:paraId="7E9FC56A">
      <w:pPr>
        <w:widowControl/>
        <w:spacing w:line="520" w:lineRule="exact"/>
        <w:ind w:firstLine="442" w:firstLineChars="100"/>
        <w:rPr>
          <w:rFonts w:cs="方正小标宋简体" w:asciiTheme="minorEastAsia" w:hAnsiTheme="minorEastAsia" w:eastAsiaTheme="minorEastAsia"/>
          <w:b/>
          <w:color w:val="000000"/>
          <w:kern w:val="0"/>
          <w:sz w:val="44"/>
          <w:szCs w:val="44"/>
          <w:highlight w:val="none"/>
        </w:rPr>
      </w:pPr>
      <w:r>
        <w:rPr>
          <w:rFonts w:hint="eastAsia" w:cs="方正小标宋简体" w:asciiTheme="minorEastAsia" w:hAnsiTheme="minorEastAsia" w:eastAsiaTheme="minorEastAsia"/>
          <w:b/>
          <w:color w:val="000000"/>
          <w:kern w:val="0"/>
          <w:sz w:val="44"/>
          <w:szCs w:val="44"/>
          <w:highlight w:val="none"/>
        </w:rPr>
        <w:t>龙岗区进一步规范政商交往行为告知书</w:t>
      </w:r>
    </w:p>
    <w:p w14:paraId="7FF3F7A0">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为深入构建</w:t>
      </w:r>
      <w:r>
        <w:rPr>
          <w:rFonts w:hint="eastAsia" w:ascii="仿宋" w:hAnsi="仿宋" w:eastAsia="仿宋" w:cs="仿宋_GB2312"/>
          <w:color w:val="000000"/>
          <w:kern w:val="0"/>
          <w:sz w:val="30"/>
          <w:szCs w:val="30"/>
          <w:highlight w:val="none"/>
          <w:lang w:eastAsia="zh-CN"/>
        </w:rPr>
        <w:t>“</w:t>
      </w:r>
      <w:r>
        <w:rPr>
          <w:rFonts w:hint="eastAsia" w:ascii="仿宋" w:hAnsi="仿宋" w:eastAsia="仿宋" w:cs="仿宋_GB2312"/>
          <w:color w:val="000000"/>
          <w:kern w:val="0"/>
          <w:sz w:val="30"/>
          <w:szCs w:val="30"/>
          <w:highlight w:val="none"/>
        </w:rPr>
        <w:t>亲</w:t>
      </w:r>
      <w:r>
        <w:rPr>
          <w:rFonts w:hint="eastAsia" w:ascii="仿宋" w:hAnsi="仿宋" w:eastAsia="仿宋" w:cs="仿宋_GB2312"/>
          <w:color w:val="000000"/>
          <w:kern w:val="0"/>
          <w:sz w:val="30"/>
          <w:szCs w:val="30"/>
          <w:highlight w:val="none"/>
          <w:lang w:eastAsia="zh-CN"/>
        </w:rPr>
        <w:t>”“</w:t>
      </w:r>
      <w:r>
        <w:rPr>
          <w:rFonts w:hint="eastAsia" w:ascii="仿宋" w:hAnsi="仿宋" w:eastAsia="仿宋" w:cs="仿宋_GB2312"/>
          <w:color w:val="000000"/>
          <w:kern w:val="0"/>
          <w:sz w:val="30"/>
          <w:szCs w:val="30"/>
          <w:highlight w:val="none"/>
        </w:rPr>
        <w:t>清</w:t>
      </w:r>
      <w:r>
        <w:rPr>
          <w:rFonts w:hint="eastAsia" w:ascii="仿宋" w:hAnsi="仿宋" w:eastAsia="仿宋" w:cs="仿宋_GB2312"/>
          <w:color w:val="000000"/>
          <w:kern w:val="0"/>
          <w:sz w:val="30"/>
          <w:szCs w:val="30"/>
          <w:highlight w:val="none"/>
          <w:lang w:eastAsia="zh-CN"/>
        </w:rPr>
        <w:t>”</w:t>
      </w:r>
      <w:r>
        <w:rPr>
          <w:rFonts w:hint="eastAsia" w:ascii="仿宋" w:hAnsi="仿宋" w:eastAsia="仿宋" w:cs="仿宋_GB2312"/>
          <w:color w:val="000000"/>
          <w:kern w:val="0"/>
          <w:sz w:val="30"/>
          <w:szCs w:val="30"/>
          <w:highlight w:val="none"/>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78195470">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一、不得向公职人员赠送礼品、礼金、消费卡等财物。</w:t>
      </w:r>
    </w:p>
    <w:p w14:paraId="618B6CB4">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二、不得违规向公职人员提供宴请、旅游、娱乐等安排。</w:t>
      </w:r>
    </w:p>
    <w:p w14:paraId="0BE67DDE">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三、不得通过打麻将等形式向公职人员输送利益。</w:t>
      </w:r>
    </w:p>
    <w:p w14:paraId="6C6DFDD9">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四、不得为公职人员报销应由其个人支付的费用。</w:t>
      </w:r>
    </w:p>
    <w:p w14:paraId="31785052">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五、不得违规向公职人员及其亲友借贷款。</w:t>
      </w:r>
    </w:p>
    <w:p w14:paraId="25F0145F">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六、不得违规将车辆、住房等借给公职人员使用。</w:t>
      </w:r>
    </w:p>
    <w:p w14:paraId="03B37E78">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七、不得在招投标中与公职人员搞暗箱操作、围标串标。</w:t>
      </w:r>
    </w:p>
    <w:p w14:paraId="4F96BC22">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八、不得为利益相关人和公职人员牵线搭桥或者代为传递信息、传递财物。</w:t>
      </w:r>
    </w:p>
    <w:p w14:paraId="49CF279C">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九、不得让公职人员在企业违规兼职取酬。</w:t>
      </w:r>
    </w:p>
    <w:p w14:paraId="310D5524">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十、不得为公职人员亲友违规承揽业务提供便利。</w:t>
      </w:r>
    </w:p>
    <w:p w14:paraId="43541716">
      <w:pPr>
        <w:keepNext w:val="0"/>
        <w:keepLines w:val="0"/>
        <w:pageBreakBefore w:val="0"/>
        <w:kinsoku/>
        <w:wordWrap/>
        <w:overflowPunct/>
        <w:topLinePunct w:val="0"/>
        <w:autoSpaceDE/>
        <w:autoSpaceDN/>
        <w:bidi w:val="0"/>
        <w:adjustRightInd/>
        <w:snapToGrid/>
        <w:spacing w:line="480" w:lineRule="exac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16495DF0">
      <w:pPr>
        <w:keepNext w:val="0"/>
        <w:keepLines w:val="0"/>
        <w:pageBreakBefore w:val="0"/>
        <w:widowControl/>
        <w:kinsoku/>
        <w:wordWrap/>
        <w:overflowPunct/>
        <w:topLinePunct w:val="0"/>
        <w:autoSpaceDE/>
        <w:autoSpaceDN/>
        <w:bidi w:val="0"/>
        <w:adjustRightInd/>
        <w:snapToGrid/>
        <w:spacing w:line="480" w:lineRule="exact"/>
        <w:ind w:firstLine="600" w:firstLineChars="200"/>
        <w:jc w:val="left"/>
        <w:textAlignment w:val="auto"/>
        <w:rPr>
          <w:rFonts w:ascii="仿宋" w:hAnsi="仿宋" w:eastAsia="仿宋" w:cs="仿宋_GB2312"/>
          <w:color w:val="000000"/>
          <w:kern w:val="0"/>
          <w:sz w:val="30"/>
          <w:szCs w:val="30"/>
          <w:highlight w:val="none"/>
        </w:rPr>
      </w:pPr>
      <w:r>
        <w:rPr>
          <w:rFonts w:hint="eastAsia" w:ascii="仿宋" w:hAnsi="仿宋" w:eastAsia="仿宋" w:cs="仿宋_GB2312"/>
          <w:color w:val="000000"/>
          <w:kern w:val="0"/>
          <w:sz w:val="30"/>
          <w:szCs w:val="30"/>
          <w:highlight w:val="none"/>
        </w:rPr>
        <w:t>本人已知晓上述告知内容，并愿意遵照执行（签名、盖章）：</w:t>
      </w:r>
    </w:p>
    <w:p w14:paraId="2A9394D5">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仿宋_GB2312"/>
          <w:color w:val="000000"/>
          <w:kern w:val="0"/>
          <w:sz w:val="30"/>
          <w:szCs w:val="30"/>
          <w:highlight w:val="none"/>
        </w:rPr>
      </w:pPr>
    </w:p>
    <w:p w14:paraId="6689246D">
      <w:pPr>
        <w:keepNext w:val="0"/>
        <w:keepLines w:val="0"/>
        <w:pageBreakBefore w:val="0"/>
        <w:widowControl/>
        <w:kinsoku/>
        <w:wordWrap/>
        <w:overflowPunct/>
        <w:topLinePunct w:val="0"/>
        <w:autoSpaceDE/>
        <w:autoSpaceDN/>
        <w:bidi w:val="0"/>
        <w:adjustRightInd/>
        <w:snapToGrid/>
        <w:spacing w:line="480" w:lineRule="exact"/>
        <w:ind w:firstLine="5100" w:firstLineChars="1700"/>
        <w:jc w:val="left"/>
        <w:textAlignment w:val="auto"/>
        <w:rPr>
          <w:rFonts w:ascii="仿宋" w:hAnsi="仿宋" w:eastAsia="仿宋" w:cs="楷体_GB2312"/>
          <w:color w:val="000000"/>
          <w:kern w:val="0"/>
          <w:sz w:val="24"/>
          <w:szCs w:val="24"/>
          <w:highlight w:val="none"/>
        </w:rPr>
      </w:pPr>
      <w:r>
        <w:rPr>
          <w:rFonts w:hint="eastAsia" w:ascii="仿宋" w:hAnsi="仿宋" w:eastAsia="仿宋" w:cs="仿宋_GB2312"/>
          <w:color w:val="000000"/>
          <w:kern w:val="0"/>
          <w:sz w:val="30"/>
          <w:szCs w:val="30"/>
          <w:highlight w:val="none"/>
        </w:rPr>
        <w:t>20  年  月  日</w:t>
      </w:r>
    </w:p>
    <w:p w14:paraId="7C32E7EB">
      <w:pPr>
        <w:widowControl/>
        <w:jc w:val="left"/>
        <w:rPr>
          <w:rFonts w:ascii="仿宋" w:hAnsi="仿宋" w:eastAsia="仿宋" w:cs="仿宋_GB2312"/>
          <w:color w:val="000000"/>
          <w:sz w:val="24"/>
          <w:szCs w:val="24"/>
          <w:highlight w:val="none"/>
        </w:rPr>
      </w:pPr>
      <w:r>
        <w:rPr>
          <w:rFonts w:ascii="仿宋" w:hAnsi="仿宋" w:eastAsia="仿宋" w:cs="楷体_GB2312"/>
          <w:color w:val="000000"/>
          <w:kern w:val="0"/>
          <w:sz w:val="24"/>
          <w:szCs w:val="24"/>
          <w:highlight w:val="none"/>
        </w:rPr>
        <w:t>（本告知书一式</w:t>
      </w:r>
      <w:r>
        <w:rPr>
          <w:rFonts w:hint="eastAsia" w:ascii="仿宋" w:hAnsi="仿宋" w:eastAsia="仿宋" w:cs="楷体_GB2312"/>
          <w:color w:val="000000"/>
          <w:kern w:val="0"/>
          <w:sz w:val="24"/>
          <w:szCs w:val="24"/>
          <w:highlight w:val="none"/>
          <w:lang w:val="en-US" w:eastAsia="zh-CN"/>
        </w:rPr>
        <w:t>肆</w:t>
      </w:r>
      <w:r>
        <w:rPr>
          <w:rFonts w:ascii="仿宋" w:hAnsi="仿宋" w:eastAsia="仿宋" w:cs="楷体_GB2312"/>
          <w:color w:val="000000"/>
          <w:kern w:val="0"/>
          <w:sz w:val="24"/>
          <w:szCs w:val="24"/>
          <w:highlight w:val="none"/>
        </w:rPr>
        <w:t>份，</w:t>
      </w:r>
      <w:r>
        <w:rPr>
          <w:rFonts w:hint="eastAsia" w:ascii="仿宋" w:hAnsi="仿宋" w:eastAsia="仿宋" w:cs="楷体_GB2312"/>
          <w:color w:val="000000"/>
          <w:kern w:val="0"/>
          <w:sz w:val="24"/>
          <w:szCs w:val="24"/>
          <w:highlight w:val="none"/>
          <w:lang w:val="en-US" w:eastAsia="zh-CN"/>
        </w:rPr>
        <w:t>叁</w:t>
      </w:r>
      <w:r>
        <w:rPr>
          <w:rFonts w:ascii="仿宋" w:hAnsi="仿宋" w:eastAsia="仿宋" w:cs="楷体_GB2312"/>
          <w:color w:val="000000"/>
          <w:kern w:val="0"/>
          <w:sz w:val="24"/>
          <w:szCs w:val="24"/>
          <w:highlight w:val="none"/>
        </w:rPr>
        <w:t>份由被告知人保存，</w:t>
      </w:r>
      <w:r>
        <w:rPr>
          <w:rFonts w:hint="eastAsia" w:ascii="仿宋" w:hAnsi="仿宋" w:eastAsia="仿宋" w:cs="楷体_GB2312"/>
          <w:color w:val="000000"/>
          <w:kern w:val="0"/>
          <w:sz w:val="24"/>
          <w:szCs w:val="24"/>
          <w:highlight w:val="none"/>
          <w:lang w:val="en-US" w:eastAsia="zh-CN"/>
        </w:rPr>
        <w:t>壹</w:t>
      </w:r>
      <w:r>
        <w:rPr>
          <w:rFonts w:ascii="仿宋" w:hAnsi="仿宋" w:eastAsia="仿宋" w:cs="楷体_GB2312"/>
          <w:color w:val="000000"/>
          <w:kern w:val="0"/>
          <w:sz w:val="24"/>
          <w:szCs w:val="24"/>
          <w:highlight w:val="none"/>
        </w:rPr>
        <w:t>份由告知人所在单位留存。）</w:t>
      </w:r>
    </w:p>
    <w:p w14:paraId="41662AAF">
      <w:pPr>
        <w:widowControl/>
        <w:spacing w:line="520" w:lineRule="exact"/>
        <w:ind w:firstLine="320" w:firstLineChars="100"/>
        <w:rPr>
          <w:rFonts w:hint="eastAsia" w:ascii="黑体" w:hAnsi="黑体" w:eastAsia="黑体" w:cs="黑体"/>
          <w:b w:val="0"/>
          <w:bCs/>
          <w:color w:val="000000"/>
          <w:kern w:val="0"/>
          <w:sz w:val="32"/>
          <w:szCs w:val="32"/>
          <w:highlight w:val="none"/>
          <w:lang w:val="en-US" w:eastAsia="zh-CN"/>
        </w:rPr>
      </w:pPr>
      <w:r>
        <w:rPr>
          <w:rFonts w:hint="eastAsia" w:ascii="黑体" w:hAnsi="黑体" w:eastAsia="黑体" w:cs="黑体"/>
          <w:b w:val="0"/>
          <w:bCs/>
          <w:color w:val="000000"/>
          <w:kern w:val="0"/>
          <w:sz w:val="32"/>
          <w:szCs w:val="32"/>
          <w:highlight w:val="none"/>
          <w:lang w:val="en-US" w:eastAsia="zh-CN"/>
        </w:rPr>
        <w:t>附件2</w:t>
      </w:r>
    </w:p>
    <w:p w14:paraId="21D67481">
      <w:pPr>
        <w:spacing w:line="520" w:lineRule="exact"/>
        <w:jc w:val="center"/>
        <w:rPr>
          <w:rFonts w:hint="eastAsia" w:ascii="方正小标宋简体" w:hAnsi="方正小标宋简体" w:eastAsia="方正小标宋简体" w:cs="方正小标宋简体"/>
          <w:b w:val="0"/>
          <w:bCs w:val="0"/>
          <w:color w:val="000000"/>
          <w:sz w:val="44"/>
          <w:szCs w:val="44"/>
          <w:highlight w:val="none"/>
        </w:rPr>
      </w:pPr>
      <w:r>
        <w:rPr>
          <w:rFonts w:hint="eastAsia" w:ascii="方正小标宋简体" w:hAnsi="方正小标宋简体" w:eastAsia="方正小标宋简体" w:cs="方正小标宋简体"/>
          <w:b w:val="0"/>
          <w:bCs w:val="0"/>
          <w:color w:val="000000"/>
          <w:sz w:val="44"/>
          <w:szCs w:val="44"/>
          <w:highlight w:val="none"/>
        </w:rPr>
        <w:t>深圳市龙岗区第七人民医院廉洁购销合同</w:t>
      </w:r>
    </w:p>
    <w:p w14:paraId="64119B5B">
      <w:pPr>
        <w:jc w:val="center"/>
        <w:rPr>
          <w:rFonts w:hint="eastAsia" w:ascii="宋体" w:hAnsi="宋体"/>
          <w:b/>
          <w:sz w:val="24"/>
          <w:szCs w:val="24"/>
          <w:highlight w:val="none"/>
        </w:rPr>
      </w:pPr>
    </w:p>
    <w:p w14:paraId="60CA6034">
      <w:pPr>
        <w:spacing w:line="580" w:lineRule="exact"/>
        <w:rPr>
          <w:rFonts w:ascii="仿宋_GB2312" w:hAnsi="ˎ̥" w:eastAsia="仿宋_GB2312"/>
          <w:sz w:val="32"/>
          <w:szCs w:val="32"/>
          <w:highlight w:val="none"/>
        </w:rPr>
      </w:pPr>
      <w:r>
        <w:rPr>
          <w:rFonts w:hint="eastAsia" w:ascii="楷体_GB2312" w:hAnsi="ˎ̥" w:eastAsia="楷体_GB2312"/>
          <w:b/>
          <w:sz w:val="32"/>
          <w:szCs w:val="32"/>
          <w:highlight w:val="none"/>
        </w:rPr>
        <w:t>甲方</w:t>
      </w:r>
      <w:r>
        <w:rPr>
          <w:rFonts w:hint="eastAsia" w:ascii="仿宋_GB2312" w:hAnsi="ˎ̥" w:eastAsia="仿宋_GB2312"/>
          <w:sz w:val="32"/>
          <w:szCs w:val="32"/>
          <w:highlight w:val="none"/>
        </w:rPr>
        <w:t>：深圳市龙岗区第七人民医院</w:t>
      </w:r>
    </w:p>
    <w:p w14:paraId="739B49EA">
      <w:pPr>
        <w:spacing w:line="400" w:lineRule="exact"/>
        <w:rPr>
          <w:rFonts w:hint="default" w:ascii="楷体_GB2312" w:hAnsi="ˎ̥" w:eastAsia="仿宋_GB2312"/>
          <w:b/>
          <w:sz w:val="32"/>
          <w:szCs w:val="32"/>
          <w:highlight w:val="none"/>
          <w:lang w:val="en-US" w:eastAsia="zh-CN"/>
        </w:rPr>
      </w:pPr>
      <w:r>
        <w:rPr>
          <w:rFonts w:hint="eastAsia" w:ascii="楷体_GB2312" w:hAnsi="ˎ̥" w:eastAsia="楷体_GB2312"/>
          <w:b/>
          <w:sz w:val="32"/>
          <w:szCs w:val="32"/>
          <w:highlight w:val="none"/>
        </w:rPr>
        <w:t>乙方</w:t>
      </w:r>
      <w:r>
        <w:rPr>
          <w:rFonts w:hint="eastAsia" w:ascii="仿宋_GB2312" w:hAnsi="ˎ̥" w:eastAsia="仿宋_GB2312"/>
          <w:sz w:val="32"/>
          <w:szCs w:val="32"/>
          <w:highlight w:val="none"/>
        </w:rPr>
        <w:t>：</w:t>
      </w:r>
    </w:p>
    <w:p w14:paraId="6F92B189">
      <w:pPr>
        <w:spacing w:line="580" w:lineRule="exact"/>
        <w:rPr>
          <w:rFonts w:hint="eastAsia" w:ascii="仿宋_GB2312" w:hAnsi="仿宋_GB2312" w:eastAsia="仿宋_GB2312" w:cs="仿宋_GB2312"/>
          <w:color w:val="000000"/>
          <w:sz w:val="32"/>
          <w:szCs w:val="32"/>
          <w:highlight w:val="none"/>
          <w:u w:val="none"/>
        </w:rPr>
      </w:pPr>
      <w:r>
        <w:rPr>
          <w:rFonts w:hint="eastAsia" w:ascii="楷体_GB2312" w:hAnsi="ˎ̥" w:eastAsia="楷体_GB2312"/>
          <w:b/>
          <w:sz w:val="32"/>
          <w:szCs w:val="32"/>
          <w:highlight w:val="none"/>
        </w:rPr>
        <w:t>项目名称：</w:t>
      </w:r>
      <w:r>
        <w:rPr>
          <w:rFonts w:hint="eastAsia" w:ascii="仿宋_GB2312" w:hAnsi="ˎ̥" w:eastAsia="仿宋_GB2312"/>
          <w:b w:val="0"/>
          <w:sz w:val="32"/>
          <w:szCs w:val="32"/>
          <w:highlight w:val="none"/>
          <w:lang w:val="en-US" w:eastAsia="zh-CN"/>
        </w:rPr>
        <w:t>深圳市龙岗区第七人民医院</w:t>
      </w:r>
      <w:r>
        <w:rPr>
          <w:rFonts w:hint="eastAsia" w:ascii="仿宋_GB2312" w:hAnsi="ˎ̥" w:eastAsia="仿宋_GB2312"/>
          <w:sz w:val="32"/>
          <w:szCs w:val="32"/>
          <w:highlight w:val="none"/>
          <w:lang w:val="en-US" w:eastAsia="zh-CN"/>
        </w:rPr>
        <w:t>“强身心涨健识”健康促进主题活动策划服务</w:t>
      </w:r>
    </w:p>
    <w:p w14:paraId="4936B79C">
      <w:pPr>
        <w:spacing w:line="580" w:lineRule="exact"/>
        <w:rPr>
          <w:rFonts w:hint="eastAsia" w:ascii="仿宋_GB2312" w:hAnsi="ˎ̥" w:eastAsia="仿宋_GB2312"/>
          <w:sz w:val="32"/>
          <w:szCs w:val="32"/>
          <w:highlight w:val="none"/>
          <w:lang w:val="en-US" w:eastAsia="zh-CN"/>
        </w:rPr>
      </w:pPr>
      <w:r>
        <w:rPr>
          <w:rFonts w:hint="eastAsia" w:ascii="楷体_GB2312" w:hAnsi="ˎ̥" w:eastAsia="楷体_GB2312"/>
          <w:b/>
          <w:sz w:val="32"/>
          <w:szCs w:val="32"/>
          <w:highlight w:val="none"/>
        </w:rPr>
        <w:t>合同总价</w:t>
      </w:r>
      <w:r>
        <w:rPr>
          <w:rFonts w:hint="eastAsia" w:ascii="楷体_GB2312" w:hAnsi="ˎ̥" w:eastAsia="楷体_GB2312"/>
          <w:sz w:val="32"/>
          <w:szCs w:val="32"/>
          <w:highlight w:val="none"/>
        </w:rPr>
        <w:t>：</w:t>
      </w:r>
      <w:r>
        <w:rPr>
          <w:rFonts w:hint="eastAsia" w:ascii="楷体_GB2312" w:hAnsi="ˎ̥" w:eastAsia="楷体_GB2312"/>
          <w:sz w:val="32"/>
          <w:szCs w:val="32"/>
          <w:highlight w:val="none"/>
          <w:lang w:val="en-US" w:eastAsia="zh-CN"/>
        </w:rPr>
        <w:t xml:space="preserve">       </w:t>
      </w:r>
      <w:r>
        <w:rPr>
          <w:rFonts w:hint="eastAsia" w:ascii="仿宋_GB2312" w:hAnsi="ˎ̥" w:eastAsia="仿宋_GB2312"/>
          <w:sz w:val="32"/>
          <w:szCs w:val="32"/>
          <w:highlight w:val="none"/>
          <w:lang w:val="en-US" w:eastAsia="zh-CN"/>
        </w:rPr>
        <w:t>元</w:t>
      </w:r>
    </w:p>
    <w:p w14:paraId="42F9F0F7">
      <w:pPr>
        <w:spacing w:line="580" w:lineRule="exact"/>
        <w:rPr>
          <w:rFonts w:hint="eastAsia" w:ascii="楷体_GB2312" w:hAnsi="ˎ̥" w:eastAsia="楷体_GB2312"/>
          <w:b/>
          <w:sz w:val="32"/>
          <w:szCs w:val="32"/>
          <w:highlight w:val="none"/>
          <w:lang w:val="en-US" w:eastAsia="zh-CN"/>
        </w:rPr>
      </w:pPr>
      <w:r>
        <w:rPr>
          <w:rFonts w:hint="eastAsia" w:ascii="楷体_GB2312" w:hAnsi="ˎ̥" w:eastAsia="楷体_GB2312"/>
          <w:b/>
          <w:sz w:val="32"/>
          <w:szCs w:val="32"/>
          <w:highlight w:val="none"/>
        </w:rPr>
        <w:t>主办科室：</w:t>
      </w:r>
      <w:r>
        <w:rPr>
          <w:rFonts w:hint="eastAsia" w:ascii="楷体_GB2312" w:hAnsi="ˎ̥" w:eastAsia="楷体_GB2312"/>
          <w:b w:val="0"/>
          <w:bCs/>
          <w:sz w:val="32"/>
          <w:szCs w:val="32"/>
          <w:highlight w:val="none"/>
          <w:lang w:val="en-US" w:eastAsia="zh-CN"/>
        </w:rPr>
        <w:t>宣教健促科</w:t>
      </w:r>
    </w:p>
    <w:p w14:paraId="047715C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highlight w:val="none"/>
        </w:rPr>
      </w:pPr>
      <w:r>
        <w:rPr>
          <w:rFonts w:hint="eastAsia" w:ascii="仿宋_GB2312" w:hAnsi="ˎ̥" w:eastAsia="仿宋_GB2312"/>
          <w:sz w:val="32"/>
          <w:szCs w:val="32"/>
          <w:highlight w:val="none"/>
        </w:rPr>
        <w:t>为进一步加强医疗卫生行风建设，规范购销行为，有效防范商业贿赂，营造公平交易、诚实守信的购销环境，经甲、乙双方协商，同意签订本合同，并共同遵守：</w:t>
      </w:r>
    </w:p>
    <w:p w14:paraId="6BABAF1C">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highlight w:val="none"/>
        </w:rPr>
      </w:pPr>
      <w:r>
        <w:rPr>
          <w:rFonts w:hint="eastAsia" w:ascii="仿宋_GB2312" w:hAnsi="ˎ̥" w:eastAsia="仿宋_GB2312"/>
          <w:sz w:val="32"/>
          <w:szCs w:val="32"/>
          <w:highlight w:val="none"/>
        </w:rPr>
        <w:t>一、甲乙双方按照《</w:t>
      </w:r>
      <w:r>
        <w:rPr>
          <w:rFonts w:hint="eastAsia" w:ascii="仿宋_GB2312" w:hAnsi="ˎ̥" w:eastAsia="仿宋_GB2312"/>
          <w:sz w:val="32"/>
          <w:szCs w:val="32"/>
          <w:highlight w:val="none"/>
          <w:lang w:val="en-US" w:eastAsia="zh-CN"/>
        </w:rPr>
        <w:t>中华人民共和国民法典</w:t>
      </w:r>
      <w:r>
        <w:rPr>
          <w:rFonts w:hint="eastAsia" w:ascii="仿宋_GB2312" w:hAnsi="ˎ̥" w:eastAsia="仿宋_GB2312"/>
          <w:sz w:val="32"/>
          <w:szCs w:val="32"/>
          <w:highlight w:val="none"/>
        </w:rPr>
        <w:t>》及产品</w:t>
      </w:r>
      <w:r>
        <w:rPr>
          <w:rFonts w:hint="eastAsia" w:ascii="仿宋_GB2312" w:eastAsia="仿宋_GB2312"/>
          <w:sz w:val="32"/>
          <w:szCs w:val="32"/>
          <w:highlight w:val="none"/>
        </w:rPr>
        <w:t>购销合同</w:t>
      </w:r>
      <w:r>
        <w:rPr>
          <w:rFonts w:hint="eastAsia" w:ascii="仿宋_GB2312" w:hAnsi="ˎ̥" w:eastAsia="仿宋_GB2312"/>
          <w:sz w:val="32"/>
          <w:szCs w:val="32"/>
          <w:highlight w:val="none"/>
        </w:rPr>
        <w:t>约定实施购销行为。</w:t>
      </w:r>
    </w:p>
    <w:p w14:paraId="74AE70C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highlight w:val="none"/>
        </w:rPr>
      </w:pPr>
      <w:r>
        <w:rPr>
          <w:rFonts w:hint="eastAsia" w:ascii="仿宋_GB2312" w:hAnsi="ˎ̥" w:eastAsia="仿宋_GB2312"/>
          <w:sz w:val="32"/>
          <w:szCs w:val="32"/>
          <w:highlight w:val="none"/>
        </w:rPr>
        <w:t>二、甲方应当严格执行验收、入库制度，对采购产品及发票进行查验，不得违反有关规定进行合同外采购、违价采购或从非规定渠道采购。</w:t>
      </w:r>
    </w:p>
    <w:p w14:paraId="52CA9BE6">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highlight w:val="none"/>
        </w:rPr>
      </w:pPr>
      <w:r>
        <w:rPr>
          <w:rFonts w:hint="eastAsia" w:ascii="仿宋_GB2312" w:hAnsi="ˎ̥" w:eastAsia="仿宋_GB2312"/>
          <w:sz w:val="32"/>
          <w:szCs w:val="32"/>
          <w:highlight w:val="none"/>
        </w:rPr>
        <w:t>三、甲方不得接受乙方以任何名义、形式给予的利益输送，不得将接受捐赠资助与采购挂钩。甲方工作人员不得参加乙方安排并支付费用的营业性娱乐场所的娱乐活动，</w:t>
      </w:r>
      <w:r>
        <w:rPr>
          <w:rFonts w:hint="eastAsia" w:ascii="仿宋_GB2312" w:eastAsia="仿宋_GB2312"/>
          <w:sz w:val="32"/>
          <w:szCs w:val="32"/>
          <w:highlight w:val="none"/>
        </w:rPr>
        <w:t>不得以任何形式向乙方索要现金、有价证券、支付凭证和贵重礼品等</w:t>
      </w:r>
      <w:r>
        <w:rPr>
          <w:rFonts w:hint="eastAsia" w:ascii="仿宋_GB2312" w:hAnsi="ˎ̥" w:eastAsia="仿宋_GB2312"/>
          <w:sz w:val="32"/>
          <w:szCs w:val="32"/>
          <w:highlight w:val="none"/>
        </w:rPr>
        <w:t>。被迫接受乙方给予的钱物，应予退还，无法退还的，有责任如实向纪检监察部门反映情况。</w:t>
      </w:r>
    </w:p>
    <w:p w14:paraId="61963C6B">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highlight w:val="none"/>
        </w:rPr>
      </w:pPr>
      <w:r>
        <w:rPr>
          <w:rFonts w:hint="eastAsia" w:ascii="仿宋_GB2312" w:hAnsi="ˎ̥" w:eastAsia="仿宋_GB2312"/>
          <w:sz w:val="32"/>
          <w:szCs w:val="32"/>
          <w:highlight w:val="none"/>
        </w:rPr>
        <w:t>四、严禁甲方工作人员利用任何途径和方式，非法为乙方统计医师个人及临床科室有关医药产品用量信息，或为乙方统方提供便利。</w:t>
      </w:r>
    </w:p>
    <w:p w14:paraId="12DB2BD5">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hAnsi="ˎ̥" w:eastAsia="仿宋_GB2312"/>
          <w:sz w:val="32"/>
          <w:szCs w:val="32"/>
          <w:highlight w:val="none"/>
        </w:rPr>
        <w:t>乙方不得以回扣、</w:t>
      </w:r>
      <w:r>
        <w:rPr>
          <w:rFonts w:hint="eastAsia" w:ascii="仿宋_GB2312" w:eastAsia="仿宋_GB2312"/>
          <w:sz w:val="32"/>
          <w:szCs w:val="32"/>
          <w:highlight w:val="none"/>
        </w:rPr>
        <w:t>宴请等方式影响甲方工作人员采购或使用医药产品的选择权，不得在学术活动中提供旅游、超标准支付食宿费用，以及其他任何形式的利益输送。</w:t>
      </w:r>
    </w:p>
    <w:p w14:paraId="50AD0085">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ˎ̥" w:eastAsia="仿宋_GB2312"/>
          <w:sz w:val="32"/>
          <w:szCs w:val="32"/>
          <w:highlight w:val="none"/>
        </w:rPr>
      </w:pPr>
      <w:r>
        <w:rPr>
          <w:rFonts w:hint="eastAsia" w:ascii="仿宋_GB2312" w:eastAsia="仿宋_GB2312"/>
          <w:sz w:val="32"/>
          <w:szCs w:val="32"/>
          <w:highlight w:val="none"/>
        </w:rPr>
        <w:t>六、乙方指定</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作为销售代表洽谈业务。销售代表必须在工作时间到甲方指定地点联系商谈，不得到住院部、门诊部、医技科室等推销医药产品，不得借故到甲方相关领导、部门</w:t>
      </w:r>
      <w:r>
        <w:rPr>
          <w:rFonts w:hint="eastAsia" w:ascii="仿宋_GB2312" w:hAnsi="ˎ̥" w:eastAsia="仿宋_GB2312"/>
          <w:sz w:val="32"/>
          <w:szCs w:val="32"/>
          <w:highlight w:val="none"/>
        </w:rPr>
        <w:t>负责人及相关工作人员家中访谈并提供任何好处费。</w:t>
      </w:r>
    </w:p>
    <w:p w14:paraId="7CD05F45">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hAnsi="ˎ̥" w:eastAsia="仿宋_GB2312"/>
          <w:sz w:val="32"/>
          <w:szCs w:val="32"/>
          <w:highlight w:val="none"/>
        </w:rPr>
        <w:t>乙方如违反本合同，一经发现，</w:t>
      </w:r>
      <w:r>
        <w:rPr>
          <w:rFonts w:hint="eastAsia" w:ascii="仿宋_GB2312" w:eastAsia="仿宋_GB2312"/>
          <w:sz w:val="32"/>
          <w:szCs w:val="32"/>
          <w:highlight w:val="none"/>
        </w:rPr>
        <w:t>甲方有权终止产品购销合同，并向有关部门报告。如乙方被列入商业贿赂不良记录，则严格按照《国家</w:t>
      </w:r>
      <w:r>
        <w:rPr>
          <w:rFonts w:ascii="仿宋_GB2312" w:eastAsia="仿宋_GB2312"/>
          <w:sz w:val="32"/>
          <w:szCs w:val="32"/>
          <w:highlight w:val="none"/>
        </w:rPr>
        <w:t>卫生计生委关于建立医药购销领域商业贿赂不良记录的规定</w:t>
      </w:r>
      <w:r>
        <w:rPr>
          <w:rFonts w:hint="eastAsia" w:ascii="仿宋_GB2312" w:eastAsia="仿宋_GB2312"/>
          <w:sz w:val="32"/>
          <w:szCs w:val="32"/>
          <w:highlight w:val="none"/>
        </w:rPr>
        <w:t>》</w:t>
      </w:r>
      <w:r>
        <w:rPr>
          <w:rFonts w:eastAsia="仿宋_GB2312"/>
          <w:color w:val="000000"/>
          <w:sz w:val="32"/>
          <w:szCs w:val="32"/>
          <w:highlight w:val="none"/>
          <w:shd w:val="clear" w:color="auto" w:fill="FFFFFF"/>
        </w:rPr>
        <w:t>（国卫法制发〔2013〕50号）</w:t>
      </w:r>
      <w:r>
        <w:rPr>
          <w:rFonts w:hint="eastAsia" w:ascii="仿宋_GB2312" w:eastAsia="仿宋_GB2312"/>
          <w:sz w:val="32"/>
          <w:szCs w:val="32"/>
          <w:highlight w:val="none"/>
        </w:rPr>
        <w:t>相关规定处理。</w:t>
      </w:r>
    </w:p>
    <w:p w14:paraId="5A9EE259">
      <w:pPr>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eastAsia="仿宋_GB2312"/>
          <w:sz w:val="32"/>
          <w:szCs w:val="32"/>
          <w:highlight w:val="none"/>
        </w:rPr>
      </w:pPr>
      <w:r>
        <w:rPr>
          <w:rFonts w:hint="eastAsia" w:ascii="仿宋_GB2312" w:hAnsi="ˎ̥" w:eastAsia="仿宋_GB2312"/>
          <w:sz w:val="32"/>
          <w:szCs w:val="32"/>
          <w:highlight w:val="none"/>
        </w:rPr>
        <w:t>八、</w:t>
      </w:r>
      <w:r>
        <w:rPr>
          <w:rFonts w:hint="eastAsia" w:ascii="仿宋_GB2312" w:eastAsia="仿宋_GB2312"/>
          <w:sz w:val="32"/>
          <w:szCs w:val="32"/>
          <w:highlight w:val="none"/>
        </w:rPr>
        <w:t>本合同作为产品购销合同的组成部分，与购销合同一并执行，具有同等的法律效力。</w:t>
      </w:r>
    </w:p>
    <w:p w14:paraId="3F1DAD2B">
      <w:pPr>
        <w:autoSpaceDE/>
        <w:autoSpaceDN/>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九、本合同一式叁份，甲方贰份（一份随购销主合同存档，一份交医院纪检监察部门），乙方壹份，从签订之日起生效。</w:t>
      </w:r>
    </w:p>
    <w:p w14:paraId="1B820A0C">
      <w:pPr>
        <w:pStyle w:val="8"/>
        <w:rPr>
          <w:sz w:val="24"/>
          <w:szCs w:val="24"/>
          <w:highlight w:val="none"/>
        </w:rPr>
      </w:pPr>
    </w:p>
    <w:p w14:paraId="1EED983D">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highlight w:val="none"/>
        </w:rPr>
      </w:pPr>
      <w:r>
        <w:rPr>
          <w:rFonts w:hint="eastAsia" w:ascii="楷体_GB2312" w:eastAsia="楷体_GB2312"/>
          <w:b/>
          <w:sz w:val="32"/>
          <w:szCs w:val="32"/>
          <w:highlight w:val="none"/>
        </w:rPr>
        <w:t>甲方（盖章）：                  乙方（盖章）：</w:t>
      </w:r>
    </w:p>
    <w:p w14:paraId="0FAB98F7">
      <w:pPr>
        <w:keepNext w:val="0"/>
        <w:keepLines w:val="0"/>
        <w:pageBreakBefore w:val="0"/>
        <w:kinsoku/>
        <w:wordWrap/>
        <w:overflowPunct/>
        <w:topLinePunct w:val="0"/>
        <w:autoSpaceDE/>
        <w:autoSpaceDN/>
        <w:bidi w:val="0"/>
        <w:adjustRightInd/>
        <w:snapToGrid/>
        <w:spacing w:line="560" w:lineRule="exact"/>
        <w:rPr>
          <w:rFonts w:ascii="楷体_GB2312" w:eastAsia="楷体_GB2312"/>
          <w:b/>
          <w:sz w:val="32"/>
          <w:szCs w:val="32"/>
          <w:highlight w:val="none"/>
        </w:rPr>
      </w:pPr>
      <w:r>
        <w:rPr>
          <w:rFonts w:hint="eastAsia" w:ascii="楷体_GB2312" w:eastAsia="楷体_GB2312"/>
          <w:b/>
          <w:sz w:val="32"/>
          <w:szCs w:val="32"/>
          <w:highlight w:val="none"/>
        </w:rPr>
        <w:t>法定代表人（</w:t>
      </w:r>
      <w:r>
        <w:rPr>
          <w:rFonts w:ascii="楷体_GB2312" w:eastAsia="楷体_GB2312"/>
          <w:b/>
          <w:sz w:val="32"/>
          <w:szCs w:val="32"/>
          <w:highlight w:val="none"/>
        </w:rPr>
        <w:t>负责人</w:t>
      </w:r>
      <w:r>
        <w:rPr>
          <w:rFonts w:hint="eastAsia" w:ascii="楷体_GB2312" w:eastAsia="楷体_GB2312"/>
          <w:b/>
          <w:sz w:val="32"/>
          <w:szCs w:val="32"/>
          <w:highlight w:val="none"/>
        </w:rPr>
        <w:t>）：          法定代表人（</w:t>
      </w:r>
      <w:r>
        <w:rPr>
          <w:rFonts w:ascii="楷体_GB2312" w:eastAsia="楷体_GB2312"/>
          <w:b/>
          <w:sz w:val="32"/>
          <w:szCs w:val="32"/>
          <w:highlight w:val="none"/>
        </w:rPr>
        <w:t>负责人</w:t>
      </w:r>
      <w:r>
        <w:rPr>
          <w:rFonts w:hint="eastAsia" w:ascii="楷体_GB2312" w:eastAsia="楷体_GB2312"/>
          <w:b/>
          <w:sz w:val="32"/>
          <w:szCs w:val="32"/>
          <w:highlight w:val="none"/>
        </w:rPr>
        <w:t>）：</w:t>
      </w:r>
    </w:p>
    <w:p w14:paraId="5A421647">
      <w:pPr>
        <w:keepNext w:val="0"/>
        <w:keepLines w:val="0"/>
        <w:pageBreakBefore w:val="0"/>
        <w:kinsoku/>
        <w:wordWrap/>
        <w:overflowPunct/>
        <w:topLinePunct w:val="0"/>
        <w:autoSpaceDE/>
        <w:autoSpaceDN/>
        <w:bidi w:val="0"/>
        <w:adjustRightInd/>
        <w:snapToGrid/>
        <w:spacing w:line="560" w:lineRule="exact"/>
        <w:rPr>
          <w:rFonts w:hint="eastAsia"/>
          <w:highlight w:val="none"/>
        </w:rPr>
      </w:pPr>
      <w:r>
        <w:rPr>
          <w:rFonts w:hint="eastAsia" w:ascii="楷体_GB2312" w:eastAsia="楷体_GB2312"/>
          <w:b/>
          <w:sz w:val="32"/>
          <w:szCs w:val="32"/>
          <w:highlight w:val="none"/>
        </w:rPr>
        <w:t>委托代理人签名：               经办人签名：</w:t>
      </w:r>
    </w:p>
    <w:p w14:paraId="04789749">
      <w:pPr>
        <w:keepNext w:val="0"/>
        <w:keepLines w:val="0"/>
        <w:pageBreakBefore w:val="0"/>
        <w:kinsoku/>
        <w:wordWrap/>
        <w:overflowPunct/>
        <w:topLinePunct w:val="0"/>
        <w:autoSpaceDE/>
        <w:autoSpaceDN/>
        <w:bidi w:val="0"/>
        <w:adjustRightInd/>
        <w:snapToGrid/>
        <w:spacing w:line="560" w:lineRule="exact"/>
        <w:rPr>
          <w:highlight w:val="none"/>
        </w:rPr>
      </w:pPr>
      <w:r>
        <w:rPr>
          <w:rFonts w:hint="eastAsia" w:ascii="仿宋_GB2312" w:eastAsia="仿宋_GB2312"/>
          <w:sz w:val="32"/>
          <w:szCs w:val="32"/>
          <w:highlight w:val="none"/>
        </w:rPr>
        <w:t>年    月   日                 年    月   日</w:t>
      </w:r>
    </w:p>
    <w:p w14:paraId="184FA692">
      <w:pPr>
        <w:widowControl/>
        <w:spacing w:line="520" w:lineRule="exact"/>
        <w:ind w:firstLine="320" w:firstLineChars="100"/>
        <w:rPr>
          <w:rFonts w:hint="eastAsia" w:ascii="黑体" w:hAnsi="黑体" w:eastAsia="黑体" w:cs="黑体"/>
          <w:b w:val="0"/>
          <w:bCs/>
          <w:color w:val="000000"/>
          <w:kern w:val="0"/>
          <w:sz w:val="32"/>
          <w:szCs w:val="32"/>
          <w:highlight w:val="none"/>
          <w:lang w:val="en-US" w:eastAsia="zh-CN"/>
        </w:rPr>
      </w:pPr>
      <w:r>
        <w:rPr>
          <w:rFonts w:hint="eastAsia" w:ascii="黑体" w:hAnsi="黑体" w:eastAsia="黑体" w:cs="黑体"/>
          <w:b w:val="0"/>
          <w:bCs/>
          <w:color w:val="000000"/>
          <w:kern w:val="0"/>
          <w:sz w:val="32"/>
          <w:szCs w:val="32"/>
          <w:highlight w:val="none"/>
          <w:lang w:val="en-US" w:eastAsia="zh-CN"/>
        </w:rPr>
        <w:t>附件3</w:t>
      </w:r>
    </w:p>
    <w:p w14:paraId="3FBBCB1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color w:val="000000"/>
          <w:sz w:val="44"/>
          <w:szCs w:val="44"/>
          <w:highlight w:val="none"/>
        </w:rPr>
        <w:t>安全生产责任</w:t>
      </w:r>
      <w:r>
        <w:rPr>
          <w:rFonts w:hint="eastAsia" w:ascii="方正小标宋简体" w:hAnsi="方正小标宋简体" w:eastAsia="方正小标宋简体" w:cs="方正小标宋简体"/>
          <w:color w:val="000000"/>
          <w:sz w:val="44"/>
          <w:szCs w:val="44"/>
          <w:highlight w:val="none"/>
          <w:lang w:val="en-US" w:eastAsia="zh-CN"/>
        </w:rPr>
        <w:t>承诺书（参考）</w:t>
      </w:r>
    </w:p>
    <w:p w14:paraId="043D4DB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rPr>
      </w:pPr>
    </w:p>
    <w:p w14:paraId="0E147AB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w:t>
      </w:r>
      <w:r>
        <w:rPr>
          <w:rFonts w:hint="eastAsia" w:ascii="仿宋_GB2312" w:hAnsi="仿宋_GB2312" w:eastAsia="仿宋_GB2312" w:cs="仿宋_GB2312"/>
          <w:sz w:val="28"/>
          <w:szCs w:val="28"/>
          <w:highlight w:val="none"/>
          <w:lang w:val="en-US" w:eastAsia="zh-CN"/>
        </w:rPr>
        <w:t>深圳市龙岗区第七人民医院</w:t>
      </w:r>
    </w:p>
    <w:p w14:paraId="680235F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p w14:paraId="30EBEE8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乙方安全责任人：</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联系电话：</w:t>
      </w:r>
    </w:p>
    <w:p w14:paraId="134C435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为确保本</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rPr>
        <w:t>安全、有序进行，保障参与人员人身及财产安全，依据《中华人民共和国安全生产法》《大型群众性活动安全管理条例》等相关法律法规，按照“谁承办、谁负责”的原则，甲、乙双方签订本安全生产责任书。</w:t>
      </w:r>
    </w:p>
    <w:p w14:paraId="019524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一、责任期限</w:t>
      </w:r>
    </w:p>
    <w:p w14:paraId="41C255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自本责任书签订之日起至本</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rPr>
        <w:t>（包括前期筹备、现场搭建、</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rPr>
        <w:t>实施、</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rPr>
        <w:t>结束后的场地清理及撤场）全过程结束为止。</w:t>
      </w:r>
    </w:p>
    <w:p w14:paraId="7B6005C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二、安全生产责任</w:t>
      </w:r>
    </w:p>
    <w:p w14:paraId="1F6098D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乙方作为本</w:t>
      </w:r>
      <w:r>
        <w:rPr>
          <w:rFonts w:hint="eastAsia" w:ascii="仿宋_GB2312" w:hAnsi="仿宋_GB2312" w:eastAsia="仿宋_GB2312" w:cs="仿宋_GB2312"/>
          <w:sz w:val="28"/>
          <w:szCs w:val="28"/>
          <w:highlight w:val="none"/>
          <w:lang w:val="en-US" w:eastAsia="zh-CN"/>
        </w:rPr>
        <w:t>项目的</w:t>
      </w:r>
      <w:r>
        <w:rPr>
          <w:rFonts w:hint="eastAsia" w:ascii="仿宋_GB2312" w:hAnsi="仿宋_GB2312" w:eastAsia="仿宋_GB2312" w:cs="仿宋_GB2312"/>
          <w:sz w:val="28"/>
          <w:szCs w:val="28"/>
          <w:highlight w:val="none"/>
        </w:rPr>
        <w:t>执行方，对其工作范围内的安全生产事项承担直接责任：</w:t>
      </w:r>
    </w:p>
    <w:p w14:paraId="76D6182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（一）科普宣传片拍摄安全</w:t>
      </w:r>
    </w:p>
    <w:p w14:paraId="5C2314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1.拍摄方案与安全预案：乙方须在拍摄前制定详细的拍摄计划和脚本，明确拍摄日程、地点、内容及人员安排。针对拍摄过程中可能存在的安全风险，制定专项安全执行方案，报甲方审核批准后方可实施。</w:t>
      </w:r>
    </w:p>
    <w:p w14:paraId="7B2A3C8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2.拍摄现场安全管理：乙方须对拍摄现场进行全面的安全检查，排除一切可能导致事故的隐患。拍摄过程中，乙方须确保所有人员遵守安全操作规程，佩戴必要的安全防护用品。</w:t>
      </w:r>
    </w:p>
    <w:p w14:paraId="423B1E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3.拍摄设备安全：乙方须确保其提供的拍摄设备、灯光设备、道具、车辆等符合安全标准，在使用前进行安全检查，并按操作规程使用。乙方须定期对拍摄设备进行检查和维护，确保其安全可靠。</w:t>
      </w:r>
    </w:p>
    <w:p w14:paraId="017A6A7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拍摄人员安全：乙方须对参与拍摄的工作人员进行安全培训，包括但不限于拍摄现场的安全规范、设备操作规程、急救知识等。乙方人员应时刻保持警惕，注意观察周围环境，避免发生碰撞、坠落、触电等事故。严禁进行任何违反安全规定或可能危及自身及他人安全的危险行为。</w:t>
      </w:r>
    </w:p>
    <w:p w14:paraId="3B34A94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拍摄场地与秩序：乙方须确保拍摄现场的安全和秩序，防止非授权人员进入拍摄区域。拍摄过程中注意音响的音量控制和灯光的使用，避免对活动参与人员及周边群众造成困扰。作业产生的垃圾须自行清理，保持使用区域及周边的整洁有序。</w:t>
      </w:r>
    </w:p>
    <w:p w14:paraId="519F5D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医疗场景拍摄特别规定：如拍摄涉及医院诊疗区域（如急诊科、门诊、体检科等）或医疗操作场景，乙方须在甲方指定人员的陪同和指导下进行拍摄，不得干扰正常医疗秩序，不得拍摄患者隐私信息。拍摄医疗操作示范的，须由具备相应资质的医务人员操作，乙方仅负责拍摄记录，不得指导或干预医疗操作。</w:t>
      </w:r>
    </w:p>
    <w:p w14:paraId="1AC5B6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7.航拍及特殊拍摄：如拍摄涉及使用航拍设备，乙方须遵守相关航空管制规定，取得必要许可。如涉及高空、水下等特殊拍摄场景，乙方须制定专项安全方案并报甲方审核。</w:t>
      </w:r>
    </w:p>
    <w:p w14:paraId="660CB74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（二）现场搭建安全</w:t>
      </w:r>
    </w:p>
    <w:p w14:paraId="51FFAC1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1.乙方负责活动现场的规划布置，包括义诊咨询台、活动展架、背景板、音响设备等的搭建与摆放，确保布局合理、通道畅通，不影响人员正常通行和紧急疏散。</w:t>
      </w:r>
    </w:p>
    <w:p w14:paraId="55E3AB1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2.所有搭建物须结构稳固，连接牢靠，具备抗风防倾倒能力，杜绝因搭建不牢导致倒塌、坠落等安全事故。</w:t>
      </w:r>
    </w:p>
    <w:p w14:paraId="664CE6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3.搭建材料须符合国家相关安全和环保标准，不得使用劣质或存在安全隐患的材料。</w:t>
      </w:r>
    </w:p>
    <w:p w14:paraId="080557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4.搭建过程中须设置安全警示标识，提醒过往人员注意避让。</w:t>
      </w:r>
    </w:p>
    <w:p w14:paraId="089D81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（三）用电安全</w:t>
      </w:r>
    </w:p>
    <w:p w14:paraId="78A072B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1.乙方负责活动现场的临时用电接驳和线路敷设，所用电气设备和线路须符合国家安全标准。</w:t>
      </w:r>
    </w:p>
    <w:p w14:paraId="1F4A637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2.临时接电须由持证电工操作，严禁私拉乱接，严禁超负荷用电。</w:t>
      </w:r>
    </w:p>
    <w:p w14:paraId="1110193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3.电气线路须做好绝缘保护和防雨防潮措施，接头处须牢固并做防水处理，防止漏电、短路。</w:t>
      </w:r>
    </w:p>
    <w:p w14:paraId="5795F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4.用电设备须有可靠的接地保护，配电箱须配备漏电保护开关。</w:t>
      </w:r>
    </w:p>
    <w:p w14:paraId="083281B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5.活动结束后，乙方须及时切断电源、拆除所有临时用电线路和设备，确保现场不留用电安全隐患。</w:t>
      </w:r>
    </w:p>
    <w:p w14:paraId="106E938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（四）消防安全</w:t>
      </w:r>
    </w:p>
    <w:p w14:paraId="599E231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1.乙方在搭建、拍摄和撤场过程中，不得堵塞消防通道、安全出口和消防设施。</w:t>
      </w:r>
    </w:p>
    <w:p w14:paraId="3A2A4B0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2.乙方在搭建、拍摄和撤场过程中，现场严禁烟火。</w:t>
      </w:r>
    </w:p>
    <w:p w14:paraId="1851514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3.乙方应配合甲方做好活动区域的消防器材配置和放置工作。</w:t>
      </w:r>
    </w:p>
    <w:p w14:paraId="49B21F7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（五）作业人员安全</w:t>
      </w:r>
    </w:p>
    <w:p w14:paraId="067D04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1.乙方现场作业人员须佩戴必要的劳动防护用品（如安全帽、手套等），高空作业（2米及以上）须系挂安全带。</w:t>
      </w:r>
    </w:p>
    <w:p w14:paraId="628C1FD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.乙方现场负责人须做好作业人员的安全交底，确保作业人员清楚知晓现场安全隐患和操作规程。</w:t>
      </w:r>
    </w:p>
    <w:p w14:paraId="07282F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（六）撤场安全</w:t>
      </w:r>
    </w:p>
    <w:p w14:paraId="05112B9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1.活动结束后，乙方须按时完成撤场工作，有序拆除和清运所有搭建物、设备及物料。</w:t>
      </w:r>
    </w:p>
    <w:p w14:paraId="727D59B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2.撤场过程中须注意安全，不得损坏甲方场地设施。</w:t>
      </w:r>
    </w:p>
    <w:p w14:paraId="153F726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3.撤场完成后须对场地进行清理，恢复场地原状，确保不留安全隐患。</w:t>
      </w:r>
    </w:p>
    <w:p w14:paraId="7BB969F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（七）安全责任承担</w:t>
      </w:r>
    </w:p>
    <w:p w14:paraId="5D78A68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因乙方原因（如拍摄操作不当、搭建不牢、用电不规范、作业操作不当等）在活动筹备、执行或撤场过程中造成乙方人员或第三方人员伤亡、财产损失的，由乙方承担全部法律责任和经济赔偿责任。如因此给甲方造成任何经济损失或不利影响，乙方应承担赔偿责任。</w:t>
      </w:r>
    </w:p>
    <w:p w14:paraId="2CE7A1A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三、其他约定</w:t>
      </w:r>
    </w:p>
    <w:p w14:paraId="613524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1.乙方须在进场作业前</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个工作日内，向甲方提交现场作业及拍摄人员名单</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涉及</w:t>
      </w:r>
      <w:r>
        <w:rPr>
          <w:rFonts w:hint="eastAsia" w:ascii="仿宋_GB2312" w:hAnsi="仿宋_GB2312" w:eastAsia="仿宋_GB2312" w:cs="仿宋_GB2312"/>
          <w:sz w:val="28"/>
          <w:szCs w:val="28"/>
          <w:highlight w:val="none"/>
        </w:rPr>
        <w:t>电工等特种作业人员</w:t>
      </w:r>
      <w:r>
        <w:rPr>
          <w:rFonts w:hint="eastAsia" w:ascii="仿宋_GB2312" w:hAnsi="仿宋_GB2312" w:eastAsia="仿宋_GB2312" w:cs="仿宋_GB2312"/>
          <w:sz w:val="28"/>
          <w:szCs w:val="28"/>
          <w:highlight w:val="none"/>
          <w:lang w:val="en-US" w:eastAsia="zh-CN"/>
        </w:rPr>
        <w:t>需提供</w:t>
      </w:r>
      <w:r>
        <w:rPr>
          <w:rFonts w:hint="eastAsia" w:ascii="仿宋_GB2312" w:hAnsi="仿宋_GB2312" w:eastAsia="仿宋_GB2312" w:cs="仿宋_GB2312"/>
          <w:sz w:val="28"/>
          <w:szCs w:val="28"/>
          <w:highlight w:val="none"/>
        </w:rPr>
        <w:t>操作证复印件。</w:t>
      </w:r>
    </w:p>
    <w:p w14:paraId="4ECABC8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2.乙方须在进场作业前</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个工作日内，向甲方提交现场搭建方案、场地规划布置图及拍摄方案，经甲方审核确认后方可实施。</w:t>
      </w:r>
    </w:p>
    <w:p w14:paraId="4462E0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3.乙方须在拍摄前对拍摄现场进行安全风险评估，制定安全工作方案和突发事件应急预案。</w:t>
      </w:r>
    </w:p>
    <w:p w14:paraId="5DF4955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4.本责任</w:t>
      </w:r>
      <w:r>
        <w:rPr>
          <w:rFonts w:hint="eastAsia" w:ascii="仿宋_GB2312" w:hAnsi="仿宋_GB2312" w:eastAsia="仿宋_GB2312" w:cs="仿宋_GB2312"/>
          <w:sz w:val="28"/>
          <w:szCs w:val="28"/>
          <w:highlight w:val="none"/>
          <w:lang w:val="en-US" w:eastAsia="zh-CN"/>
        </w:rPr>
        <w:t>承诺</w:t>
      </w:r>
      <w:r>
        <w:rPr>
          <w:rFonts w:hint="eastAsia" w:ascii="仿宋_GB2312" w:hAnsi="仿宋_GB2312" w:eastAsia="仿宋_GB2312" w:cs="仿宋_GB2312"/>
          <w:sz w:val="28"/>
          <w:szCs w:val="28"/>
          <w:highlight w:val="none"/>
        </w:rPr>
        <w:t>书未尽事宜，按照国家相关法律法规执行。</w:t>
      </w:r>
    </w:p>
    <w:p w14:paraId="442821F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5.本责任</w:t>
      </w:r>
      <w:r>
        <w:rPr>
          <w:rFonts w:hint="eastAsia" w:ascii="仿宋_GB2312" w:hAnsi="仿宋_GB2312" w:eastAsia="仿宋_GB2312" w:cs="仿宋_GB2312"/>
          <w:sz w:val="28"/>
          <w:szCs w:val="28"/>
          <w:highlight w:val="none"/>
          <w:lang w:val="en-US" w:eastAsia="zh-CN"/>
        </w:rPr>
        <w:t>承诺</w:t>
      </w:r>
      <w:r>
        <w:rPr>
          <w:rFonts w:hint="eastAsia" w:ascii="仿宋_GB2312" w:hAnsi="仿宋_GB2312" w:eastAsia="仿宋_GB2312" w:cs="仿宋_GB2312"/>
          <w:sz w:val="28"/>
          <w:szCs w:val="28"/>
          <w:highlight w:val="none"/>
        </w:rPr>
        <w:t>书一式</w:t>
      </w:r>
      <w:r>
        <w:rPr>
          <w:rFonts w:hint="eastAsia" w:ascii="仿宋_GB2312" w:hAnsi="仿宋_GB2312" w:eastAsia="仿宋_GB2312" w:cs="仿宋_GB2312"/>
          <w:sz w:val="28"/>
          <w:szCs w:val="28"/>
          <w:highlight w:val="none"/>
          <w:lang w:val="en-US" w:eastAsia="zh-CN"/>
        </w:rPr>
        <w:t>肆</w:t>
      </w:r>
      <w:r>
        <w:rPr>
          <w:rFonts w:hint="eastAsia" w:ascii="仿宋_GB2312" w:hAnsi="仿宋_GB2312" w:eastAsia="仿宋_GB2312" w:cs="仿宋_GB2312"/>
          <w:sz w:val="28"/>
          <w:szCs w:val="28"/>
          <w:highlight w:val="none"/>
        </w:rPr>
        <w:t>份，甲方执</w:t>
      </w:r>
      <w:r>
        <w:rPr>
          <w:rFonts w:hint="eastAsia" w:ascii="仿宋_GB2312" w:hAnsi="仿宋_GB2312" w:eastAsia="仿宋_GB2312" w:cs="仿宋_GB2312"/>
          <w:sz w:val="28"/>
          <w:szCs w:val="28"/>
          <w:highlight w:val="none"/>
          <w:lang w:val="en-US" w:eastAsia="zh-CN"/>
        </w:rPr>
        <w:t>叁</w:t>
      </w:r>
      <w:r>
        <w:rPr>
          <w:rFonts w:hint="eastAsia" w:ascii="仿宋_GB2312" w:hAnsi="仿宋_GB2312" w:eastAsia="仿宋_GB2312" w:cs="仿宋_GB2312"/>
          <w:sz w:val="28"/>
          <w:szCs w:val="28"/>
          <w:highlight w:val="none"/>
        </w:rPr>
        <w:t>份，</w:t>
      </w:r>
      <w:r>
        <w:rPr>
          <w:rFonts w:hint="eastAsia" w:ascii="仿宋_GB2312" w:hAnsi="仿宋_GB2312" w:eastAsia="仿宋_GB2312" w:cs="仿宋_GB2312"/>
          <w:sz w:val="28"/>
          <w:szCs w:val="28"/>
          <w:highlight w:val="none"/>
          <w:lang w:val="en-US" w:eastAsia="zh-CN"/>
        </w:rPr>
        <w:t>乙方执壹份，</w:t>
      </w:r>
      <w:r>
        <w:rPr>
          <w:rFonts w:hint="eastAsia" w:ascii="仿宋_GB2312" w:hAnsi="仿宋_GB2312" w:eastAsia="仿宋_GB2312" w:cs="仿宋_GB2312"/>
          <w:color w:val="000000"/>
          <w:sz w:val="28"/>
          <w:szCs w:val="28"/>
          <w:highlight w:val="none"/>
        </w:rPr>
        <w:t>与双方签订的相关业务合同</w:t>
      </w:r>
      <w:r>
        <w:rPr>
          <w:rFonts w:hint="eastAsia" w:ascii="仿宋_GB2312" w:hAnsi="仿宋_GB2312" w:eastAsia="仿宋_GB2312" w:cs="仿宋_GB2312"/>
          <w:sz w:val="28"/>
          <w:szCs w:val="28"/>
          <w:highlight w:val="none"/>
        </w:rPr>
        <w:t>具有同等法律效力。</w:t>
      </w:r>
    </w:p>
    <w:p w14:paraId="2D53A1A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4E0F5B56">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lef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乙方：</w:t>
      </w:r>
    </w:p>
    <w:p w14:paraId="707A508C">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left"/>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单位名称（盖章）：</w:t>
      </w:r>
    </w:p>
    <w:p w14:paraId="53D2700A">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安全责任人（签字）：</w:t>
      </w:r>
    </w:p>
    <w:p w14:paraId="22DF98B3">
      <w:pPr>
        <w:pStyle w:val="11"/>
        <w:keepNext w:val="0"/>
        <w:keepLines w:val="0"/>
        <w:pageBreakBefore w:val="0"/>
        <w:widowControl w:val="0"/>
        <w:kinsoku/>
        <w:wordWrap/>
        <w:overflowPunct/>
        <w:topLinePunct w:val="0"/>
        <w:autoSpaceDE/>
        <w:autoSpaceDN/>
        <w:bidi w:val="0"/>
        <w:adjustRightInd/>
        <w:snapToGrid/>
        <w:spacing w:line="520" w:lineRule="exact"/>
        <w:ind w:firstLine="3920" w:firstLineChars="1400"/>
        <w:jc w:val="left"/>
        <w:textAlignment w:val="auto"/>
        <w:rPr>
          <w:rFonts w:hint="eastAsia" w:ascii="宋体" w:eastAsia="宋体" w:cs="宋体"/>
          <w:b/>
          <w:color w:val="auto"/>
          <w:sz w:val="18"/>
          <w:szCs w:val="20"/>
          <w:highlight w:val="none"/>
          <w:lang w:val="en-US" w:eastAsia="zh-CN"/>
        </w:rPr>
      </w:pPr>
      <w:r>
        <w:rPr>
          <w:rFonts w:hint="eastAsia" w:ascii="仿宋_GB2312" w:hAnsi="仿宋_GB2312" w:eastAsia="仿宋_GB2312" w:cs="仿宋_GB2312"/>
          <w:sz w:val="28"/>
          <w:szCs w:val="28"/>
          <w:highlight w:val="none"/>
        </w:rPr>
        <w:t>日期：</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p>
    <w:p w14:paraId="7FD5D30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highlight w:val="none"/>
          <w:lang w:val="en-US" w:eastAsia="zh-CN"/>
        </w:rPr>
      </w:pPr>
    </w:p>
    <w:p w14:paraId="10AADC9B">
      <w:pPr>
        <w:rPr>
          <w:highlight w:val="none"/>
        </w:rPr>
      </w:pPr>
    </w:p>
    <w:sectPr>
      <w:headerReference r:id="rId7" w:type="default"/>
      <w:footerReference r:id="rId8" w:type="default"/>
      <w:pgSz w:w="11906" w:h="16838"/>
      <w:pgMar w:top="2098" w:right="1474" w:bottom="1984" w:left="1304" w:header="851" w:footer="1417" w:gutter="0"/>
      <w:cols w:space="0" w:num="1"/>
      <w:rtlGutter w:val="0"/>
      <w:docGrid w:type="lines" w:linePitch="3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A64DDDE-8E43-48E5-81F3-D262FCF7FDB4}"/>
  </w:font>
  <w:font w:name="黑体">
    <w:panose1 w:val="02010609060101010101"/>
    <w:charset w:val="86"/>
    <w:family w:val="auto"/>
    <w:pitch w:val="default"/>
    <w:sig w:usb0="800002BF" w:usb1="38CF7CFA" w:usb2="00000016" w:usb3="00000000" w:csb0="00040001" w:csb1="00000000"/>
    <w:embedRegular r:id="rId2" w:fontKey="{81217A67-519E-40A1-A22F-38981520C6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EFCDF03-72E0-4BF6-B91E-74101B25C15A}"/>
  </w:font>
  <w:font w:name="H Yb 2gj">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4" w:fontKey="{D4F30719-A6CA-4633-B56A-45D50FF9674C}"/>
  </w:font>
  <w:font w:name="仿宋_GB2312">
    <w:panose1 w:val="02010609030101010101"/>
    <w:charset w:val="86"/>
    <w:family w:val="modern"/>
    <w:pitch w:val="default"/>
    <w:sig w:usb0="00000001" w:usb1="080E0000" w:usb2="00000000" w:usb3="00000000" w:csb0="00040000" w:csb1="00000000"/>
    <w:embedRegular r:id="rId5" w:fontKey="{5C9ED19B-840F-471C-995B-4E92CFFAB371}"/>
  </w:font>
  <w:font w:name="方正小标宋简体">
    <w:panose1 w:val="02000000000000000000"/>
    <w:charset w:val="86"/>
    <w:family w:val="auto"/>
    <w:pitch w:val="default"/>
    <w:sig w:usb0="00000001" w:usb1="08000000" w:usb2="00000000" w:usb3="00000000" w:csb0="00040000" w:csb1="00000000"/>
    <w:embedRegular r:id="rId6" w:fontKey="{EA9D3C3A-B3EC-44DD-B7E1-536141ECF1E0}"/>
  </w:font>
  <w:font w:name="楷体_GB2312">
    <w:panose1 w:val="02010609030101010101"/>
    <w:charset w:val="86"/>
    <w:family w:val="auto"/>
    <w:pitch w:val="default"/>
    <w:sig w:usb0="00000001" w:usb1="080E0000" w:usb2="00000000" w:usb3="00000000" w:csb0="00040000" w:csb1="00000000"/>
    <w:embedRegular r:id="rId7" w:fontKey="{5113CE8A-E6E7-4C70-9281-6BAE576CA081}"/>
  </w:font>
  <w:font w:name="仿宋">
    <w:panose1 w:val="02010609060101010101"/>
    <w:charset w:val="86"/>
    <w:family w:val="auto"/>
    <w:pitch w:val="default"/>
    <w:sig w:usb0="800002BF" w:usb1="38CF7CFA" w:usb2="00000016" w:usb3="00000000" w:csb0="00040001" w:csb1="00000000"/>
    <w:embedRegular r:id="rId8" w:fontKey="{BD195083-28C9-472E-BF80-20E2F43A89C5}"/>
  </w:font>
  <w:font w:name="Microsoft YaHei UI">
    <w:panose1 w:val="020B0503020204020204"/>
    <w:charset w:val="86"/>
    <w:family w:val="auto"/>
    <w:pitch w:val="default"/>
    <w:sig w:usb0="80000287" w:usb1="2ACF3C50" w:usb2="00000016" w:usb3="00000000" w:csb0="0004001F" w:csb1="00000000"/>
    <w:embedRegular r:id="rId9" w:fontKey="{746F6A57-080C-43AB-A50B-BB7020C34184}"/>
  </w:font>
  <w:font w:name="微软雅黑">
    <w:panose1 w:val="020B0503020204020204"/>
    <w:charset w:val="86"/>
    <w:family w:val="auto"/>
    <w:pitch w:val="default"/>
    <w:sig w:usb0="80000287" w:usb1="2ACF3C50" w:usb2="00000016" w:usb3="00000000" w:csb0="0004001F" w:csb1="00000000"/>
    <w:embedRegular r:id="rId10" w:fontKey="{3E99682A-CAEC-4A3D-B648-DAA435F6519D}"/>
  </w:font>
  <w:font w:name="Verdana">
    <w:panose1 w:val="020B0604030504040204"/>
    <w:charset w:val="00"/>
    <w:family w:val="swiss"/>
    <w:pitch w:val="default"/>
    <w:sig w:usb0="A00006FF" w:usb1="4000205B" w:usb2="00000010" w:usb3="00000000" w:csb0="2000019F" w:csb1="00000000"/>
    <w:embedRegular r:id="rId11" w:fontKey="{082159E8-61DA-4C39-9C22-C7563D41207A}"/>
  </w:font>
  <w:font w:name="ˎ̥">
    <w:altName w:val="Times New Roman"/>
    <w:panose1 w:val="00000000000000000000"/>
    <w:charset w:val="00"/>
    <w:family w:val="auto"/>
    <w:pitch w:val="default"/>
    <w:sig w:usb0="00000000" w:usb1="00000000" w:usb2="00000000" w:usb3="00000000" w:csb0="00040001" w:csb1="00000000"/>
    <w:embedRegular r:id="rId12" w:fontKey="{F0C53459-E888-4D5F-BC31-722B6EE7726A}"/>
  </w:font>
  <w:font w:name="WPSEMBED8">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CB5C">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9873584">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&#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pQ6mh0QEAAKUDAAAOAAAAAAAAAAEAIAAAACIB&#10;AABkcnMvZTJvRG9jLnhtbFBLBQYAAAAABgAGAFkBAABlBQAAAAA=&#10;">
              <v:fill on="f" focussize="0,0"/>
              <v:stroke on="f" weight="1.25pt"/>
              <v:imagedata o:title=""/>
              <o:lock v:ext="edit" aspectratio="f"/>
              <v:textbox inset="0mm,0mm,0mm,0mm" style="mso-fit-shape-to-text:t;">
                <w:txbxContent>
                  <w:p w14:paraId="29873584">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- 48 -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14CBF">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E031173">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hpgkvTAAAABQEAAA8AAAAAAAAAAQAgAAAAIgAAAGRycy9k&#10;b3ducmV2LnhtbFBLAQIUABQAAAAIAIdO4kCAW/XPzgEAAKUDAAAOAAAAAAAAAAEAIAAAACIBAABk&#10;cnMvZTJvRG9jLnhtbFBLBQYAAAAABgAGAFkBAABiBQAAAAA=&#10;">
              <v:fill on="f" focussize="0,0"/>
              <v:stroke on="f" weight="1.25pt"/>
              <v:imagedata o:title=""/>
              <o:lock v:ext="edit" aspectratio="f"/>
              <v:textbox inset="0mm,0mm,0mm,0mm" style="mso-fit-shape-to-text:t;">
                <w:txbxContent>
                  <w:p w14:paraId="2E031173">
                    <w:pPr>
                      <w:pStyle w:val="14"/>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6EE28">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D8106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78D8106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C0DA6">
    <w:pPr>
      <w:pStyle w:val="15"/>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B7E52">
    <w:pPr>
      <w:pStyle w:val="15"/>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BA458">
    <w:pPr>
      <w:pStyle w:val="1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B1880"/>
    <w:multiLevelType w:val="singleLevel"/>
    <w:tmpl w:val="827B1880"/>
    <w:lvl w:ilvl="0" w:tentative="0">
      <w:start w:val="2"/>
      <w:numFmt w:val="chineseCounting"/>
      <w:suff w:val="nothing"/>
      <w:lvlText w:val="%1、"/>
      <w:lvlJc w:val="left"/>
      <w:rPr>
        <w:rFonts w:hint="eastAsia"/>
      </w:rPr>
    </w:lvl>
  </w:abstractNum>
  <w:abstractNum w:abstractNumId="1">
    <w:nsid w:val="0A90307F"/>
    <w:multiLevelType w:val="singleLevel"/>
    <w:tmpl w:val="0A90307F"/>
    <w:lvl w:ilvl="0" w:tentative="0">
      <w:start w:val="2"/>
      <w:numFmt w:val="decimal"/>
      <w:suff w:val="space"/>
      <w:lvlText w:val="%1."/>
      <w:lvlJc w:val="left"/>
    </w:lvl>
  </w:abstractNum>
  <w:abstractNum w:abstractNumId="2">
    <w:nsid w:val="0C77917E"/>
    <w:multiLevelType w:val="singleLevel"/>
    <w:tmpl w:val="0C77917E"/>
    <w:lvl w:ilvl="0" w:tentative="0">
      <w:start w:val="4"/>
      <w:numFmt w:val="decimal"/>
      <w:lvlText w:val="%1."/>
      <w:lvlJc w:val="left"/>
      <w:pPr>
        <w:tabs>
          <w:tab w:val="left" w:pos="312"/>
        </w:tabs>
      </w:pPr>
    </w:lvl>
  </w:abstractNum>
  <w:abstractNum w:abstractNumId="3">
    <w:nsid w:val="22B7BE7E"/>
    <w:multiLevelType w:val="singleLevel"/>
    <w:tmpl w:val="22B7BE7E"/>
    <w:lvl w:ilvl="0" w:tentative="0">
      <w:start w:val="3"/>
      <w:numFmt w:val="chineseCounting"/>
      <w:suff w:val="nothing"/>
      <w:lvlText w:val="（%1）"/>
      <w:lvlJc w:val="left"/>
      <w:rPr>
        <w:rFonts w:hint="eastAsia"/>
      </w:rPr>
    </w:lvl>
  </w:abstractNum>
  <w:abstractNum w:abstractNumId="4">
    <w:nsid w:val="37C1C332"/>
    <w:multiLevelType w:val="singleLevel"/>
    <w:tmpl w:val="37C1C332"/>
    <w:lvl w:ilvl="0" w:tentative="0">
      <w:start w:val="2"/>
      <w:numFmt w:val="chineseCounting"/>
      <w:suff w:val="space"/>
      <w:lvlText w:val="第%1章"/>
      <w:lvlJc w:val="left"/>
      <w:rPr>
        <w:rFonts w:hint="eastAsia"/>
      </w:rPr>
    </w:lvl>
  </w:abstractNum>
  <w:abstractNum w:abstractNumId="5">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6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00000000"/>
    <w:rsid w:val="000273CC"/>
    <w:rsid w:val="00043144"/>
    <w:rsid w:val="000D26B7"/>
    <w:rsid w:val="008C247C"/>
    <w:rsid w:val="01021383"/>
    <w:rsid w:val="011137C5"/>
    <w:rsid w:val="012670EA"/>
    <w:rsid w:val="013613FF"/>
    <w:rsid w:val="01BC250C"/>
    <w:rsid w:val="025F4662"/>
    <w:rsid w:val="03083097"/>
    <w:rsid w:val="03127217"/>
    <w:rsid w:val="035166A0"/>
    <w:rsid w:val="036D47D9"/>
    <w:rsid w:val="0433224A"/>
    <w:rsid w:val="049D275A"/>
    <w:rsid w:val="04F459FA"/>
    <w:rsid w:val="04F71BD7"/>
    <w:rsid w:val="05182245"/>
    <w:rsid w:val="05243941"/>
    <w:rsid w:val="055F0467"/>
    <w:rsid w:val="05A131E3"/>
    <w:rsid w:val="05FE0636"/>
    <w:rsid w:val="060F45F1"/>
    <w:rsid w:val="063D4CBA"/>
    <w:rsid w:val="06440F1E"/>
    <w:rsid w:val="067F0EA1"/>
    <w:rsid w:val="071E360F"/>
    <w:rsid w:val="07244FB4"/>
    <w:rsid w:val="07355EF4"/>
    <w:rsid w:val="08375DC9"/>
    <w:rsid w:val="086E0768"/>
    <w:rsid w:val="08873E82"/>
    <w:rsid w:val="08EB30F3"/>
    <w:rsid w:val="0A3E1E30"/>
    <w:rsid w:val="0A4A3E4A"/>
    <w:rsid w:val="0ABB157D"/>
    <w:rsid w:val="0AE70551"/>
    <w:rsid w:val="0B026F41"/>
    <w:rsid w:val="0B837613"/>
    <w:rsid w:val="0BCB452C"/>
    <w:rsid w:val="0C3C77C2"/>
    <w:rsid w:val="0C631449"/>
    <w:rsid w:val="0D1F336B"/>
    <w:rsid w:val="0DCB34F3"/>
    <w:rsid w:val="0E0A5DCA"/>
    <w:rsid w:val="0E880A30"/>
    <w:rsid w:val="0EA24254"/>
    <w:rsid w:val="0EA25473"/>
    <w:rsid w:val="0ECA23F4"/>
    <w:rsid w:val="0ED463D8"/>
    <w:rsid w:val="0F1F3AF7"/>
    <w:rsid w:val="0F4E7F38"/>
    <w:rsid w:val="0F5A67F4"/>
    <w:rsid w:val="0FEE1638"/>
    <w:rsid w:val="10373317"/>
    <w:rsid w:val="10702130"/>
    <w:rsid w:val="10D601E5"/>
    <w:rsid w:val="11072A94"/>
    <w:rsid w:val="111073FE"/>
    <w:rsid w:val="11401B02"/>
    <w:rsid w:val="114710E3"/>
    <w:rsid w:val="115C2CF7"/>
    <w:rsid w:val="11C7149D"/>
    <w:rsid w:val="11F443AB"/>
    <w:rsid w:val="125041E5"/>
    <w:rsid w:val="12617F82"/>
    <w:rsid w:val="128D65FD"/>
    <w:rsid w:val="128E19DD"/>
    <w:rsid w:val="129C348E"/>
    <w:rsid w:val="12E56727"/>
    <w:rsid w:val="130A686C"/>
    <w:rsid w:val="13183BF3"/>
    <w:rsid w:val="13710699"/>
    <w:rsid w:val="137E6912"/>
    <w:rsid w:val="13C62745"/>
    <w:rsid w:val="13CE7899"/>
    <w:rsid w:val="145853B5"/>
    <w:rsid w:val="15332341"/>
    <w:rsid w:val="154871D8"/>
    <w:rsid w:val="15F35EDD"/>
    <w:rsid w:val="169F1079"/>
    <w:rsid w:val="16E55626"/>
    <w:rsid w:val="17481342"/>
    <w:rsid w:val="17656B71"/>
    <w:rsid w:val="17BF1CFD"/>
    <w:rsid w:val="188C387F"/>
    <w:rsid w:val="18B057C0"/>
    <w:rsid w:val="18C36BEB"/>
    <w:rsid w:val="192341E3"/>
    <w:rsid w:val="19257F5C"/>
    <w:rsid w:val="19891DC1"/>
    <w:rsid w:val="19EF5AF8"/>
    <w:rsid w:val="19F3005A"/>
    <w:rsid w:val="1A6B4094"/>
    <w:rsid w:val="1AA611B2"/>
    <w:rsid w:val="1AEC0313"/>
    <w:rsid w:val="1AF95B35"/>
    <w:rsid w:val="1B09120F"/>
    <w:rsid w:val="1B157ABC"/>
    <w:rsid w:val="1B1A1616"/>
    <w:rsid w:val="1B590390"/>
    <w:rsid w:val="1B59309C"/>
    <w:rsid w:val="1B6E366A"/>
    <w:rsid w:val="1B9F30FF"/>
    <w:rsid w:val="1BAA3FC2"/>
    <w:rsid w:val="1C000F80"/>
    <w:rsid w:val="1C551613"/>
    <w:rsid w:val="1C683CCC"/>
    <w:rsid w:val="1D3F5364"/>
    <w:rsid w:val="1D8042E2"/>
    <w:rsid w:val="1D850AA2"/>
    <w:rsid w:val="1D951E9C"/>
    <w:rsid w:val="1DCA7323"/>
    <w:rsid w:val="1E197963"/>
    <w:rsid w:val="1E390005"/>
    <w:rsid w:val="1E3B56D4"/>
    <w:rsid w:val="1E693EC0"/>
    <w:rsid w:val="1EF5278E"/>
    <w:rsid w:val="1F3303C2"/>
    <w:rsid w:val="1F372797"/>
    <w:rsid w:val="1F84468E"/>
    <w:rsid w:val="1F850FAE"/>
    <w:rsid w:val="1FDD1D82"/>
    <w:rsid w:val="1FE87F35"/>
    <w:rsid w:val="1FEE1B49"/>
    <w:rsid w:val="209B4FA7"/>
    <w:rsid w:val="20E56222"/>
    <w:rsid w:val="20F621DE"/>
    <w:rsid w:val="215C682E"/>
    <w:rsid w:val="217557F8"/>
    <w:rsid w:val="21E84823"/>
    <w:rsid w:val="21EB5ABA"/>
    <w:rsid w:val="22A34134"/>
    <w:rsid w:val="22CC25C7"/>
    <w:rsid w:val="22F56BF1"/>
    <w:rsid w:val="230778FE"/>
    <w:rsid w:val="230806C2"/>
    <w:rsid w:val="23E66539"/>
    <w:rsid w:val="241C63FF"/>
    <w:rsid w:val="24762A0C"/>
    <w:rsid w:val="2492046F"/>
    <w:rsid w:val="250524F8"/>
    <w:rsid w:val="257D2ECD"/>
    <w:rsid w:val="25822292"/>
    <w:rsid w:val="258F3E5B"/>
    <w:rsid w:val="269C578A"/>
    <w:rsid w:val="26B47F5C"/>
    <w:rsid w:val="26D62895"/>
    <w:rsid w:val="2753023F"/>
    <w:rsid w:val="276441C9"/>
    <w:rsid w:val="27716A62"/>
    <w:rsid w:val="27750300"/>
    <w:rsid w:val="27952750"/>
    <w:rsid w:val="27CA6162"/>
    <w:rsid w:val="27F51441"/>
    <w:rsid w:val="28216F3C"/>
    <w:rsid w:val="28610884"/>
    <w:rsid w:val="287C746C"/>
    <w:rsid w:val="28A6273B"/>
    <w:rsid w:val="28CB21A2"/>
    <w:rsid w:val="28CD627E"/>
    <w:rsid w:val="2984039C"/>
    <w:rsid w:val="29F85218"/>
    <w:rsid w:val="2A0E1AC3"/>
    <w:rsid w:val="2A614B6C"/>
    <w:rsid w:val="2AA131BA"/>
    <w:rsid w:val="2AAA6513"/>
    <w:rsid w:val="2AF53506"/>
    <w:rsid w:val="2B593A95"/>
    <w:rsid w:val="2B5B780D"/>
    <w:rsid w:val="2B88437A"/>
    <w:rsid w:val="2B9B40AD"/>
    <w:rsid w:val="2BDE3F9A"/>
    <w:rsid w:val="2C3D6F12"/>
    <w:rsid w:val="2C8E4B7C"/>
    <w:rsid w:val="2CF254B5"/>
    <w:rsid w:val="2CF92803"/>
    <w:rsid w:val="2CFE2B46"/>
    <w:rsid w:val="2D4C45A1"/>
    <w:rsid w:val="2DD5778F"/>
    <w:rsid w:val="2E291833"/>
    <w:rsid w:val="2E6D1C25"/>
    <w:rsid w:val="2E6E5AA9"/>
    <w:rsid w:val="2E7D3F3E"/>
    <w:rsid w:val="2E943223"/>
    <w:rsid w:val="2EB536D8"/>
    <w:rsid w:val="2ED4577F"/>
    <w:rsid w:val="2F3E12DE"/>
    <w:rsid w:val="2F522419"/>
    <w:rsid w:val="2F8337D6"/>
    <w:rsid w:val="2F927575"/>
    <w:rsid w:val="2FFB336C"/>
    <w:rsid w:val="302F5A11"/>
    <w:rsid w:val="30663F74"/>
    <w:rsid w:val="30CC6B49"/>
    <w:rsid w:val="30F027A5"/>
    <w:rsid w:val="31132938"/>
    <w:rsid w:val="31691F2D"/>
    <w:rsid w:val="31EE221F"/>
    <w:rsid w:val="324E1E79"/>
    <w:rsid w:val="328A2F94"/>
    <w:rsid w:val="32912E68"/>
    <w:rsid w:val="32A11A16"/>
    <w:rsid w:val="32DC7485"/>
    <w:rsid w:val="33613E2E"/>
    <w:rsid w:val="342310E4"/>
    <w:rsid w:val="350E769E"/>
    <w:rsid w:val="35205C57"/>
    <w:rsid w:val="353043A7"/>
    <w:rsid w:val="359F2181"/>
    <w:rsid w:val="35D5415D"/>
    <w:rsid w:val="369D517D"/>
    <w:rsid w:val="36DE5DD1"/>
    <w:rsid w:val="3726778C"/>
    <w:rsid w:val="37405B09"/>
    <w:rsid w:val="374E2513"/>
    <w:rsid w:val="37AD19AB"/>
    <w:rsid w:val="390D653D"/>
    <w:rsid w:val="3A075AFE"/>
    <w:rsid w:val="3A502507"/>
    <w:rsid w:val="3A804118"/>
    <w:rsid w:val="3A8E390A"/>
    <w:rsid w:val="3AF3026A"/>
    <w:rsid w:val="3B0B7C37"/>
    <w:rsid w:val="3B253993"/>
    <w:rsid w:val="3BBA2C38"/>
    <w:rsid w:val="3C074E47"/>
    <w:rsid w:val="3C1A001F"/>
    <w:rsid w:val="3C2B43F0"/>
    <w:rsid w:val="3C641CA7"/>
    <w:rsid w:val="3CA64AA0"/>
    <w:rsid w:val="3D000214"/>
    <w:rsid w:val="3D106B23"/>
    <w:rsid w:val="3D5F5CEB"/>
    <w:rsid w:val="3E3C34CE"/>
    <w:rsid w:val="3EC07C8A"/>
    <w:rsid w:val="3EC86B10"/>
    <w:rsid w:val="3F245438"/>
    <w:rsid w:val="3F4C7741"/>
    <w:rsid w:val="41054FBE"/>
    <w:rsid w:val="41082B51"/>
    <w:rsid w:val="4157061F"/>
    <w:rsid w:val="415B2A37"/>
    <w:rsid w:val="4173542A"/>
    <w:rsid w:val="42176969"/>
    <w:rsid w:val="42862F6A"/>
    <w:rsid w:val="42BC4BDD"/>
    <w:rsid w:val="42FD131E"/>
    <w:rsid w:val="43790D20"/>
    <w:rsid w:val="438D20D6"/>
    <w:rsid w:val="43BD0C0D"/>
    <w:rsid w:val="43D16DFB"/>
    <w:rsid w:val="441133CA"/>
    <w:rsid w:val="44150A49"/>
    <w:rsid w:val="44634DEC"/>
    <w:rsid w:val="44A92F3F"/>
    <w:rsid w:val="44AB4F09"/>
    <w:rsid w:val="44C229D0"/>
    <w:rsid w:val="4510737E"/>
    <w:rsid w:val="45967F9C"/>
    <w:rsid w:val="45EE77A4"/>
    <w:rsid w:val="461B1C1B"/>
    <w:rsid w:val="467F03FC"/>
    <w:rsid w:val="46BF0ACA"/>
    <w:rsid w:val="46C200B8"/>
    <w:rsid w:val="478832E0"/>
    <w:rsid w:val="47A73950"/>
    <w:rsid w:val="47F37767"/>
    <w:rsid w:val="482B7B97"/>
    <w:rsid w:val="48C60B5F"/>
    <w:rsid w:val="4936107E"/>
    <w:rsid w:val="4971555C"/>
    <w:rsid w:val="49925A7D"/>
    <w:rsid w:val="4A0A0C77"/>
    <w:rsid w:val="4A233794"/>
    <w:rsid w:val="4A2A5330"/>
    <w:rsid w:val="4A431964"/>
    <w:rsid w:val="4A6F4C2B"/>
    <w:rsid w:val="4A800BE6"/>
    <w:rsid w:val="4A8835F7"/>
    <w:rsid w:val="4A951D4C"/>
    <w:rsid w:val="4B2B4033"/>
    <w:rsid w:val="4B6A3D2F"/>
    <w:rsid w:val="4B7778F3"/>
    <w:rsid w:val="4BB60892"/>
    <w:rsid w:val="4BF03B4A"/>
    <w:rsid w:val="4C062E76"/>
    <w:rsid w:val="4C7D5CAE"/>
    <w:rsid w:val="4C934C01"/>
    <w:rsid w:val="4CA54934"/>
    <w:rsid w:val="4CA74208"/>
    <w:rsid w:val="4CD00139"/>
    <w:rsid w:val="4CE90CC5"/>
    <w:rsid w:val="4D07735E"/>
    <w:rsid w:val="4D221AE1"/>
    <w:rsid w:val="4D246133"/>
    <w:rsid w:val="4DA675AC"/>
    <w:rsid w:val="4DC1731C"/>
    <w:rsid w:val="4EB96475"/>
    <w:rsid w:val="4EC2357B"/>
    <w:rsid w:val="4ED432AF"/>
    <w:rsid w:val="4EFB6DE2"/>
    <w:rsid w:val="4F0507C4"/>
    <w:rsid w:val="4F950C90"/>
    <w:rsid w:val="4FBF5D0D"/>
    <w:rsid w:val="4FCD5B82"/>
    <w:rsid w:val="4FD01CC8"/>
    <w:rsid w:val="50060682"/>
    <w:rsid w:val="50767D8A"/>
    <w:rsid w:val="50AA47D9"/>
    <w:rsid w:val="50C7131D"/>
    <w:rsid w:val="50D15CF8"/>
    <w:rsid w:val="51857D38"/>
    <w:rsid w:val="51B82A14"/>
    <w:rsid w:val="51D324FA"/>
    <w:rsid w:val="52173BDE"/>
    <w:rsid w:val="52BA7FE0"/>
    <w:rsid w:val="52C045C2"/>
    <w:rsid w:val="53121D9D"/>
    <w:rsid w:val="53C102A5"/>
    <w:rsid w:val="53EE45A5"/>
    <w:rsid w:val="54640C31"/>
    <w:rsid w:val="548D7284"/>
    <w:rsid w:val="54911254"/>
    <w:rsid w:val="5495703C"/>
    <w:rsid w:val="54E35FFA"/>
    <w:rsid w:val="550C7ACC"/>
    <w:rsid w:val="55B13259"/>
    <w:rsid w:val="567D422C"/>
    <w:rsid w:val="571050A0"/>
    <w:rsid w:val="57546DC1"/>
    <w:rsid w:val="57600001"/>
    <w:rsid w:val="57C136CD"/>
    <w:rsid w:val="58466FCB"/>
    <w:rsid w:val="585963C3"/>
    <w:rsid w:val="58A528D5"/>
    <w:rsid w:val="59385C52"/>
    <w:rsid w:val="596A0A97"/>
    <w:rsid w:val="598002BB"/>
    <w:rsid w:val="59833F9D"/>
    <w:rsid w:val="59CC1752"/>
    <w:rsid w:val="59CF1242"/>
    <w:rsid w:val="59EC0C94"/>
    <w:rsid w:val="59F12F67"/>
    <w:rsid w:val="59F26F59"/>
    <w:rsid w:val="5A2109E1"/>
    <w:rsid w:val="5A750A97"/>
    <w:rsid w:val="5B0B2544"/>
    <w:rsid w:val="5B7253B2"/>
    <w:rsid w:val="5B751975"/>
    <w:rsid w:val="5BC806C1"/>
    <w:rsid w:val="5BE940D8"/>
    <w:rsid w:val="5BEB1E5A"/>
    <w:rsid w:val="5BEB56DE"/>
    <w:rsid w:val="5C435F5A"/>
    <w:rsid w:val="5C7165E1"/>
    <w:rsid w:val="5CD501A8"/>
    <w:rsid w:val="5D1B4B7A"/>
    <w:rsid w:val="5D514C25"/>
    <w:rsid w:val="5DA86747"/>
    <w:rsid w:val="5E1A6CE7"/>
    <w:rsid w:val="5E2B3491"/>
    <w:rsid w:val="5F0E7E34"/>
    <w:rsid w:val="5F132D8C"/>
    <w:rsid w:val="5F182D44"/>
    <w:rsid w:val="5F2D4A41"/>
    <w:rsid w:val="5F55220B"/>
    <w:rsid w:val="5F7A57AC"/>
    <w:rsid w:val="5F883646"/>
    <w:rsid w:val="5FBE3555"/>
    <w:rsid w:val="5FD52E88"/>
    <w:rsid w:val="6028345A"/>
    <w:rsid w:val="60407D8C"/>
    <w:rsid w:val="606020F0"/>
    <w:rsid w:val="60AE5783"/>
    <w:rsid w:val="60E56871"/>
    <w:rsid w:val="60FD48E7"/>
    <w:rsid w:val="61296C23"/>
    <w:rsid w:val="6175447D"/>
    <w:rsid w:val="61D30A56"/>
    <w:rsid w:val="62160871"/>
    <w:rsid w:val="62567500"/>
    <w:rsid w:val="62B60044"/>
    <w:rsid w:val="62DB75F4"/>
    <w:rsid w:val="62E80C7F"/>
    <w:rsid w:val="63280D60"/>
    <w:rsid w:val="6387310C"/>
    <w:rsid w:val="63C811DC"/>
    <w:rsid w:val="63E7103C"/>
    <w:rsid w:val="63F01D9B"/>
    <w:rsid w:val="63FE15F1"/>
    <w:rsid w:val="645A5BAC"/>
    <w:rsid w:val="64914D1F"/>
    <w:rsid w:val="64FD4FB2"/>
    <w:rsid w:val="65017861"/>
    <w:rsid w:val="650C61D5"/>
    <w:rsid w:val="650E70C3"/>
    <w:rsid w:val="6562740E"/>
    <w:rsid w:val="65D81104"/>
    <w:rsid w:val="660B7819"/>
    <w:rsid w:val="66171FA7"/>
    <w:rsid w:val="661F2C0A"/>
    <w:rsid w:val="667B0788"/>
    <w:rsid w:val="66B34245"/>
    <w:rsid w:val="66C13CC1"/>
    <w:rsid w:val="672F2593"/>
    <w:rsid w:val="67392D70"/>
    <w:rsid w:val="674A09FF"/>
    <w:rsid w:val="677F5C59"/>
    <w:rsid w:val="67877971"/>
    <w:rsid w:val="67913794"/>
    <w:rsid w:val="679E072B"/>
    <w:rsid w:val="67C40EBB"/>
    <w:rsid w:val="67CD5355"/>
    <w:rsid w:val="68235B04"/>
    <w:rsid w:val="68541290"/>
    <w:rsid w:val="686D2352"/>
    <w:rsid w:val="68B74A09"/>
    <w:rsid w:val="68EA39A3"/>
    <w:rsid w:val="68F309CB"/>
    <w:rsid w:val="695E0300"/>
    <w:rsid w:val="698E432E"/>
    <w:rsid w:val="699F1794"/>
    <w:rsid w:val="6A31115D"/>
    <w:rsid w:val="6A59526A"/>
    <w:rsid w:val="6A7C058B"/>
    <w:rsid w:val="6ADE75EA"/>
    <w:rsid w:val="6AE52674"/>
    <w:rsid w:val="6BA42C8E"/>
    <w:rsid w:val="6BCF3B63"/>
    <w:rsid w:val="6C940230"/>
    <w:rsid w:val="6C9A0567"/>
    <w:rsid w:val="6D165BE9"/>
    <w:rsid w:val="6D8A7502"/>
    <w:rsid w:val="6D8F4B19"/>
    <w:rsid w:val="6DD34202"/>
    <w:rsid w:val="6DDB690C"/>
    <w:rsid w:val="6E1E2833"/>
    <w:rsid w:val="6E341EFF"/>
    <w:rsid w:val="6E3D27C7"/>
    <w:rsid w:val="6E865F1C"/>
    <w:rsid w:val="6EA91C0A"/>
    <w:rsid w:val="6F524050"/>
    <w:rsid w:val="6F5A2F04"/>
    <w:rsid w:val="6F8D5088"/>
    <w:rsid w:val="6FCA62DC"/>
    <w:rsid w:val="70DF2FD7"/>
    <w:rsid w:val="7145465B"/>
    <w:rsid w:val="71522AC9"/>
    <w:rsid w:val="719C621B"/>
    <w:rsid w:val="71D84CE0"/>
    <w:rsid w:val="71FC02A3"/>
    <w:rsid w:val="72943F28"/>
    <w:rsid w:val="729F135A"/>
    <w:rsid w:val="73016429"/>
    <w:rsid w:val="730D7B4F"/>
    <w:rsid w:val="73D2575F"/>
    <w:rsid w:val="73FD4B26"/>
    <w:rsid w:val="7546441A"/>
    <w:rsid w:val="759552F3"/>
    <w:rsid w:val="75F145C2"/>
    <w:rsid w:val="760065B4"/>
    <w:rsid w:val="769907B6"/>
    <w:rsid w:val="76E97048"/>
    <w:rsid w:val="771263E5"/>
    <w:rsid w:val="771852A8"/>
    <w:rsid w:val="773651D5"/>
    <w:rsid w:val="776112D4"/>
    <w:rsid w:val="778D031B"/>
    <w:rsid w:val="77972419"/>
    <w:rsid w:val="77E912C9"/>
    <w:rsid w:val="786C6182"/>
    <w:rsid w:val="78E350FE"/>
    <w:rsid w:val="790C1713"/>
    <w:rsid w:val="792702FB"/>
    <w:rsid w:val="795B13AA"/>
    <w:rsid w:val="796E265F"/>
    <w:rsid w:val="79A9552B"/>
    <w:rsid w:val="79B6321E"/>
    <w:rsid w:val="79C505D8"/>
    <w:rsid w:val="7A3A41A1"/>
    <w:rsid w:val="7AEA338E"/>
    <w:rsid w:val="7B4118B2"/>
    <w:rsid w:val="7B5B603A"/>
    <w:rsid w:val="7B9A7B5B"/>
    <w:rsid w:val="7BDF4EBD"/>
    <w:rsid w:val="7C0C4D1D"/>
    <w:rsid w:val="7C9C1996"/>
    <w:rsid w:val="7CF077D4"/>
    <w:rsid w:val="7D200C7E"/>
    <w:rsid w:val="7D733B0F"/>
    <w:rsid w:val="7DA168CE"/>
    <w:rsid w:val="7DC13ACC"/>
    <w:rsid w:val="7DDA0140"/>
    <w:rsid w:val="7E576F8D"/>
    <w:rsid w:val="7EB50157"/>
    <w:rsid w:val="7EEF4D02"/>
    <w:rsid w:val="7F511C2E"/>
    <w:rsid w:val="7F5C0EA0"/>
    <w:rsid w:val="7F6172A8"/>
    <w:rsid w:val="7F8112B8"/>
    <w:rsid w:val="7FB81CAD"/>
    <w:rsid w:val="7FE5528A"/>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outlineLvl w:val="1"/>
    </w:pPr>
    <w:rPr>
      <w:sz w:val="36"/>
      <w:szCs w:val="36"/>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next w:val="9"/>
    <w:autoRedefine/>
    <w:qFormat/>
    <w:uiPriority w:val="0"/>
    <w:pPr>
      <w:autoSpaceDE w:val="0"/>
      <w:autoSpaceDN w:val="0"/>
      <w:jc w:val="left"/>
    </w:pPr>
    <w:rPr>
      <w:rFonts w:ascii="宋体" w:hAnsi="宋体"/>
      <w:kern w:val="0"/>
      <w:sz w:val="32"/>
      <w:szCs w:val="32"/>
    </w:rPr>
  </w:style>
  <w:style w:type="paragraph" w:styleId="9">
    <w:name w:val="Body Text 2"/>
    <w:basedOn w:val="1"/>
    <w:autoRedefine/>
    <w:qFormat/>
    <w:uiPriority w:val="0"/>
    <w:pPr>
      <w:spacing w:line="360" w:lineRule="auto"/>
    </w:pPr>
    <w:rPr>
      <w:sz w:val="24"/>
    </w:rPr>
  </w:style>
  <w:style w:type="paragraph" w:styleId="10">
    <w:name w:val="Body Text Indent"/>
    <w:basedOn w:val="1"/>
    <w:autoRedefine/>
    <w:qFormat/>
    <w:uiPriority w:val="0"/>
    <w:pPr>
      <w:spacing w:line="360" w:lineRule="auto"/>
      <w:ind w:firstLine="420" w:firstLineChars="200"/>
    </w:pPr>
    <w:rPr>
      <w:kern w:val="0"/>
      <w:sz w:val="20"/>
      <w:szCs w:val="24"/>
    </w:rPr>
  </w:style>
  <w:style w:type="paragraph" w:styleId="11">
    <w:name w:val="Plain Text"/>
    <w:basedOn w:val="1"/>
    <w:next w:val="12"/>
    <w:autoRedefine/>
    <w:qFormat/>
    <w:uiPriority w:val="0"/>
    <w:rPr>
      <w:rFonts w:hint="eastAsia" w:ascii="宋体" w:hAnsi="Courier New"/>
      <w:kern w:val="0"/>
      <w:sz w:val="20"/>
      <w:szCs w:val="21"/>
    </w:rPr>
  </w:style>
  <w:style w:type="paragraph" w:customStyle="1" w:styleId="12">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3">
    <w:name w:val="Balloon Text"/>
    <w:basedOn w:val="1"/>
    <w:autoRedefine/>
    <w:qFormat/>
    <w:uiPriority w:val="0"/>
    <w:rPr>
      <w:rFonts w:ascii="Calibri" w:hAnsi="Calibri"/>
      <w:sz w:val="18"/>
      <w:szCs w:val="18"/>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10"/>
    <w:autoRedefine/>
    <w:qFormat/>
    <w:uiPriority w:val="0"/>
    <w:pPr>
      <w:spacing w:after="120" w:line="240" w:lineRule="auto"/>
      <w:ind w:left="420" w:leftChars="200"/>
    </w:pPr>
    <w:rPr>
      <w:rFonts w:ascii="Calibri" w:hAnsi="Calibri"/>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character" w:styleId="24">
    <w:name w:val="Hyperlink"/>
    <w:basedOn w:val="21"/>
    <w:autoRedefine/>
    <w:qFormat/>
    <w:uiPriority w:val="0"/>
    <w:rPr>
      <w:color w:val="0000FF"/>
      <w:u w:val="single"/>
    </w:rPr>
  </w:style>
  <w:style w:type="paragraph" w:styleId="25">
    <w:name w:val="No Spacing"/>
    <w:basedOn w:val="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6">
    <w:name w:val="p0"/>
    <w:basedOn w:val="1"/>
    <w:autoRedefine/>
    <w:qFormat/>
    <w:uiPriority w:val="0"/>
    <w:pPr>
      <w:widowControl/>
    </w:pPr>
    <w:rPr>
      <w:kern w:val="0"/>
      <w:szCs w:val="21"/>
    </w:rPr>
  </w:style>
  <w:style w:type="paragraph" w:customStyle="1" w:styleId="27">
    <w:name w:val="表格文字"/>
    <w:basedOn w:val="1"/>
    <w:autoRedefine/>
    <w:qFormat/>
    <w:uiPriority w:val="0"/>
    <w:pPr>
      <w:spacing w:before="25" w:after="25"/>
    </w:pPr>
    <w:rPr>
      <w:spacing w:val="10"/>
      <w:sz w:val="24"/>
    </w:rPr>
  </w:style>
  <w:style w:type="paragraph" w:customStyle="1" w:styleId="28">
    <w:name w:val="列出段落111"/>
    <w:basedOn w:val="1"/>
    <w:autoRedefine/>
    <w:qFormat/>
    <w:uiPriority w:val="0"/>
    <w:pPr>
      <w:ind w:firstLine="420" w:firstLineChars="200"/>
    </w:pPr>
  </w:style>
  <w:style w:type="paragraph" w:customStyle="1" w:styleId="29">
    <w:name w:val="保留正文"/>
    <w:basedOn w:val="8"/>
    <w:autoRedefine/>
    <w:qFormat/>
    <w:uiPriority w:val="0"/>
    <w:pPr>
      <w:keepNext/>
      <w:tabs>
        <w:tab w:val="left" w:pos="562"/>
        <w:tab w:val="left" w:pos="3372"/>
        <w:tab w:val="left" w:pos="3653"/>
      </w:tabs>
      <w:spacing w:after="160"/>
    </w:pPr>
    <w:rPr>
      <w:sz w:val="21"/>
    </w:rPr>
  </w:style>
  <w:style w:type="character" w:customStyle="1" w:styleId="30">
    <w:name w:val="font31"/>
    <w:basedOn w:val="21"/>
    <w:autoRedefine/>
    <w:qFormat/>
    <w:uiPriority w:val="0"/>
    <w:rPr>
      <w:rFonts w:hint="eastAsia" w:ascii="宋体" w:hAnsi="宋体" w:eastAsia="宋体" w:cs="宋体"/>
      <w:color w:val="000000"/>
      <w:sz w:val="24"/>
      <w:szCs w:val="24"/>
      <w:u w:val="none"/>
    </w:rPr>
  </w:style>
  <w:style w:type="paragraph" w:customStyle="1" w:styleId="31">
    <w:name w:val="列出段落1"/>
    <w:basedOn w:val="1"/>
    <w:autoRedefine/>
    <w:qFormat/>
    <w:uiPriority w:val="34"/>
    <w:pPr>
      <w:ind w:firstLine="420" w:firstLineChars="200"/>
    </w:pPr>
  </w:style>
  <w:style w:type="paragraph" w:customStyle="1" w:styleId="32">
    <w:name w:val="_Style 1"/>
    <w:basedOn w:val="1"/>
    <w:next w:val="1"/>
    <w:autoRedefine/>
    <w:qFormat/>
    <w:uiPriority w:val="99"/>
    <w:pPr>
      <w:ind w:firstLine="420" w:firstLineChars="200"/>
    </w:pPr>
  </w:style>
  <w:style w:type="paragraph" w:customStyle="1" w:styleId="33">
    <w:name w:val="表格小五F4"/>
    <w:basedOn w:val="34"/>
    <w:autoRedefine/>
    <w:qFormat/>
    <w:uiPriority w:val="0"/>
    <w:rPr>
      <w:sz w:val="18"/>
    </w:rPr>
  </w:style>
  <w:style w:type="paragraph" w:customStyle="1" w:styleId="34">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5">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6">
    <w:name w:val="列表段落1"/>
    <w:basedOn w:val="1"/>
    <w:autoRedefine/>
    <w:qFormat/>
    <w:uiPriority w:val="0"/>
    <w:pPr>
      <w:ind w:firstLine="420" w:firstLineChars="200"/>
    </w:pPr>
  </w:style>
  <w:style w:type="paragraph" w:customStyle="1" w:styleId="37">
    <w:name w:val="List Paragraph"/>
    <w:basedOn w:val="1"/>
    <w:autoRedefine/>
    <w:qFormat/>
    <w:uiPriority w:val="34"/>
    <w:pPr>
      <w:ind w:firstLine="420" w:firstLineChars="200"/>
    </w:pPr>
  </w:style>
  <w:style w:type="paragraph" w:customStyle="1" w:styleId="38">
    <w:name w:val="Normal Indent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72</Pages>
  <Words>3743</Words>
  <Characters>3893</Characters>
  <Lines>0</Lines>
  <Paragraphs>0</Paragraphs>
  <TotalTime>1</TotalTime>
  <ScaleCrop>false</ScaleCrop>
  <LinksUpToDate>false</LinksUpToDate>
  <CharactersWithSpaces>3931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2025-12-16T01:57:00Z</dcterms:created>
  <dc:creator>Administrator</dc:creator>
  <cp:lastModifiedBy>Administrator</cp:lastModifiedBy>
  <dcterms:modified xsi:type="dcterms:W3CDTF">2026-08-06T06:39:48Z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10C4548B90A540939D951626AEC8E870_13</vt:lpwstr>
  </property>
</Properties>
</file>