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55B65">
      <w:pPr>
        <w:spacing w:line="360" w:lineRule="auto"/>
        <w:jc w:val="center"/>
        <w:rPr>
          <w:rFonts w:hint="eastAsia" w:ascii="宋体" w:hAnsi="宋体"/>
          <w:b/>
          <w:sz w:val="32"/>
          <w:szCs w:val="32"/>
        </w:rPr>
      </w:pPr>
      <w:r>
        <w:rPr>
          <w:rFonts w:hint="eastAsia" w:ascii="宋体" w:hAnsi="宋体"/>
          <w:b/>
          <w:sz w:val="32"/>
          <w:szCs w:val="32"/>
        </w:rPr>
        <w:t>龙岗区妇幼保健院婴儿防盗系统采购项目需求文件</w:t>
      </w:r>
    </w:p>
    <w:p w14:paraId="6ACD41C9">
      <w:pPr>
        <w:pStyle w:val="2"/>
        <w:numPr>
          <w:ilvl w:val="255"/>
          <w:numId w:val="0"/>
        </w:numPr>
      </w:pPr>
      <w:bookmarkStart w:id="0" w:name="_Toc361780468"/>
    </w:p>
    <w:p w14:paraId="5A08FC45">
      <w:pPr>
        <w:pStyle w:val="4"/>
        <w:numPr>
          <w:ilvl w:val="0"/>
          <w:numId w:val="1"/>
        </w:numPr>
        <w:spacing w:before="156" w:beforeLines="50" w:after="156" w:afterLines="50"/>
        <w:rPr>
          <w:rFonts w:cs="宋体"/>
          <w:b/>
          <w:bCs/>
          <w:sz w:val="28"/>
          <w:szCs w:val="28"/>
        </w:rPr>
      </w:pPr>
      <w:r>
        <w:rPr>
          <w:rFonts w:hint="eastAsia" w:cs="宋体"/>
          <w:b/>
          <w:bCs/>
          <w:sz w:val="28"/>
          <w:szCs w:val="28"/>
        </w:rPr>
        <w:t>项目概述</w:t>
      </w:r>
    </w:p>
    <w:p w14:paraId="2C3AE4CC">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为筑牢新生儿安全防线，补齐产科智慧安防短板，提升医院精细化管理水平，优化孕产妇就医安全感与满意度，同步匹配医院新院区智慧医院整体信息化建设规划，本次实施婴儿防盗系统采购项目。</w:t>
      </w:r>
    </w:p>
    <w:p w14:paraId="6E9F3371">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依托物联网射频识别技术，部署新生儿防拆电子标签、病区信号基站、出入口报警网关、安防管理平台等软硬件设施，实现新生儿实时定位追踪、母婴身份自动配对核验、标签非法拆卸报警、病区出入口越界声光预警、移动终端告警推送、历史轨迹回溯等核心功能，从技术层面杜绝新生儿抱错、被盗风险，减轻医护人员安全管控工作负荷，切实守护辖区新生儿生命安全，树立区域妇幼智慧安全管理标杆。</w:t>
      </w:r>
    </w:p>
    <w:p w14:paraId="7E44916D">
      <w:pPr>
        <w:pStyle w:val="2"/>
        <w:jc w:val="left"/>
        <w:rPr>
          <w:rFonts w:hint="eastAsia" w:asciiTheme="majorEastAsia" w:hAnsiTheme="majorEastAsia"/>
          <w:sz w:val="28"/>
          <w:szCs w:val="28"/>
        </w:rPr>
      </w:pPr>
      <w:r>
        <w:rPr>
          <w:rFonts w:hint="eastAsia" w:asciiTheme="majorEastAsia" w:hAnsiTheme="majorEastAsia"/>
          <w:sz w:val="28"/>
          <w:szCs w:val="28"/>
        </w:rPr>
        <w:t>二、采购清单</w:t>
      </w:r>
    </w:p>
    <w:tbl>
      <w:tblPr>
        <w:tblStyle w:val="2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872"/>
        <w:gridCol w:w="1009"/>
        <w:gridCol w:w="1282"/>
        <w:gridCol w:w="2359"/>
        <w:gridCol w:w="1152"/>
      </w:tblGrid>
      <w:tr w14:paraId="47A5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29" w:type="dxa"/>
            <w:vAlign w:val="center"/>
          </w:tcPr>
          <w:p w14:paraId="7F863B9D">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序号</w:t>
            </w:r>
          </w:p>
        </w:tc>
        <w:tc>
          <w:tcPr>
            <w:tcW w:w="2872" w:type="dxa"/>
            <w:vAlign w:val="center"/>
          </w:tcPr>
          <w:p w14:paraId="5BA9EB39">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项目名称</w:t>
            </w:r>
          </w:p>
        </w:tc>
        <w:tc>
          <w:tcPr>
            <w:tcW w:w="1009" w:type="dxa"/>
            <w:vAlign w:val="center"/>
          </w:tcPr>
          <w:p w14:paraId="20B1C6D8">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数量</w:t>
            </w:r>
          </w:p>
        </w:tc>
        <w:tc>
          <w:tcPr>
            <w:tcW w:w="1282" w:type="dxa"/>
            <w:vAlign w:val="center"/>
          </w:tcPr>
          <w:p w14:paraId="7F560F9E">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单位</w:t>
            </w:r>
          </w:p>
        </w:tc>
        <w:tc>
          <w:tcPr>
            <w:tcW w:w="2359" w:type="dxa"/>
            <w:vAlign w:val="center"/>
          </w:tcPr>
          <w:p w14:paraId="5F261DD7">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预算总金额（万元）</w:t>
            </w:r>
          </w:p>
        </w:tc>
        <w:tc>
          <w:tcPr>
            <w:tcW w:w="1152" w:type="dxa"/>
            <w:vAlign w:val="center"/>
          </w:tcPr>
          <w:p w14:paraId="764B13BA">
            <w:pPr>
              <w:widowControl/>
              <w:spacing w:before="120" w:line="360" w:lineRule="auto"/>
              <w:jc w:val="center"/>
              <w:rPr>
                <w:rFonts w:hint="eastAsia" w:ascii="宋体" w:hAnsi="宋体"/>
                <w:b/>
                <w:color w:val="000000"/>
                <w:kern w:val="0"/>
                <w:szCs w:val="21"/>
              </w:rPr>
            </w:pPr>
            <w:r>
              <w:rPr>
                <w:rFonts w:hint="eastAsia" w:ascii="宋体" w:hAnsi="宋体"/>
                <w:b/>
                <w:color w:val="000000"/>
                <w:kern w:val="0"/>
                <w:szCs w:val="21"/>
              </w:rPr>
              <w:t>备注</w:t>
            </w:r>
          </w:p>
        </w:tc>
      </w:tr>
      <w:tr w14:paraId="6B82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29" w:type="dxa"/>
            <w:vAlign w:val="center"/>
          </w:tcPr>
          <w:p w14:paraId="52474C3B">
            <w:pPr>
              <w:widowControl/>
              <w:spacing w:before="120" w:line="360" w:lineRule="auto"/>
              <w:jc w:val="center"/>
              <w:rPr>
                <w:rFonts w:hint="eastAsia" w:ascii="宋体" w:hAnsi="宋体" w:cs="宋体"/>
                <w:color w:val="000000"/>
                <w:kern w:val="0"/>
                <w:szCs w:val="21"/>
              </w:rPr>
            </w:pPr>
            <w:r>
              <w:rPr>
                <w:rFonts w:hint="eastAsia" w:ascii="宋体" w:hAnsi="宋体" w:cs="宋体"/>
                <w:color w:val="000000"/>
                <w:kern w:val="0"/>
                <w:szCs w:val="21"/>
              </w:rPr>
              <w:t>1</w:t>
            </w:r>
          </w:p>
        </w:tc>
        <w:tc>
          <w:tcPr>
            <w:tcW w:w="2872" w:type="dxa"/>
            <w:vAlign w:val="center"/>
          </w:tcPr>
          <w:p w14:paraId="3E9318FF">
            <w:pPr>
              <w:widowControl/>
              <w:spacing w:before="120" w:line="360" w:lineRule="auto"/>
              <w:jc w:val="center"/>
              <w:rPr>
                <w:rFonts w:hint="eastAsia" w:ascii="宋体" w:hAnsi="宋体" w:cs="宋体"/>
                <w:szCs w:val="21"/>
              </w:rPr>
            </w:pPr>
            <w:r>
              <w:rPr>
                <w:rFonts w:hint="eastAsia" w:ascii="宋体" w:hAnsi="宋体" w:cs="宋体"/>
                <w:bCs/>
                <w:color w:val="000000" w:themeColor="text1"/>
                <w:szCs w:val="21"/>
                <w14:textFill>
                  <w14:solidFill>
                    <w14:schemeClr w14:val="tx1"/>
                  </w14:solidFill>
                </w14:textFill>
              </w:rPr>
              <w:t>婴儿防盗系统采购项目</w:t>
            </w:r>
          </w:p>
        </w:tc>
        <w:tc>
          <w:tcPr>
            <w:tcW w:w="1009" w:type="dxa"/>
            <w:vAlign w:val="center"/>
          </w:tcPr>
          <w:p w14:paraId="1B5DE7B7">
            <w:pPr>
              <w:widowControl/>
              <w:spacing w:before="120" w:line="360" w:lineRule="auto"/>
              <w:jc w:val="center"/>
              <w:rPr>
                <w:rFonts w:hint="eastAsia" w:ascii="宋体" w:hAnsi="宋体" w:cs="宋体"/>
                <w:szCs w:val="21"/>
              </w:rPr>
            </w:pPr>
            <w:r>
              <w:rPr>
                <w:rFonts w:hint="eastAsia" w:ascii="宋体" w:hAnsi="宋体" w:cs="宋体"/>
                <w:szCs w:val="21"/>
              </w:rPr>
              <w:t>1</w:t>
            </w:r>
          </w:p>
        </w:tc>
        <w:tc>
          <w:tcPr>
            <w:tcW w:w="1282" w:type="dxa"/>
            <w:vAlign w:val="center"/>
          </w:tcPr>
          <w:p w14:paraId="24273425">
            <w:pPr>
              <w:widowControl/>
              <w:spacing w:before="120" w:line="360" w:lineRule="auto"/>
              <w:jc w:val="center"/>
              <w:rPr>
                <w:rFonts w:hint="eastAsia" w:ascii="宋体" w:hAnsi="宋体" w:cs="宋体"/>
                <w:szCs w:val="21"/>
              </w:rPr>
            </w:pPr>
            <w:r>
              <w:rPr>
                <w:rFonts w:hint="eastAsia" w:ascii="宋体" w:hAnsi="宋体" w:cs="宋体"/>
                <w:szCs w:val="21"/>
              </w:rPr>
              <w:t>套</w:t>
            </w:r>
          </w:p>
        </w:tc>
        <w:tc>
          <w:tcPr>
            <w:tcW w:w="2359" w:type="dxa"/>
            <w:vAlign w:val="center"/>
          </w:tcPr>
          <w:p w14:paraId="7C8F2481">
            <w:pPr>
              <w:widowControl/>
              <w:spacing w:before="120" w:line="360" w:lineRule="auto"/>
              <w:jc w:val="center"/>
              <w:rPr>
                <w:rFonts w:hint="eastAsia" w:ascii="宋体" w:hAnsi="宋体" w:cs="宋体"/>
                <w:szCs w:val="21"/>
              </w:rPr>
            </w:pPr>
            <w:r>
              <w:rPr>
                <w:rFonts w:hint="eastAsia" w:ascii="宋体" w:hAnsi="宋体" w:cs="宋体"/>
                <w:szCs w:val="21"/>
              </w:rPr>
              <w:t>8.776</w:t>
            </w:r>
          </w:p>
        </w:tc>
        <w:tc>
          <w:tcPr>
            <w:tcW w:w="1152" w:type="dxa"/>
            <w:vAlign w:val="center"/>
          </w:tcPr>
          <w:p w14:paraId="4B5C3E53">
            <w:pPr>
              <w:widowControl/>
              <w:spacing w:before="120" w:line="360" w:lineRule="auto"/>
              <w:jc w:val="center"/>
              <w:rPr>
                <w:rFonts w:hint="eastAsia" w:ascii="宋体" w:hAnsi="宋体" w:cs="宋体"/>
                <w:szCs w:val="21"/>
              </w:rPr>
            </w:pPr>
            <w:r>
              <w:rPr>
                <w:rFonts w:hint="eastAsia" w:ascii="宋体" w:hAnsi="宋体" w:cs="宋体"/>
                <w:szCs w:val="21"/>
              </w:rPr>
              <w:t>拒绝进口</w:t>
            </w:r>
          </w:p>
        </w:tc>
      </w:tr>
    </w:tbl>
    <w:p w14:paraId="704F696D">
      <w:pPr>
        <w:pStyle w:val="2"/>
        <w:jc w:val="left"/>
        <w:rPr>
          <w:rFonts w:hint="eastAsia" w:asciiTheme="majorEastAsia" w:hAnsiTheme="majorEastAsia"/>
          <w:sz w:val="28"/>
          <w:szCs w:val="28"/>
        </w:rPr>
      </w:pPr>
      <w:r>
        <w:rPr>
          <w:rFonts w:hint="eastAsia" w:asciiTheme="majorEastAsia" w:hAnsiTheme="majorEastAsia"/>
          <w:sz w:val="28"/>
          <w:szCs w:val="28"/>
        </w:rPr>
        <w:t>三、技术要求</w:t>
      </w:r>
    </w:p>
    <w:tbl>
      <w:tblPr>
        <w:tblStyle w:val="20"/>
        <w:tblW w:w="9178" w:type="dxa"/>
        <w:tblInd w:w="0" w:type="dxa"/>
        <w:tblLayout w:type="fixed"/>
        <w:tblCellMar>
          <w:top w:w="0" w:type="dxa"/>
          <w:left w:w="108" w:type="dxa"/>
          <w:bottom w:w="0" w:type="dxa"/>
          <w:right w:w="108" w:type="dxa"/>
        </w:tblCellMar>
      </w:tblPr>
      <w:tblGrid>
        <w:gridCol w:w="793"/>
        <w:gridCol w:w="1356"/>
        <w:gridCol w:w="1525"/>
        <w:gridCol w:w="5504"/>
      </w:tblGrid>
      <w:tr w14:paraId="55292F72">
        <w:tblPrEx>
          <w:tblCellMar>
            <w:top w:w="0" w:type="dxa"/>
            <w:left w:w="108" w:type="dxa"/>
            <w:bottom w:w="0" w:type="dxa"/>
            <w:right w:w="108" w:type="dxa"/>
          </w:tblCellMar>
        </w:tblPrEx>
        <w:trPr>
          <w:trHeight w:val="312" w:hRule="atLeast"/>
        </w:trPr>
        <w:tc>
          <w:tcPr>
            <w:tcW w:w="771" w:type="dxa"/>
            <w:tcBorders>
              <w:top w:val="single" w:color="000000" w:sz="4" w:space="0"/>
              <w:left w:val="single" w:color="000000" w:sz="4" w:space="0"/>
              <w:bottom w:val="single" w:color="000000" w:sz="4" w:space="0"/>
              <w:right w:val="single" w:color="000000" w:sz="4" w:space="0"/>
            </w:tcBorders>
            <w:vAlign w:val="center"/>
          </w:tcPr>
          <w:p w14:paraId="5FFD3169">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序号</w:t>
            </w:r>
          </w:p>
        </w:tc>
        <w:tc>
          <w:tcPr>
            <w:tcW w:w="1319" w:type="dxa"/>
            <w:tcBorders>
              <w:top w:val="single" w:color="000000" w:sz="4" w:space="0"/>
              <w:left w:val="single" w:color="000000" w:sz="4" w:space="0"/>
              <w:bottom w:val="single" w:color="000000" w:sz="4" w:space="0"/>
              <w:right w:val="single" w:color="000000" w:sz="4" w:space="0"/>
            </w:tcBorders>
            <w:vAlign w:val="center"/>
          </w:tcPr>
          <w:p w14:paraId="3BC69132">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系统名称</w:t>
            </w:r>
          </w:p>
        </w:tc>
        <w:tc>
          <w:tcPr>
            <w:tcW w:w="1483" w:type="dxa"/>
            <w:tcBorders>
              <w:top w:val="single" w:color="000000" w:sz="4" w:space="0"/>
              <w:left w:val="single" w:color="000000" w:sz="4" w:space="0"/>
              <w:bottom w:val="single" w:color="000000" w:sz="4" w:space="0"/>
              <w:right w:val="single" w:color="000000" w:sz="4" w:space="0"/>
            </w:tcBorders>
            <w:vAlign w:val="center"/>
          </w:tcPr>
          <w:p w14:paraId="315156EF">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数量</w:t>
            </w:r>
          </w:p>
        </w:tc>
        <w:tc>
          <w:tcPr>
            <w:tcW w:w="5353" w:type="dxa"/>
            <w:tcBorders>
              <w:top w:val="single" w:color="000000" w:sz="4" w:space="0"/>
              <w:left w:val="single" w:color="000000" w:sz="4" w:space="0"/>
              <w:bottom w:val="single" w:color="000000" w:sz="4" w:space="0"/>
              <w:right w:val="single" w:color="000000" w:sz="4" w:space="0"/>
            </w:tcBorders>
            <w:vAlign w:val="center"/>
          </w:tcPr>
          <w:p w14:paraId="1E4CF782">
            <w:pPr>
              <w:widowControl/>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lang w:bidi="ar"/>
              </w:rPr>
              <w:t>技术参数</w:t>
            </w:r>
          </w:p>
        </w:tc>
      </w:tr>
      <w:tr w14:paraId="52A8D340">
        <w:tblPrEx>
          <w:tblCellMar>
            <w:top w:w="0" w:type="dxa"/>
            <w:left w:w="108" w:type="dxa"/>
            <w:bottom w:w="0" w:type="dxa"/>
            <w:right w:w="108" w:type="dxa"/>
          </w:tblCellMar>
        </w:tblPrEx>
        <w:trPr>
          <w:trHeight w:val="3168" w:hRule="atLeast"/>
        </w:trPr>
        <w:tc>
          <w:tcPr>
            <w:tcW w:w="771" w:type="dxa"/>
            <w:vMerge w:val="restart"/>
            <w:tcBorders>
              <w:top w:val="single" w:color="000000" w:sz="4" w:space="0"/>
              <w:left w:val="single" w:color="000000" w:sz="4" w:space="0"/>
              <w:bottom w:val="single" w:color="000000" w:sz="4" w:space="0"/>
              <w:right w:val="single" w:color="000000" w:sz="4" w:space="0"/>
            </w:tcBorders>
            <w:noWrap/>
            <w:vAlign w:val="center"/>
          </w:tcPr>
          <w:p w14:paraId="45EC439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5D31B2C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婴儿防盗监控系统软件</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14:paraId="4B21D4D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5353" w:type="dxa"/>
            <w:tcBorders>
              <w:top w:val="single" w:color="000000" w:sz="4" w:space="0"/>
              <w:left w:val="single" w:color="000000" w:sz="4" w:space="0"/>
              <w:bottom w:val="single" w:color="000000" w:sz="4" w:space="0"/>
              <w:right w:val="single" w:color="000000" w:sz="4" w:space="0"/>
            </w:tcBorders>
            <w:vAlign w:val="center"/>
          </w:tcPr>
          <w:p w14:paraId="17AC7106">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1、首页：</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1）支持单机版与对接HIS版本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2）可根据楼层、科室信息，展示妈妈姓名、床位号、婴儿性别、手环编号、绑定状态信息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3）可手动添加妈妈及婴儿信息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4）支持双胞胎和多胞胎的信息绑定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5）可进行手环绑定、解绑、更换操作，支持单个婴儿授权、一键多个婴儿授权，支持更换科室、更换床位操作；</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6）可实现断带报警、低电量报警、基站离线报警；</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7）床位原色以及淡绿色背景可供选择；</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8）绑定手环时，自动获取识别到手环编码。</w:t>
            </w:r>
          </w:p>
        </w:tc>
      </w:tr>
      <w:tr w14:paraId="4FFDFA52">
        <w:tblPrEx>
          <w:tblCellMar>
            <w:top w:w="0" w:type="dxa"/>
            <w:left w:w="108" w:type="dxa"/>
            <w:bottom w:w="0" w:type="dxa"/>
            <w:right w:w="108" w:type="dxa"/>
          </w:tblCellMar>
        </w:tblPrEx>
        <w:trPr>
          <w:trHeight w:val="1080"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31189000">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03255FCF">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5AAE117F">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151E0A43">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2、报警管理：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1）对各类报警信息进行记录，并对报警进行处理，支持一键处理报警。</w:t>
            </w:r>
          </w:p>
        </w:tc>
      </w:tr>
      <w:tr w14:paraId="24A6D46E">
        <w:tblPrEx>
          <w:tblCellMar>
            <w:top w:w="0" w:type="dxa"/>
            <w:left w:w="108" w:type="dxa"/>
            <w:bottom w:w="0" w:type="dxa"/>
            <w:right w:w="108" w:type="dxa"/>
          </w:tblCellMar>
        </w:tblPrEx>
        <w:trPr>
          <w:trHeight w:val="1260"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2F292DBF">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0EFE004">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1F0968B1">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13130D73">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3、婴儿管理：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1）可手动添加婴儿信息，包括妈妈姓名、手环编号、婴儿性别、出生日期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2）可完成手环解绑、更换、授权操作。</w:t>
            </w:r>
          </w:p>
        </w:tc>
      </w:tr>
      <w:tr w14:paraId="13053DE4">
        <w:tblPrEx>
          <w:tblCellMar>
            <w:top w:w="0" w:type="dxa"/>
            <w:left w:w="108" w:type="dxa"/>
            <w:bottom w:w="0" w:type="dxa"/>
            <w:right w:w="108" w:type="dxa"/>
          </w:tblCellMar>
        </w:tblPrEx>
        <w:trPr>
          <w:trHeight w:val="1248"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7AA256B2">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4F40B879">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410FA919">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597ABE47">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4、手环管理：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可自动添加所有识别到的手环信息，可查看手环的添加时间、绑定状态、绑定时间、电量等信息；可对手环进行启用、禁用、删除操作。</w:t>
            </w:r>
          </w:p>
        </w:tc>
      </w:tr>
      <w:tr w14:paraId="3F3D9017">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5B37FF62">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022111C9">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0FFAFB60">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839109F">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5、蓝牙网关设置：</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可自动识别连接成功的蓝牙网关信息，可查看蓝牙网关的编码、区域、状态信息。</w:t>
            </w:r>
          </w:p>
        </w:tc>
      </w:tr>
      <w:tr w14:paraId="15939187">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04621481">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B32265C">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7DE77350">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758530E8">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6、解绑绑定记录：</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可记录所有手环的绑定记录信息，包括绑定时间、手环编号、操作详情以及操作人。</w:t>
            </w:r>
          </w:p>
        </w:tc>
      </w:tr>
      <w:tr w14:paraId="4DFB3DB2">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6A1654AA">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6104E87B">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4A038502">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49ED153F">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7、医院管理：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可对科室信息、床位信息以及妈妈信息进行增删改查的相关操作。</w:t>
            </w:r>
          </w:p>
        </w:tc>
      </w:tr>
      <w:tr w14:paraId="469EAB9F">
        <w:tblPrEx>
          <w:tblCellMar>
            <w:top w:w="0" w:type="dxa"/>
            <w:left w:w="108" w:type="dxa"/>
            <w:bottom w:w="0" w:type="dxa"/>
            <w:right w:w="108" w:type="dxa"/>
          </w:tblCellMar>
        </w:tblPrEx>
        <w:trPr>
          <w:trHeight w:val="4992"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4999D239">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2BBB66FB">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06BE2F8A">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5D351949">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8、婴儿设置：</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1）可设置手环断带后授权时间，当触发断带报警后，在授权时间内不会再次触发报警，若超过授权时间则触发断带报警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2）可设置处理报警后的授权时间，当处理报警后，在授权时间内不会再次触发报警，若超过授权时间则触发相应报警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3）可设置处理报警、授权操作、解绑手环时是否需要输入用户名及密码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4）支持数据下发功能，可在婴儿手环上展示手环编码、床位号、妈妈姓名信息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5）可设置长时间未绑定时间，当婴儿出生后，一旦达到设定时间未进行绑定，则触发报警；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6）可设置手环解绑状态，解绑手环后妈妈立即出院，不设置时则保留妈妈信息；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7）可设置免密时长，当设置授权密码、处理报警密码、解绑密码时，在免密时间内无需输入用户名及密码；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8）可设置脱落报警温度(℃)。</w:t>
            </w:r>
          </w:p>
        </w:tc>
      </w:tr>
      <w:tr w14:paraId="48AD50AE">
        <w:tblPrEx>
          <w:tblCellMar>
            <w:top w:w="0" w:type="dxa"/>
            <w:left w:w="108" w:type="dxa"/>
            <w:bottom w:w="0" w:type="dxa"/>
            <w:right w:w="108" w:type="dxa"/>
          </w:tblCellMar>
        </w:tblPrEx>
        <w:trPr>
          <w:trHeight w:val="1248" w:hRule="atLeast"/>
        </w:trPr>
        <w:tc>
          <w:tcPr>
            <w:tcW w:w="771" w:type="dxa"/>
            <w:vMerge w:val="continue"/>
            <w:tcBorders>
              <w:top w:val="single" w:color="000000" w:sz="4" w:space="0"/>
              <w:left w:val="single" w:color="000000" w:sz="4" w:space="0"/>
              <w:bottom w:val="single" w:color="000000" w:sz="4" w:space="0"/>
              <w:right w:val="single" w:color="000000" w:sz="4" w:space="0"/>
            </w:tcBorders>
            <w:noWrap/>
            <w:vAlign w:val="center"/>
          </w:tcPr>
          <w:p w14:paraId="2BCD46A8">
            <w:pPr>
              <w:jc w:val="center"/>
              <w:rPr>
                <w:rFonts w:hint="eastAsia" w:ascii="宋体" w:hAnsi="宋体" w:cs="宋体"/>
                <w:color w:val="000000"/>
                <w:sz w:val="22"/>
                <w:szCs w:val="22"/>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496ECBEB">
            <w:pPr>
              <w:jc w:val="center"/>
              <w:rPr>
                <w:rFonts w:hint="eastAsia" w:ascii="宋体" w:hAnsi="宋体" w:cs="宋体"/>
                <w:color w:val="000000"/>
                <w:sz w:val="22"/>
                <w:szCs w:val="22"/>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14:paraId="6F60387E">
            <w:pPr>
              <w:jc w:val="center"/>
              <w:rPr>
                <w:rFonts w:hint="eastAsia" w:ascii="宋体" w:hAnsi="宋体" w:cs="宋体"/>
                <w:color w:val="000000"/>
                <w:sz w:val="22"/>
                <w:szCs w:val="22"/>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52320AC1">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10、公共设置：</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可设置日志开启关闭、日志保留天数、自动添加设备、基站离线报警、低电量报警是否开启、断带报警是否开启等功能设置。</w:t>
            </w:r>
          </w:p>
        </w:tc>
      </w:tr>
      <w:tr w14:paraId="119B30E4">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0AE2E60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7A83AE2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蓝牙网关</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75B6B45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w:t>
            </w:r>
          </w:p>
        </w:tc>
        <w:tc>
          <w:tcPr>
            <w:tcW w:w="5353" w:type="dxa"/>
            <w:tcBorders>
              <w:top w:val="single" w:color="000000" w:sz="4" w:space="0"/>
              <w:left w:val="single" w:color="000000" w:sz="4" w:space="0"/>
              <w:bottom w:val="single" w:color="000000" w:sz="4" w:space="0"/>
              <w:right w:val="single" w:color="000000" w:sz="4" w:space="0"/>
            </w:tcBorders>
            <w:vAlign w:val="center"/>
          </w:tcPr>
          <w:p w14:paraId="6D957AC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1.1通信方式：蓝牙；</w:t>
            </w:r>
          </w:p>
        </w:tc>
      </w:tr>
      <w:tr w14:paraId="760AB82D">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69FDD58E">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6E0D629E">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5F6C6027">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213BBEC8">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1.2定位功能：支持；</w:t>
            </w:r>
          </w:p>
        </w:tc>
      </w:tr>
      <w:tr w14:paraId="1D5044CF">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6D7DF144">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36C4A809">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07CF652C">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3C745575">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1.3 ▲终端接入数: ≥400个；（投标时需提供通过检验检测机构资质认定（CMA）的第三方检测（验）机构出具的加盖（或带有）CMA标志的检验检测报告扫描件并加盖投标单位公章，注：对应参数在证明材料中进行标注。）</w:t>
            </w:r>
          </w:p>
        </w:tc>
      </w:tr>
      <w:tr w14:paraId="2DFE5E85">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7F9FC17">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1BB2AFD9">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7CE05D1E">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5E49B994">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1.4 ▲工作模式: 支持≥2个芯片多核同时工作；（投标时需提供通过检验检测机构资质认定（CMA）的第三方检测（验）机构出具的加盖（或带有）CMA标志的检验检测报告扫描件并加盖投标单位公章，注：对应参数在证明材料中进行标注。）</w:t>
            </w:r>
          </w:p>
        </w:tc>
      </w:tr>
      <w:tr w14:paraId="05EDFF1E">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1B0C6047">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2E5DEA43">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4D2AFE62">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478D58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1.5 可接声光报警器，触发声光报警器工作；</w:t>
            </w:r>
          </w:p>
        </w:tc>
      </w:tr>
      <w:tr w14:paraId="2880E07A">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33BE1ED5">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3709B0C2">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1DFB379D">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14D4181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1.6 供电方式：支持POE、DC 9~15V；</w:t>
            </w:r>
          </w:p>
        </w:tc>
      </w:tr>
      <w:tr w14:paraId="0B962D3E">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1551378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323F632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监护智能环</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4D7D441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5353" w:type="dxa"/>
            <w:tcBorders>
              <w:top w:val="single" w:color="000000" w:sz="4" w:space="0"/>
              <w:left w:val="single" w:color="000000" w:sz="4" w:space="0"/>
              <w:bottom w:val="single" w:color="000000" w:sz="4" w:space="0"/>
              <w:right w:val="single" w:color="000000" w:sz="4" w:space="0"/>
            </w:tcBorders>
            <w:vAlign w:val="center"/>
          </w:tcPr>
          <w:p w14:paraId="569F0AB7">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2.1屏幕:支持OLED显示屏；</w:t>
            </w:r>
          </w:p>
        </w:tc>
      </w:tr>
      <w:tr w14:paraId="26092944">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31E1C80D">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499A6ABD">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165BDF11">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47FC42D">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2.2信息显示:可显示绑定床位对应的妈妈姓名、床位号信息；</w:t>
            </w:r>
          </w:p>
        </w:tc>
      </w:tr>
      <w:tr w14:paraId="6699E7F0">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1F8ADCEF">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4D11BB9">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49F7536F">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3ECA6B0">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2.3 断带报警:配合智能环腕带，可实现断带报警；</w:t>
            </w:r>
          </w:p>
        </w:tc>
      </w:tr>
      <w:tr w14:paraId="2385DB77">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9D3B051">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1F8C46A4">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76D4E1A5">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2DAC58A9">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2.4 通信方式：蓝牙；</w:t>
            </w:r>
          </w:p>
        </w:tc>
      </w:tr>
      <w:tr w14:paraId="474FBDB2">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6F21E0C">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20F54A32">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2B6C354F">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3A31CDE4">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2.5 ▲安全:辐射杂散骚扰合格（投标时需提供通过检验检测机构资质认定（CMA）的第三方检测（验）机构出具的加盖（或带有）CMA标志的检验检测报告扫描件并加盖投标单位公章，注：对应参数在证明材料中进行标注。）</w:t>
            </w:r>
          </w:p>
        </w:tc>
      </w:tr>
      <w:tr w14:paraId="0C911326">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64E0037">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157078F7">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58476DCF">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3E2ECD1B">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2.6.▲防水级别：≥IPX7（投标时需提供通过检验检测机构资质认定（CMA）的第三方检测（验）机构出具的加盖（或带有）CMA标志的检验检测报告扫描件并加盖投标单位公章，注：对应参数在证明材料中进行标注。）</w:t>
            </w:r>
          </w:p>
        </w:tc>
      </w:tr>
      <w:tr w14:paraId="74139DB3">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F5007EF">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2537C416">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2D295D4A">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306398A8">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2.7 充电方式:磁吸式充电；</w:t>
            </w:r>
          </w:p>
        </w:tc>
      </w:tr>
      <w:tr w14:paraId="6522FD47">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72F7656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4</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357165F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智能环腕带</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3AD2F26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5353" w:type="dxa"/>
            <w:tcBorders>
              <w:top w:val="single" w:color="000000" w:sz="4" w:space="0"/>
              <w:left w:val="single" w:color="000000" w:sz="4" w:space="0"/>
              <w:bottom w:val="single" w:color="000000" w:sz="4" w:space="0"/>
              <w:right w:val="single" w:color="000000" w:sz="4" w:space="0"/>
            </w:tcBorders>
            <w:vAlign w:val="center"/>
          </w:tcPr>
          <w:p w14:paraId="200850B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3.1支持导电回路检测，配合监护智能环可实现断带报警；</w:t>
            </w:r>
          </w:p>
        </w:tc>
      </w:tr>
      <w:tr w14:paraId="3FB204CD">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BA7C8AA">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0DC971B">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0999325B">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31456E24">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3.2尺寸：156/161/183 * 20mm 长*宽，三种尺寸可选；偏差范围±2mm；</w:t>
            </w:r>
          </w:p>
        </w:tc>
      </w:tr>
      <w:tr w14:paraId="36819AC8">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9DBD66E">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4FFFAB76">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4A236813">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1060AF7F">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3.3人体工程学设计：有效防止压痕；</w:t>
            </w:r>
          </w:p>
        </w:tc>
      </w:tr>
      <w:tr w14:paraId="545DB5A5">
        <w:tblPrEx>
          <w:tblCellMar>
            <w:top w:w="0" w:type="dxa"/>
            <w:left w:w="108" w:type="dxa"/>
            <w:bottom w:w="0" w:type="dxa"/>
            <w:right w:w="108" w:type="dxa"/>
          </w:tblCellMar>
        </w:tblPrEx>
        <w:trPr>
          <w:trHeight w:val="936"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23371EEA">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38DB0C9D">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2D02A372">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4D76AA5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3.4 ▲SVHC(高关注度物质)检测：通过（投标时需提供通过检验检测机构资质认定（CMA）的第三方检测（验）机构出具的加盖（或带有）CMA标志的检验检测报告扫描件并加盖投标单位公章，注：对应参数在证明材料中进行标注。）</w:t>
            </w:r>
          </w:p>
        </w:tc>
      </w:tr>
      <w:tr w14:paraId="20B70D1D">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57F86C6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7E04901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频闪警示灯</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349FBC9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4</w:t>
            </w:r>
          </w:p>
        </w:tc>
        <w:tc>
          <w:tcPr>
            <w:tcW w:w="5353" w:type="dxa"/>
            <w:tcBorders>
              <w:top w:val="single" w:color="000000" w:sz="4" w:space="0"/>
              <w:left w:val="single" w:color="000000" w:sz="4" w:space="0"/>
              <w:bottom w:val="single" w:color="000000" w:sz="4" w:space="0"/>
              <w:right w:val="single" w:color="000000" w:sz="4" w:space="0"/>
            </w:tcBorders>
            <w:vAlign w:val="center"/>
          </w:tcPr>
          <w:p w14:paraId="7BA806F9">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5.1供电方式:DC12V；</w:t>
            </w:r>
          </w:p>
        </w:tc>
      </w:tr>
      <w:tr w14:paraId="0741FFAF">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4D8574CE">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4B411649">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156F77D6">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6414983F">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5.2功能：支持声光频闪警示；</w:t>
            </w:r>
          </w:p>
        </w:tc>
      </w:tr>
      <w:tr w14:paraId="768D69ED">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1C7EB8B1">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57568343">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2CC7ABFB">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58401D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5.3颜色：红色；</w:t>
            </w:r>
          </w:p>
        </w:tc>
      </w:tr>
      <w:tr w14:paraId="393D556E">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4ED1CD2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3545410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USB多口充电器</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224B5D7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5353" w:type="dxa"/>
            <w:tcBorders>
              <w:top w:val="single" w:color="000000" w:sz="4" w:space="0"/>
              <w:left w:val="single" w:color="000000" w:sz="4" w:space="0"/>
              <w:bottom w:val="single" w:color="000000" w:sz="4" w:space="0"/>
              <w:right w:val="single" w:color="000000" w:sz="4" w:space="0"/>
            </w:tcBorders>
            <w:vAlign w:val="center"/>
          </w:tcPr>
          <w:p w14:paraId="04622417">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6.1充电接口：≥5个；</w:t>
            </w:r>
          </w:p>
        </w:tc>
      </w:tr>
      <w:tr w14:paraId="372827BF">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1145777E">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04E07150">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72CE093A">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75F1DDE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6.2安装方式：桌面放置；</w:t>
            </w:r>
          </w:p>
        </w:tc>
      </w:tr>
      <w:tr w14:paraId="17B80C5F">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09C1FEE">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1EF602A6">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769F552A">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6B7126A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6.3输入：220V；</w:t>
            </w:r>
          </w:p>
        </w:tc>
      </w:tr>
      <w:tr w14:paraId="379B27DA">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07D5427">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445E555">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273DE55F">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142D958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6.4输出：≥5V/1A；</w:t>
            </w:r>
          </w:p>
        </w:tc>
      </w:tr>
      <w:tr w14:paraId="30423E3C">
        <w:tblPrEx>
          <w:tblCellMar>
            <w:top w:w="0" w:type="dxa"/>
            <w:left w:w="108" w:type="dxa"/>
            <w:bottom w:w="0" w:type="dxa"/>
            <w:right w:w="108" w:type="dxa"/>
          </w:tblCellMar>
        </w:tblPrEx>
        <w:trPr>
          <w:trHeight w:val="312" w:hRule="atLeast"/>
        </w:trPr>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0D1257A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7</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3643A29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护士智能环</w:t>
            </w:r>
          </w:p>
        </w:tc>
        <w:tc>
          <w:tcPr>
            <w:tcW w:w="1483" w:type="dxa"/>
            <w:vMerge w:val="restart"/>
            <w:tcBorders>
              <w:top w:val="single" w:color="000000" w:sz="4" w:space="0"/>
              <w:left w:val="single" w:color="000000" w:sz="4" w:space="0"/>
              <w:bottom w:val="single" w:color="000000" w:sz="4" w:space="0"/>
              <w:right w:val="single" w:color="000000" w:sz="4" w:space="0"/>
            </w:tcBorders>
            <w:vAlign w:val="center"/>
          </w:tcPr>
          <w:p w14:paraId="352BAA9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w:t>
            </w:r>
          </w:p>
        </w:tc>
        <w:tc>
          <w:tcPr>
            <w:tcW w:w="5353" w:type="dxa"/>
            <w:tcBorders>
              <w:top w:val="single" w:color="000000" w:sz="4" w:space="0"/>
              <w:left w:val="single" w:color="000000" w:sz="4" w:space="0"/>
              <w:bottom w:val="single" w:color="000000" w:sz="4" w:space="0"/>
              <w:right w:val="single" w:color="000000" w:sz="4" w:space="0"/>
            </w:tcBorders>
            <w:vAlign w:val="center"/>
          </w:tcPr>
          <w:p w14:paraId="289A4873">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1.显示屏：OLED彩色显示屏；</w:t>
            </w:r>
          </w:p>
        </w:tc>
      </w:tr>
      <w:tr w14:paraId="3CE27596">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2D078A04">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5DDF6BEF">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4E998188">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2DBF530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2.充电方式：USB充电；</w:t>
            </w:r>
          </w:p>
        </w:tc>
      </w:tr>
      <w:tr w14:paraId="454A99E9">
        <w:tblPrEx>
          <w:tblCellMar>
            <w:top w:w="0" w:type="dxa"/>
            <w:left w:w="108" w:type="dxa"/>
            <w:bottom w:w="0" w:type="dxa"/>
            <w:right w:w="108" w:type="dxa"/>
          </w:tblCellMar>
        </w:tblPrEx>
        <w:trPr>
          <w:trHeight w:val="312" w:hRule="atLeast"/>
        </w:trPr>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35109D2">
            <w:pPr>
              <w:jc w:val="center"/>
              <w:rPr>
                <w:rFonts w:hint="eastAsia" w:ascii="宋体" w:hAnsi="宋体" w:cs="宋体"/>
                <w:color w:val="000000"/>
                <w:sz w:val="24"/>
                <w:szCs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7BA21C79">
            <w:pPr>
              <w:jc w:val="center"/>
              <w:rPr>
                <w:rFonts w:hint="eastAsia" w:ascii="宋体" w:hAnsi="宋体" w:cs="宋体"/>
                <w:color w:val="000000"/>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vAlign w:val="center"/>
          </w:tcPr>
          <w:p w14:paraId="3153C0EC">
            <w:pPr>
              <w:jc w:val="center"/>
              <w:rPr>
                <w:rFonts w:hint="eastAsia" w:ascii="宋体" w:hAnsi="宋体" w:cs="宋体"/>
                <w:color w:val="000000"/>
                <w:sz w:val="24"/>
                <w:szCs w:val="24"/>
              </w:rPr>
            </w:pPr>
          </w:p>
        </w:tc>
        <w:tc>
          <w:tcPr>
            <w:tcW w:w="5353" w:type="dxa"/>
            <w:tcBorders>
              <w:top w:val="single" w:color="000000" w:sz="4" w:space="0"/>
              <w:left w:val="single" w:color="000000" w:sz="4" w:space="0"/>
              <w:bottom w:val="single" w:color="000000" w:sz="4" w:space="0"/>
              <w:right w:val="single" w:color="000000" w:sz="4" w:space="0"/>
            </w:tcBorders>
            <w:vAlign w:val="center"/>
          </w:tcPr>
          <w:p w14:paraId="0427F148">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3.供电方式：可充电锂离子电池，电池容量≥130mah；</w:t>
            </w:r>
          </w:p>
        </w:tc>
      </w:tr>
      <w:tr w14:paraId="5D249E91">
        <w:tblPrEx>
          <w:tblCellMar>
            <w:top w:w="0" w:type="dxa"/>
            <w:left w:w="108" w:type="dxa"/>
            <w:bottom w:w="0" w:type="dxa"/>
            <w:right w:w="108" w:type="dxa"/>
          </w:tblCellMar>
        </w:tblPrEx>
        <w:trPr>
          <w:trHeight w:val="312" w:hRule="atLeast"/>
        </w:trPr>
        <w:tc>
          <w:tcPr>
            <w:tcW w:w="771" w:type="dxa"/>
            <w:tcBorders>
              <w:top w:val="single" w:color="000000" w:sz="4" w:space="0"/>
              <w:left w:val="single" w:color="000000" w:sz="4" w:space="0"/>
              <w:bottom w:val="single" w:color="000000" w:sz="4" w:space="0"/>
              <w:right w:val="single" w:color="000000" w:sz="4" w:space="0"/>
            </w:tcBorders>
            <w:vAlign w:val="center"/>
          </w:tcPr>
          <w:p w14:paraId="10DFC53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8</w:t>
            </w:r>
          </w:p>
        </w:tc>
        <w:tc>
          <w:tcPr>
            <w:tcW w:w="1319" w:type="dxa"/>
            <w:tcBorders>
              <w:top w:val="single" w:color="000000" w:sz="4" w:space="0"/>
              <w:left w:val="single" w:color="000000" w:sz="4" w:space="0"/>
              <w:bottom w:val="single" w:color="000000" w:sz="4" w:space="0"/>
              <w:right w:val="single" w:color="000000" w:sz="4" w:space="0"/>
            </w:tcBorders>
            <w:vAlign w:val="center"/>
          </w:tcPr>
          <w:p w14:paraId="5C15D69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线缆材料</w:t>
            </w:r>
          </w:p>
        </w:tc>
        <w:tc>
          <w:tcPr>
            <w:tcW w:w="1483" w:type="dxa"/>
            <w:tcBorders>
              <w:top w:val="single" w:color="000000" w:sz="4" w:space="0"/>
              <w:left w:val="single" w:color="000000" w:sz="4" w:space="0"/>
              <w:bottom w:val="single" w:color="000000" w:sz="4" w:space="0"/>
              <w:right w:val="single" w:color="000000" w:sz="4" w:space="0"/>
            </w:tcBorders>
            <w:vAlign w:val="center"/>
          </w:tcPr>
          <w:p w14:paraId="041BB0A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5353" w:type="dxa"/>
            <w:tcBorders>
              <w:top w:val="single" w:color="000000" w:sz="4" w:space="0"/>
              <w:left w:val="single" w:color="000000" w:sz="4" w:space="0"/>
              <w:bottom w:val="single" w:color="000000" w:sz="4" w:space="0"/>
              <w:right w:val="single" w:color="000000" w:sz="4" w:space="0"/>
            </w:tcBorders>
            <w:vAlign w:val="center"/>
          </w:tcPr>
          <w:p w14:paraId="15E4D72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w:t>
            </w:r>
          </w:p>
        </w:tc>
      </w:tr>
      <w:tr w14:paraId="6BB87EF3">
        <w:tblPrEx>
          <w:tblCellMar>
            <w:top w:w="0" w:type="dxa"/>
            <w:left w:w="108" w:type="dxa"/>
            <w:bottom w:w="0" w:type="dxa"/>
            <w:right w:w="108" w:type="dxa"/>
          </w:tblCellMar>
        </w:tblPrEx>
        <w:trPr>
          <w:trHeight w:val="312" w:hRule="atLeast"/>
        </w:trPr>
        <w:tc>
          <w:tcPr>
            <w:tcW w:w="771" w:type="dxa"/>
            <w:tcBorders>
              <w:top w:val="single" w:color="000000" w:sz="4" w:space="0"/>
              <w:left w:val="single" w:color="000000" w:sz="4" w:space="0"/>
              <w:bottom w:val="single" w:color="000000" w:sz="4" w:space="0"/>
              <w:right w:val="single" w:color="000000" w:sz="4" w:space="0"/>
            </w:tcBorders>
            <w:vAlign w:val="center"/>
          </w:tcPr>
          <w:p w14:paraId="4C1A522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9</w:t>
            </w:r>
          </w:p>
        </w:tc>
        <w:tc>
          <w:tcPr>
            <w:tcW w:w="1319" w:type="dxa"/>
            <w:tcBorders>
              <w:top w:val="single" w:color="000000" w:sz="4" w:space="0"/>
              <w:left w:val="single" w:color="000000" w:sz="4" w:space="0"/>
              <w:bottom w:val="single" w:color="000000" w:sz="4" w:space="0"/>
              <w:right w:val="single" w:color="000000" w:sz="4" w:space="0"/>
            </w:tcBorders>
            <w:vAlign w:val="center"/>
          </w:tcPr>
          <w:p w14:paraId="6B7ACB9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安装调试</w:t>
            </w:r>
          </w:p>
        </w:tc>
        <w:tc>
          <w:tcPr>
            <w:tcW w:w="1483" w:type="dxa"/>
            <w:tcBorders>
              <w:top w:val="single" w:color="000000" w:sz="4" w:space="0"/>
              <w:left w:val="single" w:color="000000" w:sz="4" w:space="0"/>
              <w:bottom w:val="single" w:color="000000" w:sz="4" w:space="0"/>
              <w:right w:val="single" w:color="000000" w:sz="4" w:space="0"/>
            </w:tcBorders>
            <w:vAlign w:val="center"/>
          </w:tcPr>
          <w:p w14:paraId="0270CA9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5353" w:type="dxa"/>
            <w:tcBorders>
              <w:top w:val="single" w:color="000000" w:sz="4" w:space="0"/>
              <w:left w:val="single" w:color="000000" w:sz="4" w:space="0"/>
              <w:bottom w:val="single" w:color="000000" w:sz="4" w:space="0"/>
              <w:right w:val="single" w:color="000000" w:sz="4" w:space="0"/>
            </w:tcBorders>
            <w:vAlign w:val="center"/>
          </w:tcPr>
          <w:p w14:paraId="1065EB6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负责安装实施。</w:t>
            </w:r>
          </w:p>
        </w:tc>
      </w:tr>
    </w:tbl>
    <w:p w14:paraId="1230DCBE"/>
    <w:p w14:paraId="49E4BA50">
      <w:pPr>
        <w:pStyle w:val="2"/>
        <w:numPr>
          <w:ilvl w:val="0"/>
          <w:numId w:val="2"/>
        </w:numPr>
        <w:jc w:val="left"/>
      </w:pPr>
      <w:r>
        <w:rPr>
          <w:rFonts w:hint="eastAsia" w:asciiTheme="majorEastAsia" w:hAnsiTheme="majorEastAsia"/>
          <w:sz w:val="28"/>
          <w:szCs w:val="28"/>
        </w:rPr>
        <w:t>商务要求</w:t>
      </w:r>
    </w:p>
    <w:tbl>
      <w:tblPr>
        <w:tblStyle w:val="20"/>
        <w:tblW w:w="9889"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0"/>
        <w:gridCol w:w="680"/>
        <w:gridCol w:w="18"/>
        <w:gridCol w:w="436"/>
        <w:gridCol w:w="651"/>
        <w:gridCol w:w="6578"/>
        <w:gridCol w:w="651"/>
      </w:tblGrid>
      <w:tr w14:paraId="3CB0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97" w:hRule="atLeast"/>
        </w:trPr>
        <w:tc>
          <w:tcPr>
            <w:tcW w:w="880" w:type="dxa"/>
            <w:gridSpan w:val="2"/>
            <w:vAlign w:val="center"/>
          </w:tcPr>
          <w:p w14:paraId="4C0E7DDB">
            <w:pPr>
              <w:jc w:val="center"/>
              <w:rPr>
                <w:rFonts w:hint="eastAsia" w:ascii="宋体" w:hAnsi="宋体" w:cs="宋体"/>
                <w:b/>
                <w:bCs/>
                <w:sz w:val="24"/>
              </w:rPr>
            </w:pPr>
            <w:r>
              <w:rPr>
                <w:rFonts w:hint="eastAsia" w:ascii="宋体" w:hAnsi="宋体" w:cs="宋体"/>
                <w:b/>
                <w:bCs/>
                <w:sz w:val="24"/>
              </w:rPr>
              <w:t>序号</w:t>
            </w:r>
          </w:p>
        </w:tc>
        <w:tc>
          <w:tcPr>
            <w:tcW w:w="1105" w:type="dxa"/>
            <w:gridSpan w:val="3"/>
            <w:vAlign w:val="center"/>
          </w:tcPr>
          <w:p w14:paraId="4DE18B75">
            <w:pPr>
              <w:jc w:val="center"/>
              <w:rPr>
                <w:rFonts w:hint="eastAsia" w:ascii="宋体" w:hAnsi="宋体" w:cs="宋体"/>
                <w:b/>
                <w:bCs/>
                <w:sz w:val="24"/>
              </w:rPr>
            </w:pPr>
            <w:r>
              <w:rPr>
                <w:rFonts w:hint="eastAsia" w:ascii="宋体" w:hAnsi="宋体" w:cs="宋体"/>
                <w:b/>
                <w:bCs/>
                <w:sz w:val="24"/>
              </w:rPr>
              <w:t>目录</w:t>
            </w:r>
          </w:p>
        </w:tc>
        <w:tc>
          <w:tcPr>
            <w:tcW w:w="7229" w:type="dxa"/>
            <w:gridSpan w:val="2"/>
            <w:vAlign w:val="center"/>
          </w:tcPr>
          <w:p w14:paraId="76DD650D">
            <w:pPr>
              <w:jc w:val="center"/>
              <w:rPr>
                <w:rFonts w:hint="eastAsia" w:ascii="宋体" w:hAnsi="宋体" w:cs="宋体"/>
                <w:b/>
                <w:bCs/>
                <w:sz w:val="24"/>
              </w:rPr>
            </w:pPr>
            <w:r>
              <w:rPr>
                <w:rFonts w:hint="eastAsia" w:ascii="宋体" w:hAnsi="宋体" w:cs="宋体"/>
                <w:b/>
                <w:bCs/>
                <w:sz w:val="24"/>
              </w:rPr>
              <w:t>招标商务需求</w:t>
            </w:r>
          </w:p>
        </w:tc>
      </w:tr>
      <w:tr w14:paraId="6E3A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80" w:hRule="atLeast"/>
        </w:trPr>
        <w:tc>
          <w:tcPr>
            <w:tcW w:w="880" w:type="dxa"/>
            <w:gridSpan w:val="2"/>
          </w:tcPr>
          <w:p w14:paraId="4CE6FA07">
            <w:pPr>
              <w:tabs>
                <w:tab w:val="center" w:pos="5024"/>
              </w:tabs>
              <w:jc w:val="center"/>
              <w:rPr>
                <w:rFonts w:hint="eastAsia" w:ascii="宋体" w:hAnsi="宋体" w:cs="宋体"/>
                <w:sz w:val="24"/>
                <w:highlight w:val="yellow"/>
              </w:rPr>
            </w:pPr>
            <w:r>
              <w:rPr>
                <w:rFonts w:hint="eastAsia" w:ascii="宋体" w:hAnsi="宋体" w:cs="宋体"/>
                <w:sz w:val="24"/>
              </w:rPr>
              <w:t>1</w:t>
            </w:r>
          </w:p>
        </w:tc>
        <w:tc>
          <w:tcPr>
            <w:tcW w:w="1105" w:type="dxa"/>
            <w:gridSpan w:val="3"/>
          </w:tcPr>
          <w:p w14:paraId="09A07F0C">
            <w:pPr>
              <w:tabs>
                <w:tab w:val="center" w:pos="5024"/>
              </w:tabs>
              <w:rPr>
                <w:rFonts w:hint="eastAsia" w:ascii="宋体" w:hAnsi="宋体" w:cs="宋体"/>
                <w:sz w:val="24"/>
                <w:highlight w:val="yellow"/>
              </w:rPr>
            </w:pPr>
            <w:r>
              <w:rPr>
                <w:rFonts w:hint="eastAsia" w:ascii="宋体" w:hAnsi="宋体" w:cs="宋体"/>
                <w:sz w:val="24"/>
              </w:rPr>
              <w:t>★</w:t>
            </w:r>
            <w:r>
              <w:rPr>
                <w:rFonts w:hint="eastAsia" w:ascii="宋体" w:hAnsi="宋体" w:cs="宋体"/>
                <w:sz w:val="24"/>
                <w:highlight w:val="yellow"/>
              </w:rPr>
              <w:t>服务期限</w:t>
            </w:r>
          </w:p>
        </w:tc>
        <w:tc>
          <w:tcPr>
            <w:tcW w:w="7229" w:type="dxa"/>
            <w:gridSpan w:val="2"/>
          </w:tcPr>
          <w:p w14:paraId="569926E1">
            <w:pPr>
              <w:tabs>
                <w:tab w:val="center" w:pos="5024"/>
              </w:tabs>
              <w:rPr>
                <w:rFonts w:hint="eastAsia" w:ascii="宋体" w:hAnsi="宋体" w:cs="宋体"/>
                <w:sz w:val="24"/>
                <w:highlight w:val="yellow"/>
              </w:rPr>
            </w:pPr>
            <w:r>
              <w:rPr>
                <w:rFonts w:hint="eastAsia" w:ascii="宋体" w:hAnsi="宋体" w:cs="宋体"/>
                <w:sz w:val="24"/>
                <w:highlight w:val="yellow"/>
              </w:rPr>
              <w:t>本项目要求在自签订合同之日起3个月完成项目验收。</w:t>
            </w:r>
          </w:p>
        </w:tc>
      </w:tr>
      <w:tr w14:paraId="2A3E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80" w:hRule="atLeast"/>
        </w:trPr>
        <w:tc>
          <w:tcPr>
            <w:tcW w:w="9214" w:type="dxa"/>
            <w:gridSpan w:val="7"/>
          </w:tcPr>
          <w:p w14:paraId="3C136BFA">
            <w:pPr>
              <w:tabs>
                <w:tab w:val="center" w:pos="5024"/>
              </w:tabs>
              <w:rPr>
                <w:rFonts w:hint="eastAsia" w:ascii="宋体" w:hAnsi="宋体" w:cs="宋体"/>
                <w:sz w:val="24"/>
              </w:rPr>
            </w:pPr>
            <w:r>
              <w:rPr>
                <w:rFonts w:hint="eastAsia" w:ascii="宋体" w:hAnsi="宋体" w:cs="宋体"/>
                <w:sz w:val="24"/>
              </w:rPr>
              <w:t>（一）免费保修期内售后服务要求</w:t>
            </w:r>
            <w:r>
              <w:rPr>
                <w:rFonts w:hint="eastAsia" w:ascii="宋体" w:hAnsi="宋体" w:cs="宋体"/>
                <w:sz w:val="24"/>
              </w:rPr>
              <w:tab/>
            </w:r>
          </w:p>
        </w:tc>
      </w:tr>
      <w:tr w14:paraId="14A8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90" w:hRule="atLeast"/>
        </w:trPr>
        <w:tc>
          <w:tcPr>
            <w:tcW w:w="898" w:type="dxa"/>
            <w:gridSpan w:val="3"/>
            <w:vMerge w:val="restart"/>
            <w:vAlign w:val="center"/>
          </w:tcPr>
          <w:p w14:paraId="347F1733">
            <w:pPr>
              <w:jc w:val="center"/>
              <w:rPr>
                <w:rFonts w:hint="eastAsia" w:ascii="宋体" w:hAnsi="宋体" w:cs="宋体"/>
                <w:sz w:val="24"/>
              </w:rPr>
            </w:pPr>
            <w:r>
              <w:rPr>
                <w:rFonts w:hint="eastAsia" w:ascii="宋体" w:hAnsi="宋体" w:cs="宋体"/>
                <w:sz w:val="24"/>
              </w:rPr>
              <w:t>2</w:t>
            </w:r>
          </w:p>
        </w:tc>
        <w:tc>
          <w:tcPr>
            <w:tcW w:w="1087" w:type="dxa"/>
            <w:gridSpan w:val="2"/>
            <w:vMerge w:val="restart"/>
            <w:vAlign w:val="center"/>
          </w:tcPr>
          <w:p w14:paraId="2393E8C3">
            <w:pPr>
              <w:rPr>
                <w:rFonts w:hint="eastAsia" w:ascii="宋体" w:hAnsi="宋体" w:cs="宋体"/>
                <w:sz w:val="24"/>
              </w:rPr>
            </w:pPr>
            <w:r>
              <w:rPr>
                <w:rFonts w:hint="eastAsia" w:ascii="宋体" w:hAnsi="宋体" w:cs="宋体"/>
                <w:sz w:val="24"/>
              </w:rPr>
              <w:t>免费保修期</w:t>
            </w:r>
          </w:p>
        </w:tc>
        <w:tc>
          <w:tcPr>
            <w:tcW w:w="7229" w:type="dxa"/>
            <w:gridSpan w:val="2"/>
          </w:tcPr>
          <w:p w14:paraId="596CD1A9">
            <w:pPr>
              <w:rPr>
                <w:rFonts w:hint="eastAsia" w:ascii="宋体" w:hAnsi="宋体" w:cs="宋体"/>
                <w:sz w:val="24"/>
              </w:rPr>
            </w:pPr>
            <w:r>
              <w:rPr>
                <w:rFonts w:hint="eastAsia" w:ascii="宋体" w:hAnsi="宋体" w:cs="宋体"/>
                <w:sz w:val="24"/>
              </w:rPr>
              <w:t>★1.1</w:t>
            </w:r>
            <w:r>
              <w:rPr>
                <w:rFonts w:hint="eastAsia" w:ascii="宋体" w:hAnsi="宋体" w:cs="宋体"/>
                <w:sz w:val="24"/>
                <w:highlight w:val="yellow"/>
              </w:rPr>
              <w:t xml:space="preserve"> 项目免费质保期至少</w:t>
            </w:r>
            <w:r>
              <w:rPr>
                <w:rFonts w:hint="eastAsia" w:ascii="宋体" w:hAnsi="宋体" w:cs="宋体"/>
                <w:sz w:val="24"/>
                <w:highlight w:val="yellow"/>
                <w:u w:val="single"/>
              </w:rPr>
              <w:t xml:space="preserve"> 2 </w:t>
            </w:r>
            <w:r>
              <w:rPr>
                <w:rFonts w:hint="eastAsia" w:ascii="宋体" w:hAnsi="宋体" w:cs="宋体"/>
                <w:sz w:val="24"/>
                <w:highlight w:val="yellow"/>
              </w:rPr>
              <w:t xml:space="preserve">年， </w:t>
            </w:r>
            <w:r>
              <w:rPr>
                <w:rFonts w:hint="eastAsia" w:ascii="宋体" w:hAnsi="宋体" w:cs="宋体"/>
                <w:bCs/>
                <w:sz w:val="24"/>
                <w:highlight w:val="yellow"/>
              </w:rPr>
              <w:t>时间自最终验收合格并交付使用之日起计算</w:t>
            </w:r>
            <w:r>
              <w:rPr>
                <w:rFonts w:hint="eastAsia" w:ascii="宋体" w:hAnsi="宋体" w:cs="宋体"/>
                <w:sz w:val="24"/>
                <w:highlight w:val="yellow"/>
              </w:rPr>
              <w:t>，由中标方提供验收文件 。</w:t>
            </w:r>
          </w:p>
        </w:tc>
      </w:tr>
      <w:tr w14:paraId="3956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933" w:hRule="atLeast"/>
        </w:trPr>
        <w:tc>
          <w:tcPr>
            <w:tcW w:w="898" w:type="dxa"/>
            <w:gridSpan w:val="3"/>
            <w:vMerge w:val="continue"/>
            <w:vAlign w:val="center"/>
          </w:tcPr>
          <w:p w14:paraId="704A0E27">
            <w:pPr>
              <w:pStyle w:val="10"/>
              <w:jc w:val="center"/>
              <w:rPr>
                <w:rFonts w:hint="eastAsia" w:ascii="宋体" w:hAnsi="宋体" w:cs="宋体"/>
              </w:rPr>
            </w:pPr>
          </w:p>
        </w:tc>
        <w:tc>
          <w:tcPr>
            <w:tcW w:w="1087" w:type="dxa"/>
            <w:gridSpan w:val="2"/>
            <w:vMerge w:val="continue"/>
            <w:vAlign w:val="center"/>
          </w:tcPr>
          <w:p w14:paraId="4C385BC9">
            <w:pPr>
              <w:pStyle w:val="10"/>
              <w:rPr>
                <w:rFonts w:hint="eastAsia" w:ascii="宋体" w:hAnsi="宋体" w:cs="宋体"/>
              </w:rPr>
            </w:pPr>
          </w:p>
        </w:tc>
        <w:tc>
          <w:tcPr>
            <w:tcW w:w="7229" w:type="dxa"/>
            <w:gridSpan w:val="2"/>
          </w:tcPr>
          <w:p w14:paraId="3EB39760">
            <w:pPr>
              <w:rPr>
                <w:rFonts w:hint="eastAsia" w:ascii="宋体" w:hAnsi="宋体" w:cs="宋体"/>
                <w:sz w:val="24"/>
              </w:rPr>
            </w:pPr>
            <w:r>
              <w:rPr>
                <w:rFonts w:hint="eastAsia" w:ascii="宋体" w:hAnsi="宋体" w:cs="宋体"/>
                <w:sz w:val="24"/>
              </w:rPr>
              <w:t>1.2 保修期内，提供7×24小时的远程技术支持，一旦</w:t>
            </w:r>
            <w:r>
              <w:rPr>
                <w:rFonts w:hint="eastAsia" w:ascii="宋体" w:hAnsi="宋体" w:cs="宋体"/>
                <w:sz w:val="24"/>
                <w:highlight w:val="yellow"/>
                <w:u w:val="single"/>
              </w:rPr>
              <w:t>项目</w:t>
            </w:r>
            <w:r>
              <w:rPr>
                <w:rFonts w:hint="eastAsia" w:ascii="宋体" w:hAnsi="宋体" w:cs="宋体"/>
                <w:sz w:val="24"/>
              </w:rPr>
              <w:t>发生质量问题，免费质保，中标方保证在接到通知后确保1小时内作出实质性响应，2小时内到达现场（如电话响应无法解决）；一般性故障4小时内修复，如在4小时内无法解决，则须提供应急解决方案，确保在12小时内恢复正常运行。</w:t>
            </w:r>
          </w:p>
        </w:tc>
      </w:tr>
      <w:tr w14:paraId="2F41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595" w:hRule="atLeast"/>
        </w:trPr>
        <w:tc>
          <w:tcPr>
            <w:tcW w:w="898" w:type="dxa"/>
            <w:gridSpan w:val="3"/>
            <w:vMerge w:val="continue"/>
            <w:vAlign w:val="center"/>
          </w:tcPr>
          <w:p w14:paraId="28BE982B">
            <w:pPr>
              <w:pStyle w:val="10"/>
              <w:jc w:val="center"/>
              <w:rPr>
                <w:rFonts w:hint="eastAsia" w:ascii="宋体" w:hAnsi="宋体" w:cs="宋体"/>
              </w:rPr>
            </w:pPr>
          </w:p>
        </w:tc>
        <w:tc>
          <w:tcPr>
            <w:tcW w:w="1087" w:type="dxa"/>
            <w:gridSpan w:val="2"/>
            <w:vMerge w:val="continue"/>
            <w:vAlign w:val="center"/>
          </w:tcPr>
          <w:p w14:paraId="466ECC9D">
            <w:pPr>
              <w:pStyle w:val="10"/>
              <w:rPr>
                <w:rFonts w:hint="eastAsia" w:ascii="宋体" w:hAnsi="宋体" w:cs="宋体"/>
              </w:rPr>
            </w:pPr>
          </w:p>
        </w:tc>
        <w:tc>
          <w:tcPr>
            <w:tcW w:w="7229" w:type="dxa"/>
            <w:gridSpan w:val="2"/>
          </w:tcPr>
          <w:p w14:paraId="75C2D2DA">
            <w:pPr>
              <w:pStyle w:val="10"/>
              <w:rPr>
                <w:rFonts w:hint="eastAsia" w:ascii="宋体" w:hAnsi="宋体" w:cs="宋体"/>
              </w:rPr>
            </w:pPr>
            <w:r>
              <w:rPr>
                <w:rFonts w:hint="eastAsia" w:ascii="宋体" w:hAnsi="宋体" w:cs="宋体"/>
              </w:rPr>
              <w:t>1</w:t>
            </w:r>
            <w:r>
              <w:rPr>
                <w:rFonts w:hint="eastAsia" w:ascii="宋体" w:hAnsi="宋体" w:eastAsia="宋体" w:cs="宋体"/>
                <w:sz w:val="24"/>
                <w:szCs w:val="20"/>
              </w:rPr>
              <w:t>.3所有系统质保服务方式均为中标方上门服务，即由中标方派员到系统使用现场维修，由此产生的一切费用均由中标方承担。</w:t>
            </w:r>
          </w:p>
        </w:tc>
      </w:tr>
      <w:tr w14:paraId="7AA4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20" w:hRule="atLeast"/>
        </w:trPr>
        <w:tc>
          <w:tcPr>
            <w:tcW w:w="898" w:type="dxa"/>
            <w:gridSpan w:val="3"/>
            <w:vAlign w:val="center"/>
          </w:tcPr>
          <w:p w14:paraId="2197E984">
            <w:pPr>
              <w:jc w:val="center"/>
              <w:rPr>
                <w:rFonts w:hint="eastAsia" w:ascii="宋体" w:hAnsi="宋体" w:cs="宋体"/>
                <w:sz w:val="24"/>
              </w:rPr>
            </w:pPr>
            <w:r>
              <w:rPr>
                <w:rFonts w:hint="eastAsia" w:ascii="宋体" w:hAnsi="宋体" w:cs="宋体"/>
                <w:sz w:val="24"/>
              </w:rPr>
              <w:t>3</w:t>
            </w:r>
          </w:p>
        </w:tc>
        <w:tc>
          <w:tcPr>
            <w:tcW w:w="1087" w:type="dxa"/>
            <w:gridSpan w:val="2"/>
            <w:vAlign w:val="center"/>
          </w:tcPr>
          <w:p w14:paraId="3DED11D4">
            <w:pPr>
              <w:rPr>
                <w:rFonts w:hint="eastAsia" w:ascii="宋体" w:hAnsi="宋体" w:cs="宋体"/>
                <w:sz w:val="24"/>
              </w:rPr>
            </w:pPr>
            <w:r>
              <w:rPr>
                <w:rFonts w:hint="eastAsia" w:ascii="宋体" w:hAnsi="宋体" w:cs="宋体"/>
                <w:sz w:val="24"/>
              </w:rPr>
              <w:t>安装调试</w:t>
            </w:r>
          </w:p>
        </w:tc>
        <w:tc>
          <w:tcPr>
            <w:tcW w:w="7229" w:type="dxa"/>
            <w:gridSpan w:val="2"/>
            <w:vAlign w:val="center"/>
          </w:tcPr>
          <w:p w14:paraId="40083A48">
            <w:pPr>
              <w:rPr>
                <w:rFonts w:hint="eastAsia" w:ascii="宋体" w:hAnsi="宋体" w:cs="宋体"/>
                <w:bCs/>
                <w:sz w:val="24"/>
              </w:rPr>
            </w:pPr>
            <w:r>
              <w:rPr>
                <w:rFonts w:hint="eastAsia" w:ascii="宋体" w:hAnsi="宋体" w:cs="宋体"/>
                <w:bCs/>
                <w:sz w:val="24"/>
              </w:rPr>
              <w:t>2.1 中标方</w:t>
            </w:r>
            <w:r>
              <w:rPr>
                <w:rFonts w:hint="eastAsia" w:ascii="宋体" w:hAnsi="宋体" w:cs="宋体"/>
                <w:sz w:val="24"/>
              </w:rPr>
              <w:t>须在</w:t>
            </w:r>
            <w:r>
              <w:rPr>
                <w:rFonts w:hint="eastAsia" w:ascii="宋体" w:hAnsi="宋体" w:cs="宋体"/>
                <w:sz w:val="24"/>
                <w:highlight w:val="yellow"/>
              </w:rPr>
              <w:t>签订合同之日起3个月内</w:t>
            </w:r>
            <w:r>
              <w:rPr>
                <w:rFonts w:hint="eastAsia" w:ascii="宋体" w:hAnsi="宋体" w:cs="宋体"/>
                <w:sz w:val="24"/>
              </w:rPr>
              <w:t>完成软硬件、安装调试、培训、系统运行。</w:t>
            </w:r>
          </w:p>
        </w:tc>
      </w:tr>
      <w:tr w14:paraId="6FD4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523" w:hRule="atLeast"/>
        </w:trPr>
        <w:tc>
          <w:tcPr>
            <w:tcW w:w="898" w:type="dxa"/>
            <w:gridSpan w:val="3"/>
            <w:vMerge w:val="restart"/>
            <w:vAlign w:val="center"/>
          </w:tcPr>
          <w:p w14:paraId="0DC7CE99">
            <w:pPr>
              <w:jc w:val="center"/>
              <w:rPr>
                <w:rFonts w:hint="eastAsia" w:ascii="宋体" w:hAnsi="宋体" w:cs="宋体"/>
                <w:sz w:val="24"/>
              </w:rPr>
            </w:pPr>
            <w:r>
              <w:rPr>
                <w:rFonts w:hint="eastAsia" w:ascii="宋体" w:hAnsi="宋体" w:cs="宋体"/>
                <w:sz w:val="24"/>
              </w:rPr>
              <w:t>4</w:t>
            </w:r>
          </w:p>
        </w:tc>
        <w:tc>
          <w:tcPr>
            <w:tcW w:w="1087" w:type="dxa"/>
            <w:gridSpan w:val="2"/>
            <w:vMerge w:val="restart"/>
            <w:vAlign w:val="center"/>
          </w:tcPr>
          <w:p w14:paraId="01DF7EAB">
            <w:pPr>
              <w:rPr>
                <w:rFonts w:hint="eastAsia" w:ascii="宋体" w:hAnsi="宋体" w:cs="宋体"/>
                <w:sz w:val="24"/>
              </w:rPr>
            </w:pPr>
            <w:r>
              <w:rPr>
                <w:rFonts w:hint="eastAsia" w:ascii="宋体" w:hAnsi="宋体" w:cs="宋体"/>
                <w:sz w:val="24"/>
              </w:rPr>
              <w:t>培训</w:t>
            </w:r>
          </w:p>
        </w:tc>
        <w:tc>
          <w:tcPr>
            <w:tcW w:w="7229" w:type="dxa"/>
            <w:gridSpan w:val="2"/>
          </w:tcPr>
          <w:p w14:paraId="6C2028E2">
            <w:pPr>
              <w:rPr>
                <w:rFonts w:hint="eastAsia" w:ascii="宋体" w:hAnsi="宋体" w:cs="宋体"/>
                <w:sz w:val="24"/>
              </w:rPr>
            </w:pPr>
            <w:r>
              <w:rPr>
                <w:rFonts w:hint="eastAsia" w:ascii="宋体" w:hAnsi="宋体" w:cs="宋体"/>
                <w:sz w:val="24"/>
              </w:rPr>
              <w:t>4.1安排专业人员免费在现场对采购单位使用科室人员进行专业的培训，并对维修工程师进行维护、维修培训。保证使用人员能够熟练掌握各种软件常规使用方法，以及小故障的判断与解决。</w:t>
            </w:r>
          </w:p>
        </w:tc>
      </w:tr>
      <w:tr w14:paraId="46B0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523" w:hRule="atLeast"/>
        </w:trPr>
        <w:tc>
          <w:tcPr>
            <w:tcW w:w="898" w:type="dxa"/>
            <w:gridSpan w:val="3"/>
            <w:vMerge w:val="continue"/>
            <w:vAlign w:val="center"/>
          </w:tcPr>
          <w:p w14:paraId="5A78CD24">
            <w:pPr>
              <w:rPr>
                <w:rFonts w:hint="eastAsia" w:ascii="宋体" w:hAnsi="宋体" w:cs="宋体"/>
                <w:sz w:val="24"/>
              </w:rPr>
            </w:pPr>
          </w:p>
        </w:tc>
        <w:tc>
          <w:tcPr>
            <w:tcW w:w="1087" w:type="dxa"/>
            <w:gridSpan w:val="2"/>
            <w:vMerge w:val="continue"/>
            <w:vAlign w:val="center"/>
          </w:tcPr>
          <w:p w14:paraId="2C6DE538">
            <w:pPr>
              <w:rPr>
                <w:rFonts w:hint="eastAsia" w:ascii="宋体" w:hAnsi="宋体" w:cs="宋体"/>
                <w:sz w:val="24"/>
              </w:rPr>
            </w:pPr>
          </w:p>
        </w:tc>
        <w:tc>
          <w:tcPr>
            <w:tcW w:w="7229" w:type="dxa"/>
            <w:gridSpan w:val="2"/>
          </w:tcPr>
          <w:p w14:paraId="75CCBC41">
            <w:pPr>
              <w:rPr>
                <w:rFonts w:hint="eastAsia" w:ascii="宋体" w:hAnsi="宋体" w:cs="宋体"/>
                <w:sz w:val="24"/>
              </w:rPr>
            </w:pPr>
            <w:r>
              <w:rPr>
                <w:rFonts w:hint="eastAsia" w:ascii="宋体" w:hAnsi="宋体" w:cs="宋体"/>
                <w:sz w:val="24"/>
              </w:rPr>
              <w:t>4.2 现场培训：投标供应商应提供现场技术培训，保证使用人员正常使用系统的各种功能。</w:t>
            </w:r>
          </w:p>
        </w:tc>
      </w:tr>
      <w:tr w14:paraId="358F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280" w:hRule="atLeast"/>
        </w:trPr>
        <w:tc>
          <w:tcPr>
            <w:tcW w:w="9214" w:type="dxa"/>
            <w:gridSpan w:val="7"/>
          </w:tcPr>
          <w:p w14:paraId="72B3E223">
            <w:pPr>
              <w:rPr>
                <w:rFonts w:hint="eastAsia" w:ascii="宋体" w:hAnsi="宋体" w:cs="宋体"/>
                <w:sz w:val="24"/>
              </w:rPr>
            </w:pPr>
            <w:r>
              <w:rPr>
                <w:rFonts w:hint="eastAsia" w:ascii="宋体" w:hAnsi="宋体" w:cs="宋体"/>
                <w:sz w:val="24"/>
              </w:rPr>
              <w:t>（二）免费保修期外售后服务要求</w:t>
            </w:r>
          </w:p>
        </w:tc>
      </w:tr>
      <w:tr w14:paraId="2EEA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923" w:hRule="atLeast"/>
        </w:trPr>
        <w:tc>
          <w:tcPr>
            <w:tcW w:w="898" w:type="dxa"/>
            <w:gridSpan w:val="3"/>
            <w:vAlign w:val="center"/>
          </w:tcPr>
          <w:p w14:paraId="519D9030">
            <w:pPr>
              <w:jc w:val="center"/>
              <w:rPr>
                <w:rFonts w:hint="eastAsia" w:ascii="宋体" w:hAnsi="宋体" w:cs="宋体"/>
                <w:sz w:val="24"/>
              </w:rPr>
            </w:pPr>
            <w:r>
              <w:rPr>
                <w:rFonts w:hint="eastAsia" w:ascii="宋体" w:hAnsi="宋体" w:cs="宋体"/>
                <w:sz w:val="24"/>
              </w:rPr>
              <w:t>1</w:t>
            </w:r>
          </w:p>
        </w:tc>
        <w:tc>
          <w:tcPr>
            <w:tcW w:w="1087" w:type="dxa"/>
            <w:gridSpan w:val="2"/>
          </w:tcPr>
          <w:p w14:paraId="5007526B">
            <w:pPr>
              <w:rPr>
                <w:rFonts w:hint="eastAsia" w:ascii="宋体" w:hAnsi="宋体" w:cs="宋体"/>
                <w:sz w:val="24"/>
              </w:rPr>
            </w:pPr>
            <w:r>
              <w:rPr>
                <w:rFonts w:hint="eastAsia" w:ascii="宋体" w:hAnsi="宋体" w:cs="宋体"/>
                <w:sz w:val="24"/>
              </w:rPr>
              <w:t>免费保修期外售后服务</w:t>
            </w:r>
          </w:p>
        </w:tc>
        <w:tc>
          <w:tcPr>
            <w:tcW w:w="7229" w:type="dxa"/>
            <w:gridSpan w:val="2"/>
            <w:vAlign w:val="center"/>
          </w:tcPr>
          <w:p w14:paraId="2B57341B">
            <w:pPr>
              <w:jc w:val="left"/>
              <w:rPr>
                <w:rFonts w:hint="eastAsia" w:ascii="宋体" w:hAnsi="宋体" w:cs="宋体"/>
                <w:sz w:val="24"/>
              </w:rPr>
            </w:pPr>
            <w:r>
              <w:rPr>
                <w:rFonts w:hint="eastAsia" w:ascii="宋体" w:hAnsi="宋体" w:cs="宋体"/>
                <w:sz w:val="24"/>
              </w:rPr>
              <w:t>免费质保期后继续支持运维工作，并按不超过合同总金额</w:t>
            </w:r>
            <w:r>
              <w:rPr>
                <w:rFonts w:hint="eastAsia" w:ascii="宋体" w:hAnsi="宋体" w:cs="宋体"/>
                <w:sz w:val="24"/>
                <w:highlight w:val="yellow"/>
              </w:rPr>
              <w:t>8%</w:t>
            </w:r>
            <w:r>
              <w:rPr>
                <w:rFonts w:hint="eastAsia" w:ascii="宋体" w:hAnsi="宋体" w:cs="宋体"/>
                <w:sz w:val="24"/>
              </w:rPr>
              <w:t>收取维保费。</w:t>
            </w:r>
            <w:r>
              <w:rPr>
                <w:rFonts w:hint="eastAsia" w:ascii="宋体" w:hAnsi="宋体" w:cs="宋体"/>
                <w:sz w:val="24"/>
                <w:highlight w:val="yellow"/>
              </w:rPr>
              <w:t>后续软件按照科室来授权点位收费。</w:t>
            </w:r>
          </w:p>
        </w:tc>
      </w:tr>
      <w:tr w14:paraId="35F5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50" w:hRule="atLeast"/>
        </w:trPr>
        <w:tc>
          <w:tcPr>
            <w:tcW w:w="9214" w:type="dxa"/>
            <w:gridSpan w:val="7"/>
          </w:tcPr>
          <w:p w14:paraId="6CA32E08">
            <w:pPr>
              <w:rPr>
                <w:rFonts w:hint="eastAsia" w:ascii="宋体" w:hAnsi="宋体" w:cs="宋体"/>
                <w:sz w:val="24"/>
              </w:rPr>
            </w:pPr>
            <w:r>
              <w:rPr>
                <w:rFonts w:hint="eastAsia" w:ascii="宋体" w:hAnsi="宋体" w:cs="宋体"/>
                <w:sz w:val="24"/>
              </w:rPr>
              <w:t>（三）其他商务要求</w:t>
            </w:r>
          </w:p>
        </w:tc>
      </w:tr>
      <w:tr w14:paraId="5D76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50" w:hRule="atLeast"/>
        </w:trPr>
        <w:tc>
          <w:tcPr>
            <w:tcW w:w="898" w:type="dxa"/>
            <w:gridSpan w:val="3"/>
            <w:vAlign w:val="center"/>
          </w:tcPr>
          <w:p w14:paraId="76CAD73B">
            <w:pPr>
              <w:jc w:val="center"/>
              <w:rPr>
                <w:rFonts w:hint="eastAsia" w:ascii="宋体" w:hAnsi="宋体" w:cs="宋体"/>
                <w:sz w:val="24"/>
              </w:rPr>
            </w:pPr>
            <w:r>
              <w:rPr>
                <w:rFonts w:hint="eastAsia" w:ascii="宋体" w:hAnsi="宋体" w:cs="宋体"/>
                <w:sz w:val="24"/>
              </w:rPr>
              <w:t>1</w:t>
            </w:r>
          </w:p>
        </w:tc>
        <w:tc>
          <w:tcPr>
            <w:tcW w:w="1087" w:type="dxa"/>
            <w:gridSpan w:val="2"/>
            <w:vAlign w:val="center"/>
          </w:tcPr>
          <w:p w14:paraId="6F6029E2">
            <w:pPr>
              <w:rPr>
                <w:rFonts w:hint="eastAsia" w:ascii="宋体" w:hAnsi="宋体" w:cs="宋体"/>
                <w:sz w:val="24"/>
              </w:rPr>
            </w:pPr>
            <w:r>
              <w:rPr>
                <w:rFonts w:hint="eastAsia" w:ascii="宋体" w:hAnsi="宋体" w:cs="宋体"/>
                <w:sz w:val="24"/>
              </w:rPr>
              <w:t>付款方式</w:t>
            </w:r>
          </w:p>
        </w:tc>
        <w:tc>
          <w:tcPr>
            <w:tcW w:w="7229" w:type="dxa"/>
            <w:gridSpan w:val="2"/>
            <w:vAlign w:val="center"/>
          </w:tcPr>
          <w:p w14:paraId="0139EB3E">
            <w:pPr>
              <w:pStyle w:val="40"/>
              <w:spacing w:before="0" w:after="0"/>
              <w:rPr>
                <w:rFonts w:hint="eastAsia" w:ascii="宋体" w:hAnsi="宋体" w:cs="宋体"/>
              </w:rPr>
            </w:pPr>
            <w:r>
              <w:rPr>
                <w:color w:val="000000"/>
                <w:sz w:val="22"/>
                <w:szCs w:val="22"/>
              </w:rPr>
              <w:t>采购合同签订后，采购人自收到发票后10个工作日内支付</w:t>
            </w:r>
            <w:r>
              <w:rPr>
                <w:rFonts w:hint="eastAsia"/>
                <w:color w:val="000000"/>
                <w:sz w:val="22"/>
                <w:szCs w:val="22"/>
                <w:highlight w:val="yellow"/>
              </w:rPr>
              <w:t>35</w:t>
            </w:r>
            <w:r>
              <w:rPr>
                <w:color w:val="000000"/>
                <w:sz w:val="22"/>
                <w:szCs w:val="22"/>
                <w:highlight w:val="yellow"/>
              </w:rPr>
              <w:t>%</w:t>
            </w:r>
            <w:r>
              <w:rPr>
                <w:color w:val="000000"/>
                <w:sz w:val="22"/>
                <w:szCs w:val="22"/>
              </w:rPr>
              <w:t>的预付款给中标人；项目验收合格后，采购人自收到发票后10个工作日内支付</w:t>
            </w:r>
            <w:r>
              <w:rPr>
                <w:rFonts w:hint="eastAsia"/>
                <w:color w:val="000000"/>
                <w:sz w:val="22"/>
                <w:szCs w:val="22"/>
                <w:highlight w:val="yellow"/>
              </w:rPr>
              <w:t>65</w:t>
            </w:r>
            <w:r>
              <w:rPr>
                <w:color w:val="000000"/>
                <w:sz w:val="22"/>
                <w:szCs w:val="22"/>
                <w:highlight w:val="yellow"/>
              </w:rPr>
              <w:t>%</w:t>
            </w:r>
            <w:r>
              <w:rPr>
                <w:color w:val="000000"/>
                <w:sz w:val="22"/>
                <w:szCs w:val="22"/>
              </w:rPr>
              <w:t>剩余款项给中标人。每次按合同支付款项前，中标人应向采购人提供与支付金额相符的有效发票，且收款方、出具发票方、合同乙方均必须与中标人名称一致。</w:t>
            </w:r>
          </w:p>
        </w:tc>
      </w:tr>
      <w:tr w14:paraId="04D4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50" w:hRule="atLeast"/>
        </w:trPr>
        <w:tc>
          <w:tcPr>
            <w:tcW w:w="898" w:type="dxa"/>
            <w:gridSpan w:val="3"/>
            <w:vAlign w:val="center"/>
          </w:tcPr>
          <w:p w14:paraId="1D85CC9B">
            <w:pPr>
              <w:jc w:val="center"/>
              <w:rPr>
                <w:rFonts w:hint="eastAsia" w:ascii="宋体" w:hAnsi="宋体" w:cs="宋体"/>
                <w:sz w:val="24"/>
              </w:rPr>
            </w:pPr>
            <w:r>
              <w:rPr>
                <w:rFonts w:hint="eastAsia" w:ascii="宋体" w:hAnsi="宋体" w:cs="宋体"/>
                <w:sz w:val="24"/>
              </w:rPr>
              <w:t>2</w:t>
            </w:r>
          </w:p>
        </w:tc>
        <w:tc>
          <w:tcPr>
            <w:tcW w:w="1087" w:type="dxa"/>
            <w:gridSpan w:val="2"/>
            <w:vAlign w:val="center"/>
          </w:tcPr>
          <w:p w14:paraId="35227752">
            <w:pPr>
              <w:rPr>
                <w:rFonts w:hint="eastAsia" w:ascii="宋体" w:hAnsi="宋体" w:cs="宋体"/>
                <w:sz w:val="24"/>
              </w:rPr>
            </w:pPr>
            <w:r>
              <w:rPr>
                <w:rFonts w:hint="eastAsia" w:ascii="宋体" w:hAnsi="宋体" w:cs="宋体"/>
                <w:sz w:val="24"/>
              </w:rPr>
              <w:t>关于知识产权</w:t>
            </w:r>
          </w:p>
        </w:tc>
        <w:tc>
          <w:tcPr>
            <w:tcW w:w="7229" w:type="dxa"/>
            <w:gridSpan w:val="2"/>
          </w:tcPr>
          <w:p w14:paraId="433E506F">
            <w:pPr>
              <w:rPr>
                <w:rFonts w:hint="eastAsia" w:ascii="宋体" w:hAnsi="宋体" w:cs="宋体"/>
                <w:sz w:val="24"/>
              </w:rPr>
            </w:pPr>
            <w:r>
              <w:rPr>
                <w:rFonts w:hint="eastAsia" w:ascii="宋体" w:hAnsi="宋体" w:cs="宋体"/>
                <w:sz w:val="24"/>
              </w:rPr>
              <w:t>2.1中标方所提供的产品必须符合国家有关软件产品方面的规定和软件标准规范，没有侵犯第三方的合法权利和涉及第三方的诉讼。</w:t>
            </w:r>
          </w:p>
          <w:p w14:paraId="638F2EB8">
            <w:pPr>
              <w:pStyle w:val="40"/>
              <w:spacing w:before="0" w:after="0"/>
              <w:rPr>
                <w:rFonts w:hint="eastAsia" w:ascii="宋体" w:hAnsi="宋体" w:cs="宋体"/>
              </w:rPr>
            </w:pPr>
            <w:r>
              <w:rPr>
                <w:rFonts w:hint="eastAsia" w:ascii="宋体" w:hAnsi="宋体" w:cs="宋体"/>
              </w:rPr>
              <w:t>2.2采购方在中华人民共和国境内使用该产品或产品的任何一部分时，免受第三方提出的侵犯其专利权、商标权或工业设计权等知识产权的起诉或司法干预。如果发生上述起诉或干预，则其法律责任均由中标方负责。</w:t>
            </w:r>
          </w:p>
        </w:tc>
      </w:tr>
      <w:tr w14:paraId="0B1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50" w:hRule="atLeast"/>
        </w:trPr>
        <w:tc>
          <w:tcPr>
            <w:tcW w:w="898" w:type="dxa"/>
            <w:gridSpan w:val="3"/>
            <w:vAlign w:val="center"/>
          </w:tcPr>
          <w:p w14:paraId="62F9B16A">
            <w:pPr>
              <w:jc w:val="center"/>
              <w:rPr>
                <w:rFonts w:hint="eastAsia" w:ascii="宋体" w:hAnsi="宋体" w:cs="宋体"/>
                <w:sz w:val="24"/>
              </w:rPr>
            </w:pPr>
            <w:r>
              <w:rPr>
                <w:rFonts w:hint="eastAsia" w:ascii="宋体" w:hAnsi="宋体" w:cs="宋体"/>
                <w:sz w:val="24"/>
              </w:rPr>
              <w:t>3</w:t>
            </w:r>
          </w:p>
        </w:tc>
        <w:tc>
          <w:tcPr>
            <w:tcW w:w="1087" w:type="dxa"/>
            <w:gridSpan w:val="2"/>
            <w:vAlign w:val="center"/>
          </w:tcPr>
          <w:p w14:paraId="31EC9809">
            <w:pPr>
              <w:rPr>
                <w:rFonts w:hint="eastAsia" w:ascii="宋体" w:hAnsi="宋体" w:cs="宋体"/>
                <w:sz w:val="24"/>
              </w:rPr>
            </w:pPr>
            <w:r>
              <w:rPr>
                <w:rFonts w:hint="eastAsia" w:ascii="宋体" w:hAnsi="宋体" w:cs="宋体"/>
                <w:sz w:val="24"/>
              </w:rPr>
              <w:t>关于验收</w:t>
            </w:r>
          </w:p>
        </w:tc>
        <w:tc>
          <w:tcPr>
            <w:tcW w:w="7229" w:type="dxa"/>
            <w:gridSpan w:val="2"/>
          </w:tcPr>
          <w:p w14:paraId="16F72ACF">
            <w:pPr>
              <w:pStyle w:val="40"/>
              <w:spacing w:before="0" w:after="0"/>
              <w:rPr>
                <w:rFonts w:hint="eastAsia" w:ascii="宋体" w:hAnsi="宋体" w:cs="宋体"/>
              </w:rPr>
            </w:pPr>
            <w:r>
              <w:rPr>
                <w:rFonts w:hint="eastAsia" w:ascii="宋体" w:hAnsi="宋体" w:cs="宋体"/>
                <w:color w:val="000000" w:themeColor="text1"/>
                <w14:textFill>
                  <w14:solidFill>
                    <w14:schemeClr w14:val="tx1"/>
                  </w14:solidFill>
                </w14:textFill>
              </w:rPr>
              <w:t>3.1必须符合有关国标的规定。响应文件提供的技术数据经实测证实是真实的。检验及质量保证期内达到的性能指标与要求一致，达到或优于相应标准。</w:t>
            </w:r>
          </w:p>
          <w:p w14:paraId="5E2394AE">
            <w:pPr>
              <w:pStyle w:val="40"/>
              <w:spacing w:before="0" w:after="0"/>
              <w:rPr>
                <w:rFonts w:hint="eastAsia" w:ascii="宋体" w:hAnsi="宋体" w:cs="宋体"/>
              </w:rPr>
            </w:pPr>
            <w:r>
              <w:rPr>
                <w:rFonts w:hint="eastAsia" w:ascii="宋体" w:hAnsi="宋体" w:cs="宋体"/>
                <w:color w:val="000000" w:themeColor="text1"/>
                <w14:textFill>
                  <w14:solidFill>
                    <w14:schemeClr w14:val="tx1"/>
                  </w14:solidFill>
                </w14:textFill>
              </w:rPr>
              <w:t>3.2技术文件资料、备件等已按规定数量移交完毕。</w:t>
            </w:r>
          </w:p>
          <w:p w14:paraId="5273E602">
            <w:pPr>
              <w:rPr>
                <w:rFonts w:hint="eastAsia" w:ascii="宋体" w:hAnsi="宋体" w:cs="宋体"/>
                <w:sz w:val="24"/>
              </w:rPr>
            </w:pPr>
            <w:r>
              <w:rPr>
                <w:rFonts w:hint="eastAsia" w:ascii="宋体" w:hAnsi="宋体" w:cs="宋体"/>
                <w:sz w:val="24"/>
              </w:rPr>
              <w:t>3.3由采购方与中标方对</w:t>
            </w:r>
            <w:r>
              <w:rPr>
                <w:rFonts w:hint="eastAsia" w:ascii="宋体" w:hAnsi="宋体" w:cs="宋体"/>
                <w:bCs/>
                <w:sz w:val="24"/>
              </w:rPr>
              <w:t>项目</w:t>
            </w:r>
            <w:r>
              <w:rPr>
                <w:rFonts w:hint="eastAsia" w:ascii="宋体" w:hAnsi="宋体" w:cs="宋体"/>
                <w:sz w:val="24"/>
              </w:rPr>
              <w:t>进行验收，验收不合格，采购方有权要求中标方进行整改，中标方整改完成后再次组织验收，验收合格后交付采购方使收用。</w:t>
            </w:r>
          </w:p>
          <w:p w14:paraId="1414CF10">
            <w:pPr>
              <w:rPr>
                <w:rFonts w:hint="eastAsia" w:ascii="宋体" w:hAnsi="宋体" w:cs="宋体"/>
                <w:sz w:val="24"/>
              </w:rPr>
            </w:pPr>
            <w:r>
              <w:rPr>
                <w:rFonts w:hint="eastAsia" w:ascii="宋体" w:hAnsi="宋体" w:cs="宋体"/>
                <w:sz w:val="24"/>
              </w:rPr>
              <w:t>3.4当满足以下条件时，采购方才向中标方签发验收报告：</w:t>
            </w:r>
          </w:p>
          <w:p w14:paraId="53691255">
            <w:pPr>
              <w:rPr>
                <w:rFonts w:hint="eastAsia" w:ascii="宋体" w:hAnsi="宋体" w:cs="宋体"/>
                <w:sz w:val="24"/>
              </w:rPr>
            </w:pPr>
            <w:r>
              <w:rPr>
                <w:rFonts w:hint="eastAsia" w:ascii="宋体" w:hAnsi="宋体" w:cs="宋体"/>
                <w:sz w:val="24"/>
              </w:rPr>
              <w:t>3.4.1中标方已按照合同规定提供了全部产品及完整的技术资料。</w:t>
            </w:r>
          </w:p>
          <w:p w14:paraId="51D23B2C">
            <w:pPr>
              <w:pStyle w:val="40"/>
              <w:spacing w:before="0" w:after="0"/>
              <w:rPr>
                <w:rFonts w:hint="eastAsia" w:ascii="宋体" w:hAnsi="宋体" w:cs="宋体"/>
                <w:bCs w:val="0"/>
                <w:spacing w:val="0"/>
                <w:kern w:val="2"/>
              </w:rPr>
            </w:pPr>
            <w:r>
              <w:rPr>
                <w:rFonts w:hint="eastAsia" w:ascii="宋体" w:hAnsi="宋体" w:cs="宋体"/>
              </w:rPr>
              <w:t>3.4.2产品符合招标文件技术规格书的要求，性能满足要求。</w:t>
            </w:r>
          </w:p>
          <w:p w14:paraId="06537A0F">
            <w:pPr>
              <w:pStyle w:val="40"/>
              <w:spacing w:before="0" w:after="0"/>
              <w:rPr>
                <w:rFonts w:hint="eastAsia" w:ascii="宋体" w:hAnsi="宋体" w:cs="宋体"/>
                <w:bCs w:val="0"/>
                <w:spacing w:val="0"/>
                <w:kern w:val="2"/>
              </w:rPr>
            </w:pPr>
            <w:r>
              <w:rPr>
                <w:rFonts w:hint="eastAsia" w:ascii="宋体" w:hAnsi="宋体" w:cs="宋体"/>
                <w:bCs w:val="0"/>
                <w:spacing w:val="0"/>
                <w:kern w:val="2"/>
              </w:rPr>
              <w:t>3.4.5在招标文件服务范围内，具体功能以各医院实际个性化需求为准。</w:t>
            </w:r>
            <w:r>
              <w:rPr>
                <w:rFonts w:hint="eastAsia" w:ascii="宋体" w:hAnsi="宋体" w:cs="宋体"/>
                <w:bCs w:val="0"/>
                <w:spacing w:val="0"/>
                <w:kern w:val="2"/>
              </w:rPr>
              <w:br w:type="textWrapping"/>
            </w:r>
            <w:r>
              <w:rPr>
                <w:rFonts w:hint="eastAsia" w:ascii="宋体" w:hAnsi="宋体" w:cs="宋体"/>
                <w:b/>
                <w:spacing w:val="0"/>
                <w:kern w:val="2"/>
              </w:rPr>
              <w:t>3.4.6</w:t>
            </w:r>
            <w:r>
              <w:rPr>
                <w:rFonts w:hint="eastAsia" w:ascii="宋体" w:hAnsi="宋体" w:cs="宋体"/>
                <w:b/>
              </w:rPr>
              <w:t>系统二次开发源代码以及产生的数据归采购方所有。</w:t>
            </w:r>
          </w:p>
        </w:tc>
      </w:tr>
      <w:tr w14:paraId="2B26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75" w:type="dxa"/>
          <w:trHeight w:val="350" w:hRule="atLeast"/>
        </w:trPr>
        <w:tc>
          <w:tcPr>
            <w:tcW w:w="898" w:type="dxa"/>
            <w:gridSpan w:val="3"/>
            <w:vAlign w:val="center"/>
          </w:tcPr>
          <w:p w14:paraId="22D2F88F">
            <w:pPr>
              <w:jc w:val="center"/>
              <w:rPr>
                <w:rFonts w:hint="eastAsia" w:ascii="宋体" w:hAnsi="宋体" w:cs="宋体"/>
                <w:sz w:val="24"/>
              </w:rPr>
            </w:pPr>
            <w:r>
              <w:rPr>
                <w:rFonts w:hint="eastAsia" w:ascii="宋体" w:hAnsi="宋体" w:cs="宋体"/>
                <w:sz w:val="24"/>
              </w:rPr>
              <w:t>4</w:t>
            </w:r>
          </w:p>
        </w:tc>
        <w:tc>
          <w:tcPr>
            <w:tcW w:w="1087" w:type="dxa"/>
            <w:gridSpan w:val="2"/>
            <w:vAlign w:val="center"/>
          </w:tcPr>
          <w:p w14:paraId="5E6DE8BB">
            <w:pPr>
              <w:rPr>
                <w:rFonts w:hint="eastAsia" w:ascii="宋体" w:hAnsi="宋体" w:cs="宋体"/>
                <w:sz w:val="24"/>
              </w:rPr>
            </w:pPr>
            <w:r>
              <w:rPr>
                <w:rFonts w:hint="eastAsia" w:ascii="宋体" w:hAnsi="宋体" w:cs="宋体"/>
                <w:sz w:val="24"/>
              </w:rPr>
              <w:t>基本要求</w:t>
            </w:r>
          </w:p>
        </w:tc>
        <w:tc>
          <w:tcPr>
            <w:tcW w:w="7229" w:type="dxa"/>
            <w:gridSpan w:val="2"/>
          </w:tcPr>
          <w:p w14:paraId="559ABBA6">
            <w:pPr>
              <w:rPr>
                <w:rFonts w:hint="eastAsia" w:ascii="宋体" w:hAnsi="宋体" w:cs="宋体"/>
                <w:sz w:val="24"/>
              </w:rPr>
            </w:pPr>
            <w:r>
              <w:rPr>
                <w:rFonts w:hint="eastAsia" w:ascii="宋体" w:hAnsi="宋体" w:cs="宋体"/>
                <w:sz w:val="24"/>
              </w:rPr>
              <w:t>4.1中标方需在采购方规定的时间内完成项目交付。</w:t>
            </w:r>
          </w:p>
          <w:p w14:paraId="210BD97C">
            <w:pPr>
              <w:rPr>
                <w:rFonts w:hint="eastAsia" w:ascii="宋体" w:hAnsi="宋体" w:cs="宋体"/>
                <w:sz w:val="24"/>
              </w:rPr>
            </w:pPr>
            <w:r>
              <w:rPr>
                <w:rFonts w:hint="eastAsia" w:ascii="宋体" w:hAnsi="宋体" w:cs="宋体"/>
                <w:sz w:val="24"/>
              </w:rPr>
              <w:t>4.2采购方反复提出修改意见导致中标方工作不能按时完成时，可按延长时间顺延执行。</w:t>
            </w:r>
          </w:p>
        </w:tc>
      </w:tr>
      <w:tr w14:paraId="68C0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51" w:type="dxa"/>
          <w:trHeight w:val="354" w:hRule="atLeast"/>
          <w:jc w:val="center"/>
        </w:trPr>
        <w:tc>
          <w:tcPr>
            <w:tcW w:w="9238" w:type="dxa"/>
            <w:gridSpan w:val="7"/>
            <w:vAlign w:val="center"/>
          </w:tcPr>
          <w:p w14:paraId="61163DAA">
            <w:pPr>
              <w:rPr>
                <w:rFonts w:hint="eastAsia" w:ascii="宋体" w:hAnsi="宋体" w:cs="宋体"/>
                <w:sz w:val="24"/>
              </w:rPr>
            </w:pPr>
            <w:r>
              <w:rPr>
                <w:rFonts w:hint="eastAsia" w:ascii="宋体" w:hAnsi="宋体" w:cs="宋体"/>
                <w:sz w:val="24"/>
              </w:rPr>
              <w:t>（三）其他商务要求</w:t>
            </w:r>
          </w:p>
        </w:tc>
      </w:tr>
      <w:tr w14:paraId="180B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51" w:type="dxa"/>
          <w:trHeight w:val="350" w:hRule="atLeast"/>
          <w:jc w:val="center"/>
        </w:trPr>
        <w:tc>
          <w:tcPr>
            <w:tcW w:w="875" w:type="dxa"/>
            <w:gridSpan w:val="2"/>
            <w:vAlign w:val="center"/>
          </w:tcPr>
          <w:p w14:paraId="5BB495D9">
            <w:pPr>
              <w:jc w:val="center"/>
              <w:rPr>
                <w:rFonts w:hint="eastAsia" w:ascii="宋体" w:hAnsi="宋体" w:cs="宋体"/>
                <w:sz w:val="24"/>
              </w:rPr>
            </w:pPr>
            <w:r>
              <w:rPr>
                <w:rFonts w:hint="eastAsia" w:ascii="宋体" w:hAnsi="宋体" w:cs="宋体"/>
                <w:sz w:val="24"/>
              </w:rPr>
              <w:t>1</w:t>
            </w:r>
          </w:p>
        </w:tc>
        <w:tc>
          <w:tcPr>
            <w:tcW w:w="1134" w:type="dxa"/>
            <w:gridSpan w:val="3"/>
            <w:vAlign w:val="center"/>
          </w:tcPr>
          <w:p w14:paraId="39A180A8">
            <w:pPr>
              <w:rPr>
                <w:rFonts w:hint="eastAsia" w:ascii="宋体" w:hAnsi="宋体" w:cs="宋体"/>
                <w:sz w:val="24"/>
              </w:rPr>
            </w:pPr>
            <w:r>
              <w:rPr>
                <w:rFonts w:hint="eastAsia" w:ascii="宋体" w:hAnsi="宋体" w:cs="宋体"/>
                <w:sz w:val="24"/>
              </w:rPr>
              <w:t>关于违约</w:t>
            </w:r>
          </w:p>
        </w:tc>
        <w:tc>
          <w:tcPr>
            <w:tcW w:w="7229" w:type="dxa"/>
            <w:gridSpan w:val="2"/>
            <w:vAlign w:val="center"/>
          </w:tcPr>
          <w:p w14:paraId="23597EFD">
            <w:pPr>
              <w:pStyle w:val="10"/>
              <w:rPr>
                <w:rFonts w:hint="eastAsia" w:ascii="宋体" w:hAnsi="宋体" w:cs="宋体"/>
              </w:rPr>
            </w:pPr>
            <w:r>
              <w:rPr>
                <w:rFonts w:hint="eastAsia" w:ascii="宋体" w:hAnsi="宋体" w:cs="宋体"/>
              </w:rPr>
              <w:t>1</w:t>
            </w:r>
            <w:r>
              <w:rPr>
                <w:rFonts w:hint="eastAsia" w:ascii="宋体" w:hAnsi="宋体" w:eastAsia="宋体" w:cs="宋体"/>
                <w:bCs/>
                <w:sz w:val="24"/>
                <w:szCs w:val="20"/>
              </w:rPr>
              <w:t>.1 中标方所交付产品不符合其投标承诺的或在投标阶段为了中标而盲目虚假承诺、低价恶性竞争，在履约阶段则通过偷工减料、以次充好而获取利润的，将扣除货款</w:t>
            </w:r>
            <w:r>
              <w:rPr>
                <w:rFonts w:hint="eastAsia" w:ascii="宋体" w:hAnsi="宋体" w:eastAsia="宋体" w:cs="宋体"/>
                <w:bCs/>
                <w:sz w:val="24"/>
                <w:szCs w:val="20"/>
                <w:lang w:eastAsia="zh-CN"/>
              </w:rPr>
              <w:t>，</w:t>
            </w:r>
            <w:r>
              <w:rPr>
                <w:rFonts w:hint="eastAsia" w:ascii="宋体" w:hAnsi="宋体" w:eastAsia="宋体" w:cs="宋体"/>
                <w:bCs/>
                <w:sz w:val="24"/>
                <w:szCs w:val="20"/>
              </w:rPr>
              <w:t>并上报主管部门。</w:t>
            </w:r>
          </w:p>
        </w:tc>
      </w:tr>
    </w:tbl>
    <w:p w14:paraId="7748794D"/>
    <w:p w14:paraId="7F8D0382">
      <w:pPr>
        <w:pStyle w:val="2"/>
        <w:numPr>
          <w:ilvl w:val="0"/>
          <w:numId w:val="3"/>
        </w:numPr>
        <w:jc w:val="left"/>
      </w:pPr>
      <w:r>
        <w:rPr>
          <w:rFonts w:hint="eastAsia" w:asciiTheme="majorEastAsia" w:hAnsiTheme="majorEastAsia"/>
          <w:sz w:val="28"/>
          <w:szCs w:val="28"/>
        </w:rPr>
        <w:t>评审标准</w:t>
      </w:r>
      <w:r>
        <w:rPr>
          <w:rFonts w:hint="eastAsia" w:ascii="楷体_GB2312" w:hAnsi="楷体_GB2312" w:eastAsia="楷体_GB2312" w:cs="楷体_GB2312"/>
          <w:highlight w:val="yellow"/>
        </w:rPr>
        <w:t>（综合得分60分以下的视为投标无效）</w:t>
      </w:r>
    </w:p>
    <w:tbl>
      <w:tblPr>
        <w:tblStyle w:val="20"/>
        <w:tblpPr w:leftFromText="180" w:rightFromText="180" w:vertAnchor="text" w:horzAnchor="page" w:tblpX="847" w:tblpY="228"/>
        <w:tblOverlap w:val="never"/>
        <w:tblW w:w="0" w:type="auto"/>
        <w:tblCellSpacing w:w="0" w:type="dxa"/>
        <w:tblInd w:w="0" w:type="dxa"/>
        <w:tblLayout w:type="fixed"/>
        <w:tblCellMar>
          <w:top w:w="45" w:type="dxa"/>
          <w:left w:w="45" w:type="dxa"/>
          <w:bottom w:w="45" w:type="dxa"/>
          <w:right w:w="45" w:type="dxa"/>
        </w:tblCellMar>
      </w:tblPr>
      <w:tblGrid>
        <w:gridCol w:w="9604"/>
      </w:tblGrid>
      <w:tr w14:paraId="6EBD5165">
        <w:tblPrEx>
          <w:tblCellMar>
            <w:top w:w="45" w:type="dxa"/>
            <w:left w:w="45" w:type="dxa"/>
            <w:bottom w:w="45" w:type="dxa"/>
            <w:right w:w="45" w:type="dxa"/>
          </w:tblCellMar>
        </w:tblPrEx>
        <w:trPr>
          <w:trHeight w:val="98" w:hRule="atLeast"/>
          <w:tblCellSpacing w:w="0" w:type="dxa"/>
        </w:trPr>
        <w:tc>
          <w:tcPr>
            <w:tcW w:w="9604" w:type="dxa"/>
            <w:tcBorders>
              <w:top w:val="nil"/>
              <w:left w:val="nil"/>
              <w:bottom w:val="nil"/>
              <w:right w:val="nil"/>
            </w:tcBorders>
            <w:vAlign w:val="center"/>
          </w:tcPr>
          <w:tbl>
            <w:tblPr>
              <w:tblStyle w:val="20"/>
              <w:tblpPr w:leftFromText="180" w:rightFromText="180" w:vertAnchor="text" w:horzAnchor="page" w:tblpXSpec="center" w:tblpY="5"/>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694"/>
              <w:gridCol w:w="680"/>
              <w:gridCol w:w="1720"/>
              <w:gridCol w:w="865"/>
              <w:gridCol w:w="5545"/>
            </w:tblGrid>
            <w:tr w14:paraId="5789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28" w:hRule="atLeast"/>
                <w:jc w:val="center"/>
              </w:trPr>
              <w:tc>
                <w:tcPr>
                  <w:tcW w:w="365" w:type="pct"/>
                  <w:shd w:val="clear" w:color="auto" w:fill="E6EFFA"/>
                  <w:vAlign w:val="center"/>
                </w:tcPr>
                <w:p w14:paraId="0EB35519">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kern w:val="0"/>
                      <w:sz w:val="24"/>
                    </w:rPr>
                    <w:t>序号</w:t>
                  </w:r>
                </w:p>
              </w:tc>
              <w:tc>
                <w:tcPr>
                  <w:tcW w:w="1718" w:type="pct"/>
                  <w:gridSpan w:val="3"/>
                  <w:shd w:val="clear" w:color="auto" w:fill="E6EFFA"/>
                  <w:vAlign w:val="center"/>
                </w:tcPr>
                <w:p w14:paraId="121D97E4">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kern w:val="0"/>
                      <w:sz w:val="24"/>
                    </w:rPr>
                    <w:t>评分项</w:t>
                  </w:r>
                </w:p>
              </w:tc>
              <w:tc>
                <w:tcPr>
                  <w:tcW w:w="2917" w:type="pct"/>
                  <w:shd w:val="clear" w:color="auto" w:fill="E6EFFA"/>
                  <w:vAlign w:val="center"/>
                </w:tcPr>
                <w:p w14:paraId="4124F886">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kern w:val="0"/>
                      <w:sz w:val="24"/>
                    </w:rPr>
                    <w:t>权重(%)</w:t>
                  </w:r>
                </w:p>
              </w:tc>
            </w:tr>
            <w:tr w14:paraId="6B9A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92" w:hRule="atLeast"/>
                <w:jc w:val="center"/>
              </w:trPr>
              <w:tc>
                <w:tcPr>
                  <w:tcW w:w="365" w:type="pct"/>
                  <w:vMerge w:val="restart"/>
                </w:tcPr>
                <w:p w14:paraId="3172A16D">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1</w:t>
                  </w:r>
                </w:p>
              </w:tc>
              <w:tc>
                <w:tcPr>
                  <w:tcW w:w="1718" w:type="pct"/>
                  <w:gridSpan w:val="3"/>
                  <w:vMerge w:val="restart"/>
                </w:tcPr>
                <w:p w14:paraId="12C3950B">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价格</w:t>
                  </w:r>
                </w:p>
              </w:tc>
              <w:tc>
                <w:tcPr>
                  <w:tcW w:w="2917" w:type="pct"/>
                </w:tcPr>
                <w:p w14:paraId="50A1B3F5">
                  <w:pPr>
                    <w:widowControl/>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rPr>
                    <w:t>10</w:t>
                  </w:r>
                </w:p>
              </w:tc>
            </w:tr>
            <w:tr w14:paraId="5F9D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791" w:hRule="atLeast"/>
                <w:jc w:val="center"/>
              </w:trPr>
              <w:tc>
                <w:tcPr>
                  <w:tcW w:w="365" w:type="pct"/>
                  <w:vMerge w:val="continue"/>
                </w:tcPr>
                <w:p w14:paraId="0303938B">
                  <w:pPr>
                    <w:widowControl/>
                    <w:jc w:val="center"/>
                  </w:pPr>
                </w:p>
              </w:tc>
              <w:tc>
                <w:tcPr>
                  <w:tcW w:w="1718" w:type="pct"/>
                  <w:gridSpan w:val="3"/>
                  <w:vMerge w:val="continue"/>
                </w:tcPr>
                <w:p w14:paraId="18A86EF3">
                  <w:pPr>
                    <w:widowControl/>
                    <w:jc w:val="center"/>
                  </w:pPr>
                </w:p>
              </w:tc>
              <w:tc>
                <w:tcPr>
                  <w:tcW w:w="2917" w:type="pct"/>
                </w:tcPr>
                <w:p w14:paraId="596376B5">
                  <w:pPr>
                    <w:wordWrap w:val="0"/>
                    <w:rPr>
                      <w:rFonts w:hint="eastAsia" w:ascii="宋体" w:hAnsi="宋体" w:cs="宋体"/>
                      <w:sz w:val="24"/>
                      <w:szCs w:val="21"/>
                    </w:rPr>
                  </w:pPr>
                  <w:r>
                    <w:rPr>
                      <w:rFonts w:hint="eastAsia" w:ascii="宋体" w:hAnsi="宋体" w:cs="宋体"/>
                      <w:sz w:val="24"/>
                      <w:szCs w:val="21"/>
                    </w:rPr>
                    <w:t>采用低价优先法计算，即满足招标文件要求且投标价格最低的投标报价为评标基准价，其价格分为满分。其他投标人的价格分统一按照下列公式计算：</w:t>
                  </w:r>
                </w:p>
                <w:p w14:paraId="1CB5745B">
                  <w:pPr>
                    <w:widowControl w:val="0"/>
                    <w:wordWrap w:val="0"/>
                    <w:jc w:val="both"/>
                    <w:rPr>
                      <w:rFonts w:hint="eastAsia" w:ascii="宋体" w:hAnsi="宋体" w:cs="宋体"/>
                      <w:sz w:val="24"/>
                      <w:szCs w:val="21"/>
                    </w:rPr>
                  </w:pPr>
                  <w:r>
                    <w:rPr>
                      <w:rFonts w:hint="eastAsia" w:ascii="宋体" w:hAnsi="宋体" w:cs="宋体"/>
                      <w:sz w:val="24"/>
                      <w:szCs w:val="21"/>
                    </w:rPr>
                    <w:t>投标报价得分=(评标基准价／投标报价)×价格权重</w:t>
                  </w:r>
                </w:p>
              </w:tc>
            </w:tr>
            <w:tr w14:paraId="286B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restart"/>
                </w:tcPr>
                <w:p w14:paraId="46DB88CA">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2</w:t>
                  </w:r>
                </w:p>
              </w:tc>
              <w:tc>
                <w:tcPr>
                  <w:tcW w:w="1718" w:type="pct"/>
                  <w:gridSpan w:val="3"/>
                </w:tcPr>
                <w:p w14:paraId="31386FEA">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技术部分</w:t>
                  </w:r>
                </w:p>
              </w:tc>
              <w:tc>
                <w:tcPr>
                  <w:tcW w:w="2917" w:type="pct"/>
                </w:tcPr>
                <w:p w14:paraId="3B2F3E40">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55</w:t>
                  </w:r>
                </w:p>
              </w:tc>
            </w:tr>
            <w:tr w14:paraId="0F61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shd w:val="clear" w:color="auto" w:fill="E6EFFA"/>
                  <w:vAlign w:val="center"/>
                </w:tcPr>
                <w:p w14:paraId="3885382F">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shd w:val="clear" w:color="auto" w:fill="E6EFFA"/>
                  <w:vAlign w:val="center"/>
                </w:tcPr>
                <w:p w14:paraId="04F608E6">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序号</w:t>
                  </w:r>
                </w:p>
              </w:tc>
              <w:tc>
                <w:tcPr>
                  <w:tcW w:w="905" w:type="pct"/>
                  <w:shd w:val="clear" w:color="auto" w:fill="E6EFFA"/>
                  <w:vAlign w:val="center"/>
                </w:tcPr>
                <w:p w14:paraId="40C886E6">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评分因素</w:t>
                  </w:r>
                </w:p>
              </w:tc>
              <w:tc>
                <w:tcPr>
                  <w:tcW w:w="455" w:type="pct"/>
                  <w:shd w:val="clear" w:color="auto" w:fill="E6EFFA"/>
                  <w:vAlign w:val="center"/>
                </w:tcPr>
                <w:p w14:paraId="706033FD">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权重(%)</w:t>
                  </w:r>
                </w:p>
              </w:tc>
              <w:tc>
                <w:tcPr>
                  <w:tcW w:w="2917" w:type="pct"/>
                  <w:shd w:val="clear" w:color="auto" w:fill="E6EFFA"/>
                  <w:vAlign w:val="center"/>
                </w:tcPr>
                <w:p w14:paraId="720FEF7C">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评分准则</w:t>
                  </w:r>
                </w:p>
              </w:tc>
            </w:tr>
            <w:tr w14:paraId="2DAF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7870C949">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2D28B1AC">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1</w:t>
                  </w:r>
                </w:p>
              </w:tc>
              <w:tc>
                <w:tcPr>
                  <w:tcW w:w="905" w:type="pct"/>
                  <w:vAlign w:val="center"/>
                </w:tcPr>
                <w:p w14:paraId="3D1AFEB3">
                  <w:pPr>
                    <w:pStyle w:val="41"/>
                    <w:ind w:left="101"/>
                    <w:jc w:val="center"/>
                    <w:rPr>
                      <w:rFonts w:hint="eastAsia"/>
                      <w:color w:val="000000" w:themeColor="text1"/>
                      <w:kern w:val="0"/>
                      <w:sz w:val="24"/>
                      <w:szCs w:val="24"/>
                      <w:lang w:eastAsia="zh-CN"/>
                      <w14:textFill>
                        <w14:solidFill>
                          <w14:schemeClr w14:val="tx1"/>
                        </w14:solidFill>
                      </w14:textFill>
                    </w:rPr>
                  </w:pPr>
                  <w:r>
                    <w:rPr>
                      <w:rFonts w:hint="eastAsia"/>
                      <w:sz w:val="24"/>
                      <w:szCs w:val="24"/>
                    </w:rPr>
                    <w:t>项目</w:t>
                  </w:r>
                  <w:r>
                    <w:rPr>
                      <w:rFonts w:hint="eastAsia"/>
                      <w:sz w:val="24"/>
                      <w:szCs w:val="24"/>
                      <w:lang w:eastAsia="zh-CN"/>
                    </w:rPr>
                    <w:t>实施</w:t>
                  </w:r>
                  <w:r>
                    <w:rPr>
                      <w:rFonts w:hint="eastAsia"/>
                      <w:sz w:val="24"/>
                      <w:szCs w:val="24"/>
                    </w:rPr>
                    <w:t>方案</w:t>
                  </w:r>
                </w:p>
              </w:tc>
              <w:tc>
                <w:tcPr>
                  <w:tcW w:w="455" w:type="pct"/>
                  <w:vAlign w:val="center"/>
                </w:tcPr>
                <w:p w14:paraId="31802768">
                  <w:pPr>
                    <w:pStyle w:val="41"/>
                    <w:ind w:left="0"/>
                    <w:jc w:val="center"/>
                    <w:rPr>
                      <w:rFonts w:hint="eastAsia"/>
                      <w:color w:val="000000" w:themeColor="text1"/>
                      <w:kern w:val="0"/>
                      <w:sz w:val="24"/>
                      <w:szCs w:val="24"/>
                      <w:lang w:eastAsia="zh-CN"/>
                      <w14:textFill>
                        <w14:solidFill>
                          <w14:schemeClr w14:val="tx1"/>
                        </w14:solidFill>
                      </w14:textFill>
                    </w:rPr>
                  </w:pPr>
                  <w:r>
                    <w:rPr>
                      <w:rFonts w:hint="eastAsia"/>
                      <w:sz w:val="24"/>
                      <w:szCs w:val="24"/>
                      <w:lang w:eastAsia="zh-CN"/>
                    </w:rPr>
                    <w:t>10</w:t>
                  </w:r>
                </w:p>
              </w:tc>
              <w:tc>
                <w:tcPr>
                  <w:tcW w:w="2917" w:type="pct"/>
                </w:tcPr>
                <w:p w14:paraId="2488C724">
                  <w:pPr>
                    <w:numPr>
                      <w:ilvl w:val="255"/>
                      <w:numId w:val="0"/>
                    </w:numPr>
                    <w:wordWrap w:val="0"/>
                    <w:rPr>
                      <w:rFonts w:hint="eastAsia" w:ascii="宋体" w:hAnsi="宋体" w:cs="宋体"/>
                      <w:b/>
                      <w:sz w:val="24"/>
                    </w:rPr>
                  </w:pPr>
                  <w:r>
                    <w:rPr>
                      <w:rFonts w:hint="eastAsia" w:ascii="宋体" w:hAnsi="宋体" w:cs="宋体"/>
                      <w:b/>
                      <w:sz w:val="24"/>
                    </w:rPr>
                    <w:t>评分内容</w:t>
                  </w:r>
                </w:p>
                <w:p w14:paraId="6FF72B2C">
                  <w:pPr>
                    <w:wordWrap w:val="0"/>
                    <w:rPr>
                      <w:rFonts w:hint="eastAsia" w:ascii="宋体" w:hAnsi="宋体" w:cs="宋体"/>
                      <w:sz w:val="24"/>
                    </w:rPr>
                  </w:pPr>
                  <w:r>
                    <w:rPr>
                      <w:rFonts w:hint="eastAsia" w:ascii="宋体" w:hAnsi="宋体" w:cs="宋体"/>
                      <w:sz w:val="24"/>
                    </w:rPr>
                    <w:t>投标人提供的项目实施方案包括以下内容：</w:t>
                  </w:r>
                </w:p>
                <w:p w14:paraId="08A44E96">
                  <w:pPr>
                    <w:numPr>
                      <w:ilvl w:val="255"/>
                      <w:numId w:val="0"/>
                    </w:numPr>
                    <w:wordWrap w:val="0"/>
                    <w:rPr>
                      <w:rFonts w:hint="eastAsia" w:ascii="宋体" w:hAnsi="宋体" w:cs="宋体"/>
                      <w:sz w:val="24"/>
                    </w:rPr>
                  </w:pPr>
                  <w:r>
                    <w:rPr>
                      <w:rFonts w:hint="eastAsia" w:ascii="宋体" w:hAnsi="宋体" w:cs="宋体"/>
                      <w:sz w:val="24"/>
                    </w:rPr>
                    <w:t>（1）方案包括建设背景的理解、目标、内容。</w:t>
                  </w:r>
                </w:p>
                <w:p w14:paraId="0CA52252">
                  <w:pPr>
                    <w:numPr>
                      <w:ilvl w:val="255"/>
                      <w:numId w:val="0"/>
                    </w:numPr>
                    <w:wordWrap w:val="0"/>
                    <w:rPr>
                      <w:rFonts w:hint="eastAsia" w:ascii="宋体" w:hAnsi="宋体" w:cs="宋体"/>
                      <w:sz w:val="24"/>
                    </w:rPr>
                  </w:pPr>
                  <w:r>
                    <w:rPr>
                      <w:rFonts w:hint="eastAsia" w:ascii="宋体" w:hAnsi="宋体" w:cs="宋体"/>
                      <w:sz w:val="24"/>
                    </w:rPr>
                    <w:t>（2）软件平台的技术路线、核心功能模块设计。</w:t>
                  </w:r>
                </w:p>
                <w:p w14:paraId="4DD03693">
                  <w:pPr>
                    <w:wordWrap w:val="0"/>
                    <w:rPr>
                      <w:rFonts w:hint="eastAsia" w:ascii="宋体" w:hAnsi="宋体" w:cs="宋体"/>
                      <w:sz w:val="24"/>
                    </w:rPr>
                  </w:pPr>
                  <w:r>
                    <w:rPr>
                      <w:rFonts w:hint="eastAsia" w:ascii="宋体" w:hAnsi="宋体" w:cs="宋体"/>
                      <w:sz w:val="24"/>
                    </w:rPr>
                    <w:t>（3）总体业务流程、总体架构等方案。</w:t>
                  </w:r>
                </w:p>
                <w:p w14:paraId="1C6F3A64">
                  <w:pPr>
                    <w:wordWrap w:val="0"/>
                    <w:rPr>
                      <w:rFonts w:hint="eastAsia" w:ascii="宋体" w:hAnsi="宋体" w:cs="宋体"/>
                      <w:b/>
                      <w:sz w:val="24"/>
                    </w:rPr>
                  </w:pPr>
                  <w:r>
                    <w:rPr>
                      <w:rFonts w:hint="eastAsia" w:ascii="宋体" w:hAnsi="宋体" w:cs="宋体"/>
                      <w:b/>
                      <w:sz w:val="24"/>
                    </w:rPr>
                    <w:t>（二）评分依据</w:t>
                  </w:r>
                </w:p>
                <w:p w14:paraId="01EC4E0A">
                  <w:pPr>
                    <w:wordWrap w:val="0"/>
                    <w:rPr>
                      <w:rFonts w:hint="eastAsia" w:ascii="宋体" w:hAnsi="宋体" w:cs="宋体"/>
                      <w:sz w:val="24"/>
                    </w:rPr>
                  </w:pPr>
                  <w:r>
                    <w:rPr>
                      <w:rFonts w:hint="eastAsia" w:ascii="宋体" w:hAnsi="宋体" w:cs="宋体"/>
                      <w:sz w:val="24"/>
                    </w:rPr>
                    <w:t>1、考察项目实施方案，每提供以上任意一项得2分，全部提供的得6分。</w:t>
                  </w:r>
                </w:p>
                <w:p w14:paraId="607E727D">
                  <w:pPr>
                    <w:wordWrap w:val="0"/>
                    <w:rPr>
                      <w:rFonts w:hint="eastAsia" w:ascii="宋体" w:hAnsi="宋体" w:cs="宋体"/>
                      <w:sz w:val="24"/>
                    </w:rPr>
                  </w:pPr>
                  <w:r>
                    <w:rPr>
                      <w:rFonts w:hint="eastAsia" w:ascii="宋体" w:hAnsi="宋体" w:cs="宋体"/>
                      <w:sz w:val="24"/>
                    </w:rPr>
                    <w:t>2、在此基础上，专家根据各投标人的具体响应内容横向比较。</w:t>
                  </w:r>
                </w:p>
                <w:p w14:paraId="2E37C31D">
                  <w:pPr>
                    <w:wordWrap w:val="0"/>
                    <w:rPr>
                      <w:rFonts w:hint="eastAsia" w:ascii="宋体" w:hAnsi="宋体" w:cs="宋体"/>
                      <w:sz w:val="24"/>
                    </w:rPr>
                  </w:pPr>
                  <w:r>
                    <w:rPr>
                      <w:rFonts w:hint="eastAsia" w:ascii="宋体" w:hAnsi="宋体" w:cs="宋体"/>
                      <w:sz w:val="24"/>
                    </w:rPr>
                    <w:t>（1）评审为优：提供的方案完全符合采购人项目建设要求，且编写完整详细，设计思路清晰，表述严谨简练，提供有详细的总体框架设计说明、技术路线说明、业务流程、总体架构等方案，方案设计规划合理、描述准确，具备可行性、可靠性、合理性，加4分。</w:t>
                  </w:r>
                </w:p>
                <w:p w14:paraId="704A6C7F">
                  <w:pPr>
                    <w:wordWrap w:val="0"/>
                    <w:rPr>
                      <w:rFonts w:hint="eastAsia" w:ascii="宋体" w:hAnsi="宋体" w:cs="宋体"/>
                      <w:sz w:val="24"/>
                    </w:rPr>
                  </w:pPr>
                  <w:r>
                    <w:rPr>
                      <w:rFonts w:hint="eastAsia" w:ascii="宋体" w:hAnsi="宋体" w:cs="宋体"/>
                      <w:sz w:val="24"/>
                    </w:rPr>
                    <w:t>（2）评审为良：提供的方案基本符合采购人项目建设要求，方案编写较为完整详细，比较有针对性，加2分。</w:t>
                  </w:r>
                </w:p>
                <w:p w14:paraId="3E5A9ADA">
                  <w:pPr>
                    <w:wordWrap w:val="0"/>
                    <w:rPr>
                      <w:rFonts w:hint="eastAsia" w:ascii="宋体" w:hAnsi="宋体" w:cs="宋体"/>
                      <w:sz w:val="24"/>
                    </w:rPr>
                  </w:pPr>
                  <w:r>
                    <w:rPr>
                      <w:rFonts w:hint="eastAsia" w:ascii="宋体" w:hAnsi="宋体" w:cs="宋体"/>
                      <w:sz w:val="24"/>
                    </w:rPr>
                    <w:t>（3）评审为中：提供的方案基本符合采购人项目建设要求，但方案简单，加1分。</w:t>
                  </w:r>
                </w:p>
                <w:p w14:paraId="2716EAFA">
                  <w:pPr>
                    <w:wordWrap w:val="0"/>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（4）评审为差：提供的方案不合理、无针对性、无可操作性，不加分。</w:t>
                  </w:r>
                </w:p>
              </w:tc>
            </w:tr>
            <w:tr w14:paraId="3437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2C859B01">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050C7C17">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2</w:t>
                  </w:r>
                </w:p>
              </w:tc>
              <w:tc>
                <w:tcPr>
                  <w:tcW w:w="905" w:type="pct"/>
                  <w:vAlign w:val="center"/>
                </w:tcPr>
                <w:p w14:paraId="6FBC4315">
                  <w:pPr>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质量保障措施</w:t>
                  </w:r>
                </w:p>
              </w:tc>
              <w:tc>
                <w:tcPr>
                  <w:tcW w:w="455" w:type="pct"/>
                  <w:vAlign w:val="center"/>
                </w:tcPr>
                <w:p w14:paraId="58352AE3">
                  <w:pPr>
                    <w:pStyle w:val="41"/>
                    <w:jc w:val="center"/>
                    <w:rPr>
                      <w:rFonts w:hint="eastAsia"/>
                      <w:color w:val="000000" w:themeColor="text1"/>
                      <w:kern w:val="0"/>
                      <w:sz w:val="24"/>
                      <w14:textFill>
                        <w14:solidFill>
                          <w14:schemeClr w14:val="tx1"/>
                        </w14:solidFill>
                      </w14:textFill>
                    </w:rPr>
                  </w:pPr>
                  <w:r>
                    <w:rPr>
                      <w:rFonts w:hint="eastAsia"/>
                      <w:sz w:val="24"/>
                    </w:rPr>
                    <w:t>10</w:t>
                  </w:r>
                </w:p>
              </w:tc>
              <w:tc>
                <w:tcPr>
                  <w:tcW w:w="2917" w:type="pct"/>
                </w:tcPr>
                <w:p w14:paraId="68A4F5B7">
                  <w:pPr>
                    <w:wordWrap w:val="0"/>
                    <w:rPr>
                      <w:rFonts w:hint="eastAsia" w:ascii="宋体" w:hAnsi="宋体" w:cs="宋体"/>
                      <w:b/>
                      <w:sz w:val="24"/>
                    </w:rPr>
                  </w:pPr>
                  <w:r>
                    <w:rPr>
                      <w:rFonts w:hint="eastAsia" w:ascii="宋体" w:hAnsi="宋体" w:cs="宋体"/>
                      <w:b/>
                      <w:sz w:val="24"/>
                    </w:rPr>
                    <w:t>（一）评分内容</w:t>
                  </w:r>
                </w:p>
                <w:p w14:paraId="493068A7">
                  <w:pPr>
                    <w:wordWrap w:val="0"/>
                    <w:rPr>
                      <w:rFonts w:hint="eastAsia" w:ascii="宋体" w:hAnsi="宋体" w:cs="宋体"/>
                      <w:sz w:val="24"/>
                    </w:rPr>
                  </w:pPr>
                  <w:r>
                    <w:rPr>
                      <w:rFonts w:hint="eastAsia" w:ascii="宋体" w:hAnsi="宋体" w:cs="宋体"/>
                      <w:sz w:val="24"/>
                    </w:rPr>
                    <w:t>投标人提供的质量保障措施包括以下内容：</w:t>
                  </w:r>
                </w:p>
                <w:p w14:paraId="706EE3DA">
                  <w:pPr>
                    <w:wordWrap w:val="0"/>
                    <w:rPr>
                      <w:rFonts w:hint="eastAsia" w:ascii="宋体" w:hAnsi="宋体" w:cs="宋体"/>
                      <w:sz w:val="24"/>
                    </w:rPr>
                  </w:pPr>
                  <w:r>
                    <w:rPr>
                      <w:rFonts w:hint="eastAsia" w:ascii="宋体" w:hAnsi="宋体" w:cs="宋体"/>
                      <w:sz w:val="24"/>
                    </w:rPr>
                    <w:t>（1）实施进度计划、工期保证措施。</w:t>
                  </w:r>
                </w:p>
                <w:p w14:paraId="304E331F">
                  <w:pPr>
                    <w:wordWrap w:val="0"/>
                    <w:rPr>
                      <w:rFonts w:hint="eastAsia" w:ascii="宋体" w:hAnsi="宋体" w:cs="宋体"/>
                      <w:sz w:val="24"/>
                    </w:rPr>
                  </w:pPr>
                  <w:r>
                    <w:rPr>
                      <w:rFonts w:hint="eastAsia" w:ascii="宋体" w:hAnsi="宋体" w:cs="宋体"/>
                      <w:sz w:val="24"/>
                    </w:rPr>
                    <w:t>（2）安全控制措施、实施质量控制方案。</w:t>
                  </w:r>
                </w:p>
                <w:p w14:paraId="15B658F4">
                  <w:pPr>
                    <w:wordWrap w:val="0"/>
                    <w:rPr>
                      <w:rFonts w:hint="eastAsia" w:ascii="宋体" w:hAnsi="宋体" w:cs="宋体"/>
                      <w:sz w:val="24"/>
                    </w:rPr>
                  </w:pPr>
                  <w:r>
                    <w:rPr>
                      <w:rFonts w:hint="eastAsia" w:ascii="宋体" w:hAnsi="宋体" w:cs="宋体"/>
                      <w:sz w:val="24"/>
                    </w:rPr>
                    <w:t>（3）应急保障方案。</w:t>
                  </w:r>
                </w:p>
                <w:p w14:paraId="33EA3448">
                  <w:pPr>
                    <w:wordWrap w:val="0"/>
                    <w:rPr>
                      <w:rFonts w:hint="eastAsia" w:ascii="宋体" w:hAnsi="宋体" w:cs="宋体"/>
                      <w:sz w:val="24"/>
                    </w:rPr>
                  </w:pPr>
                  <w:r>
                    <w:rPr>
                      <w:rFonts w:hint="eastAsia" w:ascii="宋体" w:hAnsi="宋体" w:cs="宋体"/>
                      <w:sz w:val="24"/>
                    </w:rPr>
                    <w:t>（4）项目风险管理措施。</w:t>
                  </w:r>
                </w:p>
                <w:p w14:paraId="50245009">
                  <w:pPr>
                    <w:wordWrap w:val="0"/>
                    <w:rPr>
                      <w:rFonts w:hint="eastAsia" w:ascii="宋体" w:hAnsi="宋体" w:cs="宋体"/>
                      <w:sz w:val="24"/>
                    </w:rPr>
                  </w:pPr>
                  <w:r>
                    <w:rPr>
                      <w:rFonts w:hint="eastAsia" w:ascii="宋体" w:hAnsi="宋体" w:cs="宋体"/>
                      <w:b/>
                      <w:sz w:val="24"/>
                    </w:rPr>
                    <w:t>（二）评分依据</w:t>
                  </w:r>
                </w:p>
                <w:p w14:paraId="4A94D499">
                  <w:pPr>
                    <w:wordWrap w:val="0"/>
                    <w:rPr>
                      <w:rFonts w:hint="eastAsia" w:ascii="宋体" w:hAnsi="宋体" w:cs="宋体"/>
                      <w:sz w:val="24"/>
                    </w:rPr>
                  </w:pPr>
                  <w:r>
                    <w:rPr>
                      <w:rFonts w:hint="eastAsia" w:ascii="宋体" w:hAnsi="宋体" w:cs="宋体"/>
                      <w:sz w:val="24"/>
                    </w:rPr>
                    <w:t>1、考察质量保障措施，每提供以上任意一项得1.5分，全部提供的得6分。</w:t>
                  </w:r>
                </w:p>
                <w:p w14:paraId="407F7100">
                  <w:pPr>
                    <w:wordWrap w:val="0"/>
                    <w:rPr>
                      <w:rFonts w:hint="eastAsia" w:ascii="宋体" w:hAnsi="宋体" w:cs="宋体"/>
                      <w:sz w:val="24"/>
                    </w:rPr>
                  </w:pPr>
                  <w:r>
                    <w:rPr>
                      <w:rFonts w:hint="eastAsia" w:ascii="宋体" w:hAnsi="宋体" w:cs="宋体"/>
                      <w:sz w:val="24"/>
                    </w:rPr>
                    <w:t>2、在此基础上，专家根据各投标人的具体响应内容横向比较。</w:t>
                  </w:r>
                </w:p>
                <w:p w14:paraId="43F5AB8E">
                  <w:pPr>
                    <w:wordWrap w:val="0"/>
                    <w:rPr>
                      <w:rFonts w:hint="eastAsia" w:ascii="宋体" w:hAnsi="宋体" w:cs="宋体"/>
                      <w:sz w:val="24"/>
                    </w:rPr>
                  </w:pPr>
                  <w:r>
                    <w:rPr>
                      <w:rFonts w:hint="eastAsia" w:ascii="宋体" w:hAnsi="宋体" w:cs="宋体"/>
                      <w:sz w:val="24"/>
                    </w:rPr>
                    <w:t>（1）评审为优：项目质量保障措施全面具体、有针对性和可操作性的，加4分。</w:t>
                  </w:r>
                </w:p>
                <w:p w14:paraId="7C8D4705">
                  <w:pPr>
                    <w:wordWrap w:val="0"/>
                    <w:rPr>
                      <w:rFonts w:hint="eastAsia" w:ascii="宋体" w:hAnsi="宋体" w:cs="宋体"/>
                      <w:sz w:val="24"/>
                    </w:rPr>
                  </w:pPr>
                  <w:r>
                    <w:rPr>
                      <w:rFonts w:hint="eastAsia" w:ascii="宋体" w:hAnsi="宋体" w:cs="宋体"/>
                      <w:sz w:val="24"/>
                    </w:rPr>
                    <w:t>（2）评审为良：项目质量保障措施较全面具体、较有针对性和可操作性的，加2分。</w:t>
                  </w:r>
                </w:p>
                <w:p w14:paraId="4AFC4787">
                  <w:pPr>
                    <w:wordWrap w:val="0"/>
                    <w:rPr>
                      <w:rFonts w:hint="eastAsia" w:ascii="宋体" w:hAnsi="宋体" w:cs="宋体"/>
                      <w:sz w:val="24"/>
                    </w:rPr>
                  </w:pPr>
                  <w:r>
                    <w:rPr>
                      <w:rFonts w:hint="eastAsia" w:ascii="宋体" w:hAnsi="宋体" w:cs="宋体"/>
                      <w:sz w:val="24"/>
                    </w:rPr>
                    <w:t>（3）评审为中：项目质量保障措施具体性一般、针对性和可操作性一般的，加1分。</w:t>
                  </w:r>
                </w:p>
                <w:p w14:paraId="1ED8CE39">
                  <w:pPr>
                    <w:wordWrap w:val="0"/>
                    <w:rPr>
                      <w:rFonts w:hint="eastAsia" w:ascii="宋体" w:hAnsi="宋体" w:cs="宋体"/>
                      <w:color w:val="000000" w:themeColor="text1"/>
                      <w:sz w:val="24"/>
                      <w14:textFill>
                        <w14:solidFill>
                          <w14:schemeClr w14:val="tx1"/>
                        </w14:solidFill>
                      </w14:textFill>
                    </w:rPr>
                  </w:pPr>
                  <w:r>
                    <w:rPr>
                      <w:rFonts w:hint="eastAsia" w:ascii="宋体" w:hAnsi="宋体" w:cs="宋体"/>
                      <w:sz w:val="24"/>
                    </w:rPr>
                    <w:t>（4）评审为差：方案不合理、无针对性、无可操作性，不加分。</w:t>
                  </w:r>
                </w:p>
              </w:tc>
            </w:tr>
            <w:tr w14:paraId="589B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5461AD4A">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512ECD53">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3</w:t>
                  </w:r>
                </w:p>
              </w:tc>
              <w:tc>
                <w:tcPr>
                  <w:tcW w:w="905" w:type="pct"/>
                  <w:vAlign w:val="center"/>
                </w:tcPr>
                <w:p w14:paraId="24F292A5">
                  <w:pPr>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项目重点难点分析、应对措施及相关的合理化建议</w:t>
                  </w:r>
                </w:p>
              </w:tc>
              <w:tc>
                <w:tcPr>
                  <w:tcW w:w="455" w:type="pct"/>
                  <w:vAlign w:val="center"/>
                </w:tcPr>
                <w:p w14:paraId="7A692E57">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10</w:t>
                  </w:r>
                </w:p>
              </w:tc>
              <w:tc>
                <w:tcPr>
                  <w:tcW w:w="2917" w:type="pct"/>
                </w:tcPr>
                <w:p w14:paraId="48B4FA35">
                  <w:pPr>
                    <w:wordWrap w:val="0"/>
                    <w:rPr>
                      <w:rFonts w:hint="eastAsia" w:ascii="宋体" w:hAnsi="宋体" w:cs="宋体"/>
                      <w:b/>
                      <w:sz w:val="24"/>
                    </w:rPr>
                  </w:pPr>
                  <w:r>
                    <w:rPr>
                      <w:rFonts w:hint="eastAsia" w:ascii="宋体" w:hAnsi="宋体" w:cs="宋体"/>
                      <w:b/>
                      <w:sz w:val="24"/>
                    </w:rPr>
                    <w:t>（一）评分内容</w:t>
                  </w:r>
                </w:p>
                <w:p w14:paraId="5F38D56A">
                  <w:pPr>
                    <w:wordWrap w:val="0"/>
                    <w:rPr>
                      <w:rFonts w:hint="eastAsia" w:ascii="宋体" w:hAnsi="宋体" w:cs="宋体"/>
                      <w:sz w:val="24"/>
                      <w:lang w:val="zh-CN"/>
                    </w:rPr>
                  </w:pPr>
                  <w:r>
                    <w:rPr>
                      <w:rFonts w:hint="eastAsia" w:ascii="宋体" w:hAnsi="宋体" w:cs="宋体"/>
                      <w:sz w:val="24"/>
                      <w:lang w:val="zh-CN"/>
                    </w:rPr>
                    <w:t>评委会根据投标人提供的项目重点难点分析、应对措施及相关的合理化建议进行打分。方案内容应包括：</w:t>
                  </w:r>
                </w:p>
                <w:p w14:paraId="191AD880">
                  <w:pPr>
                    <w:wordWrap w:val="0"/>
                    <w:rPr>
                      <w:rFonts w:hint="eastAsia" w:ascii="宋体" w:hAnsi="宋体" w:cs="宋体"/>
                      <w:sz w:val="24"/>
                      <w:lang w:val="zh-CN"/>
                    </w:rPr>
                  </w:pPr>
                  <w:r>
                    <w:rPr>
                      <w:rFonts w:hint="eastAsia" w:ascii="宋体" w:hAnsi="宋体" w:cs="宋体"/>
                      <w:sz w:val="24"/>
                      <w:lang w:val="zh-CN"/>
                    </w:rPr>
                    <w:t>（1）项目重点、难点的分析；</w:t>
                  </w:r>
                </w:p>
                <w:p w14:paraId="0220D817">
                  <w:pPr>
                    <w:wordWrap w:val="0"/>
                    <w:rPr>
                      <w:rFonts w:hint="eastAsia" w:ascii="宋体" w:hAnsi="宋体" w:cs="宋体"/>
                      <w:sz w:val="24"/>
                      <w:lang w:val="zh-CN"/>
                    </w:rPr>
                  </w:pPr>
                  <w:r>
                    <w:rPr>
                      <w:rFonts w:hint="eastAsia" w:ascii="宋体" w:hAnsi="宋体" w:cs="宋体"/>
                      <w:sz w:val="24"/>
                      <w:lang w:val="zh-CN"/>
                    </w:rPr>
                    <w:t>（2）项目重点、难点的应对措施；</w:t>
                  </w:r>
                </w:p>
                <w:p w14:paraId="6DE41834">
                  <w:pPr>
                    <w:wordWrap w:val="0"/>
                    <w:rPr>
                      <w:rFonts w:hint="eastAsia" w:ascii="宋体" w:hAnsi="宋体" w:cs="宋体"/>
                      <w:sz w:val="24"/>
                      <w:lang w:val="zh-CN"/>
                    </w:rPr>
                  </w:pPr>
                  <w:r>
                    <w:rPr>
                      <w:rFonts w:hint="eastAsia" w:ascii="宋体" w:hAnsi="宋体" w:cs="宋体"/>
                      <w:sz w:val="24"/>
                      <w:lang w:val="zh-CN"/>
                    </w:rPr>
                    <w:t>（3）相关的合理化建议。</w:t>
                  </w:r>
                </w:p>
                <w:p w14:paraId="36DFC0FA">
                  <w:pPr>
                    <w:wordWrap w:val="0"/>
                    <w:rPr>
                      <w:rFonts w:hint="eastAsia" w:ascii="宋体" w:hAnsi="宋体" w:cs="宋体"/>
                      <w:sz w:val="24"/>
                    </w:rPr>
                  </w:pPr>
                  <w:r>
                    <w:rPr>
                      <w:rFonts w:hint="eastAsia" w:ascii="宋体" w:hAnsi="宋体" w:cs="宋体"/>
                      <w:b/>
                      <w:sz w:val="24"/>
                    </w:rPr>
                    <w:t>（二）评分依据</w:t>
                  </w:r>
                </w:p>
                <w:p w14:paraId="7AF3A646">
                  <w:pPr>
                    <w:wordWrap w:val="0"/>
                    <w:rPr>
                      <w:rFonts w:hint="eastAsia" w:ascii="宋体" w:hAnsi="宋体" w:cs="宋体"/>
                      <w:sz w:val="24"/>
                    </w:rPr>
                  </w:pPr>
                  <w:r>
                    <w:rPr>
                      <w:rFonts w:hint="eastAsia" w:ascii="宋体" w:hAnsi="宋体" w:cs="宋体"/>
                      <w:sz w:val="24"/>
                    </w:rPr>
                    <w:t>1、考察项目重点难点分析、应对措施及相关的合理化建议，每提供以上任意一项得2分，全部提供的得6分。</w:t>
                  </w:r>
                </w:p>
                <w:p w14:paraId="110D5443">
                  <w:pPr>
                    <w:wordWrap w:val="0"/>
                    <w:rPr>
                      <w:rFonts w:hint="eastAsia" w:ascii="宋体" w:hAnsi="宋体" w:cs="宋体"/>
                      <w:sz w:val="24"/>
                      <w:lang w:val="zh-CN"/>
                    </w:rPr>
                  </w:pPr>
                  <w:r>
                    <w:rPr>
                      <w:rFonts w:hint="eastAsia" w:ascii="宋体" w:hAnsi="宋体" w:cs="宋体"/>
                      <w:sz w:val="24"/>
                    </w:rPr>
                    <w:t>2、</w:t>
                  </w:r>
                  <w:r>
                    <w:rPr>
                      <w:rFonts w:hint="eastAsia" w:ascii="宋体" w:hAnsi="宋体" w:cs="宋体"/>
                      <w:sz w:val="24"/>
                      <w:lang w:val="zh-CN"/>
                    </w:rPr>
                    <w:t>在此基础上，专家根据各供应商的具体响应内容进一步评审,评审标准如下：</w:t>
                  </w:r>
                </w:p>
                <w:p w14:paraId="71F0AB37">
                  <w:pPr>
                    <w:wordWrap w:val="0"/>
                    <w:rPr>
                      <w:rFonts w:hint="eastAsia" w:ascii="宋体" w:hAnsi="宋体" w:cs="宋体"/>
                      <w:sz w:val="24"/>
                    </w:rPr>
                  </w:pPr>
                  <w:r>
                    <w:rPr>
                      <w:rFonts w:hint="eastAsia" w:ascii="宋体" w:hAnsi="宋体" w:cs="宋体"/>
                      <w:sz w:val="24"/>
                    </w:rPr>
                    <w:t>（1）评审为优：方案整体科学合理、针对性强、可操作性强，加4分；</w:t>
                  </w:r>
                </w:p>
                <w:p w14:paraId="26919C45">
                  <w:pPr>
                    <w:wordWrap w:val="0"/>
                    <w:rPr>
                      <w:rFonts w:hint="eastAsia" w:ascii="宋体" w:hAnsi="宋体" w:cs="宋体"/>
                      <w:sz w:val="24"/>
                    </w:rPr>
                  </w:pPr>
                  <w:r>
                    <w:rPr>
                      <w:rFonts w:hint="eastAsia" w:ascii="宋体" w:hAnsi="宋体" w:cs="宋体"/>
                      <w:sz w:val="24"/>
                    </w:rPr>
                    <w:t>（2）评审为良：方案较合理、有一定针对性、一定可操作性，加2分；</w:t>
                  </w:r>
                </w:p>
                <w:p w14:paraId="6DA08535">
                  <w:pPr>
                    <w:wordWrap w:val="0"/>
                    <w:rPr>
                      <w:rFonts w:hint="eastAsia" w:ascii="宋体" w:hAnsi="宋体" w:cs="宋体"/>
                      <w:sz w:val="24"/>
                    </w:rPr>
                  </w:pPr>
                  <w:r>
                    <w:rPr>
                      <w:rFonts w:hint="eastAsia" w:ascii="宋体" w:hAnsi="宋体" w:cs="宋体"/>
                      <w:sz w:val="24"/>
                    </w:rPr>
                    <w:t>（3）评审为中：方案不尽合理、针对性一般、可操作性一般，加1分；</w:t>
                  </w:r>
                </w:p>
                <w:p w14:paraId="6C0736D4">
                  <w:pPr>
                    <w:wordWrap w:val="0"/>
                    <w:rPr>
                      <w:rFonts w:hint="eastAsia" w:ascii="宋体" w:hAnsi="宋体" w:cs="宋体"/>
                      <w:bCs/>
                      <w:color w:val="000000" w:themeColor="text1"/>
                      <w:sz w:val="24"/>
                      <w14:textFill>
                        <w14:solidFill>
                          <w14:schemeClr w14:val="tx1"/>
                        </w14:solidFill>
                      </w14:textFill>
                    </w:rPr>
                  </w:pPr>
                  <w:r>
                    <w:rPr>
                      <w:rFonts w:hint="eastAsia" w:ascii="宋体" w:hAnsi="宋体" w:cs="宋体"/>
                      <w:sz w:val="24"/>
                    </w:rPr>
                    <w:t>（4）评审为差：方案不合理、无针对性、无可操作性，不加分。</w:t>
                  </w:r>
                </w:p>
              </w:tc>
            </w:tr>
            <w:tr w14:paraId="10D7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628EFCC2">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22838701">
                  <w:pPr>
                    <w:widowControl/>
                    <w:wordWrap w:val="0"/>
                    <w:jc w:val="center"/>
                    <w:rPr>
                      <w:rFonts w:hint="eastAsia" w:ascii="宋体" w:hAnsi="宋体" w:cs="宋体"/>
                      <w:kern w:val="0"/>
                      <w:sz w:val="24"/>
                    </w:rPr>
                  </w:pPr>
                  <w:r>
                    <w:rPr>
                      <w:rFonts w:hint="eastAsia" w:ascii="宋体" w:hAnsi="宋体" w:cs="宋体"/>
                      <w:kern w:val="0"/>
                      <w:sz w:val="24"/>
                    </w:rPr>
                    <w:t>4</w:t>
                  </w:r>
                </w:p>
              </w:tc>
              <w:tc>
                <w:tcPr>
                  <w:tcW w:w="905" w:type="pct"/>
                  <w:vAlign w:val="center"/>
                </w:tcPr>
                <w:p w14:paraId="2ADEF3C0">
                  <w:pPr>
                    <w:jc w:val="center"/>
                    <w:rPr>
                      <w:rFonts w:hint="eastAsia" w:ascii="宋体" w:hAnsi="宋体" w:cs="宋体"/>
                      <w:sz w:val="24"/>
                    </w:rPr>
                  </w:pPr>
                  <w:r>
                    <w:rPr>
                      <w:rFonts w:hint="eastAsia" w:ascii="宋体" w:hAnsi="宋体" w:cs="宋体"/>
                      <w:sz w:val="24"/>
                    </w:rPr>
                    <w:t>技术要求响应情况</w:t>
                  </w:r>
                </w:p>
              </w:tc>
              <w:tc>
                <w:tcPr>
                  <w:tcW w:w="455" w:type="pct"/>
                  <w:vAlign w:val="center"/>
                </w:tcPr>
                <w:p w14:paraId="4639E40B">
                  <w:pPr>
                    <w:jc w:val="center"/>
                    <w:rPr>
                      <w:rFonts w:hint="eastAsia" w:ascii="宋体" w:hAnsi="宋体" w:cs="宋体"/>
                      <w:sz w:val="24"/>
                    </w:rPr>
                  </w:pPr>
                  <w:r>
                    <w:rPr>
                      <w:rFonts w:hint="eastAsia" w:ascii="宋体" w:hAnsi="宋体" w:cs="宋体"/>
                      <w:sz w:val="24"/>
                    </w:rPr>
                    <w:t>20</w:t>
                  </w:r>
                </w:p>
              </w:tc>
              <w:tc>
                <w:tcPr>
                  <w:tcW w:w="2917" w:type="pct"/>
                </w:tcPr>
                <w:p w14:paraId="09930BCC">
                  <w:pPr>
                    <w:wordWrap w:val="0"/>
                    <w:rPr>
                      <w:rFonts w:hint="eastAsia" w:ascii="宋体" w:hAnsi="宋体" w:cs="宋体"/>
                      <w:b/>
                      <w:sz w:val="24"/>
                    </w:rPr>
                  </w:pPr>
                  <w:r>
                    <w:rPr>
                      <w:rFonts w:hint="eastAsia" w:ascii="宋体" w:hAnsi="宋体" w:cs="宋体"/>
                      <w:b/>
                      <w:sz w:val="24"/>
                    </w:rPr>
                    <w:t>（一）评分内容</w:t>
                  </w:r>
                </w:p>
                <w:p w14:paraId="573A90D4">
                  <w:pPr>
                    <w:wordWrap w:val="0"/>
                    <w:jc w:val="both"/>
                    <w:rPr>
                      <w:rFonts w:hint="eastAsia" w:ascii="宋体" w:hAnsi="宋体" w:cs="宋体"/>
                      <w:kern w:val="2"/>
                      <w:sz w:val="24"/>
                      <w:szCs w:val="21"/>
                      <w:lang w:val="zh-CN" w:bidi="ar-SA"/>
                    </w:rPr>
                  </w:pPr>
                  <w:r>
                    <w:rPr>
                      <w:rFonts w:hint="eastAsia" w:ascii="宋体" w:hAnsi="宋体" w:cs="宋体"/>
                      <w:kern w:val="2"/>
                      <w:sz w:val="24"/>
                      <w:szCs w:val="21"/>
                      <w:lang w:val="zh-CN" w:bidi="ar-SA"/>
                    </w:rPr>
                    <w:t>投标人须对“技术要求”的每条参数进行逐条响应，其中标注“▲”的服务参数要求为重要服务要求。</w:t>
                  </w:r>
                </w:p>
                <w:p w14:paraId="270CC316">
                  <w:pPr>
                    <w:wordWrap w:val="0"/>
                    <w:rPr>
                      <w:rFonts w:hint="eastAsia" w:ascii="宋体" w:hAnsi="宋体" w:cs="宋体"/>
                      <w:sz w:val="24"/>
                    </w:rPr>
                  </w:pPr>
                  <w:r>
                    <w:rPr>
                      <w:rFonts w:hint="eastAsia" w:ascii="宋体" w:hAnsi="宋体" w:cs="宋体"/>
                      <w:b/>
                      <w:sz w:val="24"/>
                    </w:rPr>
                    <w:t>（二）评分依据</w:t>
                  </w:r>
                </w:p>
                <w:p w14:paraId="35EE44ED">
                  <w:pPr>
                    <w:wordWrap w:val="0"/>
                    <w:rPr>
                      <w:rFonts w:hint="eastAsia" w:ascii="宋体" w:hAnsi="宋体" w:cs="宋体"/>
                      <w:b w:val="0"/>
                      <w:bCs/>
                      <w:sz w:val="24"/>
                    </w:rPr>
                  </w:pPr>
                  <w:r>
                    <w:rPr>
                      <w:rFonts w:ascii="宋体" w:hAnsi="宋体" w:cs="宋体"/>
                      <w:b w:val="0"/>
                      <w:bCs/>
                      <w:sz w:val="24"/>
                    </w:rPr>
                    <w:t>全部满足得20分，带“▲”的重要服务要求一条不满足扣</w:t>
                  </w:r>
                  <w:r>
                    <w:rPr>
                      <w:rFonts w:hint="eastAsia" w:ascii="宋体" w:hAnsi="宋体" w:cs="宋体"/>
                      <w:bCs/>
                      <w:sz w:val="24"/>
                    </w:rPr>
                    <w:t>2</w:t>
                  </w:r>
                  <w:r>
                    <w:rPr>
                      <w:rFonts w:ascii="宋体" w:hAnsi="宋体" w:cs="宋体"/>
                      <w:b w:val="0"/>
                      <w:bCs/>
                      <w:sz w:val="24"/>
                    </w:rPr>
                    <w:t>分，未标注“▲”的参数一条不满足扣</w:t>
                  </w:r>
                  <w:r>
                    <w:rPr>
                      <w:rFonts w:hint="eastAsia" w:ascii="宋体" w:hAnsi="宋体" w:cs="宋体"/>
                      <w:bCs/>
                      <w:sz w:val="24"/>
                    </w:rPr>
                    <w:t>0.5</w:t>
                  </w:r>
                  <w:r>
                    <w:rPr>
                      <w:rFonts w:ascii="宋体" w:hAnsi="宋体" w:cs="宋体"/>
                      <w:b w:val="0"/>
                      <w:bCs/>
                      <w:sz w:val="24"/>
                    </w:rPr>
                    <w:t>分，扣完为止。</w:t>
                  </w:r>
                </w:p>
              </w:tc>
            </w:tr>
            <w:tr w14:paraId="7665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30BF72B2">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667C23F7">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5</w:t>
                  </w:r>
                </w:p>
              </w:tc>
              <w:tc>
                <w:tcPr>
                  <w:tcW w:w="905" w:type="pct"/>
                  <w:vAlign w:val="center"/>
                </w:tcPr>
                <w:p w14:paraId="08421998">
                  <w:pPr>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服务承诺</w:t>
                  </w:r>
                </w:p>
              </w:tc>
              <w:tc>
                <w:tcPr>
                  <w:tcW w:w="455" w:type="pct"/>
                  <w:vAlign w:val="center"/>
                </w:tcPr>
                <w:p w14:paraId="3F0EACAF">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917" w:type="pct"/>
                </w:tcPr>
                <w:p w14:paraId="78C65C91">
                  <w:pPr>
                    <w:rPr>
                      <w:rFonts w:hint="eastAsia" w:ascii="宋体" w:hAnsi="宋体" w:cs="宋体"/>
                      <w:b/>
                      <w:sz w:val="24"/>
                    </w:rPr>
                  </w:pPr>
                  <w:r>
                    <w:rPr>
                      <w:rFonts w:hint="eastAsia" w:ascii="宋体" w:hAnsi="宋体" w:cs="宋体"/>
                      <w:b/>
                      <w:sz w:val="24"/>
                    </w:rPr>
                    <w:t>（一）评分内容</w:t>
                  </w:r>
                </w:p>
                <w:p w14:paraId="60CB7C29">
                  <w:pPr>
                    <w:pStyle w:val="8"/>
                    <w:rPr>
                      <w:rFonts w:hint="eastAsia" w:hAnsi="宋体" w:cs="宋体"/>
                      <w:sz w:val="24"/>
                      <w:szCs w:val="24"/>
                    </w:rPr>
                  </w:pPr>
                  <w:r>
                    <w:rPr>
                      <w:rFonts w:hint="eastAsia" w:hAnsi="宋体" w:cs="宋体"/>
                      <w:sz w:val="24"/>
                      <w:szCs w:val="24"/>
                    </w:rPr>
                    <w:t>投标人在投标文件中承诺以下全部两项的得</w:t>
                  </w:r>
                  <w:r>
                    <w:rPr>
                      <w:rFonts w:hint="eastAsia" w:hAnsi="宋体" w:cs="宋体"/>
                      <w:sz w:val="24"/>
                      <w:szCs w:val="24"/>
                      <w:lang w:val="en-US" w:eastAsia="zh-CN"/>
                    </w:rPr>
                    <w:t>满</w:t>
                  </w:r>
                  <w:r>
                    <w:rPr>
                      <w:rFonts w:hint="eastAsia" w:hAnsi="宋体" w:cs="宋体"/>
                      <w:sz w:val="24"/>
                      <w:szCs w:val="24"/>
                    </w:rPr>
                    <w:t>分，否则不得分。</w:t>
                  </w:r>
                </w:p>
                <w:p w14:paraId="56130C02">
                  <w:pPr>
                    <w:pStyle w:val="8"/>
                    <w:rPr>
                      <w:rFonts w:hint="eastAsia" w:hAnsi="宋体" w:cs="宋体"/>
                      <w:sz w:val="24"/>
                      <w:szCs w:val="24"/>
                    </w:rPr>
                  </w:pPr>
                  <w:r>
                    <w:rPr>
                      <w:rFonts w:hint="eastAsia" w:hAnsi="宋体" w:cs="宋体"/>
                      <w:sz w:val="24"/>
                      <w:szCs w:val="24"/>
                    </w:rPr>
                    <w:t>1.本项目服务期满后，除本招标文件要求提交的材料，投标人承诺将实施过程中可能产生的其它技术材料主动移交给采购人；</w:t>
                  </w:r>
                </w:p>
                <w:p w14:paraId="2AE1CC1F">
                  <w:pPr>
                    <w:pStyle w:val="8"/>
                    <w:rPr>
                      <w:rFonts w:hint="eastAsia" w:hAnsi="宋体" w:cs="宋体"/>
                      <w:sz w:val="24"/>
                      <w:szCs w:val="24"/>
                    </w:rPr>
                  </w:pPr>
                  <w:r>
                    <w:rPr>
                      <w:rFonts w:hint="eastAsia" w:hAnsi="宋体" w:cs="宋体"/>
                      <w:sz w:val="24"/>
                      <w:szCs w:val="24"/>
                    </w:rPr>
                    <w:t>2. 投标人售后服务要求应严格按照招标文件及投标承诺履约。</w:t>
                  </w:r>
                </w:p>
                <w:p w14:paraId="647DA776">
                  <w:pPr>
                    <w:rPr>
                      <w:rFonts w:hint="eastAsia" w:ascii="宋体" w:hAnsi="宋体" w:cs="宋体"/>
                      <w:sz w:val="24"/>
                    </w:rPr>
                  </w:pPr>
                  <w:r>
                    <w:rPr>
                      <w:rFonts w:hint="eastAsia" w:ascii="宋体" w:hAnsi="宋体" w:cs="宋体"/>
                      <w:b/>
                      <w:sz w:val="24"/>
                    </w:rPr>
                    <w:t>（二）评分依据</w:t>
                  </w:r>
                </w:p>
                <w:p w14:paraId="315AB50D">
                  <w:pPr>
                    <w:rPr>
                      <w:rFonts w:hint="eastAsia" w:ascii="宋体" w:hAnsi="宋体" w:cs="宋体"/>
                      <w:color w:val="000000" w:themeColor="text1"/>
                      <w:kern w:val="0"/>
                      <w:sz w:val="24"/>
                      <w14:textFill>
                        <w14:solidFill>
                          <w14:schemeClr w14:val="tx1"/>
                        </w14:solidFill>
                      </w14:textFill>
                    </w:rPr>
                  </w:pPr>
                  <w:r>
                    <w:rPr>
                      <w:rFonts w:hint="eastAsia" w:ascii="宋体" w:hAnsi="宋体" w:cs="宋体"/>
                      <w:sz w:val="24"/>
                    </w:rPr>
                    <w:t>投标人提供承诺函（格式自拟），原件备查，未按要求提供或提供不清晰导致专家无法判断的不得分。</w:t>
                  </w:r>
                </w:p>
              </w:tc>
            </w:tr>
            <w:tr w14:paraId="1DDE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restart"/>
                </w:tcPr>
                <w:p w14:paraId="4195795F">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FF"/>
                      <w:kern w:val="0"/>
                      <w:sz w:val="24"/>
                    </w:rPr>
                    <w:t>3</w:t>
                  </w:r>
                </w:p>
              </w:tc>
              <w:tc>
                <w:tcPr>
                  <w:tcW w:w="1718" w:type="pct"/>
                  <w:gridSpan w:val="3"/>
                  <w:vAlign w:val="center"/>
                </w:tcPr>
                <w:p w14:paraId="4E34E95A">
                  <w:pPr>
                    <w:widowControl/>
                    <w:wordWrap w:val="0"/>
                    <w:jc w:val="center"/>
                    <w:rPr>
                      <w:rFonts w:hint="eastAsia" w:cs="宋体" w:asciiTheme="minorEastAsia" w:hAnsiTheme="minorEastAsia" w:eastAsiaTheme="minorEastAsia"/>
                      <w:color w:val="000000" w:themeColor="text1"/>
                      <w14:textFill>
                        <w14:solidFill>
                          <w14:schemeClr w14:val="tx1"/>
                        </w14:solidFill>
                      </w14:textFill>
                    </w:rPr>
                  </w:pPr>
                  <w:r>
                    <w:rPr>
                      <w:rFonts w:hint="eastAsia" w:ascii="宋体" w:hAnsi="宋体" w:cs="宋体"/>
                      <w:b/>
                      <w:bCs/>
                      <w:color w:val="0000FF"/>
                      <w:kern w:val="0"/>
                      <w:sz w:val="24"/>
                    </w:rPr>
                    <w:t>商务部分</w:t>
                  </w:r>
                </w:p>
              </w:tc>
              <w:tc>
                <w:tcPr>
                  <w:tcW w:w="2917" w:type="pct"/>
                </w:tcPr>
                <w:p w14:paraId="43CEC591">
                  <w:pPr>
                    <w:widowControl/>
                    <w:wordWrap w:val="0"/>
                    <w:jc w:val="center"/>
                    <w:rPr>
                      <w:rFonts w:hint="eastAsia" w:cs="宋体" w:asciiTheme="minorEastAsia" w:hAnsiTheme="minorEastAsia" w:eastAsiaTheme="minorEastAsia"/>
                      <w:color w:val="000000" w:themeColor="text1"/>
                      <w14:textFill>
                        <w14:solidFill>
                          <w14:schemeClr w14:val="tx1"/>
                        </w14:solidFill>
                      </w14:textFill>
                    </w:rPr>
                  </w:pPr>
                  <w:r>
                    <w:rPr>
                      <w:rFonts w:hint="eastAsia" w:ascii="宋体" w:hAnsi="宋体" w:cs="宋体"/>
                      <w:b/>
                      <w:bCs/>
                      <w:color w:val="0000FF"/>
                      <w:kern w:val="0"/>
                      <w:sz w:val="24"/>
                    </w:rPr>
                    <w:t>35</w:t>
                  </w:r>
                </w:p>
              </w:tc>
            </w:tr>
            <w:tr w14:paraId="6BE1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365" w:type="pct"/>
                  <w:vMerge w:val="continue"/>
                  <w:vAlign w:val="center"/>
                </w:tcPr>
                <w:p w14:paraId="178D1E70">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shd w:val="clear" w:color="auto" w:fill="E6EFFA"/>
                  <w:vAlign w:val="center"/>
                </w:tcPr>
                <w:p w14:paraId="466C1A04">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kern w:val="0"/>
                      <w:sz w:val="24"/>
                    </w:rPr>
                    <w:t>序号</w:t>
                  </w:r>
                </w:p>
              </w:tc>
              <w:tc>
                <w:tcPr>
                  <w:tcW w:w="905" w:type="pct"/>
                  <w:shd w:val="clear" w:color="auto" w:fill="E6EFFA"/>
                  <w:vAlign w:val="center"/>
                </w:tcPr>
                <w:p w14:paraId="0F05FC50">
                  <w:pPr>
                    <w:widowControl/>
                    <w:wordWrap w:val="0"/>
                    <w:jc w:val="center"/>
                    <w:rPr>
                      <w:color w:val="000000" w:themeColor="text1"/>
                      <w14:textFill>
                        <w14:solidFill>
                          <w14:schemeClr w14:val="tx1"/>
                        </w14:solidFill>
                      </w14:textFill>
                    </w:rPr>
                  </w:pPr>
                  <w:r>
                    <w:rPr>
                      <w:rFonts w:hint="eastAsia" w:ascii="宋体" w:hAnsi="宋体" w:cs="宋体"/>
                      <w:kern w:val="0"/>
                      <w:sz w:val="24"/>
                    </w:rPr>
                    <w:t>评分因素</w:t>
                  </w:r>
                </w:p>
              </w:tc>
              <w:tc>
                <w:tcPr>
                  <w:tcW w:w="455" w:type="pct"/>
                  <w:shd w:val="clear" w:color="auto" w:fill="E6EFFA"/>
                  <w:vAlign w:val="center"/>
                </w:tcPr>
                <w:p w14:paraId="7B1059B9">
                  <w:pPr>
                    <w:widowControl/>
                    <w:wordWrap w:val="0"/>
                    <w:jc w:val="center"/>
                    <w:rPr>
                      <w:color w:val="000000" w:themeColor="text1"/>
                      <w14:textFill>
                        <w14:solidFill>
                          <w14:schemeClr w14:val="tx1"/>
                        </w14:solidFill>
                      </w14:textFill>
                    </w:rPr>
                  </w:pPr>
                  <w:r>
                    <w:rPr>
                      <w:rFonts w:hint="eastAsia" w:ascii="宋体" w:hAnsi="宋体" w:cs="宋体"/>
                      <w:kern w:val="0"/>
                      <w:sz w:val="24"/>
                    </w:rPr>
                    <w:t>权重(</w:t>
                  </w:r>
                  <w:r>
                    <w:rPr>
                      <w:rFonts w:hint="eastAsia" w:ascii="宋体" w:hAnsi="宋体" w:cs="宋体"/>
                      <w:spacing w:val="11"/>
                      <w:sz w:val="24"/>
                    </w:rPr>
                    <w:t>%</w:t>
                  </w:r>
                  <w:r>
                    <w:rPr>
                      <w:rFonts w:hint="eastAsia" w:ascii="宋体" w:hAnsi="宋体" w:cs="宋体"/>
                      <w:kern w:val="0"/>
                      <w:sz w:val="24"/>
                    </w:rPr>
                    <w:t>)</w:t>
                  </w:r>
                </w:p>
              </w:tc>
              <w:tc>
                <w:tcPr>
                  <w:tcW w:w="2917" w:type="pct"/>
                  <w:shd w:val="clear" w:color="auto" w:fill="E6EFFA"/>
                  <w:vAlign w:val="center"/>
                </w:tcPr>
                <w:p w14:paraId="2744CCC0">
                  <w:pPr>
                    <w:widowControl/>
                    <w:wordWrap w:val="0"/>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kern w:val="0"/>
                      <w:sz w:val="24"/>
                    </w:rPr>
                    <w:t>评分准则</w:t>
                  </w:r>
                </w:p>
              </w:tc>
            </w:tr>
            <w:tr w14:paraId="6E82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jc w:val="center"/>
              </w:trPr>
              <w:tc>
                <w:tcPr>
                  <w:tcW w:w="365" w:type="pct"/>
                  <w:vMerge w:val="continue"/>
                  <w:shd w:val="clear" w:color="auto" w:fill="E6EFFA"/>
                  <w:vAlign w:val="center"/>
                </w:tcPr>
                <w:p w14:paraId="795B74FF">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304F8B14">
                  <w:pPr>
                    <w:pStyle w:val="8"/>
                    <w:rPr>
                      <w:rFonts w:hint="eastAsia" w:hAnsi="宋体" w:cs="宋体"/>
                      <w:color w:val="000000" w:themeColor="text1"/>
                      <w:sz w:val="24"/>
                      <w:szCs w:val="24"/>
                      <w14:textFill>
                        <w14:solidFill>
                          <w14:schemeClr w14:val="tx1"/>
                        </w14:solidFill>
                      </w14:textFill>
                    </w:rPr>
                  </w:pPr>
                  <w:r>
                    <w:rPr>
                      <w:rFonts w:hint="eastAsia" w:hAnsi="宋体" w:cs="宋体"/>
                      <w:sz w:val="24"/>
                      <w:szCs w:val="24"/>
                    </w:rPr>
                    <w:t>1</w:t>
                  </w:r>
                </w:p>
              </w:tc>
              <w:tc>
                <w:tcPr>
                  <w:tcW w:w="905" w:type="pct"/>
                  <w:vAlign w:val="center"/>
                </w:tcPr>
                <w:p w14:paraId="5F75CB60">
                  <w:pPr>
                    <w:pStyle w:val="8"/>
                    <w:jc w:val="center"/>
                    <w:rPr>
                      <w:rFonts w:hint="eastAsia" w:hAnsi="宋体" w:cs="宋体"/>
                      <w:color w:val="000000" w:themeColor="text1"/>
                      <w:spacing w:val="7"/>
                      <w:sz w:val="24"/>
                      <w:szCs w:val="24"/>
                      <w14:textFill>
                        <w14:solidFill>
                          <w14:schemeClr w14:val="tx1"/>
                        </w14:solidFill>
                      </w14:textFill>
                    </w:rPr>
                  </w:pPr>
                  <w:r>
                    <w:rPr>
                      <w:rFonts w:hint="eastAsia" w:hAnsi="宋体" w:cs="宋体"/>
                      <w:sz w:val="24"/>
                      <w:szCs w:val="24"/>
                    </w:rPr>
                    <w:t>投标人通过相关认证情况</w:t>
                  </w:r>
                </w:p>
              </w:tc>
              <w:tc>
                <w:tcPr>
                  <w:tcW w:w="455" w:type="pct"/>
                  <w:vAlign w:val="center"/>
                </w:tcPr>
                <w:p w14:paraId="10A5A856">
                  <w:pPr>
                    <w:pStyle w:val="8"/>
                    <w:jc w:val="center"/>
                    <w:rPr>
                      <w:rFonts w:hint="eastAsia" w:hAnsi="宋体" w:cs="宋体"/>
                      <w:bCs/>
                      <w:color w:val="000000" w:themeColor="text1"/>
                      <w:sz w:val="24"/>
                      <w:szCs w:val="24"/>
                      <w14:textFill>
                        <w14:solidFill>
                          <w14:schemeClr w14:val="tx1"/>
                        </w14:solidFill>
                      </w14:textFill>
                    </w:rPr>
                  </w:pPr>
                  <w:r>
                    <w:rPr>
                      <w:rFonts w:hint="eastAsia" w:hAnsi="宋体" w:cs="宋体"/>
                      <w:sz w:val="24"/>
                      <w:szCs w:val="24"/>
                    </w:rPr>
                    <w:t>5</w:t>
                  </w:r>
                </w:p>
              </w:tc>
              <w:tc>
                <w:tcPr>
                  <w:tcW w:w="2917" w:type="pct"/>
                  <w:vAlign w:val="center"/>
                </w:tcPr>
                <w:p w14:paraId="50E19405">
                  <w:pPr>
                    <w:pStyle w:val="45"/>
                    <w:spacing w:before="98"/>
                    <w:ind w:left="0"/>
                    <w:rPr>
                      <w:rFonts w:hint="eastAsia"/>
                      <w:b/>
                      <w:sz w:val="24"/>
                    </w:rPr>
                  </w:pPr>
                  <w:r>
                    <w:rPr>
                      <w:rFonts w:hint="eastAsia"/>
                      <w:b/>
                      <w:sz w:val="24"/>
                    </w:rPr>
                    <w:t>（一）评分内容：</w:t>
                  </w:r>
                </w:p>
                <w:p w14:paraId="23537E58">
                  <w:pPr>
                    <w:pStyle w:val="45"/>
                    <w:tabs>
                      <w:tab w:val="left" w:pos="320"/>
                    </w:tabs>
                    <w:spacing w:before="43"/>
                    <w:ind w:left="0"/>
                    <w:rPr>
                      <w:rFonts w:hint="eastAsia"/>
                      <w:sz w:val="24"/>
                    </w:rPr>
                  </w:pPr>
                  <w:r>
                    <w:rPr>
                      <w:rFonts w:hint="eastAsia"/>
                      <w:spacing w:val="-4"/>
                      <w:sz w:val="24"/>
                      <w:lang w:val="en-US"/>
                    </w:rPr>
                    <w:t>1.</w:t>
                  </w:r>
                  <w:r>
                    <w:rPr>
                      <w:rFonts w:hint="eastAsia"/>
                      <w:spacing w:val="-4"/>
                      <w:sz w:val="24"/>
                    </w:rPr>
                    <w:t xml:space="preserve">具有质量管理体系认证证书，得 </w:t>
                  </w:r>
                  <w:r>
                    <w:rPr>
                      <w:rFonts w:hint="eastAsia"/>
                      <w:spacing w:val="-4"/>
                      <w:sz w:val="24"/>
                      <w:lang w:val="en-US"/>
                    </w:rPr>
                    <w:t>5</w:t>
                  </w:r>
                  <w:r>
                    <w:rPr>
                      <w:rFonts w:hint="eastAsia"/>
                      <w:spacing w:val="-18"/>
                      <w:sz w:val="24"/>
                    </w:rPr>
                    <w:t xml:space="preserve"> 分；</w:t>
                  </w:r>
                </w:p>
                <w:p w14:paraId="2C7BA49A">
                  <w:pPr>
                    <w:pStyle w:val="45"/>
                    <w:spacing w:before="43"/>
                    <w:ind w:left="0"/>
                    <w:rPr>
                      <w:rFonts w:hint="eastAsia"/>
                      <w:b/>
                      <w:sz w:val="24"/>
                    </w:rPr>
                  </w:pPr>
                  <w:r>
                    <w:rPr>
                      <w:rFonts w:hint="eastAsia"/>
                      <w:b/>
                      <w:sz w:val="24"/>
                    </w:rPr>
                    <w:t>（二）评分依据：</w:t>
                  </w:r>
                </w:p>
                <w:p w14:paraId="56F19FC7">
                  <w:pPr>
                    <w:pStyle w:val="45"/>
                    <w:tabs>
                      <w:tab w:val="left" w:pos="320"/>
                    </w:tabs>
                    <w:spacing w:before="43" w:line="278" w:lineRule="auto"/>
                    <w:ind w:left="0" w:right="99"/>
                    <w:rPr>
                      <w:rFonts w:hint="eastAsia"/>
                      <w:sz w:val="24"/>
                      <w:szCs w:val="24"/>
                      <w:lang w:val="en-US" w:bidi="ar-SA"/>
                    </w:rPr>
                  </w:pPr>
                  <w:r>
                    <w:rPr>
                      <w:rFonts w:hint="eastAsia"/>
                      <w:sz w:val="24"/>
                      <w:szCs w:val="24"/>
                      <w:lang w:val="en-US" w:bidi="ar-SA"/>
                    </w:rPr>
                    <w:t>以上资料均要求提供有效期内证书及证书官网查询 截图，加盖投标人公章，体系认证证书需提供全国认 证认可信息公共服务平台（</w:t>
                  </w:r>
                  <w:r>
                    <w:rPr>
                      <w:rFonts w:hint="eastAsia"/>
                      <w:sz w:val="24"/>
                      <w:szCs w:val="24"/>
                      <w:lang w:val="en-US" w:bidi="ar-SA"/>
                    </w:rPr>
                    <w:fldChar w:fldCharType="begin"/>
                  </w:r>
                  <w:r>
                    <w:rPr>
                      <w:rFonts w:hint="eastAsia"/>
                      <w:sz w:val="24"/>
                      <w:szCs w:val="24"/>
                      <w:lang w:val="en-US" w:bidi="ar-SA"/>
                    </w:rPr>
                    <w:instrText xml:space="preserve"> HYPERLINK "http://cx.cnca.cn/" \h </w:instrText>
                  </w:r>
                  <w:r>
                    <w:rPr>
                      <w:rFonts w:hint="eastAsia"/>
                      <w:sz w:val="24"/>
                      <w:szCs w:val="24"/>
                      <w:lang w:val="en-US" w:bidi="ar-SA"/>
                    </w:rPr>
                    <w:fldChar w:fldCharType="separate"/>
                  </w:r>
                  <w:r>
                    <w:rPr>
                      <w:rFonts w:hint="eastAsia"/>
                      <w:sz w:val="24"/>
                      <w:szCs w:val="24"/>
                      <w:lang w:val="en-US" w:bidi="ar-SA"/>
                    </w:rPr>
                    <w:t>http://cx.cnca.cn</w:t>
                  </w:r>
                  <w:r>
                    <w:rPr>
                      <w:rFonts w:hint="eastAsia"/>
                      <w:sz w:val="24"/>
                      <w:szCs w:val="24"/>
                      <w:lang w:val="en-US" w:bidi="ar-SA"/>
                    </w:rPr>
                    <w:fldChar w:fldCharType="end"/>
                  </w:r>
                  <w:r>
                    <w:rPr>
                      <w:rFonts w:hint="eastAsia"/>
                      <w:sz w:val="24"/>
                      <w:szCs w:val="24"/>
                      <w:lang w:val="en-US" w:bidi="ar-SA"/>
                    </w:rPr>
                    <w:t>）认证信息查询截图（截图需显示证书状态为有效）。评分 中出现无证明资料或专家无法凭所提供资料判断是否得分的情况，一律作不得分处理。</w:t>
                  </w:r>
                </w:p>
                <w:p w14:paraId="52C5E7ED">
                  <w:pPr>
                    <w:pStyle w:val="8"/>
                    <w:rPr>
                      <w:rFonts w:hint="eastAsia" w:hAnsi="宋体" w:cs="宋体"/>
                      <w:color w:val="000000" w:themeColor="text1"/>
                      <w:sz w:val="24"/>
                      <w:szCs w:val="24"/>
                      <w14:textFill>
                        <w14:solidFill>
                          <w14:schemeClr w14:val="tx1"/>
                        </w14:solidFill>
                      </w14:textFill>
                    </w:rPr>
                  </w:pPr>
                  <w:r>
                    <w:rPr>
                      <w:rFonts w:hint="eastAsia" w:ascii="宋体" w:hAnsi="宋体" w:cs="宋体"/>
                      <w:sz w:val="24"/>
                      <w:szCs w:val="24"/>
                    </w:rPr>
                    <w:t>投标人成立不足一年无法申请认证的，需提供成立 情况说明函（格式自拟），无需提供相关认证，亦可得分。</w:t>
                  </w:r>
                </w:p>
              </w:tc>
            </w:tr>
            <w:tr w14:paraId="446F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jc w:val="center"/>
              </w:trPr>
              <w:tc>
                <w:tcPr>
                  <w:tcW w:w="365" w:type="pct"/>
                  <w:vMerge w:val="continue"/>
                  <w:vAlign w:val="center"/>
                </w:tcPr>
                <w:p w14:paraId="24470CF5">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6523E17D">
                  <w:pPr>
                    <w:widowControl/>
                    <w:wordWrap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2</w:t>
                  </w:r>
                </w:p>
              </w:tc>
              <w:tc>
                <w:tcPr>
                  <w:tcW w:w="905" w:type="pct"/>
                  <w:vAlign w:val="center"/>
                </w:tcPr>
                <w:p w14:paraId="7E917EB7">
                  <w:pPr>
                    <w:pStyle w:val="45"/>
                    <w:spacing w:line="278" w:lineRule="auto"/>
                    <w:ind w:left="216" w:right="103" w:hanging="106"/>
                    <w:jc w:val="center"/>
                    <w:rPr>
                      <w:rFonts w:hint="eastAsia"/>
                      <w:color w:val="000000" w:themeColor="text1"/>
                      <w:kern w:val="0"/>
                      <w:sz w:val="24"/>
                      <w14:textFill>
                        <w14:solidFill>
                          <w14:schemeClr w14:val="tx1"/>
                        </w14:solidFill>
                      </w14:textFill>
                    </w:rPr>
                  </w:pPr>
                  <w:r>
                    <w:rPr>
                      <w:rFonts w:hint="eastAsia"/>
                      <w:sz w:val="24"/>
                    </w:rPr>
                    <w:t>拟安排的项目负责人情况（仅限一人）</w:t>
                  </w:r>
                </w:p>
              </w:tc>
              <w:tc>
                <w:tcPr>
                  <w:tcW w:w="455" w:type="pct"/>
                  <w:vAlign w:val="center"/>
                </w:tcPr>
                <w:p w14:paraId="26C6D953">
                  <w:pPr>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kern w:val="0"/>
                      <w:sz w:val="24"/>
                    </w:rPr>
                    <w:t>9</w:t>
                  </w:r>
                </w:p>
              </w:tc>
              <w:tc>
                <w:tcPr>
                  <w:tcW w:w="2917" w:type="pct"/>
                  <w:vAlign w:val="center"/>
                </w:tcPr>
                <w:p w14:paraId="2AADF2FD">
                  <w:pPr>
                    <w:pStyle w:val="45"/>
                    <w:spacing w:before="22"/>
                    <w:ind w:left="0"/>
                    <w:rPr>
                      <w:rFonts w:hint="eastAsia"/>
                      <w:b/>
                      <w:sz w:val="24"/>
                    </w:rPr>
                  </w:pPr>
                  <w:r>
                    <w:rPr>
                      <w:rFonts w:hint="eastAsia"/>
                      <w:b/>
                      <w:sz w:val="24"/>
                    </w:rPr>
                    <w:t>（一）评分内容：</w:t>
                  </w:r>
                </w:p>
                <w:p w14:paraId="741F8DC4">
                  <w:pPr>
                    <w:pStyle w:val="45"/>
                    <w:spacing w:before="43" w:line="278" w:lineRule="auto"/>
                    <w:ind w:left="0" w:right="97"/>
                    <w:rPr>
                      <w:rFonts w:hint="eastAsia"/>
                      <w:spacing w:val="-3"/>
                      <w:sz w:val="24"/>
                    </w:rPr>
                  </w:pPr>
                  <w:r>
                    <w:rPr>
                      <w:rFonts w:hint="eastAsia"/>
                      <w:spacing w:val="-3"/>
                      <w:sz w:val="24"/>
                    </w:rPr>
                    <w:t>拟安排的项目负责人（仅限一人）为投标单位员工（以社保为准），在此基础上，根据以下内容进行打分：</w:t>
                  </w:r>
                </w:p>
                <w:p w14:paraId="1E3C800A">
                  <w:pPr>
                    <w:pStyle w:val="45"/>
                    <w:spacing w:before="43" w:line="278" w:lineRule="auto"/>
                    <w:ind w:left="0" w:right="97"/>
                    <w:rPr>
                      <w:rFonts w:hint="eastAsia"/>
                      <w:sz w:val="24"/>
                    </w:rPr>
                  </w:pPr>
                  <w:r>
                    <w:rPr>
                      <w:rFonts w:hint="eastAsia"/>
                      <w:sz w:val="24"/>
                    </w:rPr>
                    <w:t>1</w:t>
                  </w:r>
                  <w:r>
                    <w:rPr>
                      <w:rFonts w:hint="eastAsia"/>
                      <w:spacing w:val="-5"/>
                      <w:sz w:val="24"/>
                    </w:rPr>
                    <w:t>.具有</w:t>
                  </w:r>
                  <w:r>
                    <w:rPr>
                      <w:rFonts w:hint="eastAsia" w:asciiTheme="minorEastAsia" w:hAnsiTheme="minorEastAsia" w:eastAsiaTheme="minorEastAsia" w:cstheme="minorEastAsia"/>
                      <w:sz w:val="24"/>
                      <w:szCs w:val="24"/>
                    </w:rPr>
                    <w:t>计算机相关专业</w:t>
                  </w:r>
                  <w:r>
                    <w:rPr>
                      <w:rFonts w:hint="eastAsia"/>
                      <w:spacing w:val="-5"/>
                      <w:sz w:val="24"/>
                    </w:rPr>
                    <w:t>本科或以上学历的得</w:t>
                  </w:r>
                  <w:r>
                    <w:rPr>
                      <w:rFonts w:hint="eastAsia"/>
                      <w:spacing w:val="-5"/>
                      <w:sz w:val="24"/>
                      <w:lang w:val="en-US"/>
                    </w:rPr>
                    <w:t>4</w:t>
                  </w:r>
                  <w:r>
                    <w:rPr>
                      <w:rFonts w:hint="eastAsia"/>
                      <w:spacing w:val="-18"/>
                      <w:sz w:val="24"/>
                    </w:rPr>
                    <w:t>分；</w:t>
                  </w:r>
                </w:p>
                <w:p w14:paraId="0622E1CE">
                  <w:pPr>
                    <w:pStyle w:val="45"/>
                    <w:spacing w:before="43" w:line="278" w:lineRule="auto"/>
                    <w:ind w:left="0" w:right="97"/>
                    <w:rPr>
                      <w:rFonts w:hint="eastAsia"/>
                      <w:spacing w:val="-3"/>
                      <w:sz w:val="24"/>
                    </w:rPr>
                  </w:pPr>
                  <w:r>
                    <w:rPr>
                      <w:rFonts w:hint="eastAsia"/>
                      <w:spacing w:val="-3"/>
                      <w:sz w:val="24"/>
                      <w:lang w:val="en-US"/>
                    </w:rPr>
                    <w:t>2.</w:t>
                  </w:r>
                  <w:r>
                    <w:rPr>
                      <w:rFonts w:hint="eastAsia"/>
                      <w:spacing w:val="-3"/>
                      <w:sz w:val="24"/>
                    </w:rPr>
                    <w:t>具备PMI-PMP项目管理专业人士认证的得</w:t>
                  </w:r>
                  <w:r>
                    <w:rPr>
                      <w:rFonts w:hint="eastAsia"/>
                      <w:spacing w:val="-3"/>
                      <w:sz w:val="24"/>
                      <w:lang w:val="en-US"/>
                    </w:rPr>
                    <w:t>5</w:t>
                  </w:r>
                  <w:r>
                    <w:rPr>
                      <w:rFonts w:hint="eastAsia"/>
                      <w:spacing w:val="-3"/>
                      <w:sz w:val="24"/>
                    </w:rPr>
                    <w:t>分；</w:t>
                  </w:r>
                </w:p>
                <w:p w14:paraId="52E6B550">
                  <w:pPr>
                    <w:pStyle w:val="45"/>
                    <w:spacing w:line="269" w:lineRule="exact"/>
                    <w:ind w:left="0"/>
                    <w:rPr>
                      <w:rFonts w:hint="eastAsia"/>
                      <w:b/>
                      <w:sz w:val="24"/>
                    </w:rPr>
                  </w:pPr>
                  <w:r>
                    <w:rPr>
                      <w:rFonts w:hint="eastAsia"/>
                      <w:b/>
                      <w:sz w:val="24"/>
                    </w:rPr>
                    <w:t>（二）评分依据：</w:t>
                  </w:r>
                </w:p>
                <w:p w14:paraId="62BEC5C3">
                  <w:pPr>
                    <w:pStyle w:val="45"/>
                    <w:tabs>
                      <w:tab w:val="left" w:pos="320"/>
                    </w:tabs>
                    <w:spacing w:before="42" w:line="278" w:lineRule="auto"/>
                    <w:ind w:left="0" w:right="-15"/>
                    <w:rPr>
                      <w:rFonts w:hint="eastAsia"/>
                      <w:sz w:val="24"/>
                      <w:szCs w:val="24"/>
                      <w:lang w:val="en-US" w:bidi="ar-SA"/>
                    </w:rPr>
                  </w:pPr>
                  <w:r>
                    <w:rPr>
                      <w:rFonts w:hint="eastAsia"/>
                      <w:sz w:val="24"/>
                      <w:szCs w:val="24"/>
                      <w:lang w:val="en-US" w:bidi="ar-SA"/>
                    </w:rPr>
                    <w:t>1.要求提供通过投标人缴纳的最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14:paraId="78BA334A">
                  <w:pPr>
                    <w:pStyle w:val="45"/>
                    <w:tabs>
                      <w:tab w:val="left" w:pos="320"/>
                    </w:tabs>
                    <w:spacing w:line="278" w:lineRule="auto"/>
                    <w:ind w:left="0" w:right="99"/>
                    <w:rPr>
                      <w:rFonts w:hint="eastAsia"/>
                      <w:sz w:val="24"/>
                      <w:szCs w:val="24"/>
                      <w:lang w:val="en-US" w:bidi="ar-SA"/>
                    </w:rPr>
                  </w:pPr>
                  <w:r>
                    <w:rPr>
                      <w:rFonts w:hint="eastAsia"/>
                      <w:sz w:val="24"/>
                      <w:szCs w:val="24"/>
                      <w:lang w:val="en-US" w:bidi="ar-SA"/>
                    </w:rPr>
                    <w:t>2.要求提供项目负责人相关证书证明资料作为得分依据。</w:t>
                  </w:r>
                </w:p>
                <w:p w14:paraId="3F3DD37D">
                  <w:pPr>
                    <w:pStyle w:val="45"/>
                    <w:tabs>
                      <w:tab w:val="left" w:pos="320"/>
                    </w:tabs>
                    <w:spacing w:line="278" w:lineRule="auto"/>
                    <w:ind w:left="0" w:right="-15"/>
                    <w:rPr>
                      <w:rFonts w:hint="eastAsia"/>
                      <w:sz w:val="24"/>
                      <w:szCs w:val="24"/>
                      <w:lang w:val="en-US" w:bidi="ar-SA"/>
                    </w:rPr>
                  </w:pPr>
                  <w:r>
                    <w:rPr>
                      <w:rFonts w:hint="eastAsia"/>
                      <w:sz w:val="24"/>
                      <w:szCs w:val="24"/>
                      <w:lang w:val="en-US" w:bidi="ar-SA"/>
                    </w:rPr>
                    <w:t>3.要求提供学历学位证书的，要求投标人提供证书扫描件以及学信网查询记录。对于较早颁发的学历学位证书，学信网无法查询的，要求提供证书扫描件并提供其他佐证材料（如毕业院校、人社部门等颁发机构或监管机构等单位出具的证明）作为得分依据。海外留学人员（含港澳台）学历无法通过学信网站查询的，应当提供教育部留学服务中心出具的国外学历学位认证证书以及教育部留学服务中心官网查询截图。若证明文件为其它语言，必须附中文译文，以中文译文为准。</w:t>
                  </w:r>
                </w:p>
                <w:p w14:paraId="5C0C1B07">
                  <w:pPr>
                    <w:pStyle w:val="45"/>
                    <w:tabs>
                      <w:tab w:val="left" w:pos="320"/>
                    </w:tabs>
                    <w:spacing w:line="268" w:lineRule="exact"/>
                    <w:rPr>
                      <w:rFonts w:hint="eastAsia"/>
                      <w:color w:val="000000" w:themeColor="text1"/>
                      <w:sz w:val="24"/>
                      <w14:textFill>
                        <w14:solidFill>
                          <w14:schemeClr w14:val="tx1"/>
                        </w14:solidFill>
                      </w14:textFill>
                    </w:rPr>
                  </w:pPr>
                  <w:r>
                    <w:rPr>
                      <w:rFonts w:hint="eastAsia"/>
                      <w:sz w:val="24"/>
                      <w:szCs w:val="24"/>
                      <w:lang w:val="en-US" w:bidi="ar-SA"/>
                    </w:rPr>
                    <w:t>4.以上资料均要求提供相关证书扫描件，加盖投标人公章。评分中出现无证明资料或专家无法凭所提供资 料判断是否得分的情况，一律作不得分处理。</w:t>
                  </w:r>
                </w:p>
              </w:tc>
            </w:tr>
            <w:tr w14:paraId="05F9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jc w:val="center"/>
              </w:trPr>
              <w:tc>
                <w:tcPr>
                  <w:tcW w:w="365" w:type="pct"/>
                  <w:vAlign w:val="center"/>
                </w:tcPr>
                <w:p w14:paraId="1E58465F">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354F37E6">
                  <w:pPr>
                    <w:widowControl/>
                    <w:wordWrap w:val="0"/>
                    <w:jc w:val="center"/>
                    <w:rPr>
                      <w:rFonts w:hint="eastAsia" w:ascii="宋体" w:hAnsi="宋体" w:cs="宋体"/>
                      <w:kern w:val="0"/>
                      <w:sz w:val="24"/>
                    </w:rPr>
                  </w:pPr>
                  <w:r>
                    <w:rPr>
                      <w:rFonts w:hint="eastAsia" w:ascii="宋体" w:hAnsi="宋体" w:cs="宋体"/>
                      <w:kern w:val="0"/>
                      <w:sz w:val="24"/>
                    </w:rPr>
                    <w:t>3</w:t>
                  </w:r>
                </w:p>
              </w:tc>
              <w:tc>
                <w:tcPr>
                  <w:tcW w:w="905" w:type="pct"/>
                  <w:vAlign w:val="center"/>
                </w:tcPr>
                <w:p w14:paraId="3E85C358">
                  <w:pPr>
                    <w:rPr>
                      <w:rFonts w:hint="eastAsia" w:ascii="宋体" w:hAnsi="宋体" w:cs="宋体"/>
                      <w:sz w:val="24"/>
                    </w:rPr>
                  </w:pPr>
                  <w:r>
                    <w:rPr>
                      <w:rFonts w:hint="eastAsia" w:ascii="宋体" w:hAnsi="宋体" w:cs="宋体"/>
                      <w:sz w:val="24"/>
                    </w:rPr>
                    <w:t>拟安排的项目团队成员（主要技术人员）</w:t>
                  </w:r>
                  <w:r>
                    <w:rPr>
                      <w:rFonts w:ascii="宋体" w:hAnsi="宋体" w:cs="宋体"/>
                      <w:sz w:val="24"/>
                    </w:rPr>
                    <w:t xml:space="preserve"> </w:t>
                  </w:r>
                  <w:r>
                    <w:rPr>
                      <w:rFonts w:hint="eastAsia" w:ascii="宋体" w:hAnsi="宋体" w:cs="宋体"/>
                      <w:sz w:val="24"/>
                    </w:rPr>
                    <w:t>情况（项目负责人除外）</w:t>
                  </w:r>
                </w:p>
              </w:tc>
              <w:tc>
                <w:tcPr>
                  <w:tcW w:w="455" w:type="pct"/>
                  <w:vAlign w:val="center"/>
                </w:tcPr>
                <w:p w14:paraId="0598062C">
                  <w:pPr>
                    <w:jc w:val="center"/>
                    <w:rPr>
                      <w:rFonts w:hint="eastAsia" w:ascii="宋体" w:hAnsi="宋体" w:cs="宋体"/>
                      <w:kern w:val="0"/>
                      <w:sz w:val="24"/>
                    </w:rPr>
                  </w:pPr>
                  <w:r>
                    <w:rPr>
                      <w:rFonts w:hint="eastAsia" w:ascii="宋体" w:hAnsi="宋体" w:cs="宋体"/>
                      <w:kern w:val="0"/>
                      <w:sz w:val="24"/>
                    </w:rPr>
                    <w:t>16</w:t>
                  </w:r>
                </w:p>
              </w:tc>
              <w:tc>
                <w:tcPr>
                  <w:tcW w:w="2917" w:type="pct"/>
                  <w:vAlign w:val="center"/>
                </w:tcPr>
                <w:p w14:paraId="30D6E98E">
                  <w:pPr>
                    <w:pStyle w:val="45"/>
                    <w:tabs>
                      <w:tab w:val="left" w:pos="421"/>
                    </w:tabs>
                    <w:spacing w:before="0" w:line="278" w:lineRule="auto"/>
                    <w:ind w:left="0" w:right="98"/>
                    <w:rPr>
                      <w:rFonts w:hint="eastAsia"/>
                      <w:b/>
                      <w:sz w:val="24"/>
                    </w:rPr>
                  </w:pPr>
                  <w:r>
                    <w:rPr>
                      <w:rFonts w:hint="eastAsia"/>
                      <w:b/>
                      <w:sz w:val="24"/>
                    </w:rPr>
                    <w:t>（一）评分内容：</w:t>
                  </w:r>
                </w:p>
                <w:p w14:paraId="41E08DB1">
                  <w:pPr>
                    <w:pStyle w:val="45"/>
                    <w:tabs>
                      <w:tab w:val="left" w:pos="421"/>
                    </w:tabs>
                    <w:spacing w:before="0" w:line="278" w:lineRule="auto"/>
                    <w:ind w:left="0" w:right="98"/>
                    <w:rPr>
                      <w:rFonts w:hint="eastAsia"/>
                      <w:sz w:val="24"/>
                      <w:szCs w:val="24"/>
                      <w:lang w:val="en-US" w:bidi="ar-SA"/>
                    </w:rPr>
                  </w:pPr>
                  <w:r>
                    <w:rPr>
                      <w:rFonts w:hint="eastAsia"/>
                      <w:sz w:val="24"/>
                      <w:szCs w:val="24"/>
                      <w:lang w:val="en-US" w:bidi="ar-SA"/>
                    </w:rPr>
                    <w:t>拟安排的项目团队成员（主要技术人员）（项目负责人除外）不少于4人，否则本项不计分。</w:t>
                  </w:r>
                </w:p>
                <w:p w14:paraId="54BE27AD">
                  <w:pPr>
                    <w:pStyle w:val="45"/>
                    <w:tabs>
                      <w:tab w:val="left" w:pos="421"/>
                    </w:tabs>
                    <w:spacing w:line="278" w:lineRule="auto"/>
                    <w:ind w:left="0" w:right="98"/>
                    <w:rPr>
                      <w:rFonts w:hint="eastAsia"/>
                      <w:sz w:val="24"/>
                      <w:szCs w:val="24"/>
                      <w:lang w:val="en-US" w:bidi="ar-SA"/>
                    </w:rPr>
                  </w:pPr>
                  <w:r>
                    <w:rPr>
                      <w:rFonts w:hint="eastAsia"/>
                      <w:sz w:val="24"/>
                      <w:szCs w:val="24"/>
                      <w:lang w:val="en-US" w:bidi="ar-SA"/>
                    </w:rPr>
                    <w:t>1.具有资格名称为“网络工程师”的计算机技术与软件专业技术资格证书，每提供一个有效认证证书得4分，最高得8分；</w:t>
                  </w:r>
                </w:p>
                <w:p w14:paraId="20B8ACFD">
                  <w:pPr>
                    <w:pStyle w:val="45"/>
                    <w:tabs>
                      <w:tab w:val="left" w:pos="421"/>
                    </w:tabs>
                    <w:spacing w:before="0" w:line="278" w:lineRule="auto"/>
                    <w:ind w:left="0" w:right="98"/>
                    <w:rPr>
                      <w:rFonts w:hint="eastAsia"/>
                      <w:sz w:val="24"/>
                      <w:szCs w:val="24"/>
                      <w:lang w:val="en-US" w:bidi="ar-SA"/>
                    </w:rPr>
                  </w:pPr>
                  <w:r>
                    <w:rPr>
                      <w:rFonts w:hint="eastAsia"/>
                      <w:sz w:val="24"/>
                      <w:szCs w:val="24"/>
                      <w:lang w:val="en-US" w:bidi="ar-SA"/>
                    </w:rPr>
                    <w:t>2.具有工业和信息化部人才交流中心颁发的工业互联网网络集成工程师认证证书，每提供一个有效认证证书得4分，最高得4分；</w:t>
                  </w:r>
                </w:p>
                <w:p w14:paraId="20A26055">
                  <w:pPr>
                    <w:pStyle w:val="45"/>
                    <w:tabs>
                      <w:tab w:val="left" w:pos="421"/>
                    </w:tabs>
                    <w:spacing w:line="278" w:lineRule="auto"/>
                    <w:ind w:left="0" w:right="98"/>
                    <w:rPr>
                      <w:rFonts w:hint="eastAsia"/>
                      <w:sz w:val="24"/>
                      <w:szCs w:val="24"/>
                      <w:lang w:val="en-US" w:bidi="ar-SA"/>
                    </w:rPr>
                  </w:pPr>
                  <w:r>
                    <w:rPr>
                      <w:rFonts w:hint="eastAsia"/>
                      <w:sz w:val="24"/>
                      <w:szCs w:val="24"/>
                      <w:lang w:val="en-US" w:bidi="ar-SA"/>
                    </w:rPr>
                    <w:t>3.具有中国信息安全测评中心颁发的注册信息安全专业人员(CISP)证书，每提供一个有效认证证书得4分，最高得4分；</w:t>
                  </w:r>
                </w:p>
                <w:p w14:paraId="40DE8A29">
                  <w:pPr>
                    <w:pStyle w:val="45"/>
                    <w:tabs>
                      <w:tab w:val="left" w:pos="421"/>
                    </w:tabs>
                    <w:spacing w:line="278" w:lineRule="auto"/>
                    <w:ind w:left="0" w:right="98"/>
                    <w:rPr>
                      <w:rFonts w:hint="eastAsia"/>
                      <w:b/>
                      <w:sz w:val="24"/>
                    </w:rPr>
                  </w:pPr>
                  <w:r>
                    <w:rPr>
                      <w:rFonts w:hint="eastAsia"/>
                      <w:b/>
                      <w:sz w:val="24"/>
                    </w:rPr>
                    <w:t>（二）评分依据：</w:t>
                  </w:r>
                </w:p>
                <w:p w14:paraId="453006C0">
                  <w:pPr>
                    <w:pStyle w:val="45"/>
                    <w:tabs>
                      <w:tab w:val="left" w:pos="421"/>
                    </w:tabs>
                    <w:spacing w:line="278" w:lineRule="auto"/>
                    <w:ind w:left="0" w:right="98"/>
                    <w:rPr>
                      <w:rFonts w:hint="eastAsia"/>
                      <w:sz w:val="24"/>
                      <w:szCs w:val="24"/>
                      <w:lang w:val="en-US" w:bidi="ar-SA"/>
                    </w:rPr>
                  </w:pPr>
                  <w:r>
                    <w:rPr>
                      <w:rFonts w:hint="eastAsia"/>
                      <w:sz w:val="24"/>
                      <w:szCs w:val="24"/>
                      <w:lang w:val="en-US" w:bidi="ar-SA"/>
                    </w:rPr>
                    <w:t>1.要求提供通过投标人缴纳的最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14:paraId="57362113">
                  <w:pPr>
                    <w:pStyle w:val="45"/>
                    <w:tabs>
                      <w:tab w:val="left" w:pos="421"/>
                    </w:tabs>
                    <w:spacing w:line="278" w:lineRule="auto"/>
                    <w:ind w:left="0" w:right="98"/>
                    <w:rPr>
                      <w:rFonts w:hint="eastAsia"/>
                      <w:sz w:val="24"/>
                      <w:szCs w:val="24"/>
                      <w:lang w:val="en-US" w:bidi="ar-SA"/>
                    </w:rPr>
                  </w:pPr>
                  <w:r>
                    <w:rPr>
                      <w:rFonts w:hint="eastAsia"/>
                      <w:sz w:val="24"/>
                      <w:szCs w:val="24"/>
                      <w:lang w:val="en-US" w:bidi="ar-SA"/>
                    </w:rPr>
                    <w:t>2.要求提拟安排的项目团队成员相关证书证明资料作为得分依据。</w:t>
                  </w:r>
                </w:p>
                <w:p w14:paraId="655E508A">
                  <w:pPr>
                    <w:pStyle w:val="45"/>
                    <w:tabs>
                      <w:tab w:val="left" w:pos="421"/>
                    </w:tabs>
                    <w:spacing w:line="278" w:lineRule="auto"/>
                    <w:ind w:left="0" w:right="98"/>
                    <w:rPr>
                      <w:rFonts w:hint="eastAsia"/>
                      <w:kern w:val="0"/>
                      <w:sz w:val="24"/>
                    </w:rPr>
                  </w:pPr>
                  <w:r>
                    <w:rPr>
                      <w:rFonts w:hint="eastAsia"/>
                      <w:sz w:val="24"/>
                      <w:szCs w:val="24"/>
                      <w:lang w:val="en-US" w:bidi="ar-SA"/>
                    </w:rPr>
                    <w:t>3.以上资料均要求提供相关证书扫描件，加盖投标人公章。评分中出现无证明资料或专家无法凭所提供资料判断是否得分的情况，一律作不得分处</w:t>
                  </w:r>
                  <w:r>
                    <w:rPr>
                      <w:rFonts w:hint="eastAsia"/>
                      <w:sz w:val="24"/>
                    </w:rPr>
                    <w:t>理。</w:t>
                  </w:r>
                </w:p>
              </w:tc>
            </w:tr>
            <w:tr w14:paraId="321A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67" w:hRule="atLeast"/>
                <w:jc w:val="center"/>
              </w:trPr>
              <w:tc>
                <w:tcPr>
                  <w:tcW w:w="365" w:type="pct"/>
                  <w:vAlign w:val="center"/>
                </w:tcPr>
                <w:p w14:paraId="62A0C625">
                  <w:pPr>
                    <w:widowControl/>
                    <w:jc w:val="left"/>
                    <w:rPr>
                      <w:rFonts w:hint="eastAsia" w:ascii="宋体" w:hAnsi="宋体" w:cs="宋体"/>
                      <w:b/>
                      <w:bCs/>
                      <w:color w:val="000000" w:themeColor="text1"/>
                      <w:kern w:val="0"/>
                      <w:sz w:val="24"/>
                      <w14:textFill>
                        <w14:solidFill>
                          <w14:schemeClr w14:val="tx1"/>
                        </w14:solidFill>
                      </w14:textFill>
                    </w:rPr>
                  </w:pPr>
                </w:p>
              </w:tc>
              <w:tc>
                <w:tcPr>
                  <w:tcW w:w="358" w:type="pct"/>
                  <w:vAlign w:val="center"/>
                </w:tcPr>
                <w:p w14:paraId="3292124A">
                  <w:pPr>
                    <w:widowControl/>
                    <w:wordWrap w:val="0"/>
                    <w:jc w:val="center"/>
                    <w:rPr>
                      <w:rFonts w:hint="eastAsia" w:ascii="宋体" w:hAnsi="宋体" w:cs="宋体"/>
                      <w:kern w:val="0"/>
                      <w:sz w:val="24"/>
                    </w:rPr>
                  </w:pPr>
                  <w:r>
                    <w:rPr>
                      <w:rFonts w:hint="eastAsia" w:ascii="宋体" w:hAnsi="宋体" w:cs="宋体"/>
                      <w:kern w:val="0"/>
                      <w:sz w:val="24"/>
                    </w:rPr>
                    <w:t>4</w:t>
                  </w:r>
                </w:p>
              </w:tc>
              <w:tc>
                <w:tcPr>
                  <w:tcW w:w="905" w:type="pct"/>
                  <w:vAlign w:val="center"/>
                </w:tcPr>
                <w:p w14:paraId="5791FE54">
                  <w:pPr>
                    <w:rPr>
                      <w:rFonts w:hint="eastAsia" w:ascii="宋体" w:hAnsi="宋体" w:cs="宋体"/>
                      <w:sz w:val="24"/>
                    </w:rPr>
                  </w:pPr>
                  <w:r>
                    <w:rPr>
                      <w:rFonts w:hint="eastAsia" w:ascii="宋体" w:hAnsi="宋体" w:cs="宋体"/>
                      <w:sz w:val="24"/>
                    </w:rPr>
                    <w:t>企业诚信</w:t>
                  </w:r>
                </w:p>
              </w:tc>
              <w:tc>
                <w:tcPr>
                  <w:tcW w:w="455" w:type="pct"/>
                  <w:vAlign w:val="center"/>
                </w:tcPr>
                <w:p w14:paraId="52C67081">
                  <w:pPr>
                    <w:jc w:val="center"/>
                    <w:rPr>
                      <w:rFonts w:hint="eastAsia" w:ascii="宋体" w:hAnsi="宋体" w:cs="宋体"/>
                      <w:kern w:val="0"/>
                      <w:sz w:val="24"/>
                    </w:rPr>
                  </w:pPr>
                  <w:r>
                    <w:rPr>
                      <w:rFonts w:hint="eastAsia" w:ascii="宋体" w:hAnsi="宋体" w:cs="宋体"/>
                      <w:kern w:val="0"/>
                      <w:sz w:val="24"/>
                    </w:rPr>
                    <w:t>5</w:t>
                  </w:r>
                </w:p>
              </w:tc>
              <w:tc>
                <w:tcPr>
                  <w:tcW w:w="2917" w:type="pct"/>
                  <w:vAlign w:val="center"/>
                </w:tcPr>
                <w:p w14:paraId="075B39C1">
                  <w:pPr>
                    <w:pStyle w:val="45"/>
                    <w:spacing w:before="22"/>
                    <w:ind w:left="0"/>
                    <w:rPr>
                      <w:rFonts w:hint="eastAsia"/>
                      <w:sz w:val="24"/>
                    </w:rPr>
                  </w:pPr>
                  <w:r>
                    <w:rPr>
                      <w:rFonts w:hint="eastAsia"/>
                      <w:sz w:val="24"/>
                    </w:rPr>
                    <w:t>（一）评分内容：</w:t>
                  </w:r>
                </w:p>
                <w:p w14:paraId="7F1C860C">
                  <w:pPr>
                    <w:pStyle w:val="45"/>
                    <w:spacing w:before="43" w:line="278" w:lineRule="auto"/>
                    <w:ind w:left="0" w:right="-15"/>
                    <w:rPr>
                      <w:rFonts w:hint="eastAsia"/>
                      <w:sz w:val="24"/>
                    </w:rPr>
                  </w:pPr>
                  <w:r>
                    <w:rPr>
                      <w:rFonts w:hint="eastAsia"/>
                      <w:sz w:val="24"/>
                      <w:szCs w:val="24"/>
                      <w:lang w:val="en-US" w:bidi="ar-SA"/>
                    </w:rPr>
                    <w:t>根据《深圳市财政局关于印发&lt;深圳市财政局政府采购供应商信用信息管理办法&gt;的通知》（深财规〔2023〕3 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7CB23EC3">
                  <w:pPr>
                    <w:pStyle w:val="45"/>
                    <w:spacing w:line="268" w:lineRule="exact"/>
                    <w:ind w:left="108"/>
                    <w:rPr>
                      <w:rFonts w:hint="eastAsia"/>
                      <w:sz w:val="24"/>
                    </w:rPr>
                  </w:pPr>
                  <w:r>
                    <w:rPr>
                      <w:rFonts w:hint="eastAsia"/>
                      <w:sz w:val="24"/>
                    </w:rPr>
                    <w:t>（二）评分依据：</w:t>
                  </w:r>
                </w:p>
                <w:p w14:paraId="4866B77D">
                  <w:pPr>
                    <w:rPr>
                      <w:rFonts w:hint="eastAsia" w:ascii="宋体" w:hAnsi="宋体" w:cs="宋体"/>
                      <w:sz w:val="24"/>
                    </w:rPr>
                  </w:pPr>
                  <w:r>
                    <w:rPr>
                      <w:rFonts w:hint="eastAsia" w:ascii="宋体" w:hAnsi="宋体" w:cs="宋体"/>
                      <w:sz w:val="24"/>
                      <w:szCs w:val="24"/>
                      <w:lang w:val="en-US" w:eastAsia="zh-CN"/>
                    </w:rPr>
                    <w:t>工作人员</w:t>
                  </w:r>
                  <w:r>
                    <w:rPr>
                      <w:rFonts w:hint="eastAsia" w:ascii="宋体" w:hAnsi="宋体" w:cs="宋体"/>
                      <w:sz w:val="24"/>
                      <w:szCs w:val="24"/>
                    </w:rPr>
                    <w:t>通过信用信息查询渠道，包括“信用中国”、“中国政府采购网”、“深圳市政府采购监管网”</w:t>
                  </w:r>
                  <w:r>
                    <w:rPr>
                      <w:rFonts w:hint="eastAsia" w:ascii="宋体" w:hAnsi="宋体" w:cs="宋体"/>
                      <w:sz w:val="24"/>
                      <w:szCs w:val="24"/>
                      <w:lang w:eastAsia="zh-CN"/>
                    </w:rPr>
                    <w:t>“</w:t>
                  </w:r>
                  <w:r>
                    <w:rPr>
                      <w:rFonts w:hint="eastAsia" w:ascii="宋体" w:hAnsi="宋体" w:cs="宋体"/>
                      <w:sz w:val="24"/>
                      <w:szCs w:val="24"/>
                      <w:lang w:val="en-US" w:eastAsia="zh-CN"/>
                    </w:rPr>
                    <w:t>国家企业信用信息公示系统”等</w:t>
                  </w:r>
                  <w:bookmarkStart w:id="1" w:name="_GoBack"/>
                  <w:bookmarkEnd w:id="1"/>
                  <w:r>
                    <w:rPr>
                      <w:rFonts w:hint="eastAsia" w:ascii="宋体" w:hAnsi="宋体" w:cs="宋体"/>
                      <w:sz w:val="24"/>
                      <w:szCs w:val="24"/>
                    </w:rPr>
                    <w:t>查询供应商信用信息。</w:t>
                  </w:r>
                </w:p>
              </w:tc>
            </w:tr>
          </w:tbl>
          <w:p w14:paraId="183C92AB">
            <w:pPr>
              <w:pStyle w:val="17"/>
              <w:spacing w:line="240" w:lineRule="exact"/>
              <w:rPr>
                <w:rFonts w:hint="eastAsia" w:ascii="宋体" w:hAnsi="宋体" w:cs="宋体"/>
                <w:sz w:val="21"/>
                <w:szCs w:val="21"/>
              </w:rPr>
            </w:pPr>
          </w:p>
          <w:p w14:paraId="2CCAF45A">
            <w:pPr>
              <w:pStyle w:val="17"/>
              <w:spacing w:line="324" w:lineRule="auto"/>
              <w:rPr>
                <w:rFonts w:hint="eastAsia" w:ascii="仿宋" w:hAnsi="仿宋" w:eastAsia="仿宋" w:cs="仿宋"/>
                <w:sz w:val="21"/>
                <w:szCs w:val="21"/>
              </w:rPr>
            </w:pPr>
          </w:p>
        </w:tc>
      </w:tr>
    </w:tbl>
    <w:p w14:paraId="6564E8C6">
      <w:pPr>
        <w:widowControl/>
        <w:jc w:val="left"/>
        <w:rPr>
          <w:rFonts w:hint="eastAsia" w:ascii="宋体" w:hAnsi="宋体"/>
          <w:szCs w:val="21"/>
        </w:rPr>
      </w:pPr>
      <w:r>
        <w:rPr>
          <w:b/>
          <w:bCs/>
          <w:sz w:val="24"/>
        </w:rPr>
        <w:br w:type="page"/>
      </w:r>
      <w:bookmarkEnd w:id="0"/>
    </w:p>
    <w:sectPr>
      <w:headerReference r:id="rId3" w:type="default"/>
      <w:footerReference r:id="rId4" w:type="default"/>
      <w:pgSz w:w="11850" w:h="16783"/>
      <w:pgMar w:top="1440" w:right="1080" w:bottom="1440" w:left="1080" w:header="737" w:footer="680"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9BE0">
    <w:pPr>
      <w:pStyle w:val="15"/>
    </w:pPr>
    <w:r>
      <w:rPr>
        <w:rFonts w:hint="eastAsia"/>
        <w:b/>
        <w:i/>
      </w:rPr>
      <w:t xml:space="preserve">            </w:t>
    </w:r>
    <w:r>
      <w:rPr>
        <w:rFonts w:hint="eastAsia"/>
      </w:rPr>
      <w:t xml:space="preserve">                       </w:t>
    </w:r>
    <w:r>
      <w:rPr>
        <w:rFonts w:hint="eastAsia"/>
      </w:rPr>
      <w:tab/>
    </w:r>
    <w:r>
      <w:rPr>
        <w:rFonts w:hint="eastAsia"/>
      </w:rPr>
      <w:tab/>
    </w:r>
    <w:r>
      <w:rPr>
        <w:rFonts w:hint="eastAsia"/>
      </w:rPr>
      <w:t xml:space="preserve">   </w:t>
    </w:r>
    <w:r>
      <w:rPr>
        <w:rStyle w:val="23"/>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9487">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40552"/>
    <w:multiLevelType w:val="singleLevel"/>
    <w:tmpl w:val="98140552"/>
    <w:lvl w:ilvl="0" w:tentative="0">
      <w:start w:val="5"/>
      <w:numFmt w:val="chineseCounting"/>
      <w:suff w:val="nothing"/>
      <w:lvlText w:val="%1、"/>
      <w:lvlJc w:val="left"/>
      <w:rPr>
        <w:rFonts w:hint="eastAsia"/>
      </w:rPr>
    </w:lvl>
  </w:abstractNum>
  <w:abstractNum w:abstractNumId="1">
    <w:nsid w:val="D7A3C96D"/>
    <w:multiLevelType w:val="singleLevel"/>
    <w:tmpl w:val="D7A3C96D"/>
    <w:lvl w:ilvl="0" w:tentative="0">
      <w:start w:val="1"/>
      <w:numFmt w:val="chineseCounting"/>
      <w:suff w:val="nothing"/>
      <w:lvlText w:val="%1、"/>
      <w:lvlJc w:val="left"/>
      <w:rPr>
        <w:rFonts w:hint="eastAsia"/>
      </w:rPr>
    </w:lvl>
  </w:abstractNum>
  <w:abstractNum w:abstractNumId="2">
    <w:nsid w:val="E7962178"/>
    <w:multiLevelType w:val="singleLevel"/>
    <w:tmpl w:val="E7962178"/>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45"/>
    <w:rsid w:val="000028F4"/>
    <w:rsid w:val="000042AA"/>
    <w:rsid w:val="00005402"/>
    <w:rsid w:val="00016980"/>
    <w:rsid w:val="00024715"/>
    <w:rsid w:val="00030B9D"/>
    <w:rsid w:val="00040787"/>
    <w:rsid w:val="00062E78"/>
    <w:rsid w:val="00062EB3"/>
    <w:rsid w:val="00063F20"/>
    <w:rsid w:val="000700AB"/>
    <w:rsid w:val="00072352"/>
    <w:rsid w:val="0007283F"/>
    <w:rsid w:val="00074B7F"/>
    <w:rsid w:val="000758D3"/>
    <w:rsid w:val="0007713B"/>
    <w:rsid w:val="000844C3"/>
    <w:rsid w:val="0009436C"/>
    <w:rsid w:val="0009602A"/>
    <w:rsid w:val="000A1397"/>
    <w:rsid w:val="000A68D2"/>
    <w:rsid w:val="000C4E1B"/>
    <w:rsid w:val="000C52DF"/>
    <w:rsid w:val="000D63D6"/>
    <w:rsid w:val="000E7E1A"/>
    <w:rsid w:val="000F04B3"/>
    <w:rsid w:val="000F2F33"/>
    <w:rsid w:val="000F6272"/>
    <w:rsid w:val="0010237A"/>
    <w:rsid w:val="00104408"/>
    <w:rsid w:val="00112C17"/>
    <w:rsid w:val="00114F27"/>
    <w:rsid w:val="00126B57"/>
    <w:rsid w:val="0013046C"/>
    <w:rsid w:val="0013467B"/>
    <w:rsid w:val="001406F5"/>
    <w:rsid w:val="00145BC7"/>
    <w:rsid w:val="001570A4"/>
    <w:rsid w:val="00172EAA"/>
    <w:rsid w:val="00173CCA"/>
    <w:rsid w:val="00184C67"/>
    <w:rsid w:val="001944AA"/>
    <w:rsid w:val="0019573B"/>
    <w:rsid w:val="00195BAC"/>
    <w:rsid w:val="001A47F1"/>
    <w:rsid w:val="001B5488"/>
    <w:rsid w:val="001B7B0A"/>
    <w:rsid w:val="001C0D6C"/>
    <w:rsid w:val="001C0FBC"/>
    <w:rsid w:val="001C19EE"/>
    <w:rsid w:val="001C4B82"/>
    <w:rsid w:val="001C5263"/>
    <w:rsid w:val="001C666E"/>
    <w:rsid w:val="001D6F07"/>
    <w:rsid w:val="001E054C"/>
    <w:rsid w:val="001E5A2C"/>
    <w:rsid w:val="001E7B34"/>
    <w:rsid w:val="001F1D23"/>
    <w:rsid w:val="001F240C"/>
    <w:rsid w:val="00214CC1"/>
    <w:rsid w:val="002167F1"/>
    <w:rsid w:val="002301D5"/>
    <w:rsid w:val="00236A84"/>
    <w:rsid w:val="00246FDB"/>
    <w:rsid w:val="0024789C"/>
    <w:rsid w:val="002531BE"/>
    <w:rsid w:val="002575C2"/>
    <w:rsid w:val="002677AF"/>
    <w:rsid w:val="0027245F"/>
    <w:rsid w:val="00277131"/>
    <w:rsid w:val="00280E5D"/>
    <w:rsid w:val="00296612"/>
    <w:rsid w:val="002A4C71"/>
    <w:rsid w:val="002A6F74"/>
    <w:rsid w:val="002B350C"/>
    <w:rsid w:val="002B53BF"/>
    <w:rsid w:val="002B6DFF"/>
    <w:rsid w:val="002C0BD9"/>
    <w:rsid w:val="002C3125"/>
    <w:rsid w:val="002D2421"/>
    <w:rsid w:val="002D47F2"/>
    <w:rsid w:val="002D50CA"/>
    <w:rsid w:val="002E025A"/>
    <w:rsid w:val="002E12A2"/>
    <w:rsid w:val="002F044D"/>
    <w:rsid w:val="002F7557"/>
    <w:rsid w:val="003138C0"/>
    <w:rsid w:val="00322AA7"/>
    <w:rsid w:val="00325FA1"/>
    <w:rsid w:val="00346706"/>
    <w:rsid w:val="003477A3"/>
    <w:rsid w:val="003505CA"/>
    <w:rsid w:val="003536DB"/>
    <w:rsid w:val="00356A22"/>
    <w:rsid w:val="00362293"/>
    <w:rsid w:val="00362CEF"/>
    <w:rsid w:val="00363E4B"/>
    <w:rsid w:val="003651D7"/>
    <w:rsid w:val="0037444A"/>
    <w:rsid w:val="0037746A"/>
    <w:rsid w:val="0038506D"/>
    <w:rsid w:val="00387839"/>
    <w:rsid w:val="003A017A"/>
    <w:rsid w:val="003A058E"/>
    <w:rsid w:val="003B0C3F"/>
    <w:rsid w:val="003B4EBE"/>
    <w:rsid w:val="003C5CA3"/>
    <w:rsid w:val="003D4AF7"/>
    <w:rsid w:val="003E7D05"/>
    <w:rsid w:val="003F7BD5"/>
    <w:rsid w:val="004001D3"/>
    <w:rsid w:val="004018D9"/>
    <w:rsid w:val="00413EB2"/>
    <w:rsid w:val="00416833"/>
    <w:rsid w:val="0043529C"/>
    <w:rsid w:val="00436830"/>
    <w:rsid w:val="004518CA"/>
    <w:rsid w:val="00453993"/>
    <w:rsid w:val="004751E7"/>
    <w:rsid w:val="00480984"/>
    <w:rsid w:val="004868A7"/>
    <w:rsid w:val="00486901"/>
    <w:rsid w:val="004874D5"/>
    <w:rsid w:val="0049040D"/>
    <w:rsid w:val="004911B3"/>
    <w:rsid w:val="004927AD"/>
    <w:rsid w:val="004976CF"/>
    <w:rsid w:val="004A09D4"/>
    <w:rsid w:val="004A2D12"/>
    <w:rsid w:val="004A7EBE"/>
    <w:rsid w:val="004B6764"/>
    <w:rsid w:val="004C278A"/>
    <w:rsid w:val="004C5C79"/>
    <w:rsid w:val="004D35C1"/>
    <w:rsid w:val="004D41B2"/>
    <w:rsid w:val="004E2CB6"/>
    <w:rsid w:val="004E4F17"/>
    <w:rsid w:val="004E64D1"/>
    <w:rsid w:val="004E65C5"/>
    <w:rsid w:val="004E7153"/>
    <w:rsid w:val="004E73C4"/>
    <w:rsid w:val="004F2A5D"/>
    <w:rsid w:val="004F46C3"/>
    <w:rsid w:val="004F74C5"/>
    <w:rsid w:val="004F75BC"/>
    <w:rsid w:val="0050260B"/>
    <w:rsid w:val="00502B52"/>
    <w:rsid w:val="005057DA"/>
    <w:rsid w:val="00507EEE"/>
    <w:rsid w:val="0053189A"/>
    <w:rsid w:val="0054027C"/>
    <w:rsid w:val="00543121"/>
    <w:rsid w:val="0055508E"/>
    <w:rsid w:val="005675F8"/>
    <w:rsid w:val="00580CA3"/>
    <w:rsid w:val="0058422D"/>
    <w:rsid w:val="0058758F"/>
    <w:rsid w:val="005A23B7"/>
    <w:rsid w:val="005A46D3"/>
    <w:rsid w:val="005A5D10"/>
    <w:rsid w:val="005B4D5D"/>
    <w:rsid w:val="005B56DD"/>
    <w:rsid w:val="005C0841"/>
    <w:rsid w:val="005C65D1"/>
    <w:rsid w:val="005D0201"/>
    <w:rsid w:val="005E2013"/>
    <w:rsid w:val="005E7317"/>
    <w:rsid w:val="005E758C"/>
    <w:rsid w:val="005F3B4D"/>
    <w:rsid w:val="005F4C66"/>
    <w:rsid w:val="005F54B9"/>
    <w:rsid w:val="00602EC6"/>
    <w:rsid w:val="0061122A"/>
    <w:rsid w:val="006142E5"/>
    <w:rsid w:val="0062067C"/>
    <w:rsid w:val="00623301"/>
    <w:rsid w:val="00634F68"/>
    <w:rsid w:val="0063509C"/>
    <w:rsid w:val="00636F84"/>
    <w:rsid w:val="00665E33"/>
    <w:rsid w:val="006771D8"/>
    <w:rsid w:val="00690C3A"/>
    <w:rsid w:val="00692E7B"/>
    <w:rsid w:val="00695178"/>
    <w:rsid w:val="00695565"/>
    <w:rsid w:val="006A00C6"/>
    <w:rsid w:val="006B0D5E"/>
    <w:rsid w:val="006B2958"/>
    <w:rsid w:val="006B3BDF"/>
    <w:rsid w:val="006B5F33"/>
    <w:rsid w:val="006F4017"/>
    <w:rsid w:val="007114BB"/>
    <w:rsid w:val="00712055"/>
    <w:rsid w:val="00712A40"/>
    <w:rsid w:val="0072018D"/>
    <w:rsid w:val="00727FF5"/>
    <w:rsid w:val="00730B37"/>
    <w:rsid w:val="0073527F"/>
    <w:rsid w:val="007501A5"/>
    <w:rsid w:val="00751E62"/>
    <w:rsid w:val="007538A5"/>
    <w:rsid w:val="00754179"/>
    <w:rsid w:val="00755715"/>
    <w:rsid w:val="007613B4"/>
    <w:rsid w:val="0076252D"/>
    <w:rsid w:val="0077110B"/>
    <w:rsid w:val="00772B09"/>
    <w:rsid w:val="007751E0"/>
    <w:rsid w:val="00777531"/>
    <w:rsid w:val="0078104B"/>
    <w:rsid w:val="007835F4"/>
    <w:rsid w:val="00784F58"/>
    <w:rsid w:val="00786355"/>
    <w:rsid w:val="007956FD"/>
    <w:rsid w:val="007A0871"/>
    <w:rsid w:val="007A18AD"/>
    <w:rsid w:val="007B0D29"/>
    <w:rsid w:val="007C3877"/>
    <w:rsid w:val="007C39C6"/>
    <w:rsid w:val="007C5CDE"/>
    <w:rsid w:val="007C5D1E"/>
    <w:rsid w:val="007D4AE6"/>
    <w:rsid w:val="007D55AC"/>
    <w:rsid w:val="007F5278"/>
    <w:rsid w:val="007F7EF6"/>
    <w:rsid w:val="00814F8B"/>
    <w:rsid w:val="00815FBB"/>
    <w:rsid w:val="0082149E"/>
    <w:rsid w:val="00823A5E"/>
    <w:rsid w:val="00826A23"/>
    <w:rsid w:val="00827ED7"/>
    <w:rsid w:val="00830AA5"/>
    <w:rsid w:val="00837999"/>
    <w:rsid w:val="00837ECE"/>
    <w:rsid w:val="0084292E"/>
    <w:rsid w:val="00850C72"/>
    <w:rsid w:val="008544DE"/>
    <w:rsid w:val="008614C6"/>
    <w:rsid w:val="008631AF"/>
    <w:rsid w:val="00863F54"/>
    <w:rsid w:val="0087179A"/>
    <w:rsid w:val="00871C97"/>
    <w:rsid w:val="008914B7"/>
    <w:rsid w:val="008937EA"/>
    <w:rsid w:val="008A1555"/>
    <w:rsid w:val="008A28EC"/>
    <w:rsid w:val="008B1858"/>
    <w:rsid w:val="008B30CF"/>
    <w:rsid w:val="008B388C"/>
    <w:rsid w:val="008B38E2"/>
    <w:rsid w:val="008B3AC9"/>
    <w:rsid w:val="008B5660"/>
    <w:rsid w:val="008B7BDA"/>
    <w:rsid w:val="008B7F5F"/>
    <w:rsid w:val="008C0555"/>
    <w:rsid w:val="008C2B39"/>
    <w:rsid w:val="008C67CD"/>
    <w:rsid w:val="008C77C5"/>
    <w:rsid w:val="008C7B45"/>
    <w:rsid w:val="008D01C4"/>
    <w:rsid w:val="008D1B48"/>
    <w:rsid w:val="008E15F6"/>
    <w:rsid w:val="008E79B6"/>
    <w:rsid w:val="008F67AC"/>
    <w:rsid w:val="008F7133"/>
    <w:rsid w:val="00901024"/>
    <w:rsid w:val="009106B5"/>
    <w:rsid w:val="00916D31"/>
    <w:rsid w:val="00923B99"/>
    <w:rsid w:val="009259EC"/>
    <w:rsid w:val="00931422"/>
    <w:rsid w:val="00932F45"/>
    <w:rsid w:val="00942A6A"/>
    <w:rsid w:val="00944495"/>
    <w:rsid w:val="00947DFC"/>
    <w:rsid w:val="009501F4"/>
    <w:rsid w:val="00952DEC"/>
    <w:rsid w:val="00956199"/>
    <w:rsid w:val="00961E75"/>
    <w:rsid w:val="00965A07"/>
    <w:rsid w:val="0097603C"/>
    <w:rsid w:val="009811CD"/>
    <w:rsid w:val="009902EB"/>
    <w:rsid w:val="00995737"/>
    <w:rsid w:val="00995838"/>
    <w:rsid w:val="009A74B7"/>
    <w:rsid w:val="009B176A"/>
    <w:rsid w:val="009B58B9"/>
    <w:rsid w:val="009B5A49"/>
    <w:rsid w:val="009C1097"/>
    <w:rsid w:val="009C767E"/>
    <w:rsid w:val="009E4A1F"/>
    <w:rsid w:val="009F702C"/>
    <w:rsid w:val="00A046A0"/>
    <w:rsid w:val="00A262BA"/>
    <w:rsid w:val="00A42857"/>
    <w:rsid w:val="00A4446F"/>
    <w:rsid w:val="00A44C62"/>
    <w:rsid w:val="00A45BF4"/>
    <w:rsid w:val="00A478A2"/>
    <w:rsid w:val="00A56D82"/>
    <w:rsid w:val="00A670E4"/>
    <w:rsid w:val="00A700D7"/>
    <w:rsid w:val="00A73311"/>
    <w:rsid w:val="00A911FD"/>
    <w:rsid w:val="00A91776"/>
    <w:rsid w:val="00A91DE5"/>
    <w:rsid w:val="00A94870"/>
    <w:rsid w:val="00AA02C2"/>
    <w:rsid w:val="00AA5FDA"/>
    <w:rsid w:val="00AB1337"/>
    <w:rsid w:val="00AB28EB"/>
    <w:rsid w:val="00AB300C"/>
    <w:rsid w:val="00AB3C59"/>
    <w:rsid w:val="00AC3634"/>
    <w:rsid w:val="00AD12A4"/>
    <w:rsid w:val="00AD24B7"/>
    <w:rsid w:val="00AE40D9"/>
    <w:rsid w:val="00AF0883"/>
    <w:rsid w:val="00AF4D40"/>
    <w:rsid w:val="00AF5EE3"/>
    <w:rsid w:val="00AF5F3E"/>
    <w:rsid w:val="00B119CA"/>
    <w:rsid w:val="00B22E8A"/>
    <w:rsid w:val="00B41163"/>
    <w:rsid w:val="00B469AD"/>
    <w:rsid w:val="00B51014"/>
    <w:rsid w:val="00B55B29"/>
    <w:rsid w:val="00B57A69"/>
    <w:rsid w:val="00B61E45"/>
    <w:rsid w:val="00B649D4"/>
    <w:rsid w:val="00B66838"/>
    <w:rsid w:val="00B76409"/>
    <w:rsid w:val="00B76547"/>
    <w:rsid w:val="00B875C5"/>
    <w:rsid w:val="00B87AA8"/>
    <w:rsid w:val="00B92A3F"/>
    <w:rsid w:val="00B978B4"/>
    <w:rsid w:val="00BB4B7F"/>
    <w:rsid w:val="00BB4FB2"/>
    <w:rsid w:val="00BC659C"/>
    <w:rsid w:val="00BD1835"/>
    <w:rsid w:val="00BD1A31"/>
    <w:rsid w:val="00BD7C0A"/>
    <w:rsid w:val="00BE11F0"/>
    <w:rsid w:val="00BE2155"/>
    <w:rsid w:val="00BE2C55"/>
    <w:rsid w:val="00BF3B4B"/>
    <w:rsid w:val="00BF7BBA"/>
    <w:rsid w:val="00C014FD"/>
    <w:rsid w:val="00C068FA"/>
    <w:rsid w:val="00C07F16"/>
    <w:rsid w:val="00C12B41"/>
    <w:rsid w:val="00C1376F"/>
    <w:rsid w:val="00C20535"/>
    <w:rsid w:val="00C217F5"/>
    <w:rsid w:val="00C23C00"/>
    <w:rsid w:val="00C262CA"/>
    <w:rsid w:val="00C505D0"/>
    <w:rsid w:val="00C52E1C"/>
    <w:rsid w:val="00C542DC"/>
    <w:rsid w:val="00C72E67"/>
    <w:rsid w:val="00C76E4F"/>
    <w:rsid w:val="00C86271"/>
    <w:rsid w:val="00CA13ED"/>
    <w:rsid w:val="00CA1CDD"/>
    <w:rsid w:val="00CA6AB9"/>
    <w:rsid w:val="00CB0829"/>
    <w:rsid w:val="00CB6EBE"/>
    <w:rsid w:val="00CC2DCC"/>
    <w:rsid w:val="00CC50F1"/>
    <w:rsid w:val="00CE08F3"/>
    <w:rsid w:val="00CE11A3"/>
    <w:rsid w:val="00CE4663"/>
    <w:rsid w:val="00CE66D4"/>
    <w:rsid w:val="00D061F1"/>
    <w:rsid w:val="00D20361"/>
    <w:rsid w:val="00D332F9"/>
    <w:rsid w:val="00D37D39"/>
    <w:rsid w:val="00D44A76"/>
    <w:rsid w:val="00D453B6"/>
    <w:rsid w:val="00D5060F"/>
    <w:rsid w:val="00D5405E"/>
    <w:rsid w:val="00D54E89"/>
    <w:rsid w:val="00D642EB"/>
    <w:rsid w:val="00D67337"/>
    <w:rsid w:val="00D67A1D"/>
    <w:rsid w:val="00D755F6"/>
    <w:rsid w:val="00D86FD0"/>
    <w:rsid w:val="00D8784F"/>
    <w:rsid w:val="00D91449"/>
    <w:rsid w:val="00DD26D7"/>
    <w:rsid w:val="00DD3F8C"/>
    <w:rsid w:val="00DD78E7"/>
    <w:rsid w:val="00DE0037"/>
    <w:rsid w:val="00DE1260"/>
    <w:rsid w:val="00DE3BC9"/>
    <w:rsid w:val="00DE69B1"/>
    <w:rsid w:val="00E019C1"/>
    <w:rsid w:val="00E01E8F"/>
    <w:rsid w:val="00E020C5"/>
    <w:rsid w:val="00E02BAD"/>
    <w:rsid w:val="00E04EDF"/>
    <w:rsid w:val="00E0785C"/>
    <w:rsid w:val="00E1099A"/>
    <w:rsid w:val="00E12E70"/>
    <w:rsid w:val="00E13631"/>
    <w:rsid w:val="00E17FB0"/>
    <w:rsid w:val="00E35A96"/>
    <w:rsid w:val="00E36B93"/>
    <w:rsid w:val="00E457FD"/>
    <w:rsid w:val="00E46475"/>
    <w:rsid w:val="00E50B64"/>
    <w:rsid w:val="00E75FBF"/>
    <w:rsid w:val="00E81509"/>
    <w:rsid w:val="00E83446"/>
    <w:rsid w:val="00E83D10"/>
    <w:rsid w:val="00E862A1"/>
    <w:rsid w:val="00E92BA4"/>
    <w:rsid w:val="00EA09B9"/>
    <w:rsid w:val="00EA3745"/>
    <w:rsid w:val="00EC06C6"/>
    <w:rsid w:val="00EC0889"/>
    <w:rsid w:val="00EC3321"/>
    <w:rsid w:val="00ED55F7"/>
    <w:rsid w:val="00ED68CC"/>
    <w:rsid w:val="00EF49E9"/>
    <w:rsid w:val="00F007D0"/>
    <w:rsid w:val="00F04FB8"/>
    <w:rsid w:val="00F061D7"/>
    <w:rsid w:val="00F06508"/>
    <w:rsid w:val="00F12F06"/>
    <w:rsid w:val="00F1569F"/>
    <w:rsid w:val="00F15C1F"/>
    <w:rsid w:val="00F17D0A"/>
    <w:rsid w:val="00F23BAD"/>
    <w:rsid w:val="00F31CD8"/>
    <w:rsid w:val="00F34256"/>
    <w:rsid w:val="00F411DF"/>
    <w:rsid w:val="00F434E0"/>
    <w:rsid w:val="00F4429A"/>
    <w:rsid w:val="00F475E2"/>
    <w:rsid w:val="00F47A39"/>
    <w:rsid w:val="00F5107B"/>
    <w:rsid w:val="00F52AC3"/>
    <w:rsid w:val="00F5698C"/>
    <w:rsid w:val="00F56DA5"/>
    <w:rsid w:val="00F60773"/>
    <w:rsid w:val="00F62C70"/>
    <w:rsid w:val="00F65BF5"/>
    <w:rsid w:val="00F70CE0"/>
    <w:rsid w:val="00F72C46"/>
    <w:rsid w:val="00F7669D"/>
    <w:rsid w:val="00F77099"/>
    <w:rsid w:val="00F77EB3"/>
    <w:rsid w:val="00F83130"/>
    <w:rsid w:val="00F83470"/>
    <w:rsid w:val="00F94005"/>
    <w:rsid w:val="00F96B60"/>
    <w:rsid w:val="00F97718"/>
    <w:rsid w:val="00F97849"/>
    <w:rsid w:val="00FA186D"/>
    <w:rsid w:val="00FB39C8"/>
    <w:rsid w:val="00FC0694"/>
    <w:rsid w:val="00FC1691"/>
    <w:rsid w:val="00FC753D"/>
    <w:rsid w:val="00FD6BAB"/>
    <w:rsid w:val="00FD730A"/>
    <w:rsid w:val="00FF33F4"/>
    <w:rsid w:val="00FF56BA"/>
    <w:rsid w:val="00FF6634"/>
    <w:rsid w:val="0159726C"/>
    <w:rsid w:val="02A824AD"/>
    <w:rsid w:val="02FA082F"/>
    <w:rsid w:val="036443B3"/>
    <w:rsid w:val="049251C3"/>
    <w:rsid w:val="049A08F6"/>
    <w:rsid w:val="0535194E"/>
    <w:rsid w:val="05793607"/>
    <w:rsid w:val="06A4180F"/>
    <w:rsid w:val="07666909"/>
    <w:rsid w:val="08070A00"/>
    <w:rsid w:val="08CA54C0"/>
    <w:rsid w:val="0983157E"/>
    <w:rsid w:val="09954E0D"/>
    <w:rsid w:val="09A6526C"/>
    <w:rsid w:val="0A273EFA"/>
    <w:rsid w:val="0AA17496"/>
    <w:rsid w:val="0B354AFA"/>
    <w:rsid w:val="0C711B61"/>
    <w:rsid w:val="0D2A53BF"/>
    <w:rsid w:val="0E63175A"/>
    <w:rsid w:val="0FA67D74"/>
    <w:rsid w:val="10702130"/>
    <w:rsid w:val="10A36062"/>
    <w:rsid w:val="10C8622C"/>
    <w:rsid w:val="11196E47"/>
    <w:rsid w:val="116021A5"/>
    <w:rsid w:val="119500A0"/>
    <w:rsid w:val="11D559F9"/>
    <w:rsid w:val="13767A5D"/>
    <w:rsid w:val="14074B59"/>
    <w:rsid w:val="14891A12"/>
    <w:rsid w:val="1537321C"/>
    <w:rsid w:val="153D4CD7"/>
    <w:rsid w:val="15A72150"/>
    <w:rsid w:val="15DD2016"/>
    <w:rsid w:val="16D276A1"/>
    <w:rsid w:val="171F1A95"/>
    <w:rsid w:val="180B10BC"/>
    <w:rsid w:val="18445475"/>
    <w:rsid w:val="18845183"/>
    <w:rsid w:val="18BF3C55"/>
    <w:rsid w:val="19940409"/>
    <w:rsid w:val="1A5E5154"/>
    <w:rsid w:val="1AC612CA"/>
    <w:rsid w:val="1B2B55D1"/>
    <w:rsid w:val="1B4F3C69"/>
    <w:rsid w:val="1B7E7DF7"/>
    <w:rsid w:val="1C6665F2"/>
    <w:rsid w:val="1DA653E3"/>
    <w:rsid w:val="1EC71AB5"/>
    <w:rsid w:val="1F8310C6"/>
    <w:rsid w:val="1FA94D17"/>
    <w:rsid w:val="20716C85"/>
    <w:rsid w:val="20B55809"/>
    <w:rsid w:val="23880C49"/>
    <w:rsid w:val="24BF3B68"/>
    <w:rsid w:val="24C9693B"/>
    <w:rsid w:val="251D3512"/>
    <w:rsid w:val="251E523A"/>
    <w:rsid w:val="25AE12D9"/>
    <w:rsid w:val="26E054C2"/>
    <w:rsid w:val="273870AC"/>
    <w:rsid w:val="27E5759F"/>
    <w:rsid w:val="280451E0"/>
    <w:rsid w:val="28093C65"/>
    <w:rsid w:val="286044C6"/>
    <w:rsid w:val="28687E65"/>
    <w:rsid w:val="2A273408"/>
    <w:rsid w:val="2BC5737C"/>
    <w:rsid w:val="2C7C5EDD"/>
    <w:rsid w:val="2D3B5B48"/>
    <w:rsid w:val="2E1F6B96"/>
    <w:rsid w:val="2E8E45A1"/>
    <w:rsid w:val="2F2E7A55"/>
    <w:rsid w:val="3049232A"/>
    <w:rsid w:val="319F53A2"/>
    <w:rsid w:val="31BC6B2B"/>
    <w:rsid w:val="33721193"/>
    <w:rsid w:val="337E678E"/>
    <w:rsid w:val="340500A3"/>
    <w:rsid w:val="3454129D"/>
    <w:rsid w:val="359E1065"/>
    <w:rsid w:val="35F745D6"/>
    <w:rsid w:val="36016B7B"/>
    <w:rsid w:val="37686C17"/>
    <w:rsid w:val="37A420D1"/>
    <w:rsid w:val="37D06A81"/>
    <w:rsid w:val="37F012DD"/>
    <w:rsid w:val="38301DBE"/>
    <w:rsid w:val="38641C50"/>
    <w:rsid w:val="38A37D53"/>
    <w:rsid w:val="38AF73EA"/>
    <w:rsid w:val="38F372D7"/>
    <w:rsid w:val="39F350B4"/>
    <w:rsid w:val="3AAB598F"/>
    <w:rsid w:val="3B1F2605"/>
    <w:rsid w:val="3BBA232E"/>
    <w:rsid w:val="3CF4186F"/>
    <w:rsid w:val="3D644C0E"/>
    <w:rsid w:val="3DB50062"/>
    <w:rsid w:val="3F3D5750"/>
    <w:rsid w:val="3F782328"/>
    <w:rsid w:val="405451D7"/>
    <w:rsid w:val="40642868"/>
    <w:rsid w:val="40776A3F"/>
    <w:rsid w:val="41CC2DBB"/>
    <w:rsid w:val="43140575"/>
    <w:rsid w:val="437764B0"/>
    <w:rsid w:val="438E7C66"/>
    <w:rsid w:val="44421112"/>
    <w:rsid w:val="44464016"/>
    <w:rsid w:val="4465410B"/>
    <w:rsid w:val="448243AB"/>
    <w:rsid w:val="44F90A89"/>
    <w:rsid w:val="4521777E"/>
    <w:rsid w:val="452A3F27"/>
    <w:rsid w:val="45317BCE"/>
    <w:rsid w:val="45C25741"/>
    <w:rsid w:val="46724F2F"/>
    <w:rsid w:val="46737CA9"/>
    <w:rsid w:val="471952E9"/>
    <w:rsid w:val="47F03878"/>
    <w:rsid w:val="49325BF9"/>
    <w:rsid w:val="49425710"/>
    <w:rsid w:val="4B5F673A"/>
    <w:rsid w:val="4B7843DC"/>
    <w:rsid w:val="4B8D6B91"/>
    <w:rsid w:val="4BAB48A6"/>
    <w:rsid w:val="4C255EE1"/>
    <w:rsid w:val="4D19766B"/>
    <w:rsid w:val="4D645946"/>
    <w:rsid w:val="4DAE7818"/>
    <w:rsid w:val="4F087BF1"/>
    <w:rsid w:val="4F5935B7"/>
    <w:rsid w:val="4FA757E7"/>
    <w:rsid w:val="50860E67"/>
    <w:rsid w:val="51025EB1"/>
    <w:rsid w:val="511264FA"/>
    <w:rsid w:val="51200A2D"/>
    <w:rsid w:val="513D513B"/>
    <w:rsid w:val="51597A9B"/>
    <w:rsid w:val="51F83758"/>
    <w:rsid w:val="52516C94"/>
    <w:rsid w:val="52D60D2E"/>
    <w:rsid w:val="531A3C68"/>
    <w:rsid w:val="541A5CB0"/>
    <w:rsid w:val="5571253B"/>
    <w:rsid w:val="566153D0"/>
    <w:rsid w:val="56701B0F"/>
    <w:rsid w:val="56813D1C"/>
    <w:rsid w:val="57C3726B"/>
    <w:rsid w:val="58404F46"/>
    <w:rsid w:val="588E4FEE"/>
    <w:rsid w:val="598C3104"/>
    <w:rsid w:val="59D06D8E"/>
    <w:rsid w:val="5A68536B"/>
    <w:rsid w:val="5B055AC7"/>
    <w:rsid w:val="5BAE65A3"/>
    <w:rsid w:val="5BF62AB6"/>
    <w:rsid w:val="5D1A4582"/>
    <w:rsid w:val="5D5C4B9B"/>
    <w:rsid w:val="5D63417B"/>
    <w:rsid w:val="5E6615F0"/>
    <w:rsid w:val="5EB91099"/>
    <w:rsid w:val="605C3074"/>
    <w:rsid w:val="61244ACF"/>
    <w:rsid w:val="620314E7"/>
    <w:rsid w:val="63032F4E"/>
    <w:rsid w:val="630F26B0"/>
    <w:rsid w:val="65506306"/>
    <w:rsid w:val="65657A8A"/>
    <w:rsid w:val="65B01354"/>
    <w:rsid w:val="661A1A97"/>
    <w:rsid w:val="66951A6D"/>
    <w:rsid w:val="674D6D61"/>
    <w:rsid w:val="676A158C"/>
    <w:rsid w:val="67EE0AE5"/>
    <w:rsid w:val="68943F59"/>
    <w:rsid w:val="68C73DE6"/>
    <w:rsid w:val="69A92714"/>
    <w:rsid w:val="69DB27B6"/>
    <w:rsid w:val="6ADC731B"/>
    <w:rsid w:val="6ADF6E0B"/>
    <w:rsid w:val="6B3410B7"/>
    <w:rsid w:val="6B5B2936"/>
    <w:rsid w:val="6BF40694"/>
    <w:rsid w:val="6C5F1FB2"/>
    <w:rsid w:val="6D757091"/>
    <w:rsid w:val="6E3A0F28"/>
    <w:rsid w:val="6EAF7FF5"/>
    <w:rsid w:val="6ED547AD"/>
    <w:rsid w:val="6EEF1D13"/>
    <w:rsid w:val="6F173018"/>
    <w:rsid w:val="6F2D45E9"/>
    <w:rsid w:val="6F5E0C47"/>
    <w:rsid w:val="6FE74798"/>
    <w:rsid w:val="6FED3D79"/>
    <w:rsid w:val="70291255"/>
    <w:rsid w:val="70F42B51"/>
    <w:rsid w:val="716871DC"/>
    <w:rsid w:val="717402AD"/>
    <w:rsid w:val="71B608C6"/>
    <w:rsid w:val="727F33AE"/>
    <w:rsid w:val="72C62D8B"/>
    <w:rsid w:val="73971ED2"/>
    <w:rsid w:val="73B057E9"/>
    <w:rsid w:val="73BC23E0"/>
    <w:rsid w:val="74212243"/>
    <w:rsid w:val="74A80EFC"/>
    <w:rsid w:val="76AA29C3"/>
    <w:rsid w:val="76B03803"/>
    <w:rsid w:val="76FB4FCD"/>
    <w:rsid w:val="77C836CF"/>
    <w:rsid w:val="78120820"/>
    <w:rsid w:val="781C24E2"/>
    <w:rsid w:val="7855353D"/>
    <w:rsid w:val="789E522D"/>
    <w:rsid w:val="79A87D37"/>
    <w:rsid w:val="79BD656A"/>
    <w:rsid w:val="79EB757B"/>
    <w:rsid w:val="7A7B4420"/>
    <w:rsid w:val="7B0F7299"/>
    <w:rsid w:val="7B7F61CD"/>
    <w:rsid w:val="7BA23C69"/>
    <w:rsid w:val="7BDD7AD8"/>
    <w:rsid w:val="7CF91FAF"/>
    <w:rsid w:val="7DAE0FEB"/>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link w:val="29"/>
    <w:qFormat/>
    <w:uiPriority w:val="9"/>
    <w:pPr>
      <w:spacing w:line="360" w:lineRule="auto"/>
      <w:outlineLvl w:val="0"/>
    </w:pPr>
    <w:rPr>
      <w:b/>
      <w:kern w:val="44"/>
    </w:rPr>
  </w:style>
  <w:style w:type="paragraph" w:styleId="4">
    <w:name w:val="heading 2"/>
    <w:basedOn w:val="3"/>
    <w:next w:val="5"/>
    <w:link w:val="32"/>
    <w:unhideWhenUsed/>
    <w:qFormat/>
    <w:uiPriority w:val="0"/>
    <w:pPr>
      <w:outlineLvl w:val="1"/>
    </w:pPr>
    <w:rPr>
      <w:rFonts w:ascii="Cambria" w:hAnsi="Cambria"/>
    </w:rPr>
  </w:style>
  <w:style w:type="paragraph" w:styleId="3">
    <w:name w:val="heading 3"/>
    <w:basedOn w:val="1"/>
    <w:next w:val="1"/>
    <w:link w:val="35"/>
    <w:unhideWhenUsed/>
    <w:qFormat/>
    <w:uiPriority w:val="9"/>
    <w:pPr>
      <w:keepNext/>
      <w:keepLines/>
      <w:spacing w:before="260" w:after="260" w:line="416" w:lineRule="auto"/>
      <w:outlineLvl w:val="2"/>
    </w:pPr>
    <w:rPr>
      <w:sz w:val="32"/>
      <w:szCs w:val="32"/>
    </w:rPr>
  </w:style>
  <w:style w:type="paragraph" w:styleId="5">
    <w:name w:val="heading 4"/>
    <w:basedOn w:val="1"/>
    <w:next w:val="1"/>
    <w:link w:val="36"/>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qFormat/>
    <w:uiPriority w:val="0"/>
    <w:pPr>
      <w:adjustRightInd w:val="0"/>
      <w:spacing w:line="360" w:lineRule="atLeast"/>
      <w:ind w:firstLine="420"/>
      <w:jc w:val="left"/>
      <w:textAlignment w:val="baseline"/>
    </w:pPr>
    <w:rPr>
      <w:kern w:val="0"/>
      <w:sz w:val="24"/>
    </w:rPr>
  </w:style>
  <w:style w:type="paragraph" w:styleId="8">
    <w:name w:val="annotation text"/>
    <w:basedOn w:val="1"/>
    <w:next w:val="9"/>
    <w:link w:val="30"/>
    <w:unhideWhenUsed/>
    <w:qFormat/>
    <w:uiPriority w:val="99"/>
    <w:pPr>
      <w:jc w:val="left"/>
    </w:pPr>
  </w:style>
  <w:style w:type="paragraph" w:styleId="9">
    <w:name w:val="toc 5"/>
    <w:basedOn w:val="1"/>
    <w:next w:val="1"/>
    <w:semiHidden/>
    <w:qFormat/>
    <w:uiPriority w:val="0"/>
    <w:pPr>
      <w:ind w:left="840"/>
      <w:jc w:val="left"/>
    </w:pPr>
    <w:rPr>
      <w:szCs w:val="21"/>
    </w:rPr>
  </w:style>
  <w:style w:type="paragraph" w:styleId="10">
    <w:name w:val="Body Text"/>
    <w:basedOn w:val="1"/>
    <w:next w:val="11"/>
    <w:link w:val="37"/>
    <w:semiHidden/>
    <w:unhideWhenUsed/>
    <w:qFormat/>
    <w:uiPriority w:val="99"/>
    <w:pPr>
      <w:spacing w:after="120"/>
    </w:pPr>
    <w:rPr>
      <w:rFonts w:asciiTheme="minorHAnsi" w:hAnsiTheme="minorHAnsi" w:eastAsiaTheme="minorEastAsia" w:cstheme="minorBidi"/>
      <w:szCs w:val="24"/>
    </w:rPr>
  </w:style>
  <w:style w:type="paragraph" w:styleId="11">
    <w:name w:val="Body Text 2"/>
    <w:basedOn w:val="1"/>
    <w:qFormat/>
    <w:uiPriority w:val="0"/>
    <w:pPr>
      <w:spacing w:line="360" w:lineRule="auto"/>
    </w:pPr>
    <w:rPr>
      <w:sz w:val="24"/>
    </w:rPr>
  </w:style>
  <w:style w:type="paragraph" w:styleId="12">
    <w:name w:val="Body Text Indent"/>
    <w:basedOn w:val="1"/>
    <w:qFormat/>
    <w:uiPriority w:val="0"/>
    <w:pPr>
      <w:spacing w:line="360" w:lineRule="auto"/>
      <w:ind w:firstLine="420" w:firstLineChars="200"/>
    </w:pPr>
  </w:style>
  <w:style w:type="paragraph" w:styleId="13">
    <w:name w:val="index 4"/>
    <w:basedOn w:val="1"/>
    <w:next w:val="1"/>
    <w:semiHidden/>
    <w:qFormat/>
    <w:uiPriority w:val="0"/>
    <w:pPr>
      <w:ind w:left="1260"/>
    </w:pPr>
  </w:style>
  <w:style w:type="paragraph" w:styleId="14">
    <w:name w:val="Balloon Text"/>
    <w:basedOn w:val="1"/>
    <w:link w:val="31"/>
    <w:semiHidden/>
    <w:unhideWhenUsed/>
    <w:qFormat/>
    <w:uiPriority w:val="99"/>
    <w:rPr>
      <w:sz w:val="18"/>
      <w:szCs w:val="18"/>
    </w:rPr>
  </w:style>
  <w:style w:type="paragraph" w:styleId="15">
    <w:name w:val="footer"/>
    <w:basedOn w:val="1"/>
    <w:link w:val="28"/>
    <w:unhideWhenUsed/>
    <w:qFormat/>
    <w:uiPriority w:val="0"/>
    <w:pPr>
      <w:tabs>
        <w:tab w:val="center" w:pos="4153"/>
        <w:tab w:val="right" w:pos="8306"/>
      </w:tabs>
      <w:snapToGrid w:val="0"/>
      <w:jc w:val="left"/>
    </w:pPr>
    <w:rPr>
      <w:sz w:val="18"/>
      <w:szCs w:val="18"/>
    </w:rPr>
  </w:style>
  <w:style w:type="paragraph" w:styleId="16">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99"/>
    <w:pPr>
      <w:spacing w:beforeAutospacing="1" w:afterAutospacing="1"/>
      <w:jc w:val="left"/>
    </w:pPr>
    <w:rPr>
      <w:kern w:val="0"/>
      <w:sz w:val="24"/>
    </w:rPr>
  </w:style>
  <w:style w:type="paragraph" w:styleId="18">
    <w:name w:val="annotation subject"/>
    <w:basedOn w:val="8"/>
    <w:next w:val="8"/>
    <w:link w:val="44"/>
    <w:semiHidden/>
    <w:unhideWhenUsed/>
    <w:qFormat/>
    <w:uiPriority w:val="99"/>
    <w:rPr>
      <w:b/>
      <w:bCs/>
    </w:rPr>
  </w:style>
  <w:style w:type="paragraph" w:styleId="19">
    <w:name w:val="Body Text First Indent 2"/>
    <w:basedOn w:val="12"/>
    <w:qFormat/>
    <w:uiPriority w:val="0"/>
    <w:rPr>
      <w:rFonts w:ascii="Calibri" w:hAnsi="Calibri"/>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unhideWhenUsed/>
    <w:qFormat/>
    <w:uiPriority w:val="99"/>
  </w:style>
  <w:style w:type="character" w:styleId="24">
    <w:name w:val="annotation reference"/>
    <w:qFormat/>
    <w:uiPriority w:val="0"/>
    <w:rPr>
      <w:sz w:val="21"/>
      <w:szCs w:val="21"/>
    </w:r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6">
    <w:name w:val="List Paragraph"/>
    <w:basedOn w:val="1"/>
    <w:link w:val="34"/>
    <w:qFormat/>
    <w:uiPriority w:val="34"/>
    <w:pPr>
      <w:ind w:firstLine="420" w:firstLineChars="200"/>
    </w:pPr>
  </w:style>
  <w:style w:type="character" w:customStyle="1" w:styleId="27">
    <w:name w:val="页眉 字符"/>
    <w:basedOn w:val="22"/>
    <w:link w:val="16"/>
    <w:qFormat/>
    <w:uiPriority w:val="99"/>
    <w:rPr>
      <w:sz w:val="18"/>
      <w:szCs w:val="18"/>
    </w:rPr>
  </w:style>
  <w:style w:type="character" w:customStyle="1" w:styleId="28">
    <w:name w:val="页脚 字符"/>
    <w:basedOn w:val="22"/>
    <w:link w:val="15"/>
    <w:qFormat/>
    <w:uiPriority w:val="99"/>
    <w:rPr>
      <w:sz w:val="18"/>
      <w:szCs w:val="18"/>
    </w:rPr>
  </w:style>
  <w:style w:type="character" w:customStyle="1" w:styleId="29">
    <w:name w:val="标题 1 字符"/>
    <w:basedOn w:val="22"/>
    <w:link w:val="2"/>
    <w:qFormat/>
    <w:uiPriority w:val="9"/>
    <w:rPr>
      <w:rFonts w:ascii="Times New Roman" w:hAnsi="Times New Roman" w:eastAsia="宋体" w:cs="Times New Roman"/>
      <w:b/>
      <w:kern w:val="44"/>
      <w:sz w:val="32"/>
      <w:szCs w:val="20"/>
    </w:rPr>
  </w:style>
  <w:style w:type="character" w:customStyle="1" w:styleId="30">
    <w:name w:val="批注文字 字符"/>
    <w:basedOn w:val="22"/>
    <w:link w:val="8"/>
    <w:qFormat/>
    <w:uiPriority w:val="99"/>
    <w:rPr>
      <w:rFonts w:ascii="Times New Roman" w:hAnsi="Times New Roman" w:eastAsia="宋体" w:cs="Times New Roman"/>
      <w:szCs w:val="20"/>
    </w:rPr>
  </w:style>
  <w:style w:type="character" w:customStyle="1" w:styleId="31">
    <w:name w:val="批注框文本 字符"/>
    <w:basedOn w:val="22"/>
    <w:link w:val="14"/>
    <w:semiHidden/>
    <w:qFormat/>
    <w:uiPriority w:val="99"/>
    <w:rPr>
      <w:rFonts w:ascii="Times New Roman" w:hAnsi="Times New Roman" w:eastAsia="宋体" w:cs="Times New Roman"/>
      <w:sz w:val="18"/>
      <w:szCs w:val="18"/>
    </w:rPr>
  </w:style>
  <w:style w:type="character" w:customStyle="1" w:styleId="32">
    <w:name w:val="标题 2 字符"/>
    <w:basedOn w:val="22"/>
    <w:link w:val="4"/>
    <w:qFormat/>
    <w:uiPriority w:val="0"/>
    <w:rPr>
      <w:rFonts w:ascii="Cambria" w:hAnsi="Cambria" w:eastAsia="宋体" w:cs="Times New Roman"/>
      <w:b/>
      <w:bCs/>
      <w:sz w:val="32"/>
      <w:szCs w:val="32"/>
    </w:rPr>
  </w:style>
  <w:style w:type="paragraph" w:customStyle="1" w:styleId="33">
    <w:name w:val="列出段落1"/>
    <w:basedOn w:val="1"/>
    <w:qFormat/>
    <w:uiPriority w:val="34"/>
    <w:pPr>
      <w:ind w:firstLine="420" w:firstLineChars="200"/>
    </w:pPr>
    <w:rPr>
      <w:sz w:val="24"/>
      <w:szCs w:val="24"/>
    </w:rPr>
  </w:style>
  <w:style w:type="character" w:customStyle="1" w:styleId="34">
    <w:name w:val="列表段落 字符"/>
    <w:link w:val="26"/>
    <w:qFormat/>
    <w:uiPriority w:val="34"/>
    <w:rPr>
      <w:rFonts w:ascii="Times New Roman" w:hAnsi="Times New Roman" w:eastAsia="宋体" w:cs="Times New Roman"/>
      <w:szCs w:val="20"/>
    </w:rPr>
  </w:style>
  <w:style w:type="character" w:customStyle="1" w:styleId="35">
    <w:name w:val="标题 3 字符"/>
    <w:basedOn w:val="22"/>
    <w:link w:val="3"/>
    <w:qFormat/>
    <w:uiPriority w:val="9"/>
    <w:rPr>
      <w:rFonts w:ascii="Times New Roman" w:hAnsi="Times New Roman" w:eastAsia="宋体" w:cs="Times New Roman"/>
      <w:b/>
      <w:bCs/>
      <w:sz w:val="32"/>
      <w:szCs w:val="32"/>
    </w:rPr>
  </w:style>
  <w:style w:type="character" w:customStyle="1" w:styleId="36">
    <w:name w:val="标题 4 字符"/>
    <w:basedOn w:val="22"/>
    <w:link w:val="5"/>
    <w:semiHidden/>
    <w:qFormat/>
    <w:uiPriority w:val="9"/>
    <w:rPr>
      <w:rFonts w:asciiTheme="majorHAnsi" w:hAnsiTheme="majorHAnsi" w:eastAsiaTheme="majorEastAsia" w:cstheme="majorBidi"/>
      <w:b/>
      <w:bCs/>
      <w:kern w:val="2"/>
      <w:sz w:val="28"/>
      <w:szCs w:val="28"/>
    </w:rPr>
  </w:style>
  <w:style w:type="character" w:customStyle="1" w:styleId="37">
    <w:name w:val="正文文本 字符"/>
    <w:basedOn w:val="22"/>
    <w:link w:val="10"/>
    <w:semiHidden/>
    <w:qFormat/>
    <w:uiPriority w:val="99"/>
    <w:rPr>
      <w:rFonts w:asciiTheme="minorHAnsi" w:hAnsiTheme="minorHAnsi" w:eastAsiaTheme="minorEastAsia" w:cstheme="minorBidi"/>
      <w:kern w:val="2"/>
      <w:sz w:val="21"/>
      <w:szCs w:val="24"/>
    </w:rPr>
  </w:style>
  <w:style w:type="paragraph" w:customStyle="1" w:styleId="38">
    <w:name w:val="标题1"/>
    <w:basedOn w:val="1"/>
    <w:qFormat/>
    <w:uiPriority w:val="0"/>
    <w:pPr>
      <w:widowControl/>
      <w:spacing w:line="360" w:lineRule="auto"/>
      <w:jc w:val="center"/>
    </w:pPr>
    <w:rPr>
      <w:rFonts w:ascii="黑体" w:eastAsia="黑体"/>
      <w:b/>
      <w:kern w:val="0"/>
      <w:sz w:val="44"/>
    </w:rPr>
  </w:style>
  <w:style w:type="paragraph" w:customStyle="1" w:styleId="39">
    <w:name w:val="列出段落2"/>
    <w:basedOn w:val="1"/>
    <w:qFormat/>
    <w:uiPriority w:val="34"/>
    <w:pPr>
      <w:ind w:firstLine="420" w:firstLineChars="200"/>
    </w:pPr>
    <w:rPr>
      <w:rFonts w:ascii="等线" w:hAnsi="等线" w:eastAsia="等线"/>
      <w:szCs w:val="22"/>
    </w:rPr>
  </w:style>
  <w:style w:type="paragraph" w:customStyle="1" w:styleId="40">
    <w:name w:val="表格文字"/>
    <w:basedOn w:val="1"/>
    <w:qFormat/>
    <w:uiPriority w:val="0"/>
    <w:pPr>
      <w:spacing w:before="25" w:after="25"/>
      <w:jc w:val="left"/>
    </w:pPr>
    <w:rPr>
      <w:bCs/>
      <w:spacing w:val="10"/>
      <w:kern w:val="0"/>
      <w:sz w:val="24"/>
    </w:rPr>
  </w:style>
  <w:style w:type="paragraph" w:customStyle="1" w:styleId="41">
    <w:name w:val="Table Text"/>
    <w:basedOn w:val="1"/>
    <w:semiHidden/>
    <w:qFormat/>
    <w:uiPriority w:val="0"/>
    <w:rPr>
      <w:rFonts w:ascii="宋体" w:hAnsi="宋体" w:cs="宋体"/>
      <w:sz w:val="20"/>
      <w:lang w:eastAsia="en-US"/>
    </w:rPr>
  </w:style>
  <w:style w:type="paragraph" w:styleId="42">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4">
    <w:name w:val="批注主题 字符"/>
    <w:basedOn w:val="30"/>
    <w:link w:val="18"/>
    <w:semiHidden/>
    <w:qFormat/>
    <w:uiPriority w:val="99"/>
    <w:rPr>
      <w:rFonts w:ascii="Times New Roman" w:hAnsi="Times New Roman" w:eastAsia="宋体" w:cs="Times New Roman"/>
      <w:b/>
      <w:bCs/>
      <w:kern w:val="2"/>
      <w:sz w:val="21"/>
      <w:szCs w:val="20"/>
    </w:rPr>
  </w:style>
  <w:style w:type="paragraph" w:customStyle="1" w:styleId="45">
    <w:name w:val="Table Paragraph"/>
    <w:basedOn w:val="1"/>
    <w:qFormat/>
    <w:uiPriority w:val="1"/>
    <w:rPr>
      <w:rFonts w:ascii="宋体" w:hAnsi="宋体" w:cs="宋体"/>
      <w:lang w:val="zh-CN" w:bidi="zh-CN"/>
    </w:rPr>
  </w:style>
  <w:style w:type="paragraph" w:customStyle="1" w:styleId="46">
    <w:name w:val="Revision"/>
    <w:hidden/>
    <w:unhideWhenUsed/>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HaoXiTong.Com</Company>
  <Pages>11</Pages>
  <Words>6350</Words>
  <Characters>6610</Characters>
  <Lines>274</Lines>
  <Paragraphs>276</Paragraphs>
  <TotalTime>6</TotalTime>
  <ScaleCrop>false</ScaleCrop>
  <LinksUpToDate>false</LinksUpToDate>
  <CharactersWithSpaces>6659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2019-04-08T03:41:00Z</dcterms:created>
  <dc:creator>PC</dc:creator>
  <cp:lastModifiedBy>如意</cp:lastModifiedBy>
  <dcterms:modified xsi:type="dcterms:W3CDTF">2026-07-29T01:27:15Z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eyJoZGlkIjoiODg4YmUyZjVkMTRhYjZhNTA5MTQ0YjE5NThhODEwNjUiLCJ1c2VySWQiOiIxMDE4NjkxMTQ2In0=</vt:lpwstr>
  </property>
  <property fmtid="{D5CDD505-2E9C-101B-9397-08002B2CF9AE}" pid="4" name="ICV">
    <vt:lpwstr>CF2C5A66BB154915ACB286ABF0D27F26_13</vt:lpwstr>
  </property>
</Properties>
</file>