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17FFE">
      <w:pPr>
        <w:pStyle w:val="2"/>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湾东业务规划与产业研究服务-需求说明书</w:t>
      </w:r>
    </w:p>
    <w:p w14:paraId="56D13F75">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rPr>
      </w:pPr>
      <w:bookmarkStart w:id="0" w:name="OLE_LINK2"/>
      <w:r>
        <w:rPr>
          <w:rFonts w:hint="default" w:ascii="Times New Roman" w:hAnsi="Times New Roman" w:eastAsia="黑体" w:cs="Times New Roman"/>
          <w:sz w:val="32"/>
          <w:szCs w:val="32"/>
        </w:rPr>
        <w:t>项目背景</w:t>
      </w:r>
    </w:p>
    <w:p w14:paraId="5AB2F76C">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算力是龙岗区争创人工智能全域全时应用示范区的核心基础设施和战略资源。为助力公司智算业务规范化、专业化、可持续发展，系统提升算力业务规划、建设、运营与产业赋能能力，我司拟采购</w:t>
      </w:r>
      <w:r>
        <w:rPr>
          <w:rFonts w:hint="eastAsia" w:ascii="仿宋_GB2312" w:hAnsi="仿宋_GB2312" w:eastAsia="仿宋_GB2312" w:cs="仿宋_GB2312"/>
          <w:sz w:val="32"/>
          <w:szCs w:val="32"/>
          <w:lang w:val="en-US" w:eastAsia="zh-CN"/>
        </w:rPr>
        <w:t>湾东</w:t>
      </w:r>
      <w:r>
        <w:rPr>
          <w:rFonts w:hint="default" w:ascii="Times New Roman" w:hAnsi="Times New Roman" w:eastAsia="仿宋_GB2312" w:cs="Times New Roman"/>
          <w:sz w:val="32"/>
          <w:szCs w:val="32"/>
          <w:lang w:val="en-US" w:eastAsia="zh-CN"/>
        </w:rPr>
        <w:t>业务规划与产业研究服务</w:t>
      </w:r>
      <w:r>
        <w:rPr>
          <w:rFonts w:hint="eastAsia" w:ascii="仿宋_GB2312" w:hAnsi="仿宋_GB2312" w:eastAsia="仿宋_GB2312" w:cs="仿宋_GB2312"/>
          <w:sz w:val="32"/>
          <w:szCs w:val="32"/>
          <w:lang w:eastAsia="zh-CN"/>
        </w:rPr>
        <w:t>。本次采购服务内容包含“年度算力咨询顾问服务”与“算力战略及产业课题研究”两个部分，通过专业调研、专</w:t>
      </w:r>
      <w:bookmarkStart w:id="2" w:name="_GoBack"/>
      <w:bookmarkEnd w:id="2"/>
      <w:r>
        <w:rPr>
          <w:rFonts w:hint="eastAsia" w:ascii="仿宋_GB2312" w:hAnsi="仿宋_GB2312" w:eastAsia="仿宋_GB2312" w:cs="仿宋_GB2312"/>
          <w:sz w:val="32"/>
          <w:szCs w:val="32"/>
          <w:lang w:eastAsia="zh-CN"/>
        </w:rPr>
        <w:t>题研究、流程梳理、项目评估等咨询服务，为我司算力业务布局、项目建设、产业赋能、市场化运营提供专业、科学、可落地的决策依据与实施指导，全方位支撑我司智算业务高质量、可持续发展。</w:t>
      </w:r>
    </w:p>
    <w:p w14:paraId="619910F8">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服务内容</w:t>
      </w:r>
    </w:p>
    <w:p w14:paraId="21D52B80">
      <w:pPr>
        <w:pStyle w:val="3"/>
        <w:pageBreakBefore w:val="0"/>
        <w:widowControl w:val="0"/>
        <w:kinsoku/>
        <w:wordWrap/>
        <w:overflowPunct/>
        <w:topLinePunct w:val="0"/>
        <w:autoSpaceDE/>
        <w:autoSpaceDN/>
        <w:bidi w:val="0"/>
        <w:adjustRightInd/>
        <w:snapToGrid/>
        <w:spacing w:line="560" w:lineRule="exact"/>
        <w:ind w:left="1280" w:leftChars="0" w:firstLineChars="0"/>
        <w:textAlignment w:val="auto"/>
        <w:rPr>
          <w:rFonts w:hint="eastAsia" w:ascii="方正楷体_GB2312" w:hAnsi="方正楷体_GB2312" w:eastAsia="方正楷体_GB2312" w:cs="方正楷体_GB2312"/>
          <w:b/>
          <w:bCs w:val="0"/>
          <w:sz w:val="32"/>
          <w:szCs w:val="32"/>
        </w:rPr>
      </w:pPr>
      <w:r>
        <w:rPr>
          <w:rFonts w:hint="eastAsia" w:ascii="方正楷体_GB2312" w:hAnsi="方正楷体_GB2312" w:eastAsia="方正楷体_GB2312" w:cs="方正楷体_GB2312"/>
          <w:b/>
          <w:bCs w:val="0"/>
          <w:sz w:val="32"/>
          <w:szCs w:val="32"/>
        </w:rPr>
        <w:t>年度算力咨询顾问服务</w:t>
      </w:r>
    </w:p>
    <w:p w14:paraId="288F5438">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在服务周期内，为采购人提供不限次数的算力领域日常咨询顾问服务，包括政策咨询、技术咨询、行业动态跟踪等。</w:t>
      </w:r>
    </w:p>
    <w:p w14:paraId="6879BE01">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政策咨询。针对国家、广东省、深圳市及龙岗区出台的算力相关产业政策、发展规划、资金扶持政策等，提供政策解读、影响分析和应对建议。包括但不限于：算力基础设施高质量发展政策、“东数西算”工程相关政策、人工智能产业发展政策、算力券/训力券政策、绿色算力政策等。</w:t>
      </w:r>
    </w:p>
    <w:p w14:paraId="63BF8C0C">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技术咨询：针对算力领域的技术路线选择、架构设计、设备选型、技术趋势研判等问题提供专业咨询意见。包括但不限于：智算集群建设技术方案、GPU选型与配置、算力调度与运维、算力网络、存储架构等技术问题。</w:t>
      </w:r>
    </w:p>
    <w:p w14:paraId="3E6954A7">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行业动态跟踪：定期向采购人提供算力行业动态信息，包括市场格局变化、竞争对手动态、新技术突破、典型项目案例等。</w:t>
      </w:r>
    </w:p>
    <w:p w14:paraId="059C6C83">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项目相关咨询：针对采购人具体算力项目的推进过程中遇到的政策、技术、管理等问题提供即时咨询支持。</w:t>
      </w:r>
    </w:p>
    <w:p w14:paraId="1397127D">
      <w:pPr>
        <w:pStyle w:val="3"/>
        <w:pageBreakBefore w:val="0"/>
        <w:widowControl w:val="0"/>
        <w:kinsoku/>
        <w:wordWrap/>
        <w:overflowPunct/>
        <w:topLinePunct w:val="0"/>
        <w:autoSpaceDE/>
        <w:autoSpaceDN/>
        <w:bidi w:val="0"/>
        <w:adjustRightInd/>
        <w:snapToGrid/>
        <w:spacing w:line="560" w:lineRule="exact"/>
        <w:ind w:left="1280" w:leftChars="0" w:firstLineChars="0"/>
        <w:textAlignment w:val="auto"/>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t>算力战略与产业课题研究</w:t>
      </w:r>
    </w:p>
    <w:p w14:paraId="52E2BE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围绕采购人算力业务发展需要，开展10个专题课题研究，其中5个课题已明确，5个课题待后续确定。</w:t>
      </w:r>
    </w:p>
    <w:p w14:paraId="6B1251E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算力业务规划</w:t>
      </w:r>
    </w:p>
    <w:p w14:paraId="20CE92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结合行业发展趋势、区域产业需求及集团发展战略，全面梳理我司算力业务发展现状、资源优势与现存短板。制定中长期算力业务建设整体规划，明确算力基础设施建设布局、业务发展方向、阶段性建设目标等，形成算力业务规划报告，指导集团算力业务规范化落地、常态化运营。</w:t>
      </w:r>
    </w:p>
    <w:p w14:paraId="57347CE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40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深喀算力飞地专题研究</w:t>
      </w:r>
    </w:p>
    <w:p w14:paraId="0E391D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针对深圳、喀什算力飞地协同建设模式开展专项深度研究。调研深喀两地算力资源、政策支持体系、产业配套能力、区位优势及发展痛点，分析跨区域算力飞地建设的可行性、适配场景与核心价值。研究制定深喀算力飞地建设路径、两地协同机制及落地保障措施，梳理项目建设潜在风险并提出应对策略，形成专项研究报告，为深喀算力飞地项目落地、跨区域算力协同发展提供专业支撑。</w:t>
      </w:r>
    </w:p>
    <w:p w14:paraId="11A2F04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40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算力出海专题研究</w:t>
      </w:r>
    </w:p>
    <w:p w14:paraId="48DC96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聚焦国内算力出海发展赛道，开展专题调研与深度研究。梳理算力产业发展格局、海外算力市场政策法规、行业准入标准、市场需求，分析国内算力出海的政策机遇、资源优势与核心壁垒。结合国内现有算力出海模式（如来数加工），研究城投集团算力出海的模式、落地路径、合作渠道、合规体系，形成算力出海研究报告，为公司算力出海实施路径提供指导依据。</w:t>
      </w:r>
    </w:p>
    <w:p w14:paraId="6750844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40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算电协同专题研究</w:t>
      </w:r>
    </w:p>
    <w:p w14:paraId="637141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围绕算力与电力协同发展核心方向，开展专项研究。调研算电协同行业发展现状、技术体系、政策导向，分析算力中心用电特性、电力供需匹配关系、新能源与算力融合应用场景。研究算电协同的建设模式、实施路径、绿电适配体系及市场化协同机制，形成算电协同专项研究方案。</w:t>
      </w:r>
    </w:p>
    <w:p w14:paraId="7FA6D8A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40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算力中期评估</w:t>
      </w:r>
    </w:p>
    <w:p w14:paraId="611ADB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针对城投集团已经建成的7200P算力，开展建设中期全面评估工作。对照项目立项可行性研究报告、建设目标、进度计划、预算方案及行业标准，全面核查项目阶段性建设进度、工程质量、资金使用情况、资源落地情况。梳理项目建设过程中的亮点成效、现存问题、进度偏差，分析问题产生的核心原因。结合行业标准与项目整体目标，提出针对性的优化建议、进度提升措施、资源优化配置建议，形成中期评估报告，保障项目后续建设有序推进、如期达标落地。</w:t>
      </w:r>
    </w:p>
    <w:p w14:paraId="40DBAA6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400"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项课题</w:t>
      </w:r>
    </w:p>
    <w:p w14:paraId="2A0ACE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个课题暂不限定具体方向，统一归类为“</w:t>
      </w:r>
      <w:r>
        <w:rPr>
          <w:rFonts w:hint="eastAsia" w:ascii="Times New Roman" w:hAnsi="Times New Roman" w:eastAsia="仿宋_GB2312" w:cs="Times New Roman"/>
          <w:sz w:val="32"/>
          <w:szCs w:val="32"/>
          <w:lang w:val="en-US" w:eastAsia="zh-CN"/>
        </w:rPr>
        <w:t>其他</w:t>
      </w:r>
      <w:r>
        <w:rPr>
          <w:rFonts w:hint="default" w:ascii="Times New Roman" w:hAnsi="Times New Roman" w:eastAsia="仿宋_GB2312" w:cs="Times New Roman"/>
          <w:sz w:val="32"/>
          <w:szCs w:val="32"/>
          <w:lang w:eastAsia="zh-CN"/>
        </w:rPr>
        <w:t>算力专题研究课题”，课题方向可在以下范围内由采购人与供应商协商确定：</w:t>
      </w:r>
    </w:p>
    <w:p w14:paraId="0A9823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sz w:val="32"/>
          <w:szCs w:val="32"/>
          <w:lang w:eastAsia="zh-CN"/>
        </w:rPr>
        <w:t>算力产业区域发展战略研究；</w:t>
      </w:r>
    </w:p>
    <w:p w14:paraId="1A7830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sz w:val="32"/>
          <w:szCs w:val="32"/>
          <w:lang w:eastAsia="zh-CN"/>
        </w:rPr>
        <w:t>算力产业投融资模式研究；</w:t>
      </w:r>
    </w:p>
    <w:p w14:paraId="36A9CE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sz w:val="32"/>
          <w:szCs w:val="32"/>
          <w:lang w:eastAsia="zh-CN"/>
        </w:rPr>
        <w:t>算力产业人才发展研究；</w:t>
      </w:r>
    </w:p>
    <w:p w14:paraId="159C69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sz w:val="32"/>
          <w:szCs w:val="32"/>
          <w:lang w:eastAsia="zh-CN"/>
        </w:rPr>
        <w:t>算力标准体系与合规研究；</w:t>
      </w:r>
    </w:p>
    <w:p w14:paraId="6860C3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sz w:val="32"/>
          <w:szCs w:val="32"/>
          <w:lang w:eastAsia="zh-CN"/>
        </w:rPr>
        <w:t>特定行业算力应用场景研究；</w:t>
      </w:r>
    </w:p>
    <w:p w14:paraId="166D8F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sz w:val="32"/>
          <w:szCs w:val="32"/>
          <w:lang w:eastAsia="zh-CN"/>
        </w:rPr>
        <w:t>算力基础设施绿色低碳发展研究；</w:t>
      </w:r>
    </w:p>
    <w:p w14:paraId="3255BA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sz w:val="32"/>
          <w:szCs w:val="32"/>
          <w:lang w:eastAsia="zh-CN"/>
        </w:rPr>
        <w:t>算力资产管理与运营优化研究；</w:t>
      </w:r>
    </w:p>
    <w:p w14:paraId="1B45FD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sz w:val="32"/>
          <w:szCs w:val="32"/>
          <w:lang w:eastAsia="zh-CN"/>
        </w:rPr>
        <w:t>其他经双方协商确定的算力相关课题。</w:t>
      </w:r>
    </w:p>
    <w:bookmarkEnd w:id="0"/>
    <w:p w14:paraId="2596FB8D">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服务周期</w:t>
      </w:r>
    </w:p>
    <w:p w14:paraId="64DCE9C4">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自合同签订起12个月。</w:t>
      </w:r>
    </w:p>
    <w:p w14:paraId="6FE2273D">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服务成果</w:t>
      </w:r>
    </w:p>
    <w:p w14:paraId="57E4AD41">
      <w:pPr>
        <w:pStyle w:val="3"/>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2312" w:cs="Times New Roman"/>
          <w:sz w:val="32"/>
          <w:szCs w:val="32"/>
        </w:rPr>
      </w:pPr>
      <w:r>
        <w:rPr>
          <w:rFonts w:hint="eastAsia" w:ascii="Times New Roman" w:hAnsi="Times New Roman" w:cs="Times New Roman"/>
          <w:b/>
          <w:bCs w:val="0"/>
          <w:sz w:val="32"/>
          <w:szCs w:val="32"/>
          <w:lang w:eastAsia="zh-CN"/>
        </w:rPr>
        <w:t>（一）</w:t>
      </w:r>
      <w:r>
        <w:rPr>
          <w:rFonts w:hint="default" w:ascii="Times New Roman" w:hAnsi="Times New Roman" w:eastAsia="方正楷体_GB2312" w:cs="Times New Roman"/>
          <w:b/>
          <w:bCs w:val="0"/>
          <w:sz w:val="32"/>
          <w:szCs w:val="32"/>
        </w:rPr>
        <w:t>年度算力咨询</w:t>
      </w:r>
      <w:r>
        <w:rPr>
          <w:rFonts w:hint="default" w:ascii="Times New Roman" w:hAnsi="Times New Roman" w:eastAsia="方正楷体_GB2312" w:cs="Times New Roman"/>
          <w:sz w:val="32"/>
          <w:szCs w:val="32"/>
        </w:rPr>
        <w:t>顾问服务成果</w:t>
      </w:r>
    </w:p>
    <w:p w14:paraId="2A40981B">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本年度顾问服务成果包括但不限于以下内容：</w:t>
      </w:r>
    </w:p>
    <w:p w14:paraId="7901F2CB">
      <w:pPr>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政策、技术、行业动态等咨询应答记录与书面意见（WORD/PDF，份数视咨询情况实际提供）</w:t>
      </w:r>
      <w:r>
        <w:rPr>
          <w:rFonts w:hint="eastAsia" w:ascii="Times New Roman" w:hAnsi="Times New Roman" w:eastAsia="仿宋_GB2312" w:cs="Times New Roman"/>
          <w:sz w:val="32"/>
          <w:szCs w:val="32"/>
          <w:lang w:eastAsia="zh-CN"/>
        </w:rPr>
        <w:t>。</w:t>
      </w:r>
    </w:p>
    <w:p w14:paraId="36FC3C41">
      <w:pPr>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算力咨询年度报告（WORD/PDF，1份），报告需总结服务期内的相关咨询情况。</w:t>
      </w:r>
    </w:p>
    <w:p w14:paraId="5741584C">
      <w:pPr>
        <w:pStyle w:val="3"/>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2312" w:cs="Times New Roman"/>
          <w:b/>
          <w:bCs w:val="0"/>
          <w:sz w:val="32"/>
          <w:szCs w:val="32"/>
        </w:rPr>
      </w:pPr>
      <w:r>
        <w:rPr>
          <w:rFonts w:hint="eastAsia" w:ascii="Times New Roman" w:hAnsi="Times New Roman" w:cs="Times New Roman"/>
          <w:b/>
          <w:bCs w:val="0"/>
          <w:sz w:val="32"/>
          <w:szCs w:val="32"/>
          <w:lang w:eastAsia="zh-CN"/>
        </w:rPr>
        <w:t>（二）</w:t>
      </w:r>
      <w:r>
        <w:rPr>
          <w:rFonts w:hint="default" w:ascii="Times New Roman" w:hAnsi="Times New Roman" w:eastAsia="方正楷体_GB2312" w:cs="Times New Roman"/>
          <w:b/>
          <w:bCs w:val="0"/>
          <w:sz w:val="32"/>
          <w:szCs w:val="32"/>
        </w:rPr>
        <w:t>算力战略与产业课题研究成果</w:t>
      </w:r>
    </w:p>
    <w:p w14:paraId="665A7D44">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算力战略与产业课题研究成果包括但不限于以下内容：</w:t>
      </w:r>
    </w:p>
    <w:p w14:paraId="1EF9796D">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bookmarkStart w:id="1" w:name="OLE_LINK1"/>
      <w:r>
        <w:rPr>
          <w:rFonts w:hint="default" w:ascii="Times New Roman" w:hAnsi="Times New Roman" w:eastAsia="仿宋_GB2312" w:cs="Times New Roman"/>
          <w:sz w:val="32"/>
          <w:szCs w:val="32"/>
          <w:lang w:eastAsia="zh-CN"/>
        </w:rPr>
        <w:t>算力业务建设运营规划报告</w:t>
      </w:r>
      <w:bookmarkEnd w:id="1"/>
      <w:r>
        <w:rPr>
          <w:rFonts w:hint="default" w:ascii="Times New Roman" w:hAnsi="Times New Roman" w:eastAsia="仿宋_GB2312" w:cs="Times New Roman"/>
          <w:sz w:val="32"/>
          <w:szCs w:val="32"/>
          <w:lang w:eastAsia="zh-CN"/>
        </w:rPr>
        <w:t>（WORD/PDF，份数视专业和复杂程度按需提供），报告需满足服务内容相关要求。</w:t>
      </w:r>
    </w:p>
    <w:p w14:paraId="7BC1EAC9">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深喀算力飞地专题研究报告（WORD/PDF，份数视专业和复杂程度按需提供），报告需满足服务内容相关要求。</w:t>
      </w:r>
    </w:p>
    <w:p w14:paraId="01ED3B13">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算力出海专题研究报告（WORD/PDF，份数视专业和复杂程度按需提供），报告需满足服务内容相关要求。</w:t>
      </w:r>
    </w:p>
    <w:p w14:paraId="29C5E591">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算电协同专题研究报告（WORD/PDF，份数视专业和复杂程度按需提供），报告需满足服务内容相关要求。</w:t>
      </w:r>
    </w:p>
    <w:p w14:paraId="3D76160B">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算力项目建设中期评估报告（WORD/PDF，份数视专业和复杂程度按需提供），报告需满足服务内容相关要求。</w:t>
      </w:r>
    </w:p>
    <w:p w14:paraId="463125BE">
      <w:pPr>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其他</w:t>
      </w:r>
      <w:r>
        <w:rPr>
          <w:rFonts w:hint="default" w:ascii="Times New Roman" w:hAnsi="Times New Roman" w:eastAsia="仿宋_GB2312" w:cs="Times New Roman"/>
          <w:sz w:val="32"/>
          <w:szCs w:val="32"/>
          <w:lang w:eastAsia="zh-CN"/>
        </w:rPr>
        <w:t>算力专题研究课题报告（WORD/PDF，不少于5份），报告需满足服务内容相关要求。</w:t>
      </w:r>
    </w:p>
    <w:p w14:paraId="29EA92D3">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项目验收</w:t>
      </w:r>
    </w:p>
    <w:p w14:paraId="146258EB">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算力战略与产业课题研究</w:t>
      </w:r>
      <w:r>
        <w:rPr>
          <w:rFonts w:hint="default" w:ascii="Times New Roman" w:hAnsi="Times New Roman" w:eastAsia="仿宋_GB2312" w:cs="Times New Roman"/>
          <w:sz w:val="32"/>
          <w:szCs w:val="32"/>
          <w:lang w:val="en-US" w:eastAsia="zh-CN"/>
        </w:rPr>
        <w:t>成果需通过专家评审，按照实际情况分批验收。</w:t>
      </w:r>
    </w:p>
    <w:p w14:paraId="0B3E6FFA">
      <w:pPr>
        <w:pStyle w:val="2"/>
        <w:pageBreakBefore w:val="0"/>
        <w:widowControl w:val="0"/>
        <w:numPr>
          <w:ilvl w:val="0"/>
          <w:numId w:val="2"/>
        </w:numPr>
        <w:kinsoku/>
        <w:wordWrap/>
        <w:overflowPunct/>
        <w:topLinePunct w:val="0"/>
        <w:autoSpaceDE/>
        <w:autoSpaceDN/>
        <w:bidi w:val="0"/>
        <w:adjustRightInd/>
        <w:snapToGrid/>
        <w:spacing w:before="0" w:after="0" w:line="560" w:lineRule="exact"/>
        <w:ind w:firstLine="562"/>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服务要求</w:t>
      </w:r>
    </w:p>
    <w:p w14:paraId="04250AA4">
      <w:pPr>
        <w:pStyle w:val="3"/>
        <w:pageBreakBefore w:val="0"/>
        <w:widowControl w:val="0"/>
        <w:numPr>
          <w:ilvl w:val="0"/>
          <w:numId w:val="7"/>
        </w:numPr>
        <w:kinsoku/>
        <w:wordWrap/>
        <w:overflowPunct/>
        <w:topLinePunct w:val="0"/>
        <w:autoSpaceDE/>
        <w:autoSpaceDN/>
        <w:bidi w:val="0"/>
        <w:adjustRightInd/>
        <w:snapToGrid/>
        <w:spacing w:line="560" w:lineRule="exact"/>
        <w:ind w:left="1280" w:leftChars="0" w:firstLineChars="0"/>
        <w:textAlignment w:val="auto"/>
        <w:rPr>
          <w:rFonts w:hint="default" w:ascii="Times New Roman" w:hAnsi="Times New Roman" w:eastAsia="方正楷体_GB2312" w:cs="Times New Roman"/>
          <w:sz w:val="32"/>
          <w:szCs w:val="32"/>
          <w:lang w:val="en-US" w:eastAsia="zh-CN"/>
        </w:rPr>
      </w:pPr>
      <w:r>
        <w:rPr>
          <w:rFonts w:hint="default" w:ascii="Times New Roman" w:hAnsi="Times New Roman" w:eastAsia="方正楷体_GB2312" w:cs="Times New Roman"/>
          <w:sz w:val="32"/>
          <w:szCs w:val="32"/>
          <w:lang w:val="en-US" w:eastAsia="zh-CN"/>
        </w:rPr>
        <w:t>咨询服务工作原则</w:t>
      </w:r>
    </w:p>
    <w:p w14:paraId="61FEF600">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咨询服务团队须遵循独立、科学、专业、公正等四个原则，运用技术功底、业务理解、项目管理和法律法规等多方面的知识和经验，提供技术支持服务。</w:t>
      </w:r>
    </w:p>
    <w:p w14:paraId="6E3DAAA6">
      <w:pPr>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独立性</w:t>
      </w:r>
    </w:p>
    <w:p w14:paraId="290BB73A">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独立是指咨询服务团队应具有相对独立的地位，不受其他方面偏好、意图的干扰，能够独立自主地执业，对完成的工作成果担责。团队的独立性，是其工作的基础，是坚持客观、公正立场的前提条件。</w:t>
      </w:r>
    </w:p>
    <w:p w14:paraId="22543A95">
      <w:pPr>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科学性</w:t>
      </w:r>
    </w:p>
    <w:p w14:paraId="0130E763">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科学是指工作成果的依据、方法和过程应具有科学性。本次咨询服务，要求咨询人员实事求是，了解并反映项目客观、真实的情况，据实记录，据理论证，不弄虚作假；要求咨询人员符合科学的工作程序、咨询标准和行为规范，不违背客观规律；要求咨询方体现科学发展观，运用科学的理论、方法、知识和技术，使咨询成果经得住时间和历史的检验。</w:t>
      </w:r>
    </w:p>
    <w:p w14:paraId="3AA7ABC4">
      <w:pPr>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专业性</w:t>
      </w:r>
    </w:p>
    <w:p w14:paraId="3159149F">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服务商需具备丰富的智算中心建设、算力产业研究、AI产业赋能相关咨询经验，熟悉行业政策、技术标准与市场模式。</w:t>
      </w:r>
    </w:p>
    <w:p w14:paraId="76A04DB7">
      <w:pPr>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公正性</w:t>
      </w:r>
    </w:p>
    <w:p w14:paraId="688FE90C">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公正是指在本次咨询工作中，应坚持原则，坚持公正立场。当招标人的想法和意见存在客观不足时，咨询团队应敢于提出不同意见，或在授权范围内进行协调或裁决，支持意见正确的另一方。</w:t>
      </w:r>
    </w:p>
    <w:p w14:paraId="7C1CE03A">
      <w:pPr>
        <w:pStyle w:val="3"/>
        <w:pageBreakBefore w:val="0"/>
        <w:widowControl w:val="0"/>
        <w:numPr>
          <w:ilvl w:val="0"/>
          <w:numId w:val="7"/>
        </w:numPr>
        <w:kinsoku/>
        <w:wordWrap/>
        <w:overflowPunct/>
        <w:topLinePunct w:val="0"/>
        <w:autoSpaceDE/>
        <w:autoSpaceDN/>
        <w:bidi w:val="0"/>
        <w:adjustRightInd/>
        <w:snapToGrid/>
        <w:spacing w:line="560" w:lineRule="exact"/>
        <w:ind w:left="1280" w:leftChars="0" w:firstLineChars="0"/>
        <w:textAlignment w:val="auto"/>
        <w:rPr>
          <w:rFonts w:hint="default" w:ascii="Times New Roman" w:hAnsi="Times New Roman" w:eastAsia="方正楷体_GB2312" w:cs="Times New Roman"/>
          <w:sz w:val="32"/>
          <w:szCs w:val="32"/>
          <w:lang w:val="en-US" w:eastAsia="zh-CN"/>
        </w:rPr>
      </w:pPr>
      <w:r>
        <w:rPr>
          <w:rFonts w:hint="default" w:ascii="Times New Roman" w:hAnsi="Times New Roman" w:eastAsia="方正楷体_GB2312" w:cs="Times New Roman"/>
          <w:sz w:val="32"/>
          <w:szCs w:val="32"/>
          <w:lang w:val="en-US" w:eastAsia="zh-CN"/>
        </w:rPr>
        <w:t>咨询服务团队及人员要求</w:t>
      </w:r>
    </w:p>
    <w:p w14:paraId="687B7EB2">
      <w:pPr>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服务团队要求</w:t>
      </w:r>
    </w:p>
    <w:p w14:paraId="750399C3">
      <w:pPr>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投标人应成立项目管理咨询服务团队，除项目负责人外，团队应设置资深咨询顾问、高级咨询顾问、咨询顾问等角色（岗位），咨询服务团队固定人员不少于8名（含项目负责人），岗位分述如下：</w:t>
      </w:r>
    </w:p>
    <w:p w14:paraId="33C20485">
      <w:pPr>
        <w:pStyle w:val="17"/>
        <w:pageBreakBefore w:val="0"/>
        <w:widowControl w:val="0"/>
        <w:numPr>
          <w:ilvl w:val="0"/>
          <w:numId w:val="10"/>
        </w:numPr>
        <w:kinsoku/>
        <w:wordWrap/>
        <w:overflowPunct/>
        <w:topLinePunct w:val="0"/>
        <w:autoSpaceDE/>
        <w:autoSpaceDN/>
        <w:bidi w:val="0"/>
        <w:adjustRightInd/>
        <w:snapToGrid/>
        <w:spacing w:line="560" w:lineRule="exact"/>
        <w:ind w:left="0" w:firstLine="482"/>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资深咨询顾问</w:t>
      </w:r>
    </w:p>
    <w:p w14:paraId="327EE07E">
      <w:pPr>
        <w:pStyle w:val="17"/>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负责监督项目计划、文件和重要交付节点管理，评估项目潜在风险，确保良好沟通与协作，对咨询的重要文档质量把关，保证咨询服务项目顺利进行。为项目负责人提供方法指导和资源支持，指导和组织进行项目关键节点和重要里程碑的管理与保障，指导和检查项目交付文件的管理。</w:t>
      </w:r>
    </w:p>
    <w:p w14:paraId="52D606C1">
      <w:pPr>
        <w:pStyle w:val="17"/>
        <w:pageBreakBefore w:val="0"/>
        <w:widowControl w:val="0"/>
        <w:numPr>
          <w:ilvl w:val="0"/>
          <w:numId w:val="10"/>
        </w:numPr>
        <w:kinsoku/>
        <w:wordWrap/>
        <w:overflowPunct/>
        <w:topLinePunct w:val="0"/>
        <w:autoSpaceDE/>
        <w:autoSpaceDN/>
        <w:bidi w:val="0"/>
        <w:adjustRightInd/>
        <w:snapToGrid/>
        <w:spacing w:line="560" w:lineRule="exact"/>
        <w:ind w:left="0" w:firstLine="482"/>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高级咨询顾问</w:t>
      </w:r>
    </w:p>
    <w:p w14:paraId="6BCE0925">
      <w:pPr>
        <w:pStyle w:val="17"/>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具体负责组建咨询团队，对团队进行全面管理，主持进行项目工作分解与分工，组织团队针对任务制定项目计划和任务分解，开展项目进程管理、节点管理、总体统筹和质量控制，组织规划成果物的编制，进行各阶段的沟通协调与会议安排，组织阶段性沟通汇报。</w:t>
      </w:r>
    </w:p>
    <w:p w14:paraId="0E995641">
      <w:pPr>
        <w:pStyle w:val="17"/>
        <w:pageBreakBefore w:val="0"/>
        <w:widowControl w:val="0"/>
        <w:numPr>
          <w:ilvl w:val="0"/>
          <w:numId w:val="10"/>
        </w:numPr>
        <w:kinsoku/>
        <w:wordWrap/>
        <w:overflowPunct/>
        <w:topLinePunct w:val="0"/>
        <w:autoSpaceDE/>
        <w:autoSpaceDN/>
        <w:bidi w:val="0"/>
        <w:adjustRightInd/>
        <w:snapToGrid/>
        <w:spacing w:line="560" w:lineRule="exact"/>
        <w:ind w:left="0" w:firstLine="482"/>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咨询顾问</w:t>
      </w:r>
    </w:p>
    <w:p w14:paraId="7F2C6A69">
      <w:pPr>
        <w:pStyle w:val="17"/>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根据各个专题研究，组织进行相关报告、文档的编制，制订现场调研的计划和方案，并具体组织开展调研、访谈和研讨，对所承担的阶段性成果交付进行进程管理和质量控制。</w:t>
      </w:r>
    </w:p>
    <w:p w14:paraId="6F3F3FF9">
      <w:pPr>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现场服务人员要求</w:t>
      </w:r>
    </w:p>
    <w:p w14:paraId="4AA66411">
      <w:pPr>
        <w:pStyle w:val="5"/>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如招标人项目需要，投标人需要提供不少于2名技术骨干不定期现场技术服务，配合招标人开展相关服务工作；投标人安排的技术人员应具有智算、人工智能咨询经验。</w:t>
      </w:r>
    </w:p>
    <w:p w14:paraId="2046BA1B">
      <w:pPr>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响应时间要求</w:t>
      </w:r>
    </w:p>
    <w:p w14:paraId="18852C34">
      <w:pPr>
        <w:pStyle w:val="5"/>
        <w:pageBreakBefore w:val="0"/>
        <w:widowControl w:val="0"/>
        <w:numPr>
          <w:ilvl w:val="0"/>
          <w:numId w:val="11"/>
        </w:numPr>
        <w:kinsoku/>
        <w:wordWrap/>
        <w:overflowPunct/>
        <w:topLinePunct w:val="0"/>
        <w:autoSpaceDE/>
        <w:autoSpaceDN/>
        <w:bidi w:val="0"/>
        <w:adjustRightInd/>
        <w:snapToGrid/>
        <w:spacing w:line="560" w:lineRule="exact"/>
        <w:ind w:left="0" w:firstLine="482"/>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服务团队</w:t>
      </w:r>
    </w:p>
    <w:p w14:paraId="7A2A333E">
      <w:pPr>
        <w:pStyle w:val="5"/>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投标人需承诺提供5*8小时的咨询服务和技术业务咨询服务，并有专业的服务团队负责及时解决项目技术问题。</w:t>
      </w:r>
    </w:p>
    <w:p w14:paraId="195B21F8">
      <w:pPr>
        <w:pStyle w:val="5"/>
        <w:pageBreakBefore w:val="0"/>
        <w:widowControl w:val="0"/>
        <w:numPr>
          <w:ilvl w:val="0"/>
          <w:numId w:val="12"/>
        </w:numPr>
        <w:kinsoku/>
        <w:wordWrap/>
        <w:overflowPunct/>
        <w:topLinePunct w:val="0"/>
        <w:autoSpaceDE/>
        <w:autoSpaceDN/>
        <w:bidi w:val="0"/>
        <w:adjustRightInd/>
        <w:snapToGrid/>
        <w:spacing w:line="560" w:lineRule="exact"/>
        <w:ind w:left="0" w:firstLine="482"/>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现场服务人员</w:t>
      </w:r>
    </w:p>
    <w:p w14:paraId="0224E556">
      <w:pPr>
        <w:pStyle w:val="5"/>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如招标人项目需要，现场服务人员须5*8小时至招标人指定地点开展相关服务工作（参照招标人的安排并服从招标人的要求）。</w:t>
      </w:r>
    </w:p>
    <w:sectPr>
      <w:footerReference r:id="rId5" w:type="default"/>
      <w:pgSz w:w="11906" w:h="16838"/>
      <w:pgMar w:top="2041" w:right="1474" w:bottom="1984" w:left="1587" w:header="851" w:footer="1474"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A3BD52-F1BB-424E-84BD-7CB2255EB5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2" w:fontKey="{70F5A561-17DE-405D-A204-9F7417307788}"/>
  </w:font>
  <w:font w:name="方正小标宋简体">
    <w:panose1 w:val="02000000000000000000"/>
    <w:charset w:val="86"/>
    <w:family w:val="auto"/>
    <w:pitch w:val="default"/>
    <w:sig w:usb0="00000001" w:usb1="08000000" w:usb2="00000000" w:usb3="00000000" w:csb0="00040000" w:csb1="00000000"/>
    <w:embedRegular r:id="rId3" w:fontKey="{73CF6664-39D8-43BB-A079-EDCEE7B5FF27}"/>
  </w:font>
  <w:font w:name="CESI黑体-GB2312">
    <w:altName w:val="黑体"/>
    <w:panose1 w:val="02000500000000000000"/>
    <w:charset w:val="86"/>
    <w:family w:val="auto"/>
    <w:pitch w:val="default"/>
    <w:sig w:usb0="00000000" w:usb1="00000000" w:usb2="00000012" w:usb3="00000000" w:csb0="0004000F" w:csb1="00000000"/>
  </w:font>
  <w:font w:name="仿宋_GB2312">
    <w:panose1 w:val="02010609030101010101"/>
    <w:charset w:val="86"/>
    <w:family w:val="auto"/>
    <w:pitch w:val="default"/>
    <w:sig w:usb0="00000001" w:usb1="080E0000" w:usb2="00000000" w:usb3="00000000" w:csb0="00040000" w:csb1="00000000"/>
    <w:embedRegular r:id="rId4" w:fontKey="{3F9B5274-A0A2-4BA2-A4C1-85C2778F46D3}"/>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3F431">
    <w:pPr>
      <w:pStyle w:val="11"/>
      <w:ind w:firstLine="360"/>
    </w:pPr>
    <w:r>
      <mc:AlternateContent>
        <mc:Choice Requires="wps">
          <w:drawing>
            <wp:anchor distT="0" distB="0" distL="114300" distR="114300" simplePos="0" relativeHeight="251659264" behindDoc="0" locked="0" layoutInCell="1" allowOverlap="1">
              <wp:simplePos x="0" y="0"/>
              <wp:positionH relativeFrom="margin">
                <wp:posOffset>1940560</wp:posOffset>
              </wp:positionH>
              <wp:positionV relativeFrom="paragraph">
                <wp:posOffset>0</wp:posOffset>
              </wp:positionV>
              <wp:extent cx="21018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1018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4D1FB">
                          <w:pPr>
                            <w:pStyle w:val="11"/>
                            <w:keepNext w:val="0"/>
                            <w:keepLines w:val="0"/>
                            <w:pageBreakBefore w:val="0"/>
                            <w:widowControl w:val="0"/>
                            <w:kinsoku/>
                            <w:wordWrap/>
                            <w:overflowPunct/>
                            <w:topLinePunct w:val="0"/>
                            <w:bidi w:val="0"/>
                            <w:adjustRightInd/>
                            <w:snapToGrid w:val="0"/>
                            <w:ind w:left="280" w:leftChars="100" w:right="28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第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页 共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NUMPAGES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8</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52.8pt;margin-top:0pt;height:144pt;width:165.5pt;mso-position-horizontal-relative:margin;z-index:251659264;mso-width-relative:page;mso-height-relative:page;" filled="f" stroked="f" coordsize="21600,21600" o:gfxdata="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uGNSNYAAAAIAQAADwAAAAAAAAABACAAAAAiAAAAZHJzL2Rvd25yZXYueG1sUEsB&#10;AhQAFAAAAAgAh07iQAb3ic4wAgAAVwQAAA4AAAAAAAAAAQAgAAAAJQEAAGRycy9lMm9Eb2MueG1s&#10;UEsFBgAAAAAGAAYAWQEAAMcFAAAAAA==&#10;">
              <v:fill on="f" focussize="0,0"/>
              <v:stroke on="f" weight="0.5pt"/>
              <v:imagedata o:title=""/>
              <o:lock v:ext="edit" aspectratio="f"/>
              <v:textbox inset="0mm,0mm,0mm,0mm" style="mso-fit-shape-to-text:t;">
                <w:txbxContent>
                  <w:p w14:paraId="48A4D1FB">
                    <w:pPr>
                      <w:pStyle w:val="11"/>
                      <w:keepNext w:val="0"/>
                      <w:keepLines w:val="0"/>
                      <w:pageBreakBefore w:val="0"/>
                      <w:widowControl w:val="0"/>
                      <w:kinsoku/>
                      <w:wordWrap/>
                      <w:overflowPunct/>
                      <w:topLinePunct w:val="0"/>
                      <w:bidi w:val="0"/>
                      <w:adjustRightInd/>
                      <w:snapToGrid w:val="0"/>
                      <w:ind w:left="280" w:leftChars="100" w:right="28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第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1</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页 共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NUMPAGES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8</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F1357"/>
    <w:multiLevelType w:val="singleLevel"/>
    <w:tmpl w:val="984F1357"/>
    <w:lvl w:ilvl="0" w:tentative="0">
      <w:start w:val="1"/>
      <w:numFmt w:val="decimal"/>
      <w:suff w:val="nothing"/>
      <w:lvlText w:val="%1．"/>
      <w:lvlJc w:val="left"/>
      <w:pPr>
        <w:ind w:left="0" w:firstLine="400"/>
      </w:pPr>
      <w:rPr>
        <w:rFonts w:hint="default"/>
      </w:rPr>
    </w:lvl>
  </w:abstractNum>
  <w:abstractNum w:abstractNumId="1">
    <w:nsid w:val="D3C8EF4B"/>
    <w:multiLevelType w:val="singleLevel"/>
    <w:tmpl w:val="D3C8EF4B"/>
    <w:lvl w:ilvl="0" w:tentative="0">
      <w:start w:val="1"/>
      <w:numFmt w:val="bullet"/>
      <w:lvlText w:val=""/>
      <w:lvlJc w:val="left"/>
      <w:pPr>
        <w:ind w:left="6667" w:hanging="420"/>
      </w:pPr>
      <w:rPr>
        <w:rFonts w:hint="default" w:ascii="Wingdings" w:hAnsi="Wingdings"/>
      </w:rPr>
    </w:lvl>
  </w:abstractNum>
  <w:abstractNum w:abstractNumId="2">
    <w:nsid w:val="FABB133C"/>
    <w:multiLevelType w:val="singleLevel"/>
    <w:tmpl w:val="FABB133C"/>
    <w:lvl w:ilvl="0" w:tentative="0">
      <w:start w:val="1"/>
      <w:numFmt w:val="bullet"/>
      <w:lvlText w:val=""/>
      <w:lvlJc w:val="left"/>
      <w:pPr>
        <w:ind w:left="420" w:hanging="420"/>
      </w:pPr>
      <w:rPr>
        <w:rFonts w:hint="default" w:ascii="Wingdings" w:hAnsi="Wingdings"/>
      </w:rPr>
    </w:lvl>
  </w:abstractNum>
  <w:abstractNum w:abstractNumId="3">
    <w:nsid w:val="00B52B8A"/>
    <w:multiLevelType w:val="singleLevel"/>
    <w:tmpl w:val="00B52B8A"/>
    <w:lvl w:ilvl="0" w:tentative="0">
      <w:start w:val="1"/>
      <w:numFmt w:val="decimal"/>
      <w:suff w:val="nothing"/>
      <w:lvlText w:val="%1．"/>
      <w:lvlJc w:val="left"/>
      <w:pPr>
        <w:ind w:left="0" w:firstLine="400"/>
      </w:pPr>
      <w:rPr>
        <w:rFonts w:hint="default"/>
      </w:rPr>
    </w:lvl>
  </w:abstractNum>
  <w:abstractNum w:abstractNumId="4">
    <w:nsid w:val="031534F4"/>
    <w:multiLevelType w:val="singleLevel"/>
    <w:tmpl w:val="031534F4"/>
    <w:lvl w:ilvl="0" w:tentative="0">
      <w:start w:val="1"/>
      <w:numFmt w:val="decimal"/>
      <w:suff w:val="nothing"/>
      <w:lvlText w:val="%1．"/>
      <w:lvlJc w:val="left"/>
      <w:pPr>
        <w:ind w:left="0" w:firstLine="400"/>
      </w:pPr>
      <w:rPr>
        <w:rFonts w:hint="default"/>
      </w:rPr>
    </w:lvl>
  </w:abstractNum>
  <w:abstractNum w:abstractNumId="5">
    <w:nsid w:val="1FF66923"/>
    <w:multiLevelType w:val="multilevel"/>
    <w:tmpl w:val="1FF66923"/>
    <w:lvl w:ilvl="0" w:tentative="0">
      <w:start w:val="1"/>
      <w:numFmt w:val="chineseCountingThousand"/>
      <w:pStyle w:val="3"/>
      <w:lvlText w:val="(%1)"/>
      <w:lvlJc w:val="left"/>
      <w:pPr>
        <w:ind w:left="1280" w:hanging="440"/>
      </w:pPr>
      <w:rPr>
        <w:rFonts w:hint="eastAsia" w:ascii="CESI仿宋-GB2312" w:hAnsi="CESI仿宋-GB2312" w:eastAsia="CESI仿宋-GB2312" w:cs="CESI仿宋-GB2312"/>
        <w:sz w:val="32"/>
        <w:szCs w:val="32"/>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6">
    <w:nsid w:val="41868EE4"/>
    <w:multiLevelType w:val="singleLevel"/>
    <w:tmpl w:val="41868EE4"/>
    <w:lvl w:ilvl="0" w:tentative="0">
      <w:start w:val="1"/>
      <w:numFmt w:val="chineseCounting"/>
      <w:suff w:val="nothing"/>
      <w:lvlText w:val="%1、"/>
      <w:lvlJc w:val="left"/>
      <w:pPr>
        <w:ind w:left="0" w:firstLine="420"/>
      </w:pPr>
      <w:rPr>
        <w:rFonts w:hint="eastAsia" w:ascii="CESI黑体-GB2312" w:hAnsi="CESI黑体-GB2312" w:eastAsia="CESI黑体-GB2312" w:cs="CESI黑体-GB2312"/>
        <w:sz w:val="32"/>
        <w:szCs w:val="32"/>
      </w:rPr>
    </w:lvl>
  </w:abstractNum>
  <w:abstractNum w:abstractNumId="7">
    <w:nsid w:val="69773E12"/>
    <w:multiLevelType w:val="singleLevel"/>
    <w:tmpl w:val="69773E12"/>
    <w:lvl w:ilvl="0" w:tentative="0">
      <w:start w:val="1"/>
      <w:numFmt w:val="decimal"/>
      <w:suff w:val="nothing"/>
      <w:lvlText w:val="%1．"/>
      <w:lvlJc w:val="left"/>
      <w:pPr>
        <w:ind w:left="0" w:firstLine="400"/>
      </w:pPr>
      <w:rPr>
        <w:rFonts w:hint="default"/>
      </w:rPr>
    </w:lvl>
  </w:abstractNum>
  <w:abstractNum w:abstractNumId="8">
    <w:nsid w:val="6D306AE9"/>
    <w:multiLevelType w:val="singleLevel"/>
    <w:tmpl w:val="6D306AE9"/>
    <w:lvl w:ilvl="0" w:tentative="0">
      <w:start w:val="1"/>
      <w:numFmt w:val="bullet"/>
      <w:lvlText w:val=""/>
      <w:lvlJc w:val="left"/>
      <w:pPr>
        <w:ind w:left="420" w:hanging="420"/>
      </w:pPr>
      <w:rPr>
        <w:rFonts w:hint="default" w:ascii="Wingdings" w:hAnsi="Wingdings"/>
      </w:rPr>
    </w:lvl>
  </w:abstractNum>
  <w:abstractNum w:abstractNumId="9">
    <w:nsid w:val="6E76F8AE"/>
    <w:multiLevelType w:val="singleLevel"/>
    <w:tmpl w:val="6E76F8AE"/>
    <w:lvl w:ilvl="0" w:tentative="0">
      <w:start w:val="1"/>
      <w:numFmt w:val="decimal"/>
      <w:suff w:val="nothing"/>
      <w:lvlText w:val="%1．"/>
      <w:lvlJc w:val="left"/>
      <w:pPr>
        <w:ind w:left="0" w:firstLine="400"/>
      </w:pPr>
      <w:rPr>
        <w:rFonts w:hint="default"/>
      </w:rPr>
    </w:lvl>
  </w:abstractNum>
  <w:abstractNum w:abstractNumId="10">
    <w:nsid w:val="7CD1F573"/>
    <w:multiLevelType w:val="singleLevel"/>
    <w:tmpl w:val="7CD1F573"/>
    <w:lvl w:ilvl="0" w:tentative="0">
      <w:start w:val="1"/>
      <w:numFmt w:val="decimal"/>
      <w:suff w:val="nothing"/>
      <w:lvlText w:val="%1．"/>
      <w:lvlJc w:val="left"/>
      <w:pPr>
        <w:ind w:left="0" w:firstLine="400"/>
      </w:pPr>
      <w:rPr>
        <w:rFonts w:hint="default"/>
      </w:rPr>
    </w:lvl>
  </w:abstractNum>
  <w:num w:numId="1">
    <w:abstractNumId w:val="5"/>
  </w:num>
  <w:num w:numId="2">
    <w:abstractNumId w:val="6"/>
  </w:num>
  <w:num w:numId="3">
    <w:abstractNumId w:val="10"/>
  </w:num>
  <w:num w:numId="4">
    <w:abstractNumId w:val="4"/>
  </w:num>
  <w:num w:numId="5">
    <w:abstractNumId w:val="0"/>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xZjRlNTBiZTVhM2ZiOGM5M2E1YzA4YmI2MjM2NWMifQ=="/>
  </w:docVars>
  <w:rsids>
    <w:rsidRoot w:val="394A4A09"/>
    <w:rsid w:val="0000275E"/>
    <w:rsid w:val="000220C2"/>
    <w:rsid w:val="00056973"/>
    <w:rsid w:val="00065515"/>
    <w:rsid w:val="00075FCF"/>
    <w:rsid w:val="00076E2B"/>
    <w:rsid w:val="000B72C5"/>
    <w:rsid w:val="000F04E3"/>
    <w:rsid w:val="00115BA0"/>
    <w:rsid w:val="001261DB"/>
    <w:rsid w:val="00127F15"/>
    <w:rsid w:val="00134489"/>
    <w:rsid w:val="00147002"/>
    <w:rsid w:val="001479C6"/>
    <w:rsid w:val="00154791"/>
    <w:rsid w:val="001551A9"/>
    <w:rsid w:val="00181E8A"/>
    <w:rsid w:val="00187D03"/>
    <w:rsid w:val="002472E7"/>
    <w:rsid w:val="00297FB3"/>
    <w:rsid w:val="002B174B"/>
    <w:rsid w:val="0033314C"/>
    <w:rsid w:val="00356B79"/>
    <w:rsid w:val="003849E6"/>
    <w:rsid w:val="003A0368"/>
    <w:rsid w:val="003A525D"/>
    <w:rsid w:val="00403CBF"/>
    <w:rsid w:val="00422443"/>
    <w:rsid w:val="004230DF"/>
    <w:rsid w:val="00435BD8"/>
    <w:rsid w:val="00440A6E"/>
    <w:rsid w:val="004561B2"/>
    <w:rsid w:val="00521795"/>
    <w:rsid w:val="005344C4"/>
    <w:rsid w:val="00544987"/>
    <w:rsid w:val="005538C2"/>
    <w:rsid w:val="00561365"/>
    <w:rsid w:val="005824B0"/>
    <w:rsid w:val="00582875"/>
    <w:rsid w:val="00590EF6"/>
    <w:rsid w:val="005A6B5F"/>
    <w:rsid w:val="005B22FF"/>
    <w:rsid w:val="005E5C71"/>
    <w:rsid w:val="006555DC"/>
    <w:rsid w:val="00661B13"/>
    <w:rsid w:val="00662653"/>
    <w:rsid w:val="00663F9A"/>
    <w:rsid w:val="00681384"/>
    <w:rsid w:val="0069542C"/>
    <w:rsid w:val="006B29A8"/>
    <w:rsid w:val="006B2ABA"/>
    <w:rsid w:val="006B384F"/>
    <w:rsid w:val="006B536F"/>
    <w:rsid w:val="006F1666"/>
    <w:rsid w:val="006F178F"/>
    <w:rsid w:val="00703258"/>
    <w:rsid w:val="007032C9"/>
    <w:rsid w:val="0070620C"/>
    <w:rsid w:val="00776ECD"/>
    <w:rsid w:val="007929D4"/>
    <w:rsid w:val="007974DB"/>
    <w:rsid w:val="007A2AB3"/>
    <w:rsid w:val="00801975"/>
    <w:rsid w:val="00850071"/>
    <w:rsid w:val="00850185"/>
    <w:rsid w:val="00861EFF"/>
    <w:rsid w:val="00875A90"/>
    <w:rsid w:val="0087628F"/>
    <w:rsid w:val="008B58C5"/>
    <w:rsid w:val="008C2C86"/>
    <w:rsid w:val="008D3C58"/>
    <w:rsid w:val="008E3351"/>
    <w:rsid w:val="009224D4"/>
    <w:rsid w:val="009256FF"/>
    <w:rsid w:val="00930F8B"/>
    <w:rsid w:val="009319DF"/>
    <w:rsid w:val="00931A5D"/>
    <w:rsid w:val="00933B6C"/>
    <w:rsid w:val="00952A05"/>
    <w:rsid w:val="009846D1"/>
    <w:rsid w:val="0099692E"/>
    <w:rsid w:val="009A098F"/>
    <w:rsid w:val="009C6A38"/>
    <w:rsid w:val="00A42223"/>
    <w:rsid w:val="00A64E81"/>
    <w:rsid w:val="00A70D98"/>
    <w:rsid w:val="00A73C4D"/>
    <w:rsid w:val="00A74507"/>
    <w:rsid w:val="00A8691F"/>
    <w:rsid w:val="00AA5AB6"/>
    <w:rsid w:val="00AC703A"/>
    <w:rsid w:val="00B1067D"/>
    <w:rsid w:val="00B146BD"/>
    <w:rsid w:val="00B21A72"/>
    <w:rsid w:val="00B321D4"/>
    <w:rsid w:val="00B33A46"/>
    <w:rsid w:val="00B35CDE"/>
    <w:rsid w:val="00B407FE"/>
    <w:rsid w:val="00B67C1C"/>
    <w:rsid w:val="00B805EB"/>
    <w:rsid w:val="00B91E09"/>
    <w:rsid w:val="00BB37DC"/>
    <w:rsid w:val="00BC2737"/>
    <w:rsid w:val="00C2570A"/>
    <w:rsid w:val="00C3763C"/>
    <w:rsid w:val="00C47E9D"/>
    <w:rsid w:val="00C50BB8"/>
    <w:rsid w:val="00C53568"/>
    <w:rsid w:val="00C81565"/>
    <w:rsid w:val="00CD6798"/>
    <w:rsid w:val="00D116C3"/>
    <w:rsid w:val="00D440BE"/>
    <w:rsid w:val="00D54FC4"/>
    <w:rsid w:val="00D60F20"/>
    <w:rsid w:val="00D6701D"/>
    <w:rsid w:val="00DB5C41"/>
    <w:rsid w:val="00DB7CFB"/>
    <w:rsid w:val="00DC1E28"/>
    <w:rsid w:val="00DD32C3"/>
    <w:rsid w:val="00DF097E"/>
    <w:rsid w:val="00E0767D"/>
    <w:rsid w:val="00E21EC9"/>
    <w:rsid w:val="00E30CB7"/>
    <w:rsid w:val="00E34748"/>
    <w:rsid w:val="00E45F27"/>
    <w:rsid w:val="00E64572"/>
    <w:rsid w:val="00E709ED"/>
    <w:rsid w:val="00E777FA"/>
    <w:rsid w:val="00E8410C"/>
    <w:rsid w:val="00EA54F1"/>
    <w:rsid w:val="00EB3DBD"/>
    <w:rsid w:val="00EC2A42"/>
    <w:rsid w:val="00EE391A"/>
    <w:rsid w:val="00F1583B"/>
    <w:rsid w:val="00F36B3A"/>
    <w:rsid w:val="00F464C2"/>
    <w:rsid w:val="00F56958"/>
    <w:rsid w:val="00F6219C"/>
    <w:rsid w:val="00F7186A"/>
    <w:rsid w:val="00F92D38"/>
    <w:rsid w:val="00FA64B4"/>
    <w:rsid w:val="00FC40AE"/>
    <w:rsid w:val="00FD192E"/>
    <w:rsid w:val="01A14871"/>
    <w:rsid w:val="01C01611"/>
    <w:rsid w:val="02B0310F"/>
    <w:rsid w:val="069E49AE"/>
    <w:rsid w:val="07DC6D72"/>
    <w:rsid w:val="0A260E04"/>
    <w:rsid w:val="0C267A34"/>
    <w:rsid w:val="0D6E00EC"/>
    <w:rsid w:val="0DBB4191"/>
    <w:rsid w:val="0EEE56EB"/>
    <w:rsid w:val="0FBB72D2"/>
    <w:rsid w:val="10644022"/>
    <w:rsid w:val="123A1175"/>
    <w:rsid w:val="13A719DF"/>
    <w:rsid w:val="14AE41E1"/>
    <w:rsid w:val="17704FB3"/>
    <w:rsid w:val="17E96661"/>
    <w:rsid w:val="17F16E77"/>
    <w:rsid w:val="1A0E5A2C"/>
    <w:rsid w:val="1A755B1D"/>
    <w:rsid w:val="1A757778"/>
    <w:rsid w:val="1E900A23"/>
    <w:rsid w:val="1EC93137"/>
    <w:rsid w:val="21D0354E"/>
    <w:rsid w:val="222E5CB7"/>
    <w:rsid w:val="23A45D2D"/>
    <w:rsid w:val="248867F6"/>
    <w:rsid w:val="24A0493A"/>
    <w:rsid w:val="25AE08DF"/>
    <w:rsid w:val="26DF753D"/>
    <w:rsid w:val="28CC6738"/>
    <w:rsid w:val="29550AFF"/>
    <w:rsid w:val="2985675E"/>
    <w:rsid w:val="2B8A026B"/>
    <w:rsid w:val="2BAB43AF"/>
    <w:rsid w:val="2D5D6872"/>
    <w:rsid w:val="2F283BBC"/>
    <w:rsid w:val="2F593528"/>
    <w:rsid w:val="30C56654"/>
    <w:rsid w:val="31566123"/>
    <w:rsid w:val="332F5631"/>
    <w:rsid w:val="33564390"/>
    <w:rsid w:val="35D246A6"/>
    <w:rsid w:val="36F11025"/>
    <w:rsid w:val="394A4A09"/>
    <w:rsid w:val="3B3B1899"/>
    <w:rsid w:val="3CD1612B"/>
    <w:rsid w:val="3D443F04"/>
    <w:rsid w:val="3E0934EC"/>
    <w:rsid w:val="3E26789C"/>
    <w:rsid w:val="41523FC5"/>
    <w:rsid w:val="43DD652B"/>
    <w:rsid w:val="45E307A0"/>
    <w:rsid w:val="47D63038"/>
    <w:rsid w:val="48F02ED7"/>
    <w:rsid w:val="4E125FF9"/>
    <w:rsid w:val="4F2657ED"/>
    <w:rsid w:val="4F7E6A16"/>
    <w:rsid w:val="52972F71"/>
    <w:rsid w:val="52CF183C"/>
    <w:rsid w:val="52EB3A72"/>
    <w:rsid w:val="54F55D2D"/>
    <w:rsid w:val="5A9C693E"/>
    <w:rsid w:val="5C1C495E"/>
    <w:rsid w:val="5EBB1825"/>
    <w:rsid w:val="5FC30F01"/>
    <w:rsid w:val="60A879CE"/>
    <w:rsid w:val="60C62FD2"/>
    <w:rsid w:val="63606BDE"/>
    <w:rsid w:val="64F2365E"/>
    <w:rsid w:val="6B221EFB"/>
    <w:rsid w:val="6E160D96"/>
    <w:rsid w:val="70757FF6"/>
    <w:rsid w:val="71DFA86F"/>
    <w:rsid w:val="74855837"/>
    <w:rsid w:val="75B4010C"/>
    <w:rsid w:val="75FF4594"/>
    <w:rsid w:val="761F5302"/>
    <w:rsid w:val="76391230"/>
    <w:rsid w:val="77D777E8"/>
    <w:rsid w:val="79FB3A1A"/>
    <w:rsid w:val="7B1043CB"/>
    <w:rsid w:val="7C6A4359"/>
    <w:rsid w:val="7EB7217A"/>
    <w:rsid w:val="BE1BB478"/>
    <w:rsid w:val="EFFEC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方正仿宋_GB2312" w:cs="Times New Roman"/>
      <w:kern w:val="2"/>
      <w:sz w:val="28"/>
      <w:szCs w:val="24"/>
      <w:lang w:val="en-US" w:eastAsia="zh-CN" w:bidi="ar-SA"/>
    </w:rPr>
  </w:style>
  <w:style w:type="paragraph" w:styleId="2">
    <w:name w:val="heading 1"/>
    <w:basedOn w:val="1"/>
    <w:next w:val="1"/>
    <w:qFormat/>
    <w:uiPriority w:val="0"/>
    <w:pPr>
      <w:keepNext/>
      <w:keepLines/>
      <w:spacing w:before="340" w:after="330"/>
      <w:outlineLvl w:val="0"/>
    </w:pPr>
    <w:rPr>
      <w:b/>
      <w:kern w:val="44"/>
      <w:sz w:val="32"/>
    </w:rPr>
  </w:style>
  <w:style w:type="paragraph" w:styleId="3">
    <w:name w:val="heading 2"/>
    <w:basedOn w:val="1"/>
    <w:next w:val="1"/>
    <w:link w:val="18"/>
    <w:unhideWhenUsed/>
    <w:qFormat/>
    <w:uiPriority w:val="0"/>
    <w:pPr>
      <w:keepNext/>
      <w:keepLines/>
      <w:numPr>
        <w:ilvl w:val="0"/>
        <w:numId w:val="1"/>
      </w:numPr>
      <w:spacing w:before="120" w:after="120" w:line="240" w:lineRule="auto"/>
      <w:ind w:firstLineChars="0"/>
      <w:outlineLvl w:val="1"/>
    </w:pPr>
    <w:rPr>
      <w:rFonts w:ascii="Arial" w:hAnsi="Arial" w:eastAsia="方正楷体_GB2312"/>
      <w:b/>
    </w:rPr>
  </w:style>
  <w:style w:type="paragraph" w:styleId="4">
    <w:name w:val="heading 3"/>
    <w:basedOn w:val="5"/>
    <w:next w:val="1"/>
    <w:qFormat/>
    <w:uiPriority w:val="0"/>
    <w:pPr>
      <w:keepNext/>
      <w:keepLines/>
      <w:spacing w:before="260" w:after="260"/>
      <w:outlineLvl w:val="2"/>
    </w:pPr>
    <w:rPr>
      <w:rFonts w:ascii="宋体" w:hAnsi="宋体" w:eastAsia="黑体"/>
      <w:b/>
      <w:bCs/>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99"/>
    <w:pPr>
      <w:ind w:firstLine="420"/>
    </w:pPr>
  </w:style>
  <w:style w:type="paragraph" w:styleId="6">
    <w:name w:val="index 8"/>
    <w:basedOn w:val="1"/>
    <w:next w:val="1"/>
    <w:unhideWhenUsed/>
    <w:qFormat/>
    <w:uiPriority w:val="99"/>
    <w:pPr>
      <w:ind w:left="1400" w:leftChars="1400"/>
    </w:pPr>
  </w:style>
  <w:style w:type="paragraph" w:styleId="7">
    <w:name w:val="annotation text"/>
    <w:basedOn w:val="1"/>
    <w:qFormat/>
    <w:uiPriority w:val="0"/>
    <w:pPr>
      <w:jc w:val="left"/>
    </w:pPr>
  </w:style>
  <w:style w:type="paragraph" w:styleId="8">
    <w:name w:val="Body Text"/>
    <w:basedOn w:val="1"/>
    <w:qFormat/>
    <w:uiPriority w:val="0"/>
    <w:rPr>
      <w:b/>
      <w:bCs/>
    </w:rPr>
  </w:style>
  <w:style w:type="paragraph" w:styleId="9">
    <w:name w:val="Plain Text"/>
    <w:basedOn w:val="1"/>
    <w:next w:val="6"/>
    <w:qFormat/>
    <w:uiPriority w:val="0"/>
    <w:rPr>
      <w:rFonts w:ascii="宋体" w:hAnsi="Courier New"/>
      <w:szCs w:val="21"/>
    </w:rPr>
  </w:style>
  <w:style w:type="paragraph" w:styleId="10">
    <w:name w:val="Balloon Text"/>
    <w:basedOn w:val="1"/>
    <w:unhideWhenUsed/>
    <w:qFormat/>
    <w:uiPriority w:val="0"/>
    <w:rPr>
      <w:rFonts w:ascii="Times New Roman" w:hAnsi="Times New Roman"/>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方案"/>
    <w:basedOn w:val="1"/>
    <w:qFormat/>
    <w:uiPriority w:val="0"/>
  </w:style>
  <w:style w:type="character" w:customStyle="1" w:styleId="18">
    <w:name w:val="标题 2 字符"/>
    <w:basedOn w:val="16"/>
    <w:link w:val="3"/>
    <w:qFormat/>
    <w:uiPriority w:val="0"/>
    <w:rPr>
      <w:rFonts w:ascii="Arial" w:hAnsi="Arial" w:eastAsia="方正楷体_GB2312"/>
      <w:b/>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3260</Words>
  <Characters>3345</Characters>
  <Lines>25</Lines>
  <Paragraphs>7</Paragraphs>
  <TotalTime>0</TotalTime>
  <ScaleCrop>false</ScaleCrop>
  <LinksUpToDate>false</LinksUpToDate>
  <CharactersWithSpaces>3345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2026-04-22T23:02:00Z</dcterms:created>
  <dc:creator>刘慧洋</dc:creator>
  <cp:lastModifiedBy>WPS_1679361301</cp:lastModifiedBy>
  <dcterms:modified xsi:type="dcterms:W3CDTF">2026-07-31T07:14:04Z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E4D374676C514EBC8ABFD175170B023F_13</vt:lpwstr>
  </property>
  <property fmtid="{D5CDD505-2E9C-101B-9397-08002B2CF9AE}" pid="4" name="KSOTemplateDocerSaveRecord">
    <vt:lpwstr>eyJoZGlkIjoiNzQ3MzNhZTEyYTc0ZWZiOTgyMzQwNTI3M2VjMWY2MjQiLCJ1c2VySWQiOiIxNDgwNzk5MjI0In0=</vt:lpwstr>
  </property>
</Properties>
</file>