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C114C">
      <w:pPr>
        <w:widowControl w:val="0"/>
        <w:autoSpaceDE w:val="0"/>
        <w:autoSpaceDN w:val="0"/>
        <w:adjustRightInd w:val="0"/>
        <w:snapToGrid w:val="0"/>
        <w:ind w:firstLine="0" w:firstLineChars="0"/>
        <w:jc w:val="center"/>
        <w:outlineLvl w:val="0"/>
        <w:rPr>
          <w:rFonts w:ascii="宋体" w:hAnsi="宋体"/>
          <w:b/>
          <w:sz w:val="52"/>
          <w:szCs w:val="52"/>
          <w:highlight w:val="none"/>
        </w:rPr>
      </w:pPr>
      <w:bookmarkStart w:id="0" w:name="_Toc31497"/>
      <w:bookmarkStart w:id="1" w:name="_Toc21910"/>
      <w:bookmarkStart w:id="2" w:name="_Toc9893"/>
      <w:bookmarkStart w:id="3" w:name="_Toc23739"/>
      <w:bookmarkStart w:id="4" w:name="_Toc29085"/>
      <w:bookmarkStart w:id="5" w:name="_Toc407023750"/>
      <w:r>
        <w:rPr>
          <w:rFonts w:hint="eastAsia" w:ascii="宋体" w:hAnsi="宋体"/>
          <w:b/>
          <w:sz w:val="52"/>
          <w:szCs w:val="52"/>
          <w:highlight w:val="none"/>
        </w:rPr>
        <w:t>项目需求</w:t>
      </w:r>
      <w:bookmarkEnd w:id="0"/>
      <w:bookmarkEnd w:id="1"/>
      <w:bookmarkEnd w:id="2"/>
      <w:r>
        <w:rPr>
          <w:rFonts w:hint="eastAsia" w:ascii="宋体" w:hAnsi="宋体"/>
          <w:b/>
          <w:sz w:val="52"/>
          <w:szCs w:val="52"/>
          <w:highlight w:val="none"/>
        </w:rPr>
        <w:t>书</w:t>
      </w:r>
    </w:p>
    <w:p w14:paraId="346A0D9F">
      <w:pPr>
        <w:widowControl w:val="0"/>
        <w:autoSpaceDN w:val="0"/>
        <w:adjustRightInd w:val="0"/>
        <w:snapToGrid w:val="0"/>
        <w:ind w:firstLine="0" w:firstLineChars="0"/>
        <w:jc w:val="center"/>
        <w:outlineLvl w:val="1"/>
        <w:rPr>
          <w:rFonts w:ascii="宋体" w:hAnsi="宋体"/>
          <w:b/>
          <w:sz w:val="32"/>
          <w:highlight w:val="none"/>
        </w:rPr>
      </w:pPr>
      <w:bookmarkStart w:id="6" w:name="_Toc8746"/>
      <w:bookmarkStart w:id="7" w:name="_Toc32160"/>
      <w:r>
        <w:rPr>
          <w:rFonts w:hint="eastAsia" w:ascii="宋体" w:hAnsi="宋体"/>
          <w:b/>
          <w:sz w:val="32"/>
          <w:highlight w:val="none"/>
        </w:rPr>
        <w:t>第一节 项目需求</w:t>
      </w:r>
      <w:bookmarkEnd w:id="6"/>
      <w:bookmarkEnd w:id="7"/>
    </w:p>
    <w:p w14:paraId="56B3A5A6">
      <w:pPr>
        <w:widowControl w:val="0"/>
        <w:numPr>
          <w:ilvl w:val="0"/>
          <w:numId w:val="1"/>
        </w:numPr>
        <w:autoSpaceDE w:val="0"/>
        <w:autoSpaceDN w:val="0"/>
        <w:adjustRightInd w:val="0"/>
        <w:snapToGrid w:val="0"/>
        <w:spacing w:after="0"/>
        <w:ind w:left="0" w:firstLine="422"/>
        <w:jc w:val="left"/>
        <w:outlineLvl w:val="2"/>
        <w:rPr>
          <w:rFonts w:ascii="宋体" w:hAnsi="宋体"/>
          <w:b/>
          <w:bCs/>
          <w:szCs w:val="21"/>
          <w:highlight w:val="none"/>
        </w:rPr>
      </w:pPr>
      <w:bookmarkStart w:id="8" w:name="_Toc406669471"/>
      <w:r>
        <w:rPr>
          <w:rFonts w:hint="eastAsia" w:ascii="宋体" w:hAnsi="宋体"/>
          <w:b/>
          <w:bCs/>
          <w:szCs w:val="21"/>
          <w:highlight w:val="none"/>
        </w:rPr>
        <w:t>项目服务内容</w:t>
      </w:r>
      <w:bookmarkEnd w:id="8"/>
    </w:p>
    <w:p w14:paraId="0F884476">
      <w:pPr>
        <w:ind w:firstLine="420"/>
        <w:jc w:val="left"/>
        <w:rPr>
          <w:highlight w:val="none"/>
        </w:rPr>
      </w:pPr>
      <w:r>
        <w:rPr>
          <w:rFonts w:hint="eastAsia"/>
          <w:highlight w:val="none"/>
          <w:lang w:bidi="ar"/>
        </w:rPr>
        <w:t>依据《深圳市加快打造人工智能先锋城市行动计划 (2025—2026 年)》规划，要构建全市一体化高效算力供给体系，统筹打造多区协同算力高地，全面支撑全市人工智能产业与政务数字化发展</w:t>
      </w:r>
      <w:r>
        <w:rPr>
          <w:rFonts w:hint="eastAsia"/>
          <w:highlight w:val="none"/>
        </w:rPr>
        <w:t>。本项目根据上述深圳市行动规划以及潜在意向客户需求，拟新增智能算力、通用计算算力资源、网络等配套设施服务，完善深圳市算力供给体系，加速深圳市打造人工智能全域全时应用示范区。招标内容包括：建设智能算力和通算算力资源及网络等配套设施服务。具体包括以下内容：</w:t>
      </w:r>
    </w:p>
    <w:p w14:paraId="6AEA93FD">
      <w:pPr>
        <w:ind w:firstLine="420"/>
        <w:rPr>
          <w:highlight w:val="none"/>
        </w:rPr>
      </w:pPr>
      <w:r>
        <w:rPr>
          <w:rFonts w:hint="eastAsia"/>
          <w:highlight w:val="none"/>
        </w:rPr>
        <w:t>（1）服务器：包括A</w:t>
      </w:r>
      <w:r>
        <w:rPr>
          <w:highlight w:val="none"/>
        </w:rPr>
        <w:t>I</w:t>
      </w:r>
      <w:r>
        <w:rPr>
          <w:rFonts w:hint="eastAsia"/>
          <w:highlight w:val="none"/>
        </w:rPr>
        <w:t>服务器、通用计算服务器。</w:t>
      </w:r>
    </w:p>
    <w:p w14:paraId="39A38A1B">
      <w:pPr>
        <w:ind w:firstLine="420"/>
        <w:rPr>
          <w:highlight w:val="none"/>
        </w:rPr>
      </w:pPr>
      <w:r>
        <w:rPr>
          <w:rFonts w:hint="eastAsia"/>
          <w:highlight w:val="none"/>
        </w:rPr>
        <w:t>（2）交换机：包括业务接入交换机、BMC接入交换机、参数面交换机。</w:t>
      </w:r>
    </w:p>
    <w:p w14:paraId="31B49ECA">
      <w:pPr>
        <w:widowControl w:val="0"/>
        <w:autoSpaceDE w:val="0"/>
        <w:autoSpaceDN w:val="0"/>
        <w:adjustRightInd w:val="0"/>
        <w:snapToGrid w:val="0"/>
        <w:spacing w:after="0"/>
        <w:ind w:firstLine="420"/>
        <w:jc w:val="left"/>
        <w:rPr>
          <w:highlight w:val="none"/>
        </w:rPr>
      </w:pPr>
      <w:r>
        <w:rPr>
          <w:rFonts w:hint="eastAsia"/>
          <w:highlight w:val="none"/>
        </w:rPr>
        <w:t>（3）运维服务：设备配套运维服务，包括设备巡检，问题处理等。总期限为三年期，按年报价。</w:t>
      </w:r>
    </w:p>
    <w:p w14:paraId="393D5418">
      <w:pPr>
        <w:widowControl w:val="0"/>
        <w:autoSpaceDE w:val="0"/>
        <w:autoSpaceDN w:val="0"/>
        <w:adjustRightInd w:val="0"/>
        <w:snapToGrid w:val="0"/>
        <w:spacing w:after="0"/>
        <w:ind w:firstLine="420"/>
        <w:jc w:val="left"/>
        <w:rPr>
          <w:highlight w:val="none"/>
        </w:rPr>
      </w:pPr>
      <w:r>
        <w:rPr>
          <w:rFonts w:hint="eastAsia"/>
          <w:highlight w:val="none"/>
        </w:rPr>
        <w:t>（4）集成服务：包括算力服务器及配套网络设备集成规划设计，初始化配置及测试、系统综合测试服务。设备上架、布线组网及培训等。</w:t>
      </w:r>
    </w:p>
    <w:p w14:paraId="4096BA63">
      <w:pPr>
        <w:widowControl w:val="0"/>
        <w:autoSpaceDE w:val="0"/>
        <w:autoSpaceDN w:val="0"/>
        <w:adjustRightInd w:val="0"/>
        <w:snapToGrid w:val="0"/>
        <w:spacing w:after="0"/>
        <w:ind w:firstLine="420"/>
        <w:jc w:val="left"/>
        <w:rPr>
          <w:rFonts w:ascii="宋体" w:hAnsi="宋体"/>
          <w:b/>
          <w:bCs/>
          <w:szCs w:val="21"/>
          <w:highlight w:val="none"/>
        </w:rPr>
      </w:pPr>
      <w:r>
        <w:rPr>
          <w:rFonts w:hint="eastAsia"/>
          <w:highlight w:val="none"/>
        </w:rPr>
        <w:t>（5）质保</w:t>
      </w:r>
      <w:r>
        <w:rPr>
          <w:highlight w:val="none"/>
        </w:rPr>
        <w:t>服务</w:t>
      </w:r>
      <w:r>
        <w:rPr>
          <w:rFonts w:hint="eastAsia"/>
          <w:highlight w:val="none"/>
        </w:rPr>
        <w:t>：本项目验收之后提供3年免费质保，第四年、第五年质保续保服务费用单独报价，由采购人选择是否续保。报价人承诺采购人可以不高于报价金额进行续保。</w:t>
      </w:r>
    </w:p>
    <w:p w14:paraId="2A0B924C">
      <w:pPr>
        <w:ind w:firstLine="420"/>
        <w:rPr>
          <w:highlight w:val="none"/>
        </w:rPr>
      </w:pPr>
      <w:r>
        <w:rPr>
          <w:rFonts w:hint="eastAsia"/>
          <w:highlight w:val="none"/>
        </w:rPr>
        <w:t>（6）投标人需要完成该项目所涉及的所有设备、材料、软件的采购、安装调试、竣工验收、项目整体移交、缺陷责任修复等全部工作。</w:t>
      </w:r>
    </w:p>
    <w:p w14:paraId="644DA0F6">
      <w:pPr>
        <w:widowControl w:val="0"/>
        <w:numPr>
          <w:ilvl w:val="0"/>
          <w:numId w:val="1"/>
        </w:numPr>
        <w:autoSpaceDE w:val="0"/>
        <w:autoSpaceDN w:val="0"/>
        <w:adjustRightInd w:val="0"/>
        <w:snapToGrid w:val="0"/>
        <w:spacing w:after="0"/>
        <w:ind w:left="0" w:firstLine="422"/>
        <w:jc w:val="left"/>
        <w:outlineLvl w:val="2"/>
        <w:rPr>
          <w:rFonts w:ascii="宋体" w:hAnsi="宋体"/>
          <w:b/>
          <w:bCs/>
          <w:szCs w:val="21"/>
          <w:highlight w:val="none"/>
        </w:rPr>
      </w:pPr>
      <w:bookmarkStart w:id="9" w:name="_Toc406669472"/>
      <w:bookmarkStart w:id="10" w:name="_Toc404195400"/>
      <w:r>
        <w:rPr>
          <w:rFonts w:hint="eastAsia" w:ascii="宋体" w:hAnsi="宋体"/>
          <w:b/>
          <w:bCs/>
          <w:szCs w:val="21"/>
          <w:highlight w:val="none"/>
        </w:rPr>
        <w:t>项目服务要求</w:t>
      </w:r>
      <w:bookmarkEnd w:id="9"/>
      <w:bookmarkEnd w:id="10"/>
    </w:p>
    <w:p w14:paraId="0E03E4BD">
      <w:pPr>
        <w:widowControl w:val="0"/>
        <w:autoSpaceDE w:val="0"/>
        <w:autoSpaceDN w:val="0"/>
        <w:adjustRightInd w:val="0"/>
        <w:snapToGrid w:val="0"/>
        <w:spacing w:after="0"/>
        <w:ind w:firstLine="420"/>
        <w:jc w:val="left"/>
        <w:rPr>
          <w:rFonts w:ascii="宋体" w:hAnsi="宋体"/>
          <w:szCs w:val="21"/>
          <w:highlight w:val="none"/>
        </w:rPr>
      </w:pPr>
      <w:r>
        <w:rPr>
          <w:rFonts w:hint="eastAsia" w:ascii="宋体" w:hAnsi="宋体"/>
          <w:szCs w:val="21"/>
          <w:highlight w:val="none"/>
        </w:rPr>
        <w:t>本次招标主要包括以下5个方面内容：</w:t>
      </w:r>
    </w:p>
    <w:p w14:paraId="0C8A7B83">
      <w:pPr>
        <w:widowControl w:val="0"/>
        <w:autoSpaceDE w:val="0"/>
        <w:autoSpaceDN w:val="0"/>
        <w:adjustRightInd w:val="0"/>
        <w:snapToGrid w:val="0"/>
        <w:spacing w:after="0"/>
        <w:ind w:firstLine="422"/>
        <w:jc w:val="left"/>
        <w:rPr>
          <w:rFonts w:ascii="宋体" w:hAnsi="宋体"/>
          <w:b/>
          <w:bCs/>
          <w:szCs w:val="21"/>
          <w:highlight w:val="none"/>
        </w:rPr>
      </w:pPr>
      <w:r>
        <w:rPr>
          <w:rFonts w:hint="eastAsia" w:ascii="宋体" w:hAnsi="宋体"/>
          <w:b/>
          <w:bCs/>
          <w:szCs w:val="21"/>
          <w:highlight w:val="none"/>
        </w:rPr>
        <w:t>1、</w:t>
      </w:r>
      <w:r>
        <w:rPr>
          <w:rFonts w:hint="eastAsia" w:ascii="宋体" w:hAnsi="宋体"/>
          <w:b/>
          <w:bCs/>
          <w:highlight w:val="none"/>
        </w:rPr>
        <w:t>服务器采购</w:t>
      </w:r>
    </w:p>
    <w:p w14:paraId="752B8C9C">
      <w:pPr>
        <w:spacing w:after="0"/>
        <w:ind w:firstLine="420"/>
        <w:rPr>
          <w:rFonts w:ascii="宋体" w:hAnsi="宋体"/>
          <w:szCs w:val="21"/>
          <w:highlight w:val="none"/>
        </w:rPr>
      </w:pPr>
      <w:r>
        <w:rPr>
          <w:rFonts w:hint="eastAsia"/>
          <w:highlight w:val="none"/>
        </w:rPr>
        <w:t>算力服务器</w:t>
      </w:r>
      <w:r>
        <w:rPr>
          <w:rFonts w:hint="eastAsia" w:ascii="宋体" w:hAnsi="宋体"/>
          <w:highlight w:val="none"/>
        </w:rPr>
        <w:t>的采购，包括</w:t>
      </w:r>
      <w:r>
        <w:rPr>
          <w:rFonts w:hint="eastAsia"/>
          <w:highlight w:val="none"/>
        </w:rPr>
        <w:t>A</w:t>
      </w:r>
      <w:r>
        <w:rPr>
          <w:highlight w:val="none"/>
        </w:rPr>
        <w:t>I</w:t>
      </w:r>
      <w:r>
        <w:rPr>
          <w:rFonts w:hint="eastAsia"/>
          <w:highlight w:val="none"/>
        </w:rPr>
        <w:t>服务器、通用计算服务器</w:t>
      </w:r>
      <w:r>
        <w:rPr>
          <w:rFonts w:hint="eastAsia" w:ascii="宋体" w:hAnsi="宋体"/>
          <w:highlight w:val="none"/>
        </w:rPr>
        <w:t>。详细设备清单详见下表《服务器设备采购需求表》</w:t>
      </w:r>
      <w:r>
        <w:rPr>
          <w:rFonts w:hint="eastAsia" w:ascii="宋体" w:hAnsi="宋体"/>
          <w:szCs w:val="21"/>
          <w:highlight w:val="none"/>
        </w:rPr>
        <w:t>。</w:t>
      </w:r>
    </w:p>
    <w:p w14:paraId="0F73AEA5">
      <w:pPr>
        <w:spacing w:after="0"/>
        <w:ind w:firstLine="422"/>
        <w:jc w:val="center"/>
        <w:rPr>
          <w:rFonts w:hint="eastAsia" w:ascii="宋体" w:hAnsi="宋体"/>
          <w:b/>
          <w:bCs/>
          <w:highlight w:val="none"/>
        </w:rPr>
      </w:pPr>
    </w:p>
    <w:p w14:paraId="022569DE">
      <w:pPr>
        <w:spacing w:after="0"/>
        <w:ind w:firstLine="422"/>
        <w:jc w:val="center"/>
        <w:rPr>
          <w:rFonts w:hint="eastAsia" w:ascii="宋体" w:hAnsi="宋体"/>
          <w:b/>
          <w:bCs/>
          <w:highlight w:val="none"/>
        </w:rPr>
      </w:pPr>
    </w:p>
    <w:p w14:paraId="7C6DCC67">
      <w:pPr>
        <w:spacing w:after="0"/>
        <w:ind w:firstLine="422"/>
        <w:jc w:val="center"/>
        <w:rPr>
          <w:rFonts w:ascii="宋体" w:hAnsi="宋体"/>
          <w:b/>
          <w:bCs/>
          <w:highlight w:val="none"/>
        </w:rPr>
      </w:pPr>
      <w:r>
        <w:rPr>
          <w:rFonts w:hint="eastAsia" w:ascii="宋体" w:hAnsi="宋体"/>
          <w:b/>
          <w:bCs/>
          <w:highlight w:val="none"/>
        </w:rPr>
        <w:t>服务器设备采购需求表</w:t>
      </w:r>
    </w:p>
    <w:tbl>
      <w:tblPr>
        <w:tblStyle w:val="50"/>
        <w:tblW w:w="5000" w:type="pct"/>
        <w:tblInd w:w="0" w:type="dxa"/>
        <w:tblLayout w:type="autofit"/>
        <w:tblCellMar>
          <w:top w:w="0" w:type="dxa"/>
          <w:left w:w="108" w:type="dxa"/>
          <w:bottom w:w="0" w:type="dxa"/>
          <w:right w:w="108" w:type="dxa"/>
        </w:tblCellMar>
      </w:tblPr>
      <w:tblGrid>
        <w:gridCol w:w="960"/>
        <w:gridCol w:w="3598"/>
        <w:gridCol w:w="983"/>
        <w:gridCol w:w="965"/>
        <w:gridCol w:w="1153"/>
        <w:gridCol w:w="863"/>
      </w:tblGrid>
      <w:tr w14:paraId="5254FDD2">
        <w:tblPrEx>
          <w:tblCellMar>
            <w:top w:w="0" w:type="dxa"/>
            <w:left w:w="108" w:type="dxa"/>
            <w:bottom w:w="0" w:type="dxa"/>
            <w:right w:w="108" w:type="dxa"/>
          </w:tblCellMar>
        </w:tblPrEx>
        <w:trPr>
          <w:trHeight w:val="576" w:hRule="atLeast"/>
        </w:trPr>
        <w:tc>
          <w:tcPr>
            <w:tcW w:w="563" w:type="pct"/>
            <w:tcBorders>
              <w:top w:val="single" w:color="auto" w:sz="4" w:space="0"/>
              <w:left w:val="single" w:color="auto" w:sz="4" w:space="0"/>
              <w:bottom w:val="single" w:color="auto" w:sz="4" w:space="0"/>
              <w:right w:val="single" w:color="auto" w:sz="4" w:space="0"/>
            </w:tcBorders>
            <w:vAlign w:val="center"/>
          </w:tcPr>
          <w:p w14:paraId="591A9A01">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序号</w:t>
            </w:r>
          </w:p>
        </w:tc>
        <w:tc>
          <w:tcPr>
            <w:tcW w:w="2109" w:type="pct"/>
            <w:tcBorders>
              <w:top w:val="single" w:color="auto" w:sz="4" w:space="0"/>
              <w:left w:val="nil"/>
              <w:bottom w:val="single" w:color="auto" w:sz="4" w:space="0"/>
              <w:right w:val="single" w:color="auto" w:sz="4" w:space="0"/>
            </w:tcBorders>
            <w:vAlign w:val="center"/>
          </w:tcPr>
          <w:p w14:paraId="3B0849E7">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名称</w:t>
            </w:r>
          </w:p>
        </w:tc>
        <w:tc>
          <w:tcPr>
            <w:tcW w:w="576" w:type="pct"/>
            <w:tcBorders>
              <w:top w:val="single" w:color="auto" w:sz="4" w:space="0"/>
              <w:left w:val="nil"/>
              <w:bottom w:val="single" w:color="auto" w:sz="4" w:space="0"/>
              <w:right w:val="single" w:color="auto" w:sz="4" w:space="0"/>
            </w:tcBorders>
            <w:vAlign w:val="center"/>
          </w:tcPr>
          <w:p w14:paraId="41F07644">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数量</w:t>
            </w:r>
          </w:p>
        </w:tc>
        <w:tc>
          <w:tcPr>
            <w:tcW w:w="566" w:type="pct"/>
            <w:tcBorders>
              <w:top w:val="single" w:color="auto" w:sz="4" w:space="0"/>
              <w:left w:val="nil"/>
              <w:bottom w:val="single" w:color="auto" w:sz="4" w:space="0"/>
              <w:right w:val="single" w:color="auto" w:sz="4" w:space="0"/>
            </w:tcBorders>
            <w:vAlign w:val="center"/>
          </w:tcPr>
          <w:p w14:paraId="06677C59">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单位</w:t>
            </w:r>
          </w:p>
        </w:tc>
        <w:tc>
          <w:tcPr>
            <w:tcW w:w="676" w:type="pct"/>
            <w:tcBorders>
              <w:top w:val="single" w:color="auto" w:sz="4" w:space="0"/>
              <w:left w:val="nil"/>
              <w:bottom w:val="single" w:color="auto" w:sz="4" w:space="0"/>
              <w:right w:val="single" w:color="auto" w:sz="4" w:space="0"/>
            </w:tcBorders>
            <w:vAlign w:val="center"/>
          </w:tcPr>
          <w:p w14:paraId="11B5A927">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技术要求</w:t>
            </w:r>
          </w:p>
        </w:tc>
        <w:tc>
          <w:tcPr>
            <w:tcW w:w="506" w:type="pct"/>
            <w:tcBorders>
              <w:top w:val="single" w:color="auto" w:sz="4" w:space="0"/>
              <w:left w:val="nil"/>
              <w:bottom w:val="single" w:color="auto" w:sz="4" w:space="0"/>
              <w:right w:val="single" w:color="auto" w:sz="4" w:space="0"/>
            </w:tcBorders>
            <w:vAlign w:val="center"/>
          </w:tcPr>
          <w:p w14:paraId="56BB5312">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备注</w:t>
            </w:r>
          </w:p>
        </w:tc>
      </w:tr>
      <w:tr w14:paraId="518BC107">
        <w:tblPrEx>
          <w:tblCellMar>
            <w:top w:w="0" w:type="dxa"/>
            <w:left w:w="108" w:type="dxa"/>
            <w:bottom w:w="0" w:type="dxa"/>
            <w:right w:w="108" w:type="dxa"/>
          </w:tblCellMar>
        </w:tblPrEx>
        <w:trPr>
          <w:trHeight w:val="864"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14:paraId="79D61CAC">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w:t>
            </w:r>
          </w:p>
        </w:tc>
        <w:tc>
          <w:tcPr>
            <w:tcW w:w="2109" w:type="pct"/>
            <w:tcBorders>
              <w:top w:val="nil"/>
              <w:left w:val="nil"/>
              <w:bottom w:val="single" w:color="auto" w:sz="4" w:space="0"/>
              <w:right w:val="single" w:color="auto" w:sz="4" w:space="0"/>
            </w:tcBorders>
            <w:noWrap/>
            <w:vAlign w:val="center"/>
          </w:tcPr>
          <w:p w14:paraId="1891ADE8">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AI服务器</w:t>
            </w:r>
          </w:p>
        </w:tc>
        <w:tc>
          <w:tcPr>
            <w:tcW w:w="576" w:type="pct"/>
            <w:tcBorders>
              <w:top w:val="nil"/>
              <w:left w:val="nil"/>
              <w:bottom w:val="single" w:color="auto" w:sz="4" w:space="0"/>
              <w:right w:val="single" w:color="auto" w:sz="4" w:space="0"/>
            </w:tcBorders>
            <w:shd w:val="clear" w:color="000000" w:fill="FFFFFF"/>
            <w:noWrap/>
            <w:vAlign w:val="center"/>
          </w:tcPr>
          <w:p w14:paraId="2EDE4E02">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10</w:t>
            </w:r>
          </w:p>
        </w:tc>
        <w:tc>
          <w:tcPr>
            <w:tcW w:w="566" w:type="pct"/>
            <w:tcBorders>
              <w:top w:val="nil"/>
              <w:left w:val="nil"/>
              <w:bottom w:val="single" w:color="auto" w:sz="4" w:space="0"/>
              <w:right w:val="single" w:color="auto" w:sz="4" w:space="0"/>
            </w:tcBorders>
            <w:shd w:val="clear" w:color="000000" w:fill="FFFFFF"/>
            <w:noWrap/>
            <w:vAlign w:val="center"/>
          </w:tcPr>
          <w:p w14:paraId="7FBE30E7">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c>
          <w:tcPr>
            <w:tcW w:w="676" w:type="pct"/>
            <w:tcBorders>
              <w:top w:val="nil"/>
              <w:left w:val="nil"/>
              <w:bottom w:val="single" w:color="auto" w:sz="4" w:space="0"/>
              <w:right w:val="single" w:color="auto" w:sz="4" w:space="0"/>
            </w:tcBorders>
            <w:shd w:val="clear" w:color="000000" w:fill="FFFFFF"/>
            <w:vAlign w:val="center"/>
          </w:tcPr>
          <w:p w14:paraId="2A2B1BFF">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详见技术参数要求表</w:t>
            </w:r>
          </w:p>
        </w:tc>
        <w:tc>
          <w:tcPr>
            <w:tcW w:w="506" w:type="pct"/>
            <w:tcBorders>
              <w:top w:val="nil"/>
              <w:left w:val="nil"/>
              <w:bottom w:val="single" w:color="auto" w:sz="4" w:space="0"/>
              <w:right w:val="single" w:color="auto" w:sz="4" w:space="0"/>
            </w:tcBorders>
            <w:noWrap/>
            <w:vAlign w:val="center"/>
          </w:tcPr>
          <w:p w14:paraId="77B8CBA6">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硬件</w:t>
            </w:r>
          </w:p>
        </w:tc>
      </w:tr>
      <w:tr w14:paraId="2C55700B">
        <w:tblPrEx>
          <w:tblCellMar>
            <w:top w:w="0" w:type="dxa"/>
            <w:left w:w="108" w:type="dxa"/>
            <w:bottom w:w="0" w:type="dxa"/>
            <w:right w:w="108" w:type="dxa"/>
          </w:tblCellMar>
        </w:tblPrEx>
        <w:trPr>
          <w:trHeight w:val="864"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14:paraId="10E58630">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c>
          <w:tcPr>
            <w:tcW w:w="2109" w:type="pct"/>
            <w:tcBorders>
              <w:top w:val="nil"/>
              <w:left w:val="nil"/>
              <w:bottom w:val="single" w:color="auto" w:sz="4" w:space="0"/>
              <w:right w:val="single" w:color="auto" w:sz="4" w:space="0"/>
            </w:tcBorders>
            <w:noWrap/>
            <w:vAlign w:val="center"/>
          </w:tcPr>
          <w:p w14:paraId="520D8691">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大数据节点1</w:t>
            </w:r>
          </w:p>
        </w:tc>
        <w:tc>
          <w:tcPr>
            <w:tcW w:w="576" w:type="pct"/>
            <w:tcBorders>
              <w:top w:val="nil"/>
              <w:left w:val="nil"/>
              <w:bottom w:val="single" w:color="auto" w:sz="4" w:space="0"/>
              <w:right w:val="single" w:color="auto" w:sz="4" w:space="0"/>
            </w:tcBorders>
            <w:shd w:val="clear" w:color="000000" w:fill="FFFFFF"/>
            <w:noWrap/>
            <w:vAlign w:val="center"/>
          </w:tcPr>
          <w:p w14:paraId="64143F5D">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3</w:t>
            </w:r>
          </w:p>
        </w:tc>
        <w:tc>
          <w:tcPr>
            <w:tcW w:w="566" w:type="pct"/>
            <w:tcBorders>
              <w:top w:val="nil"/>
              <w:left w:val="nil"/>
              <w:bottom w:val="single" w:color="auto" w:sz="4" w:space="0"/>
              <w:right w:val="single" w:color="auto" w:sz="4" w:space="0"/>
            </w:tcBorders>
            <w:shd w:val="clear" w:color="000000" w:fill="FFFFFF"/>
            <w:noWrap/>
            <w:vAlign w:val="center"/>
          </w:tcPr>
          <w:p w14:paraId="3ED34A20">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c>
          <w:tcPr>
            <w:tcW w:w="676" w:type="pct"/>
            <w:tcBorders>
              <w:top w:val="nil"/>
              <w:left w:val="nil"/>
              <w:bottom w:val="single" w:color="auto" w:sz="4" w:space="0"/>
              <w:right w:val="single" w:color="auto" w:sz="4" w:space="0"/>
            </w:tcBorders>
            <w:shd w:val="clear" w:color="000000" w:fill="FFFFFF"/>
            <w:vAlign w:val="center"/>
          </w:tcPr>
          <w:p w14:paraId="29992624">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详见技术参数要求表</w:t>
            </w:r>
          </w:p>
        </w:tc>
        <w:tc>
          <w:tcPr>
            <w:tcW w:w="506" w:type="pct"/>
            <w:tcBorders>
              <w:top w:val="nil"/>
              <w:left w:val="nil"/>
              <w:bottom w:val="single" w:color="auto" w:sz="4" w:space="0"/>
              <w:right w:val="single" w:color="auto" w:sz="4" w:space="0"/>
            </w:tcBorders>
            <w:noWrap/>
            <w:vAlign w:val="center"/>
          </w:tcPr>
          <w:p w14:paraId="219163CA">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硬件</w:t>
            </w:r>
          </w:p>
        </w:tc>
      </w:tr>
      <w:tr w14:paraId="25525E54">
        <w:tblPrEx>
          <w:tblCellMar>
            <w:top w:w="0" w:type="dxa"/>
            <w:left w:w="108" w:type="dxa"/>
            <w:bottom w:w="0" w:type="dxa"/>
            <w:right w:w="108" w:type="dxa"/>
          </w:tblCellMar>
        </w:tblPrEx>
        <w:trPr>
          <w:trHeight w:val="864"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14:paraId="1C9C7BCC">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3</w:t>
            </w:r>
          </w:p>
        </w:tc>
        <w:tc>
          <w:tcPr>
            <w:tcW w:w="2109" w:type="pct"/>
            <w:tcBorders>
              <w:top w:val="nil"/>
              <w:left w:val="nil"/>
              <w:bottom w:val="single" w:color="auto" w:sz="4" w:space="0"/>
              <w:right w:val="single" w:color="auto" w:sz="4" w:space="0"/>
            </w:tcBorders>
            <w:noWrap/>
            <w:vAlign w:val="center"/>
          </w:tcPr>
          <w:p w14:paraId="32BD30B8">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大数据节点2</w:t>
            </w:r>
          </w:p>
        </w:tc>
        <w:tc>
          <w:tcPr>
            <w:tcW w:w="576" w:type="pct"/>
            <w:tcBorders>
              <w:top w:val="nil"/>
              <w:left w:val="nil"/>
              <w:bottom w:val="single" w:color="auto" w:sz="4" w:space="0"/>
              <w:right w:val="single" w:color="auto" w:sz="4" w:space="0"/>
            </w:tcBorders>
            <w:shd w:val="clear" w:color="000000" w:fill="FFFFFF"/>
            <w:noWrap/>
            <w:vAlign w:val="center"/>
          </w:tcPr>
          <w:p w14:paraId="62D48AB4">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3</w:t>
            </w:r>
          </w:p>
        </w:tc>
        <w:tc>
          <w:tcPr>
            <w:tcW w:w="566" w:type="pct"/>
            <w:tcBorders>
              <w:top w:val="nil"/>
              <w:left w:val="nil"/>
              <w:bottom w:val="single" w:color="auto" w:sz="4" w:space="0"/>
              <w:right w:val="single" w:color="auto" w:sz="4" w:space="0"/>
            </w:tcBorders>
            <w:shd w:val="clear" w:color="000000" w:fill="FFFFFF"/>
            <w:noWrap/>
            <w:vAlign w:val="center"/>
          </w:tcPr>
          <w:p w14:paraId="16FA4B43">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c>
          <w:tcPr>
            <w:tcW w:w="676" w:type="pct"/>
            <w:tcBorders>
              <w:top w:val="nil"/>
              <w:left w:val="nil"/>
              <w:bottom w:val="single" w:color="auto" w:sz="4" w:space="0"/>
              <w:right w:val="single" w:color="auto" w:sz="4" w:space="0"/>
            </w:tcBorders>
            <w:shd w:val="clear" w:color="000000" w:fill="FFFFFF"/>
            <w:vAlign w:val="center"/>
          </w:tcPr>
          <w:p w14:paraId="3CE3AAF2">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详见技术参数要求表</w:t>
            </w:r>
          </w:p>
        </w:tc>
        <w:tc>
          <w:tcPr>
            <w:tcW w:w="506" w:type="pct"/>
            <w:tcBorders>
              <w:top w:val="nil"/>
              <w:left w:val="nil"/>
              <w:bottom w:val="single" w:color="auto" w:sz="4" w:space="0"/>
              <w:right w:val="single" w:color="auto" w:sz="4" w:space="0"/>
            </w:tcBorders>
            <w:noWrap/>
            <w:vAlign w:val="center"/>
          </w:tcPr>
          <w:p w14:paraId="657753E5">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硬件</w:t>
            </w:r>
          </w:p>
        </w:tc>
      </w:tr>
      <w:tr w14:paraId="15D15263">
        <w:tblPrEx>
          <w:tblCellMar>
            <w:top w:w="0" w:type="dxa"/>
            <w:left w:w="108" w:type="dxa"/>
            <w:bottom w:w="0" w:type="dxa"/>
            <w:right w:w="108" w:type="dxa"/>
          </w:tblCellMar>
        </w:tblPrEx>
        <w:trPr>
          <w:trHeight w:val="864"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14:paraId="74F8BE5E">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w:t>
            </w:r>
          </w:p>
        </w:tc>
        <w:tc>
          <w:tcPr>
            <w:tcW w:w="2109" w:type="pct"/>
            <w:tcBorders>
              <w:top w:val="nil"/>
              <w:left w:val="nil"/>
              <w:bottom w:val="single" w:color="auto" w:sz="4" w:space="0"/>
              <w:right w:val="single" w:color="auto" w:sz="4" w:space="0"/>
            </w:tcBorders>
            <w:noWrap/>
            <w:vAlign w:val="center"/>
          </w:tcPr>
          <w:p w14:paraId="38FBA6CE">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大数据节点3</w:t>
            </w:r>
          </w:p>
        </w:tc>
        <w:tc>
          <w:tcPr>
            <w:tcW w:w="576" w:type="pct"/>
            <w:tcBorders>
              <w:top w:val="nil"/>
              <w:left w:val="nil"/>
              <w:bottom w:val="single" w:color="auto" w:sz="4" w:space="0"/>
              <w:right w:val="single" w:color="auto" w:sz="4" w:space="0"/>
            </w:tcBorders>
            <w:shd w:val="clear" w:color="000000" w:fill="FFFFFF"/>
            <w:noWrap/>
            <w:vAlign w:val="center"/>
          </w:tcPr>
          <w:p w14:paraId="3B362456">
            <w:pPr>
              <w:spacing w:after="0" w:line="240" w:lineRule="auto"/>
              <w:ind w:firstLine="0" w:firstLineChars="0"/>
              <w:jc w:val="center"/>
              <w:rPr>
                <w:rFonts w:ascii="宋体" w:hAnsi="宋体" w:cs="宋体"/>
                <w:kern w:val="0"/>
                <w:sz w:val="18"/>
                <w:szCs w:val="18"/>
                <w:highlight w:val="none"/>
              </w:rPr>
            </w:pPr>
            <w:r>
              <w:rPr>
                <w:rFonts w:ascii="宋体" w:hAnsi="宋体" w:cs="宋体"/>
                <w:kern w:val="0"/>
                <w:sz w:val="18"/>
                <w:szCs w:val="18"/>
                <w:highlight w:val="none"/>
              </w:rPr>
              <w:t>3</w:t>
            </w:r>
          </w:p>
        </w:tc>
        <w:tc>
          <w:tcPr>
            <w:tcW w:w="566" w:type="pct"/>
            <w:tcBorders>
              <w:top w:val="nil"/>
              <w:left w:val="nil"/>
              <w:bottom w:val="single" w:color="auto" w:sz="4" w:space="0"/>
              <w:right w:val="single" w:color="auto" w:sz="4" w:space="0"/>
            </w:tcBorders>
            <w:shd w:val="clear" w:color="000000" w:fill="FFFFFF"/>
            <w:noWrap/>
            <w:vAlign w:val="center"/>
          </w:tcPr>
          <w:p w14:paraId="706A5336">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c>
          <w:tcPr>
            <w:tcW w:w="676" w:type="pct"/>
            <w:tcBorders>
              <w:top w:val="nil"/>
              <w:left w:val="nil"/>
              <w:bottom w:val="single" w:color="auto" w:sz="4" w:space="0"/>
              <w:right w:val="single" w:color="auto" w:sz="4" w:space="0"/>
            </w:tcBorders>
            <w:shd w:val="clear" w:color="000000" w:fill="FFFFFF"/>
            <w:vAlign w:val="center"/>
          </w:tcPr>
          <w:p w14:paraId="22DAAECC">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详见技术参数要求表</w:t>
            </w:r>
          </w:p>
        </w:tc>
        <w:tc>
          <w:tcPr>
            <w:tcW w:w="506" w:type="pct"/>
            <w:tcBorders>
              <w:top w:val="nil"/>
              <w:left w:val="nil"/>
              <w:bottom w:val="single" w:color="auto" w:sz="4" w:space="0"/>
              <w:right w:val="single" w:color="auto" w:sz="4" w:space="0"/>
            </w:tcBorders>
            <w:noWrap/>
            <w:vAlign w:val="center"/>
          </w:tcPr>
          <w:p w14:paraId="06A97626">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硬件</w:t>
            </w:r>
          </w:p>
        </w:tc>
      </w:tr>
      <w:tr w14:paraId="23463539">
        <w:tblPrEx>
          <w:tblCellMar>
            <w:top w:w="0" w:type="dxa"/>
            <w:left w:w="108" w:type="dxa"/>
            <w:bottom w:w="0" w:type="dxa"/>
            <w:right w:w="108" w:type="dxa"/>
          </w:tblCellMar>
        </w:tblPrEx>
        <w:trPr>
          <w:trHeight w:val="864"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14:paraId="22CE9EBB">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w:t>
            </w:r>
          </w:p>
        </w:tc>
        <w:tc>
          <w:tcPr>
            <w:tcW w:w="2109" w:type="pct"/>
            <w:tcBorders>
              <w:top w:val="nil"/>
              <w:left w:val="nil"/>
              <w:bottom w:val="single" w:color="auto" w:sz="4" w:space="0"/>
              <w:right w:val="single" w:color="auto" w:sz="4" w:space="0"/>
            </w:tcBorders>
            <w:noWrap/>
            <w:vAlign w:val="center"/>
          </w:tcPr>
          <w:p w14:paraId="1B857B7E">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裸金属数据仓库网关节点</w:t>
            </w:r>
          </w:p>
        </w:tc>
        <w:tc>
          <w:tcPr>
            <w:tcW w:w="576" w:type="pct"/>
            <w:tcBorders>
              <w:top w:val="nil"/>
              <w:left w:val="nil"/>
              <w:bottom w:val="single" w:color="auto" w:sz="4" w:space="0"/>
              <w:right w:val="single" w:color="auto" w:sz="4" w:space="0"/>
            </w:tcBorders>
            <w:shd w:val="clear" w:color="000000" w:fill="FFFFFF"/>
            <w:noWrap/>
            <w:vAlign w:val="center"/>
          </w:tcPr>
          <w:p w14:paraId="1439AC86">
            <w:pPr>
              <w:spacing w:after="0" w:line="240" w:lineRule="auto"/>
              <w:ind w:firstLine="0" w:firstLineChars="0"/>
              <w:jc w:val="center"/>
              <w:rPr>
                <w:rFonts w:ascii="宋体" w:hAnsi="宋体" w:cs="宋体"/>
                <w:kern w:val="0"/>
                <w:sz w:val="18"/>
                <w:szCs w:val="18"/>
                <w:highlight w:val="none"/>
              </w:rPr>
            </w:pPr>
            <w:r>
              <w:rPr>
                <w:rFonts w:ascii="宋体" w:hAnsi="宋体" w:cs="宋体"/>
                <w:kern w:val="0"/>
                <w:sz w:val="18"/>
                <w:szCs w:val="18"/>
                <w:highlight w:val="none"/>
              </w:rPr>
              <w:t>2</w:t>
            </w:r>
          </w:p>
        </w:tc>
        <w:tc>
          <w:tcPr>
            <w:tcW w:w="566" w:type="pct"/>
            <w:tcBorders>
              <w:top w:val="nil"/>
              <w:left w:val="nil"/>
              <w:bottom w:val="single" w:color="auto" w:sz="4" w:space="0"/>
              <w:right w:val="single" w:color="auto" w:sz="4" w:space="0"/>
            </w:tcBorders>
            <w:shd w:val="clear" w:color="000000" w:fill="FFFFFF"/>
            <w:noWrap/>
            <w:vAlign w:val="center"/>
          </w:tcPr>
          <w:p w14:paraId="6E881C60">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c>
          <w:tcPr>
            <w:tcW w:w="676" w:type="pct"/>
            <w:tcBorders>
              <w:top w:val="nil"/>
              <w:left w:val="nil"/>
              <w:bottom w:val="single" w:color="auto" w:sz="4" w:space="0"/>
              <w:right w:val="single" w:color="auto" w:sz="4" w:space="0"/>
            </w:tcBorders>
            <w:shd w:val="clear" w:color="000000" w:fill="FFFFFF"/>
            <w:vAlign w:val="center"/>
          </w:tcPr>
          <w:p w14:paraId="37FD5C8B">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详见技术参数要求表</w:t>
            </w:r>
          </w:p>
        </w:tc>
        <w:tc>
          <w:tcPr>
            <w:tcW w:w="506" w:type="pct"/>
            <w:tcBorders>
              <w:top w:val="nil"/>
              <w:left w:val="nil"/>
              <w:bottom w:val="single" w:color="auto" w:sz="4" w:space="0"/>
              <w:right w:val="single" w:color="auto" w:sz="4" w:space="0"/>
            </w:tcBorders>
            <w:noWrap/>
            <w:vAlign w:val="center"/>
          </w:tcPr>
          <w:p w14:paraId="6E644EC0">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硬件</w:t>
            </w:r>
          </w:p>
        </w:tc>
      </w:tr>
      <w:tr w14:paraId="7A9BDC68">
        <w:tblPrEx>
          <w:tblCellMar>
            <w:top w:w="0" w:type="dxa"/>
            <w:left w:w="108" w:type="dxa"/>
            <w:bottom w:w="0" w:type="dxa"/>
            <w:right w:w="108" w:type="dxa"/>
          </w:tblCellMar>
        </w:tblPrEx>
        <w:trPr>
          <w:trHeight w:val="864"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14:paraId="1E393524">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6</w:t>
            </w:r>
          </w:p>
        </w:tc>
        <w:tc>
          <w:tcPr>
            <w:tcW w:w="2109" w:type="pct"/>
            <w:tcBorders>
              <w:top w:val="nil"/>
              <w:left w:val="nil"/>
              <w:bottom w:val="single" w:color="auto" w:sz="4" w:space="0"/>
              <w:right w:val="single" w:color="auto" w:sz="4" w:space="0"/>
            </w:tcBorders>
            <w:vAlign w:val="center"/>
          </w:tcPr>
          <w:p w14:paraId="74BD68D9">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数据仓库节点</w:t>
            </w:r>
          </w:p>
        </w:tc>
        <w:tc>
          <w:tcPr>
            <w:tcW w:w="576" w:type="pct"/>
            <w:tcBorders>
              <w:top w:val="nil"/>
              <w:left w:val="nil"/>
              <w:bottom w:val="single" w:color="auto" w:sz="4" w:space="0"/>
              <w:right w:val="single" w:color="auto" w:sz="4" w:space="0"/>
            </w:tcBorders>
            <w:shd w:val="clear" w:color="000000" w:fill="FFFFFF"/>
            <w:noWrap/>
            <w:vAlign w:val="center"/>
          </w:tcPr>
          <w:p w14:paraId="6CE48839">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3</w:t>
            </w:r>
          </w:p>
        </w:tc>
        <w:tc>
          <w:tcPr>
            <w:tcW w:w="566" w:type="pct"/>
            <w:tcBorders>
              <w:top w:val="nil"/>
              <w:left w:val="nil"/>
              <w:bottom w:val="single" w:color="auto" w:sz="4" w:space="0"/>
              <w:right w:val="single" w:color="auto" w:sz="4" w:space="0"/>
            </w:tcBorders>
            <w:shd w:val="clear" w:color="000000" w:fill="FFFFFF"/>
            <w:noWrap/>
            <w:vAlign w:val="center"/>
          </w:tcPr>
          <w:p w14:paraId="44E7949D">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c>
          <w:tcPr>
            <w:tcW w:w="676" w:type="pct"/>
            <w:tcBorders>
              <w:top w:val="nil"/>
              <w:left w:val="nil"/>
              <w:bottom w:val="single" w:color="auto" w:sz="4" w:space="0"/>
              <w:right w:val="single" w:color="auto" w:sz="4" w:space="0"/>
            </w:tcBorders>
            <w:shd w:val="clear" w:color="000000" w:fill="FFFFFF"/>
            <w:vAlign w:val="center"/>
          </w:tcPr>
          <w:p w14:paraId="2628E3C8">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详见技术参数要求表</w:t>
            </w:r>
          </w:p>
        </w:tc>
        <w:tc>
          <w:tcPr>
            <w:tcW w:w="506" w:type="pct"/>
            <w:tcBorders>
              <w:top w:val="nil"/>
              <w:left w:val="nil"/>
              <w:bottom w:val="single" w:color="auto" w:sz="4" w:space="0"/>
              <w:right w:val="single" w:color="auto" w:sz="4" w:space="0"/>
            </w:tcBorders>
            <w:noWrap/>
            <w:vAlign w:val="center"/>
          </w:tcPr>
          <w:p w14:paraId="73911AC2">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硬件</w:t>
            </w:r>
          </w:p>
        </w:tc>
      </w:tr>
      <w:tr w14:paraId="5AAAA1EF">
        <w:tblPrEx>
          <w:tblCellMar>
            <w:top w:w="0" w:type="dxa"/>
            <w:left w:w="108" w:type="dxa"/>
            <w:bottom w:w="0" w:type="dxa"/>
            <w:right w:w="108" w:type="dxa"/>
          </w:tblCellMar>
        </w:tblPrEx>
        <w:trPr>
          <w:trHeight w:val="864"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14:paraId="3D85C1EF">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7</w:t>
            </w:r>
          </w:p>
        </w:tc>
        <w:tc>
          <w:tcPr>
            <w:tcW w:w="2109" w:type="pct"/>
            <w:tcBorders>
              <w:top w:val="nil"/>
              <w:left w:val="nil"/>
              <w:bottom w:val="single" w:color="auto" w:sz="4" w:space="0"/>
              <w:right w:val="single" w:color="auto" w:sz="4" w:space="0"/>
            </w:tcBorders>
            <w:vAlign w:val="center"/>
          </w:tcPr>
          <w:p w14:paraId="3F66FA07">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高性能网络节点</w:t>
            </w:r>
          </w:p>
        </w:tc>
        <w:tc>
          <w:tcPr>
            <w:tcW w:w="576" w:type="pct"/>
            <w:tcBorders>
              <w:top w:val="nil"/>
              <w:left w:val="nil"/>
              <w:bottom w:val="single" w:color="auto" w:sz="4" w:space="0"/>
              <w:right w:val="single" w:color="auto" w:sz="4" w:space="0"/>
            </w:tcBorders>
            <w:shd w:val="clear" w:color="000000" w:fill="FFFFFF"/>
            <w:noWrap/>
            <w:vAlign w:val="center"/>
          </w:tcPr>
          <w:p w14:paraId="21CC0535">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2</w:t>
            </w:r>
          </w:p>
        </w:tc>
        <w:tc>
          <w:tcPr>
            <w:tcW w:w="566" w:type="pct"/>
            <w:tcBorders>
              <w:top w:val="nil"/>
              <w:left w:val="nil"/>
              <w:bottom w:val="single" w:color="auto" w:sz="4" w:space="0"/>
              <w:right w:val="single" w:color="auto" w:sz="4" w:space="0"/>
            </w:tcBorders>
            <w:shd w:val="clear" w:color="000000" w:fill="FFFFFF"/>
            <w:noWrap/>
            <w:vAlign w:val="center"/>
          </w:tcPr>
          <w:p w14:paraId="5EEDDE62">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c>
          <w:tcPr>
            <w:tcW w:w="676" w:type="pct"/>
            <w:tcBorders>
              <w:top w:val="nil"/>
              <w:left w:val="nil"/>
              <w:bottom w:val="single" w:color="auto" w:sz="4" w:space="0"/>
              <w:right w:val="single" w:color="auto" w:sz="4" w:space="0"/>
            </w:tcBorders>
            <w:shd w:val="clear" w:color="000000" w:fill="FFFFFF"/>
            <w:vAlign w:val="center"/>
          </w:tcPr>
          <w:p w14:paraId="3E5D1A46">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详见技术参数要求表</w:t>
            </w:r>
          </w:p>
        </w:tc>
        <w:tc>
          <w:tcPr>
            <w:tcW w:w="506" w:type="pct"/>
            <w:tcBorders>
              <w:top w:val="nil"/>
              <w:left w:val="nil"/>
              <w:bottom w:val="single" w:color="auto" w:sz="4" w:space="0"/>
              <w:right w:val="single" w:color="auto" w:sz="4" w:space="0"/>
            </w:tcBorders>
            <w:noWrap/>
            <w:vAlign w:val="center"/>
          </w:tcPr>
          <w:p w14:paraId="0F314564">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硬件</w:t>
            </w:r>
          </w:p>
        </w:tc>
      </w:tr>
      <w:tr w14:paraId="0A2C09C5">
        <w:tblPrEx>
          <w:tblCellMar>
            <w:top w:w="0" w:type="dxa"/>
            <w:left w:w="108" w:type="dxa"/>
            <w:bottom w:w="0" w:type="dxa"/>
            <w:right w:w="108" w:type="dxa"/>
          </w:tblCellMar>
        </w:tblPrEx>
        <w:trPr>
          <w:trHeight w:val="864"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14:paraId="6BE5247D">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8</w:t>
            </w:r>
          </w:p>
        </w:tc>
        <w:tc>
          <w:tcPr>
            <w:tcW w:w="2109" w:type="pct"/>
            <w:tcBorders>
              <w:top w:val="nil"/>
              <w:left w:val="nil"/>
              <w:bottom w:val="single" w:color="auto" w:sz="4" w:space="0"/>
              <w:right w:val="single" w:color="auto" w:sz="4" w:space="0"/>
            </w:tcBorders>
            <w:vAlign w:val="center"/>
          </w:tcPr>
          <w:p w14:paraId="4941B082">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管理节点</w:t>
            </w:r>
          </w:p>
        </w:tc>
        <w:tc>
          <w:tcPr>
            <w:tcW w:w="576" w:type="pct"/>
            <w:tcBorders>
              <w:top w:val="nil"/>
              <w:left w:val="nil"/>
              <w:bottom w:val="single" w:color="auto" w:sz="4" w:space="0"/>
              <w:right w:val="single" w:color="auto" w:sz="4" w:space="0"/>
            </w:tcBorders>
            <w:shd w:val="clear" w:color="000000" w:fill="FFFFFF"/>
            <w:noWrap/>
            <w:vAlign w:val="center"/>
          </w:tcPr>
          <w:p w14:paraId="3C0085D7">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5</w:t>
            </w:r>
          </w:p>
        </w:tc>
        <w:tc>
          <w:tcPr>
            <w:tcW w:w="566" w:type="pct"/>
            <w:tcBorders>
              <w:top w:val="nil"/>
              <w:left w:val="nil"/>
              <w:bottom w:val="single" w:color="auto" w:sz="4" w:space="0"/>
              <w:right w:val="single" w:color="auto" w:sz="4" w:space="0"/>
            </w:tcBorders>
            <w:shd w:val="clear" w:color="000000" w:fill="FFFFFF"/>
            <w:noWrap/>
            <w:vAlign w:val="center"/>
          </w:tcPr>
          <w:p w14:paraId="6AFC1F50">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c>
          <w:tcPr>
            <w:tcW w:w="676" w:type="pct"/>
            <w:tcBorders>
              <w:top w:val="nil"/>
              <w:left w:val="nil"/>
              <w:bottom w:val="single" w:color="auto" w:sz="4" w:space="0"/>
              <w:right w:val="single" w:color="auto" w:sz="4" w:space="0"/>
            </w:tcBorders>
            <w:shd w:val="clear" w:color="000000" w:fill="FFFFFF"/>
            <w:vAlign w:val="center"/>
          </w:tcPr>
          <w:p w14:paraId="53E696A1">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详见技术参数要求表</w:t>
            </w:r>
          </w:p>
        </w:tc>
        <w:tc>
          <w:tcPr>
            <w:tcW w:w="506" w:type="pct"/>
            <w:tcBorders>
              <w:top w:val="nil"/>
              <w:left w:val="nil"/>
              <w:bottom w:val="single" w:color="auto" w:sz="4" w:space="0"/>
              <w:right w:val="single" w:color="auto" w:sz="4" w:space="0"/>
            </w:tcBorders>
            <w:noWrap/>
            <w:vAlign w:val="center"/>
          </w:tcPr>
          <w:p w14:paraId="6AD56D44">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硬件</w:t>
            </w:r>
          </w:p>
        </w:tc>
      </w:tr>
      <w:tr w14:paraId="0BFEB138">
        <w:tblPrEx>
          <w:tblCellMar>
            <w:top w:w="0" w:type="dxa"/>
            <w:left w:w="108" w:type="dxa"/>
            <w:bottom w:w="0" w:type="dxa"/>
            <w:right w:w="108" w:type="dxa"/>
          </w:tblCellMar>
        </w:tblPrEx>
        <w:trPr>
          <w:trHeight w:val="864" w:hRule="atLeast"/>
        </w:trPr>
        <w:tc>
          <w:tcPr>
            <w:tcW w:w="563" w:type="pct"/>
            <w:tcBorders>
              <w:top w:val="nil"/>
              <w:left w:val="single" w:color="auto" w:sz="4" w:space="0"/>
              <w:bottom w:val="single" w:color="auto" w:sz="4" w:space="0"/>
              <w:right w:val="single" w:color="auto" w:sz="4" w:space="0"/>
            </w:tcBorders>
            <w:shd w:val="clear" w:color="000000" w:fill="FFFFFF"/>
            <w:vAlign w:val="center"/>
          </w:tcPr>
          <w:p w14:paraId="6249E460">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9</w:t>
            </w:r>
          </w:p>
        </w:tc>
        <w:tc>
          <w:tcPr>
            <w:tcW w:w="2109" w:type="pct"/>
            <w:tcBorders>
              <w:top w:val="nil"/>
              <w:left w:val="nil"/>
              <w:bottom w:val="single" w:color="auto" w:sz="4" w:space="0"/>
              <w:right w:val="single" w:color="auto" w:sz="4" w:space="0"/>
            </w:tcBorders>
            <w:vAlign w:val="center"/>
          </w:tcPr>
          <w:p w14:paraId="02F98352">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通用计算</w:t>
            </w:r>
          </w:p>
        </w:tc>
        <w:tc>
          <w:tcPr>
            <w:tcW w:w="576" w:type="pct"/>
            <w:tcBorders>
              <w:top w:val="nil"/>
              <w:left w:val="nil"/>
              <w:bottom w:val="single" w:color="auto" w:sz="4" w:space="0"/>
              <w:right w:val="single" w:color="auto" w:sz="4" w:space="0"/>
            </w:tcBorders>
            <w:shd w:val="clear" w:color="000000" w:fill="FFFFFF"/>
            <w:noWrap/>
            <w:vAlign w:val="center"/>
          </w:tcPr>
          <w:p w14:paraId="193C9E2D">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9</w:t>
            </w:r>
          </w:p>
        </w:tc>
        <w:tc>
          <w:tcPr>
            <w:tcW w:w="566" w:type="pct"/>
            <w:tcBorders>
              <w:top w:val="nil"/>
              <w:left w:val="nil"/>
              <w:bottom w:val="single" w:color="auto" w:sz="4" w:space="0"/>
              <w:right w:val="single" w:color="auto" w:sz="4" w:space="0"/>
            </w:tcBorders>
            <w:shd w:val="clear" w:color="000000" w:fill="FFFFFF"/>
            <w:noWrap/>
            <w:vAlign w:val="center"/>
          </w:tcPr>
          <w:p w14:paraId="66C5D511">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c>
          <w:tcPr>
            <w:tcW w:w="676" w:type="pct"/>
            <w:tcBorders>
              <w:top w:val="nil"/>
              <w:left w:val="nil"/>
              <w:bottom w:val="single" w:color="auto" w:sz="4" w:space="0"/>
              <w:right w:val="single" w:color="auto" w:sz="4" w:space="0"/>
            </w:tcBorders>
            <w:shd w:val="clear" w:color="000000" w:fill="FFFFFF"/>
            <w:vAlign w:val="center"/>
          </w:tcPr>
          <w:p w14:paraId="56C58EF3">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详见技术参数要求表</w:t>
            </w:r>
          </w:p>
        </w:tc>
        <w:tc>
          <w:tcPr>
            <w:tcW w:w="506" w:type="pct"/>
            <w:tcBorders>
              <w:top w:val="nil"/>
              <w:left w:val="nil"/>
              <w:bottom w:val="single" w:color="auto" w:sz="4" w:space="0"/>
              <w:right w:val="single" w:color="auto" w:sz="4" w:space="0"/>
            </w:tcBorders>
            <w:noWrap/>
            <w:vAlign w:val="center"/>
          </w:tcPr>
          <w:p w14:paraId="426F8B99">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硬件</w:t>
            </w:r>
          </w:p>
        </w:tc>
      </w:tr>
    </w:tbl>
    <w:p w14:paraId="13211D7D">
      <w:pPr>
        <w:spacing w:after="0"/>
        <w:ind w:firstLine="422"/>
        <w:jc w:val="center"/>
        <w:rPr>
          <w:rFonts w:ascii="宋体" w:hAnsi="宋体"/>
          <w:b/>
          <w:bCs/>
          <w:highlight w:val="none"/>
        </w:rPr>
      </w:pPr>
    </w:p>
    <w:p w14:paraId="3C2E45C1">
      <w:pPr>
        <w:widowControl w:val="0"/>
        <w:autoSpaceDE w:val="0"/>
        <w:autoSpaceDN w:val="0"/>
        <w:adjustRightInd w:val="0"/>
        <w:snapToGrid w:val="0"/>
        <w:spacing w:after="0"/>
        <w:ind w:firstLine="422"/>
        <w:jc w:val="left"/>
        <w:rPr>
          <w:rFonts w:ascii="宋体" w:hAnsi="宋体"/>
          <w:b/>
          <w:bCs/>
          <w:szCs w:val="21"/>
          <w:highlight w:val="none"/>
        </w:rPr>
      </w:pPr>
      <w:r>
        <w:rPr>
          <w:rFonts w:hint="eastAsia" w:ascii="宋体" w:hAnsi="宋体"/>
          <w:b/>
          <w:bCs/>
          <w:szCs w:val="21"/>
          <w:highlight w:val="none"/>
        </w:rPr>
        <w:t>2、交换机采购</w:t>
      </w:r>
    </w:p>
    <w:p w14:paraId="42200378">
      <w:pPr>
        <w:spacing w:after="0"/>
        <w:ind w:firstLine="420"/>
        <w:rPr>
          <w:rFonts w:ascii="宋体" w:hAnsi="宋体"/>
          <w:szCs w:val="21"/>
          <w:highlight w:val="none"/>
        </w:rPr>
      </w:pPr>
      <w:bookmarkStart w:id="11" w:name="_Hlk218863692"/>
      <w:r>
        <w:rPr>
          <w:rFonts w:hint="eastAsia"/>
          <w:highlight w:val="none"/>
        </w:rPr>
        <w:t>交换机</w:t>
      </w:r>
      <w:r>
        <w:rPr>
          <w:rFonts w:hint="eastAsia" w:ascii="宋体" w:hAnsi="宋体"/>
          <w:highlight w:val="none"/>
        </w:rPr>
        <w:t>的采购，包括</w:t>
      </w:r>
      <w:r>
        <w:rPr>
          <w:rFonts w:hint="eastAsia"/>
          <w:highlight w:val="none"/>
        </w:rPr>
        <w:t>业务接入交换机、BMC接入交换机、参数面交换机</w:t>
      </w:r>
      <w:r>
        <w:rPr>
          <w:rFonts w:hint="eastAsia" w:ascii="宋体" w:hAnsi="宋体"/>
          <w:highlight w:val="none"/>
        </w:rPr>
        <w:t>。</w:t>
      </w:r>
      <w:bookmarkEnd w:id="11"/>
    </w:p>
    <w:p w14:paraId="5DA398E0">
      <w:pPr>
        <w:spacing w:after="0"/>
        <w:ind w:firstLine="422"/>
        <w:jc w:val="center"/>
        <w:rPr>
          <w:rFonts w:ascii="宋体" w:hAnsi="宋体"/>
          <w:b/>
          <w:bCs/>
          <w:highlight w:val="none"/>
        </w:rPr>
      </w:pPr>
      <w:r>
        <w:rPr>
          <w:rFonts w:hint="eastAsia" w:ascii="宋体" w:hAnsi="宋体"/>
          <w:b/>
          <w:bCs/>
          <w:highlight w:val="none"/>
        </w:rPr>
        <w:t>交换机设备采购需求表</w:t>
      </w:r>
    </w:p>
    <w:tbl>
      <w:tblPr>
        <w:tblStyle w:val="50"/>
        <w:tblW w:w="5000" w:type="pct"/>
        <w:tblInd w:w="0" w:type="dxa"/>
        <w:tblLayout w:type="autofit"/>
        <w:tblCellMar>
          <w:top w:w="0" w:type="dxa"/>
          <w:left w:w="108" w:type="dxa"/>
          <w:bottom w:w="0" w:type="dxa"/>
          <w:right w:w="108" w:type="dxa"/>
        </w:tblCellMar>
      </w:tblPr>
      <w:tblGrid>
        <w:gridCol w:w="1123"/>
        <w:gridCol w:w="2812"/>
        <w:gridCol w:w="1141"/>
        <w:gridCol w:w="1129"/>
        <w:gridCol w:w="1125"/>
        <w:gridCol w:w="1192"/>
      </w:tblGrid>
      <w:tr w14:paraId="03111CF6">
        <w:tblPrEx>
          <w:tblCellMar>
            <w:top w:w="0" w:type="dxa"/>
            <w:left w:w="108" w:type="dxa"/>
            <w:bottom w:w="0" w:type="dxa"/>
            <w:right w:w="108" w:type="dxa"/>
          </w:tblCellMar>
        </w:tblPrEx>
        <w:trPr>
          <w:trHeight w:val="576" w:hRule="atLeast"/>
        </w:trPr>
        <w:tc>
          <w:tcPr>
            <w:tcW w:w="659" w:type="pct"/>
            <w:tcBorders>
              <w:top w:val="single" w:color="auto" w:sz="4" w:space="0"/>
              <w:left w:val="single" w:color="auto" w:sz="4" w:space="0"/>
              <w:bottom w:val="single" w:color="auto" w:sz="4" w:space="0"/>
              <w:right w:val="single" w:color="auto" w:sz="4" w:space="0"/>
            </w:tcBorders>
            <w:vAlign w:val="center"/>
          </w:tcPr>
          <w:p w14:paraId="74F05A2D">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序号</w:t>
            </w:r>
          </w:p>
        </w:tc>
        <w:tc>
          <w:tcPr>
            <w:tcW w:w="1649" w:type="pct"/>
            <w:tcBorders>
              <w:top w:val="single" w:color="auto" w:sz="4" w:space="0"/>
              <w:left w:val="nil"/>
              <w:bottom w:val="single" w:color="auto" w:sz="4" w:space="0"/>
              <w:right w:val="single" w:color="auto" w:sz="4" w:space="0"/>
            </w:tcBorders>
            <w:vAlign w:val="center"/>
          </w:tcPr>
          <w:p w14:paraId="590174FC">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名称</w:t>
            </w:r>
          </w:p>
        </w:tc>
        <w:tc>
          <w:tcPr>
            <w:tcW w:w="669" w:type="pct"/>
            <w:tcBorders>
              <w:top w:val="single" w:color="auto" w:sz="4" w:space="0"/>
              <w:left w:val="nil"/>
              <w:bottom w:val="single" w:color="auto" w:sz="4" w:space="0"/>
              <w:right w:val="single" w:color="auto" w:sz="4" w:space="0"/>
            </w:tcBorders>
            <w:vAlign w:val="center"/>
          </w:tcPr>
          <w:p w14:paraId="63AEC2C2">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数量</w:t>
            </w:r>
          </w:p>
        </w:tc>
        <w:tc>
          <w:tcPr>
            <w:tcW w:w="662" w:type="pct"/>
            <w:tcBorders>
              <w:top w:val="single" w:color="auto" w:sz="4" w:space="0"/>
              <w:left w:val="nil"/>
              <w:bottom w:val="single" w:color="auto" w:sz="4" w:space="0"/>
              <w:right w:val="single" w:color="auto" w:sz="4" w:space="0"/>
            </w:tcBorders>
            <w:vAlign w:val="center"/>
          </w:tcPr>
          <w:p w14:paraId="0D154B56">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单位</w:t>
            </w:r>
          </w:p>
        </w:tc>
        <w:tc>
          <w:tcPr>
            <w:tcW w:w="660" w:type="pct"/>
            <w:tcBorders>
              <w:top w:val="single" w:color="auto" w:sz="4" w:space="0"/>
              <w:left w:val="nil"/>
              <w:bottom w:val="single" w:color="auto" w:sz="4" w:space="0"/>
              <w:right w:val="single" w:color="auto" w:sz="4" w:space="0"/>
            </w:tcBorders>
            <w:vAlign w:val="center"/>
          </w:tcPr>
          <w:p w14:paraId="69EE399D">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技术要求</w:t>
            </w:r>
          </w:p>
        </w:tc>
        <w:tc>
          <w:tcPr>
            <w:tcW w:w="699" w:type="pct"/>
            <w:tcBorders>
              <w:top w:val="single" w:color="auto" w:sz="4" w:space="0"/>
              <w:left w:val="nil"/>
              <w:bottom w:val="single" w:color="auto" w:sz="4" w:space="0"/>
              <w:right w:val="single" w:color="auto" w:sz="4" w:space="0"/>
            </w:tcBorders>
            <w:vAlign w:val="center"/>
          </w:tcPr>
          <w:p w14:paraId="159FB8F8">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备注</w:t>
            </w:r>
          </w:p>
        </w:tc>
      </w:tr>
      <w:tr w14:paraId="2A9FF1EE">
        <w:tblPrEx>
          <w:tblCellMar>
            <w:top w:w="0" w:type="dxa"/>
            <w:left w:w="108" w:type="dxa"/>
            <w:bottom w:w="0" w:type="dxa"/>
            <w:right w:w="108" w:type="dxa"/>
          </w:tblCellMar>
        </w:tblPrEx>
        <w:trPr>
          <w:trHeight w:val="90" w:hRule="atLeast"/>
        </w:trPr>
        <w:tc>
          <w:tcPr>
            <w:tcW w:w="659" w:type="pct"/>
            <w:tcBorders>
              <w:top w:val="nil"/>
              <w:left w:val="single" w:color="auto" w:sz="4" w:space="0"/>
              <w:bottom w:val="single" w:color="auto" w:sz="4" w:space="0"/>
              <w:right w:val="single" w:color="auto" w:sz="4" w:space="0"/>
            </w:tcBorders>
            <w:shd w:val="clear" w:color="000000" w:fill="FFFFFF"/>
            <w:vAlign w:val="center"/>
          </w:tcPr>
          <w:p w14:paraId="6AFB592E">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w:t>
            </w:r>
          </w:p>
        </w:tc>
        <w:tc>
          <w:tcPr>
            <w:tcW w:w="1649" w:type="pct"/>
            <w:tcBorders>
              <w:top w:val="nil"/>
              <w:left w:val="nil"/>
              <w:bottom w:val="single" w:color="auto" w:sz="4" w:space="0"/>
              <w:right w:val="single" w:color="auto" w:sz="4" w:space="0"/>
            </w:tcBorders>
            <w:noWrap/>
            <w:vAlign w:val="center"/>
          </w:tcPr>
          <w:p w14:paraId="2E9326B9">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业务接入交换机</w:t>
            </w:r>
          </w:p>
        </w:tc>
        <w:tc>
          <w:tcPr>
            <w:tcW w:w="669" w:type="pct"/>
            <w:tcBorders>
              <w:top w:val="nil"/>
              <w:left w:val="nil"/>
              <w:bottom w:val="single" w:color="auto" w:sz="4" w:space="0"/>
              <w:right w:val="single" w:color="auto" w:sz="4" w:space="0"/>
            </w:tcBorders>
            <w:shd w:val="clear" w:color="000000" w:fill="FFFFFF"/>
            <w:noWrap/>
            <w:vAlign w:val="center"/>
          </w:tcPr>
          <w:p w14:paraId="2FC14242">
            <w:pPr>
              <w:spacing w:after="0" w:line="240" w:lineRule="auto"/>
              <w:ind w:firstLine="0" w:firstLineChars="0"/>
              <w:jc w:val="center"/>
              <w:rPr>
                <w:rFonts w:ascii="宋体" w:hAnsi="宋体" w:cs="宋体"/>
                <w:kern w:val="0"/>
                <w:sz w:val="18"/>
                <w:szCs w:val="18"/>
                <w:highlight w:val="none"/>
              </w:rPr>
            </w:pPr>
            <w:r>
              <w:rPr>
                <w:rFonts w:ascii="宋体" w:hAnsi="宋体" w:cs="宋体"/>
                <w:kern w:val="0"/>
                <w:sz w:val="18"/>
                <w:szCs w:val="18"/>
                <w:highlight w:val="none"/>
              </w:rPr>
              <w:t>2</w:t>
            </w:r>
          </w:p>
        </w:tc>
        <w:tc>
          <w:tcPr>
            <w:tcW w:w="662" w:type="pct"/>
            <w:tcBorders>
              <w:top w:val="nil"/>
              <w:left w:val="nil"/>
              <w:bottom w:val="single" w:color="auto" w:sz="4" w:space="0"/>
              <w:right w:val="single" w:color="auto" w:sz="4" w:space="0"/>
            </w:tcBorders>
            <w:shd w:val="clear" w:color="000000" w:fill="FFFFFF"/>
            <w:noWrap/>
            <w:vAlign w:val="center"/>
          </w:tcPr>
          <w:p w14:paraId="4E2869F4">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c>
          <w:tcPr>
            <w:tcW w:w="660" w:type="pct"/>
            <w:tcBorders>
              <w:top w:val="nil"/>
              <w:left w:val="nil"/>
              <w:bottom w:val="single" w:color="auto" w:sz="4" w:space="0"/>
              <w:right w:val="single" w:color="auto" w:sz="4" w:space="0"/>
            </w:tcBorders>
            <w:shd w:val="clear" w:color="000000" w:fill="FFFFFF"/>
            <w:vAlign w:val="center"/>
          </w:tcPr>
          <w:p w14:paraId="15311A11">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详见技术参数要求表</w:t>
            </w:r>
          </w:p>
        </w:tc>
        <w:tc>
          <w:tcPr>
            <w:tcW w:w="699" w:type="pct"/>
            <w:tcBorders>
              <w:top w:val="nil"/>
              <w:left w:val="nil"/>
              <w:bottom w:val="single" w:color="auto" w:sz="4" w:space="0"/>
              <w:right w:val="single" w:color="auto" w:sz="4" w:space="0"/>
            </w:tcBorders>
            <w:noWrap/>
            <w:vAlign w:val="center"/>
          </w:tcPr>
          <w:p w14:paraId="4119776C">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硬件</w:t>
            </w:r>
          </w:p>
        </w:tc>
      </w:tr>
      <w:tr w14:paraId="4A087A80">
        <w:tblPrEx>
          <w:tblCellMar>
            <w:top w:w="0" w:type="dxa"/>
            <w:left w:w="108" w:type="dxa"/>
            <w:bottom w:w="0" w:type="dxa"/>
            <w:right w:w="108" w:type="dxa"/>
          </w:tblCellMar>
        </w:tblPrEx>
        <w:trPr>
          <w:trHeight w:val="714" w:hRule="atLeast"/>
        </w:trPr>
        <w:tc>
          <w:tcPr>
            <w:tcW w:w="659" w:type="pct"/>
            <w:tcBorders>
              <w:top w:val="nil"/>
              <w:left w:val="single" w:color="auto" w:sz="4" w:space="0"/>
              <w:bottom w:val="single" w:color="auto" w:sz="4" w:space="0"/>
              <w:right w:val="single" w:color="auto" w:sz="4" w:space="0"/>
            </w:tcBorders>
            <w:shd w:val="clear" w:color="000000" w:fill="FFFFFF"/>
            <w:vAlign w:val="center"/>
          </w:tcPr>
          <w:p w14:paraId="5A5A63EF">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c>
          <w:tcPr>
            <w:tcW w:w="1649" w:type="pct"/>
            <w:tcBorders>
              <w:top w:val="nil"/>
              <w:left w:val="nil"/>
              <w:bottom w:val="single" w:color="auto" w:sz="4" w:space="0"/>
              <w:right w:val="single" w:color="auto" w:sz="4" w:space="0"/>
            </w:tcBorders>
            <w:noWrap/>
            <w:vAlign w:val="center"/>
          </w:tcPr>
          <w:p w14:paraId="301F71E2">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BMC接入交换机</w:t>
            </w:r>
          </w:p>
        </w:tc>
        <w:tc>
          <w:tcPr>
            <w:tcW w:w="669" w:type="pct"/>
            <w:tcBorders>
              <w:top w:val="nil"/>
              <w:left w:val="nil"/>
              <w:bottom w:val="single" w:color="auto" w:sz="4" w:space="0"/>
              <w:right w:val="single" w:color="auto" w:sz="4" w:space="0"/>
            </w:tcBorders>
            <w:shd w:val="clear" w:color="000000" w:fill="FFFFFF"/>
            <w:noWrap/>
            <w:vAlign w:val="center"/>
          </w:tcPr>
          <w:p w14:paraId="077EBC3E">
            <w:pPr>
              <w:spacing w:after="0" w:line="240" w:lineRule="auto"/>
              <w:ind w:firstLine="0" w:firstLineChars="0"/>
              <w:jc w:val="center"/>
              <w:rPr>
                <w:rFonts w:ascii="宋体" w:hAnsi="宋体" w:cs="宋体"/>
                <w:kern w:val="0"/>
                <w:sz w:val="18"/>
                <w:szCs w:val="18"/>
                <w:highlight w:val="none"/>
              </w:rPr>
            </w:pPr>
            <w:r>
              <w:rPr>
                <w:rFonts w:ascii="宋体" w:hAnsi="宋体" w:cs="宋体"/>
                <w:kern w:val="0"/>
                <w:sz w:val="18"/>
                <w:szCs w:val="18"/>
                <w:highlight w:val="none"/>
              </w:rPr>
              <w:t>1</w:t>
            </w:r>
          </w:p>
        </w:tc>
        <w:tc>
          <w:tcPr>
            <w:tcW w:w="662" w:type="pct"/>
            <w:tcBorders>
              <w:top w:val="nil"/>
              <w:left w:val="nil"/>
              <w:bottom w:val="single" w:color="auto" w:sz="4" w:space="0"/>
              <w:right w:val="single" w:color="auto" w:sz="4" w:space="0"/>
            </w:tcBorders>
            <w:shd w:val="clear" w:color="000000" w:fill="FFFFFF"/>
            <w:noWrap/>
            <w:vAlign w:val="center"/>
          </w:tcPr>
          <w:p w14:paraId="57CDA947">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c>
          <w:tcPr>
            <w:tcW w:w="660" w:type="pct"/>
            <w:tcBorders>
              <w:top w:val="nil"/>
              <w:left w:val="nil"/>
              <w:bottom w:val="single" w:color="auto" w:sz="4" w:space="0"/>
              <w:right w:val="single" w:color="auto" w:sz="4" w:space="0"/>
            </w:tcBorders>
            <w:shd w:val="clear" w:color="000000" w:fill="FFFFFF"/>
            <w:vAlign w:val="center"/>
          </w:tcPr>
          <w:p w14:paraId="31FBB5E6">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详见技术参数要求表</w:t>
            </w:r>
          </w:p>
        </w:tc>
        <w:tc>
          <w:tcPr>
            <w:tcW w:w="699" w:type="pct"/>
            <w:tcBorders>
              <w:top w:val="nil"/>
              <w:left w:val="nil"/>
              <w:bottom w:val="single" w:color="auto" w:sz="4" w:space="0"/>
              <w:right w:val="single" w:color="auto" w:sz="4" w:space="0"/>
            </w:tcBorders>
            <w:noWrap/>
            <w:vAlign w:val="center"/>
          </w:tcPr>
          <w:p w14:paraId="5C762B43">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硬件</w:t>
            </w:r>
          </w:p>
        </w:tc>
      </w:tr>
      <w:tr w14:paraId="33EB8F56">
        <w:tblPrEx>
          <w:tblCellMar>
            <w:top w:w="0" w:type="dxa"/>
            <w:left w:w="108" w:type="dxa"/>
            <w:bottom w:w="0" w:type="dxa"/>
            <w:right w:w="108" w:type="dxa"/>
          </w:tblCellMar>
        </w:tblPrEx>
        <w:trPr>
          <w:trHeight w:val="936" w:hRule="atLeast"/>
        </w:trPr>
        <w:tc>
          <w:tcPr>
            <w:tcW w:w="659" w:type="pct"/>
            <w:tcBorders>
              <w:top w:val="nil"/>
              <w:left w:val="single" w:color="auto" w:sz="4" w:space="0"/>
              <w:bottom w:val="single" w:color="auto" w:sz="4" w:space="0"/>
              <w:right w:val="single" w:color="auto" w:sz="4" w:space="0"/>
            </w:tcBorders>
            <w:shd w:val="clear" w:color="000000" w:fill="FFFFFF"/>
            <w:vAlign w:val="center"/>
          </w:tcPr>
          <w:p w14:paraId="66E88EDA">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3</w:t>
            </w:r>
          </w:p>
        </w:tc>
        <w:tc>
          <w:tcPr>
            <w:tcW w:w="1649" w:type="pct"/>
            <w:tcBorders>
              <w:top w:val="nil"/>
              <w:left w:val="nil"/>
              <w:bottom w:val="single" w:color="auto" w:sz="4" w:space="0"/>
              <w:right w:val="single" w:color="auto" w:sz="4" w:space="0"/>
            </w:tcBorders>
            <w:vAlign w:val="center"/>
          </w:tcPr>
          <w:p w14:paraId="07792CDD">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参数面交换机</w:t>
            </w:r>
          </w:p>
        </w:tc>
        <w:tc>
          <w:tcPr>
            <w:tcW w:w="669" w:type="pct"/>
            <w:tcBorders>
              <w:top w:val="nil"/>
              <w:left w:val="nil"/>
              <w:bottom w:val="single" w:color="auto" w:sz="4" w:space="0"/>
              <w:right w:val="single" w:color="auto" w:sz="4" w:space="0"/>
            </w:tcBorders>
            <w:shd w:val="clear" w:color="000000" w:fill="FFFFFF"/>
            <w:noWrap/>
            <w:vAlign w:val="center"/>
          </w:tcPr>
          <w:p w14:paraId="1C363E8A">
            <w:pPr>
              <w:spacing w:after="0" w:line="240" w:lineRule="auto"/>
              <w:ind w:firstLine="0" w:firstLineChars="0"/>
              <w:jc w:val="center"/>
              <w:rPr>
                <w:rFonts w:ascii="宋体" w:hAnsi="宋体" w:cs="宋体"/>
                <w:kern w:val="0"/>
                <w:sz w:val="18"/>
                <w:szCs w:val="18"/>
                <w:highlight w:val="none"/>
              </w:rPr>
            </w:pPr>
            <w:r>
              <w:rPr>
                <w:rFonts w:ascii="宋体" w:hAnsi="宋体" w:cs="宋体"/>
                <w:kern w:val="0"/>
                <w:sz w:val="18"/>
                <w:szCs w:val="18"/>
                <w:highlight w:val="none"/>
              </w:rPr>
              <w:t>2</w:t>
            </w:r>
          </w:p>
        </w:tc>
        <w:tc>
          <w:tcPr>
            <w:tcW w:w="662" w:type="pct"/>
            <w:tcBorders>
              <w:top w:val="nil"/>
              <w:left w:val="nil"/>
              <w:bottom w:val="single" w:color="auto" w:sz="4" w:space="0"/>
              <w:right w:val="single" w:color="auto" w:sz="4" w:space="0"/>
            </w:tcBorders>
            <w:shd w:val="clear" w:color="000000" w:fill="FFFFFF"/>
            <w:noWrap/>
            <w:vAlign w:val="center"/>
          </w:tcPr>
          <w:p w14:paraId="4EADA29A">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c>
          <w:tcPr>
            <w:tcW w:w="660" w:type="pct"/>
            <w:tcBorders>
              <w:top w:val="nil"/>
              <w:left w:val="nil"/>
              <w:bottom w:val="single" w:color="auto" w:sz="4" w:space="0"/>
              <w:right w:val="single" w:color="auto" w:sz="4" w:space="0"/>
            </w:tcBorders>
            <w:shd w:val="clear" w:color="000000" w:fill="FFFFFF"/>
            <w:vAlign w:val="center"/>
          </w:tcPr>
          <w:p w14:paraId="40F5FE92">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详见技术参数要求表</w:t>
            </w:r>
          </w:p>
        </w:tc>
        <w:tc>
          <w:tcPr>
            <w:tcW w:w="699" w:type="pct"/>
            <w:tcBorders>
              <w:top w:val="nil"/>
              <w:left w:val="nil"/>
              <w:bottom w:val="single" w:color="auto" w:sz="4" w:space="0"/>
              <w:right w:val="single" w:color="auto" w:sz="4" w:space="0"/>
            </w:tcBorders>
            <w:noWrap/>
            <w:vAlign w:val="center"/>
          </w:tcPr>
          <w:p w14:paraId="2D5E6A29">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硬件</w:t>
            </w:r>
          </w:p>
        </w:tc>
      </w:tr>
    </w:tbl>
    <w:p w14:paraId="6F422860">
      <w:pPr>
        <w:widowControl w:val="0"/>
        <w:autoSpaceDE w:val="0"/>
        <w:autoSpaceDN w:val="0"/>
        <w:adjustRightInd w:val="0"/>
        <w:snapToGrid w:val="0"/>
        <w:spacing w:after="0"/>
        <w:ind w:firstLine="422"/>
        <w:jc w:val="left"/>
        <w:rPr>
          <w:rFonts w:ascii="宋体" w:hAnsi="宋体"/>
          <w:b/>
          <w:bCs/>
          <w:szCs w:val="21"/>
          <w:highlight w:val="none"/>
        </w:rPr>
      </w:pPr>
      <w:r>
        <w:rPr>
          <w:rFonts w:ascii="宋体" w:hAnsi="宋体"/>
          <w:b/>
          <w:bCs/>
          <w:szCs w:val="21"/>
          <w:highlight w:val="none"/>
        </w:rPr>
        <w:t>3、运维服务</w:t>
      </w:r>
    </w:p>
    <w:p w14:paraId="2A14B961">
      <w:pPr>
        <w:spacing w:after="0"/>
        <w:ind w:firstLine="420"/>
        <w:rPr>
          <w:highlight w:val="none"/>
        </w:rPr>
      </w:pPr>
      <w:r>
        <w:rPr>
          <w:rFonts w:hint="eastAsia"/>
          <w:highlight w:val="none"/>
        </w:rPr>
        <w:t>设备配套运维服务，包括设备巡检，问题处理等，总期限为三年期，按年报价。首次合</w:t>
      </w:r>
      <w:r>
        <w:rPr>
          <w:rFonts w:hint="eastAsia"/>
          <w:highlight w:val="none"/>
          <w:lang w:eastAsia="zh-CN"/>
        </w:rPr>
        <w:t>同</w:t>
      </w:r>
      <w:r>
        <w:rPr>
          <w:rFonts w:hint="eastAsia"/>
          <w:highlight w:val="none"/>
        </w:rPr>
        <w:t>期限为</w:t>
      </w:r>
      <w:r>
        <w:rPr>
          <w:rFonts w:hint="eastAsia"/>
          <w:highlight w:val="none"/>
          <w:lang w:eastAsia="zh-CN"/>
        </w:rPr>
        <w:t>三</w:t>
      </w:r>
      <w:r>
        <w:rPr>
          <w:rFonts w:hint="eastAsia"/>
          <w:highlight w:val="none"/>
        </w:rPr>
        <w:t>年，采购人有权根据投标人合同履行期间的服务质量、履约成效，自主决定是否续签；若续签，</w:t>
      </w:r>
      <w:r>
        <w:rPr>
          <w:rFonts w:hint="eastAsia"/>
          <w:highlight w:val="none"/>
          <w:lang w:eastAsia="zh-CN"/>
        </w:rPr>
        <w:t>运维服务</w:t>
      </w:r>
      <w:r>
        <w:rPr>
          <w:rFonts w:hint="eastAsia"/>
          <w:highlight w:val="none"/>
        </w:rPr>
        <w:t>价款不得超过本次项目的中标</w:t>
      </w:r>
      <w:r>
        <w:rPr>
          <w:rFonts w:hint="eastAsia"/>
          <w:highlight w:val="none"/>
          <w:lang w:eastAsia="zh-CN"/>
        </w:rPr>
        <w:t>运维服务</w:t>
      </w:r>
      <w:r>
        <w:rPr>
          <w:rFonts w:hint="eastAsia"/>
          <w:highlight w:val="none"/>
        </w:rPr>
        <w:t>价</w:t>
      </w:r>
      <w:r>
        <w:rPr>
          <w:rFonts w:hint="eastAsia"/>
          <w:highlight w:val="none"/>
          <w:lang w:eastAsia="zh-CN"/>
        </w:rPr>
        <w:t>款</w:t>
      </w:r>
      <w:r>
        <w:rPr>
          <w:rFonts w:hint="eastAsia"/>
          <w:highlight w:val="none"/>
        </w:rPr>
        <w:t>，其他运维服务SLA及考核要求详见附件。</w:t>
      </w:r>
    </w:p>
    <w:p w14:paraId="1E6B4A70">
      <w:pPr>
        <w:widowControl w:val="0"/>
        <w:autoSpaceDE w:val="0"/>
        <w:autoSpaceDN w:val="0"/>
        <w:adjustRightInd w:val="0"/>
        <w:snapToGrid w:val="0"/>
        <w:spacing w:after="0"/>
        <w:ind w:firstLine="422"/>
        <w:jc w:val="left"/>
        <w:rPr>
          <w:rFonts w:ascii="宋体" w:hAnsi="宋体"/>
          <w:b/>
          <w:bCs/>
          <w:szCs w:val="21"/>
          <w:highlight w:val="none"/>
        </w:rPr>
      </w:pPr>
      <w:r>
        <w:rPr>
          <w:rFonts w:hint="eastAsia" w:ascii="宋体" w:hAnsi="宋体"/>
          <w:b/>
          <w:bCs/>
          <w:szCs w:val="21"/>
          <w:highlight w:val="none"/>
        </w:rPr>
        <w:t>4、集成服务</w:t>
      </w:r>
    </w:p>
    <w:p w14:paraId="369EC8AE">
      <w:pPr>
        <w:spacing w:after="0"/>
        <w:ind w:firstLine="420"/>
        <w:rPr>
          <w:highlight w:val="none"/>
        </w:rPr>
      </w:pPr>
      <w:r>
        <w:rPr>
          <w:rFonts w:hint="eastAsia"/>
          <w:highlight w:val="none"/>
        </w:rPr>
        <w:t>集成服务，包括A</w:t>
      </w:r>
      <w:r>
        <w:rPr>
          <w:highlight w:val="none"/>
        </w:rPr>
        <w:t>I</w:t>
      </w:r>
      <w:r>
        <w:rPr>
          <w:rFonts w:hint="eastAsia"/>
          <w:highlight w:val="none"/>
        </w:rPr>
        <w:t>服务器、通用计算服务器及配套网络设备集成规划设计，初始化配置及测试、系统综合测试服务。设备上架、布线组网及培训等。所有服务器和交换机应具备完善的数据安全保护能力，提供集成服务的投标人需具备数据安全管理、数据治理、数据交换共享等相关软著或专利。详细服务内容详见下表《集成服务需求表》。</w:t>
      </w:r>
    </w:p>
    <w:p w14:paraId="2B7A4029">
      <w:pPr>
        <w:spacing w:after="0"/>
        <w:ind w:firstLine="422"/>
        <w:jc w:val="center"/>
        <w:rPr>
          <w:rFonts w:ascii="宋体" w:hAnsi="宋体"/>
          <w:b/>
          <w:bCs/>
          <w:highlight w:val="none"/>
        </w:rPr>
      </w:pPr>
      <w:r>
        <w:rPr>
          <w:rFonts w:hint="eastAsia" w:ascii="宋体" w:hAnsi="宋体"/>
          <w:b/>
          <w:bCs/>
          <w:highlight w:val="none"/>
        </w:rPr>
        <w:t>集成服务需求表</w:t>
      </w:r>
    </w:p>
    <w:tbl>
      <w:tblPr>
        <w:tblStyle w:val="5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554"/>
        <w:gridCol w:w="4833"/>
        <w:gridCol w:w="709"/>
        <w:gridCol w:w="756"/>
      </w:tblGrid>
      <w:tr w14:paraId="5DC6D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blHeader/>
        </w:trPr>
        <w:tc>
          <w:tcPr>
            <w:tcW w:w="393" w:type="pct"/>
            <w:vAlign w:val="center"/>
          </w:tcPr>
          <w:p w14:paraId="47B3FA0C">
            <w:pPr>
              <w:spacing w:after="0" w:line="240" w:lineRule="auto"/>
              <w:ind w:firstLine="0" w:firstLineChars="0"/>
              <w:jc w:val="center"/>
              <w:rPr>
                <w:rFonts w:ascii="宋体" w:hAnsi="宋体"/>
                <w:b/>
                <w:bCs/>
                <w:color w:val="000000"/>
                <w:sz w:val="18"/>
                <w:szCs w:val="18"/>
                <w:highlight w:val="none"/>
              </w:rPr>
            </w:pPr>
            <w:r>
              <w:rPr>
                <w:rFonts w:ascii="宋体" w:hAnsi="宋体"/>
                <w:b/>
                <w:bCs/>
                <w:color w:val="000000"/>
                <w:sz w:val="18"/>
                <w:szCs w:val="18"/>
                <w:highlight w:val="none"/>
              </w:rPr>
              <w:t>序号</w:t>
            </w:r>
          </w:p>
        </w:tc>
        <w:tc>
          <w:tcPr>
            <w:tcW w:w="911" w:type="pct"/>
            <w:vAlign w:val="center"/>
          </w:tcPr>
          <w:p w14:paraId="040C2C8C">
            <w:pPr>
              <w:spacing w:after="0" w:line="240" w:lineRule="auto"/>
              <w:ind w:firstLine="0" w:firstLineChars="0"/>
              <w:jc w:val="center"/>
              <w:rPr>
                <w:rFonts w:ascii="宋体" w:hAnsi="宋体"/>
                <w:b/>
                <w:bCs/>
                <w:color w:val="000000"/>
                <w:sz w:val="18"/>
                <w:szCs w:val="18"/>
                <w:highlight w:val="none"/>
              </w:rPr>
            </w:pPr>
            <w:r>
              <w:rPr>
                <w:rFonts w:hint="eastAsia" w:ascii="宋体" w:hAnsi="宋体"/>
                <w:b/>
                <w:bCs/>
                <w:color w:val="000000"/>
                <w:sz w:val="18"/>
                <w:szCs w:val="18"/>
                <w:highlight w:val="none"/>
              </w:rPr>
              <w:t>服务事项</w:t>
            </w:r>
          </w:p>
        </w:tc>
        <w:tc>
          <w:tcPr>
            <w:tcW w:w="2834" w:type="pct"/>
            <w:vAlign w:val="center"/>
          </w:tcPr>
          <w:p w14:paraId="36D8305A">
            <w:pPr>
              <w:spacing w:after="0" w:line="240" w:lineRule="auto"/>
              <w:ind w:firstLine="0" w:firstLineChars="0"/>
              <w:jc w:val="center"/>
              <w:rPr>
                <w:rFonts w:ascii="宋体" w:hAnsi="宋体"/>
                <w:b/>
                <w:bCs/>
                <w:color w:val="000000"/>
                <w:sz w:val="18"/>
                <w:szCs w:val="18"/>
                <w:highlight w:val="none"/>
              </w:rPr>
            </w:pPr>
            <w:r>
              <w:rPr>
                <w:rFonts w:hint="eastAsia" w:ascii="宋体" w:hAnsi="宋体"/>
                <w:b/>
                <w:bCs/>
                <w:color w:val="000000"/>
                <w:sz w:val="18"/>
                <w:szCs w:val="18"/>
                <w:highlight w:val="none"/>
              </w:rPr>
              <w:t>主要服务内容及要求</w:t>
            </w:r>
          </w:p>
        </w:tc>
        <w:tc>
          <w:tcPr>
            <w:tcW w:w="416" w:type="pct"/>
            <w:vAlign w:val="center"/>
          </w:tcPr>
          <w:p w14:paraId="6D0B4C33">
            <w:pPr>
              <w:spacing w:after="0" w:line="240" w:lineRule="auto"/>
              <w:ind w:firstLine="0" w:firstLineChars="0"/>
              <w:jc w:val="center"/>
              <w:rPr>
                <w:rFonts w:ascii="宋体" w:hAnsi="宋体"/>
                <w:b/>
                <w:bCs/>
                <w:color w:val="000000"/>
                <w:sz w:val="18"/>
                <w:szCs w:val="18"/>
                <w:highlight w:val="none"/>
              </w:rPr>
            </w:pPr>
            <w:r>
              <w:rPr>
                <w:rFonts w:hint="eastAsia" w:ascii="宋体" w:hAnsi="宋体"/>
                <w:b/>
                <w:bCs/>
                <w:color w:val="000000"/>
                <w:sz w:val="18"/>
                <w:szCs w:val="18"/>
                <w:highlight w:val="none"/>
              </w:rPr>
              <w:t>数量</w:t>
            </w:r>
          </w:p>
        </w:tc>
        <w:tc>
          <w:tcPr>
            <w:tcW w:w="443" w:type="pct"/>
            <w:vAlign w:val="center"/>
          </w:tcPr>
          <w:p w14:paraId="6F39F003">
            <w:pPr>
              <w:spacing w:after="0" w:line="240" w:lineRule="auto"/>
              <w:ind w:firstLine="0" w:firstLineChars="0"/>
              <w:jc w:val="center"/>
              <w:rPr>
                <w:rFonts w:ascii="宋体" w:hAnsi="宋体"/>
                <w:b/>
                <w:bCs/>
                <w:color w:val="000000"/>
                <w:sz w:val="18"/>
                <w:szCs w:val="18"/>
                <w:highlight w:val="none"/>
              </w:rPr>
            </w:pPr>
            <w:r>
              <w:rPr>
                <w:rFonts w:hint="eastAsia" w:ascii="宋体" w:hAnsi="宋体"/>
                <w:b/>
                <w:bCs/>
                <w:color w:val="000000"/>
                <w:sz w:val="18"/>
                <w:szCs w:val="18"/>
                <w:highlight w:val="none"/>
              </w:rPr>
              <w:t>单位</w:t>
            </w:r>
          </w:p>
        </w:tc>
      </w:tr>
      <w:tr w14:paraId="78FA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93" w:type="pct"/>
            <w:vAlign w:val="center"/>
          </w:tcPr>
          <w:p w14:paraId="014860C9">
            <w:pPr>
              <w:spacing w:after="0" w:line="240" w:lineRule="auto"/>
              <w:ind w:firstLine="0" w:firstLineChars="0"/>
              <w:jc w:val="center"/>
              <w:rPr>
                <w:rFonts w:ascii="宋体" w:hAnsi="宋体"/>
                <w:color w:val="000000"/>
                <w:sz w:val="18"/>
                <w:szCs w:val="18"/>
                <w:highlight w:val="none"/>
              </w:rPr>
            </w:pPr>
            <w:r>
              <w:rPr>
                <w:rFonts w:hint="eastAsia" w:ascii="宋体" w:hAnsi="宋体"/>
                <w:color w:val="000000"/>
                <w:sz w:val="18"/>
                <w:szCs w:val="18"/>
                <w:highlight w:val="none"/>
              </w:rPr>
              <w:t>1</w:t>
            </w:r>
          </w:p>
        </w:tc>
        <w:tc>
          <w:tcPr>
            <w:tcW w:w="911" w:type="pct"/>
            <w:vAlign w:val="center"/>
          </w:tcPr>
          <w:p w14:paraId="0AEFEF36">
            <w:pPr>
              <w:spacing w:after="0" w:line="240" w:lineRule="auto"/>
              <w:ind w:firstLine="0" w:firstLineChars="0"/>
              <w:jc w:val="left"/>
              <w:rPr>
                <w:rFonts w:ascii="宋体" w:hAnsi="宋体"/>
                <w:color w:val="000000"/>
                <w:sz w:val="18"/>
                <w:szCs w:val="18"/>
                <w:highlight w:val="none"/>
              </w:rPr>
            </w:pPr>
            <w:r>
              <w:rPr>
                <w:rFonts w:hint="eastAsia" w:ascii="宋体" w:hAnsi="宋体"/>
                <w:color w:val="000000"/>
                <w:sz w:val="18"/>
                <w:szCs w:val="18"/>
                <w:highlight w:val="none"/>
              </w:rPr>
              <w:t>集成规划</w:t>
            </w:r>
          </w:p>
        </w:tc>
        <w:tc>
          <w:tcPr>
            <w:tcW w:w="2834" w:type="pct"/>
            <w:vAlign w:val="center"/>
          </w:tcPr>
          <w:p w14:paraId="7FDD2F80">
            <w:pPr>
              <w:numPr>
                <w:ilvl w:val="0"/>
                <w:numId w:val="2"/>
              </w:numPr>
              <w:spacing w:after="0" w:line="240" w:lineRule="auto"/>
              <w:ind w:left="0" w:firstLine="0" w:firstLineChars="0"/>
              <w:rPr>
                <w:rFonts w:ascii="宋体" w:hAnsi="宋体" w:cs="宋体"/>
                <w:sz w:val="18"/>
                <w:szCs w:val="18"/>
                <w:highlight w:val="none"/>
              </w:rPr>
            </w:pPr>
            <w:r>
              <w:rPr>
                <w:rFonts w:hint="eastAsia" w:ascii="宋体" w:hAnsi="宋体" w:cs="宋体"/>
                <w:sz w:val="18"/>
                <w:szCs w:val="18"/>
                <w:highlight w:val="none"/>
              </w:rPr>
              <w:t>AI服务器、通用计算服务器及配套网络设备集成规划设计</w:t>
            </w:r>
          </w:p>
        </w:tc>
        <w:tc>
          <w:tcPr>
            <w:tcW w:w="416" w:type="pct"/>
            <w:vAlign w:val="center"/>
          </w:tcPr>
          <w:p w14:paraId="00CE2507">
            <w:pPr>
              <w:spacing w:after="0" w:line="240" w:lineRule="auto"/>
              <w:ind w:firstLine="0" w:firstLineChars="0"/>
              <w:jc w:val="center"/>
              <w:rPr>
                <w:rFonts w:hint="eastAsia" w:ascii="宋体" w:hAnsi="宋体" w:eastAsia="宋体"/>
                <w:color w:val="000000"/>
                <w:sz w:val="18"/>
                <w:szCs w:val="18"/>
                <w:highlight w:val="none"/>
                <w:lang w:val="en-US" w:eastAsia="zh-CN"/>
              </w:rPr>
            </w:pPr>
            <w:r>
              <w:rPr>
                <w:rFonts w:hint="eastAsia" w:ascii="宋体" w:hAnsi="宋体"/>
                <w:color w:val="000000"/>
                <w:sz w:val="18"/>
                <w:szCs w:val="18"/>
                <w:highlight w:val="none"/>
                <w:lang w:val="en-US" w:eastAsia="zh-CN"/>
              </w:rPr>
              <w:t>1</w:t>
            </w:r>
          </w:p>
        </w:tc>
        <w:tc>
          <w:tcPr>
            <w:tcW w:w="443" w:type="pct"/>
            <w:vAlign w:val="center"/>
          </w:tcPr>
          <w:p w14:paraId="3D8C2D63">
            <w:pPr>
              <w:spacing w:after="0" w:line="240" w:lineRule="auto"/>
              <w:ind w:firstLine="0" w:firstLineChars="0"/>
              <w:jc w:val="center"/>
              <w:rPr>
                <w:rFonts w:hint="eastAsia" w:ascii="宋体" w:hAnsi="宋体" w:eastAsia="宋体"/>
                <w:color w:val="000000"/>
                <w:sz w:val="18"/>
                <w:szCs w:val="18"/>
                <w:highlight w:val="none"/>
                <w:lang w:eastAsia="zh-CN"/>
              </w:rPr>
            </w:pPr>
            <w:r>
              <w:rPr>
                <w:rFonts w:hint="eastAsia" w:ascii="宋体" w:hAnsi="宋体"/>
                <w:color w:val="000000"/>
                <w:sz w:val="18"/>
                <w:szCs w:val="18"/>
                <w:highlight w:val="none"/>
                <w:lang w:eastAsia="zh-CN"/>
              </w:rPr>
              <w:t>项</w:t>
            </w:r>
          </w:p>
        </w:tc>
      </w:tr>
      <w:tr w14:paraId="46C3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93" w:type="pct"/>
            <w:vAlign w:val="center"/>
          </w:tcPr>
          <w:p w14:paraId="6E5E56C2">
            <w:pPr>
              <w:spacing w:after="0" w:line="240" w:lineRule="auto"/>
              <w:ind w:firstLine="0" w:firstLineChars="0"/>
              <w:jc w:val="center"/>
              <w:rPr>
                <w:rFonts w:ascii="宋体" w:hAnsi="宋体"/>
                <w:color w:val="000000"/>
                <w:sz w:val="18"/>
                <w:szCs w:val="18"/>
                <w:highlight w:val="none"/>
              </w:rPr>
            </w:pPr>
            <w:r>
              <w:rPr>
                <w:rFonts w:hint="eastAsia" w:ascii="宋体" w:hAnsi="宋体"/>
                <w:color w:val="000000"/>
                <w:sz w:val="18"/>
                <w:szCs w:val="18"/>
                <w:highlight w:val="none"/>
              </w:rPr>
              <w:t>2</w:t>
            </w:r>
          </w:p>
        </w:tc>
        <w:tc>
          <w:tcPr>
            <w:tcW w:w="911" w:type="pct"/>
            <w:vAlign w:val="center"/>
          </w:tcPr>
          <w:p w14:paraId="0CB18033">
            <w:pPr>
              <w:spacing w:after="0" w:line="240" w:lineRule="auto"/>
              <w:ind w:firstLine="0" w:firstLineChars="0"/>
              <w:jc w:val="left"/>
              <w:rPr>
                <w:rFonts w:ascii="宋体" w:hAnsi="宋体"/>
                <w:color w:val="000000"/>
                <w:sz w:val="18"/>
                <w:szCs w:val="18"/>
                <w:highlight w:val="none"/>
              </w:rPr>
            </w:pPr>
            <w:r>
              <w:rPr>
                <w:rFonts w:hint="eastAsia" w:ascii="宋体" w:hAnsi="宋体"/>
                <w:color w:val="000000"/>
                <w:sz w:val="18"/>
                <w:szCs w:val="18"/>
                <w:highlight w:val="none"/>
              </w:rPr>
              <w:t>系统综合测试</w:t>
            </w:r>
          </w:p>
        </w:tc>
        <w:tc>
          <w:tcPr>
            <w:tcW w:w="2834" w:type="pct"/>
            <w:vAlign w:val="center"/>
          </w:tcPr>
          <w:p w14:paraId="7CF5B5D7">
            <w:pPr>
              <w:numPr>
                <w:ilvl w:val="0"/>
                <w:numId w:val="3"/>
              </w:numPr>
              <w:spacing w:after="0" w:line="240" w:lineRule="auto"/>
              <w:ind w:left="0" w:firstLine="0" w:firstLineChars="0"/>
              <w:rPr>
                <w:rFonts w:ascii="宋体" w:hAnsi="宋体" w:cs="宋体"/>
                <w:sz w:val="18"/>
                <w:szCs w:val="18"/>
                <w:highlight w:val="none"/>
              </w:rPr>
            </w:pPr>
            <w:r>
              <w:rPr>
                <w:rFonts w:hint="eastAsia" w:ascii="宋体" w:hAnsi="宋体" w:cs="宋体"/>
                <w:sz w:val="18"/>
                <w:szCs w:val="18"/>
                <w:highlight w:val="none"/>
              </w:rPr>
              <w:t>对服务器和交换机进行综合测试，验证整体运行状况</w:t>
            </w:r>
          </w:p>
          <w:p w14:paraId="02041255">
            <w:pPr>
              <w:numPr>
                <w:ilvl w:val="0"/>
                <w:numId w:val="3"/>
              </w:numPr>
              <w:spacing w:after="0" w:line="240" w:lineRule="auto"/>
              <w:ind w:left="0" w:firstLine="0" w:firstLineChars="0"/>
              <w:rPr>
                <w:rFonts w:ascii="宋体" w:hAnsi="宋体" w:cs="宋体"/>
                <w:sz w:val="18"/>
                <w:szCs w:val="18"/>
                <w:highlight w:val="none"/>
              </w:rPr>
            </w:pPr>
            <w:r>
              <w:rPr>
                <w:rFonts w:hint="eastAsia" w:ascii="宋体" w:hAnsi="宋体" w:cs="宋体"/>
                <w:sz w:val="18"/>
                <w:szCs w:val="18"/>
                <w:highlight w:val="none"/>
              </w:rPr>
              <w:t>初始化配置及测试、系统综合测试服务</w:t>
            </w:r>
          </w:p>
        </w:tc>
        <w:tc>
          <w:tcPr>
            <w:tcW w:w="416" w:type="pct"/>
            <w:vAlign w:val="center"/>
          </w:tcPr>
          <w:p w14:paraId="6C35FB21">
            <w:pPr>
              <w:spacing w:after="0" w:line="240" w:lineRule="auto"/>
              <w:ind w:firstLine="0" w:firstLineChars="0"/>
              <w:jc w:val="center"/>
              <w:rPr>
                <w:rFonts w:ascii="宋体" w:hAnsi="宋体"/>
                <w:color w:val="000000"/>
                <w:sz w:val="18"/>
                <w:szCs w:val="18"/>
                <w:highlight w:val="none"/>
              </w:rPr>
            </w:pPr>
            <w:r>
              <w:rPr>
                <w:rFonts w:hint="eastAsia" w:ascii="宋体" w:hAnsi="宋体"/>
                <w:color w:val="000000"/>
                <w:sz w:val="18"/>
                <w:szCs w:val="18"/>
                <w:highlight w:val="none"/>
              </w:rPr>
              <w:t>1</w:t>
            </w:r>
          </w:p>
        </w:tc>
        <w:tc>
          <w:tcPr>
            <w:tcW w:w="443" w:type="pct"/>
            <w:vAlign w:val="center"/>
          </w:tcPr>
          <w:p w14:paraId="5062FED1">
            <w:pPr>
              <w:spacing w:after="0" w:line="240" w:lineRule="auto"/>
              <w:ind w:firstLine="0" w:firstLineChars="0"/>
              <w:jc w:val="center"/>
              <w:rPr>
                <w:rFonts w:ascii="宋体" w:hAnsi="宋体"/>
                <w:color w:val="000000"/>
                <w:sz w:val="18"/>
                <w:szCs w:val="18"/>
                <w:highlight w:val="none"/>
              </w:rPr>
            </w:pPr>
            <w:r>
              <w:rPr>
                <w:rFonts w:hint="eastAsia" w:ascii="宋体" w:hAnsi="宋体"/>
                <w:color w:val="000000"/>
                <w:sz w:val="18"/>
                <w:szCs w:val="18"/>
                <w:highlight w:val="none"/>
              </w:rPr>
              <w:t>项</w:t>
            </w:r>
          </w:p>
        </w:tc>
      </w:tr>
      <w:tr w14:paraId="64E6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93" w:type="pct"/>
            <w:vAlign w:val="center"/>
          </w:tcPr>
          <w:p w14:paraId="160E2388">
            <w:pPr>
              <w:spacing w:after="0" w:line="240" w:lineRule="auto"/>
              <w:ind w:firstLine="0" w:firstLineChars="0"/>
              <w:jc w:val="center"/>
              <w:rPr>
                <w:rFonts w:ascii="宋体" w:hAnsi="宋体"/>
                <w:color w:val="000000"/>
                <w:sz w:val="18"/>
                <w:szCs w:val="18"/>
                <w:highlight w:val="none"/>
              </w:rPr>
            </w:pPr>
            <w:r>
              <w:rPr>
                <w:rFonts w:hint="eastAsia" w:ascii="宋体" w:hAnsi="宋体"/>
                <w:color w:val="000000"/>
                <w:sz w:val="18"/>
                <w:szCs w:val="18"/>
                <w:highlight w:val="none"/>
              </w:rPr>
              <w:t>3</w:t>
            </w:r>
          </w:p>
        </w:tc>
        <w:tc>
          <w:tcPr>
            <w:tcW w:w="911" w:type="pct"/>
            <w:vAlign w:val="center"/>
          </w:tcPr>
          <w:p w14:paraId="52CF8AA0">
            <w:pPr>
              <w:spacing w:after="0" w:line="240" w:lineRule="auto"/>
              <w:ind w:firstLine="0" w:firstLineChars="0"/>
              <w:jc w:val="left"/>
              <w:rPr>
                <w:rFonts w:ascii="宋体" w:hAnsi="宋体"/>
                <w:color w:val="000000"/>
                <w:sz w:val="18"/>
                <w:szCs w:val="18"/>
                <w:highlight w:val="none"/>
              </w:rPr>
            </w:pPr>
            <w:r>
              <w:rPr>
                <w:rFonts w:hint="eastAsia" w:ascii="宋体" w:hAnsi="宋体"/>
                <w:color w:val="000000"/>
                <w:sz w:val="18"/>
                <w:szCs w:val="18"/>
                <w:highlight w:val="none"/>
              </w:rPr>
              <w:t>服务器上架安装及配置</w:t>
            </w:r>
          </w:p>
        </w:tc>
        <w:tc>
          <w:tcPr>
            <w:tcW w:w="2834" w:type="pct"/>
            <w:vAlign w:val="center"/>
          </w:tcPr>
          <w:p w14:paraId="4BF7E9F0">
            <w:pPr>
              <w:numPr>
                <w:ilvl w:val="0"/>
                <w:numId w:val="4"/>
              </w:numPr>
              <w:spacing w:after="0" w:line="240" w:lineRule="auto"/>
              <w:ind w:left="0" w:firstLine="0" w:firstLineChars="0"/>
              <w:rPr>
                <w:rFonts w:ascii="宋体" w:hAnsi="宋体" w:cs="宋体"/>
                <w:sz w:val="18"/>
                <w:szCs w:val="18"/>
                <w:highlight w:val="none"/>
              </w:rPr>
            </w:pPr>
            <w:r>
              <w:rPr>
                <w:rFonts w:hint="eastAsia" w:ascii="宋体" w:hAnsi="宋体" w:cs="宋体"/>
                <w:sz w:val="18"/>
                <w:szCs w:val="18"/>
                <w:highlight w:val="none"/>
              </w:rPr>
              <w:t>服务器BMC配置核验</w:t>
            </w:r>
          </w:p>
          <w:p w14:paraId="0DADC33E">
            <w:pPr>
              <w:numPr>
                <w:ilvl w:val="0"/>
                <w:numId w:val="4"/>
              </w:numPr>
              <w:spacing w:after="0" w:line="240" w:lineRule="auto"/>
              <w:ind w:left="0" w:firstLine="0" w:firstLineChars="0"/>
              <w:rPr>
                <w:rFonts w:ascii="宋体" w:hAnsi="宋体" w:cs="宋体"/>
                <w:sz w:val="18"/>
                <w:szCs w:val="18"/>
                <w:highlight w:val="none"/>
              </w:rPr>
            </w:pPr>
            <w:r>
              <w:rPr>
                <w:rFonts w:hint="eastAsia" w:ascii="宋体" w:hAnsi="宋体" w:cs="宋体"/>
                <w:sz w:val="18"/>
                <w:szCs w:val="18"/>
                <w:highlight w:val="none"/>
              </w:rPr>
              <w:t>RAID配置检查</w:t>
            </w:r>
          </w:p>
          <w:p w14:paraId="3891294F">
            <w:pPr>
              <w:numPr>
                <w:ilvl w:val="0"/>
                <w:numId w:val="4"/>
              </w:numPr>
              <w:spacing w:after="0" w:line="240" w:lineRule="auto"/>
              <w:ind w:left="0" w:firstLine="0" w:firstLineChars="0"/>
              <w:rPr>
                <w:rFonts w:ascii="宋体" w:hAnsi="宋体" w:cs="宋体"/>
                <w:sz w:val="18"/>
                <w:szCs w:val="18"/>
                <w:highlight w:val="none"/>
              </w:rPr>
            </w:pPr>
            <w:r>
              <w:rPr>
                <w:rFonts w:hint="eastAsia" w:ascii="宋体" w:hAnsi="宋体" w:cs="宋体"/>
                <w:sz w:val="18"/>
                <w:szCs w:val="18"/>
                <w:highlight w:val="none"/>
              </w:rPr>
              <w:t>BIOS配置检查</w:t>
            </w:r>
          </w:p>
          <w:p w14:paraId="13A1226B">
            <w:pPr>
              <w:numPr>
                <w:ilvl w:val="0"/>
                <w:numId w:val="4"/>
              </w:numPr>
              <w:spacing w:after="0" w:line="240" w:lineRule="auto"/>
              <w:ind w:left="0" w:firstLine="0" w:firstLineChars="0"/>
              <w:rPr>
                <w:rFonts w:ascii="宋体" w:hAnsi="宋体" w:cs="宋体"/>
                <w:sz w:val="18"/>
                <w:szCs w:val="18"/>
                <w:highlight w:val="none"/>
              </w:rPr>
            </w:pPr>
            <w:r>
              <w:rPr>
                <w:rFonts w:hint="eastAsia" w:ascii="宋体" w:hAnsi="宋体" w:cs="宋体"/>
                <w:sz w:val="18"/>
                <w:szCs w:val="18"/>
                <w:highlight w:val="none"/>
              </w:rPr>
              <w:t>主机资源信息核验</w:t>
            </w:r>
          </w:p>
        </w:tc>
        <w:tc>
          <w:tcPr>
            <w:tcW w:w="416" w:type="pct"/>
            <w:vAlign w:val="center"/>
          </w:tcPr>
          <w:p w14:paraId="00C1A117">
            <w:pPr>
              <w:spacing w:after="0" w:line="240" w:lineRule="auto"/>
              <w:ind w:firstLine="0" w:firstLineChars="0"/>
              <w:jc w:val="center"/>
              <w:rPr>
                <w:rFonts w:ascii="宋体" w:hAnsi="宋体"/>
                <w:color w:val="000000"/>
                <w:sz w:val="18"/>
                <w:szCs w:val="18"/>
                <w:highlight w:val="none"/>
              </w:rPr>
            </w:pPr>
            <w:r>
              <w:rPr>
                <w:rFonts w:hint="eastAsia" w:ascii="宋体" w:hAnsi="宋体"/>
                <w:color w:val="000000"/>
                <w:sz w:val="18"/>
                <w:szCs w:val="18"/>
                <w:highlight w:val="none"/>
              </w:rPr>
              <w:t>1</w:t>
            </w:r>
          </w:p>
        </w:tc>
        <w:tc>
          <w:tcPr>
            <w:tcW w:w="443" w:type="pct"/>
            <w:vAlign w:val="center"/>
          </w:tcPr>
          <w:p w14:paraId="04109397">
            <w:pPr>
              <w:spacing w:after="0" w:line="240" w:lineRule="auto"/>
              <w:ind w:firstLine="0" w:firstLineChars="0"/>
              <w:jc w:val="center"/>
              <w:rPr>
                <w:rFonts w:ascii="宋体" w:hAnsi="宋体"/>
                <w:color w:val="000000"/>
                <w:sz w:val="18"/>
                <w:szCs w:val="18"/>
                <w:highlight w:val="none"/>
              </w:rPr>
            </w:pPr>
            <w:r>
              <w:rPr>
                <w:rFonts w:hint="eastAsia" w:ascii="宋体" w:hAnsi="宋体"/>
                <w:color w:val="000000"/>
                <w:sz w:val="18"/>
                <w:szCs w:val="18"/>
                <w:highlight w:val="none"/>
              </w:rPr>
              <w:t>项</w:t>
            </w:r>
          </w:p>
        </w:tc>
      </w:tr>
      <w:tr w14:paraId="1E0B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93" w:type="pct"/>
            <w:vAlign w:val="center"/>
          </w:tcPr>
          <w:p w14:paraId="52F0ABAA">
            <w:pPr>
              <w:spacing w:after="0" w:line="240" w:lineRule="auto"/>
              <w:ind w:firstLine="0" w:firstLineChars="0"/>
              <w:jc w:val="center"/>
              <w:rPr>
                <w:rFonts w:ascii="宋体" w:hAnsi="宋体"/>
                <w:color w:val="000000"/>
                <w:sz w:val="18"/>
                <w:szCs w:val="18"/>
                <w:highlight w:val="none"/>
              </w:rPr>
            </w:pPr>
            <w:r>
              <w:rPr>
                <w:rFonts w:hint="eastAsia" w:ascii="宋体" w:hAnsi="宋体"/>
                <w:color w:val="000000"/>
                <w:sz w:val="18"/>
                <w:szCs w:val="18"/>
                <w:highlight w:val="none"/>
              </w:rPr>
              <w:t>4</w:t>
            </w:r>
          </w:p>
        </w:tc>
        <w:tc>
          <w:tcPr>
            <w:tcW w:w="911" w:type="pct"/>
            <w:vAlign w:val="center"/>
          </w:tcPr>
          <w:p w14:paraId="75B24E99">
            <w:pPr>
              <w:spacing w:after="0" w:line="240" w:lineRule="auto"/>
              <w:ind w:firstLine="0" w:firstLineChars="0"/>
              <w:jc w:val="left"/>
              <w:rPr>
                <w:rFonts w:ascii="宋体" w:hAnsi="宋体"/>
                <w:color w:val="000000"/>
                <w:sz w:val="18"/>
                <w:szCs w:val="18"/>
                <w:highlight w:val="none"/>
              </w:rPr>
            </w:pPr>
            <w:r>
              <w:rPr>
                <w:rFonts w:hint="eastAsia" w:ascii="宋体" w:hAnsi="宋体"/>
                <w:color w:val="000000"/>
                <w:sz w:val="18"/>
                <w:szCs w:val="18"/>
                <w:highlight w:val="none"/>
              </w:rPr>
              <w:t>网络设备安装及集成</w:t>
            </w:r>
          </w:p>
        </w:tc>
        <w:tc>
          <w:tcPr>
            <w:tcW w:w="2834" w:type="pct"/>
            <w:vAlign w:val="center"/>
          </w:tcPr>
          <w:p w14:paraId="238DE09D">
            <w:pPr>
              <w:numPr>
                <w:ilvl w:val="0"/>
                <w:numId w:val="5"/>
              </w:numPr>
              <w:spacing w:after="0" w:line="240" w:lineRule="auto"/>
              <w:ind w:left="0" w:firstLine="0" w:firstLineChars="0"/>
              <w:rPr>
                <w:rFonts w:ascii="宋体" w:hAnsi="宋体" w:cs="宋体"/>
                <w:sz w:val="18"/>
                <w:szCs w:val="18"/>
                <w:highlight w:val="none"/>
              </w:rPr>
            </w:pPr>
            <w:r>
              <w:rPr>
                <w:rFonts w:hint="eastAsia" w:ascii="宋体" w:hAnsi="宋体" w:cs="宋体"/>
                <w:sz w:val="18"/>
                <w:szCs w:val="18"/>
                <w:highlight w:val="none"/>
              </w:rPr>
              <w:t>网络配置及调试</w:t>
            </w:r>
          </w:p>
          <w:p w14:paraId="5DABAFCF">
            <w:pPr>
              <w:numPr>
                <w:ilvl w:val="0"/>
                <w:numId w:val="5"/>
              </w:numPr>
              <w:spacing w:after="0" w:line="240" w:lineRule="auto"/>
              <w:ind w:left="0" w:firstLine="0" w:firstLineChars="0"/>
              <w:rPr>
                <w:rFonts w:ascii="宋体" w:hAnsi="宋体" w:cs="宋体"/>
                <w:sz w:val="18"/>
                <w:szCs w:val="18"/>
                <w:highlight w:val="none"/>
              </w:rPr>
            </w:pPr>
            <w:r>
              <w:rPr>
                <w:rFonts w:hint="eastAsia" w:ascii="宋体" w:hAnsi="宋体" w:cs="宋体"/>
                <w:sz w:val="18"/>
                <w:szCs w:val="18"/>
                <w:highlight w:val="none"/>
              </w:rPr>
              <w:t>网络连通性测试</w:t>
            </w:r>
          </w:p>
          <w:p w14:paraId="7A31CBD5">
            <w:pPr>
              <w:numPr>
                <w:ilvl w:val="0"/>
                <w:numId w:val="5"/>
              </w:numPr>
              <w:spacing w:after="0" w:line="240" w:lineRule="auto"/>
              <w:ind w:left="0" w:firstLine="0" w:firstLineChars="0"/>
              <w:rPr>
                <w:rFonts w:ascii="宋体" w:hAnsi="宋体" w:cs="宋体"/>
                <w:sz w:val="18"/>
                <w:szCs w:val="18"/>
                <w:highlight w:val="none"/>
              </w:rPr>
            </w:pPr>
            <w:r>
              <w:rPr>
                <w:rFonts w:hint="eastAsia" w:ascii="宋体" w:hAnsi="宋体" w:cs="宋体"/>
                <w:sz w:val="18"/>
                <w:szCs w:val="18"/>
                <w:highlight w:val="none"/>
              </w:rPr>
              <w:t>网络出口测试</w:t>
            </w:r>
          </w:p>
          <w:p w14:paraId="34583707">
            <w:pPr>
              <w:numPr>
                <w:ilvl w:val="255"/>
                <w:numId w:val="0"/>
              </w:numPr>
              <w:spacing w:after="0" w:line="240" w:lineRule="auto"/>
              <w:rPr>
                <w:rFonts w:ascii="宋体" w:hAnsi="宋体" w:cs="宋体"/>
                <w:sz w:val="18"/>
                <w:szCs w:val="18"/>
                <w:highlight w:val="none"/>
              </w:rPr>
            </w:pPr>
          </w:p>
        </w:tc>
        <w:tc>
          <w:tcPr>
            <w:tcW w:w="416" w:type="pct"/>
            <w:vAlign w:val="center"/>
          </w:tcPr>
          <w:p w14:paraId="2607DDCE">
            <w:pPr>
              <w:spacing w:after="0" w:line="240" w:lineRule="auto"/>
              <w:ind w:firstLine="0" w:firstLineChars="0"/>
              <w:jc w:val="center"/>
              <w:rPr>
                <w:rFonts w:ascii="宋体" w:hAnsi="宋体"/>
                <w:color w:val="000000"/>
                <w:sz w:val="18"/>
                <w:szCs w:val="18"/>
                <w:highlight w:val="none"/>
              </w:rPr>
            </w:pPr>
            <w:r>
              <w:rPr>
                <w:rFonts w:hint="eastAsia" w:ascii="宋体" w:hAnsi="宋体"/>
                <w:color w:val="000000"/>
                <w:sz w:val="18"/>
                <w:szCs w:val="18"/>
                <w:highlight w:val="none"/>
              </w:rPr>
              <w:t>1</w:t>
            </w:r>
          </w:p>
        </w:tc>
        <w:tc>
          <w:tcPr>
            <w:tcW w:w="443" w:type="pct"/>
            <w:vAlign w:val="center"/>
          </w:tcPr>
          <w:p w14:paraId="6F9F1219">
            <w:pPr>
              <w:spacing w:after="0" w:line="240" w:lineRule="auto"/>
              <w:ind w:firstLine="0" w:firstLineChars="0"/>
              <w:jc w:val="center"/>
              <w:rPr>
                <w:rFonts w:ascii="宋体" w:hAnsi="宋体"/>
                <w:color w:val="000000"/>
                <w:sz w:val="18"/>
                <w:szCs w:val="18"/>
                <w:highlight w:val="none"/>
              </w:rPr>
            </w:pPr>
            <w:r>
              <w:rPr>
                <w:rFonts w:hint="eastAsia" w:ascii="宋体" w:hAnsi="宋体"/>
                <w:color w:val="000000"/>
                <w:sz w:val="18"/>
                <w:szCs w:val="18"/>
                <w:highlight w:val="none"/>
              </w:rPr>
              <w:t>项</w:t>
            </w:r>
          </w:p>
        </w:tc>
      </w:tr>
      <w:tr w14:paraId="778F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93" w:type="pct"/>
            <w:vAlign w:val="center"/>
          </w:tcPr>
          <w:p w14:paraId="4E2B6A62">
            <w:pPr>
              <w:spacing w:after="0" w:line="240" w:lineRule="auto"/>
              <w:ind w:firstLine="0" w:firstLineChars="0"/>
              <w:jc w:val="center"/>
              <w:rPr>
                <w:rFonts w:ascii="宋体" w:hAnsi="宋体"/>
                <w:color w:val="000000"/>
                <w:sz w:val="18"/>
                <w:szCs w:val="18"/>
                <w:highlight w:val="none"/>
              </w:rPr>
            </w:pPr>
            <w:r>
              <w:rPr>
                <w:rFonts w:hint="eastAsia" w:ascii="宋体" w:hAnsi="宋体"/>
                <w:color w:val="000000"/>
                <w:sz w:val="18"/>
                <w:szCs w:val="18"/>
                <w:highlight w:val="none"/>
              </w:rPr>
              <w:t>5</w:t>
            </w:r>
          </w:p>
        </w:tc>
        <w:tc>
          <w:tcPr>
            <w:tcW w:w="911" w:type="pct"/>
            <w:vAlign w:val="center"/>
          </w:tcPr>
          <w:p w14:paraId="2B256360">
            <w:pPr>
              <w:spacing w:after="0" w:line="240" w:lineRule="auto"/>
              <w:ind w:firstLine="0" w:firstLineChars="0"/>
              <w:jc w:val="left"/>
              <w:rPr>
                <w:rFonts w:ascii="宋体" w:hAnsi="宋体"/>
                <w:color w:val="000000"/>
                <w:sz w:val="18"/>
                <w:szCs w:val="18"/>
                <w:highlight w:val="none"/>
              </w:rPr>
            </w:pPr>
            <w:r>
              <w:rPr>
                <w:rFonts w:hint="eastAsia" w:ascii="宋体" w:hAnsi="宋体"/>
                <w:color w:val="000000"/>
                <w:sz w:val="18"/>
                <w:szCs w:val="18"/>
                <w:highlight w:val="none"/>
              </w:rPr>
              <w:t>布线组网</w:t>
            </w:r>
          </w:p>
        </w:tc>
        <w:tc>
          <w:tcPr>
            <w:tcW w:w="2834" w:type="pct"/>
            <w:vAlign w:val="center"/>
          </w:tcPr>
          <w:p w14:paraId="382B1732">
            <w:pPr>
              <w:numPr>
                <w:ilvl w:val="0"/>
                <w:numId w:val="6"/>
              </w:numPr>
              <w:spacing w:after="0" w:line="240" w:lineRule="auto"/>
              <w:ind w:firstLineChars="0"/>
              <w:rPr>
                <w:rFonts w:ascii="宋体" w:hAnsi="宋体" w:cs="宋体"/>
                <w:sz w:val="18"/>
                <w:szCs w:val="18"/>
                <w:highlight w:val="none"/>
              </w:rPr>
            </w:pPr>
            <w:r>
              <w:rPr>
                <w:rFonts w:hint="eastAsia" w:ascii="宋体" w:hAnsi="宋体" w:cs="宋体"/>
                <w:sz w:val="18"/>
                <w:szCs w:val="18"/>
                <w:highlight w:val="none"/>
              </w:rPr>
              <w:t>网线布放</w:t>
            </w:r>
          </w:p>
          <w:p w14:paraId="6BB5B49A">
            <w:pPr>
              <w:numPr>
                <w:ilvl w:val="0"/>
                <w:numId w:val="6"/>
              </w:numPr>
              <w:spacing w:after="0" w:line="240" w:lineRule="auto"/>
              <w:ind w:left="0" w:firstLine="0" w:firstLineChars="0"/>
              <w:rPr>
                <w:rFonts w:ascii="宋体" w:hAnsi="宋体" w:cs="宋体"/>
                <w:sz w:val="18"/>
                <w:szCs w:val="18"/>
                <w:highlight w:val="none"/>
              </w:rPr>
            </w:pPr>
            <w:r>
              <w:rPr>
                <w:rFonts w:hint="eastAsia" w:ascii="宋体" w:hAnsi="宋体" w:cs="宋体"/>
                <w:sz w:val="18"/>
                <w:szCs w:val="18"/>
                <w:highlight w:val="none"/>
              </w:rPr>
              <w:t>光纤布放</w:t>
            </w:r>
          </w:p>
          <w:p w14:paraId="1D26F00B">
            <w:pPr>
              <w:numPr>
                <w:ilvl w:val="0"/>
                <w:numId w:val="6"/>
              </w:numPr>
              <w:spacing w:after="0" w:line="240" w:lineRule="auto"/>
              <w:ind w:left="0" w:firstLine="0" w:firstLineChars="0"/>
              <w:rPr>
                <w:rFonts w:ascii="宋体" w:hAnsi="宋体" w:cs="宋体"/>
                <w:sz w:val="18"/>
                <w:szCs w:val="18"/>
                <w:highlight w:val="none"/>
              </w:rPr>
            </w:pPr>
            <w:r>
              <w:rPr>
                <w:rFonts w:hint="eastAsia" w:ascii="宋体" w:hAnsi="宋体" w:cs="宋体"/>
                <w:sz w:val="18"/>
                <w:szCs w:val="18"/>
                <w:highlight w:val="none"/>
              </w:rPr>
              <w:t>设备标签</w:t>
            </w:r>
          </w:p>
          <w:p w14:paraId="4E1D751F">
            <w:pPr>
              <w:numPr>
                <w:ilvl w:val="0"/>
                <w:numId w:val="6"/>
              </w:numPr>
              <w:spacing w:after="0" w:line="240" w:lineRule="auto"/>
              <w:ind w:left="0" w:firstLine="0" w:firstLineChars="0"/>
              <w:rPr>
                <w:rFonts w:ascii="宋体" w:hAnsi="宋体" w:cs="宋体"/>
                <w:sz w:val="18"/>
                <w:szCs w:val="18"/>
                <w:highlight w:val="none"/>
              </w:rPr>
            </w:pPr>
            <w:r>
              <w:rPr>
                <w:rFonts w:hint="eastAsia" w:ascii="宋体" w:hAnsi="宋体" w:cs="宋体"/>
                <w:sz w:val="18"/>
                <w:szCs w:val="18"/>
                <w:highlight w:val="none"/>
              </w:rPr>
              <w:t>线缆标识</w:t>
            </w:r>
          </w:p>
        </w:tc>
        <w:tc>
          <w:tcPr>
            <w:tcW w:w="416" w:type="pct"/>
            <w:vAlign w:val="center"/>
          </w:tcPr>
          <w:p w14:paraId="55BDB267">
            <w:pPr>
              <w:spacing w:after="0" w:line="240" w:lineRule="auto"/>
              <w:ind w:firstLine="0" w:firstLineChars="0"/>
              <w:jc w:val="center"/>
              <w:rPr>
                <w:rFonts w:ascii="宋体" w:hAnsi="宋体"/>
                <w:color w:val="000000"/>
                <w:sz w:val="18"/>
                <w:szCs w:val="18"/>
                <w:highlight w:val="none"/>
              </w:rPr>
            </w:pPr>
            <w:r>
              <w:rPr>
                <w:rFonts w:hint="eastAsia" w:ascii="宋体" w:hAnsi="宋体"/>
                <w:color w:val="000000"/>
                <w:sz w:val="18"/>
                <w:szCs w:val="18"/>
                <w:highlight w:val="none"/>
              </w:rPr>
              <w:t>1</w:t>
            </w:r>
          </w:p>
        </w:tc>
        <w:tc>
          <w:tcPr>
            <w:tcW w:w="443" w:type="pct"/>
            <w:vAlign w:val="center"/>
          </w:tcPr>
          <w:p w14:paraId="5A654C31">
            <w:pPr>
              <w:spacing w:after="0" w:line="240" w:lineRule="auto"/>
              <w:ind w:firstLine="0" w:firstLineChars="0"/>
              <w:jc w:val="center"/>
              <w:rPr>
                <w:rFonts w:ascii="宋体" w:hAnsi="宋体"/>
                <w:color w:val="000000"/>
                <w:sz w:val="18"/>
                <w:szCs w:val="18"/>
                <w:highlight w:val="none"/>
              </w:rPr>
            </w:pPr>
            <w:r>
              <w:rPr>
                <w:rFonts w:hint="eastAsia" w:ascii="宋体" w:hAnsi="宋体"/>
                <w:color w:val="000000"/>
                <w:sz w:val="18"/>
                <w:szCs w:val="18"/>
                <w:highlight w:val="none"/>
              </w:rPr>
              <w:t>项</w:t>
            </w:r>
          </w:p>
        </w:tc>
      </w:tr>
      <w:tr w14:paraId="2E52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93" w:type="pct"/>
            <w:vAlign w:val="center"/>
          </w:tcPr>
          <w:p w14:paraId="7F520207">
            <w:pPr>
              <w:spacing w:after="0" w:line="240" w:lineRule="auto"/>
              <w:ind w:firstLine="0" w:firstLineChars="0"/>
              <w:jc w:val="center"/>
              <w:rPr>
                <w:rFonts w:ascii="宋体" w:hAnsi="宋体"/>
                <w:color w:val="000000"/>
                <w:sz w:val="18"/>
                <w:szCs w:val="18"/>
                <w:highlight w:val="none"/>
              </w:rPr>
            </w:pPr>
            <w:r>
              <w:rPr>
                <w:rFonts w:hint="eastAsia" w:ascii="宋体" w:hAnsi="宋体"/>
                <w:color w:val="000000"/>
                <w:sz w:val="18"/>
                <w:szCs w:val="18"/>
                <w:highlight w:val="none"/>
              </w:rPr>
              <w:t>6</w:t>
            </w:r>
          </w:p>
        </w:tc>
        <w:tc>
          <w:tcPr>
            <w:tcW w:w="911" w:type="pct"/>
            <w:vAlign w:val="center"/>
          </w:tcPr>
          <w:p w14:paraId="6D5CF475">
            <w:pPr>
              <w:spacing w:after="0" w:line="240" w:lineRule="auto"/>
              <w:ind w:firstLine="0" w:firstLineChars="0"/>
              <w:jc w:val="left"/>
              <w:rPr>
                <w:rFonts w:ascii="宋体" w:hAnsi="宋体"/>
                <w:color w:val="000000"/>
                <w:sz w:val="18"/>
                <w:szCs w:val="18"/>
                <w:highlight w:val="none"/>
              </w:rPr>
            </w:pPr>
            <w:r>
              <w:rPr>
                <w:rFonts w:hint="eastAsia" w:ascii="宋体" w:hAnsi="宋体"/>
                <w:color w:val="000000"/>
                <w:sz w:val="18"/>
                <w:szCs w:val="18"/>
                <w:highlight w:val="none"/>
              </w:rPr>
              <w:t>培训</w:t>
            </w:r>
          </w:p>
        </w:tc>
        <w:tc>
          <w:tcPr>
            <w:tcW w:w="2834" w:type="pct"/>
            <w:vAlign w:val="center"/>
          </w:tcPr>
          <w:p w14:paraId="3DB94BE3">
            <w:pPr>
              <w:numPr>
                <w:ilvl w:val="0"/>
                <w:numId w:val="7"/>
              </w:numPr>
              <w:spacing w:after="0" w:line="240" w:lineRule="auto"/>
              <w:ind w:left="0" w:firstLine="0" w:firstLineChars="0"/>
              <w:rPr>
                <w:rFonts w:ascii="宋体" w:hAnsi="宋体" w:cs="宋体"/>
                <w:sz w:val="18"/>
                <w:szCs w:val="18"/>
                <w:highlight w:val="none"/>
              </w:rPr>
            </w:pPr>
            <w:r>
              <w:rPr>
                <w:rFonts w:hint="eastAsia" w:ascii="宋体" w:hAnsi="宋体" w:cs="宋体"/>
                <w:sz w:val="18"/>
                <w:szCs w:val="18"/>
                <w:highlight w:val="none"/>
              </w:rPr>
              <w:t>项目整体培训</w:t>
            </w:r>
          </w:p>
          <w:p w14:paraId="0DE57E0C">
            <w:pPr>
              <w:numPr>
                <w:ilvl w:val="0"/>
                <w:numId w:val="7"/>
              </w:numPr>
              <w:spacing w:after="0" w:line="240" w:lineRule="auto"/>
              <w:ind w:left="0" w:firstLine="0" w:firstLineChars="0"/>
              <w:rPr>
                <w:rFonts w:ascii="宋体" w:hAnsi="宋体" w:cs="宋体"/>
                <w:sz w:val="18"/>
                <w:szCs w:val="18"/>
                <w:highlight w:val="none"/>
              </w:rPr>
            </w:pPr>
            <w:r>
              <w:rPr>
                <w:rFonts w:hint="eastAsia" w:ascii="宋体" w:hAnsi="宋体" w:cs="宋体"/>
                <w:sz w:val="18"/>
                <w:szCs w:val="18"/>
                <w:highlight w:val="none"/>
              </w:rPr>
              <w:t>各类设备专业培训</w:t>
            </w:r>
          </w:p>
          <w:p w14:paraId="0A837C92">
            <w:pPr>
              <w:numPr>
                <w:ilvl w:val="0"/>
                <w:numId w:val="7"/>
              </w:numPr>
              <w:spacing w:after="0" w:line="240" w:lineRule="auto"/>
              <w:ind w:left="0" w:firstLine="0" w:firstLineChars="0"/>
              <w:rPr>
                <w:rFonts w:ascii="宋体" w:hAnsi="宋体" w:cs="宋体"/>
                <w:sz w:val="18"/>
                <w:szCs w:val="18"/>
                <w:highlight w:val="none"/>
              </w:rPr>
            </w:pPr>
            <w:r>
              <w:rPr>
                <w:rFonts w:hint="eastAsia" w:ascii="宋体" w:hAnsi="宋体" w:cs="宋体"/>
                <w:sz w:val="18"/>
                <w:szCs w:val="18"/>
                <w:highlight w:val="none"/>
              </w:rPr>
              <w:t>运维操作培训</w:t>
            </w:r>
          </w:p>
        </w:tc>
        <w:tc>
          <w:tcPr>
            <w:tcW w:w="416" w:type="pct"/>
            <w:vAlign w:val="center"/>
          </w:tcPr>
          <w:p w14:paraId="5F39B9FD">
            <w:pPr>
              <w:spacing w:after="0" w:line="240" w:lineRule="auto"/>
              <w:ind w:firstLine="0" w:firstLineChars="0"/>
              <w:jc w:val="center"/>
              <w:rPr>
                <w:rFonts w:ascii="宋体" w:hAnsi="宋体"/>
                <w:color w:val="000000"/>
                <w:sz w:val="18"/>
                <w:szCs w:val="18"/>
                <w:highlight w:val="none"/>
              </w:rPr>
            </w:pPr>
            <w:r>
              <w:rPr>
                <w:rFonts w:hint="eastAsia" w:ascii="宋体" w:hAnsi="宋体"/>
                <w:color w:val="000000"/>
                <w:sz w:val="18"/>
                <w:szCs w:val="18"/>
                <w:highlight w:val="none"/>
              </w:rPr>
              <w:t>1</w:t>
            </w:r>
          </w:p>
        </w:tc>
        <w:tc>
          <w:tcPr>
            <w:tcW w:w="443" w:type="pct"/>
            <w:vAlign w:val="center"/>
          </w:tcPr>
          <w:p w14:paraId="6082631A">
            <w:pPr>
              <w:spacing w:after="0" w:line="240" w:lineRule="auto"/>
              <w:ind w:firstLine="0" w:firstLineChars="0"/>
              <w:jc w:val="center"/>
              <w:rPr>
                <w:rFonts w:ascii="宋体" w:hAnsi="宋体"/>
                <w:color w:val="000000"/>
                <w:sz w:val="18"/>
                <w:szCs w:val="18"/>
                <w:highlight w:val="none"/>
              </w:rPr>
            </w:pPr>
            <w:r>
              <w:rPr>
                <w:rFonts w:hint="eastAsia" w:ascii="宋体" w:hAnsi="宋体"/>
                <w:color w:val="000000"/>
                <w:sz w:val="18"/>
                <w:szCs w:val="18"/>
                <w:highlight w:val="none"/>
              </w:rPr>
              <w:t>项</w:t>
            </w:r>
          </w:p>
        </w:tc>
      </w:tr>
    </w:tbl>
    <w:p w14:paraId="50202D76">
      <w:pPr>
        <w:widowControl w:val="0"/>
        <w:autoSpaceDE w:val="0"/>
        <w:autoSpaceDN w:val="0"/>
        <w:adjustRightInd w:val="0"/>
        <w:snapToGrid w:val="0"/>
        <w:spacing w:after="0"/>
        <w:ind w:firstLine="422"/>
        <w:jc w:val="left"/>
        <w:rPr>
          <w:rFonts w:ascii="宋体" w:hAnsi="宋体"/>
          <w:b/>
          <w:bCs/>
          <w:szCs w:val="21"/>
          <w:highlight w:val="none"/>
        </w:rPr>
      </w:pPr>
      <w:r>
        <w:rPr>
          <w:rFonts w:hint="eastAsia" w:ascii="宋体" w:hAnsi="宋体"/>
          <w:b/>
          <w:bCs/>
          <w:szCs w:val="21"/>
          <w:highlight w:val="none"/>
        </w:rPr>
        <w:t>5、质保</w:t>
      </w:r>
      <w:r>
        <w:rPr>
          <w:rFonts w:ascii="宋体" w:hAnsi="宋体"/>
          <w:b/>
          <w:bCs/>
          <w:szCs w:val="21"/>
          <w:highlight w:val="none"/>
        </w:rPr>
        <w:t>服务</w:t>
      </w:r>
    </w:p>
    <w:p w14:paraId="337A7980">
      <w:pPr>
        <w:pStyle w:val="342"/>
        <w:widowControl w:val="0"/>
        <w:autoSpaceDE w:val="0"/>
        <w:autoSpaceDN w:val="0"/>
        <w:adjustRightInd w:val="0"/>
        <w:snapToGrid w:val="0"/>
        <w:spacing w:after="0"/>
        <w:ind w:left="357"/>
        <w:jc w:val="left"/>
        <w:rPr>
          <w:rFonts w:ascii="宋体" w:hAnsi="宋体"/>
          <w:b/>
          <w:bCs/>
          <w:szCs w:val="21"/>
          <w:highlight w:val="none"/>
        </w:rPr>
      </w:pPr>
      <w:r>
        <w:rPr>
          <w:rFonts w:hint="eastAsia"/>
          <w:highlight w:val="none"/>
        </w:rPr>
        <w:t>本项目验收之后提供3年免费质保，第四年、第五年质保续保服务费用单独报价，由采购人选择是否续保。报价人承诺采购人可以不高于报价金额进行续保。</w:t>
      </w:r>
    </w:p>
    <w:p w14:paraId="4124E71A">
      <w:pPr>
        <w:widowControl w:val="0"/>
        <w:autoSpaceDE w:val="0"/>
        <w:autoSpaceDN w:val="0"/>
        <w:adjustRightInd w:val="0"/>
        <w:snapToGrid w:val="0"/>
        <w:spacing w:after="0"/>
        <w:ind w:firstLine="420"/>
        <w:rPr>
          <w:highlight w:val="none"/>
        </w:rPr>
      </w:pPr>
    </w:p>
    <w:p w14:paraId="141903C4">
      <w:pPr>
        <w:ind w:firstLine="0" w:firstLineChars="0"/>
        <w:jc w:val="left"/>
        <w:rPr>
          <w:rFonts w:ascii="宋体" w:hAnsi="宋体"/>
          <w:b/>
          <w:sz w:val="32"/>
          <w:highlight w:val="none"/>
        </w:rPr>
      </w:pPr>
      <w:r>
        <w:rPr>
          <w:rFonts w:hint="eastAsia" w:ascii="宋体" w:hAnsi="宋体"/>
          <w:b/>
          <w:sz w:val="32"/>
          <w:highlight w:val="none"/>
        </w:rPr>
        <w:br w:type="page"/>
      </w:r>
    </w:p>
    <w:p w14:paraId="40D56827">
      <w:pPr>
        <w:widowControl w:val="0"/>
        <w:autoSpaceDN w:val="0"/>
        <w:adjustRightInd w:val="0"/>
        <w:snapToGrid w:val="0"/>
        <w:ind w:firstLine="0" w:firstLineChars="0"/>
        <w:jc w:val="center"/>
        <w:outlineLvl w:val="1"/>
        <w:rPr>
          <w:rFonts w:ascii="宋体" w:hAnsi="宋体"/>
          <w:b/>
          <w:sz w:val="32"/>
          <w:highlight w:val="none"/>
        </w:rPr>
      </w:pPr>
      <w:r>
        <w:rPr>
          <w:rFonts w:hint="eastAsia" w:ascii="宋体" w:hAnsi="宋体"/>
          <w:b/>
          <w:sz w:val="32"/>
          <w:highlight w:val="none"/>
        </w:rPr>
        <w:t>第二节 商务条款</w:t>
      </w:r>
    </w:p>
    <w:p w14:paraId="13054280">
      <w:pPr>
        <w:widowControl w:val="0"/>
        <w:numPr>
          <w:ilvl w:val="0"/>
          <w:numId w:val="8"/>
        </w:numPr>
        <w:autoSpaceDE w:val="0"/>
        <w:autoSpaceDN w:val="0"/>
        <w:adjustRightInd w:val="0"/>
        <w:snapToGrid w:val="0"/>
        <w:spacing w:after="0"/>
        <w:ind w:left="0" w:firstLine="422"/>
        <w:jc w:val="left"/>
        <w:outlineLvl w:val="2"/>
        <w:rPr>
          <w:rFonts w:ascii="宋体" w:hAnsi="宋体"/>
          <w:b/>
          <w:bCs/>
          <w:szCs w:val="21"/>
          <w:highlight w:val="none"/>
        </w:rPr>
      </w:pPr>
      <w:r>
        <w:rPr>
          <w:rFonts w:hint="eastAsia" w:ascii="宋体" w:hAnsi="宋体"/>
          <w:b/>
          <w:bCs/>
          <w:szCs w:val="21"/>
          <w:highlight w:val="none"/>
        </w:rPr>
        <w:t>项目概况</w:t>
      </w:r>
    </w:p>
    <w:p w14:paraId="05F63D96">
      <w:pPr>
        <w:pStyle w:val="43"/>
        <w:spacing w:after="0"/>
        <w:ind w:firstLine="420"/>
        <w:rPr>
          <w:highlight w:val="none"/>
          <w:lang w:eastAsia="zh-CN"/>
        </w:rPr>
      </w:pPr>
      <w:r>
        <w:rPr>
          <w:rFonts w:hint="eastAsia"/>
          <w:highlight w:val="none"/>
          <w:lang w:eastAsia="zh-CN"/>
        </w:rPr>
        <w:t>为赋能深圳市人工智能产业发展壮大，培育发展新质生产力，我集团快速推动深圳（东部）人工智能产业公共服务平台四期项目（以下简称“项目”）落地。根据客户最新需求，我集团拟建设智能算力和通算算力资源及网络等配套设施。</w:t>
      </w:r>
    </w:p>
    <w:p w14:paraId="34ED7E06">
      <w:pPr>
        <w:widowControl w:val="0"/>
        <w:numPr>
          <w:ilvl w:val="0"/>
          <w:numId w:val="8"/>
        </w:numPr>
        <w:autoSpaceDE w:val="0"/>
        <w:autoSpaceDN w:val="0"/>
        <w:adjustRightInd w:val="0"/>
        <w:snapToGrid w:val="0"/>
        <w:spacing w:after="0"/>
        <w:ind w:left="0" w:firstLine="422"/>
        <w:jc w:val="left"/>
        <w:outlineLvl w:val="2"/>
        <w:rPr>
          <w:rFonts w:ascii="宋体" w:hAnsi="宋体"/>
          <w:b/>
          <w:bCs/>
          <w:szCs w:val="21"/>
          <w:highlight w:val="none"/>
        </w:rPr>
      </w:pPr>
      <w:r>
        <w:rPr>
          <w:rFonts w:hint="eastAsia" w:ascii="宋体" w:hAnsi="宋体"/>
          <w:b/>
          <w:bCs/>
          <w:szCs w:val="21"/>
          <w:highlight w:val="none"/>
        </w:rPr>
        <w:t>合同履行期限</w:t>
      </w:r>
    </w:p>
    <w:p w14:paraId="562EF40B">
      <w:pPr>
        <w:pStyle w:val="43"/>
        <w:spacing w:after="0"/>
        <w:ind w:firstLine="420"/>
        <w:rPr>
          <w:highlight w:val="none"/>
          <w:lang w:eastAsia="zh-CN"/>
        </w:rPr>
      </w:pPr>
      <w:r>
        <w:rPr>
          <w:rFonts w:hint="eastAsia"/>
          <w:highlight w:val="none"/>
          <w:lang w:eastAsia="zh-CN"/>
        </w:rPr>
        <w:t>合同签订后，</w:t>
      </w:r>
      <w:r>
        <w:rPr>
          <w:rFonts w:hint="eastAsia" w:ascii="宋体" w:hAnsi="宋体"/>
          <w:kern w:val="0"/>
          <w:szCs w:val="21"/>
          <w:highlight w:val="none"/>
          <w:lang w:val="en-US" w:eastAsia="zh-CN"/>
        </w:rPr>
        <w:t>5</w:t>
      </w:r>
      <w:r>
        <w:rPr>
          <w:rFonts w:hint="eastAsia" w:ascii="宋体" w:hAnsi="宋体"/>
          <w:kern w:val="0"/>
          <w:szCs w:val="21"/>
          <w:highlight w:val="none"/>
        </w:rPr>
        <w:t>个工作日内提供具体方案及服务</w:t>
      </w:r>
      <w:r>
        <w:rPr>
          <w:rFonts w:hint="eastAsia"/>
          <w:highlight w:val="none"/>
          <w:lang w:eastAsia="zh-CN"/>
        </w:rPr>
        <w:t>。项目验收之日起，提供3年免费质保服务。</w:t>
      </w:r>
    </w:p>
    <w:p w14:paraId="245C3854">
      <w:pPr>
        <w:widowControl w:val="0"/>
        <w:numPr>
          <w:ilvl w:val="0"/>
          <w:numId w:val="8"/>
        </w:numPr>
        <w:autoSpaceDE w:val="0"/>
        <w:autoSpaceDN w:val="0"/>
        <w:adjustRightInd w:val="0"/>
        <w:snapToGrid w:val="0"/>
        <w:spacing w:after="0"/>
        <w:ind w:left="0" w:firstLine="422"/>
        <w:jc w:val="left"/>
        <w:outlineLvl w:val="2"/>
        <w:rPr>
          <w:rFonts w:ascii="宋体" w:hAnsi="宋体"/>
          <w:b/>
          <w:bCs/>
          <w:szCs w:val="21"/>
          <w:highlight w:val="none"/>
        </w:rPr>
      </w:pPr>
      <w:r>
        <w:rPr>
          <w:rFonts w:hint="eastAsia" w:ascii="宋体" w:hAnsi="宋体"/>
          <w:b/>
          <w:bCs/>
          <w:szCs w:val="21"/>
          <w:highlight w:val="none"/>
        </w:rPr>
        <w:t>服务地点</w:t>
      </w:r>
    </w:p>
    <w:p w14:paraId="763780B5">
      <w:pPr>
        <w:pStyle w:val="43"/>
        <w:spacing w:after="0"/>
        <w:ind w:firstLine="420"/>
        <w:rPr>
          <w:highlight w:val="none"/>
          <w:lang w:eastAsia="zh-CN"/>
        </w:rPr>
      </w:pPr>
      <w:r>
        <w:rPr>
          <w:rFonts w:hint="eastAsia"/>
          <w:highlight w:val="none"/>
          <w:lang w:eastAsia="zh-CN"/>
        </w:rPr>
        <w:t>位于深圳市内的客户指定地点。</w:t>
      </w:r>
    </w:p>
    <w:p w14:paraId="423EBB0A">
      <w:pPr>
        <w:widowControl w:val="0"/>
        <w:numPr>
          <w:ilvl w:val="0"/>
          <w:numId w:val="8"/>
        </w:numPr>
        <w:autoSpaceDE w:val="0"/>
        <w:autoSpaceDN w:val="0"/>
        <w:adjustRightInd w:val="0"/>
        <w:snapToGrid w:val="0"/>
        <w:spacing w:after="0"/>
        <w:ind w:left="0" w:firstLine="422"/>
        <w:jc w:val="left"/>
        <w:outlineLvl w:val="2"/>
        <w:rPr>
          <w:rFonts w:ascii="宋体" w:hAnsi="宋体"/>
          <w:b/>
          <w:bCs/>
          <w:szCs w:val="21"/>
          <w:highlight w:val="none"/>
        </w:rPr>
      </w:pPr>
      <w:bookmarkStart w:id="12" w:name="_Toc404195403"/>
      <w:bookmarkStart w:id="13" w:name="_Toc406669475"/>
      <w:r>
        <w:rPr>
          <w:rFonts w:hint="eastAsia" w:ascii="宋体" w:hAnsi="宋体"/>
          <w:b/>
          <w:bCs/>
          <w:szCs w:val="21"/>
          <w:highlight w:val="none"/>
        </w:rPr>
        <w:t>报价方式</w:t>
      </w:r>
      <w:bookmarkEnd w:id="12"/>
      <w:bookmarkEnd w:id="13"/>
    </w:p>
    <w:p w14:paraId="35ED0230">
      <w:pPr>
        <w:pStyle w:val="43"/>
        <w:spacing w:after="0"/>
        <w:ind w:firstLine="420"/>
        <w:rPr>
          <w:highlight w:val="none"/>
          <w:lang w:eastAsia="zh-CN"/>
        </w:rPr>
      </w:pPr>
      <w:r>
        <w:rPr>
          <w:rFonts w:hint="eastAsia"/>
          <w:highlight w:val="none"/>
          <w:lang w:eastAsia="zh-CN"/>
        </w:rPr>
        <w:t>详见询价回执。</w:t>
      </w:r>
    </w:p>
    <w:p w14:paraId="339827CE">
      <w:pPr>
        <w:widowControl w:val="0"/>
        <w:numPr>
          <w:ilvl w:val="255"/>
          <w:numId w:val="0"/>
        </w:numPr>
        <w:autoSpaceDE w:val="0"/>
        <w:autoSpaceDN w:val="0"/>
        <w:adjustRightInd w:val="0"/>
        <w:snapToGrid w:val="0"/>
        <w:spacing w:after="0"/>
        <w:ind w:left="420" w:leftChars="200"/>
        <w:jc w:val="left"/>
        <w:outlineLvl w:val="2"/>
        <w:rPr>
          <w:rFonts w:ascii="宋体" w:hAnsi="宋体"/>
          <w:b/>
          <w:bCs/>
          <w:szCs w:val="21"/>
          <w:highlight w:val="none"/>
        </w:rPr>
      </w:pPr>
      <w:r>
        <w:rPr>
          <w:rFonts w:hint="eastAsia" w:ascii="宋体" w:hAnsi="宋体"/>
          <w:b/>
          <w:bCs/>
          <w:szCs w:val="21"/>
          <w:highlight w:val="none"/>
        </w:rPr>
        <w:t>五、交付要求</w:t>
      </w:r>
    </w:p>
    <w:p w14:paraId="39A427EC">
      <w:pPr>
        <w:widowControl w:val="0"/>
        <w:spacing w:after="0"/>
        <w:ind w:firstLine="420"/>
        <w:rPr>
          <w:rFonts w:ascii="宋体" w:hAnsi="宋体"/>
          <w:kern w:val="0"/>
          <w:szCs w:val="21"/>
          <w:highlight w:val="none"/>
        </w:rPr>
      </w:pPr>
      <w:r>
        <w:rPr>
          <w:rFonts w:hint="eastAsia" w:ascii="宋体" w:hAnsi="宋体"/>
          <w:kern w:val="0"/>
          <w:szCs w:val="21"/>
          <w:highlight w:val="none"/>
        </w:rPr>
        <w:t>投标人须在合同签订后</w:t>
      </w:r>
      <w:r>
        <w:rPr>
          <w:rFonts w:hint="eastAsia" w:ascii="宋体" w:hAnsi="宋体"/>
          <w:kern w:val="0"/>
          <w:szCs w:val="21"/>
          <w:highlight w:val="none"/>
          <w:lang w:val="en-US" w:eastAsia="zh-CN"/>
        </w:rPr>
        <w:t>5</w:t>
      </w:r>
      <w:r>
        <w:rPr>
          <w:rFonts w:hint="eastAsia" w:ascii="宋体" w:hAnsi="宋体"/>
          <w:kern w:val="0"/>
          <w:szCs w:val="21"/>
          <w:highlight w:val="none"/>
        </w:rPr>
        <w:t>个工作日内提供具体方案及服务，投标人提供的算力设备生产时间不能早于2023年12月31日。</w:t>
      </w:r>
    </w:p>
    <w:p w14:paraId="60ED78C7">
      <w:pPr>
        <w:widowControl w:val="0"/>
        <w:numPr>
          <w:ilvl w:val="0"/>
          <w:numId w:val="9"/>
        </w:numPr>
        <w:autoSpaceDE w:val="0"/>
        <w:autoSpaceDN w:val="0"/>
        <w:adjustRightInd w:val="0"/>
        <w:snapToGrid w:val="0"/>
        <w:spacing w:after="0" w:line="288" w:lineRule="auto"/>
        <w:ind w:left="420" w:leftChars="200" w:firstLine="0" w:firstLineChars="0"/>
        <w:jc w:val="left"/>
        <w:outlineLvl w:val="2"/>
        <w:rPr>
          <w:rFonts w:ascii="宋体" w:hAnsi="宋体"/>
          <w:b/>
          <w:bCs/>
          <w:szCs w:val="21"/>
          <w:highlight w:val="none"/>
        </w:rPr>
      </w:pPr>
      <w:r>
        <w:rPr>
          <w:rFonts w:hint="eastAsia" w:ascii="宋体" w:hAnsi="宋体"/>
          <w:b/>
          <w:bCs/>
          <w:szCs w:val="21"/>
          <w:highlight w:val="none"/>
        </w:rPr>
        <w:t>验收要求</w:t>
      </w:r>
    </w:p>
    <w:p w14:paraId="0476E8D0">
      <w:pPr>
        <w:widowControl w:val="0"/>
        <w:spacing w:after="0"/>
        <w:ind w:firstLine="420"/>
        <w:rPr>
          <w:rFonts w:ascii="宋体" w:hAnsi="宋体"/>
          <w:kern w:val="0"/>
          <w:szCs w:val="21"/>
          <w:highlight w:val="none"/>
        </w:rPr>
      </w:pPr>
      <w:r>
        <w:rPr>
          <w:rFonts w:hint="eastAsia" w:ascii="宋体" w:hAnsi="宋体"/>
          <w:kern w:val="0"/>
          <w:szCs w:val="21"/>
          <w:highlight w:val="none"/>
          <w:lang w:eastAsia="zh-CN"/>
        </w:rPr>
        <w:t>投标人</w:t>
      </w:r>
      <w:r>
        <w:rPr>
          <w:rFonts w:hint="eastAsia" w:ascii="宋体" w:hAnsi="宋体"/>
          <w:kern w:val="0"/>
          <w:szCs w:val="21"/>
          <w:highlight w:val="none"/>
        </w:rPr>
        <w:t>需配合</w:t>
      </w:r>
      <w:r>
        <w:rPr>
          <w:rFonts w:hint="eastAsia" w:ascii="宋体" w:hAnsi="宋体"/>
          <w:kern w:val="0"/>
          <w:szCs w:val="21"/>
          <w:highlight w:val="none"/>
          <w:lang w:eastAsia="zh-CN"/>
        </w:rPr>
        <w:t>甲方和</w:t>
      </w:r>
      <w:r>
        <w:rPr>
          <w:rFonts w:hint="eastAsia" w:ascii="宋体" w:hAnsi="宋体"/>
          <w:kern w:val="0"/>
          <w:szCs w:val="21"/>
          <w:highlight w:val="none"/>
        </w:rPr>
        <w:t>最终客户的最终考核验收，并提交详细描述验收的组织和实施办法，测试方案，用户验收条件等。若项目质量不达标，未按项目合同条款实施，采购人将根据实际考核结果结算实际发生的费用。</w:t>
      </w:r>
    </w:p>
    <w:p w14:paraId="02595BC5">
      <w:pPr>
        <w:widowControl w:val="0"/>
        <w:spacing w:after="0"/>
        <w:ind w:firstLine="420"/>
        <w:rPr>
          <w:rFonts w:ascii="宋体" w:hAnsi="宋体"/>
          <w:kern w:val="0"/>
          <w:szCs w:val="21"/>
          <w:highlight w:val="none"/>
        </w:rPr>
      </w:pPr>
      <w:r>
        <w:rPr>
          <w:rFonts w:hint="eastAsia" w:ascii="宋体" w:hAnsi="宋体"/>
          <w:kern w:val="0"/>
          <w:szCs w:val="21"/>
          <w:highlight w:val="none"/>
        </w:rPr>
        <w:t>对投标人的验收需在通过最终客户的验收后启动，验收要求如下：</w:t>
      </w:r>
    </w:p>
    <w:p w14:paraId="1C7C2340">
      <w:pPr>
        <w:widowControl w:val="0"/>
        <w:spacing w:after="0"/>
        <w:ind w:firstLine="420"/>
        <w:rPr>
          <w:rFonts w:ascii="宋体" w:hAnsi="宋体"/>
          <w:kern w:val="0"/>
          <w:szCs w:val="21"/>
          <w:highlight w:val="none"/>
        </w:rPr>
      </w:pPr>
      <w:r>
        <w:rPr>
          <w:rFonts w:hint="eastAsia" w:ascii="宋体" w:hAnsi="宋体"/>
          <w:kern w:val="0"/>
          <w:szCs w:val="21"/>
          <w:highlight w:val="none"/>
        </w:rPr>
        <w:t>①各环节流程、文档、成果满足采购方相关管理规范、招标文件、合同要求；</w:t>
      </w:r>
    </w:p>
    <w:p w14:paraId="312A36D0">
      <w:pPr>
        <w:widowControl w:val="0"/>
        <w:spacing w:after="0"/>
        <w:ind w:firstLine="420"/>
        <w:rPr>
          <w:rFonts w:ascii="宋体" w:hAnsi="宋体"/>
          <w:kern w:val="0"/>
          <w:szCs w:val="21"/>
          <w:highlight w:val="none"/>
        </w:rPr>
      </w:pPr>
      <w:r>
        <w:rPr>
          <w:rFonts w:hint="eastAsia" w:ascii="宋体" w:hAnsi="宋体"/>
          <w:kern w:val="0"/>
          <w:szCs w:val="21"/>
          <w:highlight w:val="none"/>
        </w:rPr>
        <w:t>②项目服务实施过程中出现的问题已被解决；</w:t>
      </w:r>
    </w:p>
    <w:p w14:paraId="78717985">
      <w:pPr>
        <w:widowControl w:val="0"/>
        <w:spacing w:after="0"/>
        <w:ind w:firstLine="420"/>
        <w:rPr>
          <w:rFonts w:ascii="宋体" w:hAnsi="宋体"/>
          <w:kern w:val="0"/>
          <w:szCs w:val="21"/>
          <w:highlight w:val="none"/>
        </w:rPr>
      </w:pPr>
      <w:r>
        <w:rPr>
          <w:rFonts w:hint="eastAsia" w:ascii="宋体" w:hAnsi="宋体"/>
          <w:kern w:val="0"/>
          <w:szCs w:val="21"/>
          <w:highlight w:val="none"/>
        </w:rPr>
        <w:t>③已提供了招标文件及合同要求的全部服务；</w:t>
      </w:r>
    </w:p>
    <w:p w14:paraId="0CDEE438">
      <w:pPr>
        <w:widowControl w:val="0"/>
        <w:spacing w:after="0"/>
        <w:ind w:firstLine="420"/>
        <w:rPr>
          <w:rFonts w:ascii="宋体" w:hAnsi="宋体"/>
          <w:kern w:val="0"/>
          <w:szCs w:val="21"/>
          <w:highlight w:val="none"/>
        </w:rPr>
      </w:pPr>
      <w:r>
        <w:rPr>
          <w:rFonts w:hint="eastAsia" w:ascii="宋体" w:hAnsi="宋体"/>
          <w:kern w:val="0"/>
          <w:szCs w:val="21"/>
          <w:highlight w:val="none"/>
        </w:rPr>
        <w:t>④已移交与本项目有关的相关技术资料、文档。</w:t>
      </w:r>
    </w:p>
    <w:p w14:paraId="5A806D80">
      <w:pPr>
        <w:widowControl w:val="0"/>
        <w:numPr>
          <w:ilvl w:val="255"/>
          <w:numId w:val="0"/>
        </w:numPr>
        <w:autoSpaceDE w:val="0"/>
        <w:autoSpaceDN w:val="0"/>
        <w:adjustRightInd w:val="0"/>
        <w:snapToGrid w:val="0"/>
        <w:spacing w:after="0"/>
        <w:ind w:left="420" w:leftChars="200"/>
        <w:jc w:val="left"/>
        <w:outlineLvl w:val="2"/>
        <w:rPr>
          <w:rFonts w:ascii="宋体" w:hAnsi="宋体"/>
          <w:b/>
          <w:bCs/>
          <w:szCs w:val="21"/>
          <w:highlight w:val="none"/>
        </w:rPr>
      </w:pPr>
      <w:r>
        <w:rPr>
          <w:rFonts w:hint="eastAsia" w:ascii="宋体" w:hAnsi="宋体"/>
          <w:b/>
          <w:bCs/>
          <w:szCs w:val="21"/>
          <w:highlight w:val="none"/>
        </w:rPr>
        <w:t>七、质保服务要求</w:t>
      </w:r>
    </w:p>
    <w:tbl>
      <w:tblPr>
        <w:tblStyle w:val="50"/>
        <w:tblW w:w="46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1782"/>
        <w:gridCol w:w="5362"/>
      </w:tblGrid>
      <w:tr w14:paraId="3828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456" w:type="pct"/>
            <w:vAlign w:val="center"/>
          </w:tcPr>
          <w:p w14:paraId="16D34C04">
            <w:pPr>
              <w:spacing w:after="0" w:line="240" w:lineRule="auto"/>
              <w:ind w:firstLine="0" w:firstLineChars="0"/>
              <w:jc w:val="center"/>
              <w:rPr>
                <w:rFonts w:ascii="宋体" w:hAnsi="宋体" w:cs="宋体"/>
                <w:b/>
                <w:bCs/>
                <w:color w:val="000000"/>
                <w:sz w:val="18"/>
                <w:szCs w:val="18"/>
                <w:highlight w:val="none"/>
              </w:rPr>
            </w:pPr>
            <w:r>
              <w:rPr>
                <w:rFonts w:hint="eastAsia" w:ascii="宋体" w:hAnsi="宋体" w:cs="宋体"/>
                <w:b/>
                <w:sz w:val="18"/>
                <w:szCs w:val="18"/>
                <w:highlight w:val="none"/>
              </w:rPr>
              <w:t>序号</w:t>
            </w:r>
          </w:p>
        </w:tc>
        <w:tc>
          <w:tcPr>
            <w:tcW w:w="1133" w:type="pct"/>
            <w:vAlign w:val="center"/>
          </w:tcPr>
          <w:p w14:paraId="64A2D271">
            <w:pPr>
              <w:spacing w:after="0" w:line="240" w:lineRule="auto"/>
              <w:ind w:firstLine="0" w:firstLineChars="0"/>
              <w:jc w:val="center"/>
              <w:rPr>
                <w:rFonts w:ascii="宋体" w:hAnsi="宋体" w:cs="宋体"/>
                <w:b/>
                <w:bCs/>
                <w:color w:val="000000"/>
                <w:sz w:val="18"/>
                <w:szCs w:val="18"/>
                <w:highlight w:val="none"/>
              </w:rPr>
            </w:pPr>
            <w:r>
              <w:rPr>
                <w:rFonts w:hint="eastAsia" w:ascii="宋体" w:hAnsi="宋体" w:cs="宋体"/>
                <w:b/>
                <w:sz w:val="18"/>
                <w:szCs w:val="18"/>
                <w:highlight w:val="none"/>
              </w:rPr>
              <w:t>货物名称</w:t>
            </w:r>
          </w:p>
        </w:tc>
        <w:tc>
          <w:tcPr>
            <w:tcW w:w="3409" w:type="pct"/>
            <w:vAlign w:val="center"/>
          </w:tcPr>
          <w:p w14:paraId="621F23D9">
            <w:pPr>
              <w:spacing w:after="0" w:line="240" w:lineRule="auto"/>
              <w:ind w:firstLine="0" w:firstLineChars="0"/>
              <w:jc w:val="center"/>
              <w:rPr>
                <w:rFonts w:ascii="宋体" w:hAnsi="宋体" w:cs="宋体"/>
                <w:b/>
                <w:bCs/>
                <w:color w:val="000000"/>
                <w:sz w:val="18"/>
                <w:szCs w:val="18"/>
                <w:highlight w:val="none"/>
              </w:rPr>
            </w:pPr>
            <w:r>
              <w:rPr>
                <w:rFonts w:hint="eastAsia" w:ascii="宋体" w:hAnsi="宋体" w:cs="宋体"/>
                <w:b/>
                <w:sz w:val="18"/>
                <w:szCs w:val="18"/>
                <w:highlight w:val="none"/>
              </w:rPr>
              <w:t>质保期服务内容和要求</w:t>
            </w:r>
          </w:p>
        </w:tc>
      </w:tr>
      <w:tr w14:paraId="33B3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6" w:type="pct"/>
            <w:vAlign w:val="center"/>
          </w:tcPr>
          <w:p w14:paraId="16C58752">
            <w:pPr>
              <w:spacing w:after="0" w:line="240" w:lineRule="auto"/>
              <w:ind w:firstLine="0" w:firstLineChars="0"/>
              <w:jc w:val="center"/>
              <w:rPr>
                <w:rFonts w:ascii="宋体" w:hAnsi="宋体" w:cs="宋体"/>
                <w:color w:val="000000"/>
                <w:sz w:val="18"/>
                <w:szCs w:val="18"/>
                <w:highlight w:val="none"/>
              </w:rPr>
            </w:pPr>
            <w:bookmarkStart w:id="14" w:name="_Hlk195198060"/>
            <w:r>
              <w:rPr>
                <w:rFonts w:hint="eastAsia" w:ascii="宋体" w:hAnsi="宋体" w:cs="宋体"/>
                <w:color w:val="000000"/>
                <w:sz w:val="18"/>
                <w:szCs w:val="18"/>
                <w:highlight w:val="none"/>
              </w:rPr>
              <w:t>1</w:t>
            </w:r>
          </w:p>
        </w:tc>
        <w:tc>
          <w:tcPr>
            <w:tcW w:w="1133" w:type="pct"/>
            <w:vAlign w:val="center"/>
          </w:tcPr>
          <w:p w14:paraId="4FBA696A">
            <w:pPr>
              <w:spacing w:after="0" w:line="240" w:lineRule="auto"/>
              <w:ind w:firstLine="0" w:firstLineChars="0"/>
              <w:rPr>
                <w:rFonts w:ascii="宋体" w:hAnsi="宋体" w:cs="宋体"/>
                <w:color w:val="000000"/>
                <w:sz w:val="18"/>
                <w:szCs w:val="18"/>
                <w:highlight w:val="none"/>
              </w:rPr>
            </w:pPr>
            <w:r>
              <w:rPr>
                <w:rFonts w:hint="eastAsia" w:ascii="宋体" w:hAnsi="宋体" w:cs="宋体"/>
                <w:color w:val="000000"/>
                <w:sz w:val="18"/>
                <w:szCs w:val="18"/>
                <w:highlight w:val="none"/>
              </w:rPr>
              <w:t>质量保修期限</w:t>
            </w:r>
          </w:p>
        </w:tc>
        <w:tc>
          <w:tcPr>
            <w:tcW w:w="3409" w:type="pct"/>
            <w:vAlign w:val="center"/>
          </w:tcPr>
          <w:p w14:paraId="2B7AF8F5">
            <w:pPr>
              <w:pStyle w:val="14"/>
              <w:spacing w:after="0" w:line="240" w:lineRule="auto"/>
              <w:ind w:firstLine="0" w:firstLineChars="0"/>
              <w:rPr>
                <w:rFonts w:ascii="宋体" w:hAnsi="宋体" w:cs="宋体"/>
                <w:color w:val="000000"/>
                <w:sz w:val="18"/>
                <w:szCs w:val="18"/>
                <w:highlight w:val="none"/>
              </w:rPr>
            </w:pPr>
            <w:r>
              <w:rPr>
                <w:rFonts w:hint="eastAsia" w:ascii="宋体" w:hAnsi="宋体" w:cs="宋体"/>
                <w:color w:val="000000"/>
                <w:sz w:val="18"/>
                <w:szCs w:val="18"/>
                <w:highlight w:val="none"/>
                <w:lang w:val="en-US" w:eastAsia="zh-CN"/>
              </w:rPr>
              <w:t>3</w:t>
            </w:r>
            <w:r>
              <w:rPr>
                <w:rFonts w:hint="eastAsia" w:ascii="宋体" w:hAnsi="宋体" w:cs="宋体"/>
                <w:color w:val="000000"/>
                <w:sz w:val="18"/>
                <w:szCs w:val="18"/>
                <w:highlight w:val="none"/>
              </w:rPr>
              <w:t>年（从验收之日起算）</w:t>
            </w:r>
          </w:p>
        </w:tc>
      </w:tr>
      <w:tr w14:paraId="6C8D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56" w:type="pct"/>
            <w:vAlign w:val="center"/>
          </w:tcPr>
          <w:p w14:paraId="7AAB388E">
            <w:pPr>
              <w:spacing w:after="0" w:line="240" w:lineRule="auto"/>
              <w:ind w:firstLine="0" w:firstLineChars="0"/>
              <w:jc w:val="center"/>
              <w:rPr>
                <w:rFonts w:ascii="宋体" w:hAnsi="宋体" w:cs="宋体"/>
                <w:color w:val="000000"/>
                <w:sz w:val="18"/>
                <w:szCs w:val="18"/>
                <w:highlight w:val="none"/>
              </w:rPr>
            </w:pPr>
            <w:r>
              <w:rPr>
                <w:rFonts w:hint="eastAsia" w:ascii="宋体" w:hAnsi="宋体" w:cs="宋体"/>
                <w:color w:val="000000"/>
                <w:sz w:val="18"/>
                <w:szCs w:val="18"/>
                <w:highlight w:val="none"/>
              </w:rPr>
              <w:t>2</w:t>
            </w:r>
          </w:p>
        </w:tc>
        <w:tc>
          <w:tcPr>
            <w:tcW w:w="1133" w:type="pct"/>
            <w:vAlign w:val="center"/>
          </w:tcPr>
          <w:p w14:paraId="71B2A815">
            <w:pPr>
              <w:spacing w:after="0" w:line="240" w:lineRule="auto"/>
              <w:ind w:firstLine="0" w:firstLineChars="0"/>
              <w:jc w:val="left"/>
              <w:rPr>
                <w:rFonts w:ascii="宋体" w:hAnsi="宋体" w:cs="宋体"/>
                <w:color w:val="000000"/>
                <w:sz w:val="18"/>
                <w:szCs w:val="18"/>
                <w:highlight w:val="none"/>
              </w:rPr>
            </w:pPr>
            <w:r>
              <w:rPr>
                <w:rFonts w:hint="eastAsia" w:ascii="宋体" w:hAnsi="宋体" w:cs="宋体"/>
                <w:color w:val="000000"/>
                <w:sz w:val="18"/>
                <w:szCs w:val="18"/>
                <w:highlight w:val="none"/>
              </w:rPr>
              <w:t>质量保修范围</w:t>
            </w:r>
          </w:p>
        </w:tc>
        <w:tc>
          <w:tcPr>
            <w:tcW w:w="3409" w:type="pct"/>
            <w:vAlign w:val="center"/>
          </w:tcPr>
          <w:p w14:paraId="4D6A8A00">
            <w:pPr>
              <w:spacing w:after="0" w:line="240" w:lineRule="auto"/>
              <w:ind w:firstLine="0" w:firstLineChars="0"/>
              <w:jc w:val="left"/>
              <w:textAlignment w:val="center"/>
              <w:rPr>
                <w:rFonts w:ascii="宋体" w:hAnsi="宋体" w:cs="宋体"/>
                <w:color w:val="000000"/>
                <w:sz w:val="18"/>
                <w:szCs w:val="18"/>
                <w:highlight w:val="none"/>
              </w:rPr>
            </w:pPr>
            <w:r>
              <w:rPr>
                <w:rFonts w:hint="eastAsia" w:ascii="宋体" w:hAnsi="宋体" w:cs="宋体"/>
                <w:sz w:val="18"/>
                <w:szCs w:val="18"/>
                <w:highlight w:val="none"/>
              </w:rPr>
              <w:t>货物质量缺陷或质量问题引起的维修事件</w:t>
            </w:r>
          </w:p>
        </w:tc>
      </w:tr>
      <w:tr w14:paraId="7807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6" w:type="pct"/>
            <w:vAlign w:val="center"/>
          </w:tcPr>
          <w:p w14:paraId="2424133A">
            <w:pPr>
              <w:spacing w:after="0" w:line="240" w:lineRule="auto"/>
              <w:ind w:firstLine="0" w:firstLineChars="0"/>
              <w:jc w:val="center"/>
              <w:rPr>
                <w:rFonts w:ascii="宋体" w:hAnsi="宋体" w:cs="宋体"/>
                <w:color w:val="000000"/>
                <w:sz w:val="18"/>
                <w:szCs w:val="18"/>
                <w:highlight w:val="none"/>
              </w:rPr>
            </w:pPr>
            <w:r>
              <w:rPr>
                <w:rFonts w:hint="eastAsia" w:ascii="宋体" w:hAnsi="宋体" w:cs="宋体"/>
                <w:color w:val="000000"/>
                <w:sz w:val="18"/>
                <w:szCs w:val="18"/>
                <w:highlight w:val="none"/>
              </w:rPr>
              <w:t>3</w:t>
            </w:r>
          </w:p>
        </w:tc>
        <w:tc>
          <w:tcPr>
            <w:tcW w:w="1133" w:type="pct"/>
            <w:vAlign w:val="center"/>
          </w:tcPr>
          <w:p w14:paraId="6F5E6113">
            <w:pPr>
              <w:spacing w:after="0" w:line="240" w:lineRule="auto"/>
              <w:ind w:firstLine="0" w:firstLineChars="0"/>
              <w:jc w:val="left"/>
              <w:textAlignment w:val="center"/>
              <w:rPr>
                <w:rFonts w:ascii="宋体" w:hAnsi="宋体" w:cs="宋体"/>
                <w:sz w:val="18"/>
                <w:szCs w:val="18"/>
                <w:highlight w:val="none"/>
              </w:rPr>
            </w:pPr>
            <w:r>
              <w:rPr>
                <w:rFonts w:hint="eastAsia" w:ascii="宋体" w:hAnsi="宋体" w:cs="宋体"/>
                <w:sz w:val="18"/>
                <w:szCs w:val="18"/>
                <w:highlight w:val="none"/>
              </w:rPr>
              <w:t>远程技术响应服务</w:t>
            </w:r>
          </w:p>
        </w:tc>
        <w:tc>
          <w:tcPr>
            <w:tcW w:w="3409" w:type="pct"/>
            <w:vAlign w:val="center"/>
          </w:tcPr>
          <w:p w14:paraId="3978963B">
            <w:pPr>
              <w:spacing w:after="0" w:line="240" w:lineRule="auto"/>
              <w:ind w:firstLine="0" w:firstLineChars="0"/>
              <w:jc w:val="left"/>
              <w:textAlignment w:val="center"/>
              <w:rPr>
                <w:rFonts w:ascii="宋体" w:hAnsi="宋体" w:cs="宋体"/>
                <w:sz w:val="18"/>
                <w:szCs w:val="18"/>
                <w:highlight w:val="none"/>
              </w:rPr>
            </w:pPr>
            <w:r>
              <w:rPr>
                <w:rFonts w:hint="eastAsia" w:ascii="宋体" w:hAnsi="宋体" w:cs="宋体"/>
                <w:sz w:val="18"/>
                <w:szCs w:val="18"/>
                <w:highlight w:val="none"/>
              </w:rPr>
              <w:t>自故障发生时间起，0.5小时内上报（邮件、电话等）</w:t>
            </w:r>
          </w:p>
        </w:tc>
      </w:tr>
      <w:bookmarkEnd w:id="14"/>
      <w:tr w14:paraId="3002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6" w:type="pct"/>
            <w:vAlign w:val="center"/>
          </w:tcPr>
          <w:p w14:paraId="3CAAF318">
            <w:pPr>
              <w:spacing w:after="0" w:line="240" w:lineRule="auto"/>
              <w:ind w:firstLine="0" w:firstLineChars="0"/>
              <w:jc w:val="center"/>
              <w:rPr>
                <w:rFonts w:ascii="宋体" w:hAnsi="宋体" w:cs="宋体"/>
                <w:color w:val="000000"/>
                <w:sz w:val="18"/>
                <w:szCs w:val="18"/>
                <w:highlight w:val="none"/>
              </w:rPr>
            </w:pPr>
            <w:r>
              <w:rPr>
                <w:rFonts w:hint="eastAsia" w:ascii="宋体" w:hAnsi="宋体" w:cs="宋体"/>
                <w:color w:val="000000"/>
                <w:sz w:val="18"/>
                <w:szCs w:val="18"/>
                <w:highlight w:val="none"/>
              </w:rPr>
              <w:t>4</w:t>
            </w:r>
          </w:p>
        </w:tc>
        <w:tc>
          <w:tcPr>
            <w:tcW w:w="1133" w:type="pct"/>
            <w:vAlign w:val="center"/>
          </w:tcPr>
          <w:p w14:paraId="3FAB5B09">
            <w:pPr>
              <w:spacing w:after="0" w:line="240" w:lineRule="auto"/>
              <w:ind w:firstLine="0" w:firstLineChars="0"/>
              <w:jc w:val="left"/>
              <w:textAlignment w:val="center"/>
              <w:rPr>
                <w:rFonts w:ascii="宋体" w:hAnsi="宋体" w:cs="宋体"/>
                <w:sz w:val="18"/>
                <w:szCs w:val="18"/>
                <w:highlight w:val="none"/>
              </w:rPr>
            </w:pPr>
            <w:r>
              <w:rPr>
                <w:rFonts w:hint="eastAsia" w:ascii="宋体" w:hAnsi="宋体" w:cs="宋体"/>
                <w:sz w:val="18"/>
                <w:szCs w:val="18"/>
                <w:highlight w:val="none"/>
              </w:rPr>
              <w:t>硬件返修服务</w:t>
            </w:r>
          </w:p>
        </w:tc>
        <w:tc>
          <w:tcPr>
            <w:tcW w:w="3409" w:type="pct"/>
            <w:vAlign w:val="center"/>
          </w:tcPr>
          <w:p w14:paraId="5A8DA991">
            <w:pPr>
              <w:spacing w:after="0" w:line="240" w:lineRule="auto"/>
              <w:ind w:firstLine="0" w:firstLineChars="0"/>
              <w:jc w:val="left"/>
              <w:textAlignment w:val="center"/>
              <w:rPr>
                <w:rFonts w:ascii="宋体" w:hAnsi="宋体" w:cs="宋体"/>
                <w:sz w:val="18"/>
                <w:szCs w:val="18"/>
                <w:highlight w:val="none"/>
              </w:rPr>
            </w:pPr>
            <w:bookmarkStart w:id="15" w:name="OLE_LINK12"/>
            <w:r>
              <w:rPr>
                <w:rFonts w:hint="eastAsia" w:ascii="宋体" w:hAnsi="宋体" w:cs="宋体"/>
                <w:sz w:val="18"/>
                <w:szCs w:val="18"/>
                <w:highlight w:val="none"/>
              </w:rPr>
              <w:t>1、硬件返修服务受理时间：周一至周五，8:00-17:00，法定节假日除外。</w:t>
            </w:r>
          </w:p>
          <w:p w14:paraId="1EAFB4E3">
            <w:pPr>
              <w:spacing w:after="0" w:line="240" w:lineRule="auto"/>
              <w:ind w:firstLine="0" w:firstLineChars="0"/>
              <w:jc w:val="left"/>
              <w:textAlignment w:val="center"/>
              <w:rPr>
                <w:rFonts w:ascii="宋体" w:hAnsi="宋体" w:cs="宋体"/>
                <w:sz w:val="18"/>
                <w:szCs w:val="18"/>
                <w:highlight w:val="none"/>
              </w:rPr>
            </w:pPr>
            <w:r>
              <w:rPr>
                <w:rFonts w:hint="eastAsia" w:ascii="宋体" w:hAnsi="宋体" w:cs="宋体"/>
                <w:sz w:val="18"/>
                <w:szCs w:val="18"/>
                <w:highlight w:val="none"/>
              </w:rPr>
              <w:t>2、收到坏件后30个工作日内将修复或更换件送达。</w:t>
            </w:r>
            <w:bookmarkEnd w:id="15"/>
          </w:p>
          <w:p w14:paraId="61C36267">
            <w:pPr>
              <w:spacing w:after="0" w:line="240" w:lineRule="auto"/>
              <w:ind w:firstLine="0" w:firstLineChars="0"/>
              <w:jc w:val="left"/>
              <w:textAlignment w:val="center"/>
              <w:rPr>
                <w:highlight w:val="none"/>
              </w:rPr>
            </w:pPr>
            <w:r>
              <w:rPr>
                <w:rFonts w:hint="eastAsia" w:ascii="宋体" w:hAnsi="宋体" w:cs="宋体"/>
                <w:sz w:val="18"/>
                <w:szCs w:val="18"/>
                <w:highlight w:val="none"/>
              </w:rPr>
              <w:t>3、送修期间，由投标人提供备品备件保障业务运行。</w:t>
            </w:r>
          </w:p>
        </w:tc>
      </w:tr>
      <w:tr w14:paraId="1EEB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8" w:hRule="atLeast"/>
          <w:jc w:val="center"/>
        </w:trPr>
        <w:tc>
          <w:tcPr>
            <w:tcW w:w="456" w:type="pct"/>
            <w:vAlign w:val="center"/>
          </w:tcPr>
          <w:p w14:paraId="6FA9A31B">
            <w:pPr>
              <w:spacing w:after="0" w:line="240" w:lineRule="auto"/>
              <w:ind w:firstLine="0" w:firstLineChars="0"/>
              <w:jc w:val="center"/>
              <w:rPr>
                <w:rFonts w:ascii="宋体" w:hAnsi="宋体" w:cs="宋体"/>
                <w:color w:val="000000"/>
                <w:sz w:val="18"/>
                <w:szCs w:val="18"/>
                <w:highlight w:val="none"/>
              </w:rPr>
            </w:pPr>
            <w:r>
              <w:rPr>
                <w:rFonts w:hint="eastAsia" w:ascii="宋体" w:hAnsi="宋体" w:cs="宋体"/>
                <w:color w:val="000000"/>
                <w:sz w:val="18"/>
                <w:szCs w:val="18"/>
                <w:highlight w:val="none"/>
              </w:rPr>
              <w:t>5</w:t>
            </w:r>
          </w:p>
        </w:tc>
        <w:tc>
          <w:tcPr>
            <w:tcW w:w="1133" w:type="pct"/>
            <w:vAlign w:val="center"/>
          </w:tcPr>
          <w:p w14:paraId="4646EC1C">
            <w:pPr>
              <w:spacing w:after="0" w:line="240" w:lineRule="auto"/>
              <w:ind w:firstLine="0" w:firstLineChars="0"/>
              <w:jc w:val="left"/>
              <w:textAlignment w:val="center"/>
              <w:rPr>
                <w:rFonts w:ascii="宋体" w:hAnsi="宋体" w:cs="宋体"/>
                <w:sz w:val="18"/>
                <w:szCs w:val="18"/>
                <w:highlight w:val="none"/>
              </w:rPr>
            </w:pPr>
            <w:r>
              <w:rPr>
                <w:rFonts w:hint="eastAsia" w:ascii="宋体" w:hAnsi="宋体" w:cs="宋体"/>
                <w:sz w:val="18"/>
                <w:szCs w:val="18"/>
                <w:highlight w:val="none"/>
              </w:rPr>
              <w:t>免责说明</w:t>
            </w:r>
          </w:p>
        </w:tc>
        <w:tc>
          <w:tcPr>
            <w:tcW w:w="3409" w:type="pct"/>
            <w:vAlign w:val="center"/>
          </w:tcPr>
          <w:p w14:paraId="1B227A37">
            <w:pPr>
              <w:spacing w:after="0" w:line="240" w:lineRule="auto"/>
              <w:ind w:firstLine="0" w:firstLineChars="0"/>
              <w:jc w:val="left"/>
              <w:textAlignment w:val="center"/>
              <w:rPr>
                <w:rFonts w:ascii="宋体" w:hAnsi="宋体" w:cs="宋体"/>
                <w:sz w:val="18"/>
                <w:szCs w:val="18"/>
                <w:highlight w:val="none"/>
              </w:rPr>
            </w:pPr>
            <w:r>
              <w:rPr>
                <w:rFonts w:hint="eastAsia" w:ascii="宋体" w:hAnsi="宋体" w:cs="宋体"/>
                <w:sz w:val="18"/>
                <w:szCs w:val="18"/>
                <w:highlight w:val="none"/>
              </w:rPr>
              <w:t>1、下列情况不在质保服务范围之内：</w:t>
            </w:r>
          </w:p>
          <w:p w14:paraId="09AAFFFA">
            <w:pPr>
              <w:spacing w:after="0" w:line="240" w:lineRule="auto"/>
              <w:ind w:firstLine="0" w:firstLineChars="0"/>
              <w:rPr>
                <w:rFonts w:ascii="宋体" w:hAnsi="宋体" w:cs="宋体"/>
                <w:sz w:val="18"/>
                <w:szCs w:val="18"/>
                <w:highlight w:val="none"/>
              </w:rPr>
            </w:pPr>
            <w:r>
              <w:rPr>
                <w:rFonts w:hint="eastAsia" w:ascii="宋体" w:hAnsi="宋体" w:cs="宋体"/>
                <w:sz w:val="18"/>
                <w:szCs w:val="18"/>
                <w:highlight w:val="none"/>
              </w:rPr>
              <w:t>（1）由于不可抗力事件（自然灾害、火灾、战争等）对设备造成损坏。</w:t>
            </w:r>
          </w:p>
          <w:p w14:paraId="6600B27E">
            <w:pPr>
              <w:spacing w:after="0" w:line="240" w:lineRule="auto"/>
              <w:ind w:firstLine="0" w:firstLineChars="0"/>
              <w:rPr>
                <w:rFonts w:ascii="宋体" w:hAnsi="宋体" w:cs="宋体"/>
                <w:sz w:val="18"/>
                <w:szCs w:val="18"/>
                <w:highlight w:val="none"/>
              </w:rPr>
            </w:pPr>
            <w:r>
              <w:rPr>
                <w:rFonts w:hint="eastAsia" w:ascii="宋体" w:hAnsi="宋体" w:cs="宋体"/>
                <w:sz w:val="18"/>
                <w:szCs w:val="18"/>
                <w:highlight w:val="none"/>
              </w:rPr>
              <w:t>（2）自然损耗或磨损造成设备损坏。</w:t>
            </w:r>
          </w:p>
          <w:p w14:paraId="6ACB405F">
            <w:pPr>
              <w:spacing w:after="0" w:line="240" w:lineRule="auto"/>
              <w:ind w:firstLine="0" w:firstLineChars="0"/>
              <w:rPr>
                <w:rFonts w:ascii="宋体" w:hAnsi="宋体" w:cs="宋体"/>
                <w:sz w:val="18"/>
                <w:szCs w:val="18"/>
                <w:highlight w:val="none"/>
              </w:rPr>
            </w:pPr>
            <w:r>
              <w:rPr>
                <w:rFonts w:hint="eastAsia" w:ascii="宋体" w:hAnsi="宋体" w:cs="宋体"/>
                <w:sz w:val="18"/>
                <w:szCs w:val="18"/>
                <w:highlight w:val="none"/>
              </w:rPr>
              <w:t>（3）因现场设备运行环境(比如配电、温湿度、承重、液冷供水水质，流量及压差、管路材质及气密性等) 或外部因素（比如外部电磁干扰、内部互联设备的故障等）不能满足设备正常运行的环境要求和通用行业标准所造成的直接损坏。</w:t>
            </w:r>
          </w:p>
          <w:p w14:paraId="7EF2B162">
            <w:pPr>
              <w:spacing w:after="0" w:line="240" w:lineRule="auto"/>
              <w:ind w:firstLine="0" w:firstLineChars="0"/>
              <w:rPr>
                <w:rFonts w:ascii="宋体" w:hAnsi="宋体" w:cs="宋体"/>
                <w:sz w:val="18"/>
                <w:szCs w:val="18"/>
                <w:highlight w:val="none"/>
              </w:rPr>
            </w:pPr>
            <w:r>
              <w:rPr>
                <w:rFonts w:hint="eastAsia" w:ascii="宋体" w:hAnsi="宋体" w:cs="宋体"/>
                <w:sz w:val="18"/>
                <w:szCs w:val="18"/>
                <w:highlight w:val="none"/>
              </w:rPr>
              <w:t>（4）由于故意或疏忽、使用不当、外力或蓄意破坏行为对设备造成大规模的硬件或数据损坏。</w:t>
            </w:r>
          </w:p>
          <w:p w14:paraId="0810D254">
            <w:pPr>
              <w:spacing w:after="0" w:line="240" w:lineRule="auto"/>
              <w:ind w:firstLine="0" w:firstLineChars="0"/>
              <w:rPr>
                <w:rFonts w:ascii="宋体" w:hAnsi="宋体" w:cs="宋体"/>
                <w:sz w:val="18"/>
                <w:szCs w:val="18"/>
                <w:highlight w:val="none"/>
              </w:rPr>
            </w:pPr>
            <w:r>
              <w:rPr>
                <w:rFonts w:hint="eastAsia" w:ascii="宋体" w:hAnsi="宋体" w:cs="宋体"/>
                <w:sz w:val="18"/>
                <w:szCs w:val="18"/>
                <w:highlight w:val="none"/>
              </w:rPr>
              <w:t>（5）已达到最大读写次数的SSD卡/盘，SD卡，M.2等部件。</w:t>
            </w:r>
          </w:p>
          <w:p w14:paraId="04C6295C">
            <w:pPr>
              <w:spacing w:after="0" w:line="240" w:lineRule="auto"/>
              <w:ind w:firstLine="0" w:firstLineChars="0"/>
              <w:rPr>
                <w:rFonts w:ascii="宋体" w:hAnsi="宋体" w:cs="宋体"/>
                <w:sz w:val="18"/>
                <w:szCs w:val="18"/>
                <w:highlight w:val="none"/>
              </w:rPr>
            </w:pPr>
            <w:r>
              <w:rPr>
                <w:rFonts w:hint="eastAsia" w:ascii="宋体" w:hAnsi="宋体" w:cs="宋体"/>
                <w:sz w:val="18"/>
                <w:szCs w:val="18"/>
                <w:highlight w:val="none"/>
              </w:rPr>
              <w:t>（6）设备表面物理损伤、涂改的。</w:t>
            </w:r>
          </w:p>
          <w:p w14:paraId="25B1D874">
            <w:pPr>
              <w:spacing w:after="0" w:line="240" w:lineRule="auto"/>
              <w:ind w:firstLine="0" w:firstLineChars="0"/>
              <w:jc w:val="left"/>
              <w:textAlignment w:val="center"/>
              <w:rPr>
                <w:rFonts w:ascii="宋体" w:hAnsi="宋体" w:cs="宋体"/>
                <w:sz w:val="18"/>
                <w:szCs w:val="18"/>
                <w:highlight w:val="none"/>
              </w:rPr>
            </w:pPr>
            <w:r>
              <w:rPr>
                <w:rFonts w:hint="eastAsia" w:ascii="宋体" w:hAnsi="宋体" w:cs="宋体"/>
                <w:sz w:val="18"/>
                <w:szCs w:val="18"/>
                <w:highlight w:val="none"/>
              </w:rPr>
              <w:t>2、下列情况可能导致投标人不能按要求履行质保服务的，由双甲乙双方根据实际情况协商解决：</w:t>
            </w:r>
          </w:p>
          <w:p w14:paraId="51F5B882">
            <w:pPr>
              <w:spacing w:after="0" w:line="240" w:lineRule="auto"/>
              <w:ind w:firstLine="0" w:firstLineChars="0"/>
              <w:rPr>
                <w:rFonts w:ascii="宋体" w:hAnsi="宋体" w:cs="宋体"/>
                <w:sz w:val="18"/>
                <w:szCs w:val="18"/>
                <w:highlight w:val="none"/>
              </w:rPr>
            </w:pPr>
            <w:r>
              <w:rPr>
                <w:rFonts w:hint="eastAsia" w:ascii="宋体" w:hAnsi="宋体" w:cs="宋体"/>
                <w:sz w:val="18"/>
                <w:szCs w:val="18"/>
                <w:highlight w:val="none"/>
              </w:rPr>
              <w:t>（1）不可抗力（如：火灾、水灾、地震、雷击等）引起的意外情况致使投标人不能按要求履行质保服务。</w:t>
            </w:r>
          </w:p>
          <w:p w14:paraId="604C4055">
            <w:pPr>
              <w:spacing w:after="0" w:line="240" w:lineRule="auto"/>
              <w:ind w:firstLine="0" w:firstLineChars="0"/>
              <w:rPr>
                <w:rFonts w:ascii="宋体" w:hAnsi="宋体" w:cs="宋体"/>
                <w:sz w:val="18"/>
                <w:szCs w:val="18"/>
                <w:highlight w:val="none"/>
              </w:rPr>
            </w:pPr>
            <w:r>
              <w:rPr>
                <w:rFonts w:hint="eastAsia" w:ascii="宋体" w:hAnsi="宋体" w:cs="宋体"/>
                <w:sz w:val="18"/>
                <w:szCs w:val="18"/>
                <w:highlight w:val="none"/>
              </w:rPr>
              <w:t>（2）社会性问题（如：动乱、战争、罢工、政府管制等）引起的服务条件恶化，致使投标人不能按要求履行质保服务。</w:t>
            </w:r>
          </w:p>
          <w:p w14:paraId="79575DA6">
            <w:pPr>
              <w:spacing w:after="0" w:line="240" w:lineRule="auto"/>
              <w:ind w:firstLine="0" w:firstLineChars="0"/>
              <w:rPr>
                <w:rFonts w:ascii="宋体" w:hAnsi="宋体" w:cs="宋体"/>
                <w:sz w:val="18"/>
                <w:szCs w:val="18"/>
                <w:highlight w:val="none"/>
              </w:rPr>
            </w:pPr>
            <w:r>
              <w:rPr>
                <w:rFonts w:hint="eastAsia" w:ascii="宋体" w:hAnsi="宋体" w:cs="宋体"/>
                <w:sz w:val="18"/>
                <w:szCs w:val="18"/>
                <w:highlight w:val="none"/>
              </w:rPr>
              <w:t>（3）因国际贸易争端或进出口管制政策，投标人客观上无法获得可替换、维修的部件或设备，致使投标人不能按要求履行质保服务。</w:t>
            </w:r>
          </w:p>
        </w:tc>
      </w:tr>
    </w:tbl>
    <w:p w14:paraId="34DC4F08">
      <w:pPr>
        <w:pStyle w:val="43"/>
        <w:spacing w:after="0"/>
        <w:ind w:firstLine="0" w:firstLineChars="0"/>
        <w:jc w:val="both"/>
        <w:rPr>
          <w:b/>
          <w:bCs/>
          <w:highlight w:val="none"/>
          <w:lang w:eastAsia="zh-CN"/>
        </w:rPr>
      </w:pPr>
    </w:p>
    <w:p w14:paraId="7640F2B5">
      <w:pPr>
        <w:ind w:firstLine="643"/>
        <w:rPr>
          <w:rFonts w:ascii="宋体" w:hAnsi="宋体"/>
          <w:b/>
          <w:sz w:val="32"/>
          <w:highlight w:val="none"/>
        </w:rPr>
      </w:pPr>
      <w:r>
        <w:rPr>
          <w:rFonts w:hint="eastAsia" w:ascii="宋体" w:hAnsi="宋体"/>
          <w:b/>
          <w:sz w:val="32"/>
          <w:highlight w:val="none"/>
        </w:rPr>
        <w:br w:type="page"/>
      </w:r>
    </w:p>
    <w:p w14:paraId="18010D92">
      <w:pPr>
        <w:widowControl w:val="0"/>
        <w:autoSpaceDN w:val="0"/>
        <w:adjustRightInd w:val="0"/>
        <w:snapToGrid w:val="0"/>
        <w:ind w:firstLine="0" w:firstLineChars="0"/>
        <w:jc w:val="center"/>
        <w:outlineLvl w:val="1"/>
        <w:rPr>
          <w:rFonts w:ascii="宋体" w:hAnsi="宋体"/>
          <w:b/>
          <w:sz w:val="32"/>
          <w:highlight w:val="none"/>
        </w:rPr>
      </w:pPr>
      <w:r>
        <w:rPr>
          <w:rFonts w:hint="eastAsia" w:ascii="宋体" w:hAnsi="宋体"/>
          <w:b/>
          <w:sz w:val="32"/>
          <w:highlight w:val="none"/>
        </w:rPr>
        <w:t>第三节 技术要求</w:t>
      </w:r>
      <w:bookmarkEnd w:id="3"/>
      <w:bookmarkEnd w:id="4"/>
      <w:bookmarkEnd w:id="5"/>
    </w:p>
    <w:p w14:paraId="36986883">
      <w:pPr>
        <w:ind w:firstLine="0" w:firstLineChars="0"/>
        <w:rPr>
          <w:rFonts w:ascii="宋体" w:hAnsi="宋体"/>
          <w:b/>
          <w:bCs/>
          <w:highlight w:val="none"/>
        </w:rPr>
      </w:pPr>
      <w:bookmarkStart w:id="16" w:name="_Hlk72585069"/>
      <w:r>
        <w:rPr>
          <w:rFonts w:hint="eastAsia" w:ascii="宋体" w:hAnsi="宋体" w:cs="宋体"/>
          <w:b/>
          <w:bCs/>
          <w:color w:val="000000"/>
          <w:kern w:val="0"/>
          <w:sz w:val="20"/>
          <w:szCs w:val="20"/>
          <w:highlight w:val="none"/>
          <w:lang w:bidi="ar"/>
        </w:rPr>
        <w:t>一、技术参数要求表</w:t>
      </w:r>
    </w:p>
    <w:bookmarkEnd w:id="16"/>
    <w:tbl>
      <w:tblPr>
        <w:tblStyle w:val="50"/>
        <w:tblW w:w="8776" w:type="dxa"/>
        <w:tblInd w:w="0" w:type="dxa"/>
        <w:tblLayout w:type="fixed"/>
        <w:tblCellMar>
          <w:top w:w="0" w:type="dxa"/>
          <w:left w:w="108" w:type="dxa"/>
          <w:bottom w:w="0" w:type="dxa"/>
          <w:right w:w="108" w:type="dxa"/>
        </w:tblCellMar>
      </w:tblPr>
      <w:tblGrid>
        <w:gridCol w:w="397"/>
        <w:gridCol w:w="1881"/>
        <w:gridCol w:w="3431"/>
        <w:gridCol w:w="1915"/>
        <w:gridCol w:w="1152"/>
      </w:tblGrid>
      <w:tr w14:paraId="19435FB6">
        <w:tblPrEx>
          <w:tblCellMar>
            <w:top w:w="0" w:type="dxa"/>
            <w:left w:w="108" w:type="dxa"/>
            <w:bottom w:w="0" w:type="dxa"/>
            <w:right w:w="108" w:type="dxa"/>
          </w:tblCellMar>
        </w:tblPrEx>
        <w:trPr>
          <w:trHeight w:val="288" w:hRule="atLeast"/>
        </w:trPr>
        <w:tc>
          <w:tcPr>
            <w:tcW w:w="397" w:type="dxa"/>
            <w:tcBorders>
              <w:top w:val="single" w:color="auto" w:sz="4" w:space="0"/>
              <w:left w:val="single" w:color="auto" w:sz="4" w:space="0"/>
              <w:bottom w:val="single" w:color="auto" w:sz="4" w:space="0"/>
              <w:right w:val="single" w:color="auto" w:sz="4" w:space="0"/>
            </w:tcBorders>
            <w:shd w:val="clear" w:color="000000" w:fill="FFFFFF"/>
            <w:vAlign w:val="center"/>
          </w:tcPr>
          <w:p w14:paraId="2C513B6C">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序号</w:t>
            </w:r>
          </w:p>
        </w:tc>
        <w:tc>
          <w:tcPr>
            <w:tcW w:w="1881" w:type="dxa"/>
            <w:tcBorders>
              <w:top w:val="single" w:color="auto" w:sz="4" w:space="0"/>
              <w:left w:val="nil"/>
              <w:bottom w:val="single" w:color="auto" w:sz="4" w:space="0"/>
              <w:right w:val="single" w:color="auto" w:sz="4" w:space="0"/>
            </w:tcBorders>
            <w:shd w:val="clear" w:color="000000" w:fill="FFFFFF"/>
            <w:vAlign w:val="center"/>
          </w:tcPr>
          <w:p w14:paraId="6E5BE8CD">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货物/服务名称</w:t>
            </w:r>
          </w:p>
        </w:tc>
        <w:tc>
          <w:tcPr>
            <w:tcW w:w="3431" w:type="dxa"/>
            <w:tcBorders>
              <w:top w:val="single" w:color="auto" w:sz="4" w:space="0"/>
              <w:left w:val="nil"/>
              <w:bottom w:val="single" w:color="auto" w:sz="4" w:space="0"/>
              <w:right w:val="single" w:color="auto" w:sz="4" w:space="0"/>
            </w:tcBorders>
            <w:shd w:val="clear" w:color="000000" w:fill="FFFFFF"/>
            <w:vAlign w:val="center"/>
          </w:tcPr>
          <w:p w14:paraId="3EDD7A2D">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技术要求</w:t>
            </w:r>
          </w:p>
        </w:tc>
        <w:tc>
          <w:tcPr>
            <w:tcW w:w="1915" w:type="dxa"/>
            <w:tcBorders>
              <w:top w:val="single" w:color="auto" w:sz="4" w:space="0"/>
              <w:left w:val="nil"/>
              <w:bottom w:val="single" w:color="auto" w:sz="4" w:space="0"/>
              <w:right w:val="single" w:color="auto" w:sz="4" w:space="0"/>
            </w:tcBorders>
            <w:shd w:val="clear" w:color="000000" w:fill="FFFFFF"/>
            <w:vAlign w:val="center"/>
          </w:tcPr>
          <w:p w14:paraId="4BC2F1B5">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数量</w:t>
            </w:r>
          </w:p>
        </w:tc>
        <w:tc>
          <w:tcPr>
            <w:tcW w:w="1152" w:type="dxa"/>
            <w:tcBorders>
              <w:top w:val="single" w:color="auto" w:sz="4" w:space="0"/>
              <w:left w:val="nil"/>
              <w:bottom w:val="single" w:color="auto" w:sz="4" w:space="0"/>
              <w:right w:val="single" w:color="auto" w:sz="4" w:space="0"/>
            </w:tcBorders>
            <w:shd w:val="clear" w:color="000000" w:fill="FFFFFF"/>
            <w:vAlign w:val="center"/>
          </w:tcPr>
          <w:p w14:paraId="1CEC11A5">
            <w:pPr>
              <w:spacing w:after="0" w:line="240" w:lineRule="auto"/>
              <w:ind w:firstLine="0" w:firstLineChars="0"/>
              <w:jc w:val="center"/>
              <w:rPr>
                <w:rFonts w:ascii="宋体" w:hAnsi="宋体" w:cs="宋体"/>
                <w:b/>
                <w:bCs/>
                <w:color w:val="000000"/>
                <w:kern w:val="0"/>
                <w:sz w:val="18"/>
                <w:szCs w:val="18"/>
                <w:highlight w:val="none"/>
              </w:rPr>
            </w:pPr>
            <w:r>
              <w:rPr>
                <w:rFonts w:hint="eastAsia" w:ascii="宋体" w:hAnsi="宋体" w:cs="宋体"/>
                <w:b/>
                <w:bCs/>
                <w:color w:val="000000"/>
                <w:kern w:val="0"/>
                <w:sz w:val="18"/>
                <w:szCs w:val="18"/>
                <w:highlight w:val="none"/>
              </w:rPr>
              <w:t>单位</w:t>
            </w:r>
          </w:p>
        </w:tc>
      </w:tr>
      <w:tr w14:paraId="297B7237">
        <w:tblPrEx>
          <w:tblCellMar>
            <w:top w:w="0" w:type="dxa"/>
            <w:left w:w="108" w:type="dxa"/>
            <w:bottom w:w="0" w:type="dxa"/>
            <w:right w:w="108" w:type="dxa"/>
          </w:tblCellMar>
        </w:tblPrEx>
        <w:trPr>
          <w:trHeight w:val="288" w:hRule="atLeast"/>
        </w:trPr>
        <w:tc>
          <w:tcPr>
            <w:tcW w:w="8776" w:type="dxa"/>
            <w:gridSpan w:val="5"/>
            <w:tcBorders>
              <w:top w:val="single" w:color="auto" w:sz="4" w:space="0"/>
              <w:left w:val="single" w:color="auto" w:sz="4" w:space="0"/>
              <w:bottom w:val="single" w:color="auto" w:sz="4" w:space="0"/>
              <w:right w:val="single" w:color="auto" w:sz="4" w:space="0"/>
            </w:tcBorders>
            <w:noWrap/>
            <w:vAlign w:val="center"/>
          </w:tcPr>
          <w:p w14:paraId="5FA31751">
            <w:pPr>
              <w:spacing w:after="0" w:line="240" w:lineRule="auto"/>
              <w:ind w:firstLine="0" w:firstLineChars="0"/>
              <w:jc w:val="left"/>
              <w:rPr>
                <w:rFonts w:ascii="宋体" w:hAnsi="宋体" w:cs="宋体"/>
                <w:b/>
                <w:bCs/>
                <w:kern w:val="0"/>
                <w:sz w:val="18"/>
                <w:szCs w:val="18"/>
                <w:highlight w:val="none"/>
              </w:rPr>
            </w:pPr>
            <w:r>
              <w:rPr>
                <w:rFonts w:hint="eastAsia" w:ascii="宋体" w:hAnsi="宋体" w:cs="宋体"/>
                <w:b/>
                <w:bCs/>
                <w:kern w:val="0"/>
                <w:sz w:val="18"/>
                <w:szCs w:val="18"/>
                <w:highlight w:val="none"/>
              </w:rPr>
              <w:t>（一）服务器</w:t>
            </w:r>
          </w:p>
        </w:tc>
      </w:tr>
      <w:tr w14:paraId="53013833">
        <w:tblPrEx>
          <w:tblCellMar>
            <w:top w:w="0" w:type="dxa"/>
            <w:left w:w="108" w:type="dxa"/>
            <w:bottom w:w="0" w:type="dxa"/>
            <w:right w:w="108" w:type="dxa"/>
          </w:tblCellMar>
        </w:tblPrEx>
        <w:trPr>
          <w:trHeight w:val="2496" w:hRule="atLeast"/>
        </w:trPr>
        <w:tc>
          <w:tcPr>
            <w:tcW w:w="397" w:type="dxa"/>
            <w:tcBorders>
              <w:top w:val="nil"/>
              <w:left w:val="single" w:color="auto" w:sz="4" w:space="0"/>
              <w:bottom w:val="single" w:color="auto" w:sz="4" w:space="0"/>
              <w:right w:val="single" w:color="auto" w:sz="4" w:space="0"/>
            </w:tcBorders>
            <w:shd w:val="clear" w:color="000000" w:fill="FFFFFF"/>
            <w:noWrap/>
            <w:vAlign w:val="center"/>
          </w:tcPr>
          <w:p w14:paraId="2C41D7CF">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1</w:t>
            </w:r>
          </w:p>
        </w:tc>
        <w:tc>
          <w:tcPr>
            <w:tcW w:w="1881" w:type="dxa"/>
            <w:tcBorders>
              <w:top w:val="nil"/>
              <w:left w:val="nil"/>
              <w:bottom w:val="single" w:color="auto" w:sz="4" w:space="0"/>
              <w:right w:val="single" w:color="auto" w:sz="4" w:space="0"/>
            </w:tcBorders>
            <w:noWrap/>
            <w:vAlign w:val="center"/>
          </w:tcPr>
          <w:p w14:paraId="40C4AFEA">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AI服务器</w:t>
            </w:r>
          </w:p>
        </w:tc>
        <w:tc>
          <w:tcPr>
            <w:tcW w:w="3431" w:type="dxa"/>
            <w:tcBorders>
              <w:top w:val="nil"/>
              <w:left w:val="nil"/>
              <w:bottom w:val="single" w:color="auto" w:sz="4" w:space="0"/>
              <w:right w:val="single" w:color="auto" w:sz="4" w:space="0"/>
            </w:tcBorders>
            <w:vAlign w:val="center"/>
          </w:tcPr>
          <w:p w14:paraId="69B2A6CD">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1、CPU：配置≥4*48核国产化ARM架构处理器，主频≥2.6GHz</w:t>
            </w:r>
          </w:p>
          <w:p w14:paraId="32151AE2">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2、内存：配置≥1152GB</w:t>
            </w:r>
          </w:p>
          <w:p w14:paraId="393B20D9">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3、硬盘：配置≥2*480GB SSD，2*7.68TB NVME SSD</w:t>
            </w:r>
          </w:p>
          <w:p w14:paraId="15EF7183">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4、端口：配置≥4*25GE，8*200GE</w:t>
            </w:r>
          </w:p>
          <w:p w14:paraId="4BCE791B">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5、NPU：配置≥8*AI处理器（单颗AI处理器HBM≥64GB，FP16≥ 280TFLOPS）</w:t>
            </w:r>
          </w:p>
          <w:p w14:paraId="52E85AC9">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6、RAID卡：配置≥1*2GB cache-RAID 0,1,5,6,10,50,60,支持超级电容和边带管理</w:t>
            </w:r>
          </w:p>
          <w:p w14:paraId="021C7880">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7、电源：配置冗余电源≥4*2600W交流电源模块</w:t>
            </w:r>
          </w:p>
          <w:p w14:paraId="1BE93A48">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8、服务：含三年维保</w:t>
            </w:r>
          </w:p>
        </w:tc>
        <w:tc>
          <w:tcPr>
            <w:tcW w:w="1915" w:type="dxa"/>
            <w:tcBorders>
              <w:top w:val="nil"/>
              <w:left w:val="nil"/>
              <w:bottom w:val="single" w:color="auto" w:sz="4" w:space="0"/>
              <w:right w:val="single" w:color="auto" w:sz="4" w:space="0"/>
            </w:tcBorders>
            <w:shd w:val="clear" w:color="000000" w:fill="FFFFFF"/>
            <w:noWrap/>
            <w:vAlign w:val="center"/>
          </w:tcPr>
          <w:p w14:paraId="1516A041">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10</w:t>
            </w:r>
          </w:p>
        </w:tc>
        <w:tc>
          <w:tcPr>
            <w:tcW w:w="1152" w:type="dxa"/>
            <w:tcBorders>
              <w:top w:val="nil"/>
              <w:left w:val="nil"/>
              <w:bottom w:val="single" w:color="auto" w:sz="4" w:space="0"/>
              <w:right w:val="single" w:color="auto" w:sz="4" w:space="0"/>
            </w:tcBorders>
            <w:shd w:val="clear" w:color="000000" w:fill="FFFFFF"/>
            <w:noWrap/>
            <w:vAlign w:val="center"/>
          </w:tcPr>
          <w:p w14:paraId="22B05965">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r>
      <w:tr w14:paraId="5105383E">
        <w:tblPrEx>
          <w:tblCellMar>
            <w:top w:w="0" w:type="dxa"/>
            <w:left w:w="108" w:type="dxa"/>
            <w:bottom w:w="0" w:type="dxa"/>
            <w:right w:w="108" w:type="dxa"/>
          </w:tblCellMar>
        </w:tblPrEx>
        <w:trPr>
          <w:trHeight w:val="2496" w:hRule="atLeast"/>
        </w:trPr>
        <w:tc>
          <w:tcPr>
            <w:tcW w:w="397" w:type="dxa"/>
            <w:tcBorders>
              <w:top w:val="nil"/>
              <w:left w:val="single" w:color="auto" w:sz="4" w:space="0"/>
              <w:bottom w:val="single" w:color="auto" w:sz="4" w:space="0"/>
              <w:right w:val="single" w:color="auto" w:sz="4" w:space="0"/>
            </w:tcBorders>
            <w:shd w:val="clear" w:color="000000" w:fill="FFFFFF"/>
            <w:noWrap/>
            <w:vAlign w:val="center"/>
          </w:tcPr>
          <w:p w14:paraId="1ACF2915">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2</w:t>
            </w:r>
          </w:p>
        </w:tc>
        <w:tc>
          <w:tcPr>
            <w:tcW w:w="1881" w:type="dxa"/>
            <w:tcBorders>
              <w:top w:val="nil"/>
              <w:left w:val="nil"/>
              <w:bottom w:val="single" w:color="auto" w:sz="4" w:space="0"/>
              <w:right w:val="single" w:color="auto" w:sz="4" w:space="0"/>
            </w:tcBorders>
            <w:noWrap/>
            <w:vAlign w:val="center"/>
          </w:tcPr>
          <w:p w14:paraId="37ADF9B3">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大数据节点1</w:t>
            </w:r>
          </w:p>
        </w:tc>
        <w:tc>
          <w:tcPr>
            <w:tcW w:w="3431" w:type="dxa"/>
            <w:tcBorders>
              <w:top w:val="nil"/>
              <w:left w:val="nil"/>
              <w:bottom w:val="single" w:color="auto" w:sz="4" w:space="0"/>
              <w:right w:val="single" w:color="auto" w:sz="4" w:space="0"/>
            </w:tcBorders>
            <w:vAlign w:val="center"/>
          </w:tcPr>
          <w:p w14:paraId="3029FFE5">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1、CPU：配置≥2*32核国产化ARM架构处理器，主频≥2.6GHz</w:t>
            </w:r>
          </w:p>
          <w:p w14:paraId="394F8142">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2、内存：配置≥256GB</w:t>
            </w:r>
          </w:p>
          <w:p w14:paraId="38A8E611">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3、硬盘：配置≥2*480GB SSD，4*960GB SSD</w:t>
            </w:r>
          </w:p>
          <w:p w14:paraId="0600B3A4">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4、端口：配置≥4*GE，4*10GE</w:t>
            </w:r>
          </w:p>
          <w:p w14:paraId="66972468">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5、RAID卡：配置≥1*RAID卡，支持RAID 0,1,5,6,10,50,60</w:t>
            </w:r>
          </w:p>
          <w:p w14:paraId="7BCD18BE">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6、电源：配置冗余电源≥2*900W交流电源模块</w:t>
            </w:r>
          </w:p>
          <w:p w14:paraId="1384C260">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7、服务：含三年维保</w:t>
            </w:r>
          </w:p>
        </w:tc>
        <w:tc>
          <w:tcPr>
            <w:tcW w:w="1915" w:type="dxa"/>
            <w:tcBorders>
              <w:top w:val="nil"/>
              <w:left w:val="nil"/>
              <w:bottom w:val="single" w:color="auto" w:sz="4" w:space="0"/>
              <w:right w:val="single" w:color="auto" w:sz="4" w:space="0"/>
            </w:tcBorders>
            <w:shd w:val="clear" w:color="000000" w:fill="FFFFFF"/>
            <w:noWrap/>
            <w:vAlign w:val="center"/>
          </w:tcPr>
          <w:p w14:paraId="2E04C8A9">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3</w:t>
            </w:r>
          </w:p>
        </w:tc>
        <w:tc>
          <w:tcPr>
            <w:tcW w:w="1152" w:type="dxa"/>
            <w:tcBorders>
              <w:top w:val="nil"/>
              <w:left w:val="nil"/>
              <w:bottom w:val="single" w:color="auto" w:sz="4" w:space="0"/>
              <w:right w:val="single" w:color="auto" w:sz="4" w:space="0"/>
            </w:tcBorders>
            <w:shd w:val="clear" w:color="000000" w:fill="FFFFFF"/>
            <w:noWrap/>
            <w:vAlign w:val="center"/>
          </w:tcPr>
          <w:p w14:paraId="7BFB54B9">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r>
      <w:tr w14:paraId="7861895C">
        <w:tblPrEx>
          <w:tblCellMar>
            <w:top w:w="0" w:type="dxa"/>
            <w:left w:w="108" w:type="dxa"/>
            <w:bottom w:w="0" w:type="dxa"/>
            <w:right w:w="108" w:type="dxa"/>
          </w:tblCellMar>
        </w:tblPrEx>
        <w:trPr>
          <w:trHeight w:val="2496" w:hRule="atLeast"/>
        </w:trPr>
        <w:tc>
          <w:tcPr>
            <w:tcW w:w="397" w:type="dxa"/>
            <w:tcBorders>
              <w:top w:val="nil"/>
              <w:left w:val="single" w:color="auto" w:sz="4" w:space="0"/>
              <w:bottom w:val="single" w:color="auto" w:sz="4" w:space="0"/>
              <w:right w:val="single" w:color="auto" w:sz="4" w:space="0"/>
            </w:tcBorders>
            <w:shd w:val="clear" w:color="000000" w:fill="FFFFFF"/>
            <w:noWrap/>
            <w:vAlign w:val="center"/>
          </w:tcPr>
          <w:p w14:paraId="22552F40">
            <w:pPr>
              <w:spacing w:after="0" w:line="240" w:lineRule="auto"/>
              <w:ind w:firstLine="0" w:firstLineChars="0"/>
              <w:jc w:val="center"/>
              <w:rPr>
                <w:rFonts w:hint="eastAsia" w:ascii="宋体" w:hAnsi="宋体" w:eastAsia="宋体" w:cs="宋体"/>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3</w:t>
            </w:r>
          </w:p>
        </w:tc>
        <w:tc>
          <w:tcPr>
            <w:tcW w:w="1881" w:type="dxa"/>
            <w:tcBorders>
              <w:top w:val="nil"/>
              <w:left w:val="nil"/>
              <w:bottom w:val="single" w:color="auto" w:sz="4" w:space="0"/>
              <w:right w:val="single" w:color="auto" w:sz="4" w:space="0"/>
            </w:tcBorders>
            <w:noWrap/>
            <w:vAlign w:val="center"/>
          </w:tcPr>
          <w:p w14:paraId="3E27DB7C">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大数据节点2</w:t>
            </w:r>
          </w:p>
        </w:tc>
        <w:tc>
          <w:tcPr>
            <w:tcW w:w="3431" w:type="dxa"/>
            <w:tcBorders>
              <w:top w:val="nil"/>
              <w:left w:val="nil"/>
              <w:bottom w:val="single" w:color="auto" w:sz="4" w:space="0"/>
              <w:right w:val="single" w:color="auto" w:sz="4" w:space="0"/>
            </w:tcBorders>
            <w:vAlign w:val="center"/>
          </w:tcPr>
          <w:p w14:paraId="7BB0AE85">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1、CPU：配置≥2*32核国产化ARM架构处理器，主频≥2.6GHz</w:t>
            </w:r>
          </w:p>
          <w:p w14:paraId="1313988B">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2、内存：配置≥256GB</w:t>
            </w:r>
          </w:p>
          <w:p w14:paraId="49450EA0">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3、硬盘：配置≥2*480GB SSD，12*8TB SATA盘；</w:t>
            </w:r>
          </w:p>
          <w:p w14:paraId="30BDA57A">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4、端口：配置≥4*GE，4*10GE</w:t>
            </w:r>
          </w:p>
          <w:p w14:paraId="6C511CA4">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5、RAID卡：配置≥1*RAID卡，支持RAID 0,1,5,6,10,50,60</w:t>
            </w:r>
          </w:p>
          <w:p w14:paraId="0ABE76D3">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6、电源：配置冗余电源≥2*900W交流电源模块</w:t>
            </w:r>
          </w:p>
          <w:p w14:paraId="7C1E51C9">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7、服务：含三年维保</w:t>
            </w:r>
          </w:p>
        </w:tc>
        <w:tc>
          <w:tcPr>
            <w:tcW w:w="1915" w:type="dxa"/>
            <w:tcBorders>
              <w:top w:val="nil"/>
              <w:left w:val="nil"/>
              <w:bottom w:val="single" w:color="auto" w:sz="4" w:space="0"/>
              <w:right w:val="single" w:color="auto" w:sz="4" w:space="0"/>
            </w:tcBorders>
            <w:shd w:val="clear" w:color="000000" w:fill="FFFFFF"/>
            <w:noWrap/>
            <w:vAlign w:val="center"/>
          </w:tcPr>
          <w:p w14:paraId="5C78DF95">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3</w:t>
            </w:r>
          </w:p>
        </w:tc>
        <w:tc>
          <w:tcPr>
            <w:tcW w:w="1152" w:type="dxa"/>
            <w:tcBorders>
              <w:top w:val="nil"/>
              <w:left w:val="nil"/>
              <w:bottom w:val="single" w:color="auto" w:sz="4" w:space="0"/>
              <w:right w:val="single" w:color="auto" w:sz="4" w:space="0"/>
            </w:tcBorders>
            <w:shd w:val="clear" w:color="000000" w:fill="FFFFFF"/>
            <w:noWrap/>
            <w:vAlign w:val="center"/>
          </w:tcPr>
          <w:p w14:paraId="2844F9A5">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r>
      <w:tr w14:paraId="5445ED82">
        <w:tblPrEx>
          <w:tblCellMar>
            <w:top w:w="0" w:type="dxa"/>
            <w:left w:w="108" w:type="dxa"/>
            <w:bottom w:w="0" w:type="dxa"/>
            <w:right w:w="108" w:type="dxa"/>
          </w:tblCellMar>
        </w:tblPrEx>
        <w:trPr>
          <w:trHeight w:val="2496" w:hRule="atLeast"/>
        </w:trPr>
        <w:tc>
          <w:tcPr>
            <w:tcW w:w="397" w:type="dxa"/>
            <w:tcBorders>
              <w:top w:val="nil"/>
              <w:left w:val="single" w:color="auto" w:sz="4" w:space="0"/>
              <w:bottom w:val="single" w:color="auto" w:sz="4" w:space="0"/>
              <w:right w:val="single" w:color="auto" w:sz="4" w:space="0"/>
            </w:tcBorders>
            <w:shd w:val="clear" w:color="000000" w:fill="FFFFFF"/>
            <w:noWrap/>
            <w:vAlign w:val="center"/>
          </w:tcPr>
          <w:p w14:paraId="2B387583">
            <w:pPr>
              <w:spacing w:after="0" w:line="240" w:lineRule="auto"/>
              <w:ind w:firstLine="0" w:firstLineChars="0"/>
              <w:jc w:val="center"/>
              <w:rPr>
                <w:rFonts w:hint="eastAsia" w:ascii="宋体" w:hAnsi="宋体" w:eastAsia="宋体" w:cs="宋体"/>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4</w:t>
            </w:r>
          </w:p>
        </w:tc>
        <w:tc>
          <w:tcPr>
            <w:tcW w:w="1881" w:type="dxa"/>
            <w:tcBorders>
              <w:top w:val="nil"/>
              <w:left w:val="nil"/>
              <w:bottom w:val="single" w:color="auto" w:sz="4" w:space="0"/>
              <w:right w:val="single" w:color="auto" w:sz="4" w:space="0"/>
            </w:tcBorders>
            <w:noWrap/>
            <w:vAlign w:val="center"/>
          </w:tcPr>
          <w:p w14:paraId="60D7A479">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大数据节点3</w:t>
            </w:r>
          </w:p>
        </w:tc>
        <w:tc>
          <w:tcPr>
            <w:tcW w:w="3431" w:type="dxa"/>
            <w:tcBorders>
              <w:top w:val="nil"/>
              <w:left w:val="nil"/>
              <w:bottom w:val="single" w:color="auto" w:sz="4" w:space="0"/>
              <w:right w:val="single" w:color="auto" w:sz="4" w:space="0"/>
            </w:tcBorders>
            <w:vAlign w:val="center"/>
          </w:tcPr>
          <w:p w14:paraId="58686E1E">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1、CPU：配置≥2*32核国产化ARM架构处理器，主频≥2.6GHz</w:t>
            </w:r>
          </w:p>
          <w:p w14:paraId="2468971D">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2、内存：配置≥256GB</w:t>
            </w:r>
          </w:p>
          <w:p w14:paraId="30D26566">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3、硬盘：配置≥2*480GB SSD，6*7.68TB SSD</w:t>
            </w:r>
          </w:p>
          <w:p w14:paraId="397032E6">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4、端口：配置≥4*GE，4*10GE</w:t>
            </w:r>
          </w:p>
          <w:p w14:paraId="296597E4">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5、RAID卡：配置≥1*RAID卡，支持RAID 0,1,5,6,10,50,60</w:t>
            </w:r>
          </w:p>
          <w:p w14:paraId="05133D5C">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6、电源：配置冗余电源≥2*900W交流电源模块</w:t>
            </w:r>
          </w:p>
          <w:p w14:paraId="585E3369">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7、服务：含三年维保</w:t>
            </w:r>
          </w:p>
        </w:tc>
        <w:tc>
          <w:tcPr>
            <w:tcW w:w="1915" w:type="dxa"/>
            <w:tcBorders>
              <w:top w:val="nil"/>
              <w:left w:val="nil"/>
              <w:bottom w:val="single" w:color="auto" w:sz="4" w:space="0"/>
              <w:right w:val="single" w:color="auto" w:sz="4" w:space="0"/>
            </w:tcBorders>
            <w:shd w:val="clear" w:color="000000" w:fill="FFFFFF"/>
            <w:noWrap/>
            <w:vAlign w:val="center"/>
          </w:tcPr>
          <w:p w14:paraId="44856395">
            <w:pPr>
              <w:spacing w:after="0" w:line="240" w:lineRule="auto"/>
              <w:ind w:firstLine="0" w:firstLineChars="0"/>
              <w:jc w:val="center"/>
              <w:rPr>
                <w:rFonts w:ascii="宋体" w:hAnsi="宋体" w:cs="宋体"/>
                <w:kern w:val="0"/>
                <w:sz w:val="18"/>
                <w:szCs w:val="18"/>
                <w:highlight w:val="none"/>
              </w:rPr>
            </w:pPr>
            <w:r>
              <w:rPr>
                <w:rFonts w:ascii="宋体" w:hAnsi="宋体" w:cs="宋体"/>
                <w:kern w:val="0"/>
                <w:sz w:val="18"/>
                <w:szCs w:val="18"/>
                <w:highlight w:val="none"/>
              </w:rPr>
              <w:t>3</w:t>
            </w:r>
          </w:p>
        </w:tc>
        <w:tc>
          <w:tcPr>
            <w:tcW w:w="1152" w:type="dxa"/>
            <w:tcBorders>
              <w:top w:val="nil"/>
              <w:left w:val="nil"/>
              <w:bottom w:val="single" w:color="auto" w:sz="4" w:space="0"/>
              <w:right w:val="single" w:color="auto" w:sz="4" w:space="0"/>
            </w:tcBorders>
            <w:shd w:val="clear" w:color="000000" w:fill="FFFFFF"/>
            <w:noWrap/>
            <w:vAlign w:val="center"/>
          </w:tcPr>
          <w:p w14:paraId="335BDE6A">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r>
      <w:tr w14:paraId="7244D51F">
        <w:tblPrEx>
          <w:tblCellMar>
            <w:top w:w="0" w:type="dxa"/>
            <w:left w:w="108" w:type="dxa"/>
            <w:bottom w:w="0" w:type="dxa"/>
            <w:right w:w="108" w:type="dxa"/>
          </w:tblCellMar>
        </w:tblPrEx>
        <w:trPr>
          <w:trHeight w:val="2496" w:hRule="atLeast"/>
        </w:trPr>
        <w:tc>
          <w:tcPr>
            <w:tcW w:w="397" w:type="dxa"/>
            <w:tcBorders>
              <w:top w:val="nil"/>
              <w:left w:val="single" w:color="auto" w:sz="4" w:space="0"/>
              <w:bottom w:val="single" w:color="auto" w:sz="4" w:space="0"/>
              <w:right w:val="single" w:color="auto" w:sz="4" w:space="0"/>
            </w:tcBorders>
            <w:shd w:val="clear" w:color="000000" w:fill="FFFFFF"/>
            <w:noWrap/>
            <w:vAlign w:val="center"/>
          </w:tcPr>
          <w:p w14:paraId="2A2E0132">
            <w:pPr>
              <w:spacing w:after="0" w:line="240" w:lineRule="auto"/>
              <w:ind w:firstLine="0" w:firstLineChars="0"/>
              <w:jc w:val="center"/>
              <w:rPr>
                <w:rFonts w:hint="eastAsia" w:ascii="宋体" w:hAnsi="宋体" w:eastAsia="宋体" w:cs="宋体"/>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5</w:t>
            </w:r>
          </w:p>
        </w:tc>
        <w:tc>
          <w:tcPr>
            <w:tcW w:w="1881" w:type="dxa"/>
            <w:tcBorders>
              <w:top w:val="nil"/>
              <w:left w:val="nil"/>
              <w:bottom w:val="single" w:color="auto" w:sz="4" w:space="0"/>
              <w:right w:val="single" w:color="auto" w:sz="4" w:space="0"/>
            </w:tcBorders>
            <w:noWrap/>
            <w:vAlign w:val="center"/>
          </w:tcPr>
          <w:p w14:paraId="000F2139">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裸金属数据仓库网关节点</w:t>
            </w:r>
          </w:p>
        </w:tc>
        <w:tc>
          <w:tcPr>
            <w:tcW w:w="3431" w:type="dxa"/>
            <w:tcBorders>
              <w:top w:val="nil"/>
              <w:left w:val="nil"/>
              <w:bottom w:val="single" w:color="auto" w:sz="4" w:space="0"/>
              <w:right w:val="single" w:color="auto" w:sz="4" w:space="0"/>
            </w:tcBorders>
            <w:vAlign w:val="center"/>
          </w:tcPr>
          <w:p w14:paraId="5A13BF3D">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1、CPU：配置≥2*48核国产化ARM架构处理器，主频≥2.6GHz</w:t>
            </w:r>
          </w:p>
          <w:p w14:paraId="02F58DA5">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2、内存：配置≥192GB</w:t>
            </w:r>
          </w:p>
          <w:p w14:paraId="4FAB7194">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3、硬盘：配置≥2*480GB SSD</w:t>
            </w:r>
          </w:p>
          <w:p w14:paraId="1439E9D7">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4、端口：配置≥4*GE，8*10GE</w:t>
            </w:r>
          </w:p>
          <w:p w14:paraId="62B2F7C2">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5、RAID卡：配置≥1*RAID卡，支持RAID 0,1,5,6,10,50,60</w:t>
            </w:r>
          </w:p>
          <w:p w14:paraId="64C8042C">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6、电源：配置冗余电源≥2*900W交流电源模块</w:t>
            </w:r>
          </w:p>
          <w:p w14:paraId="76578B5D">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7、服务：含三年维保</w:t>
            </w:r>
          </w:p>
        </w:tc>
        <w:tc>
          <w:tcPr>
            <w:tcW w:w="1915" w:type="dxa"/>
            <w:tcBorders>
              <w:top w:val="nil"/>
              <w:left w:val="nil"/>
              <w:bottom w:val="single" w:color="auto" w:sz="4" w:space="0"/>
              <w:right w:val="single" w:color="auto" w:sz="4" w:space="0"/>
            </w:tcBorders>
            <w:shd w:val="clear" w:color="000000" w:fill="FFFFFF"/>
            <w:noWrap/>
            <w:vAlign w:val="center"/>
          </w:tcPr>
          <w:p w14:paraId="22C65A57">
            <w:pPr>
              <w:spacing w:after="0" w:line="240" w:lineRule="auto"/>
              <w:ind w:firstLine="0" w:firstLineChars="0"/>
              <w:jc w:val="center"/>
              <w:rPr>
                <w:rFonts w:ascii="宋体" w:hAnsi="宋体" w:cs="宋体"/>
                <w:kern w:val="0"/>
                <w:sz w:val="18"/>
                <w:szCs w:val="18"/>
                <w:highlight w:val="none"/>
              </w:rPr>
            </w:pPr>
            <w:r>
              <w:rPr>
                <w:rFonts w:ascii="宋体" w:hAnsi="宋体" w:cs="宋体"/>
                <w:kern w:val="0"/>
                <w:sz w:val="18"/>
                <w:szCs w:val="18"/>
                <w:highlight w:val="none"/>
              </w:rPr>
              <w:t>2</w:t>
            </w:r>
          </w:p>
        </w:tc>
        <w:tc>
          <w:tcPr>
            <w:tcW w:w="1152" w:type="dxa"/>
            <w:tcBorders>
              <w:top w:val="nil"/>
              <w:left w:val="nil"/>
              <w:bottom w:val="single" w:color="auto" w:sz="4" w:space="0"/>
              <w:right w:val="single" w:color="auto" w:sz="4" w:space="0"/>
            </w:tcBorders>
            <w:shd w:val="clear" w:color="000000" w:fill="FFFFFF"/>
            <w:noWrap/>
            <w:vAlign w:val="center"/>
          </w:tcPr>
          <w:p w14:paraId="07F3A054">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r>
      <w:tr w14:paraId="3206889A">
        <w:tblPrEx>
          <w:tblCellMar>
            <w:top w:w="0" w:type="dxa"/>
            <w:left w:w="108" w:type="dxa"/>
            <w:bottom w:w="0" w:type="dxa"/>
            <w:right w:w="108" w:type="dxa"/>
          </w:tblCellMar>
        </w:tblPrEx>
        <w:trPr>
          <w:trHeight w:val="2184" w:hRule="atLeast"/>
        </w:trPr>
        <w:tc>
          <w:tcPr>
            <w:tcW w:w="397" w:type="dxa"/>
            <w:tcBorders>
              <w:top w:val="nil"/>
              <w:left w:val="single" w:color="auto" w:sz="4" w:space="0"/>
              <w:bottom w:val="single" w:color="auto" w:sz="4" w:space="0"/>
              <w:right w:val="single" w:color="auto" w:sz="4" w:space="0"/>
            </w:tcBorders>
            <w:shd w:val="clear" w:color="000000" w:fill="FFFFFF"/>
            <w:noWrap/>
            <w:vAlign w:val="center"/>
          </w:tcPr>
          <w:p w14:paraId="1F650731">
            <w:pPr>
              <w:spacing w:after="0" w:line="240" w:lineRule="auto"/>
              <w:ind w:firstLine="0" w:firstLineChars="0"/>
              <w:jc w:val="center"/>
              <w:rPr>
                <w:rFonts w:hint="eastAsia" w:ascii="宋体" w:hAnsi="宋体" w:eastAsia="宋体" w:cs="宋体"/>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6</w:t>
            </w:r>
          </w:p>
        </w:tc>
        <w:tc>
          <w:tcPr>
            <w:tcW w:w="1881" w:type="dxa"/>
            <w:tcBorders>
              <w:top w:val="nil"/>
              <w:left w:val="nil"/>
              <w:bottom w:val="single" w:color="auto" w:sz="4" w:space="0"/>
              <w:right w:val="single" w:color="auto" w:sz="4" w:space="0"/>
            </w:tcBorders>
            <w:vAlign w:val="center"/>
          </w:tcPr>
          <w:p w14:paraId="11C77775">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数据仓库节点</w:t>
            </w:r>
          </w:p>
        </w:tc>
        <w:tc>
          <w:tcPr>
            <w:tcW w:w="3431" w:type="dxa"/>
            <w:tcBorders>
              <w:top w:val="nil"/>
              <w:left w:val="nil"/>
              <w:bottom w:val="single" w:color="auto" w:sz="4" w:space="0"/>
              <w:right w:val="single" w:color="auto" w:sz="4" w:space="0"/>
            </w:tcBorders>
          </w:tcPr>
          <w:p w14:paraId="20A67B52">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1、CPU：配置≥2*32核国产化ARM架构处理器，主频≥2.6GHz</w:t>
            </w:r>
          </w:p>
          <w:p w14:paraId="4777C8D0">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2、内存：配置≥512GB</w:t>
            </w:r>
          </w:p>
          <w:p w14:paraId="6D29B07B">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3、硬盘：配置≥2*960GB SSD，12*1.92TB SSD</w:t>
            </w:r>
          </w:p>
          <w:p w14:paraId="6991DEBE">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4、端口：配置≥4*GE，4*10GE</w:t>
            </w:r>
          </w:p>
          <w:p w14:paraId="129739F2">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5、RAID卡：配置≥1*RAID卡，支持RAID 0,1,5,6,10,50,60</w:t>
            </w:r>
          </w:p>
          <w:p w14:paraId="530124E2">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6、电源：配置冗余电源≥2*900W交流电源模块</w:t>
            </w:r>
          </w:p>
          <w:p w14:paraId="30632BB1">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7、服务：含三年维保</w:t>
            </w:r>
          </w:p>
        </w:tc>
        <w:tc>
          <w:tcPr>
            <w:tcW w:w="1915" w:type="dxa"/>
            <w:tcBorders>
              <w:top w:val="nil"/>
              <w:left w:val="nil"/>
              <w:bottom w:val="single" w:color="auto" w:sz="4" w:space="0"/>
              <w:right w:val="single" w:color="auto" w:sz="4" w:space="0"/>
            </w:tcBorders>
            <w:shd w:val="clear" w:color="000000" w:fill="FFFFFF"/>
            <w:noWrap/>
            <w:vAlign w:val="center"/>
          </w:tcPr>
          <w:p w14:paraId="3855F2C1">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3</w:t>
            </w:r>
          </w:p>
        </w:tc>
        <w:tc>
          <w:tcPr>
            <w:tcW w:w="1152" w:type="dxa"/>
            <w:tcBorders>
              <w:top w:val="nil"/>
              <w:left w:val="nil"/>
              <w:bottom w:val="single" w:color="auto" w:sz="4" w:space="0"/>
              <w:right w:val="single" w:color="auto" w:sz="4" w:space="0"/>
            </w:tcBorders>
            <w:shd w:val="clear" w:color="000000" w:fill="FFFFFF"/>
            <w:noWrap/>
            <w:vAlign w:val="center"/>
          </w:tcPr>
          <w:p w14:paraId="18753DA9">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r>
      <w:tr w14:paraId="4F57BDE1">
        <w:tblPrEx>
          <w:tblCellMar>
            <w:top w:w="0" w:type="dxa"/>
            <w:left w:w="108" w:type="dxa"/>
            <w:bottom w:w="0" w:type="dxa"/>
            <w:right w:w="108" w:type="dxa"/>
          </w:tblCellMar>
        </w:tblPrEx>
        <w:trPr>
          <w:trHeight w:val="2184" w:hRule="atLeast"/>
        </w:trPr>
        <w:tc>
          <w:tcPr>
            <w:tcW w:w="397" w:type="dxa"/>
            <w:tcBorders>
              <w:top w:val="nil"/>
              <w:left w:val="single" w:color="auto" w:sz="4" w:space="0"/>
              <w:bottom w:val="single" w:color="auto" w:sz="4" w:space="0"/>
              <w:right w:val="single" w:color="auto" w:sz="4" w:space="0"/>
            </w:tcBorders>
            <w:shd w:val="clear" w:color="000000" w:fill="FFFFFF"/>
            <w:noWrap/>
            <w:vAlign w:val="center"/>
          </w:tcPr>
          <w:p w14:paraId="5243E056">
            <w:pPr>
              <w:spacing w:after="0" w:line="240" w:lineRule="auto"/>
              <w:ind w:firstLine="0" w:firstLineChars="0"/>
              <w:jc w:val="center"/>
              <w:rPr>
                <w:rFonts w:hint="eastAsia" w:ascii="宋体" w:hAnsi="宋体" w:eastAsia="宋体" w:cs="宋体"/>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7</w:t>
            </w:r>
          </w:p>
        </w:tc>
        <w:tc>
          <w:tcPr>
            <w:tcW w:w="1881" w:type="dxa"/>
            <w:tcBorders>
              <w:top w:val="nil"/>
              <w:left w:val="nil"/>
              <w:bottom w:val="single" w:color="auto" w:sz="4" w:space="0"/>
              <w:right w:val="single" w:color="auto" w:sz="4" w:space="0"/>
            </w:tcBorders>
            <w:vAlign w:val="center"/>
          </w:tcPr>
          <w:p w14:paraId="42DD5999">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高性能网络节点</w:t>
            </w:r>
          </w:p>
        </w:tc>
        <w:tc>
          <w:tcPr>
            <w:tcW w:w="3431" w:type="dxa"/>
            <w:tcBorders>
              <w:top w:val="nil"/>
              <w:left w:val="nil"/>
              <w:bottom w:val="single" w:color="auto" w:sz="4" w:space="0"/>
              <w:right w:val="single" w:color="auto" w:sz="4" w:space="0"/>
            </w:tcBorders>
          </w:tcPr>
          <w:p w14:paraId="137C0EC5">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1、CPU：配置≥2*64核国产化ARM架构处理器，主频≥2.6GHz</w:t>
            </w:r>
          </w:p>
          <w:p w14:paraId="525A04F3">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2、内存：配置≥512GB</w:t>
            </w:r>
          </w:p>
          <w:p w14:paraId="4F5244FE">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3、硬盘：配置≥2*960GB SSD</w:t>
            </w:r>
          </w:p>
          <w:p w14:paraId="62F82D18">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4、端口：配置≥4*GE，8*10GE</w:t>
            </w:r>
          </w:p>
          <w:p w14:paraId="5D8A3010">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5、RAID卡：配置≥1*RAID卡，支持RAID 0,1,5,6,10,50,60</w:t>
            </w:r>
          </w:p>
          <w:p w14:paraId="5B1538B7">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6、电源：配置冗余电源≥2*900W交流电源模块</w:t>
            </w:r>
          </w:p>
          <w:p w14:paraId="5613BAC2">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7、服务：含三年维保</w:t>
            </w:r>
          </w:p>
        </w:tc>
        <w:tc>
          <w:tcPr>
            <w:tcW w:w="1915" w:type="dxa"/>
            <w:tcBorders>
              <w:top w:val="nil"/>
              <w:left w:val="nil"/>
              <w:bottom w:val="single" w:color="auto" w:sz="4" w:space="0"/>
              <w:right w:val="single" w:color="auto" w:sz="4" w:space="0"/>
            </w:tcBorders>
            <w:shd w:val="clear" w:color="000000" w:fill="FFFFFF"/>
            <w:noWrap/>
            <w:vAlign w:val="center"/>
          </w:tcPr>
          <w:p w14:paraId="30A0BE5D">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2</w:t>
            </w:r>
          </w:p>
        </w:tc>
        <w:tc>
          <w:tcPr>
            <w:tcW w:w="1152" w:type="dxa"/>
            <w:tcBorders>
              <w:top w:val="nil"/>
              <w:left w:val="nil"/>
              <w:bottom w:val="single" w:color="auto" w:sz="4" w:space="0"/>
              <w:right w:val="single" w:color="auto" w:sz="4" w:space="0"/>
            </w:tcBorders>
            <w:shd w:val="clear" w:color="000000" w:fill="FFFFFF"/>
            <w:noWrap/>
            <w:vAlign w:val="center"/>
          </w:tcPr>
          <w:p w14:paraId="7BB3D118">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r>
      <w:tr w14:paraId="73ACFA6C">
        <w:tblPrEx>
          <w:tblCellMar>
            <w:top w:w="0" w:type="dxa"/>
            <w:left w:w="108" w:type="dxa"/>
            <w:bottom w:w="0" w:type="dxa"/>
            <w:right w:w="108" w:type="dxa"/>
          </w:tblCellMar>
        </w:tblPrEx>
        <w:trPr>
          <w:trHeight w:val="2496" w:hRule="atLeast"/>
        </w:trPr>
        <w:tc>
          <w:tcPr>
            <w:tcW w:w="397" w:type="dxa"/>
            <w:tcBorders>
              <w:top w:val="nil"/>
              <w:left w:val="single" w:color="auto" w:sz="4" w:space="0"/>
              <w:bottom w:val="single" w:color="auto" w:sz="4" w:space="0"/>
              <w:right w:val="single" w:color="auto" w:sz="4" w:space="0"/>
            </w:tcBorders>
            <w:shd w:val="clear" w:color="000000" w:fill="FFFFFF"/>
            <w:noWrap/>
            <w:vAlign w:val="center"/>
          </w:tcPr>
          <w:p w14:paraId="4FEF6509">
            <w:pPr>
              <w:spacing w:after="0" w:line="240" w:lineRule="auto"/>
              <w:ind w:firstLine="0" w:firstLineChars="0"/>
              <w:jc w:val="center"/>
              <w:rPr>
                <w:rFonts w:hint="eastAsia" w:ascii="宋体" w:hAnsi="宋体" w:eastAsia="宋体" w:cs="宋体"/>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8</w:t>
            </w:r>
          </w:p>
        </w:tc>
        <w:tc>
          <w:tcPr>
            <w:tcW w:w="1881" w:type="dxa"/>
            <w:tcBorders>
              <w:top w:val="nil"/>
              <w:left w:val="nil"/>
              <w:bottom w:val="single" w:color="auto" w:sz="4" w:space="0"/>
              <w:right w:val="single" w:color="auto" w:sz="4" w:space="0"/>
            </w:tcBorders>
            <w:vAlign w:val="center"/>
          </w:tcPr>
          <w:p w14:paraId="383C2A6D">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管理节点</w:t>
            </w:r>
          </w:p>
        </w:tc>
        <w:tc>
          <w:tcPr>
            <w:tcW w:w="3431" w:type="dxa"/>
            <w:tcBorders>
              <w:top w:val="nil"/>
              <w:left w:val="nil"/>
              <w:bottom w:val="single" w:color="auto" w:sz="4" w:space="0"/>
              <w:right w:val="single" w:color="auto" w:sz="4" w:space="0"/>
            </w:tcBorders>
          </w:tcPr>
          <w:p w14:paraId="45AFBB57">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1、CPU：配置≥2*64核国产化ARM架构处理器，主频≥2.6GHz</w:t>
            </w:r>
          </w:p>
          <w:p w14:paraId="705D0E25">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2、内存：配置≥768GB</w:t>
            </w:r>
          </w:p>
          <w:p w14:paraId="052A5695">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3、硬盘：配置≥2*960GB SSD，8*8TB HDD，2*1.92TB SSD</w:t>
            </w:r>
          </w:p>
          <w:p w14:paraId="71B8D2B2">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4、端口：配置≥4*GE，2*10GE</w:t>
            </w:r>
          </w:p>
          <w:p w14:paraId="180D67F4">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5、RAID卡：配置≥1*RAID卡，支持RAID 0,1,5,6,10,50,60</w:t>
            </w:r>
          </w:p>
          <w:p w14:paraId="33D7DBE0">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6、电源：配置冗余电源≥2*900W交流电源模块</w:t>
            </w:r>
          </w:p>
          <w:p w14:paraId="4E4C9EF6">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7、服务：含三年维保</w:t>
            </w:r>
          </w:p>
        </w:tc>
        <w:tc>
          <w:tcPr>
            <w:tcW w:w="1915" w:type="dxa"/>
            <w:tcBorders>
              <w:top w:val="nil"/>
              <w:left w:val="nil"/>
              <w:bottom w:val="single" w:color="auto" w:sz="4" w:space="0"/>
              <w:right w:val="single" w:color="auto" w:sz="4" w:space="0"/>
            </w:tcBorders>
            <w:shd w:val="clear" w:color="000000" w:fill="FFFFFF"/>
            <w:noWrap/>
            <w:vAlign w:val="center"/>
          </w:tcPr>
          <w:p w14:paraId="2A4576B2">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5</w:t>
            </w:r>
          </w:p>
        </w:tc>
        <w:tc>
          <w:tcPr>
            <w:tcW w:w="1152" w:type="dxa"/>
            <w:tcBorders>
              <w:top w:val="nil"/>
              <w:left w:val="nil"/>
              <w:bottom w:val="single" w:color="auto" w:sz="4" w:space="0"/>
              <w:right w:val="single" w:color="auto" w:sz="4" w:space="0"/>
            </w:tcBorders>
            <w:shd w:val="clear" w:color="000000" w:fill="FFFFFF"/>
            <w:noWrap/>
            <w:vAlign w:val="center"/>
          </w:tcPr>
          <w:p w14:paraId="63D22C68">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r>
      <w:tr w14:paraId="141523DF">
        <w:tblPrEx>
          <w:tblCellMar>
            <w:top w:w="0" w:type="dxa"/>
            <w:left w:w="108" w:type="dxa"/>
            <w:bottom w:w="0" w:type="dxa"/>
            <w:right w:w="108" w:type="dxa"/>
          </w:tblCellMar>
        </w:tblPrEx>
        <w:trPr>
          <w:trHeight w:val="1872" w:hRule="atLeast"/>
        </w:trPr>
        <w:tc>
          <w:tcPr>
            <w:tcW w:w="397" w:type="dxa"/>
            <w:tcBorders>
              <w:top w:val="nil"/>
              <w:left w:val="single" w:color="auto" w:sz="4" w:space="0"/>
              <w:bottom w:val="single" w:color="auto" w:sz="4" w:space="0"/>
              <w:right w:val="single" w:color="auto" w:sz="4" w:space="0"/>
            </w:tcBorders>
            <w:shd w:val="clear" w:color="000000" w:fill="FFFFFF"/>
            <w:noWrap/>
            <w:vAlign w:val="center"/>
          </w:tcPr>
          <w:p w14:paraId="155A546E">
            <w:pPr>
              <w:spacing w:after="0" w:line="240" w:lineRule="auto"/>
              <w:ind w:firstLine="0" w:firstLineChars="0"/>
              <w:jc w:val="center"/>
              <w:rPr>
                <w:rFonts w:hint="eastAsia" w:ascii="宋体" w:hAnsi="宋体" w:eastAsia="宋体" w:cs="宋体"/>
                <w:color w:val="000000"/>
                <w:kern w:val="0"/>
                <w:sz w:val="18"/>
                <w:szCs w:val="18"/>
                <w:highlight w:val="none"/>
                <w:lang w:val="en-US" w:eastAsia="zh-CN"/>
              </w:rPr>
            </w:pPr>
            <w:r>
              <w:rPr>
                <w:rFonts w:hint="eastAsia" w:ascii="宋体" w:hAnsi="宋体" w:cs="宋体"/>
                <w:color w:val="000000"/>
                <w:kern w:val="0"/>
                <w:sz w:val="18"/>
                <w:szCs w:val="18"/>
                <w:highlight w:val="none"/>
                <w:lang w:val="en-US" w:eastAsia="zh-CN"/>
              </w:rPr>
              <w:t>9</w:t>
            </w:r>
          </w:p>
        </w:tc>
        <w:tc>
          <w:tcPr>
            <w:tcW w:w="1881" w:type="dxa"/>
            <w:tcBorders>
              <w:top w:val="nil"/>
              <w:left w:val="nil"/>
              <w:bottom w:val="single" w:color="auto" w:sz="4" w:space="0"/>
              <w:right w:val="single" w:color="auto" w:sz="4" w:space="0"/>
            </w:tcBorders>
            <w:vAlign w:val="center"/>
          </w:tcPr>
          <w:p w14:paraId="438F6131">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通用计算</w:t>
            </w:r>
          </w:p>
        </w:tc>
        <w:tc>
          <w:tcPr>
            <w:tcW w:w="3431" w:type="dxa"/>
            <w:tcBorders>
              <w:top w:val="nil"/>
              <w:left w:val="nil"/>
              <w:bottom w:val="single" w:color="auto" w:sz="4" w:space="0"/>
              <w:right w:val="single" w:color="auto" w:sz="4" w:space="0"/>
            </w:tcBorders>
          </w:tcPr>
          <w:p w14:paraId="0F1FB758">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1、CPU：配置≥2*64核国产化ARM架构处理器，主频≥2.6GHz</w:t>
            </w:r>
          </w:p>
          <w:p w14:paraId="21AD0FF8">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2、内存：配置≥384GB</w:t>
            </w:r>
          </w:p>
          <w:p w14:paraId="1BC23C9A">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3、硬盘：配置≥2*960GB SSD</w:t>
            </w:r>
          </w:p>
          <w:p w14:paraId="7F385E0A">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4、端口：配置≥4*GE，4*10GE</w:t>
            </w:r>
          </w:p>
          <w:p w14:paraId="23CF56A1">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5、RAID卡：配置≥1*RAID卡，支持RAID 0,1,5,6,10,50,60</w:t>
            </w:r>
          </w:p>
          <w:p w14:paraId="5B1A2C4B">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6、电源：配置冗余电源≥2*900W交流电源模块</w:t>
            </w:r>
          </w:p>
          <w:p w14:paraId="0465AB9D">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7、服务：含三年维保</w:t>
            </w:r>
          </w:p>
        </w:tc>
        <w:tc>
          <w:tcPr>
            <w:tcW w:w="1915" w:type="dxa"/>
            <w:tcBorders>
              <w:top w:val="nil"/>
              <w:left w:val="nil"/>
              <w:bottom w:val="single" w:color="auto" w:sz="4" w:space="0"/>
              <w:right w:val="single" w:color="auto" w:sz="4" w:space="0"/>
            </w:tcBorders>
            <w:shd w:val="clear" w:color="000000" w:fill="FFFFFF"/>
            <w:noWrap/>
            <w:vAlign w:val="center"/>
          </w:tcPr>
          <w:p w14:paraId="327D21B8">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9</w:t>
            </w:r>
          </w:p>
        </w:tc>
        <w:tc>
          <w:tcPr>
            <w:tcW w:w="1152" w:type="dxa"/>
            <w:tcBorders>
              <w:top w:val="nil"/>
              <w:left w:val="nil"/>
              <w:bottom w:val="single" w:color="auto" w:sz="4" w:space="0"/>
              <w:right w:val="single" w:color="auto" w:sz="4" w:space="0"/>
            </w:tcBorders>
            <w:shd w:val="clear" w:color="000000" w:fill="FFFFFF"/>
            <w:noWrap/>
            <w:vAlign w:val="center"/>
          </w:tcPr>
          <w:p w14:paraId="61231811">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r>
      <w:tr w14:paraId="27E7C00D">
        <w:tblPrEx>
          <w:tblCellMar>
            <w:top w:w="0" w:type="dxa"/>
            <w:left w:w="108" w:type="dxa"/>
            <w:bottom w:w="0" w:type="dxa"/>
            <w:right w:w="108" w:type="dxa"/>
          </w:tblCellMar>
        </w:tblPrEx>
        <w:trPr>
          <w:trHeight w:val="288" w:hRule="atLeast"/>
        </w:trPr>
        <w:tc>
          <w:tcPr>
            <w:tcW w:w="8776" w:type="dxa"/>
            <w:gridSpan w:val="5"/>
            <w:tcBorders>
              <w:top w:val="single" w:color="auto" w:sz="4" w:space="0"/>
              <w:left w:val="single" w:color="auto" w:sz="4" w:space="0"/>
              <w:bottom w:val="single" w:color="auto" w:sz="4" w:space="0"/>
              <w:right w:val="single" w:color="auto" w:sz="4" w:space="0"/>
            </w:tcBorders>
            <w:noWrap/>
            <w:vAlign w:val="center"/>
          </w:tcPr>
          <w:p w14:paraId="5A73F8E7">
            <w:pPr>
              <w:spacing w:after="0" w:line="240" w:lineRule="auto"/>
              <w:ind w:firstLine="0" w:firstLineChars="0"/>
              <w:jc w:val="left"/>
              <w:rPr>
                <w:rFonts w:ascii="宋体" w:hAnsi="宋体" w:cs="宋体"/>
                <w:b/>
                <w:bCs/>
                <w:kern w:val="0"/>
                <w:sz w:val="18"/>
                <w:szCs w:val="18"/>
                <w:highlight w:val="none"/>
              </w:rPr>
            </w:pPr>
            <w:r>
              <w:rPr>
                <w:rFonts w:hint="eastAsia" w:ascii="宋体" w:hAnsi="宋体" w:cs="宋体"/>
                <w:b/>
                <w:bCs/>
                <w:kern w:val="0"/>
                <w:sz w:val="18"/>
                <w:szCs w:val="18"/>
                <w:highlight w:val="none"/>
              </w:rPr>
              <w:t>（二）交换机</w:t>
            </w:r>
          </w:p>
        </w:tc>
      </w:tr>
      <w:tr w14:paraId="662184D6">
        <w:tblPrEx>
          <w:tblCellMar>
            <w:top w:w="0" w:type="dxa"/>
            <w:left w:w="108" w:type="dxa"/>
            <w:bottom w:w="0" w:type="dxa"/>
            <w:right w:w="108" w:type="dxa"/>
          </w:tblCellMar>
        </w:tblPrEx>
        <w:trPr>
          <w:trHeight w:val="1560" w:hRule="atLeast"/>
        </w:trPr>
        <w:tc>
          <w:tcPr>
            <w:tcW w:w="397" w:type="dxa"/>
            <w:tcBorders>
              <w:top w:val="nil"/>
              <w:left w:val="single" w:color="auto" w:sz="4" w:space="0"/>
              <w:bottom w:val="single" w:color="auto" w:sz="4" w:space="0"/>
              <w:right w:val="single" w:color="auto" w:sz="4" w:space="0"/>
            </w:tcBorders>
            <w:shd w:val="clear" w:color="000000" w:fill="FFFFFF"/>
            <w:noWrap/>
            <w:vAlign w:val="center"/>
          </w:tcPr>
          <w:p w14:paraId="7458320A">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w:t>
            </w:r>
          </w:p>
        </w:tc>
        <w:tc>
          <w:tcPr>
            <w:tcW w:w="1881" w:type="dxa"/>
            <w:tcBorders>
              <w:top w:val="nil"/>
              <w:left w:val="nil"/>
              <w:bottom w:val="single" w:color="auto" w:sz="4" w:space="0"/>
              <w:right w:val="single" w:color="auto" w:sz="4" w:space="0"/>
            </w:tcBorders>
            <w:noWrap/>
            <w:vAlign w:val="center"/>
          </w:tcPr>
          <w:p w14:paraId="3D678078">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业务接入交换机</w:t>
            </w:r>
          </w:p>
        </w:tc>
        <w:tc>
          <w:tcPr>
            <w:tcW w:w="3431" w:type="dxa"/>
            <w:tcBorders>
              <w:top w:val="nil"/>
              <w:left w:val="nil"/>
              <w:bottom w:val="single" w:color="auto" w:sz="4" w:space="0"/>
              <w:right w:val="single" w:color="auto" w:sz="4" w:space="0"/>
            </w:tcBorders>
            <w:vAlign w:val="center"/>
          </w:tcPr>
          <w:p w14:paraId="5AD4A813">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1、机架式设备，高度≤1U，交换容量≥4.8Tbps，包转发率≥2000Mpps；</w:t>
            </w:r>
            <w:r>
              <w:rPr>
                <w:rFonts w:hint="eastAsia" w:ascii="宋体" w:hAnsi="宋体" w:cs="宋体"/>
                <w:color w:val="000000"/>
                <w:kern w:val="0"/>
                <w:sz w:val="18"/>
                <w:szCs w:val="18"/>
                <w:highlight w:val="none"/>
              </w:rPr>
              <w:br w:type="textWrapping"/>
            </w:r>
            <w:r>
              <w:rPr>
                <w:rFonts w:hint="eastAsia" w:ascii="宋体" w:hAnsi="宋体" w:cs="宋体"/>
                <w:color w:val="000000"/>
                <w:kern w:val="0"/>
                <w:sz w:val="18"/>
                <w:szCs w:val="18"/>
                <w:highlight w:val="none"/>
              </w:rPr>
              <w:t>2、整机支持≥48个10GE光接口，≥6个40GE/100GE光接口；</w:t>
            </w:r>
            <w:r>
              <w:rPr>
                <w:rFonts w:hint="eastAsia" w:ascii="宋体" w:hAnsi="宋体" w:cs="宋体"/>
                <w:color w:val="000000"/>
                <w:kern w:val="0"/>
                <w:sz w:val="18"/>
                <w:szCs w:val="18"/>
                <w:highlight w:val="none"/>
              </w:rPr>
              <w:br w:type="textWrapping"/>
            </w:r>
            <w:r>
              <w:rPr>
                <w:rFonts w:hint="eastAsia" w:ascii="宋体" w:hAnsi="宋体" w:cs="宋体"/>
                <w:color w:val="000000"/>
                <w:kern w:val="0"/>
                <w:sz w:val="18"/>
                <w:szCs w:val="18"/>
                <w:highlight w:val="none"/>
              </w:rPr>
              <w:t>3、支持 RIP、OSPF、ISIS、BGP 等 IPv4 动态路由协议，支持 RIPng、OSPFv3、ISISv6、BGP4+等 IPv6 动态路由协议；</w:t>
            </w:r>
          </w:p>
          <w:p w14:paraId="0C04D400">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4、为了保障网络的安全性，要求关键芯片（如CPU或交换芯片或转发芯片或NP芯片，满足其一即可）为原厂商自研芯片；</w:t>
            </w:r>
            <w:r>
              <w:rPr>
                <w:rFonts w:hint="eastAsia" w:ascii="宋体" w:hAnsi="宋体" w:cs="宋体"/>
                <w:color w:val="000000"/>
                <w:kern w:val="0"/>
                <w:sz w:val="18"/>
                <w:szCs w:val="18"/>
                <w:highlight w:val="none"/>
              </w:rPr>
              <w:br w:type="textWrapping"/>
            </w:r>
            <w:r>
              <w:rPr>
                <w:rFonts w:hint="eastAsia" w:ascii="宋体" w:hAnsi="宋体" w:cs="宋体"/>
                <w:color w:val="000000"/>
                <w:kern w:val="0"/>
                <w:sz w:val="18"/>
                <w:szCs w:val="18"/>
                <w:highlight w:val="none"/>
              </w:rPr>
              <w:t>5、实配：冗余电源，≥16个10GE多模光模块，≥4个40GE多模光模块，≥1根堆叠电缆。</w:t>
            </w:r>
          </w:p>
        </w:tc>
        <w:tc>
          <w:tcPr>
            <w:tcW w:w="1915" w:type="dxa"/>
            <w:tcBorders>
              <w:top w:val="nil"/>
              <w:left w:val="nil"/>
              <w:bottom w:val="single" w:color="auto" w:sz="4" w:space="0"/>
              <w:right w:val="single" w:color="auto" w:sz="4" w:space="0"/>
            </w:tcBorders>
            <w:shd w:val="clear" w:color="000000" w:fill="FFFFFF"/>
            <w:noWrap/>
            <w:vAlign w:val="center"/>
          </w:tcPr>
          <w:p w14:paraId="16C4A090">
            <w:pPr>
              <w:spacing w:after="0" w:line="240" w:lineRule="auto"/>
              <w:ind w:firstLine="0" w:firstLineChars="0"/>
              <w:jc w:val="center"/>
              <w:rPr>
                <w:rFonts w:ascii="宋体" w:hAnsi="宋体" w:cs="宋体"/>
                <w:kern w:val="0"/>
                <w:sz w:val="18"/>
                <w:szCs w:val="18"/>
                <w:highlight w:val="none"/>
              </w:rPr>
            </w:pPr>
            <w:r>
              <w:rPr>
                <w:rFonts w:hint="eastAsia" w:ascii="宋体" w:hAnsi="宋体" w:cs="宋体"/>
                <w:kern w:val="0"/>
                <w:sz w:val="18"/>
                <w:szCs w:val="18"/>
                <w:highlight w:val="none"/>
              </w:rPr>
              <w:t>2</w:t>
            </w:r>
          </w:p>
        </w:tc>
        <w:tc>
          <w:tcPr>
            <w:tcW w:w="1152" w:type="dxa"/>
            <w:tcBorders>
              <w:top w:val="nil"/>
              <w:left w:val="nil"/>
              <w:bottom w:val="single" w:color="auto" w:sz="4" w:space="0"/>
              <w:right w:val="single" w:color="auto" w:sz="4" w:space="0"/>
            </w:tcBorders>
            <w:shd w:val="clear" w:color="000000" w:fill="FFFFFF"/>
            <w:noWrap/>
            <w:vAlign w:val="center"/>
          </w:tcPr>
          <w:p w14:paraId="1B1CD4F7">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r>
      <w:tr w14:paraId="2099712F">
        <w:tblPrEx>
          <w:tblCellMar>
            <w:top w:w="0" w:type="dxa"/>
            <w:left w:w="108" w:type="dxa"/>
            <w:bottom w:w="0" w:type="dxa"/>
            <w:right w:w="108" w:type="dxa"/>
          </w:tblCellMar>
        </w:tblPrEx>
        <w:trPr>
          <w:trHeight w:val="1560" w:hRule="atLeast"/>
        </w:trPr>
        <w:tc>
          <w:tcPr>
            <w:tcW w:w="397" w:type="dxa"/>
            <w:tcBorders>
              <w:top w:val="nil"/>
              <w:left w:val="single" w:color="auto" w:sz="4" w:space="0"/>
              <w:bottom w:val="single" w:color="auto" w:sz="4" w:space="0"/>
              <w:right w:val="single" w:color="auto" w:sz="4" w:space="0"/>
            </w:tcBorders>
            <w:shd w:val="clear" w:color="000000" w:fill="FFFFFF"/>
            <w:noWrap/>
            <w:vAlign w:val="center"/>
          </w:tcPr>
          <w:p w14:paraId="367408DC">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c>
          <w:tcPr>
            <w:tcW w:w="1881" w:type="dxa"/>
            <w:tcBorders>
              <w:top w:val="nil"/>
              <w:left w:val="nil"/>
              <w:bottom w:val="single" w:color="auto" w:sz="4" w:space="0"/>
              <w:right w:val="single" w:color="auto" w:sz="4" w:space="0"/>
            </w:tcBorders>
            <w:noWrap/>
            <w:vAlign w:val="center"/>
          </w:tcPr>
          <w:p w14:paraId="0BE35A44">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BMC接入交换机</w:t>
            </w:r>
          </w:p>
        </w:tc>
        <w:tc>
          <w:tcPr>
            <w:tcW w:w="3431" w:type="dxa"/>
            <w:tcBorders>
              <w:top w:val="nil"/>
              <w:left w:val="nil"/>
              <w:bottom w:val="single" w:color="auto" w:sz="4" w:space="0"/>
              <w:right w:val="single" w:color="auto" w:sz="4" w:space="0"/>
            </w:tcBorders>
            <w:vAlign w:val="center"/>
          </w:tcPr>
          <w:p w14:paraId="0D696949">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1、机架式设备，高度≤1U，交换容量≥2.5Tbps，包转发率≥780Mpps；</w:t>
            </w:r>
            <w:r>
              <w:rPr>
                <w:rFonts w:hint="eastAsia" w:ascii="宋体" w:hAnsi="宋体" w:cs="宋体"/>
                <w:color w:val="000000"/>
                <w:kern w:val="0"/>
                <w:sz w:val="18"/>
                <w:szCs w:val="18"/>
                <w:highlight w:val="none"/>
              </w:rPr>
              <w:br w:type="textWrapping"/>
            </w:r>
            <w:r>
              <w:rPr>
                <w:rFonts w:hint="eastAsia" w:ascii="宋体" w:hAnsi="宋体" w:cs="宋体"/>
                <w:color w:val="000000"/>
                <w:kern w:val="0"/>
                <w:sz w:val="18"/>
                <w:szCs w:val="18"/>
                <w:highlight w:val="none"/>
              </w:rPr>
              <w:t>2、整机支持≥24个10/100/1000M Base-T以太网端口，≥4个1/10/25GE SFP28光接口，≥2个40/100GE QSFP28光接口；</w:t>
            </w:r>
            <w:r>
              <w:rPr>
                <w:rFonts w:hint="eastAsia" w:ascii="宋体" w:hAnsi="宋体" w:cs="宋体"/>
                <w:color w:val="000000"/>
                <w:kern w:val="0"/>
                <w:sz w:val="18"/>
                <w:szCs w:val="18"/>
                <w:highlight w:val="none"/>
              </w:rPr>
              <w:br w:type="textWrapping"/>
            </w:r>
            <w:r>
              <w:rPr>
                <w:rFonts w:hint="eastAsia" w:ascii="宋体" w:hAnsi="宋体" w:cs="宋体"/>
                <w:color w:val="000000"/>
                <w:kern w:val="0"/>
                <w:sz w:val="18"/>
                <w:szCs w:val="18"/>
                <w:highlight w:val="none"/>
              </w:rPr>
              <w:t>3、支持 RIP、OSPF、ISIS、BGP 等 IPv4 动态路由协议，支持 RIPng、OSPFv3、ISISv6、BGP4+等 IPv6 动态路由协议；</w:t>
            </w:r>
            <w:r>
              <w:rPr>
                <w:rFonts w:hint="eastAsia" w:ascii="宋体" w:hAnsi="宋体" w:cs="宋体"/>
                <w:color w:val="000000"/>
                <w:kern w:val="0"/>
                <w:sz w:val="18"/>
                <w:szCs w:val="18"/>
                <w:highlight w:val="none"/>
              </w:rPr>
              <w:br w:type="textWrapping"/>
            </w:r>
            <w:r>
              <w:rPr>
                <w:rFonts w:hint="eastAsia" w:ascii="宋体" w:hAnsi="宋体" w:cs="宋体"/>
                <w:color w:val="000000"/>
                <w:kern w:val="0"/>
                <w:sz w:val="18"/>
                <w:szCs w:val="18"/>
                <w:highlight w:val="none"/>
              </w:rPr>
              <w:t>4、支持两个扩展插槽；</w:t>
            </w:r>
          </w:p>
          <w:p w14:paraId="5B93B66D">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5、为了保障网络的安全性，要求关键芯片（如CPU或交换芯片或转发芯片或NP芯片，满足其一即可）为原厂商自研芯片；</w:t>
            </w:r>
            <w:r>
              <w:rPr>
                <w:rFonts w:hint="eastAsia" w:ascii="宋体" w:hAnsi="宋体" w:cs="宋体"/>
                <w:color w:val="000000"/>
                <w:kern w:val="0"/>
                <w:sz w:val="18"/>
                <w:szCs w:val="18"/>
                <w:highlight w:val="none"/>
              </w:rPr>
              <w:br w:type="textWrapping"/>
            </w:r>
            <w:r>
              <w:rPr>
                <w:rFonts w:hint="eastAsia" w:ascii="宋体" w:hAnsi="宋体" w:cs="宋体"/>
                <w:color w:val="000000"/>
                <w:kern w:val="0"/>
                <w:sz w:val="18"/>
                <w:szCs w:val="18"/>
                <w:highlight w:val="none"/>
              </w:rPr>
              <w:t>6、实配：双电源，≥4个10GE多模光模块。</w:t>
            </w:r>
          </w:p>
        </w:tc>
        <w:tc>
          <w:tcPr>
            <w:tcW w:w="1915" w:type="dxa"/>
            <w:tcBorders>
              <w:top w:val="nil"/>
              <w:left w:val="nil"/>
              <w:bottom w:val="single" w:color="auto" w:sz="4" w:space="0"/>
              <w:right w:val="single" w:color="auto" w:sz="4" w:space="0"/>
            </w:tcBorders>
            <w:shd w:val="clear" w:color="000000" w:fill="FFFFFF"/>
            <w:noWrap/>
            <w:vAlign w:val="center"/>
          </w:tcPr>
          <w:p w14:paraId="43542638">
            <w:pPr>
              <w:spacing w:after="0" w:line="240" w:lineRule="auto"/>
              <w:ind w:firstLine="0" w:firstLineChars="0"/>
              <w:jc w:val="center"/>
              <w:rPr>
                <w:rFonts w:ascii="宋体" w:hAnsi="宋体" w:cs="宋体"/>
                <w:kern w:val="0"/>
                <w:sz w:val="18"/>
                <w:szCs w:val="18"/>
                <w:highlight w:val="none"/>
              </w:rPr>
            </w:pPr>
            <w:r>
              <w:rPr>
                <w:rFonts w:hint="eastAsia" w:ascii="宋体" w:hAnsi="宋体" w:cs="宋体"/>
                <w:kern w:val="0"/>
                <w:sz w:val="18"/>
                <w:szCs w:val="18"/>
                <w:highlight w:val="none"/>
              </w:rPr>
              <w:t>1</w:t>
            </w:r>
          </w:p>
        </w:tc>
        <w:tc>
          <w:tcPr>
            <w:tcW w:w="1152" w:type="dxa"/>
            <w:tcBorders>
              <w:top w:val="nil"/>
              <w:left w:val="nil"/>
              <w:bottom w:val="single" w:color="auto" w:sz="4" w:space="0"/>
              <w:right w:val="single" w:color="auto" w:sz="4" w:space="0"/>
            </w:tcBorders>
            <w:shd w:val="clear" w:color="000000" w:fill="FFFFFF"/>
            <w:noWrap/>
            <w:vAlign w:val="center"/>
          </w:tcPr>
          <w:p w14:paraId="5199EB42">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r>
      <w:tr w14:paraId="1A61B8EB">
        <w:tblPrEx>
          <w:tblCellMar>
            <w:top w:w="0" w:type="dxa"/>
            <w:left w:w="108" w:type="dxa"/>
            <w:bottom w:w="0" w:type="dxa"/>
            <w:right w:w="108" w:type="dxa"/>
          </w:tblCellMar>
        </w:tblPrEx>
        <w:trPr>
          <w:trHeight w:val="2184" w:hRule="atLeast"/>
        </w:trPr>
        <w:tc>
          <w:tcPr>
            <w:tcW w:w="397" w:type="dxa"/>
            <w:tcBorders>
              <w:top w:val="nil"/>
              <w:left w:val="single" w:color="auto" w:sz="4" w:space="0"/>
              <w:bottom w:val="single" w:color="auto" w:sz="4" w:space="0"/>
              <w:right w:val="single" w:color="auto" w:sz="4" w:space="0"/>
            </w:tcBorders>
            <w:shd w:val="clear" w:color="000000" w:fill="FFFFFF"/>
            <w:noWrap/>
            <w:vAlign w:val="center"/>
          </w:tcPr>
          <w:p w14:paraId="05E438D4">
            <w:pPr>
              <w:spacing w:after="0" w:line="240" w:lineRule="auto"/>
              <w:ind w:firstLine="0" w:firstLineChars="0"/>
              <w:jc w:val="center"/>
              <w:rPr>
                <w:rFonts w:ascii="宋体" w:hAnsi="宋体" w:cs="宋体"/>
                <w:color w:val="000000"/>
                <w:kern w:val="0"/>
                <w:sz w:val="18"/>
                <w:szCs w:val="18"/>
                <w:highlight w:val="none"/>
              </w:rPr>
            </w:pPr>
            <w:r>
              <w:rPr>
                <w:rFonts w:ascii="宋体" w:hAnsi="宋体" w:cs="宋体"/>
                <w:color w:val="000000"/>
                <w:kern w:val="0"/>
                <w:sz w:val="18"/>
                <w:szCs w:val="18"/>
                <w:highlight w:val="none"/>
              </w:rPr>
              <w:t>3</w:t>
            </w:r>
          </w:p>
        </w:tc>
        <w:tc>
          <w:tcPr>
            <w:tcW w:w="1881" w:type="dxa"/>
            <w:tcBorders>
              <w:top w:val="nil"/>
              <w:left w:val="nil"/>
              <w:bottom w:val="single" w:color="auto" w:sz="4" w:space="0"/>
              <w:right w:val="single" w:color="auto" w:sz="4" w:space="0"/>
            </w:tcBorders>
            <w:vAlign w:val="center"/>
          </w:tcPr>
          <w:p w14:paraId="7725612B">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参数面交换机</w:t>
            </w:r>
          </w:p>
        </w:tc>
        <w:tc>
          <w:tcPr>
            <w:tcW w:w="3431" w:type="dxa"/>
            <w:tcBorders>
              <w:top w:val="nil"/>
              <w:left w:val="nil"/>
              <w:bottom w:val="single" w:color="auto" w:sz="4" w:space="0"/>
              <w:right w:val="single" w:color="auto" w:sz="4" w:space="0"/>
            </w:tcBorders>
            <w:vAlign w:val="center"/>
          </w:tcPr>
          <w:p w14:paraId="369A6CBC">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1、机架式设备，高度≤2U，交换容量≥25Tbps,包转发率≥8000Mpps；</w:t>
            </w:r>
            <w:r>
              <w:rPr>
                <w:rFonts w:hint="eastAsia" w:ascii="宋体" w:hAnsi="宋体" w:cs="宋体"/>
                <w:color w:val="000000"/>
                <w:kern w:val="0"/>
                <w:sz w:val="18"/>
                <w:szCs w:val="18"/>
                <w:highlight w:val="none"/>
              </w:rPr>
              <w:br w:type="textWrapping"/>
            </w:r>
            <w:r>
              <w:rPr>
                <w:rFonts w:hint="eastAsia" w:ascii="宋体" w:hAnsi="宋体" w:cs="宋体"/>
                <w:color w:val="000000"/>
                <w:kern w:val="0"/>
                <w:sz w:val="18"/>
                <w:szCs w:val="18"/>
                <w:highlight w:val="none"/>
              </w:rPr>
              <w:t>2、整机支持≥32个400GE QSFP-DD光接口，≥2个10GE光接口；</w:t>
            </w:r>
            <w:r>
              <w:rPr>
                <w:rFonts w:hint="eastAsia" w:ascii="宋体" w:hAnsi="宋体" w:cs="宋体"/>
                <w:color w:val="000000"/>
                <w:kern w:val="0"/>
                <w:sz w:val="18"/>
                <w:szCs w:val="18"/>
                <w:highlight w:val="none"/>
              </w:rPr>
              <w:br w:type="textWrapping"/>
            </w:r>
            <w:r>
              <w:rPr>
                <w:rFonts w:hint="eastAsia" w:ascii="宋体" w:hAnsi="宋体" w:cs="宋体"/>
                <w:color w:val="000000"/>
                <w:kern w:val="0"/>
                <w:sz w:val="18"/>
                <w:szCs w:val="18"/>
                <w:highlight w:val="none"/>
              </w:rPr>
              <w:t>3、支持RoCE网络；</w:t>
            </w:r>
            <w:r>
              <w:rPr>
                <w:rFonts w:hint="eastAsia" w:ascii="宋体" w:hAnsi="宋体" w:cs="宋体"/>
                <w:color w:val="000000"/>
                <w:kern w:val="0"/>
                <w:sz w:val="18"/>
                <w:szCs w:val="18"/>
                <w:highlight w:val="none"/>
              </w:rPr>
              <w:br w:type="textWrapping"/>
            </w:r>
            <w:r>
              <w:rPr>
                <w:rFonts w:hint="eastAsia" w:ascii="宋体" w:hAnsi="宋体" w:cs="宋体"/>
                <w:color w:val="000000"/>
                <w:kern w:val="0"/>
                <w:sz w:val="18"/>
                <w:szCs w:val="18"/>
                <w:highlight w:val="none"/>
              </w:rPr>
              <w:t>4、为了保障网络的安全性，要求关键芯片（如CPU或交换芯片或转发芯片或NP芯片，满足其一即可）为原厂商自研芯片；</w:t>
            </w:r>
            <w:r>
              <w:rPr>
                <w:rFonts w:hint="eastAsia" w:ascii="宋体" w:hAnsi="宋体" w:cs="宋体"/>
                <w:color w:val="000000"/>
                <w:kern w:val="0"/>
                <w:sz w:val="18"/>
                <w:szCs w:val="18"/>
                <w:highlight w:val="none"/>
              </w:rPr>
              <w:br w:type="textWrapping"/>
            </w:r>
            <w:r>
              <w:rPr>
                <w:rFonts w:hint="eastAsia" w:ascii="宋体" w:hAnsi="宋体" w:cs="宋体"/>
                <w:color w:val="000000"/>
                <w:kern w:val="0"/>
                <w:sz w:val="18"/>
                <w:szCs w:val="18"/>
                <w:highlight w:val="none"/>
              </w:rPr>
              <w:t>5、支持AI ECN、PFC功能；</w:t>
            </w:r>
            <w:r>
              <w:rPr>
                <w:rFonts w:hint="eastAsia" w:ascii="宋体" w:hAnsi="宋体" w:cs="宋体"/>
                <w:color w:val="000000"/>
                <w:kern w:val="0"/>
                <w:sz w:val="18"/>
                <w:szCs w:val="18"/>
                <w:highlight w:val="none"/>
              </w:rPr>
              <w:br w:type="textWrapping"/>
            </w:r>
            <w:r>
              <w:rPr>
                <w:rFonts w:hint="eastAsia" w:ascii="宋体" w:hAnsi="宋体" w:cs="宋体"/>
                <w:color w:val="000000"/>
                <w:kern w:val="0"/>
                <w:sz w:val="18"/>
                <w:szCs w:val="18"/>
                <w:highlight w:val="none"/>
              </w:rPr>
              <w:t>6、支持VXLAN、BGP-EVPN、M-LAG等数据中心特性；</w:t>
            </w:r>
            <w:r>
              <w:rPr>
                <w:rFonts w:hint="eastAsia" w:ascii="宋体" w:hAnsi="宋体" w:cs="宋体"/>
                <w:color w:val="000000"/>
                <w:kern w:val="0"/>
                <w:sz w:val="18"/>
                <w:szCs w:val="18"/>
                <w:highlight w:val="none"/>
              </w:rPr>
              <w:br w:type="textWrapping"/>
            </w:r>
            <w:r>
              <w:rPr>
                <w:rFonts w:hint="eastAsia" w:ascii="宋体" w:hAnsi="宋体" w:cs="宋体"/>
                <w:color w:val="000000"/>
                <w:kern w:val="0"/>
                <w:sz w:val="18"/>
                <w:szCs w:val="18"/>
                <w:highlight w:val="none"/>
              </w:rPr>
              <w:t>7、实配：冗余电源风扇，≥18个400G多模光模块。</w:t>
            </w:r>
          </w:p>
        </w:tc>
        <w:tc>
          <w:tcPr>
            <w:tcW w:w="1915" w:type="dxa"/>
            <w:tcBorders>
              <w:top w:val="nil"/>
              <w:left w:val="nil"/>
              <w:bottom w:val="single" w:color="auto" w:sz="4" w:space="0"/>
              <w:right w:val="single" w:color="auto" w:sz="4" w:space="0"/>
            </w:tcBorders>
            <w:shd w:val="clear" w:color="000000" w:fill="FFFFFF"/>
            <w:noWrap/>
            <w:vAlign w:val="center"/>
          </w:tcPr>
          <w:p w14:paraId="0B2B57D6">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c>
          <w:tcPr>
            <w:tcW w:w="1152" w:type="dxa"/>
            <w:tcBorders>
              <w:top w:val="nil"/>
              <w:left w:val="nil"/>
              <w:bottom w:val="single" w:color="auto" w:sz="4" w:space="0"/>
              <w:right w:val="single" w:color="auto" w:sz="4" w:space="0"/>
            </w:tcBorders>
            <w:shd w:val="clear" w:color="000000" w:fill="FFFFFF"/>
            <w:noWrap/>
            <w:vAlign w:val="center"/>
          </w:tcPr>
          <w:p w14:paraId="0552344A">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台</w:t>
            </w:r>
          </w:p>
        </w:tc>
      </w:tr>
      <w:tr w14:paraId="239565AA">
        <w:tblPrEx>
          <w:tblCellMar>
            <w:top w:w="0" w:type="dxa"/>
            <w:left w:w="108" w:type="dxa"/>
            <w:bottom w:w="0" w:type="dxa"/>
            <w:right w:w="108" w:type="dxa"/>
          </w:tblCellMar>
        </w:tblPrEx>
        <w:trPr>
          <w:trHeight w:val="288" w:hRule="atLeast"/>
        </w:trPr>
        <w:tc>
          <w:tcPr>
            <w:tcW w:w="8776" w:type="dxa"/>
            <w:gridSpan w:val="5"/>
            <w:tcBorders>
              <w:top w:val="single" w:color="auto" w:sz="4" w:space="0"/>
              <w:left w:val="single" w:color="auto" w:sz="4" w:space="0"/>
              <w:bottom w:val="single" w:color="auto" w:sz="4" w:space="0"/>
              <w:right w:val="single" w:color="auto" w:sz="4" w:space="0"/>
            </w:tcBorders>
            <w:noWrap/>
            <w:vAlign w:val="center"/>
          </w:tcPr>
          <w:p w14:paraId="281F57AA">
            <w:pPr>
              <w:spacing w:after="0" w:line="240" w:lineRule="auto"/>
              <w:ind w:firstLine="0" w:firstLineChars="0"/>
              <w:jc w:val="left"/>
              <w:rPr>
                <w:rFonts w:ascii="宋体" w:hAnsi="宋体" w:cs="宋体"/>
                <w:b/>
                <w:bCs/>
                <w:kern w:val="0"/>
                <w:sz w:val="18"/>
                <w:szCs w:val="18"/>
                <w:highlight w:val="none"/>
              </w:rPr>
            </w:pPr>
            <w:r>
              <w:rPr>
                <w:rFonts w:hint="eastAsia" w:ascii="宋体" w:hAnsi="宋体" w:cs="宋体"/>
                <w:b/>
                <w:bCs/>
                <w:kern w:val="0"/>
                <w:sz w:val="18"/>
                <w:szCs w:val="18"/>
                <w:highlight w:val="none"/>
              </w:rPr>
              <w:t>（三）运维服务</w:t>
            </w:r>
          </w:p>
        </w:tc>
      </w:tr>
      <w:tr w14:paraId="2C1DCB6B">
        <w:tblPrEx>
          <w:tblCellMar>
            <w:top w:w="0" w:type="dxa"/>
            <w:left w:w="108" w:type="dxa"/>
            <w:bottom w:w="0" w:type="dxa"/>
            <w:right w:w="108" w:type="dxa"/>
          </w:tblCellMar>
        </w:tblPrEx>
        <w:trPr>
          <w:trHeight w:val="624" w:hRule="atLeast"/>
        </w:trPr>
        <w:tc>
          <w:tcPr>
            <w:tcW w:w="397" w:type="dxa"/>
            <w:tcBorders>
              <w:top w:val="nil"/>
              <w:left w:val="single" w:color="auto" w:sz="4" w:space="0"/>
              <w:bottom w:val="single" w:color="auto" w:sz="4" w:space="0"/>
              <w:right w:val="single" w:color="auto" w:sz="4" w:space="0"/>
            </w:tcBorders>
            <w:shd w:val="clear" w:color="000000" w:fill="FFFFFF"/>
            <w:noWrap/>
            <w:vAlign w:val="center"/>
          </w:tcPr>
          <w:p w14:paraId="234F0D90">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w:t>
            </w:r>
          </w:p>
        </w:tc>
        <w:tc>
          <w:tcPr>
            <w:tcW w:w="1881" w:type="dxa"/>
            <w:tcBorders>
              <w:top w:val="nil"/>
              <w:left w:val="nil"/>
              <w:bottom w:val="single" w:color="auto" w:sz="4" w:space="0"/>
              <w:right w:val="single" w:color="auto" w:sz="4" w:space="0"/>
            </w:tcBorders>
            <w:vAlign w:val="center"/>
          </w:tcPr>
          <w:p w14:paraId="4E4A765D">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运维服务</w:t>
            </w:r>
          </w:p>
        </w:tc>
        <w:tc>
          <w:tcPr>
            <w:tcW w:w="3431" w:type="dxa"/>
            <w:tcBorders>
              <w:top w:val="nil"/>
              <w:left w:val="nil"/>
              <w:bottom w:val="single" w:color="auto" w:sz="4" w:space="0"/>
              <w:right w:val="single" w:color="auto" w:sz="4" w:space="0"/>
            </w:tcBorders>
            <w:vAlign w:val="center"/>
          </w:tcPr>
          <w:p w14:paraId="1BFC7966">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设备配套运维服务，包括设备巡检，问题处理等，总期限为三年期</w:t>
            </w:r>
            <w:r>
              <w:rPr>
                <w:rFonts w:hint="eastAsia" w:ascii="宋体" w:hAnsi="宋体" w:eastAsia="宋体" w:cs="宋体"/>
                <w:color w:val="000000"/>
                <w:kern w:val="0"/>
                <w:sz w:val="18"/>
                <w:szCs w:val="18"/>
                <w:highlight w:val="none"/>
              </w:rPr>
              <w:t>，按年报价。</w:t>
            </w:r>
            <w:r>
              <w:rPr>
                <w:rFonts w:hint="eastAsia" w:ascii="宋体" w:hAnsi="宋体" w:cs="宋体"/>
                <w:color w:val="000000"/>
                <w:kern w:val="0"/>
                <w:sz w:val="18"/>
                <w:szCs w:val="18"/>
                <w:highlight w:val="none"/>
              </w:rPr>
              <w:t>首次合</w:t>
            </w:r>
            <w:r>
              <w:rPr>
                <w:rFonts w:hint="eastAsia" w:ascii="宋体" w:hAnsi="宋体" w:cs="宋体"/>
                <w:color w:val="000000"/>
                <w:kern w:val="0"/>
                <w:sz w:val="18"/>
                <w:szCs w:val="18"/>
                <w:highlight w:val="none"/>
                <w:lang w:eastAsia="zh-CN"/>
              </w:rPr>
              <w:t>同</w:t>
            </w:r>
            <w:r>
              <w:rPr>
                <w:rFonts w:hint="eastAsia" w:ascii="宋体" w:hAnsi="宋体" w:cs="宋体"/>
                <w:color w:val="000000"/>
                <w:kern w:val="0"/>
                <w:sz w:val="18"/>
                <w:szCs w:val="18"/>
                <w:highlight w:val="none"/>
              </w:rPr>
              <w:t>期限为</w:t>
            </w:r>
            <w:r>
              <w:rPr>
                <w:rFonts w:hint="eastAsia" w:ascii="宋体" w:hAnsi="宋体" w:cs="宋体"/>
                <w:color w:val="000000"/>
                <w:kern w:val="0"/>
                <w:sz w:val="18"/>
                <w:szCs w:val="18"/>
                <w:highlight w:val="none"/>
                <w:lang w:eastAsia="zh-CN"/>
              </w:rPr>
              <w:t>三</w:t>
            </w:r>
            <w:r>
              <w:rPr>
                <w:rFonts w:hint="eastAsia" w:ascii="宋体" w:hAnsi="宋体" w:cs="宋体"/>
                <w:color w:val="000000"/>
                <w:kern w:val="0"/>
                <w:sz w:val="18"/>
                <w:szCs w:val="18"/>
                <w:highlight w:val="none"/>
              </w:rPr>
              <w:t>年，采购人有权根据投标人合同履行期间的服务质量、履约成效，自主决定是否续签；若续签，</w:t>
            </w:r>
            <w:r>
              <w:rPr>
                <w:rFonts w:hint="eastAsia" w:ascii="宋体" w:hAnsi="宋体" w:cs="宋体"/>
                <w:color w:val="000000"/>
                <w:kern w:val="0"/>
                <w:sz w:val="18"/>
                <w:szCs w:val="18"/>
                <w:highlight w:val="none"/>
                <w:lang w:eastAsia="zh-CN"/>
              </w:rPr>
              <w:t>运维服务</w:t>
            </w:r>
            <w:r>
              <w:rPr>
                <w:rFonts w:hint="eastAsia" w:ascii="宋体" w:hAnsi="宋体" w:cs="宋体"/>
                <w:color w:val="000000"/>
                <w:kern w:val="0"/>
                <w:sz w:val="18"/>
                <w:szCs w:val="18"/>
                <w:highlight w:val="none"/>
              </w:rPr>
              <w:t>价款不得超过本次项目的中标</w:t>
            </w:r>
            <w:r>
              <w:rPr>
                <w:rFonts w:hint="eastAsia" w:ascii="宋体" w:hAnsi="宋体" w:cs="宋体"/>
                <w:color w:val="000000"/>
                <w:kern w:val="0"/>
                <w:sz w:val="18"/>
                <w:szCs w:val="18"/>
                <w:highlight w:val="none"/>
                <w:lang w:eastAsia="zh-CN"/>
              </w:rPr>
              <w:t>运维服务</w:t>
            </w:r>
            <w:r>
              <w:rPr>
                <w:rFonts w:hint="eastAsia" w:ascii="宋体" w:hAnsi="宋体" w:cs="宋体"/>
                <w:color w:val="000000"/>
                <w:kern w:val="0"/>
                <w:sz w:val="18"/>
                <w:szCs w:val="18"/>
                <w:highlight w:val="none"/>
              </w:rPr>
              <w:t>价</w:t>
            </w:r>
            <w:r>
              <w:rPr>
                <w:rFonts w:hint="eastAsia" w:ascii="宋体" w:hAnsi="宋体" w:cs="宋体"/>
                <w:color w:val="000000"/>
                <w:kern w:val="0"/>
                <w:sz w:val="18"/>
                <w:szCs w:val="18"/>
                <w:highlight w:val="none"/>
                <w:lang w:eastAsia="zh-CN"/>
              </w:rPr>
              <w:t>款</w:t>
            </w:r>
            <w:r>
              <w:rPr>
                <w:rFonts w:hint="eastAsia" w:ascii="宋体" w:hAnsi="宋体" w:eastAsia="宋体" w:cs="宋体"/>
                <w:color w:val="000000"/>
                <w:kern w:val="0"/>
                <w:sz w:val="18"/>
                <w:szCs w:val="18"/>
                <w:highlight w:val="none"/>
              </w:rPr>
              <w:t>。</w:t>
            </w:r>
          </w:p>
        </w:tc>
        <w:tc>
          <w:tcPr>
            <w:tcW w:w="1915" w:type="dxa"/>
            <w:tcBorders>
              <w:top w:val="nil"/>
              <w:left w:val="nil"/>
              <w:bottom w:val="single" w:color="auto" w:sz="4" w:space="0"/>
              <w:right w:val="single" w:color="auto" w:sz="4" w:space="0"/>
            </w:tcBorders>
            <w:shd w:val="clear" w:color="000000" w:fill="FFFFFF"/>
            <w:noWrap/>
            <w:vAlign w:val="center"/>
          </w:tcPr>
          <w:p w14:paraId="3E6479DC">
            <w:pPr>
              <w:spacing w:after="0" w:line="240" w:lineRule="auto"/>
              <w:ind w:firstLine="0" w:firstLineChars="0"/>
              <w:jc w:val="center"/>
              <w:rPr>
                <w:rFonts w:ascii="宋体" w:hAnsi="宋体" w:cs="宋体"/>
                <w:kern w:val="0"/>
                <w:sz w:val="18"/>
                <w:szCs w:val="18"/>
                <w:highlight w:val="none"/>
              </w:rPr>
            </w:pPr>
            <w:r>
              <w:rPr>
                <w:rFonts w:ascii="宋体" w:hAnsi="宋体" w:cs="宋体"/>
                <w:kern w:val="0"/>
                <w:sz w:val="18"/>
                <w:szCs w:val="18"/>
                <w:highlight w:val="none"/>
              </w:rPr>
              <w:t>3</w:t>
            </w:r>
          </w:p>
        </w:tc>
        <w:tc>
          <w:tcPr>
            <w:tcW w:w="1152" w:type="dxa"/>
            <w:tcBorders>
              <w:top w:val="nil"/>
              <w:left w:val="nil"/>
              <w:bottom w:val="single" w:color="auto" w:sz="4" w:space="0"/>
              <w:right w:val="single" w:color="auto" w:sz="4" w:space="0"/>
            </w:tcBorders>
            <w:shd w:val="clear" w:color="000000" w:fill="FFFFFF"/>
            <w:noWrap/>
            <w:vAlign w:val="center"/>
          </w:tcPr>
          <w:p w14:paraId="2CBF59CB">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年</w:t>
            </w:r>
          </w:p>
        </w:tc>
      </w:tr>
      <w:tr w14:paraId="19CA6A54">
        <w:tblPrEx>
          <w:tblCellMar>
            <w:top w:w="0" w:type="dxa"/>
            <w:left w:w="108" w:type="dxa"/>
            <w:bottom w:w="0" w:type="dxa"/>
            <w:right w:w="108" w:type="dxa"/>
          </w:tblCellMar>
        </w:tblPrEx>
        <w:trPr>
          <w:trHeight w:val="288" w:hRule="atLeast"/>
        </w:trPr>
        <w:tc>
          <w:tcPr>
            <w:tcW w:w="8776" w:type="dxa"/>
            <w:gridSpan w:val="5"/>
            <w:tcBorders>
              <w:top w:val="single" w:color="auto" w:sz="4" w:space="0"/>
              <w:left w:val="single" w:color="auto" w:sz="4" w:space="0"/>
              <w:bottom w:val="single" w:color="auto" w:sz="4" w:space="0"/>
              <w:right w:val="single" w:color="auto" w:sz="4" w:space="0"/>
            </w:tcBorders>
            <w:noWrap/>
            <w:vAlign w:val="center"/>
          </w:tcPr>
          <w:p w14:paraId="6E1AD36D">
            <w:pPr>
              <w:spacing w:after="0" w:line="240" w:lineRule="auto"/>
              <w:ind w:firstLine="0" w:firstLineChars="0"/>
              <w:jc w:val="left"/>
              <w:rPr>
                <w:rFonts w:ascii="宋体" w:hAnsi="宋体" w:cs="宋体"/>
                <w:b/>
                <w:bCs/>
                <w:kern w:val="0"/>
                <w:sz w:val="18"/>
                <w:szCs w:val="18"/>
                <w:highlight w:val="none"/>
              </w:rPr>
            </w:pPr>
            <w:r>
              <w:rPr>
                <w:rFonts w:hint="eastAsia" w:ascii="宋体" w:hAnsi="宋体" w:cs="宋体"/>
                <w:b/>
                <w:bCs/>
                <w:kern w:val="0"/>
                <w:sz w:val="18"/>
                <w:szCs w:val="18"/>
                <w:highlight w:val="none"/>
              </w:rPr>
              <w:t>（四）集成服务</w:t>
            </w:r>
          </w:p>
        </w:tc>
      </w:tr>
      <w:tr w14:paraId="44B0E8D6">
        <w:tblPrEx>
          <w:tblCellMar>
            <w:top w:w="0" w:type="dxa"/>
            <w:left w:w="108" w:type="dxa"/>
            <w:bottom w:w="0" w:type="dxa"/>
            <w:right w:w="108" w:type="dxa"/>
          </w:tblCellMar>
        </w:tblPrEx>
        <w:trPr>
          <w:trHeight w:val="312" w:hRule="atLeast"/>
        </w:trPr>
        <w:tc>
          <w:tcPr>
            <w:tcW w:w="397" w:type="dxa"/>
            <w:tcBorders>
              <w:top w:val="nil"/>
              <w:left w:val="single" w:color="auto" w:sz="4" w:space="0"/>
              <w:bottom w:val="single" w:color="auto" w:sz="4" w:space="0"/>
              <w:right w:val="single" w:color="auto" w:sz="4" w:space="0"/>
            </w:tcBorders>
            <w:shd w:val="clear" w:color="000000" w:fill="FFFFFF"/>
            <w:noWrap/>
            <w:vAlign w:val="center"/>
          </w:tcPr>
          <w:p w14:paraId="7335E3BF">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w:t>
            </w:r>
          </w:p>
        </w:tc>
        <w:tc>
          <w:tcPr>
            <w:tcW w:w="1881" w:type="dxa"/>
            <w:tcBorders>
              <w:top w:val="nil"/>
              <w:left w:val="nil"/>
              <w:bottom w:val="single" w:color="auto" w:sz="4" w:space="0"/>
              <w:right w:val="single" w:color="auto" w:sz="4" w:space="0"/>
            </w:tcBorders>
            <w:vAlign w:val="center"/>
          </w:tcPr>
          <w:p w14:paraId="08E4D28C">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集成服务</w:t>
            </w:r>
          </w:p>
        </w:tc>
        <w:tc>
          <w:tcPr>
            <w:tcW w:w="3431" w:type="dxa"/>
            <w:tcBorders>
              <w:top w:val="nil"/>
              <w:left w:val="nil"/>
              <w:bottom w:val="single" w:color="auto" w:sz="4" w:space="0"/>
              <w:right w:val="single" w:color="auto" w:sz="4" w:space="0"/>
            </w:tcBorders>
            <w:vAlign w:val="center"/>
          </w:tcPr>
          <w:p w14:paraId="6FC724BE">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智算服务器及配套网络设备集成规划设计，初始化配置及测试、系统综合测试服务。</w:t>
            </w:r>
          </w:p>
        </w:tc>
        <w:tc>
          <w:tcPr>
            <w:tcW w:w="1915" w:type="dxa"/>
            <w:tcBorders>
              <w:top w:val="nil"/>
              <w:left w:val="nil"/>
              <w:bottom w:val="single" w:color="auto" w:sz="4" w:space="0"/>
              <w:right w:val="single" w:color="auto" w:sz="4" w:space="0"/>
            </w:tcBorders>
            <w:shd w:val="clear" w:color="000000" w:fill="FFFFFF"/>
            <w:noWrap/>
            <w:vAlign w:val="center"/>
          </w:tcPr>
          <w:p w14:paraId="2E46A472">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w:t>
            </w:r>
          </w:p>
        </w:tc>
        <w:tc>
          <w:tcPr>
            <w:tcW w:w="1152" w:type="dxa"/>
            <w:tcBorders>
              <w:top w:val="nil"/>
              <w:left w:val="nil"/>
              <w:bottom w:val="single" w:color="auto" w:sz="4" w:space="0"/>
              <w:right w:val="single" w:color="auto" w:sz="4" w:space="0"/>
            </w:tcBorders>
            <w:shd w:val="clear" w:color="000000" w:fill="FFFFFF"/>
            <w:noWrap/>
            <w:vAlign w:val="center"/>
          </w:tcPr>
          <w:p w14:paraId="6E08F73E">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项</w:t>
            </w:r>
          </w:p>
        </w:tc>
      </w:tr>
      <w:tr w14:paraId="42EDADC1">
        <w:tblPrEx>
          <w:tblCellMar>
            <w:top w:w="0" w:type="dxa"/>
            <w:left w:w="108" w:type="dxa"/>
            <w:bottom w:w="0" w:type="dxa"/>
            <w:right w:w="108" w:type="dxa"/>
          </w:tblCellMar>
        </w:tblPrEx>
        <w:trPr>
          <w:trHeight w:val="288" w:hRule="atLeast"/>
        </w:trPr>
        <w:tc>
          <w:tcPr>
            <w:tcW w:w="8776" w:type="dxa"/>
            <w:gridSpan w:val="5"/>
            <w:tcBorders>
              <w:top w:val="single" w:color="auto" w:sz="4" w:space="0"/>
              <w:left w:val="single" w:color="auto" w:sz="4" w:space="0"/>
              <w:bottom w:val="single" w:color="auto" w:sz="4" w:space="0"/>
              <w:right w:val="single" w:color="auto" w:sz="4" w:space="0"/>
            </w:tcBorders>
            <w:noWrap/>
            <w:vAlign w:val="center"/>
          </w:tcPr>
          <w:p w14:paraId="4BDE6EC5">
            <w:pPr>
              <w:spacing w:after="0" w:line="240" w:lineRule="auto"/>
              <w:ind w:firstLine="0" w:firstLineChars="0"/>
              <w:jc w:val="left"/>
              <w:rPr>
                <w:rFonts w:ascii="宋体" w:hAnsi="宋体" w:cs="宋体"/>
                <w:b/>
                <w:bCs/>
                <w:kern w:val="0"/>
                <w:sz w:val="18"/>
                <w:szCs w:val="18"/>
                <w:highlight w:val="none"/>
              </w:rPr>
            </w:pPr>
            <w:r>
              <w:rPr>
                <w:rFonts w:hint="eastAsia" w:ascii="宋体" w:hAnsi="宋体" w:cs="宋体"/>
                <w:b/>
                <w:bCs/>
                <w:kern w:val="0"/>
                <w:sz w:val="18"/>
                <w:szCs w:val="18"/>
                <w:highlight w:val="none"/>
              </w:rPr>
              <w:t>（五）过保后延期质保服务</w:t>
            </w:r>
          </w:p>
        </w:tc>
      </w:tr>
      <w:tr w14:paraId="798AA543">
        <w:tblPrEx>
          <w:tblCellMar>
            <w:top w:w="0" w:type="dxa"/>
            <w:left w:w="108" w:type="dxa"/>
            <w:bottom w:w="0" w:type="dxa"/>
            <w:right w:w="108" w:type="dxa"/>
          </w:tblCellMar>
        </w:tblPrEx>
        <w:trPr>
          <w:trHeight w:val="312" w:hRule="atLeast"/>
        </w:trPr>
        <w:tc>
          <w:tcPr>
            <w:tcW w:w="397" w:type="dxa"/>
            <w:tcBorders>
              <w:top w:val="nil"/>
              <w:left w:val="single" w:color="auto" w:sz="4" w:space="0"/>
              <w:bottom w:val="single" w:color="auto" w:sz="4" w:space="0"/>
              <w:right w:val="single" w:color="auto" w:sz="4" w:space="0"/>
            </w:tcBorders>
            <w:shd w:val="clear" w:color="000000" w:fill="FFFFFF"/>
            <w:noWrap/>
            <w:vAlign w:val="center"/>
          </w:tcPr>
          <w:p w14:paraId="2BB657CA">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w:t>
            </w:r>
          </w:p>
        </w:tc>
        <w:tc>
          <w:tcPr>
            <w:tcW w:w="1881" w:type="dxa"/>
            <w:tcBorders>
              <w:top w:val="nil"/>
              <w:left w:val="nil"/>
              <w:bottom w:val="single" w:color="auto" w:sz="4" w:space="0"/>
              <w:right w:val="single" w:color="auto" w:sz="4" w:space="0"/>
            </w:tcBorders>
            <w:vAlign w:val="center"/>
          </w:tcPr>
          <w:p w14:paraId="053D59FE">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第四年质保续保服务</w:t>
            </w:r>
          </w:p>
        </w:tc>
        <w:tc>
          <w:tcPr>
            <w:tcW w:w="3431" w:type="dxa"/>
            <w:tcBorders>
              <w:top w:val="nil"/>
              <w:left w:val="nil"/>
              <w:bottom w:val="single" w:color="auto" w:sz="4" w:space="0"/>
              <w:right w:val="single" w:color="auto" w:sz="4" w:space="0"/>
            </w:tcBorders>
            <w:vAlign w:val="center"/>
          </w:tcPr>
          <w:p w14:paraId="1911FD2F">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本项目验收之后3年免费质保，第四年质保续保服务费用</w:t>
            </w:r>
          </w:p>
        </w:tc>
        <w:tc>
          <w:tcPr>
            <w:tcW w:w="1915" w:type="dxa"/>
            <w:tcBorders>
              <w:top w:val="nil"/>
              <w:left w:val="nil"/>
              <w:bottom w:val="single" w:color="auto" w:sz="4" w:space="0"/>
              <w:right w:val="single" w:color="auto" w:sz="4" w:space="0"/>
            </w:tcBorders>
            <w:shd w:val="clear" w:color="000000" w:fill="FFFFFF"/>
            <w:noWrap/>
            <w:vAlign w:val="center"/>
          </w:tcPr>
          <w:p w14:paraId="222079B4">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w:t>
            </w:r>
          </w:p>
        </w:tc>
        <w:tc>
          <w:tcPr>
            <w:tcW w:w="1152" w:type="dxa"/>
            <w:tcBorders>
              <w:top w:val="nil"/>
              <w:left w:val="nil"/>
              <w:bottom w:val="single" w:color="auto" w:sz="4" w:space="0"/>
              <w:right w:val="single" w:color="auto" w:sz="4" w:space="0"/>
            </w:tcBorders>
            <w:shd w:val="clear" w:color="000000" w:fill="FFFFFF"/>
            <w:noWrap/>
            <w:vAlign w:val="center"/>
          </w:tcPr>
          <w:p w14:paraId="4D968FEF">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项</w:t>
            </w:r>
          </w:p>
        </w:tc>
      </w:tr>
      <w:tr w14:paraId="3BCE165F">
        <w:tblPrEx>
          <w:tblCellMar>
            <w:top w:w="0" w:type="dxa"/>
            <w:left w:w="108" w:type="dxa"/>
            <w:bottom w:w="0" w:type="dxa"/>
            <w:right w:w="108" w:type="dxa"/>
          </w:tblCellMar>
        </w:tblPrEx>
        <w:trPr>
          <w:trHeight w:val="312" w:hRule="atLeast"/>
        </w:trPr>
        <w:tc>
          <w:tcPr>
            <w:tcW w:w="397" w:type="dxa"/>
            <w:tcBorders>
              <w:top w:val="nil"/>
              <w:left w:val="single" w:color="auto" w:sz="4" w:space="0"/>
              <w:bottom w:val="nil"/>
              <w:right w:val="single" w:color="auto" w:sz="4" w:space="0"/>
            </w:tcBorders>
            <w:shd w:val="clear" w:color="000000" w:fill="FFFFFF"/>
            <w:noWrap/>
            <w:vAlign w:val="center"/>
          </w:tcPr>
          <w:p w14:paraId="592F3C71">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w:t>
            </w:r>
          </w:p>
        </w:tc>
        <w:tc>
          <w:tcPr>
            <w:tcW w:w="1881" w:type="dxa"/>
            <w:tcBorders>
              <w:top w:val="nil"/>
              <w:left w:val="nil"/>
              <w:bottom w:val="nil"/>
              <w:right w:val="single" w:color="auto" w:sz="4" w:space="0"/>
            </w:tcBorders>
            <w:vAlign w:val="center"/>
          </w:tcPr>
          <w:p w14:paraId="2DD4DA98">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第五年质保续保服务</w:t>
            </w:r>
          </w:p>
        </w:tc>
        <w:tc>
          <w:tcPr>
            <w:tcW w:w="3431" w:type="dxa"/>
            <w:tcBorders>
              <w:top w:val="nil"/>
              <w:left w:val="nil"/>
              <w:bottom w:val="nil"/>
              <w:right w:val="single" w:color="auto" w:sz="4" w:space="0"/>
            </w:tcBorders>
            <w:vAlign w:val="center"/>
          </w:tcPr>
          <w:p w14:paraId="25C014FD">
            <w:pPr>
              <w:spacing w:after="0" w:line="240" w:lineRule="auto"/>
              <w:ind w:firstLine="0" w:firstLineChars="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本项目验收之后3年免费质保，第五年质保续保服务费用</w:t>
            </w:r>
          </w:p>
        </w:tc>
        <w:tc>
          <w:tcPr>
            <w:tcW w:w="1915" w:type="dxa"/>
            <w:tcBorders>
              <w:top w:val="nil"/>
              <w:left w:val="nil"/>
              <w:bottom w:val="nil"/>
              <w:right w:val="single" w:color="auto" w:sz="4" w:space="0"/>
            </w:tcBorders>
            <w:shd w:val="clear" w:color="000000" w:fill="FFFFFF"/>
            <w:noWrap/>
            <w:vAlign w:val="center"/>
          </w:tcPr>
          <w:p w14:paraId="20B6E748">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w:t>
            </w:r>
          </w:p>
        </w:tc>
        <w:tc>
          <w:tcPr>
            <w:tcW w:w="1152" w:type="dxa"/>
            <w:tcBorders>
              <w:top w:val="nil"/>
              <w:left w:val="nil"/>
              <w:bottom w:val="nil"/>
              <w:right w:val="single" w:color="auto" w:sz="4" w:space="0"/>
            </w:tcBorders>
            <w:shd w:val="clear" w:color="000000" w:fill="FFFFFF"/>
            <w:noWrap/>
            <w:vAlign w:val="center"/>
          </w:tcPr>
          <w:p w14:paraId="6EA7DEB1">
            <w:pPr>
              <w:spacing w:after="0" w:line="240" w:lineRule="auto"/>
              <w:ind w:firstLine="0" w:firstLineChars="0"/>
              <w:jc w:val="center"/>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项</w:t>
            </w:r>
          </w:p>
        </w:tc>
      </w:tr>
    </w:tbl>
    <w:p w14:paraId="77089698">
      <w:pPr>
        <w:ind w:firstLine="0" w:firstLineChars="0"/>
        <w:rPr>
          <w:rFonts w:ascii="宋体" w:hAnsi="宋体"/>
          <w:highlight w:val="none"/>
        </w:rPr>
      </w:pPr>
    </w:p>
    <w:p w14:paraId="476C187F">
      <w:pPr>
        <w:ind w:firstLine="0" w:firstLineChars="0"/>
        <w:rPr>
          <w:rFonts w:hint="eastAsia" w:ascii="宋体" w:hAnsi="宋体" w:eastAsia="宋体" w:cs="宋体"/>
          <w:b/>
          <w:bCs/>
          <w:color w:val="000000"/>
          <w:kern w:val="0"/>
          <w:sz w:val="20"/>
          <w:szCs w:val="20"/>
          <w:highlight w:val="none"/>
          <w:lang w:eastAsia="zh-CN" w:bidi="ar"/>
        </w:rPr>
      </w:pPr>
      <w:r>
        <w:rPr>
          <w:rFonts w:hint="eastAsia" w:ascii="宋体" w:hAnsi="宋体" w:cs="宋体"/>
          <w:b/>
          <w:bCs/>
          <w:color w:val="000000"/>
          <w:kern w:val="0"/>
          <w:sz w:val="20"/>
          <w:szCs w:val="20"/>
          <w:highlight w:val="none"/>
          <w:lang w:eastAsia="zh-CN" w:bidi="ar"/>
        </w:rPr>
        <w:t>二、团队要求</w:t>
      </w:r>
    </w:p>
    <w:p w14:paraId="243430EC">
      <w:pPr>
        <w:ind w:firstLine="420"/>
        <w:rPr>
          <w:rFonts w:hint="eastAsia" w:ascii="宋体" w:hAnsi="宋体" w:eastAsia="宋体" w:cs="宋体"/>
          <w:highlight w:val="none"/>
          <w:lang w:eastAsia="zh-CN"/>
        </w:rPr>
      </w:pPr>
      <w:r>
        <w:rPr>
          <w:rFonts w:hint="eastAsia" w:ascii="宋体" w:hAnsi="宋体" w:cs="宋体"/>
          <w:highlight w:val="none"/>
          <w:lang w:eastAsia="zh-CN"/>
        </w:rPr>
        <w:t>①团队及管理要求</w:t>
      </w:r>
    </w:p>
    <w:p w14:paraId="38971367">
      <w:pPr>
        <w:ind w:firstLine="420"/>
        <w:rPr>
          <w:rFonts w:ascii="宋体" w:hAnsi="宋体" w:cs="宋体"/>
          <w:highlight w:val="none"/>
        </w:rPr>
      </w:pPr>
      <w:r>
        <w:rPr>
          <w:rFonts w:hint="eastAsia" w:ascii="宋体" w:hAnsi="宋体" w:cs="宋体"/>
          <w:highlight w:val="none"/>
        </w:rPr>
        <w:t>乙方应组建不少于8人</w:t>
      </w:r>
      <w:r>
        <w:rPr>
          <w:rFonts w:hint="eastAsia" w:ascii="宋体" w:hAnsi="宋体" w:cs="宋体"/>
          <w:highlight w:val="none"/>
          <w:lang w:eastAsia="zh-CN"/>
        </w:rPr>
        <w:t>服务团队</w:t>
      </w:r>
      <w:r>
        <w:rPr>
          <w:rFonts w:hint="eastAsia" w:ascii="宋体" w:hAnsi="宋体" w:cs="宋体"/>
          <w:highlight w:val="none"/>
        </w:rPr>
        <w:t>。</w:t>
      </w:r>
    </w:p>
    <w:p w14:paraId="36955AE8">
      <w:pPr>
        <w:ind w:firstLine="420"/>
        <w:rPr>
          <w:rFonts w:ascii="宋体" w:hAnsi="宋体" w:cs="宋体"/>
          <w:highlight w:val="none"/>
        </w:rPr>
      </w:pPr>
      <w:r>
        <w:rPr>
          <w:rFonts w:hint="eastAsia" w:ascii="宋体" w:hAnsi="宋体" w:cs="宋体"/>
          <w:highlight w:val="none"/>
        </w:rPr>
        <w:t>乙方在合同签署后</w:t>
      </w:r>
      <w:r>
        <w:rPr>
          <w:rFonts w:hint="eastAsia" w:ascii="宋体" w:hAnsi="宋体" w:cs="宋体"/>
          <w:highlight w:val="none"/>
          <w:lang w:eastAsia="zh-CN"/>
        </w:rPr>
        <w:t>5</w:t>
      </w:r>
      <w:r>
        <w:rPr>
          <w:rFonts w:hint="eastAsia" w:ascii="宋体" w:hAnsi="宋体" w:cs="宋体"/>
          <w:highlight w:val="none"/>
        </w:rPr>
        <w:t>天内，根据项目需求组建服务团队，服务团队接</w:t>
      </w:r>
      <w:r>
        <w:rPr>
          <w:rFonts w:hint="eastAsia" w:ascii="宋体" w:hAnsi="宋体" w:cs="宋体"/>
          <w:highlight w:val="none"/>
          <w:lang w:eastAsia="zh-CN"/>
        </w:rPr>
        <w:t>受</w:t>
      </w:r>
      <w:r>
        <w:rPr>
          <w:rFonts w:hint="eastAsia" w:ascii="宋体" w:hAnsi="宋体" w:cs="宋体"/>
          <w:highlight w:val="none"/>
        </w:rPr>
        <w:t>甲方</w:t>
      </w:r>
      <w:r>
        <w:rPr>
          <w:rFonts w:hint="eastAsia" w:ascii="宋体" w:hAnsi="宋体" w:cs="宋体"/>
          <w:highlight w:val="none"/>
          <w:lang w:eastAsia="zh-CN"/>
        </w:rPr>
        <w:t>或甲方最终客户</w:t>
      </w:r>
      <w:r>
        <w:rPr>
          <w:rFonts w:hint="eastAsia" w:ascii="宋体" w:hAnsi="宋体" w:cs="宋体"/>
          <w:highlight w:val="none"/>
        </w:rPr>
        <w:t>的具体人员管理。</w:t>
      </w:r>
      <w:r>
        <w:rPr>
          <w:rFonts w:hint="eastAsia" w:ascii="宋体" w:hAnsi="宋体" w:cs="宋体"/>
          <w:highlight w:val="none"/>
          <w:lang w:eastAsia="zh-CN"/>
        </w:rPr>
        <w:t>服务团队</w:t>
      </w:r>
      <w:r>
        <w:rPr>
          <w:rFonts w:hint="eastAsia" w:ascii="宋体" w:hAnsi="宋体" w:cs="宋体"/>
          <w:highlight w:val="none"/>
        </w:rPr>
        <w:t>需实现7*24监控/服务台，问题分级分类处理，做到及时响应、处理和闭环，满足</w:t>
      </w:r>
      <w:r>
        <w:rPr>
          <w:rFonts w:hint="eastAsia" w:ascii="宋体" w:hAnsi="宋体" w:cs="宋体"/>
          <w:highlight w:val="none"/>
          <w:lang w:eastAsia="zh-CN"/>
        </w:rPr>
        <w:t>最终客户</w:t>
      </w:r>
      <w:r>
        <w:rPr>
          <w:rFonts w:hint="eastAsia" w:ascii="宋体" w:hAnsi="宋体" w:cs="宋体"/>
          <w:highlight w:val="none"/>
        </w:rPr>
        <w:t>智能算力支持需求和运维需求。乙方应保证项目团队核心人员的稳定性，履约前3个月内不得变更人员，后续确有需要变更的，须向甲方申请并经甲方同意方可进行变更。</w:t>
      </w:r>
    </w:p>
    <w:p w14:paraId="10A6EFF8">
      <w:pPr>
        <w:ind w:firstLine="420"/>
        <w:rPr>
          <w:rFonts w:ascii="宋体" w:hAnsi="宋体" w:cs="宋体"/>
          <w:highlight w:val="none"/>
        </w:rPr>
      </w:pPr>
      <w:r>
        <w:rPr>
          <w:rFonts w:hint="eastAsia" w:ascii="宋体" w:hAnsi="宋体" w:cs="宋体"/>
          <w:highlight w:val="none"/>
        </w:rPr>
        <w:t>②维护服务响应时间要求</w:t>
      </w:r>
    </w:p>
    <w:p w14:paraId="45BBD5F0">
      <w:pPr>
        <w:ind w:firstLine="420"/>
        <w:rPr>
          <w:rFonts w:hint="eastAsia" w:ascii="宋体" w:hAnsi="宋体" w:cs="宋体"/>
          <w:highlight w:val="none"/>
        </w:rPr>
      </w:pPr>
      <w:r>
        <w:rPr>
          <w:rFonts w:hint="eastAsia" w:ascii="宋体" w:hAnsi="宋体" w:cs="宋体"/>
          <w:highlight w:val="none"/>
        </w:rPr>
        <w:t>提供7×24小时的故障受理服务，乙方在合同执行过程中提供技术服务的设备发生一般故障时，乙方必须在接到报障后6小时内排除故障，并恢复正常。若发生紧急故障，乙方必须在接到报障后2小时内排除故障，采取紧急措施（包括系统切换），确保受到影响的业务恢复正常运行。</w:t>
      </w:r>
    </w:p>
    <w:p w14:paraId="398F8E9B">
      <w:pPr>
        <w:spacing w:line="288" w:lineRule="auto"/>
        <w:ind w:firstLine="420"/>
        <w:rPr>
          <w:rFonts w:hint="eastAsia" w:ascii="宋体" w:hAnsi="宋体" w:cs="宋体"/>
          <w:b w:val="0"/>
          <w:bCs w:val="0"/>
          <w:highlight w:val="none"/>
        </w:rPr>
      </w:pPr>
      <w:r>
        <w:rPr>
          <w:rFonts w:hint="eastAsia" w:ascii="宋体" w:hAnsi="宋体" w:cs="宋体"/>
          <w:b w:val="0"/>
          <w:bCs w:val="0"/>
          <w:highlight w:val="none"/>
          <w:lang w:val="en-US" w:eastAsia="zh-CN"/>
        </w:rPr>
        <w:t>③</w:t>
      </w:r>
      <w:r>
        <w:rPr>
          <w:rFonts w:hint="eastAsia" w:ascii="宋体" w:hAnsi="宋体" w:cs="宋体"/>
          <w:b w:val="0"/>
          <w:bCs w:val="0"/>
          <w:highlight w:val="none"/>
        </w:rPr>
        <w:t>制度规范要求</w:t>
      </w:r>
    </w:p>
    <w:p w14:paraId="390B8969">
      <w:pPr>
        <w:pStyle w:val="242"/>
        <w:spacing w:line="288" w:lineRule="auto"/>
        <w:ind w:firstLine="420"/>
        <w:rPr>
          <w:rFonts w:ascii="宋体" w:hAnsi="宋体" w:cs="宋体"/>
          <w:highlight w:val="none"/>
        </w:rPr>
      </w:pPr>
      <w:r>
        <w:rPr>
          <w:rFonts w:hint="eastAsia" w:ascii="宋体" w:hAnsi="宋体" w:cs="宋体"/>
          <w:highlight w:val="none"/>
        </w:rPr>
        <w:t>乙方在合同签署后1月内，需协助</w:t>
      </w:r>
      <w:r>
        <w:rPr>
          <w:rFonts w:hint="eastAsia" w:ascii="宋体" w:hAnsi="宋体" w:cs="宋体"/>
          <w:highlight w:val="none"/>
          <w:lang w:eastAsia="zh-CN"/>
        </w:rPr>
        <w:t>甲方</w:t>
      </w:r>
      <w:r>
        <w:rPr>
          <w:rFonts w:hint="eastAsia"/>
          <w:highlight w:val="none"/>
        </w:rPr>
        <w:t>或甲方最终客户</w:t>
      </w:r>
      <w:r>
        <w:rPr>
          <w:rFonts w:hint="eastAsia" w:ascii="宋体" w:hAnsi="宋体" w:cs="宋体"/>
          <w:highlight w:val="none"/>
        </w:rPr>
        <w:t>制定政务智能算力服务相关的运维管理制度、安全管理制度和资源审核制度，以提供安全、持续、高效的算力服务。</w:t>
      </w:r>
    </w:p>
    <w:p w14:paraId="2FCF144E">
      <w:pPr>
        <w:pStyle w:val="242"/>
        <w:spacing w:line="288" w:lineRule="auto"/>
        <w:ind w:firstLine="420"/>
        <w:rPr>
          <w:rFonts w:ascii="宋体" w:hAnsi="宋体" w:cs="宋体"/>
          <w:b/>
          <w:bCs/>
          <w:highlight w:val="none"/>
        </w:rPr>
      </w:pPr>
      <w:r>
        <w:rPr>
          <w:rFonts w:hint="eastAsia" w:ascii="宋体" w:hAnsi="宋体" w:cs="宋体"/>
          <w:highlight w:val="none"/>
        </w:rPr>
        <w:t>为发挥财政资金的最大效益，乙方应协助</w:t>
      </w:r>
      <w:r>
        <w:rPr>
          <w:rFonts w:hint="eastAsia" w:ascii="宋体" w:hAnsi="宋体" w:cs="宋体"/>
          <w:highlight w:val="none"/>
          <w:lang w:eastAsia="zh-CN"/>
        </w:rPr>
        <w:t>甲方</w:t>
      </w:r>
      <w:r>
        <w:rPr>
          <w:rFonts w:hint="eastAsia"/>
          <w:highlight w:val="none"/>
        </w:rPr>
        <w:t>或甲方最终客户</w:t>
      </w:r>
      <w:r>
        <w:rPr>
          <w:rFonts w:hint="eastAsia" w:ascii="宋体" w:hAnsi="宋体" w:cs="宋体"/>
          <w:highlight w:val="none"/>
        </w:rPr>
        <w:t>制定智算能力规划建设、需求评估标准、使用管理、考核指标等相关制度规范；对智算资源申请、资源需求评估、资源管理进行全生命周期的规范化管理，协助甲方</w:t>
      </w:r>
      <w:r>
        <w:rPr>
          <w:rFonts w:hint="eastAsia"/>
          <w:highlight w:val="none"/>
        </w:rPr>
        <w:t>或甲方最终客户</w:t>
      </w:r>
      <w:r>
        <w:rPr>
          <w:rFonts w:hint="eastAsia" w:ascii="宋体" w:hAnsi="宋体" w:cs="宋体"/>
          <w:highlight w:val="none"/>
        </w:rPr>
        <w:t>建立科学智算资源评估体系和资源利用率考核管理机制，对各单位云资源利用率进行统计、定期分析，输出相关报告，督促未达标的单位开展整改工作。</w:t>
      </w:r>
    </w:p>
    <w:p w14:paraId="2E7C70B6">
      <w:pPr>
        <w:widowControl/>
        <w:numPr>
          <w:ilvl w:val="-1"/>
          <w:numId w:val="0"/>
        </w:numPr>
        <w:spacing w:after="0"/>
        <w:ind w:firstLine="420"/>
        <w:outlineLvl w:val="9"/>
        <w:rPr>
          <w:rFonts w:hint="eastAsia" w:ascii="宋体" w:hAnsi="宋体" w:cs="宋体"/>
          <w:b w:val="0"/>
          <w:highlight w:val="none"/>
        </w:rPr>
      </w:pPr>
      <w:r>
        <w:rPr>
          <w:rFonts w:hint="eastAsia" w:ascii="宋体" w:hAnsi="宋体" w:cs="宋体"/>
          <w:b w:val="0"/>
          <w:bCs w:val="0"/>
          <w:highlight w:val="none"/>
          <w:lang w:eastAsia="zh-CN"/>
        </w:rPr>
        <w:t>④</w:t>
      </w:r>
      <w:r>
        <w:rPr>
          <w:rFonts w:hint="eastAsia" w:ascii="宋体" w:hAnsi="宋体" w:cs="宋体"/>
          <w:b w:val="0"/>
          <w:highlight w:val="none"/>
        </w:rPr>
        <w:t>其他服务等要求</w:t>
      </w:r>
    </w:p>
    <w:p w14:paraId="14A973F4">
      <w:pPr>
        <w:ind w:firstLine="420"/>
        <w:outlineLvl w:val="2"/>
        <w:rPr>
          <w:highlight w:val="none"/>
        </w:rPr>
      </w:pPr>
      <w:r>
        <w:rPr>
          <w:rFonts w:hint="eastAsia" w:ascii="宋体" w:hAnsi="宋体" w:cs="宋体"/>
          <w:highlight w:val="none"/>
        </w:rPr>
        <w:t>合同期满后，双方将积极争取按本合同同等条件续约，确保服务延续性</w:t>
      </w:r>
      <w:r>
        <w:rPr>
          <w:rFonts w:hint="eastAsia" w:ascii="宋体" w:hAnsi="宋体" w:eastAsia="宋体" w:cs="宋体"/>
          <w:highlight w:val="none"/>
          <w:shd w:val="clear"/>
          <w:lang w:bidi="ar-SA"/>
        </w:rPr>
        <w:t>。</w:t>
      </w:r>
    </w:p>
    <w:p w14:paraId="648B4EF7">
      <w:pPr>
        <w:ind w:firstLine="420"/>
        <w:rPr>
          <w:rFonts w:hint="eastAsia" w:ascii="宋体" w:hAnsi="宋体" w:cs="宋体"/>
          <w:highlight w:val="none"/>
        </w:rPr>
      </w:pPr>
    </w:p>
    <w:p w14:paraId="4B0179CD">
      <w:pPr>
        <w:ind w:firstLine="0"/>
        <w:rPr>
          <w:rFonts w:hint="eastAsia" w:ascii="宋体" w:hAnsi="宋体" w:cs="宋体"/>
          <w:b/>
          <w:bCs/>
          <w:highlight w:val="none"/>
        </w:rPr>
      </w:pPr>
      <w:r>
        <w:rPr>
          <w:rFonts w:hint="eastAsia" w:ascii="宋体" w:hAnsi="宋体" w:cs="宋体"/>
          <w:b/>
          <w:bCs/>
          <w:highlight w:val="none"/>
        </w:rPr>
        <w:br w:type="page"/>
      </w:r>
    </w:p>
    <w:p w14:paraId="4CD07F2D">
      <w:pPr>
        <w:ind w:firstLine="0" w:firstLineChars="0"/>
        <w:jc w:val="left"/>
        <w:rPr>
          <w:rFonts w:hint="eastAsia" w:ascii="国标黑体" w:hAnsi="国标黑体" w:eastAsia="国标黑体" w:cs="国标黑体"/>
          <w:b w:val="0"/>
          <w:bCs w:val="0"/>
          <w:sz w:val="32"/>
          <w:szCs w:val="32"/>
          <w:highlight w:val="none"/>
          <w:lang w:val="en-US" w:eastAsia="zh-CN"/>
        </w:rPr>
      </w:pPr>
      <w:r>
        <w:rPr>
          <w:rFonts w:hint="eastAsia" w:ascii="国标黑体" w:hAnsi="国标黑体" w:eastAsia="国标黑体" w:cs="国标黑体"/>
          <w:b w:val="0"/>
          <w:bCs w:val="0"/>
          <w:sz w:val="32"/>
          <w:szCs w:val="32"/>
          <w:highlight w:val="none"/>
          <w:lang w:eastAsia="zh-CN"/>
        </w:rPr>
        <w:t>附件</w:t>
      </w:r>
      <w:r>
        <w:rPr>
          <w:rFonts w:hint="eastAsia" w:ascii="国标黑体" w:hAnsi="国标黑体" w:eastAsia="国标黑体" w:cs="国标黑体"/>
          <w:b w:val="0"/>
          <w:bCs w:val="0"/>
          <w:sz w:val="32"/>
          <w:szCs w:val="32"/>
          <w:highlight w:val="none"/>
          <w:lang w:val="en-US" w:eastAsia="zh-CN"/>
        </w:rPr>
        <w:t xml:space="preserve"> </w:t>
      </w:r>
      <w:r>
        <w:rPr>
          <w:rFonts w:hint="eastAsia" w:ascii="国标黑体" w:hAnsi="国标黑体" w:eastAsia="国标黑体" w:cs="国标黑体"/>
          <w:b w:val="0"/>
          <w:bCs w:val="0"/>
          <w:sz w:val="32"/>
          <w:szCs w:val="32"/>
          <w:highlight w:val="none"/>
        </w:rPr>
        <w:t>运维服务SLA及考核要</w:t>
      </w:r>
      <w:r>
        <w:rPr>
          <w:rFonts w:hint="eastAsia" w:ascii="国标黑体" w:hAnsi="国标黑体" w:eastAsia="国标黑体" w:cs="国标黑体"/>
          <w:sz w:val="32"/>
          <w:szCs w:val="32"/>
          <w:highlight w:val="none"/>
        </w:rPr>
        <w:t>求</w:t>
      </w:r>
    </w:p>
    <w:p w14:paraId="4DA6091E">
      <w:pPr>
        <w:pStyle w:val="242"/>
        <w:spacing w:line="288" w:lineRule="auto"/>
        <w:ind w:firstLine="420"/>
        <w:rPr>
          <w:rFonts w:ascii="宋体" w:hAnsi="宋体" w:cs="宋体"/>
          <w:highlight w:val="none"/>
        </w:rPr>
      </w:pPr>
      <w:r>
        <w:rPr>
          <w:rFonts w:hint="eastAsia" w:ascii="宋体" w:hAnsi="宋体" w:cs="宋体"/>
          <w:highlight w:val="none"/>
        </w:rPr>
        <w:t>1.乙方需承诺在服务的过程中无条件接受甲方</w:t>
      </w:r>
      <w:r>
        <w:rPr>
          <w:rFonts w:hint="eastAsia" w:ascii="宋体" w:hAnsi="宋体" w:cs="宋体"/>
          <w:sz w:val="21"/>
          <w:szCs w:val="21"/>
          <w:highlight w:val="none"/>
          <w:lang w:val="en"/>
        </w:rPr>
        <w:t>或甲方最终客户</w:t>
      </w:r>
      <w:r>
        <w:rPr>
          <w:rFonts w:hint="eastAsia" w:ascii="宋体" w:hAnsi="宋体" w:cs="宋体"/>
          <w:highlight w:val="none"/>
        </w:rPr>
        <w:t>的考核，并按照甲方</w:t>
      </w:r>
      <w:r>
        <w:rPr>
          <w:rFonts w:hint="eastAsia" w:ascii="宋体" w:hAnsi="宋体" w:cs="宋体"/>
          <w:sz w:val="21"/>
          <w:szCs w:val="21"/>
          <w:highlight w:val="none"/>
          <w:lang w:val="en"/>
        </w:rPr>
        <w:t>或甲方最终客户</w:t>
      </w:r>
      <w:r>
        <w:rPr>
          <w:rFonts w:hint="eastAsia" w:ascii="宋体" w:hAnsi="宋体" w:cs="宋体"/>
          <w:highlight w:val="none"/>
        </w:rPr>
        <w:t>考核标准的要求开展工作，考核的结果将与支付挂钩。</w:t>
      </w:r>
    </w:p>
    <w:p w14:paraId="4372B448">
      <w:pPr>
        <w:pStyle w:val="242"/>
        <w:spacing w:line="288" w:lineRule="auto"/>
        <w:ind w:firstLine="420"/>
        <w:rPr>
          <w:rFonts w:ascii="宋体" w:hAnsi="宋体" w:cs="宋体"/>
          <w:highlight w:val="none"/>
        </w:rPr>
      </w:pPr>
      <w:r>
        <w:rPr>
          <w:rFonts w:hint="eastAsia" w:ascii="宋体" w:hAnsi="宋体" w:cs="宋体"/>
          <w:highlight w:val="none"/>
        </w:rPr>
        <w:t>2.服务可用性相关定义</w:t>
      </w:r>
    </w:p>
    <w:p w14:paraId="7F5C3F0A">
      <w:pPr>
        <w:pStyle w:val="242"/>
        <w:spacing w:line="288" w:lineRule="auto"/>
        <w:ind w:firstLine="420"/>
        <w:rPr>
          <w:rFonts w:ascii="宋体" w:hAnsi="宋体" w:cs="宋体"/>
          <w:highlight w:val="none"/>
        </w:rPr>
      </w:pPr>
      <w:r>
        <w:rPr>
          <w:rFonts w:hint="eastAsia" w:ascii="宋体" w:hAnsi="宋体" w:cs="宋体"/>
          <w:highlight w:val="none"/>
        </w:rPr>
        <w:t>服务不可用：当一台设置了出入允许规则的虚拟机实例以TCP或者UDP协议与任一IP地址的双向（出/入）都无法联通，且该状态持续一分钟以上，视为该分钟内虚拟机实例不可用。</w:t>
      </w:r>
    </w:p>
    <w:p w14:paraId="41460DEE">
      <w:pPr>
        <w:pStyle w:val="242"/>
        <w:spacing w:line="288" w:lineRule="auto"/>
        <w:ind w:firstLine="420"/>
        <w:rPr>
          <w:rFonts w:ascii="宋体" w:hAnsi="宋体" w:cs="宋体"/>
          <w:highlight w:val="none"/>
        </w:rPr>
      </w:pPr>
      <w:r>
        <w:rPr>
          <w:rFonts w:hint="eastAsia" w:ascii="宋体" w:hAnsi="宋体" w:cs="宋体"/>
          <w:highlight w:val="none"/>
        </w:rPr>
        <w:t>服务可用性：Y1=(W–U)/W×100%（Y1：结算周期内单项服务</w:t>
      </w:r>
      <w:r>
        <w:rPr>
          <w:rFonts w:hint="eastAsia" w:ascii="宋体" w:hAnsi="宋体" w:cs="宋体"/>
          <w:highlight w:val="none"/>
          <w:lang w:eastAsia="zh-CN"/>
        </w:rPr>
        <w:t>的</w:t>
      </w:r>
      <w:r>
        <w:rPr>
          <w:rFonts w:hint="eastAsia" w:ascii="宋体" w:hAnsi="宋体" w:cs="宋体"/>
          <w:highlight w:val="none"/>
        </w:rPr>
        <w:t>服务可用性、W：结算周期单项服务总时间、U：结算周期单项服务不可用总时间）</w:t>
      </w:r>
      <w:r>
        <w:rPr>
          <w:rFonts w:hint="eastAsia" w:ascii="宋体" w:hAnsi="宋体" w:cs="宋体"/>
          <w:highlight w:val="none"/>
        </w:rPr>
        <w:br w:type="textWrapping"/>
      </w:r>
      <w:r>
        <w:rPr>
          <w:rFonts w:hint="eastAsia" w:ascii="宋体" w:hAnsi="宋体" w:cs="宋体"/>
          <w:highlight w:val="none"/>
        </w:rPr>
        <w:t xml:space="preserve">     结算周期内单项三级服务数据存储持久性：</w:t>
      </w:r>
    </w:p>
    <w:p w14:paraId="00CAC99F">
      <w:pPr>
        <w:pStyle w:val="242"/>
        <w:spacing w:line="288" w:lineRule="auto"/>
        <w:ind w:firstLine="420"/>
        <w:rPr>
          <w:rFonts w:ascii="宋体" w:hAnsi="宋体" w:cs="宋体"/>
          <w:highlight w:val="none"/>
        </w:rPr>
      </w:pPr>
      <w:r>
        <w:rPr>
          <w:rFonts w:hint="eastAsia" w:ascii="宋体" w:hAnsi="宋体" w:cs="宋体"/>
          <w:highlight w:val="none"/>
        </w:rPr>
        <w:t>Y2=(V-V1)/V×100%（Y2：结算周期内单项服务数据存储持久性、V：单项服务结算周期末的总数据量、V1：单项服务结算周期内丢失的实际数据量）</w:t>
      </w:r>
    </w:p>
    <w:p w14:paraId="3B61A24D">
      <w:pPr>
        <w:pStyle w:val="242"/>
        <w:spacing w:line="288" w:lineRule="auto"/>
        <w:ind w:firstLine="420"/>
        <w:rPr>
          <w:rFonts w:ascii="宋体" w:hAnsi="宋体" w:cs="宋体"/>
          <w:highlight w:val="none"/>
        </w:rPr>
      </w:pPr>
      <w:r>
        <w:rPr>
          <w:rFonts w:hint="eastAsia" w:ascii="宋体" w:hAnsi="宋体" w:cs="宋体"/>
          <w:highlight w:val="none"/>
        </w:rPr>
        <w:t>注：1）结算周期单项服务总时间为结算周期总天数×24（小时）×60（分钟）；单项服务连续超过一分钟无法访问的，计为服务不可用时间</w:t>
      </w:r>
      <w:bookmarkStart w:id="20" w:name="_GoBack"/>
      <w:bookmarkEnd w:id="20"/>
      <w:r>
        <w:rPr>
          <w:rFonts w:hint="eastAsia" w:ascii="宋体" w:hAnsi="宋体" w:cs="宋体"/>
          <w:highlight w:val="none"/>
        </w:rPr>
        <w:t>；结算周期单项服务不可用时间为一个结算周期内单项服务不可用时间的总和，每个结算周期的服务不可用时间不计入下一结算周期的服务不可用时间。</w:t>
      </w:r>
    </w:p>
    <w:p w14:paraId="2D661616">
      <w:pPr>
        <w:pStyle w:val="242"/>
        <w:spacing w:line="288" w:lineRule="auto"/>
        <w:ind w:firstLine="420"/>
        <w:rPr>
          <w:rFonts w:ascii="宋体" w:hAnsi="宋体" w:cs="宋体"/>
          <w:highlight w:val="none"/>
        </w:rPr>
      </w:pPr>
      <w:r>
        <w:rPr>
          <w:rFonts w:hint="eastAsia" w:ascii="宋体" w:hAnsi="宋体" w:cs="宋体"/>
          <w:highlight w:val="none"/>
        </w:rPr>
        <w:t>2）各单项服务因非例外情形造成甲方</w:t>
      </w:r>
      <w:r>
        <w:rPr>
          <w:rFonts w:hint="eastAsia" w:ascii="宋体" w:hAnsi="宋体" w:cs="宋体"/>
          <w:sz w:val="21"/>
          <w:szCs w:val="21"/>
          <w:highlight w:val="none"/>
          <w:lang w:val="en"/>
        </w:rPr>
        <w:t>或甲方最终客户</w:t>
      </w:r>
      <w:r>
        <w:rPr>
          <w:rFonts w:hint="eastAsia" w:ascii="宋体" w:hAnsi="宋体" w:cs="宋体"/>
          <w:highlight w:val="none"/>
        </w:rPr>
        <w:t>数据自发现起丢失超过72小时（不含本数）且未恢复的，未恢复部分计入丢失的实际数据量。</w:t>
      </w:r>
    </w:p>
    <w:p w14:paraId="43954BF6">
      <w:pPr>
        <w:pStyle w:val="242"/>
        <w:spacing w:line="288" w:lineRule="auto"/>
        <w:ind w:firstLine="420"/>
        <w:rPr>
          <w:rFonts w:ascii="宋体" w:hAnsi="宋体" w:cs="宋体"/>
          <w:highlight w:val="none"/>
        </w:rPr>
      </w:pPr>
      <w:r>
        <w:rPr>
          <w:rFonts w:hint="eastAsia" w:ascii="宋体" w:hAnsi="宋体" w:cs="宋体"/>
          <w:highlight w:val="none"/>
        </w:rPr>
        <w:t>3.服务等级协议</w:t>
      </w:r>
    </w:p>
    <w:tbl>
      <w:tblPr>
        <w:tblStyle w:val="51"/>
        <w:tblpPr w:leftFromText="180" w:rightFromText="180" w:vertAnchor="text" w:horzAnchor="page" w:tblpX="2342" w:tblpY="9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9"/>
        <w:gridCol w:w="2400"/>
        <w:gridCol w:w="1579"/>
        <w:gridCol w:w="2485"/>
      </w:tblGrid>
      <w:tr w14:paraId="78BEC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vAlign w:val="center"/>
          </w:tcPr>
          <w:p w14:paraId="79B9B9A9">
            <w:pPr>
              <w:pStyle w:val="242"/>
              <w:spacing w:line="288" w:lineRule="auto"/>
              <w:ind w:left="0" w:firstLine="0" w:firstLineChars="0"/>
              <w:jc w:val="center"/>
              <w:rPr>
                <w:rFonts w:hint="eastAsia" w:ascii="宋体" w:hAnsi="宋体" w:cs="宋体"/>
                <w:highlight w:val="none"/>
                <w:vertAlign w:val="baseline"/>
              </w:rPr>
            </w:pPr>
            <w:r>
              <w:rPr>
                <w:rFonts w:hint="eastAsia" w:ascii="宋体" w:hAnsi="宋体" w:cs="宋体"/>
                <w:b/>
                <w:bCs/>
                <w:szCs w:val="21"/>
                <w:highlight w:val="none"/>
              </w:rPr>
              <w:t>序号</w:t>
            </w:r>
          </w:p>
        </w:tc>
        <w:tc>
          <w:tcPr>
            <w:tcW w:w="2400" w:type="dxa"/>
            <w:vAlign w:val="center"/>
          </w:tcPr>
          <w:p w14:paraId="53DFAC4D">
            <w:pPr>
              <w:pStyle w:val="242"/>
              <w:spacing w:line="288" w:lineRule="auto"/>
              <w:ind w:left="0" w:firstLine="0" w:firstLineChars="0"/>
              <w:jc w:val="center"/>
              <w:rPr>
                <w:rFonts w:hint="eastAsia" w:ascii="宋体" w:hAnsi="宋体" w:cs="宋体"/>
                <w:highlight w:val="none"/>
                <w:vertAlign w:val="baseline"/>
              </w:rPr>
            </w:pPr>
            <w:r>
              <w:rPr>
                <w:rFonts w:hint="eastAsia" w:ascii="宋体" w:hAnsi="宋体" w:cs="宋体"/>
                <w:b/>
                <w:bCs/>
                <w:szCs w:val="21"/>
                <w:highlight w:val="none"/>
              </w:rPr>
              <w:t>服务</w:t>
            </w:r>
          </w:p>
        </w:tc>
        <w:tc>
          <w:tcPr>
            <w:tcW w:w="1579" w:type="dxa"/>
            <w:vAlign w:val="center"/>
          </w:tcPr>
          <w:p w14:paraId="5823E15E">
            <w:pPr>
              <w:pStyle w:val="242"/>
              <w:spacing w:line="288" w:lineRule="auto"/>
              <w:ind w:left="0" w:firstLine="0" w:firstLineChars="0"/>
              <w:jc w:val="center"/>
              <w:rPr>
                <w:rFonts w:hint="eastAsia" w:ascii="宋体" w:hAnsi="宋体" w:cs="宋体"/>
                <w:highlight w:val="none"/>
                <w:vertAlign w:val="baseline"/>
              </w:rPr>
            </w:pPr>
            <w:r>
              <w:rPr>
                <w:rFonts w:hint="eastAsia" w:ascii="宋体" w:hAnsi="宋体" w:cs="宋体"/>
                <w:b/>
                <w:bCs/>
                <w:szCs w:val="21"/>
                <w:highlight w:val="none"/>
                <w:lang w:eastAsia="zh-CN"/>
              </w:rPr>
              <w:t>服务</w:t>
            </w:r>
            <w:r>
              <w:rPr>
                <w:rFonts w:hint="eastAsia" w:ascii="宋体" w:hAnsi="宋体" w:cs="宋体"/>
                <w:b/>
                <w:bCs/>
                <w:szCs w:val="21"/>
                <w:highlight w:val="none"/>
              </w:rPr>
              <w:t>可用性</w:t>
            </w:r>
            <w:r>
              <w:rPr>
                <w:rFonts w:hint="eastAsia" w:ascii="宋体" w:hAnsi="宋体" w:cs="宋体"/>
                <w:b/>
                <w:bCs/>
                <w:szCs w:val="21"/>
                <w:highlight w:val="none"/>
                <w:lang w:eastAsia="zh-CN"/>
              </w:rPr>
              <w:t>指标</w:t>
            </w:r>
          </w:p>
        </w:tc>
        <w:tc>
          <w:tcPr>
            <w:tcW w:w="2485" w:type="dxa"/>
            <w:vAlign w:val="center"/>
          </w:tcPr>
          <w:p w14:paraId="705416C5">
            <w:pPr>
              <w:spacing w:line="288" w:lineRule="auto"/>
              <w:ind w:left="0" w:firstLine="0" w:firstLineChars="0"/>
              <w:jc w:val="center"/>
              <w:rPr>
                <w:rFonts w:hint="eastAsia" w:ascii="宋体" w:hAnsi="宋体" w:cs="宋体"/>
                <w:highlight w:val="none"/>
                <w:vertAlign w:val="baseline"/>
              </w:rPr>
            </w:pPr>
            <w:r>
              <w:rPr>
                <w:rFonts w:hint="eastAsia" w:ascii="宋体" w:hAnsi="宋体" w:cs="宋体"/>
                <w:b/>
                <w:bCs/>
                <w:szCs w:val="21"/>
                <w:highlight w:val="none"/>
                <w:lang w:eastAsia="zh-CN"/>
              </w:rPr>
              <w:t>服务及时性</w:t>
            </w:r>
          </w:p>
        </w:tc>
      </w:tr>
      <w:tr w14:paraId="6675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vAlign w:val="center"/>
          </w:tcPr>
          <w:p w14:paraId="110505CF">
            <w:pPr>
              <w:pStyle w:val="242"/>
              <w:spacing w:line="288" w:lineRule="auto"/>
              <w:ind w:left="0" w:firstLine="0" w:firstLineChars="0"/>
              <w:jc w:val="center"/>
              <w:rPr>
                <w:rFonts w:hint="eastAsia" w:ascii="宋体" w:hAnsi="宋体" w:eastAsia="宋体" w:cs="宋体"/>
                <w:highlight w:val="none"/>
                <w:vertAlign w:val="baseline"/>
                <w:lang w:val="en-US" w:eastAsia="zh-CN"/>
              </w:rPr>
            </w:pPr>
            <w:r>
              <w:rPr>
                <w:rFonts w:hint="eastAsia" w:ascii="宋体" w:hAnsi="宋体" w:cs="宋体"/>
                <w:highlight w:val="none"/>
                <w:vertAlign w:val="baseline"/>
                <w:lang w:val="en-US" w:eastAsia="zh-CN"/>
              </w:rPr>
              <w:t>1</w:t>
            </w:r>
          </w:p>
        </w:tc>
        <w:tc>
          <w:tcPr>
            <w:tcW w:w="2400" w:type="dxa"/>
            <w:vAlign w:val="center"/>
          </w:tcPr>
          <w:p w14:paraId="24B455DB">
            <w:pPr>
              <w:pStyle w:val="242"/>
              <w:spacing w:line="288" w:lineRule="auto"/>
              <w:ind w:left="0" w:firstLine="0" w:firstLineChars="0"/>
              <w:jc w:val="center"/>
              <w:rPr>
                <w:rFonts w:hint="eastAsia" w:ascii="宋体" w:hAnsi="宋体" w:cs="宋体"/>
                <w:highlight w:val="none"/>
                <w:vertAlign w:val="baseline"/>
              </w:rPr>
            </w:pPr>
            <w:r>
              <w:rPr>
                <w:rFonts w:hint="eastAsia" w:ascii="宋体" w:hAnsi="宋体" w:cs="宋体"/>
                <w:szCs w:val="21"/>
                <w:highlight w:val="none"/>
              </w:rPr>
              <w:t>AI算力裸金属服务</w:t>
            </w:r>
          </w:p>
        </w:tc>
        <w:tc>
          <w:tcPr>
            <w:tcW w:w="1579" w:type="dxa"/>
            <w:vAlign w:val="center"/>
          </w:tcPr>
          <w:p w14:paraId="205F0FD8">
            <w:pPr>
              <w:pStyle w:val="242"/>
              <w:spacing w:line="288" w:lineRule="auto"/>
              <w:ind w:left="0" w:firstLine="0" w:firstLineChars="0"/>
              <w:jc w:val="center"/>
              <w:rPr>
                <w:rFonts w:hint="eastAsia" w:ascii="宋体" w:hAnsi="宋体" w:cs="宋体"/>
                <w:highlight w:val="none"/>
                <w:vertAlign w:val="baseline"/>
              </w:rPr>
            </w:pPr>
            <w:r>
              <w:rPr>
                <w:rFonts w:hint="eastAsia" w:ascii="宋体" w:hAnsi="宋体" w:cs="宋体"/>
                <w:szCs w:val="21"/>
                <w:highlight w:val="none"/>
              </w:rPr>
              <w:t>N</w:t>
            </w:r>
            <w:r>
              <w:rPr>
                <w:rFonts w:hint="eastAsia" w:ascii="宋体" w:hAnsi="宋体" w:cs="宋体"/>
                <w:szCs w:val="21"/>
                <w:highlight w:val="none"/>
                <w:lang w:eastAsia="zh-CN"/>
              </w:rPr>
              <w:t>≥</w:t>
            </w:r>
            <w:r>
              <w:rPr>
                <w:rFonts w:hint="eastAsia" w:ascii="宋体" w:hAnsi="宋体" w:cs="宋体"/>
                <w:szCs w:val="21"/>
                <w:highlight w:val="none"/>
              </w:rPr>
              <w:t>9</w:t>
            </w:r>
            <w:r>
              <w:rPr>
                <w:rFonts w:hint="eastAsia" w:ascii="宋体" w:hAnsi="宋体" w:cs="宋体"/>
                <w:szCs w:val="21"/>
                <w:highlight w:val="none"/>
                <w:lang w:val="en-US" w:eastAsia="zh-CN"/>
              </w:rPr>
              <w:t>9</w:t>
            </w:r>
            <w:r>
              <w:rPr>
                <w:rFonts w:hint="eastAsia" w:ascii="宋体" w:hAnsi="宋体" w:cs="宋体"/>
                <w:szCs w:val="21"/>
                <w:highlight w:val="none"/>
              </w:rPr>
              <w:t>%</w:t>
            </w:r>
          </w:p>
        </w:tc>
        <w:tc>
          <w:tcPr>
            <w:tcW w:w="2485" w:type="dxa"/>
            <w:vMerge w:val="restart"/>
            <w:vAlign w:val="center"/>
          </w:tcPr>
          <w:p w14:paraId="0721540D">
            <w:pPr>
              <w:pStyle w:val="242"/>
              <w:spacing w:line="288" w:lineRule="auto"/>
              <w:ind w:left="0" w:firstLine="0" w:firstLineChars="0"/>
              <w:jc w:val="center"/>
              <w:rPr>
                <w:rFonts w:hint="default" w:ascii="宋体" w:hAnsi="宋体" w:eastAsia="宋体" w:cs="宋体"/>
                <w:highlight w:val="none"/>
                <w:vertAlign w:val="baseline"/>
                <w:lang w:val="en-US" w:eastAsia="zh-CN"/>
              </w:rPr>
            </w:pPr>
            <w:r>
              <w:rPr>
                <w:rFonts w:hint="eastAsia" w:ascii="宋体" w:hAnsi="宋体" w:cs="宋体"/>
                <w:highlight w:val="none"/>
                <w:vertAlign w:val="baseline"/>
                <w:lang w:val="en-US" w:eastAsia="zh-CN"/>
              </w:rPr>
              <w:t>交付时限：3个工作日</w:t>
            </w:r>
          </w:p>
        </w:tc>
      </w:tr>
      <w:tr w14:paraId="5CB0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vAlign w:val="center"/>
          </w:tcPr>
          <w:p w14:paraId="27776344">
            <w:pPr>
              <w:pStyle w:val="242"/>
              <w:spacing w:line="288" w:lineRule="auto"/>
              <w:ind w:left="0" w:firstLine="0" w:firstLineChars="0"/>
              <w:jc w:val="center"/>
              <w:rPr>
                <w:rFonts w:hint="eastAsia" w:ascii="宋体" w:hAnsi="宋体" w:eastAsia="宋体" w:cs="宋体"/>
                <w:highlight w:val="none"/>
                <w:vertAlign w:val="baseline"/>
                <w:lang w:val="en-US" w:eastAsia="zh-CN"/>
              </w:rPr>
            </w:pPr>
            <w:r>
              <w:rPr>
                <w:rFonts w:hint="eastAsia" w:ascii="宋体" w:hAnsi="宋体" w:cs="宋体"/>
                <w:highlight w:val="none"/>
                <w:vertAlign w:val="baseline"/>
                <w:lang w:val="en-US" w:eastAsia="zh-CN"/>
              </w:rPr>
              <w:t>2</w:t>
            </w:r>
          </w:p>
        </w:tc>
        <w:tc>
          <w:tcPr>
            <w:tcW w:w="2400" w:type="dxa"/>
            <w:vAlign w:val="center"/>
          </w:tcPr>
          <w:p w14:paraId="5F644795">
            <w:pPr>
              <w:pStyle w:val="242"/>
              <w:spacing w:line="288" w:lineRule="auto"/>
              <w:ind w:left="0" w:firstLine="0" w:firstLineChars="0"/>
              <w:jc w:val="center"/>
              <w:rPr>
                <w:rFonts w:hint="eastAsia" w:ascii="宋体" w:hAnsi="宋体" w:cs="宋体"/>
                <w:highlight w:val="none"/>
                <w:vertAlign w:val="baseline"/>
              </w:rPr>
            </w:pPr>
            <w:r>
              <w:rPr>
                <w:rFonts w:hint="eastAsia" w:ascii="宋体" w:hAnsi="宋体" w:cs="宋体"/>
                <w:szCs w:val="21"/>
                <w:highlight w:val="none"/>
              </w:rPr>
              <w:t>通用算力云主机服务</w:t>
            </w:r>
          </w:p>
        </w:tc>
        <w:tc>
          <w:tcPr>
            <w:tcW w:w="1579" w:type="dxa"/>
            <w:vAlign w:val="center"/>
          </w:tcPr>
          <w:p w14:paraId="09D854E4">
            <w:pPr>
              <w:pStyle w:val="242"/>
              <w:spacing w:line="288" w:lineRule="auto"/>
              <w:ind w:left="0" w:firstLine="0" w:firstLineChars="0"/>
              <w:jc w:val="center"/>
              <w:rPr>
                <w:rFonts w:hint="eastAsia" w:ascii="宋体" w:hAnsi="宋体" w:cs="宋体"/>
                <w:highlight w:val="none"/>
                <w:vertAlign w:val="baseline"/>
              </w:rPr>
            </w:pPr>
            <w:r>
              <w:rPr>
                <w:rFonts w:hint="eastAsia" w:ascii="宋体" w:hAnsi="宋体" w:cs="宋体"/>
                <w:szCs w:val="21"/>
                <w:highlight w:val="none"/>
              </w:rPr>
              <w:t>N</w:t>
            </w:r>
            <w:r>
              <w:rPr>
                <w:rFonts w:hint="eastAsia" w:ascii="宋体" w:hAnsi="宋体" w:cs="宋体"/>
                <w:szCs w:val="21"/>
                <w:highlight w:val="none"/>
                <w:lang w:eastAsia="zh-CN"/>
              </w:rPr>
              <w:t>≥</w:t>
            </w:r>
            <w:r>
              <w:rPr>
                <w:rFonts w:hint="eastAsia" w:ascii="宋体" w:hAnsi="宋体" w:cs="宋体"/>
                <w:szCs w:val="21"/>
                <w:highlight w:val="none"/>
              </w:rPr>
              <w:t>99%</w:t>
            </w:r>
          </w:p>
        </w:tc>
        <w:tc>
          <w:tcPr>
            <w:tcW w:w="2485" w:type="dxa"/>
            <w:vMerge w:val="continue"/>
          </w:tcPr>
          <w:p w14:paraId="16424CF1">
            <w:pPr>
              <w:pStyle w:val="242"/>
              <w:spacing w:line="288" w:lineRule="auto"/>
              <w:ind w:left="840"/>
              <w:rPr>
                <w:rFonts w:hint="eastAsia" w:ascii="宋体" w:hAnsi="宋体" w:cs="宋体"/>
                <w:highlight w:val="none"/>
                <w:vertAlign w:val="baseline"/>
              </w:rPr>
            </w:pPr>
          </w:p>
        </w:tc>
      </w:tr>
    </w:tbl>
    <w:p w14:paraId="4A451CF0">
      <w:pPr>
        <w:pStyle w:val="242"/>
        <w:spacing w:line="288" w:lineRule="auto"/>
        <w:ind w:firstLine="420"/>
        <w:rPr>
          <w:rFonts w:hint="eastAsia" w:ascii="宋体" w:hAnsi="宋体" w:cs="宋体"/>
          <w:highlight w:val="none"/>
        </w:rPr>
      </w:pPr>
      <w:r>
        <w:rPr>
          <w:rFonts w:hint="eastAsia" w:ascii="宋体" w:hAnsi="宋体" w:cs="宋体"/>
          <w:highlight w:val="none"/>
        </w:rPr>
        <w:t>为满足甲方业务快速上云需求，乙方应在合同签署后的相应时间内提供对应的云服务能力，其中所提供云服务应满足如下服务等级协议（以下简称“SLA”）：</w:t>
      </w:r>
    </w:p>
    <w:p w14:paraId="621F5F85">
      <w:pPr>
        <w:pStyle w:val="242"/>
        <w:spacing w:line="288" w:lineRule="auto"/>
        <w:ind w:firstLine="420"/>
        <w:rPr>
          <w:rFonts w:ascii="宋体" w:hAnsi="宋体" w:cs="宋体"/>
          <w:highlight w:val="none"/>
          <w:lang w:val="en"/>
        </w:rPr>
      </w:pPr>
      <w:r>
        <w:rPr>
          <w:rFonts w:hint="eastAsia" w:ascii="宋体" w:hAnsi="宋体" w:cs="宋体"/>
          <w:highlight w:val="none"/>
          <w:lang w:val="en"/>
        </w:rPr>
        <w:t>4</w:t>
      </w:r>
      <w:r>
        <w:rPr>
          <w:rFonts w:hint="eastAsia" w:ascii="宋体" w:hAnsi="宋体" w:cs="宋体"/>
          <w:highlight w:val="none"/>
        </w:rPr>
        <w:t>.安全保密要求</w:t>
      </w:r>
    </w:p>
    <w:p w14:paraId="62EFD674">
      <w:pPr>
        <w:pStyle w:val="242"/>
        <w:spacing w:line="288" w:lineRule="auto"/>
        <w:ind w:firstLine="420"/>
        <w:rPr>
          <w:rFonts w:ascii="宋体" w:hAnsi="宋体" w:cs="宋体"/>
          <w:highlight w:val="none"/>
        </w:rPr>
      </w:pPr>
      <w:r>
        <w:rPr>
          <w:rFonts w:hint="eastAsia" w:ascii="宋体" w:hAnsi="宋体" w:cs="宋体"/>
          <w:highlight w:val="none"/>
        </w:rPr>
        <w:t>遵守保密原则。对项目实施过程中涉及的信息资料、核心参数、业务数据等负有保密责任，未经甲方书面事先同意，不得向任何第三方披露。实施项目的一切程序都应符合国家安全、保密的有关规定和标准；若乙方违反保密要求，应依法赔偿相应损失。项目实施前，项目组成员需签署保密承诺书，遵守甲方保密管理规定。</w:t>
      </w:r>
    </w:p>
    <w:p w14:paraId="462CAF60">
      <w:pPr>
        <w:pStyle w:val="242"/>
        <w:spacing w:line="288" w:lineRule="auto"/>
        <w:ind w:firstLine="420"/>
        <w:rPr>
          <w:rFonts w:ascii="宋体" w:hAnsi="宋体" w:cs="宋体"/>
          <w:highlight w:val="none"/>
          <w:lang w:val="en"/>
        </w:rPr>
      </w:pPr>
      <w:r>
        <w:rPr>
          <w:rFonts w:ascii="宋体" w:hAnsi="宋体" w:cs="宋体"/>
          <w:highlight w:val="none"/>
        </w:rPr>
        <w:t>5</w:t>
      </w:r>
      <w:r>
        <w:rPr>
          <w:rFonts w:hint="eastAsia" w:ascii="宋体" w:hAnsi="宋体" w:cs="宋体"/>
          <w:highlight w:val="none"/>
          <w:lang w:val="en"/>
        </w:rPr>
        <w:t>.考核内容</w:t>
      </w:r>
    </w:p>
    <w:p w14:paraId="794311AD">
      <w:pPr>
        <w:pStyle w:val="242"/>
        <w:spacing w:line="288" w:lineRule="auto"/>
        <w:ind w:firstLine="420"/>
        <w:rPr>
          <w:rFonts w:ascii="宋体" w:hAnsi="宋体" w:cs="宋体"/>
          <w:highlight w:val="none"/>
          <w:lang w:val="en"/>
        </w:rPr>
      </w:pPr>
      <w:r>
        <w:rPr>
          <w:rFonts w:hint="eastAsia" w:ascii="宋体" w:hAnsi="宋体" w:cs="宋体"/>
          <w:highlight w:val="none"/>
          <w:lang w:val="en"/>
        </w:rPr>
        <w:t>为</w:t>
      </w:r>
      <w:r>
        <w:rPr>
          <w:rFonts w:hint="eastAsia" w:ascii="宋体" w:hAnsi="宋体" w:cs="宋体"/>
          <w:highlight w:val="none"/>
          <w:lang w:val="en" w:eastAsia="zh-CN"/>
        </w:rPr>
        <w:t>加强</w:t>
      </w:r>
      <w:r>
        <w:rPr>
          <w:rFonts w:hint="eastAsia" w:ascii="宋体" w:hAnsi="宋体" w:cs="宋体"/>
          <w:highlight w:val="none"/>
          <w:lang w:val="en"/>
        </w:rPr>
        <w:t>项目的建设、运营和管理，持续提高智算服务质量，甲方定期对乙方服务能力进行考核评估，考核内容应包含但不限于智算服务质量、故障处理及时性、运维服务水平等情况考核。</w:t>
      </w:r>
    </w:p>
    <w:p w14:paraId="5A7A6523">
      <w:pPr>
        <w:pStyle w:val="242"/>
        <w:spacing w:line="288" w:lineRule="auto"/>
        <w:ind w:firstLine="420"/>
        <w:rPr>
          <w:rFonts w:ascii="宋体" w:hAnsi="宋体" w:cs="宋体"/>
          <w:highlight w:val="none"/>
          <w:lang w:val="en"/>
        </w:rPr>
      </w:pPr>
      <w:r>
        <w:rPr>
          <w:rFonts w:ascii="宋体" w:hAnsi="宋体" w:cs="宋体"/>
          <w:highlight w:val="none"/>
        </w:rPr>
        <w:t>5</w:t>
      </w:r>
      <w:r>
        <w:rPr>
          <w:rFonts w:hint="eastAsia" w:ascii="宋体" w:hAnsi="宋体" w:cs="宋体"/>
          <w:highlight w:val="none"/>
          <w:lang w:val="en"/>
        </w:rPr>
        <w:t>.1智算服务质量考核内容</w:t>
      </w:r>
    </w:p>
    <w:p w14:paraId="6353CD03">
      <w:pPr>
        <w:pStyle w:val="242"/>
        <w:spacing w:line="288" w:lineRule="auto"/>
        <w:ind w:firstLine="420"/>
        <w:rPr>
          <w:rFonts w:ascii="宋体" w:hAnsi="宋体" w:cs="宋体"/>
          <w:highlight w:val="none"/>
          <w:lang w:val="en"/>
        </w:rPr>
      </w:pPr>
      <w:r>
        <w:rPr>
          <w:rFonts w:hint="eastAsia" w:ascii="宋体" w:hAnsi="宋体" w:cs="宋体"/>
          <w:highlight w:val="none"/>
          <w:lang w:val="en"/>
        </w:rPr>
        <w:t>1）服务可用性考核。本项适用于对服务可用性有招标技术要求的</w:t>
      </w:r>
    </w:p>
    <w:p w14:paraId="55B0906A">
      <w:pPr>
        <w:pStyle w:val="242"/>
        <w:spacing w:line="288" w:lineRule="auto"/>
        <w:ind w:firstLine="420"/>
        <w:rPr>
          <w:rFonts w:ascii="宋体" w:hAnsi="宋体" w:cs="宋体"/>
          <w:highlight w:val="none"/>
          <w:lang w:val="en"/>
        </w:rPr>
      </w:pPr>
      <w:r>
        <w:rPr>
          <w:rFonts w:hint="eastAsia" w:ascii="宋体" w:hAnsi="宋体" w:cs="宋体"/>
          <w:highlight w:val="none"/>
          <w:lang w:val="en"/>
        </w:rPr>
        <w:t>服务项，服务可用性应不低于服务可用性指标，各单项服务连续超过一分钟无法访问，视为服务可用性违约；</w:t>
      </w:r>
    </w:p>
    <w:p w14:paraId="61AACCCD">
      <w:pPr>
        <w:pStyle w:val="242"/>
        <w:spacing w:line="288" w:lineRule="auto"/>
        <w:ind w:firstLine="420"/>
        <w:rPr>
          <w:rFonts w:ascii="宋体" w:hAnsi="宋体" w:cs="宋体"/>
          <w:highlight w:val="none"/>
          <w:lang w:val="en"/>
        </w:rPr>
      </w:pPr>
      <w:r>
        <w:rPr>
          <w:rFonts w:hint="eastAsia" w:ascii="宋体" w:hAnsi="宋体" w:cs="宋体"/>
          <w:highlight w:val="none"/>
          <w:lang w:val="en"/>
        </w:rPr>
        <w:t>2）数据存储持久性考核。本项适用于对数据存储持久性有招标技术要求的服务项，数据存储持久性应不低于数据存储持久性指标。各单项服务造成甲方</w:t>
      </w:r>
      <w:r>
        <w:rPr>
          <w:rFonts w:hint="eastAsia" w:ascii="宋体" w:hAnsi="宋体" w:cs="宋体"/>
          <w:sz w:val="21"/>
          <w:szCs w:val="21"/>
          <w:highlight w:val="none"/>
          <w:lang w:val="en"/>
        </w:rPr>
        <w:t>或甲方最终客户</w:t>
      </w:r>
      <w:r>
        <w:rPr>
          <w:rFonts w:hint="eastAsia" w:ascii="宋体" w:hAnsi="宋体" w:cs="宋体"/>
          <w:highlight w:val="none"/>
          <w:lang w:val="en"/>
        </w:rPr>
        <w:t>数据丢失超过72小时且未恢复视为数据存储持久性违约；</w:t>
      </w:r>
    </w:p>
    <w:p w14:paraId="6E956056">
      <w:pPr>
        <w:pStyle w:val="242"/>
        <w:spacing w:line="288" w:lineRule="auto"/>
        <w:ind w:firstLine="420"/>
        <w:rPr>
          <w:rFonts w:ascii="宋体" w:hAnsi="宋体" w:cs="宋体"/>
          <w:highlight w:val="none"/>
          <w:lang w:val="en"/>
        </w:rPr>
      </w:pPr>
      <w:r>
        <w:rPr>
          <w:rFonts w:hint="eastAsia" w:ascii="宋体" w:hAnsi="宋体" w:cs="宋体"/>
          <w:highlight w:val="none"/>
          <w:lang w:val="en"/>
        </w:rPr>
        <w:t>3）服务及时性考核。乙方收到已审批的服务申请后，应于交付时限内按申请工单发放资源，超出交付时限视为服务及时性违约。若申请服务量超过乙方交付能力导致交付超出时限，甲方可依据云服务等级协议的交付时限内交付下限判定是否违约。</w:t>
      </w:r>
    </w:p>
    <w:p w14:paraId="25387C6C">
      <w:pPr>
        <w:pStyle w:val="242"/>
        <w:spacing w:line="288" w:lineRule="auto"/>
        <w:ind w:firstLine="420"/>
        <w:rPr>
          <w:rFonts w:ascii="宋体" w:hAnsi="宋体" w:cs="宋体"/>
          <w:highlight w:val="none"/>
          <w:lang w:val="en"/>
        </w:rPr>
      </w:pPr>
      <w:r>
        <w:rPr>
          <w:rFonts w:ascii="宋体" w:hAnsi="宋体" w:cs="宋体"/>
          <w:highlight w:val="none"/>
        </w:rPr>
        <w:t>5</w:t>
      </w:r>
      <w:r>
        <w:rPr>
          <w:rFonts w:hint="eastAsia" w:ascii="宋体" w:hAnsi="宋体" w:cs="宋体"/>
          <w:highlight w:val="none"/>
          <w:lang w:val="en"/>
        </w:rPr>
        <w:t>.2故障处理及时性考核内容</w:t>
      </w:r>
    </w:p>
    <w:p w14:paraId="5589E396">
      <w:pPr>
        <w:pStyle w:val="242"/>
        <w:spacing w:line="288" w:lineRule="auto"/>
        <w:ind w:firstLine="420"/>
        <w:rPr>
          <w:rFonts w:ascii="宋体" w:hAnsi="宋体" w:cs="宋体"/>
          <w:highlight w:val="none"/>
          <w:lang w:val="en"/>
        </w:rPr>
      </w:pPr>
      <w:r>
        <w:rPr>
          <w:rFonts w:hint="eastAsia" w:ascii="宋体" w:hAnsi="宋体" w:cs="宋体"/>
          <w:highlight w:val="none"/>
          <w:lang w:val="en"/>
        </w:rPr>
        <w:t>故障处理及时性指在故障上报、服务恢复及提交故障报告环节具体响应时间</w:t>
      </w:r>
      <w:r>
        <w:rPr>
          <w:rFonts w:hint="eastAsia" w:ascii="宋体" w:hAnsi="宋体" w:cs="宋体"/>
          <w:highlight w:val="none"/>
          <w:lang w:val="en" w:eastAsia="zh-CN"/>
        </w:rPr>
        <w:t>是否符合</w:t>
      </w:r>
      <w:r>
        <w:rPr>
          <w:rFonts w:hint="eastAsia" w:ascii="宋体" w:hAnsi="宋体" w:cs="宋体"/>
          <w:highlight w:val="none"/>
          <w:lang w:val="en"/>
        </w:rPr>
        <w:t>要求时限。响应时间应经双方确认，若确认结果不一致，由各方协商解决。有关时间如下：</w:t>
      </w:r>
    </w:p>
    <w:p w14:paraId="705AFDDD">
      <w:pPr>
        <w:pStyle w:val="242"/>
        <w:spacing w:line="288" w:lineRule="auto"/>
        <w:ind w:firstLine="420"/>
        <w:rPr>
          <w:rFonts w:ascii="宋体" w:hAnsi="宋体" w:cs="宋体"/>
          <w:highlight w:val="none"/>
          <w:lang w:val="en"/>
        </w:rPr>
      </w:pPr>
      <w:r>
        <w:rPr>
          <w:rFonts w:hint="eastAsia" w:ascii="宋体" w:hAnsi="宋体" w:cs="宋体"/>
          <w:highlight w:val="none"/>
          <w:lang w:val="en"/>
        </w:rPr>
        <w:t>1）故障发生时间是指通过对告警分析、日志分析、主动巡检、用户报障等渠道能追溯到的故障发生的最初时间，若通过以上渠道无法确定，则按收到与故障有关信息的最早时间确定；</w:t>
      </w:r>
    </w:p>
    <w:p w14:paraId="308E4A49">
      <w:pPr>
        <w:pStyle w:val="242"/>
        <w:spacing w:line="288" w:lineRule="auto"/>
        <w:ind w:firstLine="420"/>
        <w:rPr>
          <w:rFonts w:ascii="宋体" w:hAnsi="宋体" w:cs="宋体"/>
          <w:highlight w:val="none"/>
          <w:lang w:val="en"/>
        </w:rPr>
      </w:pPr>
      <w:r>
        <w:rPr>
          <w:rFonts w:hint="eastAsia" w:ascii="宋体" w:hAnsi="宋体" w:cs="宋体"/>
          <w:highlight w:val="none"/>
          <w:lang w:val="en"/>
        </w:rPr>
        <w:t>2）故障上报时间是指乙方通过邮件或其他即时通信工具上报故障情况至甲方</w:t>
      </w:r>
      <w:r>
        <w:rPr>
          <w:rFonts w:hint="eastAsia" w:ascii="宋体" w:hAnsi="宋体" w:cs="宋体"/>
          <w:sz w:val="21"/>
          <w:szCs w:val="21"/>
          <w:highlight w:val="none"/>
          <w:lang w:val="en"/>
        </w:rPr>
        <w:t>或甲方最终客户</w:t>
      </w:r>
      <w:r>
        <w:rPr>
          <w:rFonts w:hint="eastAsia" w:ascii="宋体" w:hAnsi="宋体" w:cs="宋体"/>
          <w:highlight w:val="none"/>
          <w:lang w:val="en"/>
        </w:rPr>
        <w:t>的时间；</w:t>
      </w:r>
    </w:p>
    <w:p w14:paraId="31665B4A">
      <w:pPr>
        <w:pStyle w:val="242"/>
        <w:spacing w:line="288" w:lineRule="auto"/>
        <w:ind w:firstLine="420"/>
        <w:rPr>
          <w:rFonts w:ascii="宋体" w:hAnsi="宋体" w:cs="宋体"/>
          <w:highlight w:val="none"/>
          <w:lang w:val="en"/>
        </w:rPr>
      </w:pPr>
      <w:r>
        <w:rPr>
          <w:rFonts w:hint="eastAsia" w:ascii="宋体" w:hAnsi="宋体" w:cs="宋体"/>
          <w:highlight w:val="none"/>
          <w:lang w:val="en"/>
        </w:rPr>
        <w:t>3）服务恢复时间是指乙方修复故障后，经使用单位确认后的时间；</w:t>
      </w:r>
    </w:p>
    <w:p w14:paraId="53BCA6F3">
      <w:pPr>
        <w:pStyle w:val="242"/>
        <w:spacing w:line="288" w:lineRule="auto"/>
        <w:ind w:firstLine="420"/>
        <w:rPr>
          <w:rFonts w:ascii="宋体" w:hAnsi="宋体" w:cs="宋体"/>
          <w:highlight w:val="none"/>
          <w:lang w:val="en"/>
        </w:rPr>
      </w:pPr>
      <w:r>
        <w:rPr>
          <w:rFonts w:hint="eastAsia" w:ascii="宋体" w:hAnsi="宋体" w:cs="宋体"/>
          <w:highlight w:val="none"/>
          <w:lang w:val="en"/>
        </w:rPr>
        <w:t>4）提交故障报告时间是指乙方通过邮件或纸质材料提交故障报告至甲方</w:t>
      </w:r>
      <w:r>
        <w:rPr>
          <w:rFonts w:hint="eastAsia" w:ascii="宋体" w:hAnsi="宋体" w:cs="宋体"/>
          <w:sz w:val="21"/>
          <w:szCs w:val="21"/>
          <w:highlight w:val="none"/>
          <w:lang w:val="en"/>
        </w:rPr>
        <w:t>或甲方最终客户</w:t>
      </w:r>
      <w:r>
        <w:rPr>
          <w:rFonts w:hint="eastAsia" w:ascii="宋体" w:hAnsi="宋体" w:cs="宋体"/>
          <w:highlight w:val="none"/>
          <w:lang w:val="en"/>
        </w:rPr>
        <w:t>的时间。</w:t>
      </w:r>
    </w:p>
    <w:p w14:paraId="121926A8">
      <w:pPr>
        <w:pStyle w:val="242"/>
        <w:spacing w:line="288" w:lineRule="auto"/>
        <w:ind w:firstLine="420"/>
        <w:rPr>
          <w:rFonts w:ascii="宋体" w:hAnsi="宋体" w:cs="宋体"/>
          <w:highlight w:val="none"/>
          <w:lang w:val="en"/>
        </w:rPr>
      </w:pPr>
      <w:r>
        <w:rPr>
          <w:rFonts w:hint="eastAsia" w:ascii="宋体" w:hAnsi="宋体" w:cs="宋体"/>
          <w:highlight w:val="none"/>
          <w:lang w:val="en"/>
        </w:rPr>
        <w:t>故障处理及时性包括故障上报、服务恢复及故障报告等环节，下表中时间范围的“内”包含本数，具体要求如下：</w:t>
      </w:r>
    </w:p>
    <w:tbl>
      <w:tblPr>
        <w:tblStyle w:val="50"/>
        <w:tblW w:w="7732"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3"/>
        <w:gridCol w:w="6519"/>
      </w:tblGrid>
      <w:tr w14:paraId="1FB4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213" w:type="dxa"/>
            <w:tcBorders>
              <w:top w:val="single" w:color="auto" w:sz="4" w:space="0"/>
              <w:left w:val="single" w:color="auto" w:sz="4" w:space="0"/>
              <w:bottom w:val="single" w:color="auto" w:sz="4" w:space="0"/>
              <w:right w:val="single" w:color="auto" w:sz="4" w:space="0"/>
            </w:tcBorders>
            <w:vAlign w:val="center"/>
          </w:tcPr>
          <w:p w14:paraId="00A60045">
            <w:pPr>
              <w:spacing w:line="240" w:lineRule="auto"/>
              <w:ind w:firstLine="0" w:firstLineChars="0"/>
              <w:jc w:val="both"/>
              <w:rPr>
                <w:rFonts w:cs="等线"/>
                <w:b/>
                <w:bCs/>
                <w:szCs w:val="21"/>
                <w:highlight w:val="none"/>
              </w:rPr>
            </w:pPr>
            <w:r>
              <w:rPr>
                <w:rFonts w:hint="eastAsia" w:cs="等线"/>
                <w:b/>
                <w:bCs/>
                <w:szCs w:val="21"/>
                <w:highlight w:val="none"/>
              </w:rPr>
              <w:t>处理环节</w:t>
            </w:r>
          </w:p>
        </w:tc>
        <w:tc>
          <w:tcPr>
            <w:tcW w:w="6519" w:type="dxa"/>
            <w:tcBorders>
              <w:top w:val="single" w:color="auto" w:sz="4" w:space="0"/>
              <w:left w:val="nil"/>
              <w:bottom w:val="single" w:color="auto" w:sz="4" w:space="0"/>
              <w:right w:val="single" w:color="auto" w:sz="4" w:space="0"/>
            </w:tcBorders>
            <w:vAlign w:val="center"/>
          </w:tcPr>
          <w:p w14:paraId="152DD9DC">
            <w:pPr>
              <w:spacing w:line="240" w:lineRule="auto"/>
              <w:ind w:firstLine="422"/>
              <w:jc w:val="center"/>
              <w:rPr>
                <w:rFonts w:cs="等线"/>
                <w:b/>
                <w:bCs/>
                <w:szCs w:val="21"/>
                <w:highlight w:val="none"/>
              </w:rPr>
            </w:pPr>
            <w:r>
              <w:rPr>
                <w:rFonts w:hint="eastAsia" w:cs="等线"/>
                <w:b/>
                <w:bCs/>
                <w:szCs w:val="21"/>
                <w:highlight w:val="none"/>
              </w:rPr>
              <w:t>要求时限</w:t>
            </w:r>
          </w:p>
        </w:tc>
      </w:tr>
      <w:tr w14:paraId="03E0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1213" w:type="dxa"/>
            <w:tcBorders>
              <w:top w:val="single" w:color="auto" w:sz="4" w:space="0"/>
              <w:left w:val="single" w:color="auto" w:sz="4" w:space="0"/>
              <w:bottom w:val="single" w:color="auto" w:sz="4" w:space="0"/>
              <w:right w:val="single" w:color="auto" w:sz="4" w:space="0"/>
            </w:tcBorders>
            <w:vAlign w:val="center"/>
          </w:tcPr>
          <w:p w14:paraId="71B8EEAE">
            <w:pPr>
              <w:spacing w:line="240" w:lineRule="auto"/>
              <w:ind w:firstLine="0" w:firstLineChars="0"/>
              <w:jc w:val="both"/>
              <w:rPr>
                <w:rFonts w:cs="等线"/>
                <w:b/>
                <w:bCs/>
                <w:szCs w:val="21"/>
                <w:highlight w:val="none"/>
              </w:rPr>
            </w:pPr>
            <w:r>
              <w:rPr>
                <w:rFonts w:hint="eastAsia" w:cs="等线"/>
                <w:b/>
                <w:bCs/>
                <w:szCs w:val="21"/>
                <w:highlight w:val="none"/>
              </w:rPr>
              <w:t>故障上报</w:t>
            </w:r>
          </w:p>
        </w:tc>
        <w:tc>
          <w:tcPr>
            <w:tcW w:w="6519" w:type="dxa"/>
            <w:tcBorders>
              <w:top w:val="single" w:color="auto" w:sz="4" w:space="0"/>
              <w:left w:val="nil"/>
              <w:bottom w:val="single" w:color="auto" w:sz="4" w:space="0"/>
              <w:right w:val="single" w:color="auto" w:sz="4" w:space="0"/>
            </w:tcBorders>
            <w:vAlign w:val="center"/>
          </w:tcPr>
          <w:p w14:paraId="7B5A4835">
            <w:pPr>
              <w:spacing w:line="240" w:lineRule="auto"/>
              <w:ind w:firstLine="0" w:firstLineChars="0"/>
              <w:jc w:val="both"/>
              <w:rPr>
                <w:rFonts w:cs="等线"/>
                <w:szCs w:val="21"/>
                <w:highlight w:val="none"/>
              </w:rPr>
            </w:pPr>
            <w:r>
              <w:rPr>
                <w:rFonts w:hint="eastAsia" w:cs="等线"/>
                <w:szCs w:val="21"/>
                <w:highlight w:val="none"/>
              </w:rPr>
              <w:t>自故障发生时间起，0.5小时内上报（邮件、电话等）</w:t>
            </w:r>
          </w:p>
        </w:tc>
      </w:tr>
      <w:tr w14:paraId="5065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213" w:type="dxa"/>
            <w:tcBorders>
              <w:top w:val="single" w:color="auto" w:sz="4" w:space="0"/>
              <w:left w:val="single" w:color="auto" w:sz="4" w:space="0"/>
              <w:bottom w:val="single" w:color="auto" w:sz="4" w:space="0"/>
              <w:right w:val="single" w:color="auto" w:sz="4" w:space="0"/>
            </w:tcBorders>
            <w:vAlign w:val="center"/>
          </w:tcPr>
          <w:p w14:paraId="268CCCB1">
            <w:pPr>
              <w:spacing w:line="240" w:lineRule="auto"/>
              <w:ind w:firstLine="0" w:firstLineChars="0"/>
              <w:jc w:val="both"/>
              <w:rPr>
                <w:rFonts w:cs="等线"/>
                <w:b/>
                <w:bCs/>
                <w:szCs w:val="21"/>
                <w:highlight w:val="none"/>
              </w:rPr>
            </w:pPr>
            <w:r>
              <w:rPr>
                <w:rFonts w:hint="eastAsia" w:cs="等线"/>
                <w:b/>
                <w:bCs/>
                <w:szCs w:val="21"/>
                <w:highlight w:val="none"/>
              </w:rPr>
              <w:t>服务恢复</w:t>
            </w:r>
          </w:p>
        </w:tc>
        <w:tc>
          <w:tcPr>
            <w:tcW w:w="6519" w:type="dxa"/>
            <w:tcBorders>
              <w:top w:val="single" w:color="auto" w:sz="4" w:space="0"/>
              <w:left w:val="nil"/>
              <w:bottom w:val="single" w:color="auto" w:sz="4" w:space="0"/>
              <w:right w:val="single" w:color="auto" w:sz="4" w:space="0"/>
            </w:tcBorders>
            <w:vAlign w:val="center"/>
          </w:tcPr>
          <w:p w14:paraId="19FF691A">
            <w:pPr>
              <w:spacing w:line="240" w:lineRule="auto"/>
              <w:ind w:firstLine="0" w:firstLineChars="0"/>
              <w:jc w:val="both"/>
              <w:rPr>
                <w:rFonts w:cs="等线"/>
                <w:szCs w:val="21"/>
                <w:highlight w:val="none"/>
              </w:rPr>
            </w:pPr>
            <w:r>
              <w:rPr>
                <w:rFonts w:hint="eastAsia" w:cs="等线"/>
                <w:szCs w:val="21"/>
                <w:highlight w:val="none"/>
              </w:rPr>
              <w:t>自故障发生时间起，2小时内恢复云服务</w:t>
            </w:r>
          </w:p>
        </w:tc>
      </w:tr>
      <w:tr w14:paraId="3B5A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tcBorders>
              <w:top w:val="single" w:color="auto" w:sz="4" w:space="0"/>
              <w:left w:val="single" w:color="auto" w:sz="4" w:space="0"/>
              <w:bottom w:val="single" w:color="auto" w:sz="4" w:space="0"/>
              <w:right w:val="single" w:color="auto" w:sz="4" w:space="0"/>
            </w:tcBorders>
            <w:vAlign w:val="center"/>
          </w:tcPr>
          <w:p w14:paraId="0C26D2CD">
            <w:pPr>
              <w:spacing w:line="240" w:lineRule="auto"/>
              <w:ind w:firstLine="0" w:firstLineChars="0"/>
              <w:jc w:val="both"/>
              <w:rPr>
                <w:rFonts w:cs="等线"/>
                <w:b/>
                <w:bCs/>
                <w:szCs w:val="21"/>
                <w:highlight w:val="none"/>
              </w:rPr>
            </w:pPr>
            <w:r>
              <w:rPr>
                <w:rFonts w:hint="eastAsia" w:cs="等线"/>
                <w:b/>
                <w:bCs/>
                <w:szCs w:val="21"/>
                <w:highlight w:val="none"/>
              </w:rPr>
              <w:t>故障报告</w:t>
            </w:r>
          </w:p>
        </w:tc>
        <w:tc>
          <w:tcPr>
            <w:tcW w:w="6519" w:type="dxa"/>
            <w:tcBorders>
              <w:top w:val="single" w:color="auto" w:sz="4" w:space="0"/>
              <w:left w:val="nil"/>
              <w:bottom w:val="single" w:color="auto" w:sz="4" w:space="0"/>
              <w:right w:val="single" w:color="auto" w:sz="4" w:space="0"/>
            </w:tcBorders>
            <w:vAlign w:val="center"/>
          </w:tcPr>
          <w:p w14:paraId="1F03654E">
            <w:pPr>
              <w:spacing w:line="240" w:lineRule="auto"/>
              <w:ind w:firstLine="0" w:firstLineChars="0"/>
              <w:jc w:val="both"/>
              <w:rPr>
                <w:rFonts w:cs="等线"/>
                <w:szCs w:val="21"/>
                <w:highlight w:val="none"/>
              </w:rPr>
            </w:pPr>
            <w:r>
              <w:rPr>
                <w:rFonts w:hint="eastAsia" w:cs="等线"/>
                <w:szCs w:val="21"/>
                <w:highlight w:val="none"/>
              </w:rPr>
              <w:t>自服务恢复时间起，24小时内出具故障报告</w:t>
            </w:r>
          </w:p>
        </w:tc>
      </w:tr>
    </w:tbl>
    <w:p w14:paraId="369C7EC9">
      <w:pPr>
        <w:pStyle w:val="242"/>
        <w:spacing w:line="288" w:lineRule="auto"/>
        <w:ind w:firstLine="420"/>
        <w:rPr>
          <w:rFonts w:ascii="宋体" w:hAnsi="宋体" w:cs="宋体"/>
          <w:highlight w:val="none"/>
          <w:lang w:val="en"/>
        </w:rPr>
      </w:pPr>
      <w:bookmarkStart w:id="17" w:name="_Toc1050169357"/>
      <w:bookmarkStart w:id="18" w:name="_Toc201331184"/>
      <w:bookmarkStart w:id="19" w:name="_Toc1067375470"/>
      <w:r>
        <w:rPr>
          <w:rFonts w:hint="eastAsia" w:ascii="宋体" w:hAnsi="宋体" w:cs="宋体"/>
          <w:highlight w:val="none"/>
          <w:lang w:val="en"/>
        </w:rPr>
        <w:t>5.3运维服务水平考核</w:t>
      </w:r>
      <w:bookmarkEnd w:id="17"/>
      <w:bookmarkEnd w:id="18"/>
      <w:bookmarkEnd w:id="19"/>
    </w:p>
    <w:p w14:paraId="7F15D375">
      <w:pPr>
        <w:pStyle w:val="242"/>
        <w:spacing w:line="288" w:lineRule="auto"/>
        <w:ind w:firstLine="420"/>
        <w:rPr>
          <w:rFonts w:ascii="宋体" w:hAnsi="宋体" w:cs="宋体"/>
          <w:highlight w:val="none"/>
          <w:lang w:val="en"/>
        </w:rPr>
      </w:pPr>
      <w:r>
        <w:rPr>
          <w:rFonts w:hint="eastAsia" w:ascii="宋体" w:hAnsi="宋体" w:cs="宋体"/>
          <w:highlight w:val="none"/>
          <w:lang w:val="en"/>
        </w:rPr>
        <w:t>运维服务水平考核标准包括服务台、低负载通知、日常运维报告、超额使用通知、变更事件上报、团队人员管理以及服务满意度等。</w:t>
      </w:r>
    </w:p>
    <w:tbl>
      <w:tblPr>
        <w:tblStyle w:val="50"/>
        <w:tblW w:w="7787" w:type="dxa"/>
        <w:tblInd w:w="160" w:type="dxa"/>
        <w:tblLayout w:type="fixed"/>
        <w:tblCellMar>
          <w:top w:w="0" w:type="dxa"/>
          <w:left w:w="108" w:type="dxa"/>
          <w:bottom w:w="0" w:type="dxa"/>
          <w:right w:w="108" w:type="dxa"/>
        </w:tblCellMar>
      </w:tblPr>
      <w:tblGrid>
        <w:gridCol w:w="800"/>
        <w:gridCol w:w="914"/>
        <w:gridCol w:w="6073"/>
      </w:tblGrid>
      <w:tr w14:paraId="14F856C8">
        <w:tblPrEx>
          <w:tblCellMar>
            <w:top w:w="0" w:type="dxa"/>
            <w:left w:w="108" w:type="dxa"/>
            <w:bottom w:w="0" w:type="dxa"/>
            <w:right w:w="108" w:type="dxa"/>
          </w:tblCellMar>
        </w:tblPrEx>
        <w:trPr>
          <w:trHeight w:val="484"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6F7FCBD2">
            <w:pPr>
              <w:spacing w:line="240" w:lineRule="auto"/>
              <w:ind w:firstLine="0" w:firstLineChars="0"/>
              <w:jc w:val="center"/>
              <w:rPr>
                <w:rFonts w:ascii="宋体" w:hAnsi="宋体" w:cs="宋体"/>
                <w:b/>
                <w:bCs/>
                <w:szCs w:val="21"/>
                <w:highlight w:val="none"/>
              </w:rPr>
            </w:pPr>
            <w:r>
              <w:rPr>
                <w:rFonts w:hint="eastAsia" w:ascii="宋体" w:hAnsi="宋体" w:cs="宋体"/>
                <w:b/>
                <w:bCs/>
                <w:szCs w:val="21"/>
                <w:highlight w:val="none"/>
              </w:rPr>
              <w:t>序号</w:t>
            </w:r>
          </w:p>
        </w:tc>
        <w:tc>
          <w:tcPr>
            <w:tcW w:w="914" w:type="dxa"/>
            <w:tcBorders>
              <w:top w:val="single" w:color="000000" w:sz="4" w:space="0"/>
              <w:left w:val="nil"/>
              <w:bottom w:val="single" w:color="000000" w:sz="4" w:space="0"/>
              <w:right w:val="single" w:color="000000" w:sz="4" w:space="0"/>
            </w:tcBorders>
            <w:vAlign w:val="center"/>
          </w:tcPr>
          <w:p w14:paraId="37F7BC27">
            <w:pPr>
              <w:spacing w:line="240" w:lineRule="auto"/>
              <w:ind w:firstLine="0" w:firstLineChars="0"/>
              <w:jc w:val="center"/>
              <w:rPr>
                <w:rFonts w:ascii="宋体" w:hAnsi="宋体" w:cs="宋体"/>
                <w:b/>
                <w:bCs/>
                <w:szCs w:val="21"/>
                <w:highlight w:val="none"/>
              </w:rPr>
            </w:pPr>
            <w:r>
              <w:rPr>
                <w:rFonts w:hint="eastAsia" w:ascii="宋体" w:hAnsi="宋体" w:cs="宋体"/>
                <w:b/>
                <w:bCs/>
                <w:szCs w:val="21"/>
                <w:highlight w:val="none"/>
              </w:rPr>
              <w:t>考核项</w:t>
            </w:r>
          </w:p>
        </w:tc>
        <w:tc>
          <w:tcPr>
            <w:tcW w:w="6073" w:type="dxa"/>
            <w:tcBorders>
              <w:top w:val="single" w:color="000000" w:sz="4" w:space="0"/>
              <w:left w:val="nil"/>
              <w:bottom w:val="single" w:color="000000" w:sz="4" w:space="0"/>
              <w:right w:val="single" w:color="000000" w:sz="4" w:space="0"/>
            </w:tcBorders>
            <w:vAlign w:val="center"/>
          </w:tcPr>
          <w:p w14:paraId="4B45FB2E">
            <w:pPr>
              <w:spacing w:line="240" w:lineRule="auto"/>
              <w:ind w:firstLine="422"/>
              <w:jc w:val="center"/>
              <w:rPr>
                <w:rFonts w:ascii="宋体" w:hAnsi="宋体" w:cs="宋体"/>
                <w:b/>
                <w:bCs/>
                <w:szCs w:val="21"/>
                <w:highlight w:val="none"/>
              </w:rPr>
            </w:pPr>
            <w:r>
              <w:rPr>
                <w:rFonts w:hint="eastAsia" w:ascii="宋体" w:hAnsi="宋体" w:cs="宋体"/>
                <w:b/>
                <w:bCs/>
                <w:szCs w:val="21"/>
                <w:highlight w:val="none"/>
              </w:rPr>
              <w:t>考核内容</w:t>
            </w:r>
          </w:p>
        </w:tc>
      </w:tr>
      <w:tr w14:paraId="007F32B6">
        <w:tblPrEx>
          <w:tblCellMar>
            <w:top w:w="0" w:type="dxa"/>
            <w:left w:w="108" w:type="dxa"/>
            <w:bottom w:w="0" w:type="dxa"/>
            <w:right w:w="108" w:type="dxa"/>
          </w:tblCellMar>
        </w:tblPrEx>
        <w:trPr>
          <w:trHeight w:val="310"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4C6A2061">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1</w:t>
            </w:r>
          </w:p>
        </w:tc>
        <w:tc>
          <w:tcPr>
            <w:tcW w:w="914" w:type="dxa"/>
            <w:tcBorders>
              <w:top w:val="single" w:color="000000" w:sz="4" w:space="0"/>
              <w:left w:val="nil"/>
              <w:bottom w:val="single" w:color="000000" w:sz="4" w:space="0"/>
              <w:right w:val="single" w:color="000000" w:sz="4" w:space="0"/>
            </w:tcBorders>
            <w:vAlign w:val="center"/>
          </w:tcPr>
          <w:p w14:paraId="66525061">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运维服务台</w:t>
            </w:r>
          </w:p>
        </w:tc>
        <w:tc>
          <w:tcPr>
            <w:tcW w:w="6073" w:type="dxa"/>
            <w:tcBorders>
              <w:top w:val="single" w:color="000000" w:sz="4" w:space="0"/>
              <w:left w:val="nil"/>
              <w:bottom w:val="single" w:color="000000" w:sz="4" w:space="0"/>
              <w:right w:val="single" w:color="000000" w:sz="4" w:space="0"/>
            </w:tcBorders>
            <w:vAlign w:val="center"/>
          </w:tcPr>
          <w:p w14:paraId="1AFB15AC">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提供7×24小时服务台（乙方）统一接口，对需求或问题进行受理、跟踪、答复、回访、闭环等。结算周期内由</w:t>
            </w:r>
            <w:r>
              <w:rPr>
                <w:rFonts w:hint="eastAsia" w:cs="宋体"/>
                <w:szCs w:val="21"/>
                <w:highlight w:val="none"/>
              </w:rPr>
              <w:t>甲方</w:t>
            </w:r>
            <w:r>
              <w:rPr>
                <w:rFonts w:hint="eastAsia" w:ascii="宋体" w:hAnsi="宋体" w:cs="宋体"/>
                <w:sz w:val="21"/>
                <w:szCs w:val="21"/>
                <w:highlight w:val="none"/>
                <w:lang w:val="en"/>
              </w:rPr>
              <w:t>或甲方最终客户</w:t>
            </w:r>
            <w:r>
              <w:rPr>
                <w:rFonts w:hint="eastAsia" w:ascii="宋体" w:hAnsi="宋体" w:cs="宋体"/>
                <w:szCs w:val="21"/>
                <w:highlight w:val="none"/>
              </w:rPr>
              <w:t>对服务响应情况抽查五次，未及时响应的视为服务响应不及时。</w:t>
            </w:r>
          </w:p>
        </w:tc>
      </w:tr>
      <w:tr w14:paraId="75DEC9D7">
        <w:tblPrEx>
          <w:tblCellMar>
            <w:top w:w="0" w:type="dxa"/>
            <w:left w:w="108" w:type="dxa"/>
            <w:bottom w:w="0" w:type="dxa"/>
            <w:right w:w="108" w:type="dxa"/>
          </w:tblCellMar>
        </w:tblPrEx>
        <w:trPr>
          <w:trHeight w:val="520"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173145B2">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2</w:t>
            </w:r>
          </w:p>
        </w:tc>
        <w:tc>
          <w:tcPr>
            <w:tcW w:w="914" w:type="dxa"/>
            <w:tcBorders>
              <w:top w:val="single" w:color="000000" w:sz="4" w:space="0"/>
              <w:left w:val="nil"/>
              <w:bottom w:val="single" w:color="000000" w:sz="4" w:space="0"/>
              <w:right w:val="single" w:color="000000" w:sz="4" w:space="0"/>
            </w:tcBorders>
            <w:vAlign w:val="center"/>
          </w:tcPr>
          <w:p w14:paraId="5A0BF6BA">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低负载通知</w:t>
            </w:r>
          </w:p>
        </w:tc>
        <w:tc>
          <w:tcPr>
            <w:tcW w:w="6073" w:type="dxa"/>
            <w:tcBorders>
              <w:top w:val="single" w:color="000000" w:sz="4" w:space="0"/>
              <w:left w:val="nil"/>
              <w:bottom w:val="single" w:color="000000" w:sz="4" w:space="0"/>
              <w:right w:val="single" w:color="000000" w:sz="4" w:space="0"/>
            </w:tcBorders>
            <w:vAlign w:val="center"/>
          </w:tcPr>
          <w:p w14:paraId="426806A6">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结算周期内按需向甲方</w:t>
            </w:r>
            <w:r>
              <w:rPr>
                <w:rFonts w:hint="eastAsia" w:ascii="宋体" w:hAnsi="宋体" w:cs="宋体"/>
                <w:sz w:val="21"/>
                <w:szCs w:val="21"/>
                <w:highlight w:val="none"/>
                <w:lang w:val="en"/>
              </w:rPr>
              <w:t>或甲方最终客户</w:t>
            </w:r>
            <w:r>
              <w:rPr>
                <w:rFonts w:hint="eastAsia" w:ascii="宋体" w:hAnsi="宋体" w:cs="宋体"/>
                <w:szCs w:val="21"/>
                <w:highlight w:val="none"/>
              </w:rPr>
              <w:t>提供智算云服务资源低负载运行情况。</w:t>
            </w:r>
          </w:p>
        </w:tc>
      </w:tr>
      <w:tr w14:paraId="67E36C8C">
        <w:tblPrEx>
          <w:tblCellMar>
            <w:top w:w="0" w:type="dxa"/>
            <w:left w:w="108" w:type="dxa"/>
            <w:bottom w:w="0" w:type="dxa"/>
            <w:right w:w="108" w:type="dxa"/>
          </w:tblCellMar>
        </w:tblPrEx>
        <w:trPr>
          <w:trHeight w:val="520"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4C9D88AB">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3</w:t>
            </w:r>
          </w:p>
        </w:tc>
        <w:tc>
          <w:tcPr>
            <w:tcW w:w="914" w:type="dxa"/>
            <w:tcBorders>
              <w:top w:val="single" w:color="000000" w:sz="4" w:space="0"/>
              <w:left w:val="nil"/>
              <w:bottom w:val="single" w:color="000000" w:sz="4" w:space="0"/>
              <w:right w:val="single" w:color="000000" w:sz="4" w:space="0"/>
            </w:tcBorders>
            <w:vAlign w:val="center"/>
          </w:tcPr>
          <w:p w14:paraId="6065C536">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日常运维报告</w:t>
            </w:r>
          </w:p>
        </w:tc>
        <w:tc>
          <w:tcPr>
            <w:tcW w:w="6073" w:type="dxa"/>
            <w:tcBorders>
              <w:top w:val="single" w:color="000000" w:sz="4" w:space="0"/>
              <w:left w:val="nil"/>
              <w:bottom w:val="single" w:color="000000" w:sz="4" w:space="0"/>
              <w:right w:val="single" w:color="000000" w:sz="4" w:space="0"/>
            </w:tcBorders>
            <w:vAlign w:val="center"/>
          </w:tcPr>
          <w:p w14:paraId="3BDACB43">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结算周期内向甲方</w:t>
            </w:r>
            <w:r>
              <w:rPr>
                <w:rFonts w:hint="eastAsia" w:ascii="宋体" w:hAnsi="宋体" w:cs="宋体"/>
                <w:sz w:val="21"/>
                <w:szCs w:val="21"/>
                <w:highlight w:val="none"/>
                <w:lang w:val="en"/>
              </w:rPr>
              <w:t>或甲方最终客户</w:t>
            </w:r>
            <w:r>
              <w:rPr>
                <w:rFonts w:hint="eastAsia" w:ascii="宋体" w:hAnsi="宋体" w:cs="宋体"/>
                <w:szCs w:val="21"/>
                <w:highlight w:val="none"/>
              </w:rPr>
              <w:t>提交智算云服务资源日、周、月、季度(除法定节假日外)的资源情况报告。</w:t>
            </w:r>
          </w:p>
        </w:tc>
      </w:tr>
      <w:tr w14:paraId="77A532BF">
        <w:tblPrEx>
          <w:tblCellMar>
            <w:top w:w="0" w:type="dxa"/>
            <w:left w:w="108" w:type="dxa"/>
            <w:bottom w:w="0" w:type="dxa"/>
            <w:right w:w="108" w:type="dxa"/>
          </w:tblCellMar>
        </w:tblPrEx>
        <w:trPr>
          <w:trHeight w:val="90"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04F93058">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4</w:t>
            </w:r>
          </w:p>
        </w:tc>
        <w:tc>
          <w:tcPr>
            <w:tcW w:w="914" w:type="dxa"/>
            <w:tcBorders>
              <w:top w:val="single" w:color="000000" w:sz="4" w:space="0"/>
              <w:left w:val="nil"/>
              <w:bottom w:val="single" w:color="000000" w:sz="4" w:space="0"/>
              <w:right w:val="single" w:color="000000" w:sz="4" w:space="0"/>
            </w:tcBorders>
            <w:vAlign w:val="center"/>
          </w:tcPr>
          <w:p w14:paraId="34DD76D2">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超额使用通知</w:t>
            </w:r>
          </w:p>
        </w:tc>
        <w:tc>
          <w:tcPr>
            <w:tcW w:w="6073" w:type="dxa"/>
            <w:tcBorders>
              <w:top w:val="single" w:color="000000" w:sz="4" w:space="0"/>
              <w:left w:val="nil"/>
              <w:bottom w:val="single" w:color="000000" w:sz="4" w:space="0"/>
              <w:right w:val="single" w:color="000000" w:sz="4" w:space="0"/>
            </w:tcBorders>
            <w:vAlign w:val="center"/>
          </w:tcPr>
          <w:p w14:paraId="5F20B999">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结算周期内向甲方</w:t>
            </w:r>
            <w:r>
              <w:rPr>
                <w:rFonts w:hint="eastAsia" w:ascii="宋体" w:hAnsi="宋体" w:cs="宋体"/>
                <w:sz w:val="21"/>
                <w:szCs w:val="21"/>
                <w:highlight w:val="none"/>
                <w:lang w:val="en"/>
              </w:rPr>
              <w:t>或甲方最终客户</w:t>
            </w:r>
            <w:r>
              <w:rPr>
                <w:rFonts w:hint="eastAsia" w:ascii="宋体" w:hAnsi="宋体" w:cs="宋体"/>
                <w:szCs w:val="21"/>
                <w:highlight w:val="none"/>
              </w:rPr>
              <w:t>提供智算云服务资源周、月、季度的超额使用情况。</w:t>
            </w:r>
          </w:p>
        </w:tc>
      </w:tr>
      <w:tr w14:paraId="12D41CBC">
        <w:tblPrEx>
          <w:tblCellMar>
            <w:top w:w="0" w:type="dxa"/>
            <w:left w:w="108" w:type="dxa"/>
            <w:bottom w:w="0" w:type="dxa"/>
            <w:right w:w="108" w:type="dxa"/>
          </w:tblCellMar>
        </w:tblPrEx>
        <w:trPr>
          <w:trHeight w:val="780" w:hRule="atLeast"/>
        </w:trPr>
        <w:tc>
          <w:tcPr>
            <w:tcW w:w="800" w:type="dxa"/>
            <w:tcBorders>
              <w:top w:val="single" w:color="000000" w:sz="4" w:space="0"/>
              <w:left w:val="single" w:color="000000" w:sz="4" w:space="0"/>
              <w:bottom w:val="single" w:color="000000" w:sz="4" w:space="0"/>
              <w:right w:val="single" w:color="000000" w:sz="4" w:space="0"/>
            </w:tcBorders>
            <w:vAlign w:val="center"/>
          </w:tcPr>
          <w:p w14:paraId="01458CEE">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5</w:t>
            </w:r>
          </w:p>
        </w:tc>
        <w:tc>
          <w:tcPr>
            <w:tcW w:w="914" w:type="dxa"/>
            <w:tcBorders>
              <w:top w:val="single" w:color="000000" w:sz="4" w:space="0"/>
              <w:left w:val="nil"/>
              <w:bottom w:val="single" w:color="000000" w:sz="4" w:space="0"/>
              <w:right w:val="single" w:color="000000" w:sz="4" w:space="0"/>
            </w:tcBorders>
            <w:vAlign w:val="center"/>
          </w:tcPr>
          <w:p w14:paraId="4DDCB121">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变更事件上报</w:t>
            </w:r>
          </w:p>
        </w:tc>
        <w:tc>
          <w:tcPr>
            <w:tcW w:w="6073" w:type="dxa"/>
            <w:tcBorders>
              <w:top w:val="single" w:color="000000" w:sz="4" w:space="0"/>
              <w:left w:val="nil"/>
              <w:bottom w:val="single" w:color="000000" w:sz="4" w:space="0"/>
              <w:right w:val="single" w:color="000000" w:sz="4" w:space="0"/>
            </w:tcBorders>
            <w:vAlign w:val="center"/>
          </w:tcPr>
          <w:p w14:paraId="4DA21F9F">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乙方对</w:t>
            </w:r>
            <w:r>
              <w:rPr>
                <w:rFonts w:hint="eastAsia" w:cs="宋体"/>
                <w:szCs w:val="21"/>
                <w:highlight w:val="none"/>
              </w:rPr>
              <w:t>智算服务</w:t>
            </w:r>
            <w:r>
              <w:rPr>
                <w:rFonts w:hint="eastAsia" w:ascii="宋体" w:hAnsi="宋体" w:cs="宋体"/>
                <w:szCs w:val="21"/>
                <w:highlight w:val="none"/>
              </w:rPr>
              <w:t>实施升级、优化、调整等重大变更前，应先开展影响分析工作，并事前向甲方</w:t>
            </w:r>
            <w:r>
              <w:rPr>
                <w:rFonts w:hint="eastAsia" w:ascii="宋体" w:hAnsi="宋体" w:cs="宋体"/>
                <w:sz w:val="21"/>
                <w:szCs w:val="21"/>
                <w:highlight w:val="none"/>
                <w:lang w:val="en"/>
              </w:rPr>
              <w:t>或甲方最终客户</w:t>
            </w:r>
            <w:r>
              <w:rPr>
                <w:rFonts w:hint="eastAsia" w:ascii="宋体" w:hAnsi="宋体" w:cs="宋体"/>
                <w:szCs w:val="21"/>
                <w:highlight w:val="none"/>
              </w:rPr>
              <w:t>提交变更申请和变更方案，经评估在最低影响限度下方可实施。</w:t>
            </w:r>
          </w:p>
        </w:tc>
      </w:tr>
      <w:tr w14:paraId="67822D05">
        <w:tblPrEx>
          <w:tblCellMar>
            <w:top w:w="0" w:type="dxa"/>
            <w:left w:w="108" w:type="dxa"/>
            <w:bottom w:w="0" w:type="dxa"/>
            <w:right w:w="108" w:type="dxa"/>
          </w:tblCellMar>
        </w:tblPrEx>
        <w:trPr>
          <w:trHeight w:val="368" w:hRule="atLeast"/>
        </w:trPr>
        <w:tc>
          <w:tcPr>
            <w:tcW w:w="800" w:type="dxa"/>
            <w:vMerge w:val="restart"/>
            <w:tcBorders>
              <w:top w:val="nil"/>
              <w:left w:val="single" w:color="000000" w:sz="4" w:space="0"/>
              <w:bottom w:val="single" w:color="000000" w:sz="4" w:space="0"/>
              <w:right w:val="single" w:color="000000" w:sz="4" w:space="0"/>
            </w:tcBorders>
            <w:vAlign w:val="center"/>
          </w:tcPr>
          <w:p w14:paraId="3328AF4E">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6</w:t>
            </w:r>
          </w:p>
        </w:tc>
        <w:tc>
          <w:tcPr>
            <w:tcW w:w="914" w:type="dxa"/>
            <w:vMerge w:val="restart"/>
            <w:tcBorders>
              <w:top w:val="nil"/>
              <w:left w:val="nil"/>
              <w:bottom w:val="single" w:color="000000" w:sz="4" w:space="0"/>
              <w:right w:val="single" w:color="000000" w:sz="4" w:space="0"/>
            </w:tcBorders>
            <w:vAlign w:val="center"/>
          </w:tcPr>
          <w:p w14:paraId="2310144B">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团队人员管理</w:t>
            </w:r>
          </w:p>
        </w:tc>
        <w:tc>
          <w:tcPr>
            <w:tcW w:w="6073" w:type="dxa"/>
            <w:vMerge w:val="restart"/>
            <w:tcBorders>
              <w:top w:val="nil"/>
              <w:left w:val="nil"/>
              <w:bottom w:val="single" w:color="000000" w:sz="4" w:space="0"/>
              <w:right w:val="single" w:color="000000" w:sz="4" w:space="0"/>
            </w:tcBorders>
            <w:vAlign w:val="center"/>
          </w:tcPr>
          <w:p w14:paraId="650BF2D7">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乙方应明确季度运维服务团队人员数量，于每结算周期初提供</w:t>
            </w:r>
            <w:r>
              <w:rPr>
                <w:rFonts w:hint="eastAsia" w:ascii="宋体" w:hAnsi="宋体" w:cs="宋体"/>
                <w:szCs w:val="21"/>
                <w:highlight w:val="none"/>
                <w:lang w:eastAsia="zh-CN"/>
              </w:rPr>
              <w:t>服务团队</w:t>
            </w:r>
            <w:r>
              <w:rPr>
                <w:rFonts w:hint="eastAsia" w:ascii="宋体" w:hAnsi="宋体" w:cs="宋体"/>
                <w:szCs w:val="21"/>
                <w:highlight w:val="none"/>
              </w:rPr>
              <w:t>名单，当结算周期结束后结算中人员不一致时(季度服务周期内已做人员变更登记备案除外)，根据不一致人数取定唯一违约金系数，同时不一致的人数不纳入结算范畴。</w:t>
            </w:r>
          </w:p>
        </w:tc>
      </w:tr>
      <w:tr w14:paraId="366A7B51">
        <w:tblPrEx>
          <w:tblCellMar>
            <w:top w:w="0" w:type="dxa"/>
            <w:left w:w="108" w:type="dxa"/>
            <w:bottom w:w="0" w:type="dxa"/>
            <w:right w:w="108" w:type="dxa"/>
          </w:tblCellMar>
        </w:tblPrEx>
        <w:trPr>
          <w:trHeight w:val="426" w:hRule="atLeast"/>
        </w:trPr>
        <w:tc>
          <w:tcPr>
            <w:tcW w:w="800" w:type="dxa"/>
            <w:vMerge w:val="continue"/>
            <w:tcBorders>
              <w:top w:val="nil"/>
              <w:left w:val="single" w:color="000000" w:sz="4" w:space="0"/>
              <w:bottom w:val="single" w:color="000000" w:sz="4" w:space="0"/>
              <w:right w:val="single" w:color="000000" w:sz="4" w:space="0"/>
            </w:tcBorders>
            <w:vAlign w:val="center"/>
          </w:tcPr>
          <w:p w14:paraId="52C25B83">
            <w:pPr>
              <w:spacing w:line="240" w:lineRule="auto"/>
              <w:ind w:firstLine="0" w:firstLineChars="0"/>
              <w:jc w:val="center"/>
              <w:rPr>
                <w:rFonts w:ascii="宋体" w:hAnsi="宋体" w:cs="宋体"/>
                <w:szCs w:val="21"/>
                <w:highlight w:val="none"/>
              </w:rPr>
            </w:pPr>
          </w:p>
        </w:tc>
        <w:tc>
          <w:tcPr>
            <w:tcW w:w="914" w:type="dxa"/>
            <w:vMerge w:val="continue"/>
            <w:tcBorders>
              <w:top w:val="nil"/>
              <w:left w:val="nil"/>
              <w:bottom w:val="single" w:color="000000" w:sz="4" w:space="0"/>
              <w:right w:val="single" w:color="000000" w:sz="4" w:space="0"/>
            </w:tcBorders>
            <w:vAlign w:val="center"/>
          </w:tcPr>
          <w:p w14:paraId="2C89C9C0">
            <w:pPr>
              <w:spacing w:line="240" w:lineRule="auto"/>
              <w:ind w:firstLine="420"/>
              <w:jc w:val="center"/>
              <w:rPr>
                <w:rFonts w:ascii="宋体" w:hAnsi="宋体" w:cs="宋体"/>
                <w:szCs w:val="21"/>
                <w:highlight w:val="none"/>
              </w:rPr>
            </w:pPr>
          </w:p>
        </w:tc>
        <w:tc>
          <w:tcPr>
            <w:tcW w:w="6073" w:type="dxa"/>
            <w:vMerge w:val="continue"/>
            <w:tcBorders>
              <w:top w:val="nil"/>
              <w:left w:val="nil"/>
              <w:bottom w:val="single" w:color="000000" w:sz="4" w:space="0"/>
              <w:right w:val="single" w:color="000000" w:sz="4" w:space="0"/>
            </w:tcBorders>
            <w:vAlign w:val="center"/>
          </w:tcPr>
          <w:p w14:paraId="37D3393C">
            <w:pPr>
              <w:spacing w:line="240" w:lineRule="auto"/>
              <w:ind w:firstLine="420"/>
              <w:jc w:val="center"/>
              <w:rPr>
                <w:rFonts w:ascii="宋体" w:hAnsi="宋体" w:cs="宋体"/>
                <w:szCs w:val="21"/>
                <w:highlight w:val="none"/>
              </w:rPr>
            </w:pPr>
          </w:p>
        </w:tc>
      </w:tr>
      <w:tr w14:paraId="364A6C43">
        <w:tblPrEx>
          <w:tblCellMar>
            <w:top w:w="0" w:type="dxa"/>
            <w:left w:w="108" w:type="dxa"/>
            <w:bottom w:w="0" w:type="dxa"/>
            <w:right w:w="108" w:type="dxa"/>
          </w:tblCellMar>
        </w:tblPrEx>
        <w:trPr>
          <w:trHeight w:val="425" w:hRule="atLeast"/>
        </w:trPr>
        <w:tc>
          <w:tcPr>
            <w:tcW w:w="800" w:type="dxa"/>
            <w:vMerge w:val="continue"/>
            <w:tcBorders>
              <w:top w:val="nil"/>
              <w:left w:val="single" w:color="000000" w:sz="4" w:space="0"/>
              <w:bottom w:val="single" w:color="000000" w:sz="4" w:space="0"/>
              <w:right w:val="single" w:color="000000" w:sz="4" w:space="0"/>
            </w:tcBorders>
            <w:vAlign w:val="center"/>
          </w:tcPr>
          <w:p w14:paraId="4EC5EFA5">
            <w:pPr>
              <w:spacing w:line="240" w:lineRule="auto"/>
              <w:ind w:firstLine="0" w:firstLineChars="0"/>
              <w:jc w:val="center"/>
              <w:rPr>
                <w:rFonts w:ascii="宋体" w:hAnsi="宋体" w:cs="宋体"/>
                <w:szCs w:val="21"/>
                <w:highlight w:val="none"/>
              </w:rPr>
            </w:pPr>
          </w:p>
        </w:tc>
        <w:tc>
          <w:tcPr>
            <w:tcW w:w="914" w:type="dxa"/>
            <w:vMerge w:val="continue"/>
            <w:tcBorders>
              <w:top w:val="nil"/>
              <w:left w:val="nil"/>
              <w:bottom w:val="single" w:color="000000" w:sz="4" w:space="0"/>
              <w:right w:val="single" w:color="000000" w:sz="4" w:space="0"/>
            </w:tcBorders>
            <w:vAlign w:val="center"/>
          </w:tcPr>
          <w:p w14:paraId="266ADCE7">
            <w:pPr>
              <w:spacing w:line="240" w:lineRule="auto"/>
              <w:ind w:firstLine="420"/>
              <w:jc w:val="center"/>
              <w:rPr>
                <w:rFonts w:ascii="宋体" w:hAnsi="宋体" w:cs="宋体"/>
                <w:szCs w:val="21"/>
                <w:highlight w:val="none"/>
              </w:rPr>
            </w:pPr>
          </w:p>
        </w:tc>
        <w:tc>
          <w:tcPr>
            <w:tcW w:w="6073" w:type="dxa"/>
            <w:vMerge w:val="continue"/>
            <w:tcBorders>
              <w:top w:val="nil"/>
              <w:left w:val="nil"/>
              <w:bottom w:val="single" w:color="000000" w:sz="4" w:space="0"/>
              <w:right w:val="single" w:color="000000" w:sz="4" w:space="0"/>
            </w:tcBorders>
            <w:vAlign w:val="center"/>
          </w:tcPr>
          <w:p w14:paraId="39ACC0D6">
            <w:pPr>
              <w:spacing w:line="240" w:lineRule="auto"/>
              <w:ind w:firstLine="420"/>
              <w:jc w:val="center"/>
              <w:rPr>
                <w:rFonts w:ascii="宋体" w:hAnsi="宋体" w:cs="宋体"/>
                <w:szCs w:val="21"/>
                <w:highlight w:val="none"/>
              </w:rPr>
            </w:pPr>
          </w:p>
        </w:tc>
      </w:tr>
      <w:tr w14:paraId="3D695D01">
        <w:tblPrEx>
          <w:tblCellMar>
            <w:top w:w="0" w:type="dxa"/>
            <w:left w:w="108" w:type="dxa"/>
            <w:bottom w:w="0" w:type="dxa"/>
            <w:right w:w="108" w:type="dxa"/>
          </w:tblCellMar>
        </w:tblPrEx>
        <w:trPr>
          <w:trHeight w:val="312" w:hRule="atLeast"/>
        </w:trPr>
        <w:tc>
          <w:tcPr>
            <w:tcW w:w="800" w:type="dxa"/>
            <w:vMerge w:val="continue"/>
            <w:tcBorders>
              <w:top w:val="nil"/>
              <w:left w:val="single" w:color="000000" w:sz="4" w:space="0"/>
              <w:bottom w:val="single" w:color="000000" w:sz="4" w:space="0"/>
              <w:right w:val="single" w:color="000000" w:sz="4" w:space="0"/>
            </w:tcBorders>
            <w:vAlign w:val="center"/>
          </w:tcPr>
          <w:p w14:paraId="745E19C2">
            <w:pPr>
              <w:spacing w:line="240" w:lineRule="auto"/>
              <w:ind w:firstLine="0" w:firstLineChars="0"/>
              <w:jc w:val="center"/>
              <w:rPr>
                <w:rFonts w:ascii="宋体" w:hAnsi="宋体" w:cs="宋体"/>
                <w:szCs w:val="21"/>
                <w:highlight w:val="none"/>
              </w:rPr>
            </w:pPr>
          </w:p>
        </w:tc>
        <w:tc>
          <w:tcPr>
            <w:tcW w:w="914" w:type="dxa"/>
            <w:vMerge w:val="continue"/>
            <w:tcBorders>
              <w:top w:val="nil"/>
              <w:left w:val="nil"/>
              <w:bottom w:val="single" w:color="000000" w:sz="4" w:space="0"/>
              <w:right w:val="single" w:color="000000" w:sz="4" w:space="0"/>
            </w:tcBorders>
            <w:vAlign w:val="center"/>
          </w:tcPr>
          <w:p w14:paraId="1C1A2647">
            <w:pPr>
              <w:spacing w:line="240" w:lineRule="auto"/>
              <w:ind w:firstLine="420"/>
              <w:jc w:val="center"/>
              <w:rPr>
                <w:rFonts w:ascii="宋体" w:hAnsi="宋体" w:cs="宋体"/>
                <w:szCs w:val="21"/>
                <w:highlight w:val="none"/>
              </w:rPr>
            </w:pPr>
          </w:p>
        </w:tc>
        <w:tc>
          <w:tcPr>
            <w:tcW w:w="6073" w:type="dxa"/>
            <w:vMerge w:val="continue"/>
            <w:tcBorders>
              <w:top w:val="nil"/>
              <w:left w:val="nil"/>
              <w:bottom w:val="single" w:color="000000" w:sz="4" w:space="0"/>
              <w:right w:val="single" w:color="000000" w:sz="4" w:space="0"/>
            </w:tcBorders>
            <w:vAlign w:val="center"/>
          </w:tcPr>
          <w:p w14:paraId="59746ACA">
            <w:pPr>
              <w:spacing w:line="240" w:lineRule="auto"/>
              <w:ind w:firstLine="420"/>
              <w:jc w:val="center"/>
              <w:rPr>
                <w:rFonts w:ascii="宋体" w:hAnsi="宋体" w:cs="宋体"/>
                <w:szCs w:val="21"/>
                <w:highlight w:val="none"/>
              </w:rPr>
            </w:pPr>
          </w:p>
        </w:tc>
      </w:tr>
      <w:tr w14:paraId="1073DA42">
        <w:tblPrEx>
          <w:tblCellMar>
            <w:top w:w="0" w:type="dxa"/>
            <w:left w:w="108" w:type="dxa"/>
            <w:bottom w:w="0" w:type="dxa"/>
            <w:right w:w="108" w:type="dxa"/>
          </w:tblCellMar>
        </w:tblPrEx>
        <w:trPr>
          <w:trHeight w:val="312" w:hRule="atLeast"/>
        </w:trPr>
        <w:tc>
          <w:tcPr>
            <w:tcW w:w="800" w:type="dxa"/>
            <w:vMerge w:val="restart"/>
            <w:tcBorders>
              <w:top w:val="nil"/>
              <w:left w:val="single" w:color="000000" w:sz="4" w:space="0"/>
              <w:bottom w:val="single" w:color="000000" w:sz="4" w:space="0"/>
              <w:right w:val="single" w:color="000000" w:sz="4" w:space="0"/>
            </w:tcBorders>
            <w:vAlign w:val="center"/>
          </w:tcPr>
          <w:p w14:paraId="3F634668">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7</w:t>
            </w:r>
          </w:p>
        </w:tc>
        <w:tc>
          <w:tcPr>
            <w:tcW w:w="914" w:type="dxa"/>
            <w:vMerge w:val="restart"/>
            <w:tcBorders>
              <w:top w:val="nil"/>
              <w:left w:val="nil"/>
              <w:bottom w:val="single" w:color="000000" w:sz="4" w:space="0"/>
              <w:right w:val="single" w:color="000000" w:sz="4" w:space="0"/>
            </w:tcBorders>
            <w:vAlign w:val="center"/>
          </w:tcPr>
          <w:p w14:paraId="4CA79199">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服务满意度</w:t>
            </w:r>
          </w:p>
        </w:tc>
        <w:tc>
          <w:tcPr>
            <w:tcW w:w="6073" w:type="dxa"/>
            <w:vMerge w:val="restart"/>
            <w:tcBorders>
              <w:top w:val="nil"/>
              <w:left w:val="nil"/>
              <w:bottom w:val="single" w:color="000000" w:sz="4" w:space="0"/>
              <w:right w:val="single" w:color="000000" w:sz="4" w:space="0"/>
            </w:tcBorders>
            <w:vAlign w:val="center"/>
          </w:tcPr>
          <w:p w14:paraId="504C6680">
            <w:pPr>
              <w:spacing w:line="240" w:lineRule="auto"/>
              <w:ind w:firstLine="0" w:firstLineChars="0"/>
              <w:jc w:val="center"/>
              <w:rPr>
                <w:rFonts w:ascii="宋体" w:hAnsi="宋体" w:cs="宋体"/>
                <w:szCs w:val="21"/>
                <w:highlight w:val="none"/>
              </w:rPr>
            </w:pPr>
            <w:r>
              <w:rPr>
                <w:rFonts w:hint="eastAsia" w:ascii="宋体" w:hAnsi="宋体" w:cs="宋体"/>
                <w:szCs w:val="21"/>
                <w:highlight w:val="none"/>
              </w:rPr>
              <w:t>每结算周期由甲方</w:t>
            </w:r>
            <w:r>
              <w:rPr>
                <w:rFonts w:hint="eastAsia" w:ascii="宋体" w:hAnsi="宋体" w:cs="宋体"/>
                <w:sz w:val="21"/>
                <w:szCs w:val="21"/>
                <w:highlight w:val="none"/>
                <w:lang w:val="en"/>
              </w:rPr>
              <w:t>或甲方最终客户</w:t>
            </w:r>
            <w:r>
              <w:rPr>
                <w:rFonts w:hint="eastAsia" w:ascii="宋体" w:hAnsi="宋体" w:cs="宋体"/>
                <w:szCs w:val="21"/>
                <w:highlight w:val="none"/>
              </w:rPr>
              <w:t>组织对乙方运维情况进行满意度评价，根据评分取定唯一违约金系数。</w:t>
            </w:r>
          </w:p>
        </w:tc>
      </w:tr>
      <w:tr w14:paraId="2901CEA5">
        <w:tblPrEx>
          <w:tblCellMar>
            <w:top w:w="0" w:type="dxa"/>
            <w:left w:w="108" w:type="dxa"/>
            <w:bottom w:w="0" w:type="dxa"/>
            <w:right w:w="108" w:type="dxa"/>
          </w:tblCellMar>
        </w:tblPrEx>
        <w:trPr>
          <w:trHeight w:val="312" w:hRule="atLeast"/>
        </w:trPr>
        <w:tc>
          <w:tcPr>
            <w:tcW w:w="800" w:type="dxa"/>
            <w:vMerge w:val="continue"/>
            <w:tcBorders>
              <w:top w:val="nil"/>
              <w:left w:val="single" w:color="000000" w:sz="4" w:space="0"/>
              <w:bottom w:val="single" w:color="000000" w:sz="4" w:space="0"/>
              <w:right w:val="single" w:color="000000" w:sz="4" w:space="0"/>
            </w:tcBorders>
            <w:vAlign w:val="center"/>
          </w:tcPr>
          <w:p w14:paraId="37931B39">
            <w:pPr>
              <w:spacing w:line="240" w:lineRule="auto"/>
              <w:ind w:firstLine="420"/>
              <w:jc w:val="center"/>
              <w:rPr>
                <w:rFonts w:ascii="宋体" w:hAnsi="宋体" w:cs="宋体"/>
                <w:szCs w:val="21"/>
                <w:highlight w:val="none"/>
              </w:rPr>
            </w:pPr>
          </w:p>
        </w:tc>
        <w:tc>
          <w:tcPr>
            <w:tcW w:w="914" w:type="dxa"/>
            <w:vMerge w:val="continue"/>
            <w:tcBorders>
              <w:top w:val="nil"/>
              <w:left w:val="nil"/>
              <w:bottom w:val="single" w:color="000000" w:sz="4" w:space="0"/>
              <w:right w:val="single" w:color="000000" w:sz="4" w:space="0"/>
            </w:tcBorders>
            <w:vAlign w:val="center"/>
          </w:tcPr>
          <w:p w14:paraId="291E603C">
            <w:pPr>
              <w:spacing w:line="240" w:lineRule="auto"/>
              <w:ind w:firstLine="420"/>
              <w:jc w:val="center"/>
              <w:rPr>
                <w:rFonts w:ascii="宋体" w:hAnsi="宋体" w:cs="宋体"/>
                <w:szCs w:val="21"/>
                <w:highlight w:val="none"/>
              </w:rPr>
            </w:pPr>
          </w:p>
        </w:tc>
        <w:tc>
          <w:tcPr>
            <w:tcW w:w="6073" w:type="dxa"/>
            <w:vMerge w:val="continue"/>
            <w:tcBorders>
              <w:top w:val="nil"/>
              <w:left w:val="nil"/>
              <w:bottom w:val="single" w:color="000000" w:sz="4" w:space="0"/>
              <w:right w:val="single" w:color="000000" w:sz="4" w:space="0"/>
            </w:tcBorders>
            <w:vAlign w:val="center"/>
          </w:tcPr>
          <w:p w14:paraId="0691139B">
            <w:pPr>
              <w:spacing w:line="240" w:lineRule="auto"/>
              <w:ind w:firstLine="420"/>
              <w:jc w:val="center"/>
              <w:rPr>
                <w:rFonts w:ascii="宋体" w:hAnsi="宋体" w:cs="宋体"/>
                <w:szCs w:val="21"/>
                <w:highlight w:val="none"/>
              </w:rPr>
            </w:pPr>
          </w:p>
        </w:tc>
      </w:tr>
      <w:tr w14:paraId="6987C405">
        <w:tblPrEx>
          <w:tblCellMar>
            <w:top w:w="0" w:type="dxa"/>
            <w:left w:w="108" w:type="dxa"/>
            <w:bottom w:w="0" w:type="dxa"/>
            <w:right w:w="108" w:type="dxa"/>
          </w:tblCellMar>
        </w:tblPrEx>
        <w:trPr>
          <w:trHeight w:val="312" w:hRule="atLeast"/>
        </w:trPr>
        <w:tc>
          <w:tcPr>
            <w:tcW w:w="800" w:type="dxa"/>
            <w:vMerge w:val="continue"/>
            <w:tcBorders>
              <w:top w:val="nil"/>
              <w:left w:val="single" w:color="000000" w:sz="4" w:space="0"/>
              <w:bottom w:val="single" w:color="000000" w:sz="4" w:space="0"/>
              <w:right w:val="single" w:color="000000" w:sz="4" w:space="0"/>
            </w:tcBorders>
            <w:vAlign w:val="center"/>
          </w:tcPr>
          <w:p w14:paraId="0B74122B">
            <w:pPr>
              <w:spacing w:line="240" w:lineRule="auto"/>
              <w:ind w:firstLine="420"/>
              <w:jc w:val="center"/>
              <w:rPr>
                <w:rFonts w:ascii="宋体" w:hAnsi="宋体" w:cs="宋体"/>
                <w:szCs w:val="21"/>
                <w:highlight w:val="none"/>
              </w:rPr>
            </w:pPr>
          </w:p>
        </w:tc>
        <w:tc>
          <w:tcPr>
            <w:tcW w:w="914" w:type="dxa"/>
            <w:vMerge w:val="continue"/>
            <w:tcBorders>
              <w:top w:val="nil"/>
              <w:left w:val="nil"/>
              <w:bottom w:val="single" w:color="000000" w:sz="4" w:space="0"/>
              <w:right w:val="single" w:color="000000" w:sz="4" w:space="0"/>
            </w:tcBorders>
            <w:vAlign w:val="center"/>
          </w:tcPr>
          <w:p w14:paraId="4702BE7C">
            <w:pPr>
              <w:spacing w:line="240" w:lineRule="auto"/>
              <w:ind w:firstLine="420"/>
              <w:jc w:val="center"/>
              <w:rPr>
                <w:rFonts w:ascii="宋体" w:hAnsi="宋体" w:cs="宋体"/>
                <w:szCs w:val="21"/>
                <w:highlight w:val="none"/>
              </w:rPr>
            </w:pPr>
          </w:p>
        </w:tc>
        <w:tc>
          <w:tcPr>
            <w:tcW w:w="6073" w:type="dxa"/>
            <w:vMerge w:val="continue"/>
            <w:tcBorders>
              <w:top w:val="nil"/>
              <w:left w:val="nil"/>
              <w:bottom w:val="single" w:color="000000" w:sz="4" w:space="0"/>
              <w:right w:val="single" w:color="000000" w:sz="4" w:space="0"/>
            </w:tcBorders>
            <w:vAlign w:val="center"/>
          </w:tcPr>
          <w:p w14:paraId="516C9E17">
            <w:pPr>
              <w:spacing w:line="240" w:lineRule="auto"/>
              <w:ind w:firstLine="420"/>
              <w:jc w:val="center"/>
              <w:rPr>
                <w:rFonts w:ascii="宋体" w:hAnsi="宋体" w:cs="宋体"/>
                <w:szCs w:val="21"/>
                <w:highlight w:val="none"/>
              </w:rPr>
            </w:pPr>
          </w:p>
        </w:tc>
      </w:tr>
    </w:tbl>
    <w:p w14:paraId="1507DB26">
      <w:pPr>
        <w:pStyle w:val="242"/>
        <w:spacing w:line="288" w:lineRule="auto"/>
        <w:ind w:firstLine="420"/>
        <w:rPr>
          <w:rFonts w:ascii="宋体" w:hAnsi="宋体" w:cs="宋体"/>
          <w:highlight w:val="none"/>
          <w:lang w:val="en"/>
        </w:rPr>
      </w:pPr>
      <w:r>
        <w:rPr>
          <w:rFonts w:hint="eastAsia" w:ascii="宋体" w:hAnsi="宋体" w:cs="宋体"/>
          <w:highlight w:val="none"/>
          <w:lang w:val="en"/>
        </w:rPr>
        <w:t>乙方应遵守甲方</w:t>
      </w:r>
      <w:r>
        <w:rPr>
          <w:rFonts w:hint="eastAsia" w:ascii="宋体" w:hAnsi="宋体" w:cs="宋体"/>
          <w:sz w:val="21"/>
          <w:szCs w:val="21"/>
          <w:highlight w:val="none"/>
          <w:lang w:val="en"/>
        </w:rPr>
        <w:t>或甲方最终客户</w:t>
      </w:r>
      <w:r>
        <w:rPr>
          <w:rFonts w:hint="eastAsia" w:ascii="宋体" w:hAnsi="宋体" w:cs="宋体"/>
          <w:highlight w:val="none"/>
          <w:lang w:val="en"/>
        </w:rPr>
        <w:t>制定的考核、结算等相关制度要求，严格按照考核要求执行，提升服务质量。</w:t>
      </w:r>
    </w:p>
    <w:p w14:paraId="24AD5616">
      <w:pPr>
        <w:pStyle w:val="242"/>
        <w:spacing w:line="288" w:lineRule="auto"/>
        <w:ind w:firstLine="420"/>
        <w:rPr>
          <w:rFonts w:ascii="宋体" w:hAnsi="宋体" w:cs="宋体"/>
          <w:highlight w:val="none"/>
          <w:lang w:val="en"/>
        </w:rPr>
      </w:pPr>
      <w:r>
        <w:rPr>
          <w:rFonts w:ascii="宋体" w:hAnsi="宋体" w:cs="宋体"/>
          <w:highlight w:val="none"/>
        </w:rPr>
        <w:t>6</w:t>
      </w:r>
      <w:r>
        <w:rPr>
          <w:rFonts w:hint="eastAsia" w:ascii="宋体" w:hAnsi="宋体" w:cs="宋体"/>
          <w:highlight w:val="none"/>
          <w:lang w:val="en"/>
        </w:rPr>
        <w:t>.违约考核</w:t>
      </w:r>
    </w:p>
    <w:p w14:paraId="3299E78D">
      <w:pPr>
        <w:pStyle w:val="242"/>
        <w:spacing w:line="288" w:lineRule="auto"/>
        <w:ind w:firstLine="420"/>
        <w:rPr>
          <w:rFonts w:ascii="宋体" w:hAnsi="宋体" w:cs="宋体"/>
          <w:highlight w:val="none"/>
          <w:lang w:val="en"/>
        </w:rPr>
      </w:pPr>
      <w:r>
        <w:rPr>
          <w:rFonts w:hint="eastAsia" w:ascii="宋体" w:hAnsi="宋体" w:cs="宋体"/>
          <w:highlight w:val="none"/>
          <w:lang w:val="en"/>
        </w:rPr>
        <w:t>乙方在服务期内应严格遵守服务质量承诺及相关管理规定，确保服务质量，若违反服务质量承诺和服务水平约定造成服务质量下降（除不可抗力因素引起、依照政策、法规或协议等相关要求导致服务被暂停或终止、因政务云服务使用单位不当操作导致外），甲方考核后进行相应的处罚。具体考核违约如下：</w:t>
      </w:r>
    </w:p>
    <w:tbl>
      <w:tblPr>
        <w:tblStyle w:val="50"/>
        <w:tblW w:w="8227" w:type="dxa"/>
        <w:tblInd w:w="147" w:type="dxa"/>
        <w:tblLayout w:type="fixed"/>
        <w:tblCellMar>
          <w:top w:w="0" w:type="dxa"/>
          <w:left w:w="108" w:type="dxa"/>
          <w:bottom w:w="0" w:type="dxa"/>
          <w:right w:w="108" w:type="dxa"/>
        </w:tblCellMar>
      </w:tblPr>
      <w:tblGrid>
        <w:gridCol w:w="857"/>
        <w:gridCol w:w="1006"/>
        <w:gridCol w:w="2098"/>
        <w:gridCol w:w="4266"/>
      </w:tblGrid>
      <w:tr w14:paraId="03C62C16">
        <w:tblPrEx>
          <w:tblCellMar>
            <w:top w:w="0" w:type="dxa"/>
            <w:left w:w="108" w:type="dxa"/>
            <w:bottom w:w="0" w:type="dxa"/>
            <w:right w:w="108" w:type="dxa"/>
          </w:tblCellMar>
        </w:tblPrEx>
        <w:trPr>
          <w:trHeight w:val="587" w:hRule="atLeast"/>
        </w:trPr>
        <w:tc>
          <w:tcPr>
            <w:tcW w:w="857" w:type="dxa"/>
            <w:tcBorders>
              <w:top w:val="single" w:color="000000" w:sz="4" w:space="0"/>
              <w:left w:val="single" w:color="000000" w:sz="4" w:space="0"/>
              <w:bottom w:val="single" w:color="000000" w:sz="4" w:space="0"/>
              <w:right w:val="single" w:color="000000" w:sz="4" w:space="0"/>
            </w:tcBorders>
            <w:noWrap/>
            <w:vAlign w:val="center"/>
          </w:tcPr>
          <w:p w14:paraId="0D9E41F7">
            <w:pPr>
              <w:spacing w:line="240" w:lineRule="auto"/>
              <w:ind w:firstLine="0" w:firstLineChars="0"/>
              <w:jc w:val="center"/>
              <w:rPr>
                <w:rFonts w:cs="等线"/>
                <w:b/>
                <w:bCs/>
                <w:szCs w:val="21"/>
                <w:highlight w:val="none"/>
              </w:rPr>
            </w:pPr>
            <w:r>
              <w:rPr>
                <w:rFonts w:hint="eastAsia" w:cs="等线"/>
                <w:b/>
                <w:bCs/>
                <w:szCs w:val="21"/>
                <w:highlight w:val="none"/>
              </w:rPr>
              <w:t>序号</w:t>
            </w:r>
          </w:p>
        </w:tc>
        <w:tc>
          <w:tcPr>
            <w:tcW w:w="1006" w:type="dxa"/>
            <w:tcBorders>
              <w:top w:val="single" w:color="000000" w:sz="4" w:space="0"/>
              <w:left w:val="single" w:color="000000" w:sz="4" w:space="0"/>
              <w:bottom w:val="single" w:color="000000" w:sz="4" w:space="0"/>
              <w:right w:val="single" w:color="000000" w:sz="4" w:space="0"/>
            </w:tcBorders>
            <w:noWrap/>
            <w:vAlign w:val="center"/>
          </w:tcPr>
          <w:p w14:paraId="3CEC901E">
            <w:pPr>
              <w:spacing w:line="240" w:lineRule="auto"/>
              <w:ind w:firstLine="0" w:firstLineChars="0"/>
              <w:jc w:val="center"/>
              <w:rPr>
                <w:rFonts w:cs="等线"/>
                <w:b/>
                <w:bCs/>
                <w:szCs w:val="21"/>
                <w:highlight w:val="none"/>
              </w:rPr>
            </w:pPr>
            <w:r>
              <w:rPr>
                <w:rFonts w:hint="eastAsia" w:cs="等线"/>
                <w:b/>
                <w:bCs/>
                <w:szCs w:val="21"/>
                <w:highlight w:val="none"/>
              </w:rPr>
              <w:t>考核项</w:t>
            </w:r>
          </w:p>
        </w:tc>
        <w:tc>
          <w:tcPr>
            <w:tcW w:w="2098" w:type="dxa"/>
            <w:tcBorders>
              <w:top w:val="single" w:color="000000" w:sz="4" w:space="0"/>
              <w:left w:val="single" w:color="000000" w:sz="4" w:space="0"/>
              <w:bottom w:val="single" w:color="000000" w:sz="4" w:space="0"/>
              <w:right w:val="single" w:color="000000" w:sz="4" w:space="0"/>
            </w:tcBorders>
            <w:noWrap/>
            <w:vAlign w:val="center"/>
          </w:tcPr>
          <w:p w14:paraId="00DED445">
            <w:pPr>
              <w:spacing w:line="240" w:lineRule="auto"/>
              <w:ind w:firstLine="422"/>
              <w:jc w:val="center"/>
              <w:rPr>
                <w:rFonts w:cs="等线"/>
                <w:b/>
                <w:bCs/>
                <w:szCs w:val="21"/>
                <w:highlight w:val="none"/>
              </w:rPr>
            </w:pPr>
            <w:r>
              <w:rPr>
                <w:rFonts w:hint="eastAsia" w:cs="等线"/>
                <w:b/>
                <w:bCs/>
                <w:szCs w:val="21"/>
                <w:highlight w:val="none"/>
              </w:rPr>
              <w:t>考核子项</w:t>
            </w:r>
          </w:p>
        </w:tc>
        <w:tc>
          <w:tcPr>
            <w:tcW w:w="4266" w:type="dxa"/>
            <w:tcBorders>
              <w:top w:val="single" w:color="000000" w:sz="4" w:space="0"/>
              <w:left w:val="single" w:color="000000" w:sz="4" w:space="0"/>
              <w:bottom w:val="single" w:color="000000" w:sz="4" w:space="0"/>
              <w:right w:val="single" w:color="000000" w:sz="4" w:space="0"/>
            </w:tcBorders>
            <w:noWrap/>
            <w:vAlign w:val="center"/>
          </w:tcPr>
          <w:p w14:paraId="315E2801">
            <w:pPr>
              <w:spacing w:line="240" w:lineRule="auto"/>
              <w:ind w:firstLine="422"/>
              <w:jc w:val="center"/>
              <w:rPr>
                <w:rFonts w:hint="eastAsia" w:cs="等线"/>
                <w:b/>
                <w:bCs/>
                <w:szCs w:val="21"/>
                <w:highlight w:val="none"/>
              </w:rPr>
            </w:pPr>
            <w:r>
              <w:rPr>
                <w:rFonts w:hint="eastAsia" w:cs="等线"/>
                <w:b/>
                <w:bCs/>
                <w:szCs w:val="21"/>
                <w:highlight w:val="none"/>
              </w:rPr>
              <w:t>违约</w:t>
            </w:r>
            <w:r>
              <w:rPr>
                <w:rFonts w:hint="eastAsia" w:cs="等线"/>
                <w:b/>
                <w:bCs/>
                <w:szCs w:val="21"/>
                <w:highlight w:val="none"/>
                <w:lang w:eastAsia="zh-CN"/>
              </w:rPr>
              <w:t>情形</w:t>
            </w:r>
          </w:p>
        </w:tc>
      </w:tr>
      <w:tr w14:paraId="42548AA1">
        <w:tblPrEx>
          <w:tblCellMar>
            <w:top w:w="0" w:type="dxa"/>
            <w:left w:w="108" w:type="dxa"/>
            <w:bottom w:w="0" w:type="dxa"/>
            <w:right w:w="108" w:type="dxa"/>
          </w:tblCellMar>
        </w:tblPrEx>
        <w:trPr>
          <w:trHeight w:val="603" w:hRule="atLeast"/>
        </w:trPr>
        <w:tc>
          <w:tcPr>
            <w:tcW w:w="857" w:type="dxa"/>
            <w:tcBorders>
              <w:top w:val="single" w:color="000000" w:sz="4" w:space="0"/>
              <w:left w:val="single" w:color="000000" w:sz="4" w:space="0"/>
              <w:bottom w:val="single" w:color="000000" w:sz="4" w:space="0"/>
              <w:right w:val="single" w:color="000000" w:sz="4" w:space="0"/>
            </w:tcBorders>
            <w:noWrap/>
            <w:vAlign w:val="center"/>
          </w:tcPr>
          <w:p w14:paraId="3625E2E4">
            <w:pPr>
              <w:spacing w:line="240" w:lineRule="auto"/>
              <w:ind w:firstLine="0" w:firstLineChars="0"/>
              <w:jc w:val="center"/>
              <w:rPr>
                <w:rFonts w:cs="等线"/>
                <w:szCs w:val="21"/>
                <w:highlight w:val="none"/>
              </w:rPr>
            </w:pPr>
            <w:r>
              <w:rPr>
                <w:rFonts w:hint="eastAsia" w:cs="等线"/>
                <w:szCs w:val="21"/>
                <w:highlight w:val="none"/>
              </w:rPr>
              <w:t>1</w:t>
            </w:r>
          </w:p>
        </w:tc>
        <w:tc>
          <w:tcPr>
            <w:tcW w:w="1006" w:type="dxa"/>
            <w:vMerge w:val="restart"/>
            <w:tcBorders>
              <w:top w:val="single" w:color="000000" w:sz="4" w:space="0"/>
              <w:left w:val="single" w:color="000000" w:sz="4" w:space="0"/>
              <w:bottom w:val="single" w:color="000000" w:sz="4" w:space="0"/>
              <w:right w:val="single" w:color="000000" w:sz="4" w:space="0"/>
            </w:tcBorders>
            <w:vAlign w:val="center"/>
          </w:tcPr>
          <w:p w14:paraId="0E12C6E7">
            <w:pPr>
              <w:spacing w:line="240" w:lineRule="auto"/>
              <w:ind w:firstLine="0" w:firstLineChars="0"/>
              <w:jc w:val="center"/>
              <w:rPr>
                <w:rFonts w:hint="eastAsia" w:ascii="宋体" w:hAnsi="宋体" w:cs="宋体"/>
                <w:szCs w:val="24"/>
                <w:highlight w:val="none"/>
                <w:lang w:val="en"/>
              </w:rPr>
            </w:pPr>
            <w:r>
              <w:rPr>
                <w:rFonts w:hint="eastAsia" w:ascii="宋体" w:hAnsi="宋体" w:cs="宋体"/>
                <w:szCs w:val="24"/>
                <w:highlight w:val="none"/>
                <w:lang w:val="en"/>
              </w:rPr>
              <w:t>云服务质量</w:t>
            </w:r>
          </w:p>
        </w:tc>
        <w:tc>
          <w:tcPr>
            <w:tcW w:w="2098" w:type="dxa"/>
            <w:tcBorders>
              <w:top w:val="single" w:color="000000" w:sz="4" w:space="0"/>
              <w:left w:val="single" w:color="000000" w:sz="4" w:space="0"/>
              <w:bottom w:val="single" w:color="000000" w:sz="4" w:space="0"/>
              <w:right w:val="single" w:color="000000" w:sz="4" w:space="0"/>
            </w:tcBorders>
            <w:vAlign w:val="center"/>
          </w:tcPr>
          <w:p w14:paraId="17867C98">
            <w:pPr>
              <w:spacing w:line="240" w:lineRule="auto"/>
              <w:ind w:firstLine="420"/>
              <w:jc w:val="center"/>
              <w:rPr>
                <w:rFonts w:hint="eastAsia" w:ascii="宋体" w:hAnsi="宋体" w:cs="宋体"/>
                <w:szCs w:val="24"/>
                <w:highlight w:val="none"/>
                <w:lang w:val="en"/>
              </w:rPr>
            </w:pPr>
            <w:r>
              <w:rPr>
                <w:rFonts w:hint="eastAsia" w:ascii="宋体" w:hAnsi="宋体" w:cs="宋体"/>
                <w:szCs w:val="24"/>
                <w:highlight w:val="none"/>
                <w:lang w:val="en"/>
              </w:rPr>
              <w:t>服务可用性</w:t>
            </w:r>
          </w:p>
        </w:tc>
        <w:tc>
          <w:tcPr>
            <w:tcW w:w="4266" w:type="dxa"/>
            <w:tcBorders>
              <w:top w:val="single" w:color="000000" w:sz="4" w:space="0"/>
              <w:left w:val="single" w:color="000000" w:sz="4" w:space="0"/>
              <w:bottom w:val="single" w:color="000000" w:sz="4" w:space="0"/>
              <w:right w:val="single" w:color="000000" w:sz="4" w:space="0"/>
            </w:tcBorders>
            <w:vAlign w:val="center"/>
          </w:tcPr>
          <w:p w14:paraId="6DF0083C">
            <w:pPr>
              <w:spacing w:line="240" w:lineRule="auto"/>
              <w:ind w:firstLine="0"/>
              <w:jc w:val="center"/>
              <w:rPr>
                <w:rFonts w:hint="eastAsia" w:ascii="宋体" w:hAnsi="宋体" w:cs="宋体"/>
                <w:szCs w:val="24"/>
                <w:highlight w:val="none"/>
                <w:lang w:val="en"/>
              </w:rPr>
            </w:pPr>
            <w:r>
              <w:rPr>
                <w:rFonts w:hint="eastAsia" w:ascii="宋体" w:hAnsi="宋体" w:eastAsia="宋体" w:cs="宋体"/>
                <w:kern w:val="2"/>
                <w:sz w:val="21"/>
                <w:szCs w:val="24"/>
                <w:highlight w:val="none"/>
                <w:lang w:val="en" w:eastAsia="zh-CN" w:bidi="ar-SA"/>
              </w:rPr>
              <w:t>考核服务可用性违约情况</w:t>
            </w:r>
          </w:p>
        </w:tc>
      </w:tr>
      <w:tr w14:paraId="0224054F">
        <w:tblPrEx>
          <w:tblCellMar>
            <w:top w:w="0" w:type="dxa"/>
            <w:left w:w="108" w:type="dxa"/>
            <w:bottom w:w="0" w:type="dxa"/>
            <w:right w:w="108" w:type="dxa"/>
          </w:tblCellMar>
        </w:tblPrEx>
        <w:trPr>
          <w:trHeight w:val="463" w:hRule="atLeast"/>
        </w:trPr>
        <w:tc>
          <w:tcPr>
            <w:tcW w:w="857" w:type="dxa"/>
            <w:tcBorders>
              <w:top w:val="single" w:color="000000" w:sz="4" w:space="0"/>
              <w:left w:val="single" w:color="000000" w:sz="4" w:space="0"/>
              <w:bottom w:val="single" w:color="000000" w:sz="4" w:space="0"/>
              <w:right w:val="single" w:color="000000" w:sz="4" w:space="0"/>
            </w:tcBorders>
            <w:noWrap/>
            <w:vAlign w:val="center"/>
          </w:tcPr>
          <w:p w14:paraId="6468AC71">
            <w:pPr>
              <w:spacing w:line="240" w:lineRule="auto"/>
              <w:ind w:firstLine="0" w:firstLineChars="0"/>
              <w:jc w:val="center"/>
              <w:rPr>
                <w:rFonts w:cs="等线"/>
                <w:szCs w:val="21"/>
                <w:highlight w:val="none"/>
              </w:rPr>
            </w:pPr>
            <w:r>
              <w:rPr>
                <w:rFonts w:hint="eastAsia" w:cs="等线"/>
                <w:szCs w:val="21"/>
                <w:highlight w:val="none"/>
              </w:rPr>
              <w:t>2</w:t>
            </w:r>
          </w:p>
        </w:tc>
        <w:tc>
          <w:tcPr>
            <w:tcW w:w="1006" w:type="dxa"/>
            <w:vMerge w:val="continue"/>
            <w:tcBorders>
              <w:top w:val="single" w:color="000000" w:sz="4" w:space="0"/>
              <w:left w:val="single" w:color="000000" w:sz="4" w:space="0"/>
              <w:bottom w:val="single" w:color="000000" w:sz="4" w:space="0"/>
              <w:right w:val="single" w:color="000000" w:sz="4" w:space="0"/>
            </w:tcBorders>
            <w:vAlign w:val="center"/>
          </w:tcPr>
          <w:p w14:paraId="6E4613E2">
            <w:pPr>
              <w:spacing w:line="240" w:lineRule="auto"/>
              <w:ind w:firstLine="420"/>
              <w:jc w:val="center"/>
              <w:rPr>
                <w:rFonts w:hint="eastAsia" w:ascii="宋体" w:hAnsi="宋体" w:cs="宋体"/>
                <w:szCs w:val="24"/>
                <w:highlight w:val="none"/>
                <w:lang w:val="en"/>
              </w:rPr>
            </w:pPr>
          </w:p>
        </w:tc>
        <w:tc>
          <w:tcPr>
            <w:tcW w:w="2098" w:type="dxa"/>
            <w:tcBorders>
              <w:top w:val="single" w:color="000000" w:sz="4" w:space="0"/>
              <w:left w:val="single" w:color="000000" w:sz="4" w:space="0"/>
              <w:bottom w:val="single" w:color="000000" w:sz="4" w:space="0"/>
              <w:right w:val="single" w:color="000000" w:sz="4" w:space="0"/>
            </w:tcBorders>
            <w:vAlign w:val="center"/>
          </w:tcPr>
          <w:p w14:paraId="10A69858">
            <w:pPr>
              <w:spacing w:line="240" w:lineRule="auto"/>
              <w:ind w:firstLine="0" w:firstLineChars="0"/>
              <w:jc w:val="center"/>
              <w:rPr>
                <w:rFonts w:hint="eastAsia" w:ascii="宋体" w:hAnsi="宋体" w:cs="宋体"/>
                <w:szCs w:val="24"/>
                <w:highlight w:val="none"/>
                <w:lang w:val="en"/>
              </w:rPr>
            </w:pPr>
            <w:r>
              <w:rPr>
                <w:rFonts w:hint="eastAsia" w:ascii="宋体" w:hAnsi="宋体" w:cs="宋体"/>
                <w:szCs w:val="24"/>
                <w:highlight w:val="none"/>
                <w:lang w:val="en"/>
              </w:rPr>
              <w:t>数据存储持久性</w:t>
            </w:r>
          </w:p>
        </w:tc>
        <w:tc>
          <w:tcPr>
            <w:tcW w:w="4266" w:type="dxa"/>
            <w:tcBorders>
              <w:top w:val="single" w:color="000000" w:sz="4" w:space="0"/>
              <w:left w:val="single" w:color="000000" w:sz="4" w:space="0"/>
              <w:bottom w:val="single" w:color="000000" w:sz="4" w:space="0"/>
              <w:right w:val="single" w:color="000000" w:sz="4" w:space="0"/>
            </w:tcBorders>
            <w:vAlign w:val="center"/>
          </w:tcPr>
          <w:p w14:paraId="2164CEE6">
            <w:pPr>
              <w:spacing w:line="240" w:lineRule="auto"/>
              <w:ind w:firstLine="0"/>
              <w:jc w:val="center"/>
              <w:rPr>
                <w:rFonts w:hint="eastAsia" w:ascii="宋体" w:hAnsi="宋体" w:cs="宋体"/>
                <w:szCs w:val="24"/>
                <w:highlight w:val="none"/>
                <w:lang w:val="en"/>
              </w:rPr>
            </w:pPr>
            <w:r>
              <w:rPr>
                <w:rFonts w:hint="eastAsia" w:ascii="宋体" w:hAnsi="宋体" w:eastAsia="宋体" w:cs="宋体"/>
                <w:kern w:val="2"/>
                <w:sz w:val="21"/>
                <w:szCs w:val="24"/>
                <w:highlight w:val="none"/>
                <w:lang w:val="en" w:eastAsia="zh-CN" w:bidi="ar-SA"/>
              </w:rPr>
              <w:t>考核数据存储持久性违约情况</w:t>
            </w:r>
          </w:p>
        </w:tc>
      </w:tr>
      <w:tr w14:paraId="16861ED5">
        <w:tblPrEx>
          <w:tblCellMar>
            <w:top w:w="0" w:type="dxa"/>
            <w:left w:w="108" w:type="dxa"/>
            <w:bottom w:w="0" w:type="dxa"/>
            <w:right w:w="108" w:type="dxa"/>
          </w:tblCellMar>
        </w:tblPrEx>
        <w:trPr>
          <w:trHeight w:val="340" w:hRule="atLeast"/>
        </w:trPr>
        <w:tc>
          <w:tcPr>
            <w:tcW w:w="857" w:type="dxa"/>
            <w:tcBorders>
              <w:top w:val="single" w:color="000000" w:sz="4" w:space="0"/>
              <w:left w:val="single" w:color="000000" w:sz="4" w:space="0"/>
              <w:bottom w:val="single" w:color="000000" w:sz="4" w:space="0"/>
              <w:right w:val="single" w:color="000000" w:sz="4" w:space="0"/>
            </w:tcBorders>
            <w:noWrap/>
            <w:vAlign w:val="center"/>
          </w:tcPr>
          <w:p w14:paraId="4B0D35AB">
            <w:pPr>
              <w:spacing w:line="240" w:lineRule="auto"/>
              <w:ind w:firstLine="0" w:firstLineChars="0"/>
              <w:jc w:val="center"/>
              <w:rPr>
                <w:rFonts w:cs="等线"/>
                <w:szCs w:val="21"/>
                <w:highlight w:val="none"/>
              </w:rPr>
            </w:pPr>
            <w:r>
              <w:rPr>
                <w:rFonts w:hint="eastAsia" w:cs="等线"/>
                <w:szCs w:val="21"/>
                <w:highlight w:val="none"/>
              </w:rPr>
              <w:t>3</w:t>
            </w:r>
          </w:p>
        </w:tc>
        <w:tc>
          <w:tcPr>
            <w:tcW w:w="1006" w:type="dxa"/>
            <w:vMerge w:val="continue"/>
            <w:tcBorders>
              <w:top w:val="single" w:color="000000" w:sz="4" w:space="0"/>
              <w:left w:val="single" w:color="000000" w:sz="4" w:space="0"/>
              <w:bottom w:val="single" w:color="000000" w:sz="4" w:space="0"/>
              <w:right w:val="single" w:color="000000" w:sz="4" w:space="0"/>
            </w:tcBorders>
            <w:vAlign w:val="center"/>
          </w:tcPr>
          <w:p w14:paraId="644CB08B">
            <w:pPr>
              <w:spacing w:line="240" w:lineRule="auto"/>
              <w:ind w:firstLine="420"/>
              <w:jc w:val="center"/>
              <w:rPr>
                <w:rFonts w:hint="eastAsia" w:ascii="宋体" w:hAnsi="宋体" w:cs="宋体"/>
                <w:szCs w:val="24"/>
                <w:highlight w:val="none"/>
                <w:lang w:val="en"/>
              </w:rPr>
            </w:pPr>
          </w:p>
        </w:tc>
        <w:tc>
          <w:tcPr>
            <w:tcW w:w="2098" w:type="dxa"/>
            <w:tcBorders>
              <w:top w:val="single" w:color="000000" w:sz="4" w:space="0"/>
              <w:left w:val="single" w:color="000000" w:sz="4" w:space="0"/>
              <w:bottom w:val="single" w:color="000000" w:sz="4" w:space="0"/>
              <w:right w:val="single" w:color="000000" w:sz="4" w:space="0"/>
            </w:tcBorders>
            <w:vAlign w:val="center"/>
          </w:tcPr>
          <w:p w14:paraId="76C342AD">
            <w:pPr>
              <w:spacing w:line="240" w:lineRule="auto"/>
              <w:ind w:firstLine="420"/>
              <w:jc w:val="center"/>
              <w:rPr>
                <w:rFonts w:hint="eastAsia" w:ascii="宋体" w:hAnsi="宋体" w:cs="宋体"/>
                <w:szCs w:val="24"/>
                <w:highlight w:val="none"/>
                <w:lang w:val="en"/>
              </w:rPr>
            </w:pPr>
            <w:r>
              <w:rPr>
                <w:rFonts w:hint="eastAsia" w:ascii="宋体" w:hAnsi="宋体" w:cs="宋体"/>
                <w:szCs w:val="24"/>
                <w:highlight w:val="none"/>
                <w:lang w:val="en"/>
              </w:rPr>
              <w:t>服务及时性</w:t>
            </w:r>
          </w:p>
        </w:tc>
        <w:tc>
          <w:tcPr>
            <w:tcW w:w="4266" w:type="dxa"/>
            <w:tcBorders>
              <w:top w:val="single" w:color="000000" w:sz="4" w:space="0"/>
              <w:left w:val="single" w:color="000000" w:sz="4" w:space="0"/>
              <w:bottom w:val="single" w:color="000000" w:sz="4" w:space="0"/>
              <w:right w:val="single" w:color="000000" w:sz="4" w:space="0"/>
            </w:tcBorders>
            <w:vAlign w:val="center"/>
          </w:tcPr>
          <w:p w14:paraId="0EF42F48">
            <w:pPr>
              <w:spacing w:line="240" w:lineRule="auto"/>
              <w:ind w:firstLine="0"/>
              <w:jc w:val="center"/>
              <w:rPr>
                <w:rFonts w:hint="eastAsia" w:ascii="宋体" w:hAnsi="宋体" w:cs="宋体"/>
                <w:szCs w:val="24"/>
                <w:highlight w:val="none"/>
                <w:lang w:val="en"/>
              </w:rPr>
            </w:pPr>
            <w:r>
              <w:rPr>
                <w:rFonts w:hint="eastAsia" w:ascii="宋体" w:hAnsi="宋体" w:eastAsia="宋体" w:cs="宋体"/>
                <w:kern w:val="2"/>
                <w:sz w:val="21"/>
                <w:szCs w:val="24"/>
                <w:highlight w:val="none"/>
                <w:lang w:val="en" w:eastAsia="zh-CN" w:bidi="ar-SA"/>
              </w:rPr>
              <w:t>考核服务及时性违约情况</w:t>
            </w:r>
          </w:p>
        </w:tc>
      </w:tr>
      <w:tr w14:paraId="55697B51">
        <w:tblPrEx>
          <w:tblCellMar>
            <w:top w:w="0" w:type="dxa"/>
            <w:left w:w="108" w:type="dxa"/>
            <w:bottom w:w="0" w:type="dxa"/>
            <w:right w:w="108" w:type="dxa"/>
          </w:tblCellMar>
        </w:tblPrEx>
        <w:trPr>
          <w:trHeight w:val="340" w:hRule="atLeast"/>
        </w:trPr>
        <w:tc>
          <w:tcPr>
            <w:tcW w:w="857" w:type="dxa"/>
            <w:tcBorders>
              <w:top w:val="single" w:color="000000" w:sz="4" w:space="0"/>
              <w:left w:val="single" w:color="000000" w:sz="4" w:space="0"/>
              <w:bottom w:val="single" w:color="000000" w:sz="4" w:space="0"/>
              <w:right w:val="single" w:color="000000" w:sz="4" w:space="0"/>
            </w:tcBorders>
            <w:noWrap/>
            <w:vAlign w:val="center"/>
          </w:tcPr>
          <w:p w14:paraId="37F39655">
            <w:pPr>
              <w:spacing w:line="240" w:lineRule="auto"/>
              <w:ind w:firstLine="0" w:firstLineChars="0"/>
              <w:jc w:val="center"/>
              <w:rPr>
                <w:rFonts w:cs="等线"/>
                <w:szCs w:val="21"/>
                <w:highlight w:val="none"/>
              </w:rPr>
            </w:pPr>
            <w:r>
              <w:rPr>
                <w:rFonts w:hint="eastAsia" w:cs="等线"/>
                <w:szCs w:val="21"/>
                <w:highlight w:val="none"/>
              </w:rPr>
              <w:t>4</w:t>
            </w:r>
          </w:p>
        </w:tc>
        <w:tc>
          <w:tcPr>
            <w:tcW w:w="1006" w:type="dxa"/>
            <w:tcBorders>
              <w:top w:val="single" w:color="000000" w:sz="4" w:space="0"/>
              <w:left w:val="single" w:color="000000" w:sz="4" w:space="0"/>
              <w:bottom w:val="single" w:color="000000" w:sz="4" w:space="0"/>
              <w:right w:val="single" w:color="000000" w:sz="4" w:space="0"/>
            </w:tcBorders>
            <w:vAlign w:val="center"/>
          </w:tcPr>
          <w:p w14:paraId="7ED3AC58">
            <w:pPr>
              <w:spacing w:line="240" w:lineRule="auto"/>
              <w:ind w:firstLine="0" w:firstLineChars="0"/>
              <w:jc w:val="center"/>
              <w:rPr>
                <w:rFonts w:hint="eastAsia" w:ascii="宋体" w:hAnsi="宋体" w:cs="宋体"/>
                <w:szCs w:val="24"/>
                <w:highlight w:val="none"/>
                <w:lang w:val="en"/>
              </w:rPr>
            </w:pPr>
            <w:r>
              <w:rPr>
                <w:rFonts w:hint="eastAsia" w:ascii="宋体" w:hAnsi="宋体" w:cs="宋体"/>
                <w:szCs w:val="24"/>
                <w:highlight w:val="none"/>
                <w:lang w:val="en"/>
              </w:rPr>
              <w:t>故障处理及时性</w:t>
            </w:r>
          </w:p>
        </w:tc>
        <w:tc>
          <w:tcPr>
            <w:tcW w:w="2098" w:type="dxa"/>
            <w:tcBorders>
              <w:top w:val="single" w:color="000000" w:sz="4" w:space="0"/>
              <w:left w:val="single" w:color="000000" w:sz="4" w:space="0"/>
              <w:bottom w:val="single" w:color="000000" w:sz="4" w:space="0"/>
              <w:right w:val="single" w:color="000000" w:sz="4" w:space="0"/>
            </w:tcBorders>
            <w:vAlign w:val="center"/>
          </w:tcPr>
          <w:p w14:paraId="09730E33">
            <w:pPr>
              <w:spacing w:line="240" w:lineRule="auto"/>
              <w:ind w:firstLine="420"/>
              <w:jc w:val="center"/>
              <w:rPr>
                <w:rFonts w:hint="eastAsia" w:ascii="宋体" w:hAnsi="宋体" w:cs="宋体"/>
                <w:szCs w:val="24"/>
                <w:highlight w:val="none"/>
                <w:lang w:val="en"/>
              </w:rPr>
            </w:pPr>
            <w:r>
              <w:rPr>
                <w:rFonts w:hint="eastAsia" w:ascii="宋体" w:hAnsi="宋体" w:cs="宋体"/>
                <w:szCs w:val="24"/>
                <w:highlight w:val="none"/>
                <w:lang w:val="en"/>
              </w:rPr>
              <w:t>故障处理及时性</w:t>
            </w:r>
          </w:p>
        </w:tc>
        <w:tc>
          <w:tcPr>
            <w:tcW w:w="4266" w:type="dxa"/>
            <w:tcBorders>
              <w:top w:val="single" w:color="000000" w:sz="4" w:space="0"/>
              <w:left w:val="single" w:color="000000" w:sz="4" w:space="0"/>
              <w:bottom w:val="single" w:color="000000" w:sz="4" w:space="0"/>
              <w:right w:val="single" w:color="000000" w:sz="4" w:space="0"/>
            </w:tcBorders>
            <w:vAlign w:val="center"/>
          </w:tcPr>
          <w:p w14:paraId="7E158DA5">
            <w:pPr>
              <w:spacing w:line="240" w:lineRule="auto"/>
              <w:ind w:firstLine="420"/>
              <w:jc w:val="center"/>
              <w:rPr>
                <w:rFonts w:hint="eastAsia" w:ascii="宋体" w:hAnsi="宋体" w:cs="宋体"/>
                <w:szCs w:val="24"/>
                <w:highlight w:val="none"/>
                <w:lang w:val="en"/>
              </w:rPr>
            </w:pPr>
            <w:r>
              <w:rPr>
                <w:rFonts w:hint="eastAsia" w:ascii="宋体" w:hAnsi="宋体" w:cs="宋体"/>
                <w:szCs w:val="24"/>
                <w:highlight w:val="none"/>
                <w:lang w:val="en"/>
              </w:rPr>
              <w:t>考核故障处理全流程违约情况（含故障上报、服务恢复、故障报告环节）</w:t>
            </w:r>
          </w:p>
        </w:tc>
      </w:tr>
      <w:tr w14:paraId="5E40D935">
        <w:tblPrEx>
          <w:tblCellMar>
            <w:top w:w="0" w:type="dxa"/>
            <w:left w:w="108" w:type="dxa"/>
            <w:bottom w:w="0" w:type="dxa"/>
            <w:right w:w="108" w:type="dxa"/>
          </w:tblCellMar>
        </w:tblPrEx>
        <w:trPr>
          <w:trHeight w:val="340" w:hRule="atLeast"/>
        </w:trPr>
        <w:tc>
          <w:tcPr>
            <w:tcW w:w="857" w:type="dxa"/>
            <w:tcBorders>
              <w:top w:val="single" w:color="000000" w:sz="4" w:space="0"/>
              <w:left w:val="single" w:color="000000" w:sz="4" w:space="0"/>
              <w:bottom w:val="single" w:color="000000" w:sz="4" w:space="0"/>
              <w:right w:val="single" w:color="000000" w:sz="4" w:space="0"/>
            </w:tcBorders>
            <w:noWrap/>
            <w:vAlign w:val="center"/>
          </w:tcPr>
          <w:p w14:paraId="0F0E9595">
            <w:pPr>
              <w:spacing w:line="240" w:lineRule="auto"/>
              <w:ind w:firstLine="0" w:firstLineChars="0"/>
              <w:jc w:val="center"/>
              <w:rPr>
                <w:rFonts w:cs="等线"/>
                <w:szCs w:val="21"/>
                <w:highlight w:val="none"/>
              </w:rPr>
            </w:pPr>
            <w:r>
              <w:rPr>
                <w:rFonts w:hint="eastAsia" w:cs="等线"/>
                <w:szCs w:val="21"/>
                <w:highlight w:val="none"/>
              </w:rPr>
              <w:t>5</w:t>
            </w:r>
          </w:p>
        </w:tc>
        <w:tc>
          <w:tcPr>
            <w:tcW w:w="1006" w:type="dxa"/>
            <w:tcBorders>
              <w:top w:val="single" w:color="000000" w:sz="4" w:space="0"/>
              <w:left w:val="single" w:color="000000" w:sz="4" w:space="0"/>
              <w:bottom w:val="single" w:color="000000" w:sz="4" w:space="0"/>
              <w:right w:val="single" w:color="000000" w:sz="4" w:space="0"/>
            </w:tcBorders>
            <w:vAlign w:val="center"/>
          </w:tcPr>
          <w:p w14:paraId="117FF935">
            <w:pPr>
              <w:spacing w:line="240" w:lineRule="auto"/>
              <w:ind w:firstLine="0" w:firstLineChars="0"/>
              <w:jc w:val="center"/>
              <w:rPr>
                <w:rFonts w:hint="eastAsia" w:ascii="宋体" w:hAnsi="宋体" w:cs="宋体"/>
                <w:szCs w:val="24"/>
                <w:highlight w:val="none"/>
                <w:lang w:val="en"/>
              </w:rPr>
            </w:pPr>
            <w:r>
              <w:rPr>
                <w:rFonts w:hint="eastAsia" w:ascii="宋体" w:hAnsi="宋体" w:cs="宋体"/>
                <w:szCs w:val="24"/>
                <w:highlight w:val="none"/>
                <w:lang w:val="en"/>
              </w:rPr>
              <w:t>运维服务水平</w:t>
            </w:r>
          </w:p>
        </w:tc>
        <w:tc>
          <w:tcPr>
            <w:tcW w:w="2098" w:type="dxa"/>
            <w:tcBorders>
              <w:top w:val="single" w:color="000000" w:sz="4" w:space="0"/>
              <w:left w:val="single" w:color="000000" w:sz="4" w:space="0"/>
              <w:bottom w:val="single" w:color="000000" w:sz="4" w:space="0"/>
              <w:right w:val="single" w:color="000000" w:sz="4" w:space="0"/>
            </w:tcBorders>
            <w:vAlign w:val="center"/>
          </w:tcPr>
          <w:p w14:paraId="428DE628">
            <w:pPr>
              <w:spacing w:line="240" w:lineRule="auto"/>
              <w:ind w:firstLine="420"/>
              <w:jc w:val="center"/>
              <w:rPr>
                <w:rFonts w:hint="eastAsia" w:ascii="宋体" w:hAnsi="宋体" w:cs="宋体"/>
                <w:szCs w:val="24"/>
                <w:highlight w:val="none"/>
                <w:lang w:val="en"/>
              </w:rPr>
            </w:pPr>
            <w:r>
              <w:rPr>
                <w:rFonts w:hint="eastAsia" w:ascii="宋体" w:hAnsi="宋体" w:cs="宋体"/>
                <w:szCs w:val="24"/>
                <w:highlight w:val="none"/>
                <w:lang w:val="en"/>
              </w:rPr>
              <w:t>运维服务台</w:t>
            </w:r>
          </w:p>
        </w:tc>
        <w:tc>
          <w:tcPr>
            <w:tcW w:w="4266" w:type="dxa"/>
            <w:tcBorders>
              <w:top w:val="single" w:color="000000" w:sz="4" w:space="0"/>
              <w:left w:val="single" w:color="000000" w:sz="4" w:space="0"/>
              <w:bottom w:val="single" w:color="000000" w:sz="4" w:space="0"/>
              <w:right w:val="single" w:color="000000" w:sz="4" w:space="0"/>
            </w:tcBorders>
            <w:vAlign w:val="center"/>
          </w:tcPr>
          <w:p w14:paraId="7CB0B2A5">
            <w:pPr>
              <w:spacing w:line="240" w:lineRule="auto"/>
              <w:ind w:firstLine="420"/>
              <w:jc w:val="center"/>
              <w:rPr>
                <w:rFonts w:hint="eastAsia" w:ascii="宋体" w:hAnsi="宋体" w:cs="宋体"/>
                <w:szCs w:val="24"/>
                <w:highlight w:val="none"/>
                <w:lang w:val="en"/>
              </w:rPr>
            </w:pPr>
            <w:r>
              <w:rPr>
                <w:rFonts w:hint="eastAsia" w:ascii="宋体" w:hAnsi="宋体" w:cs="宋体"/>
                <w:szCs w:val="24"/>
                <w:highlight w:val="none"/>
                <w:lang w:val="en"/>
              </w:rPr>
              <w:t>考核运维服务台全维度服务违约情况（含服务台响应、低负载通知、日常运维报告、超额使用通知、变更事件上报、团队人员管理、服务满意度）</w:t>
            </w:r>
          </w:p>
        </w:tc>
      </w:tr>
      <w:tr w14:paraId="6A3B65CE">
        <w:tblPrEx>
          <w:tblCellMar>
            <w:top w:w="0" w:type="dxa"/>
            <w:left w:w="108" w:type="dxa"/>
            <w:bottom w:w="0" w:type="dxa"/>
            <w:right w:w="108" w:type="dxa"/>
          </w:tblCellMar>
        </w:tblPrEx>
        <w:trPr>
          <w:trHeight w:val="340" w:hRule="atLeast"/>
        </w:trPr>
        <w:tc>
          <w:tcPr>
            <w:tcW w:w="857" w:type="dxa"/>
            <w:tcBorders>
              <w:top w:val="single" w:color="000000" w:sz="4" w:space="0"/>
              <w:left w:val="single" w:color="000000" w:sz="4" w:space="0"/>
              <w:bottom w:val="single" w:color="000000" w:sz="4" w:space="0"/>
              <w:right w:val="single" w:color="000000" w:sz="4" w:space="0"/>
            </w:tcBorders>
            <w:noWrap/>
            <w:vAlign w:val="center"/>
          </w:tcPr>
          <w:p w14:paraId="0A95AF5A">
            <w:pPr>
              <w:spacing w:line="240" w:lineRule="auto"/>
              <w:ind w:firstLine="0" w:firstLineChars="0"/>
              <w:jc w:val="center"/>
              <w:rPr>
                <w:rFonts w:cs="等线"/>
                <w:szCs w:val="21"/>
                <w:highlight w:val="none"/>
              </w:rPr>
            </w:pPr>
            <w:r>
              <w:rPr>
                <w:rFonts w:hint="eastAsia" w:cs="等线"/>
                <w:szCs w:val="21"/>
                <w:highlight w:val="none"/>
              </w:rPr>
              <w:t>6</w:t>
            </w:r>
          </w:p>
        </w:tc>
        <w:tc>
          <w:tcPr>
            <w:tcW w:w="1006" w:type="dxa"/>
            <w:tcBorders>
              <w:top w:val="single" w:color="000000" w:sz="4" w:space="0"/>
              <w:left w:val="single" w:color="000000" w:sz="4" w:space="0"/>
              <w:bottom w:val="single" w:color="000000" w:sz="4" w:space="0"/>
              <w:right w:val="single" w:color="000000" w:sz="4" w:space="0"/>
            </w:tcBorders>
            <w:vAlign w:val="center"/>
          </w:tcPr>
          <w:p w14:paraId="1CD9F0E2">
            <w:pPr>
              <w:spacing w:line="240" w:lineRule="auto"/>
              <w:ind w:firstLine="0" w:firstLineChars="0"/>
              <w:jc w:val="center"/>
              <w:rPr>
                <w:rFonts w:hint="eastAsia" w:ascii="宋体" w:hAnsi="宋体" w:cs="宋体"/>
                <w:szCs w:val="24"/>
                <w:highlight w:val="none"/>
                <w:lang w:val="en"/>
              </w:rPr>
            </w:pPr>
            <w:r>
              <w:rPr>
                <w:rFonts w:hint="eastAsia" w:ascii="宋体" w:hAnsi="宋体" w:cs="宋体"/>
                <w:szCs w:val="24"/>
                <w:highlight w:val="none"/>
                <w:lang w:val="en"/>
              </w:rPr>
              <w:t>安全保密性</w:t>
            </w:r>
          </w:p>
        </w:tc>
        <w:tc>
          <w:tcPr>
            <w:tcW w:w="2098" w:type="dxa"/>
            <w:tcBorders>
              <w:top w:val="single" w:color="000000" w:sz="4" w:space="0"/>
              <w:left w:val="single" w:color="000000" w:sz="4" w:space="0"/>
              <w:bottom w:val="single" w:color="000000" w:sz="4" w:space="0"/>
              <w:right w:val="single" w:color="000000" w:sz="4" w:space="0"/>
            </w:tcBorders>
            <w:vAlign w:val="center"/>
          </w:tcPr>
          <w:p w14:paraId="659B83BD">
            <w:pPr>
              <w:spacing w:line="240" w:lineRule="auto"/>
              <w:ind w:firstLine="420"/>
              <w:jc w:val="center"/>
              <w:rPr>
                <w:rFonts w:hint="eastAsia" w:ascii="宋体" w:hAnsi="宋体" w:cs="宋体"/>
                <w:szCs w:val="24"/>
                <w:highlight w:val="none"/>
                <w:lang w:val="en"/>
              </w:rPr>
            </w:pPr>
            <w:r>
              <w:rPr>
                <w:rFonts w:hint="eastAsia" w:ascii="宋体" w:hAnsi="宋体" w:cs="宋体"/>
                <w:szCs w:val="24"/>
                <w:highlight w:val="none"/>
                <w:lang w:val="en"/>
              </w:rPr>
              <w:t>安全保密性</w:t>
            </w:r>
          </w:p>
        </w:tc>
        <w:tc>
          <w:tcPr>
            <w:tcW w:w="4266" w:type="dxa"/>
            <w:tcBorders>
              <w:top w:val="single" w:color="000000" w:sz="4" w:space="0"/>
              <w:left w:val="single" w:color="000000" w:sz="4" w:space="0"/>
              <w:bottom w:val="single" w:color="000000" w:sz="4" w:space="0"/>
              <w:right w:val="single" w:color="000000" w:sz="4" w:space="0"/>
            </w:tcBorders>
            <w:vAlign w:val="center"/>
          </w:tcPr>
          <w:p w14:paraId="5BFD7F51">
            <w:pPr>
              <w:spacing w:line="240" w:lineRule="auto"/>
              <w:ind w:firstLine="0"/>
              <w:jc w:val="center"/>
              <w:rPr>
                <w:rFonts w:hint="eastAsia" w:ascii="宋体" w:hAnsi="宋体" w:cs="宋体"/>
                <w:highlight w:val="none"/>
                <w:lang w:val="en"/>
              </w:rPr>
            </w:pPr>
            <w:r>
              <w:rPr>
                <w:rFonts w:hint="eastAsia" w:ascii="宋体" w:hAnsi="宋体" w:eastAsia="宋体" w:cs="宋体"/>
                <w:kern w:val="2"/>
                <w:sz w:val="21"/>
                <w:szCs w:val="24"/>
                <w:highlight w:val="none"/>
                <w:lang w:val="en" w:eastAsia="zh-CN" w:bidi="ar-SA"/>
              </w:rPr>
              <w:t>考核安全保密性违约情况</w:t>
            </w:r>
          </w:p>
        </w:tc>
      </w:tr>
    </w:tbl>
    <w:p w14:paraId="350C6538">
      <w:pPr>
        <w:ind w:firstLine="0" w:firstLineChars="0"/>
        <w:rPr>
          <w:rFonts w:ascii="宋体" w:hAnsi="宋体"/>
          <w:highlight w:val="none"/>
        </w:rPr>
      </w:pPr>
    </w:p>
    <w:p w14:paraId="1960935D">
      <w:pPr>
        <w:spacing w:before="75" w:after="156" w:line="240" w:lineRule="auto"/>
        <w:ind w:firstLine="560" w:firstLineChars="0"/>
        <w:rPr>
          <w:rFonts w:ascii="宋体" w:hAnsi="宋体"/>
          <w:sz w:val="18"/>
          <w:szCs w:val="18"/>
          <w:highlight w:val="none"/>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86"/>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公文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方正公文黑体">
    <w:panose1 w:val="02000500000000000000"/>
    <w:charset w:val="86"/>
    <w:family w:val="auto"/>
    <w:pitch w:val="default"/>
    <w:sig w:usb0="A00002BF" w:usb1="38CF7CFA" w:usb2="00000016" w:usb3="00000000" w:csb0="00040001" w:csb1="00000000"/>
  </w:font>
  <w:font w:name="等线">
    <w:altName w:val="方正公文黑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ourier">
    <w:altName w:val="Liberation Mono"/>
    <w:panose1 w:val="02070409020205020404"/>
    <w:charset w:val="00"/>
    <w:family w:val="modern"/>
    <w:pitch w:val="default"/>
    <w:sig w:usb0="00000000" w:usb1="00000000" w:usb2="00000000" w:usb3="00000000" w:csb0="00000001" w:csb1="00000000"/>
  </w:font>
  <w:font w:name="Liberation Mono">
    <w:panose1 w:val="02070409020205020404"/>
    <w:charset w:val="00"/>
    <w:family w:val="auto"/>
    <w:pitch w:val="default"/>
    <w:sig w:usb0="A00002AF" w:usb1="400078FB" w:usb2="00000000" w:usb3="00000000" w:csb0="6000009F" w:csb1="DFD70000"/>
  </w:font>
  <w:font w:name="PMingLiU">
    <w:altName w:val="文泉驿微米黑"/>
    <w:panose1 w:val="02010601000101010101"/>
    <w:charset w:val="88"/>
    <w:family w:val="roman"/>
    <w:pitch w:val="default"/>
    <w:sig w:usb0="00000000" w:usb1="00000000" w:usb2="00000016" w:usb3="00000000" w:csb0="00100001" w:csb1="00000000"/>
  </w:font>
  <w:font w:name="Droid Sans Fallback">
    <w:panose1 w:val="020B0502000000000001"/>
    <w:charset w:val="86"/>
    <w:family w:val="auto"/>
    <w:pitch w:val="default"/>
    <w:sig w:usb0="910002FF" w:usb1="2BDFFCFB" w:usb2="00000036" w:usb3="00000000" w:csb0="203F01FF" w:csb1="D7FF0000"/>
  </w:font>
  <w:font w:name="楷体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0000019F" w:csb1="00000000"/>
  </w:font>
  <w:font w:name="FreeSerif">
    <w:panose1 w:val="02020603050405020304"/>
    <w:charset w:val="00"/>
    <w:family w:val="auto"/>
    <w:pitch w:val="default"/>
    <w:sig w:usb0="E59FAFFF" w:usb1="C200FDFF" w:usb2="43501B29" w:usb3="04000043" w:csb0="600101FF" w:csb1="FFFF0000"/>
  </w:font>
  <w:font w:name="华文细黑">
    <w:panose1 w:val="02010600040101010101"/>
    <w:charset w:val="86"/>
    <w:family w:val="auto"/>
    <w:pitch w:val="default"/>
    <w:sig w:usb0="00000287" w:usb1="080F0000" w:usb2="00000000" w:usb3="00000000" w:csb0="0004009F" w:csb1="DFD70000"/>
  </w:font>
  <w:font w:name="MS Gothic">
    <w:altName w:val="文泉驿微米黑"/>
    <w:panose1 w:val="020B0609070205080204"/>
    <w:charset w:val="80"/>
    <w:family w:val="modern"/>
    <w:pitch w:val="default"/>
    <w:sig w:usb0="00000000" w:usb1="00000000" w:usb2="08000012" w:usb3="00000000" w:csb0="0002009F" w:csb1="00000000"/>
  </w:font>
  <w:font w:name="Microsoft JhengHei">
    <w:altName w:val="文泉驿微米黑"/>
    <w:panose1 w:val="020B0604030504040204"/>
    <w:charset w:val="88"/>
    <w:family w:val="swiss"/>
    <w:pitch w:val="default"/>
    <w:sig w:usb0="00000000" w:usb1="00000000" w:usb2="00000016" w:usb3="00000000" w:csb0="00100009" w:csb1="00000000"/>
  </w:font>
  <w:font w:name="Verdana">
    <w:altName w:val="Ubuntu Light"/>
    <w:panose1 w:val="020B0604030504040204"/>
    <w:charset w:val="00"/>
    <w:family w:val="swiss"/>
    <w:pitch w:val="default"/>
    <w:sig w:usb0="00000000" w:usb1="00000000" w:usb2="00000010" w:usb3="00000000" w:csb0="0000019F" w:csb1="00000000"/>
  </w:font>
  <w:font w:name="Ubuntu Light">
    <w:panose1 w:val="020B0604030602030204"/>
    <w:charset w:val="00"/>
    <w:family w:val="auto"/>
    <w:pitch w:val="default"/>
    <w:sig w:usb0="E00002FF" w:usb1="5000205B" w:usb2="00000000" w:usb3="00000000" w:csb0="2000009F" w:csb1="56010000"/>
  </w:font>
  <w:font w:name="Arial Unicode MS">
    <w:altName w:val="DejaVu Sans"/>
    <w:panose1 w:val="020B0604020202020204"/>
    <w:charset w:val="86"/>
    <w:family w:val="swiss"/>
    <w:pitch w:val="default"/>
    <w:sig w:usb0="00000000" w:usb1="00000000" w:usb2="0000003F" w:usb3="00000000" w:csb0="603F01FF" w:csb1="FFFF0000"/>
  </w:font>
  <w:font w:name="Tahoma">
    <w:altName w:val="DejaVu Sans"/>
    <w:panose1 w:val="020B0604030504040204"/>
    <w:charset w:val="00"/>
    <w:family w:val="swiss"/>
    <w:pitch w:val="default"/>
    <w:sig w:usb0="00000000" w:usb1="00000000" w:usb2="00000029" w:usb3="00000000" w:csb0="000101FF" w:csb1="00000000"/>
  </w:font>
  <w:font w:name="全真中明體">
    <w:altName w:val="文泉驿微米黑"/>
    <w:panose1 w:val="00000000000000000000"/>
    <w:charset w:val="88"/>
    <w:family w:val="auto"/>
    <w:pitch w:val="default"/>
    <w:sig w:usb0="00000000" w:usb1="00000000" w:usb2="00000010" w:usb3="00000000" w:csb0="00100000" w:csb1="00000000"/>
  </w:font>
  <w:font w:name="幼圆">
    <w:altName w:val="仿宋_GB2312"/>
    <w:panose1 w:val="02010509060101010101"/>
    <w:charset w:val="86"/>
    <w:family w:val="modern"/>
    <w:pitch w:val="default"/>
    <w:sig w:usb0="00000000" w:usb1="00000000" w:usb2="00000010" w:usb3="00000000" w:csb0="00040000" w:csb1="00000000"/>
  </w:font>
  <w:font w:name="Palatino">
    <w:altName w:val="C059"/>
    <w:panose1 w:val="00000000000000000000"/>
    <w:charset w:val="00"/>
    <w:family w:val="modern"/>
    <w:pitch w:val="default"/>
    <w:sig w:usb0="00000000" w:usb1="00000000" w:usb2="00000000" w:usb3="00000000" w:csb0="00000093" w:csb1="00000000"/>
  </w:font>
  <w:font w:name="C059">
    <w:panose1 w:val="00000500000000000000"/>
    <w:charset w:val="00"/>
    <w:family w:val="auto"/>
    <w:pitch w:val="default"/>
    <w:sig w:usb0="00000287" w:usb1="00000800" w:usb2="00000000" w:usb3="00000000" w:csb0="6000009F" w:csb1="00000000"/>
  </w:font>
  <w:font w:name="隶书">
    <w:altName w:val="文泉驿微米黑"/>
    <w:panose1 w:val="02010509060101010101"/>
    <w:charset w:val="86"/>
    <w:family w:val="modern"/>
    <w:pitch w:val="default"/>
    <w:sig w:usb0="00000000" w:usb1="00000000" w:usb2="00000010" w:usb3="00000000" w:csb0="00040000" w:csb1="00000000"/>
  </w:font>
  <w:font w:name="Calibri Light">
    <w:altName w:val="DejaVu Sans"/>
    <w:panose1 w:val="020F0302020204030204"/>
    <w:charset w:val="00"/>
    <w:family w:val="swiss"/>
    <w:pitch w:val="default"/>
    <w:sig w:usb0="00000000" w:usb1="00000000" w:usb2="00000009" w:usb3="00000000" w:csb0="000001FF" w:csb1="00000000"/>
  </w:font>
  <w:font w:name="国标黑体">
    <w:panose1 w:val="02000500000000000000"/>
    <w:charset w:val="86"/>
    <w:family w:val="auto"/>
    <w:pitch w:val="default"/>
    <w:sig w:usb0="00000001" w:usb1="08000000" w:usb2="00000000" w:usb3="00000000" w:csb0="00040000" w:csb1="00000000"/>
  </w:font>
  <w:font w:name="等线">
    <w:altName w:val="方正公文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3B26C">
    <w:pPr>
      <w:pStyle w:val="32"/>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3581A">
                          <w:pPr>
                            <w:pStyle w:val="3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9C3581A">
                    <w:pPr>
                      <w:pStyle w:val="3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E099F">
    <w:pPr>
      <w:pStyle w:val="3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11C61">
    <w:pPr>
      <w:pStyle w:val="3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20"/>
      </w:pPr>
      <w:r>
        <w:separator/>
      </w:r>
    </w:p>
  </w:footnote>
  <w:footnote w:type="continuationSeparator" w:id="1">
    <w:p>
      <w:pPr>
        <w:spacing w:before="0" w:after="0"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8CBED">
    <w:pPr>
      <w:pStyle w:val="3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E0000">
    <w:pPr>
      <w:pStyle w:val="3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8CCF4">
    <w:pPr>
      <w:pStyle w:val="3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CE62B8"/>
    <w:multiLevelType w:val="singleLevel"/>
    <w:tmpl w:val="F0CE62B8"/>
    <w:lvl w:ilvl="0" w:tentative="0">
      <w:start w:val="6"/>
      <w:numFmt w:val="chineseCounting"/>
      <w:suff w:val="nothing"/>
      <w:lvlText w:val="%1、"/>
      <w:lvlJc w:val="left"/>
      <w:rPr>
        <w:rFonts w:hint="eastAsia"/>
      </w:rPr>
    </w:lvl>
  </w:abstractNum>
  <w:abstractNum w:abstractNumId="1">
    <w:nsid w:val="1E4A2D72"/>
    <w:multiLevelType w:val="multilevel"/>
    <w:tmpl w:val="1E4A2D72"/>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E5C7807"/>
    <w:multiLevelType w:val="multilevel"/>
    <w:tmpl w:val="1E5C7807"/>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1F0D7C83"/>
    <w:multiLevelType w:val="multilevel"/>
    <w:tmpl w:val="1F0D7C83"/>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356C3CF8"/>
    <w:multiLevelType w:val="multilevel"/>
    <w:tmpl w:val="356C3CF8"/>
    <w:lvl w:ilvl="0" w:tentative="0">
      <w:start w:val="1"/>
      <w:numFmt w:val="chineseCountingThousand"/>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43072DBE"/>
    <w:multiLevelType w:val="multilevel"/>
    <w:tmpl w:val="43072DBE"/>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43206C0B"/>
    <w:multiLevelType w:val="multilevel"/>
    <w:tmpl w:val="43206C0B"/>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4E341D93"/>
    <w:multiLevelType w:val="multilevel"/>
    <w:tmpl w:val="4E341D93"/>
    <w:lvl w:ilvl="0" w:tentative="0">
      <w:start w:val="1"/>
      <w:numFmt w:val="chineseCountingThousand"/>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57CC6E02"/>
    <w:multiLevelType w:val="multilevel"/>
    <w:tmpl w:val="57CC6E02"/>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4"/>
  </w:num>
  <w:num w:numId="2">
    <w:abstractNumId w:val="6"/>
  </w:num>
  <w:num w:numId="3">
    <w:abstractNumId w:val="1"/>
  </w:num>
  <w:num w:numId="4">
    <w:abstractNumId w:val="5"/>
  </w:num>
  <w:num w:numId="5">
    <w:abstractNumId w:val="3"/>
  </w:num>
  <w:num w:numId="6">
    <w:abstractNumId w:val="2"/>
  </w:num>
  <w:num w:numId="7">
    <w:abstractNumId w:val="8"/>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F66"/>
    <w:rsid w:val="000064D4"/>
    <w:rsid w:val="00007A91"/>
    <w:rsid w:val="00007D0E"/>
    <w:rsid w:val="00007D81"/>
    <w:rsid w:val="00010CBF"/>
    <w:rsid w:val="00023232"/>
    <w:rsid w:val="000239B7"/>
    <w:rsid w:val="00026E57"/>
    <w:rsid w:val="0002701B"/>
    <w:rsid w:val="00031E43"/>
    <w:rsid w:val="00031F79"/>
    <w:rsid w:val="00032B69"/>
    <w:rsid w:val="00033ADF"/>
    <w:rsid w:val="00034B4A"/>
    <w:rsid w:val="000364C5"/>
    <w:rsid w:val="00042B63"/>
    <w:rsid w:val="00042EAB"/>
    <w:rsid w:val="00045224"/>
    <w:rsid w:val="000562A9"/>
    <w:rsid w:val="000575E4"/>
    <w:rsid w:val="00061596"/>
    <w:rsid w:val="0007193D"/>
    <w:rsid w:val="000722D3"/>
    <w:rsid w:val="0007361F"/>
    <w:rsid w:val="000742D3"/>
    <w:rsid w:val="00075C87"/>
    <w:rsid w:val="000828B7"/>
    <w:rsid w:val="00087B3C"/>
    <w:rsid w:val="00093E58"/>
    <w:rsid w:val="00095F3A"/>
    <w:rsid w:val="0009733A"/>
    <w:rsid w:val="000973AF"/>
    <w:rsid w:val="00097E1B"/>
    <w:rsid w:val="000A2162"/>
    <w:rsid w:val="000A6538"/>
    <w:rsid w:val="000B0208"/>
    <w:rsid w:val="000B0782"/>
    <w:rsid w:val="000B1775"/>
    <w:rsid w:val="000B1C57"/>
    <w:rsid w:val="000B26FE"/>
    <w:rsid w:val="000B3692"/>
    <w:rsid w:val="000B7F52"/>
    <w:rsid w:val="000D0ADA"/>
    <w:rsid w:val="000D46BA"/>
    <w:rsid w:val="000D6B2A"/>
    <w:rsid w:val="000E27B2"/>
    <w:rsid w:val="000E6D57"/>
    <w:rsid w:val="000F08CF"/>
    <w:rsid w:val="000F2831"/>
    <w:rsid w:val="000F3BAB"/>
    <w:rsid w:val="000F5CE6"/>
    <w:rsid w:val="00100034"/>
    <w:rsid w:val="00106DE5"/>
    <w:rsid w:val="001126D9"/>
    <w:rsid w:val="00116943"/>
    <w:rsid w:val="00117A78"/>
    <w:rsid w:val="00120296"/>
    <w:rsid w:val="00123BED"/>
    <w:rsid w:val="00127F9D"/>
    <w:rsid w:val="00132466"/>
    <w:rsid w:val="0013427D"/>
    <w:rsid w:val="00135B1E"/>
    <w:rsid w:val="00140999"/>
    <w:rsid w:val="00142763"/>
    <w:rsid w:val="001438D4"/>
    <w:rsid w:val="0014454E"/>
    <w:rsid w:val="0014507B"/>
    <w:rsid w:val="00146DE3"/>
    <w:rsid w:val="001520AA"/>
    <w:rsid w:val="0015389F"/>
    <w:rsid w:val="001556F5"/>
    <w:rsid w:val="001579A9"/>
    <w:rsid w:val="00157FEF"/>
    <w:rsid w:val="00160500"/>
    <w:rsid w:val="00160BD2"/>
    <w:rsid w:val="001615B0"/>
    <w:rsid w:val="00165927"/>
    <w:rsid w:val="00166F20"/>
    <w:rsid w:val="00170051"/>
    <w:rsid w:val="00170254"/>
    <w:rsid w:val="001710AD"/>
    <w:rsid w:val="001800C2"/>
    <w:rsid w:val="00180C8F"/>
    <w:rsid w:val="0018134B"/>
    <w:rsid w:val="0018660D"/>
    <w:rsid w:val="001903B2"/>
    <w:rsid w:val="00195C6B"/>
    <w:rsid w:val="001A1136"/>
    <w:rsid w:val="001A3272"/>
    <w:rsid w:val="001A557C"/>
    <w:rsid w:val="001A7A67"/>
    <w:rsid w:val="001B0964"/>
    <w:rsid w:val="001B28EE"/>
    <w:rsid w:val="001B3934"/>
    <w:rsid w:val="001B49F4"/>
    <w:rsid w:val="001C1B9D"/>
    <w:rsid w:val="001C22DA"/>
    <w:rsid w:val="001C295E"/>
    <w:rsid w:val="001C4041"/>
    <w:rsid w:val="001D0554"/>
    <w:rsid w:val="001D1313"/>
    <w:rsid w:val="001D6A0A"/>
    <w:rsid w:val="001D73DB"/>
    <w:rsid w:val="001D7705"/>
    <w:rsid w:val="001E1371"/>
    <w:rsid w:val="001E1B56"/>
    <w:rsid w:val="001E4768"/>
    <w:rsid w:val="001E4A11"/>
    <w:rsid w:val="001F5B45"/>
    <w:rsid w:val="001F5FA4"/>
    <w:rsid w:val="00200DC8"/>
    <w:rsid w:val="0020206D"/>
    <w:rsid w:val="00203AA4"/>
    <w:rsid w:val="00206CA8"/>
    <w:rsid w:val="00213F87"/>
    <w:rsid w:val="00214F1D"/>
    <w:rsid w:val="0021509D"/>
    <w:rsid w:val="00215B5B"/>
    <w:rsid w:val="00216552"/>
    <w:rsid w:val="00223785"/>
    <w:rsid w:val="002244AB"/>
    <w:rsid w:val="00227203"/>
    <w:rsid w:val="00227387"/>
    <w:rsid w:val="00233DC2"/>
    <w:rsid w:val="002347A5"/>
    <w:rsid w:val="00234C27"/>
    <w:rsid w:val="00240A2D"/>
    <w:rsid w:val="0024138C"/>
    <w:rsid w:val="00242D44"/>
    <w:rsid w:val="002468C4"/>
    <w:rsid w:val="00246E34"/>
    <w:rsid w:val="00250AAE"/>
    <w:rsid w:val="0025225F"/>
    <w:rsid w:val="00253591"/>
    <w:rsid w:val="002560FF"/>
    <w:rsid w:val="002608B8"/>
    <w:rsid w:val="002623C2"/>
    <w:rsid w:val="002675B4"/>
    <w:rsid w:val="00270FEF"/>
    <w:rsid w:val="00275818"/>
    <w:rsid w:val="0027766F"/>
    <w:rsid w:val="002818A1"/>
    <w:rsid w:val="00290BF0"/>
    <w:rsid w:val="0029208B"/>
    <w:rsid w:val="00292B54"/>
    <w:rsid w:val="002950BA"/>
    <w:rsid w:val="0029732C"/>
    <w:rsid w:val="002977A9"/>
    <w:rsid w:val="002A2882"/>
    <w:rsid w:val="002A4B7F"/>
    <w:rsid w:val="002A5D06"/>
    <w:rsid w:val="002A61EB"/>
    <w:rsid w:val="002B0BE8"/>
    <w:rsid w:val="002B241C"/>
    <w:rsid w:val="002B2E88"/>
    <w:rsid w:val="002B4E72"/>
    <w:rsid w:val="002B65E4"/>
    <w:rsid w:val="002C02CA"/>
    <w:rsid w:val="002C1408"/>
    <w:rsid w:val="002C43E3"/>
    <w:rsid w:val="002C77C9"/>
    <w:rsid w:val="002C7FA9"/>
    <w:rsid w:val="002D026F"/>
    <w:rsid w:val="002D4597"/>
    <w:rsid w:val="002D4610"/>
    <w:rsid w:val="002D6081"/>
    <w:rsid w:val="002D7CA7"/>
    <w:rsid w:val="002E19E4"/>
    <w:rsid w:val="002E360D"/>
    <w:rsid w:val="002E368F"/>
    <w:rsid w:val="002E3975"/>
    <w:rsid w:val="002E401E"/>
    <w:rsid w:val="002E4336"/>
    <w:rsid w:val="002E45AE"/>
    <w:rsid w:val="002E4679"/>
    <w:rsid w:val="002E6750"/>
    <w:rsid w:val="002E6C73"/>
    <w:rsid w:val="002E7633"/>
    <w:rsid w:val="002F0242"/>
    <w:rsid w:val="002F1414"/>
    <w:rsid w:val="002F30EE"/>
    <w:rsid w:val="002F332D"/>
    <w:rsid w:val="002F3BBF"/>
    <w:rsid w:val="002F4F41"/>
    <w:rsid w:val="00302003"/>
    <w:rsid w:val="00303D59"/>
    <w:rsid w:val="0030497D"/>
    <w:rsid w:val="00304FA0"/>
    <w:rsid w:val="00306C43"/>
    <w:rsid w:val="00310D9C"/>
    <w:rsid w:val="0031315B"/>
    <w:rsid w:val="00315668"/>
    <w:rsid w:val="003217C0"/>
    <w:rsid w:val="00321D5B"/>
    <w:rsid w:val="00324D77"/>
    <w:rsid w:val="00326873"/>
    <w:rsid w:val="00330E77"/>
    <w:rsid w:val="0033181B"/>
    <w:rsid w:val="003345CB"/>
    <w:rsid w:val="00336801"/>
    <w:rsid w:val="00336FBA"/>
    <w:rsid w:val="00340026"/>
    <w:rsid w:val="00346F53"/>
    <w:rsid w:val="0034737F"/>
    <w:rsid w:val="003479B7"/>
    <w:rsid w:val="00350A71"/>
    <w:rsid w:val="00351C9A"/>
    <w:rsid w:val="003529A6"/>
    <w:rsid w:val="00357A37"/>
    <w:rsid w:val="003608B0"/>
    <w:rsid w:val="00361380"/>
    <w:rsid w:val="00361442"/>
    <w:rsid w:val="003665B3"/>
    <w:rsid w:val="00366A6E"/>
    <w:rsid w:val="0037268B"/>
    <w:rsid w:val="00373F44"/>
    <w:rsid w:val="00380FC5"/>
    <w:rsid w:val="00383758"/>
    <w:rsid w:val="00384939"/>
    <w:rsid w:val="00385205"/>
    <w:rsid w:val="0038600A"/>
    <w:rsid w:val="003860E1"/>
    <w:rsid w:val="00387744"/>
    <w:rsid w:val="0038793D"/>
    <w:rsid w:val="00390DAF"/>
    <w:rsid w:val="00397546"/>
    <w:rsid w:val="00397555"/>
    <w:rsid w:val="003979D2"/>
    <w:rsid w:val="003A1481"/>
    <w:rsid w:val="003A3CA2"/>
    <w:rsid w:val="003A6E7B"/>
    <w:rsid w:val="003B1EC3"/>
    <w:rsid w:val="003B23CF"/>
    <w:rsid w:val="003B667A"/>
    <w:rsid w:val="003C12EF"/>
    <w:rsid w:val="003C1DFE"/>
    <w:rsid w:val="003C253F"/>
    <w:rsid w:val="003C2AA4"/>
    <w:rsid w:val="003C392F"/>
    <w:rsid w:val="003C3BBE"/>
    <w:rsid w:val="003C4C01"/>
    <w:rsid w:val="003C4CFF"/>
    <w:rsid w:val="003C6560"/>
    <w:rsid w:val="003C74B4"/>
    <w:rsid w:val="003C7E07"/>
    <w:rsid w:val="003D31E7"/>
    <w:rsid w:val="003D38C2"/>
    <w:rsid w:val="003D3F6F"/>
    <w:rsid w:val="003D55CB"/>
    <w:rsid w:val="003D7030"/>
    <w:rsid w:val="003D720E"/>
    <w:rsid w:val="003E4D66"/>
    <w:rsid w:val="003E59B2"/>
    <w:rsid w:val="003E6A16"/>
    <w:rsid w:val="003F4C1F"/>
    <w:rsid w:val="003F4CB0"/>
    <w:rsid w:val="003F5EDF"/>
    <w:rsid w:val="00401910"/>
    <w:rsid w:val="00403D00"/>
    <w:rsid w:val="00404483"/>
    <w:rsid w:val="0040490E"/>
    <w:rsid w:val="00404A56"/>
    <w:rsid w:val="004109F8"/>
    <w:rsid w:val="00417D04"/>
    <w:rsid w:val="004254BE"/>
    <w:rsid w:val="004266C8"/>
    <w:rsid w:val="00431FC9"/>
    <w:rsid w:val="004332A4"/>
    <w:rsid w:val="0043764A"/>
    <w:rsid w:val="00437B34"/>
    <w:rsid w:val="00437B42"/>
    <w:rsid w:val="00437B7E"/>
    <w:rsid w:val="00437E19"/>
    <w:rsid w:val="0044274F"/>
    <w:rsid w:val="00443D47"/>
    <w:rsid w:val="00445E33"/>
    <w:rsid w:val="00447606"/>
    <w:rsid w:val="00450EFF"/>
    <w:rsid w:val="0045426D"/>
    <w:rsid w:val="00457217"/>
    <w:rsid w:val="00457984"/>
    <w:rsid w:val="00457CF2"/>
    <w:rsid w:val="00461EAC"/>
    <w:rsid w:val="00462E85"/>
    <w:rsid w:val="00463B9C"/>
    <w:rsid w:val="004642D6"/>
    <w:rsid w:val="004669FE"/>
    <w:rsid w:val="00467BAF"/>
    <w:rsid w:val="0047791E"/>
    <w:rsid w:val="004812D3"/>
    <w:rsid w:val="00482FDD"/>
    <w:rsid w:val="00485EF5"/>
    <w:rsid w:val="004865DE"/>
    <w:rsid w:val="00486779"/>
    <w:rsid w:val="0049291F"/>
    <w:rsid w:val="004A0DD4"/>
    <w:rsid w:val="004A121B"/>
    <w:rsid w:val="004A2E22"/>
    <w:rsid w:val="004B00E3"/>
    <w:rsid w:val="004B0CD5"/>
    <w:rsid w:val="004B1221"/>
    <w:rsid w:val="004B24B7"/>
    <w:rsid w:val="004B2C4A"/>
    <w:rsid w:val="004B2CB3"/>
    <w:rsid w:val="004B50E3"/>
    <w:rsid w:val="004B55A5"/>
    <w:rsid w:val="004B7DEC"/>
    <w:rsid w:val="004C2AA8"/>
    <w:rsid w:val="004C2D31"/>
    <w:rsid w:val="004C306F"/>
    <w:rsid w:val="004C6726"/>
    <w:rsid w:val="004D0B66"/>
    <w:rsid w:val="004D2EFD"/>
    <w:rsid w:val="004D4848"/>
    <w:rsid w:val="004D5D15"/>
    <w:rsid w:val="004D5F19"/>
    <w:rsid w:val="004E0506"/>
    <w:rsid w:val="004E2177"/>
    <w:rsid w:val="004E36B6"/>
    <w:rsid w:val="004E46A3"/>
    <w:rsid w:val="004F0E0D"/>
    <w:rsid w:val="004F1EEE"/>
    <w:rsid w:val="004F211C"/>
    <w:rsid w:val="004F21C9"/>
    <w:rsid w:val="004F5610"/>
    <w:rsid w:val="004F5F73"/>
    <w:rsid w:val="004F6108"/>
    <w:rsid w:val="004F66AC"/>
    <w:rsid w:val="004F7C2D"/>
    <w:rsid w:val="00500C7A"/>
    <w:rsid w:val="00502288"/>
    <w:rsid w:val="00502460"/>
    <w:rsid w:val="005050C8"/>
    <w:rsid w:val="00507A5F"/>
    <w:rsid w:val="00511454"/>
    <w:rsid w:val="005114D9"/>
    <w:rsid w:val="005142DF"/>
    <w:rsid w:val="0051583D"/>
    <w:rsid w:val="00516709"/>
    <w:rsid w:val="00524BF4"/>
    <w:rsid w:val="00531443"/>
    <w:rsid w:val="005316D8"/>
    <w:rsid w:val="00532723"/>
    <w:rsid w:val="0053323E"/>
    <w:rsid w:val="00534715"/>
    <w:rsid w:val="00541300"/>
    <w:rsid w:val="00541A4A"/>
    <w:rsid w:val="0054414E"/>
    <w:rsid w:val="00545B36"/>
    <w:rsid w:val="0054742D"/>
    <w:rsid w:val="005559D7"/>
    <w:rsid w:val="00560624"/>
    <w:rsid w:val="00562EF6"/>
    <w:rsid w:val="005639FC"/>
    <w:rsid w:val="0056521D"/>
    <w:rsid w:val="00565EAF"/>
    <w:rsid w:val="00566797"/>
    <w:rsid w:val="005704D7"/>
    <w:rsid w:val="00574161"/>
    <w:rsid w:val="00576FC9"/>
    <w:rsid w:val="005773CD"/>
    <w:rsid w:val="00580381"/>
    <w:rsid w:val="00581263"/>
    <w:rsid w:val="0058130F"/>
    <w:rsid w:val="0058199F"/>
    <w:rsid w:val="00584E28"/>
    <w:rsid w:val="005857EC"/>
    <w:rsid w:val="00585E03"/>
    <w:rsid w:val="00594538"/>
    <w:rsid w:val="005B0220"/>
    <w:rsid w:val="005B1B37"/>
    <w:rsid w:val="005B1C7D"/>
    <w:rsid w:val="005B3574"/>
    <w:rsid w:val="005B4924"/>
    <w:rsid w:val="005B4F03"/>
    <w:rsid w:val="005B794B"/>
    <w:rsid w:val="005B7D73"/>
    <w:rsid w:val="005C031F"/>
    <w:rsid w:val="005C32D0"/>
    <w:rsid w:val="005C3D74"/>
    <w:rsid w:val="005C580A"/>
    <w:rsid w:val="005D0082"/>
    <w:rsid w:val="005D5644"/>
    <w:rsid w:val="005D5942"/>
    <w:rsid w:val="005D7F89"/>
    <w:rsid w:val="005E7172"/>
    <w:rsid w:val="005F0392"/>
    <w:rsid w:val="005F2E45"/>
    <w:rsid w:val="005F37BA"/>
    <w:rsid w:val="005F7207"/>
    <w:rsid w:val="005F7EC4"/>
    <w:rsid w:val="00600DD3"/>
    <w:rsid w:val="0060162F"/>
    <w:rsid w:val="00604586"/>
    <w:rsid w:val="00605B96"/>
    <w:rsid w:val="00606D34"/>
    <w:rsid w:val="00610458"/>
    <w:rsid w:val="00613035"/>
    <w:rsid w:val="006145EB"/>
    <w:rsid w:val="0061747A"/>
    <w:rsid w:val="00617A08"/>
    <w:rsid w:val="00622465"/>
    <w:rsid w:val="00625AB2"/>
    <w:rsid w:val="0062691D"/>
    <w:rsid w:val="00627610"/>
    <w:rsid w:val="00631541"/>
    <w:rsid w:val="006417DF"/>
    <w:rsid w:val="006422AB"/>
    <w:rsid w:val="00643A62"/>
    <w:rsid w:val="00643D2A"/>
    <w:rsid w:val="00644808"/>
    <w:rsid w:val="006454EC"/>
    <w:rsid w:val="00646597"/>
    <w:rsid w:val="00652BCA"/>
    <w:rsid w:val="0065327F"/>
    <w:rsid w:val="00653342"/>
    <w:rsid w:val="00665DEE"/>
    <w:rsid w:val="006671F5"/>
    <w:rsid w:val="00672070"/>
    <w:rsid w:val="00674819"/>
    <w:rsid w:val="00680B78"/>
    <w:rsid w:val="00685E59"/>
    <w:rsid w:val="006914F5"/>
    <w:rsid w:val="00692842"/>
    <w:rsid w:val="00692A38"/>
    <w:rsid w:val="00694A07"/>
    <w:rsid w:val="006A002B"/>
    <w:rsid w:val="006A0B17"/>
    <w:rsid w:val="006A16D9"/>
    <w:rsid w:val="006A36E4"/>
    <w:rsid w:val="006A79FD"/>
    <w:rsid w:val="006A7F66"/>
    <w:rsid w:val="006B2548"/>
    <w:rsid w:val="006B3561"/>
    <w:rsid w:val="006B5850"/>
    <w:rsid w:val="006B6368"/>
    <w:rsid w:val="006C2A23"/>
    <w:rsid w:val="006D403C"/>
    <w:rsid w:val="006D6C0D"/>
    <w:rsid w:val="006E08FA"/>
    <w:rsid w:val="006E0F87"/>
    <w:rsid w:val="006F0A6C"/>
    <w:rsid w:val="006F27FE"/>
    <w:rsid w:val="006F36C0"/>
    <w:rsid w:val="006F3F16"/>
    <w:rsid w:val="006F6830"/>
    <w:rsid w:val="006F7B07"/>
    <w:rsid w:val="00700916"/>
    <w:rsid w:val="00700FED"/>
    <w:rsid w:val="007011D7"/>
    <w:rsid w:val="007024CE"/>
    <w:rsid w:val="007043B6"/>
    <w:rsid w:val="007046A6"/>
    <w:rsid w:val="0070632D"/>
    <w:rsid w:val="0071056F"/>
    <w:rsid w:val="00716419"/>
    <w:rsid w:val="00725208"/>
    <w:rsid w:val="0073113C"/>
    <w:rsid w:val="007354BB"/>
    <w:rsid w:val="00742E3C"/>
    <w:rsid w:val="007448C2"/>
    <w:rsid w:val="0074543C"/>
    <w:rsid w:val="00747C14"/>
    <w:rsid w:val="00747E27"/>
    <w:rsid w:val="00754484"/>
    <w:rsid w:val="007559FD"/>
    <w:rsid w:val="00756516"/>
    <w:rsid w:val="00760077"/>
    <w:rsid w:val="007650A3"/>
    <w:rsid w:val="007662F8"/>
    <w:rsid w:val="00767AF8"/>
    <w:rsid w:val="007701AF"/>
    <w:rsid w:val="0077397F"/>
    <w:rsid w:val="007754BB"/>
    <w:rsid w:val="007776A9"/>
    <w:rsid w:val="007778F4"/>
    <w:rsid w:val="00780D90"/>
    <w:rsid w:val="00781716"/>
    <w:rsid w:val="00783129"/>
    <w:rsid w:val="0079004D"/>
    <w:rsid w:val="007912F1"/>
    <w:rsid w:val="007914E7"/>
    <w:rsid w:val="00792F15"/>
    <w:rsid w:val="00793533"/>
    <w:rsid w:val="00793CA2"/>
    <w:rsid w:val="007A0C32"/>
    <w:rsid w:val="007A4584"/>
    <w:rsid w:val="007B2B0A"/>
    <w:rsid w:val="007B5DE3"/>
    <w:rsid w:val="007C09CC"/>
    <w:rsid w:val="007C2219"/>
    <w:rsid w:val="007C6BEC"/>
    <w:rsid w:val="007C7E78"/>
    <w:rsid w:val="007D032C"/>
    <w:rsid w:val="007D14B1"/>
    <w:rsid w:val="007D1A05"/>
    <w:rsid w:val="007D36BD"/>
    <w:rsid w:val="007D373F"/>
    <w:rsid w:val="007D4A27"/>
    <w:rsid w:val="007E6B81"/>
    <w:rsid w:val="007F4A1B"/>
    <w:rsid w:val="007F7D52"/>
    <w:rsid w:val="008017E5"/>
    <w:rsid w:val="008105B2"/>
    <w:rsid w:val="0081233B"/>
    <w:rsid w:val="00814EC8"/>
    <w:rsid w:val="00822AA0"/>
    <w:rsid w:val="008249C3"/>
    <w:rsid w:val="00824D4B"/>
    <w:rsid w:val="00824FEF"/>
    <w:rsid w:val="00833E5E"/>
    <w:rsid w:val="008352E4"/>
    <w:rsid w:val="0084158C"/>
    <w:rsid w:val="00841CB4"/>
    <w:rsid w:val="0084340D"/>
    <w:rsid w:val="008437B8"/>
    <w:rsid w:val="00844578"/>
    <w:rsid w:val="00845795"/>
    <w:rsid w:val="008562B7"/>
    <w:rsid w:val="0086101A"/>
    <w:rsid w:val="008649FD"/>
    <w:rsid w:val="00866F74"/>
    <w:rsid w:val="008704CF"/>
    <w:rsid w:val="0088309B"/>
    <w:rsid w:val="00883290"/>
    <w:rsid w:val="00887346"/>
    <w:rsid w:val="0089701D"/>
    <w:rsid w:val="008A39FC"/>
    <w:rsid w:val="008A46EC"/>
    <w:rsid w:val="008A58F4"/>
    <w:rsid w:val="008A6206"/>
    <w:rsid w:val="008A7DC4"/>
    <w:rsid w:val="008B5E1C"/>
    <w:rsid w:val="008B6313"/>
    <w:rsid w:val="008C075D"/>
    <w:rsid w:val="008C1C7D"/>
    <w:rsid w:val="008C70A2"/>
    <w:rsid w:val="008D3854"/>
    <w:rsid w:val="008D5545"/>
    <w:rsid w:val="008D57E9"/>
    <w:rsid w:val="008E1762"/>
    <w:rsid w:val="008E47E9"/>
    <w:rsid w:val="008E5BC1"/>
    <w:rsid w:val="008E7606"/>
    <w:rsid w:val="008E7E44"/>
    <w:rsid w:val="008F1185"/>
    <w:rsid w:val="008F16C0"/>
    <w:rsid w:val="008F4EFF"/>
    <w:rsid w:val="008F7CD8"/>
    <w:rsid w:val="008F7EB7"/>
    <w:rsid w:val="00900B51"/>
    <w:rsid w:val="0090327D"/>
    <w:rsid w:val="009037D1"/>
    <w:rsid w:val="00903CC2"/>
    <w:rsid w:val="00907707"/>
    <w:rsid w:val="009102BC"/>
    <w:rsid w:val="00911010"/>
    <w:rsid w:val="009110AE"/>
    <w:rsid w:val="009110C9"/>
    <w:rsid w:val="0091410A"/>
    <w:rsid w:val="009179C1"/>
    <w:rsid w:val="00920147"/>
    <w:rsid w:val="009201BD"/>
    <w:rsid w:val="00922207"/>
    <w:rsid w:val="00922F6E"/>
    <w:rsid w:val="00923A81"/>
    <w:rsid w:val="00924734"/>
    <w:rsid w:val="00927803"/>
    <w:rsid w:val="00933C6F"/>
    <w:rsid w:val="00937C41"/>
    <w:rsid w:val="0094263D"/>
    <w:rsid w:val="00946C91"/>
    <w:rsid w:val="009478AA"/>
    <w:rsid w:val="00960B3C"/>
    <w:rsid w:val="00963A94"/>
    <w:rsid w:val="009661FC"/>
    <w:rsid w:val="0096624C"/>
    <w:rsid w:val="009679F3"/>
    <w:rsid w:val="00967D78"/>
    <w:rsid w:val="00967E44"/>
    <w:rsid w:val="00970671"/>
    <w:rsid w:val="0097328F"/>
    <w:rsid w:val="00977B48"/>
    <w:rsid w:val="009834FC"/>
    <w:rsid w:val="00985831"/>
    <w:rsid w:val="009900A5"/>
    <w:rsid w:val="009916F3"/>
    <w:rsid w:val="00993911"/>
    <w:rsid w:val="0099456F"/>
    <w:rsid w:val="00996D31"/>
    <w:rsid w:val="0099714E"/>
    <w:rsid w:val="009A16E5"/>
    <w:rsid w:val="009A194F"/>
    <w:rsid w:val="009A1D89"/>
    <w:rsid w:val="009A3EF7"/>
    <w:rsid w:val="009A6100"/>
    <w:rsid w:val="009B53B8"/>
    <w:rsid w:val="009B5762"/>
    <w:rsid w:val="009B684C"/>
    <w:rsid w:val="009C0DC8"/>
    <w:rsid w:val="009C180E"/>
    <w:rsid w:val="009C1BA4"/>
    <w:rsid w:val="009C1D62"/>
    <w:rsid w:val="009C5E07"/>
    <w:rsid w:val="009E2AF2"/>
    <w:rsid w:val="009E3ABF"/>
    <w:rsid w:val="009E720D"/>
    <w:rsid w:val="009F5B85"/>
    <w:rsid w:val="00A032EC"/>
    <w:rsid w:val="00A11B88"/>
    <w:rsid w:val="00A1223B"/>
    <w:rsid w:val="00A12671"/>
    <w:rsid w:val="00A12E45"/>
    <w:rsid w:val="00A13069"/>
    <w:rsid w:val="00A178DC"/>
    <w:rsid w:val="00A26D73"/>
    <w:rsid w:val="00A31CAC"/>
    <w:rsid w:val="00A3533F"/>
    <w:rsid w:val="00A35E75"/>
    <w:rsid w:val="00A35F39"/>
    <w:rsid w:val="00A369B0"/>
    <w:rsid w:val="00A41125"/>
    <w:rsid w:val="00A42A95"/>
    <w:rsid w:val="00A43232"/>
    <w:rsid w:val="00A46960"/>
    <w:rsid w:val="00A568F8"/>
    <w:rsid w:val="00A569D6"/>
    <w:rsid w:val="00A56EA5"/>
    <w:rsid w:val="00A60013"/>
    <w:rsid w:val="00A62A3E"/>
    <w:rsid w:val="00A638B2"/>
    <w:rsid w:val="00A64F66"/>
    <w:rsid w:val="00A70B3F"/>
    <w:rsid w:val="00A711F7"/>
    <w:rsid w:val="00A717C1"/>
    <w:rsid w:val="00A7796E"/>
    <w:rsid w:val="00A830B5"/>
    <w:rsid w:val="00A85FDB"/>
    <w:rsid w:val="00A86509"/>
    <w:rsid w:val="00A86E3F"/>
    <w:rsid w:val="00A93FF3"/>
    <w:rsid w:val="00A97D79"/>
    <w:rsid w:val="00AA19FE"/>
    <w:rsid w:val="00AB2BFA"/>
    <w:rsid w:val="00AB5578"/>
    <w:rsid w:val="00AC2B8A"/>
    <w:rsid w:val="00AC4B97"/>
    <w:rsid w:val="00AC54A8"/>
    <w:rsid w:val="00AC5665"/>
    <w:rsid w:val="00AC6B48"/>
    <w:rsid w:val="00AC6B72"/>
    <w:rsid w:val="00AC79E9"/>
    <w:rsid w:val="00AD0C0F"/>
    <w:rsid w:val="00AD24AC"/>
    <w:rsid w:val="00AD4735"/>
    <w:rsid w:val="00AD6ECB"/>
    <w:rsid w:val="00AE0C46"/>
    <w:rsid w:val="00AE284F"/>
    <w:rsid w:val="00AF360B"/>
    <w:rsid w:val="00AF43A8"/>
    <w:rsid w:val="00AF6258"/>
    <w:rsid w:val="00B037E3"/>
    <w:rsid w:val="00B07873"/>
    <w:rsid w:val="00B126D1"/>
    <w:rsid w:val="00B145AB"/>
    <w:rsid w:val="00B1532C"/>
    <w:rsid w:val="00B159F8"/>
    <w:rsid w:val="00B216CB"/>
    <w:rsid w:val="00B21EDE"/>
    <w:rsid w:val="00B243A3"/>
    <w:rsid w:val="00B26FA5"/>
    <w:rsid w:val="00B35358"/>
    <w:rsid w:val="00B36F20"/>
    <w:rsid w:val="00B37152"/>
    <w:rsid w:val="00B37BD0"/>
    <w:rsid w:val="00B41EA1"/>
    <w:rsid w:val="00B50A60"/>
    <w:rsid w:val="00B52CA5"/>
    <w:rsid w:val="00B53701"/>
    <w:rsid w:val="00B6029F"/>
    <w:rsid w:val="00B61665"/>
    <w:rsid w:val="00B65CCC"/>
    <w:rsid w:val="00B675A4"/>
    <w:rsid w:val="00B716C8"/>
    <w:rsid w:val="00B72AF7"/>
    <w:rsid w:val="00B74176"/>
    <w:rsid w:val="00B7483E"/>
    <w:rsid w:val="00B766BE"/>
    <w:rsid w:val="00B77FAC"/>
    <w:rsid w:val="00B857C0"/>
    <w:rsid w:val="00B86D30"/>
    <w:rsid w:val="00B878B9"/>
    <w:rsid w:val="00B96047"/>
    <w:rsid w:val="00B96C89"/>
    <w:rsid w:val="00BA3391"/>
    <w:rsid w:val="00BA6266"/>
    <w:rsid w:val="00BB0525"/>
    <w:rsid w:val="00BB2A9A"/>
    <w:rsid w:val="00BB39DD"/>
    <w:rsid w:val="00BB4780"/>
    <w:rsid w:val="00BC06E7"/>
    <w:rsid w:val="00BC3CF5"/>
    <w:rsid w:val="00BC4442"/>
    <w:rsid w:val="00BC5EF7"/>
    <w:rsid w:val="00BD25C7"/>
    <w:rsid w:val="00BD5187"/>
    <w:rsid w:val="00BE15BB"/>
    <w:rsid w:val="00BE61B0"/>
    <w:rsid w:val="00BF50C1"/>
    <w:rsid w:val="00BF573D"/>
    <w:rsid w:val="00C00A7C"/>
    <w:rsid w:val="00C02E05"/>
    <w:rsid w:val="00C037CA"/>
    <w:rsid w:val="00C043AC"/>
    <w:rsid w:val="00C132A0"/>
    <w:rsid w:val="00C1342E"/>
    <w:rsid w:val="00C13EE9"/>
    <w:rsid w:val="00C15ED6"/>
    <w:rsid w:val="00C249C0"/>
    <w:rsid w:val="00C25E06"/>
    <w:rsid w:val="00C27FF3"/>
    <w:rsid w:val="00C30B41"/>
    <w:rsid w:val="00C31C7E"/>
    <w:rsid w:val="00C33611"/>
    <w:rsid w:val="00C33D40"/>
    <w:rsid w:val="00C35BF3"/>
    <w:rsid w:val="00C41EC0"/>
    <w:rsid w:val="00C442F4"/>
    <w:rsid w:val="00C5096F"/>
    <w:rsid w:val="00C54155"/>
    <w:rsid w:val="00C55019"/>
    <w:rsid w:val="00C5573A"/>
    <w:rsid w:val="00C55F9A"/>
    <w:rsid w:val="00C62CA4"/>
    <w:rsid w:val="00C6521B"/>
    <w:rsid w:val="00C66BAC"/>
    <w:rsid w:val="00C71D0B"/>
    <w:rsid w:val="00C75C0E"/>
    <w:rsid w:val="00C81F57"/>
    <w:rsid w:val="00C839DF"/>
    <w:rsid w:val="00C850D5"/>
    <w:rsid w:val="00C85E52"/>
    <w:rsid w:val="00C87593"/>
    <w:rsid w:val="00C87803"/>
    <w:rsid w:val="00C959EE"/>
    <w:rsid w:val="00C95BA9"/>
    <w:rsid w:val="00C963CE"/>
    <w:rsid w:val="00CA002B"/>
    <w:rsid w:val="00CA22A5"/>
    <w:rsid w:val="00CA4214"/>
    <w:rsid w:val="00CA6E78"/>
    <w:rsid w:val="00CB5EA0"/>
    <w:rsid w:val="00CB7B74"/>
    <w:rsid w:val="00CC111A"/>
    <w:rsid w:val="00CC6C73"/>
    <w:rsid w:val="00CD2033"/>
    <w:rsid w:val="00CD232C"/>
    <w:rsid w:val="00CD6D9E"/>
    <w:rsid w:val="00CD7422"/>
    <w:rsid w:val="00CE3545"/>
    <w:rsid w:val="00CF5764"/>
    <w:rsid w:val="00D020B6"/>
    <w:rsid w:val="00D03848"/>
    <w:rsid w:val="00D03FCF"/>
    <w:rsid w:val="00D07CE2"/>
    <w:rsid w:val="00D12324"/>
    <w:rsid w:val="00D13712"/>
    <w:rsid w:val="00D13D3B"/>
    <w:rsid w:val="00D150D9"/>
    <w:rsid w:val="00D15404"/>
    <w:rsid w:val="00D16B51"/>
    <w:rsid w:val="00D174E1"/>
    <w:rsid w:val="00D1768A"/>
    <w:rsid w:val="00D17782"/>
    <w:rsid w:val="00D17E2F"/>
    <w:rsid w:val="00D23C97"/>
    <w:rsid w:val="00D260BB"/>
    <w:rsid w:val="00D267E0"/>
    <w:rsid w:val="00D26938"/>
    <w:rsid w:val="00D275AF"/>
    <w:rsid w:val="00D30539"/>
    <w:rsid w:val="00D30661"/>
    <w:rsid w:val="00D3285F"/>
    <w:rsid w:val="00D34414"/>
    <w:rsid w:val="00D417E1"/>
    <w:rsid w:val="00D436D8"/>
    <w:rsid w:val="00D46E8E"/>
    <w:rsid w:val="00D470CE"/>
    <w:rsid w:val="00D50598"/>
    <w:rsid w:val="00D50B74"/>
    <w:rsid w:val="00D51D09"/>
    <w:rsid w:val="00D5268B"/>
    <w:rsid w:val="00D55264"/>
    <w:rsid w:val="00D56818"/>
    <w:rsid w:val="00D607B6"/>
    <w:rsid w:val="00D63A8B"/>
    <w:rsid w:val="00D66D6A"/>
    <w:rsid w:val="00D679BD"/>
    <w:rsid w:val="00D72313"/>
    <w:rsid w:val="00D72D79"/>
    <w:rsid w:val="00D74A44"/>
    <w:rsid w:val="00D80ABA"/>
    <w:rsid w:val="00D8437C"/>
    <w:rsid w:val="00D93E73"/>
    <w:rsid w:val="00DA074B"/>
    <w:rsid w:val="00DA1A15"/>
    <w:rsid w:val="00DA2EB8"/>
    <w:rsid w:val="00DA3A40"/>
    <w:rsid w:val="00DA7554"/>
    <w:rsid w:val="00DB1195"/>
    <w:rsid w:val="00DB1E2E"/>
    <w:rsid w:val="00DB60B6"/>
    <w:rsid w:val="00DB6D6D"/>
    <w:rsid w:val="00DB7357"/>
    <w:rsid w:val="00DB7BBB"/>
    <w:rsid w:val="00DC11A7"/>
    <w:rsid w:val="00DC1C26"/>
    <w:rsid w:val="00DC23CC"/>
    <w:rsid w:val="00DC4746"/>
    <w:rsid w:val="00DC5956"/>
    <w:rsid w:val="00DC644A"/>
    <w:rsid w:val="00DD1552"/>
    <w:rsid w:val="00DD6BCD"/>
    <w:rsid w:val="00DD7444"/>
    <w:rsid w:val="00DE055A"/>
    <w:rsid w:val="00DE31A3"/>
    <w:rsid w:val="00DE3EAD"/>
    <w:rsid w:val="00DF3A76"/>
    <w:rsid w:val="00DF4E8D"/>
    <w:rsid w:val="00E0216E"/>
    <w:rsid w:val="00E025CC"/>
    <w:rsid w:val="00E05022"/>
    <w:rsid w:val="00E06AFD"/>
    <w:rsid w:val="00E07283"/>
    <w:rsid w:val="00E12808"/>
    <w:rsid w:val="00E1345B"/>
    <w:rsid w:val="00E139E4"/>
    <w:rsid w:val="00E147C0"/>
    <w:rsid w:val="00E14C84"/>
    <w:rsid w:val="00E14EAD"/>
    <w:rsid w:val="00E1671D"/>
    <w:rsid w:val="00E17FE5"/>
    <w:rsid w:val="00E276D3"/>
    <w:rsid w:val="00E27BF6"/>
    <w:rsid w:val="00E314C3"/>
    <w:rsid w:val="00E315AA"/>
    <w:rsid w:val="00E35ECB"/>
    <w:rsid w:val="00E43B94"/>
    <w:rsid w:val="00E608CC"/>
    <w:rsid w:val="00E6665B"/>
    <w:rsid w:val="00E74FEB"/>
    <w:rsid w:val="00E84E78"/>
    <w:rsid w:val="00E84F19"/>
    <w:rsid w:val="00E916E9"/>
    <w:rsid w:val="00E91721"/>
    <w:rsid w:val="00E925B2"/>
    <w:rsid w:val="00E9270B"/>
    <w:rsid w:val="00E936DE"/>
    <w:rsid w:val="00E96E80"/>
    <w:rsid w:val="00E9798B"/>
    <w:rsid w:val="00EA02B6"/>
    <w:rsid w:val="00EA19A3"/>
    <w:rsid w:val="00EA2670"/>
    <w:rsid w:val="00EA393B"/>
    <w:rsid w:val="00EA5319"/>
    <w:rsid w:val="00EA603F"/>
    <w:rsid w:val="00EA7CE9"/>
    <w:rsid w:val="00EB11AF"/>
    <w:rsid w:val="00EB6DCF"/>
    <w:rsid w:val="00EC0786"/>
    <w:rsid w:val="00EC614C"/>
    <w:rsid w:val="00ED336D"/>
    <w:rsid w:val="00ED3DAF"/>
    <w:rsid w:val="00ED49C0"/>
    <w:rsid w:val="00ED5315"/>
    <w:rsid w:val="00EE2261"/>
    <w:rsid w:val="00EE3696"/>
    <w:rsid w:val="00EE3DB0"/>
    <w:rsid w:val="00EE5843"/>
    <w:rsid w:val="00EE5AD5"/>
    <w:rsid w:val="00EE7A33"/>
    <w:rsid w:val="00EF1BE3"/>
    <w:rsid w:val="00EF354D"/>
    <w:rsid w:val="00EF6E69"/>
    <w:rsid w:val="00EF7C57"/>
    <w:rsid w:val="00F043D1"/>
    <w:rsid w:val="00F060AE"/>
    <w:rsid w:val="00F07986"/>
    <w:rsid w:val="00F12028"/>
    <w:rsid w:val="00F16558"/>
    <w:rsid w:val="00F165B8"/>
    <w:rsid w:val="00F27A45"/>
    <w:rsid w:val="00F3142C"/>
    <w:rsid w:val="00F361DB"/>
    <w:rsid w:val="00F4065A"/>
    <w:rsid w:val="00F419CA"/>
    <w:rsid w:val="00F4413F"/>
    <w:rsid w:val="00F455F9"/>
    <w:rsid w:val="00F5126B"/>
    <w:rsid w:val="00F533D9"/>
    <w:rsid w:val="00F541E9"/>
    <w:rsid w:val="00F56B75"/>
    <w:rsid w:val="00F57D03"/>
    <w:rsid w:val="00F64520"/>
    <w:rsid w:val="00F700C6"/>
    <w:rsid w:val="00F704B7"/>
    <w:rsid w:val="00F711A7"/>
    <w:rsid w:val="00F758F1"/>
    <w:rsid w:val="00F771FA"/>
    <w:rsid w:val="00F81435"/>
    <w:rsid w:val="00F81B2B"/>
    <w:rsid w:val="00F8403E"/>
    <w:rsid w:val="00F875F5"/>
    <w:rsid w:val="00F9119B"/>
    <w:rsid w:val="00F917DC"/>
    <w:rsid w:val="00F93DE4"/>
    <w:rsid w:val="00F944CF"/>
    <w:rsid w:val="00F97469"/>
    <w:rsid w:val="00FA42AA"/>
    <w:rsid w:val="00FA4379"/>
    <w:rsid w:val="00FA4856"/>
    <w:rsid w:val="00FA5E95"/>
    <w:rsid w:val="00FA5F56"/>
    <w:rsid w:val="00FB041A"/>
    <w:rsid w:val="00FB05B9"/>
    <w:rsid w:val="00FB1F42"/>
    <w:rsid w:val="00FC30A6"/>
    <w:rsid w:val="00FC47C6"/>
    <w:rsid w:val="00FC5075"/>
    <w:rsid w:val="00FC66F1"/>
    <w:rsid w:val="00FC6FFC"/>
    <w:rsid w:val="00FC7B3C"/>
    <w:rsid w:val="00FD0ACF"/>
    <w:rsid w:val="00FD3D67"/>
    <w:rsid w:val="00FD3FD5"/>
    <w:rsid w:val="00FD4615"/>
    <w:rsid w:val="00FD597D"/>
    <w:rsid w:val="00FD59F0"/>
    <w:rsid w:val="00FD6CCA"/>
    <w:rsid w:val="00FE117B"/>
    <w:rsid w:val="00FE29AE"/>
    <w:rsid w:val="00FE45D0"/>
    <w:rsid w:val="00FE574D"/>
    <w:rsid w:val="00FE5E73"/>
    <w:rsid w:val="00FE690D"/>
    <w:rsid w:val="00FF073C"/>
    <w:rsid w:val="00FF2F90"/>
    <w:rsid w:val="00FF3089"/>
    <w:rsid w:val="01281B77"/>
    <w:rsid w:val="01B71653"/>
    <w:rsid w:val="01DA5951"/>
    <w:rsid w:val="01EC72D6"/>
    <w:rsid w:val="01FA0642"/>
    <w:rsid w:val="02930398"/>
    <w:rsid w:val="036F0F48"/>
    <w:rsid w:val="03794412"/>
    <w:rsid w:val="040C414F"/>
    <w:rsid w:val="04281CBF"/>
    <w:rsid w:val="04970AC7"/>
    <w:rsid w:val="04CD56E6"/>
    <w:rsid w:val="04EC14C8"/>
    <w:rsid w:val="051A6110"/>
    <w:rsid w:val="05A36F5B"/>
    <w:rsid w:val="06F8F121"/>
    <w:rsid w:val="07115269"/>
    <w:rsid w:val="07995F18"/>
    <w:rsid w:val="08EE086E"/>
    <w:rsid w:val="09E75EF3"/>
    <w:rsid w:val="0AAB206E"/>
    <w:rsid w:val="0AD61B81"/>
    <w:rsid w:val="0B5A0EA1"/>
    <w:rsid w:val="0B602DC9"/>
    <w:rsid w:val="0BA56018"/>
    <w:rsid w:val="0BDF4D78"/>
    <w:rsid w:val="0D135946"/>
    <w:rsid w:val="0E071619"/>
    <w:rsid w:val="0E3D67D2"/>
    <w:rsid w:val="0EC27A1A"/>
    <w:rsid w:val="0EFD2A33"/>
    <w:rsid w:val="100F59F3"/>
    <w:rsid w:val="10335CF4"/>
    <w:rsid w:val="10AE33DE"/>
    <w:rsid w:val="10FB168D"/>
    <w:rsid w:val="113373E5"/>
    <w:rsid w:val="11770398"/>
    <w:rsid w:val="122227CE"/>
    <w:rsid w:val="133833D9"/>
    <w:rsid w:val="14170A0A"/>
    <w:rsid w:val="153C5EBA"/>
    <w:rsid w:val="155A6B32"/>
    <w:rsid w:val="15747FCD"/>
    <w:rsid w:val="15A3216C"/>
    <w:rsid w:val="15FF3D3A"/>
    <w:rsid w:val="16234CA3"/>
    <w:rsid w:val="16526560"/>
    <w:rsid w:val="165A6957"/>
    <w:rsid w:val="16BF9980"/>
    <w:rsid w:val="16C3610A"/>
    <w:rsid w:val="16C8139C"/>
    <w:rsid w:val="170B19CF"/>
    <w:rsid w:val="17494A75"/>
    <w:rsid w:val="17D706BD"/>
    <w:rsid w:val="17F51899"/>
    <w:rsid w:val="18017CDF"/>
    <w:rsid w:val="182A7068"/>
    <w:rsid w:val="184C3483"/>
    <w:rsid w:val="187F2676"/>
    <w:rsid w:val="18B75107"/>
    <w:rsid w:val="18EFE18A"/>
    <w:rsid w:val="19832ED4"/>
    <w:rsid w:val="19CC5C7A"/>
    <w:rsid w:val="19D81D92"/>
    <w:rsid w:val="1A1B2CF1"/>
    <w:rsid w:val="1A862B26"/>
    <w:rsid w:val="1B0818E3"/>
    <w:rsid w:val="1BFFFDA9"/>
    <w:rsid w:val="1DA50680"/>
    <w:rsid w:val="1DE91915"/>
    <w:rsid w:val="1E03795D"/>
    <w:rsid w:val="1E1E4F79"/>
    <w:rsid w:val="1E5E7FEE"/>
    <w:rsid w:val="1E687437"/>
    <w:rsid w:val="1E8E0A96"/>
    <w:rsid w:val="1EA58070"/>
    <w:rsid w:val="1ECC00D4"/>
    <w:rsid w:val="1F334A6D"/>
    <w:rsid w:val="1FBB33A1"/>
    <w:rsid w:val="1FBD08DB"/>
    <w:rsid w:val="1FD55B0C"/>
    <w:rsid w:val="20851330"/>
    <w:rsid w:val="20A35C0A"/>
    <w:rsid w:val="20FD6B90"/>
    <w:rsid w:val="21690EB8"/>
    <w:rsid w:val="21901708"/>
    <w:rsid w:val="234229D7"/>
    <w:rsid w:val="238B0D56"/>
    <w:rsid w:val="23B75C54"/>
    <w:rsid w:val="23C05B1A"/>
    <w:rsid w:val="23ED4D48"/>
    <w:rsid w:val="241237D2"/>
    <w:rsid w:val="245C4D42"/>
    <w:rsid w:val="24CD4F0D"/>
    <w:rsid w:val="25034EC9"/>
    <w:rsid w:val="2520562A"/>
    <w:rsid w:val="258C3110"/>
    <w:rsid w:val="25C84A4E"/>
    <w:rsid w:val="26C336C6"/>
    <w:rsid w:val="271D0F11"/>
    <w:rsid w:val="274F3F3F"/>
    <w:rsid w:val="276A1368"/>
    <w:rsid w:val="277125BE"/>
    <w:rsid w:val="279549A2"/>
    <w:rsid w:val="27BA3B06"/>
    <w:rsid w:val="28771E56"/>
    <w:rsid w:val="29363ABF"/>
    <w:rsid w:val="29B05F9E"/>
    <w:rsid w:val="29FA0F90"/>
    <w:rsid w:val="2A431E04"/>
    <w:rsid w:val="2ADB619F"/>
    <w:rsid w:val="2B18095F"/>
    <w:rsid w:val="2B6265B5"/>
    <w:rsid w:val="2BA43750"/>
    <w:rsid w:val="2C5540BF"/>
    <w:rsid w:val="2CFE741B"/>
    <w:rsid w:val="2D142369"/>
    <w:rsid w:val="2D5C786C"/>
    <w:rsid w:val="2DD9568E"/>
    <w:rsid w:val="2DFD5C3E"/>
    <w:rsid w:val="2DFF912D"/>
    <w:rsid w:val="2E6B9694"/>
    <w:rsid w:val="2EA8573E"/>
    <w:rsid w:val="2ED022C0"/>
    <w:rsid w:val="2EFF180D"/>
    <w:rsid w:val="2F247232"/>
    <w:rsid w:val="2F462582"/>
    <w:rsid w:val="2FC35FA3"/>
    <w:rsid w:val="310D3357"/>
    <w:rsid w:val="313F54DB"/>
    <w:rsid w:val="31CE6A23"/>
    <w:rsid w:val="31DC0A24"/>
    <w:rsid w:val="328D796F"/>
    <w:rsid w:val="328F405C"/>
    <w:rsid w:val="32EE71B8"/>
    <w:rsid w:val="3367DB15"/>
    <w:rsid w:val="33956C1F"/>
    <w:rsid w:val="33CE41EA"/>
    <w:rsid w:val="33E54A6F"/>
    <w:rsid w:val="340053F5"/>
    <w:rsid w:val="34295A64"/>
    <w:rsid w:val="34624E41"/>
    <w:rsid w:val="34DD7648"/>
    <w:rsid w:val="35B31276"/>
    <w:rsid w:val="35DBEE12"/>
    <w:rsid w:val="35FAAC2C"/>
    <w:rsid w:val="36220010"/>
    <w:rsid w:val="367E2601"/>
    <w:rsid w:val="36FF1DE3"/>
    <w:rsid w:val="372431A9"/>
    <w:rsid w:val="37261AB3"/>
    <w:rsid w:val="378D6D24"/>
    <w:rsid w:val="37900558"/>
    <w:rsid w:val="3866266B"/>
    <w:rsid w:val="38718CEA"/>
    <w:rsid w:val="38FF398F"/>
    <w:rsid w:val="39C66799"/>
    <w:rsid w:val="3A1A29D5"/>
    <w:rsid w:val="3A1F0242"/>
    <w:rsid w:val="3A483F69"/>
    <w:rsid w:val="3A5B5D7E"/>
    <w:rsid w:val="3A5B6047"/>
    <w:rsid w:val="3A5C0EAC"/>
    <w:rsid w:val="3AD56782"/>
    <w:rsid w:val="3ADB3B42"/>
    <w:rsid w:val="3C0E4427"/>
    <w:rsid w:val="3C1C4D96"/>
    <w:rsid w:val="3CDBB53D"/>
    <w:rsid w:val="3D97355F"/>
    <w:rsid w:val="3D996651"/>
    <w:rsid w:val="3D9D5D4A"/>
    <w:rsid w:val="3DEF8275"/>
    <w:rsid w:val="3E5720B6"/>
    <w:rsid w:val="3E695004"/>
    <w:rsid w:val="3E77C398"/>
    <w:rsid w:val="3E7C4D5A"/>
    <w:rsid w:val="3EA32EAC"/>
    <w:rsid w:val="3EA47CB6"/>
    <w:rsid w:val="3EBF7C5B"/>
    <w:rsid w:val="3F36616F"/>
    <w:rsid w:val="3F670284"/>
    <w:rsid w:val="3F7EA989"/>
    <w:rsid w:val="3FBD48E7"/>
    <w:rsid w:val="3FDE03B8"/>
    <w:rsid w:val="3FFE1A17"/>
    <w:rsid w:val="40CA3013"/>
    <w:rsid w:val="42A02C67"/>
    <w:rsid w:val="42C23421"/>
    <w:rsid w:val="42DB5A94"/>
    <w:rsid w:val="441376B7"/>
    <w:rsid w:val="4448249A"/>
    <w:rsid w:val="44577458"/>
    <w:rsid w:val="44654E01"/>
    <w:rsid w:val="44D3395C"/>
    <w:rsid w:val="45A51959"/>
    <w:rsid w:val="4609638B"/>
    <w:rsid w:val="46771EC1"/>
    <w:rsid w:val="46AA2F9F"/>
    <w:rsid w:val="46C97460"/>
    <w:rsid w:val="47DFE584"/>
    <w:rsid w:val="47FF1D68"/>
    <w:rsid w:val="481572F1"/>
    <w:rsid w:val="48794402"/>
    <w:rsid w:val="48FB5D34"/>
    <w:rsid w:val="493C4382"/>
    <w:rsid w:val="49C167BA"/>
    <w:rsid w:val="4AD4032A"/>
    <w:rsid w:val="4B0264A8"/>
    <w:rsid w:val="4BBCAD63"/>
    <w:rsid w:val="4CCA5092"/>
    <w:rsid w:val="4E00265A"/>
    <w:rsid w:val="4E0336C0"/>
    <w:rsid w:val="4ED27537"/>
    <w:rsid w:val="4EDE67D2"/>
    <w:rsid w:val="4F9C201E"/>
    <w:rsid w:val="4FBF5D0D"/>
    <w:rsid w:val="4FF7F9BC"/>
    <w:rsid w:val="50153B7F"/>
    <w:rsid w:val="50C64E79"/>
    <w:rsid w:val="50D2209F"/>
    <w:rsid w:val="52141DC8"/>
    <w:rsid w:val="52214A5D"/>
    <w:rsid w:val="52CA2764"/>
    <w:rsid w:val="52E02A45"/>
    <w:rsid w:val="5311A2FF"/>
    <w:rsid w:val="531225F7"/>
    <w:rsid w:val="53B536E4"/>
    <w:rsid w:val="53DE67F8"/>
    <w:rsid w:val="54A01FF8"/>
    <w:rsid w:val="56586573"/>
    <w:rsid w:val="567926E9"/>
    <w:rsid w:val="576126CC"/>
    <w:rsid w:val="576D3B51"/>
    <w:rsid w:val="5789FCBB"/>
    <w:rsid w:val="57E427B4"/>
    <w:rsid w:val="57EA769F"/>
    <w:rsid w:val="583D1EC5"/>
    <w:rsid w:val="58474AF1"/>
    <w:rsid w:val="58DF377F"/>
    <w:rsid w:val="5A2E5F82"/>
    <w:rsid w:val="5A3A2B60"/>
    <w:rsid w:val="5A6B679E"/>
    <w:rsid w:val="5ACD2218"/>
    <w:rsid w:val="5B1430EA"/>
    <w:rsid w:val="5BA830B6"/>
    <w:rsid w:val="5BB363A7"/>
    <w:rsid w:val="5BFDA597"/>
    <w:rsid w:val="5C6C0FCA"/>
    <w:rsid w:val="5CA742BF"/>
    <w:rsid w:val="5CB02DC4"/>
    <w:rsid w:val="5D2C1C37"/>
    <w:rsid w:val="5D5B53D2"/>
    <w:rsid w:val="5D6F91D4"/>
    <w:rsid w:val="5DA11F69"/>
    <w:rsid w:val="5DFF3BB2"/>
    <w:rsid w:val="5DFFC3E5"/>
    <w:rsid w:val="5E485012"/>
    <w:rsid w:val="5EE66E12"/>
    <w:rsid w:val="5FB94527"/>
    <w:rsid w:val="5FBFCB0D"/>
    <w:rsid w:val="5FED42BD"/>
    <w:rsid w:val="5FFF96E3"/>
    <w:rsid w:val="60002155"/>
    <w:rsid w:val="605E0C2A"/>
    <w:rsid w:val="60CB2763"/>
    <w:rsid w:val="60F749A6"/>
    <w:rsid w:val="615A41CF"/>
    <w:rsid w:val="61F02B05"/>
    <w:rsid w:val="624502F4"/>
    <w:rsid w:val="62CC4571"/>
    <w:rsid w:val="6393D23C"/>
    <w:rsid w:val="639C3F43"/>
    <w:rsid w:val="63EB0BC2"/>
    <w:rsid w:val="64E731EA"/>
    <w:rsid w:val="662D5327"/>
    <w:rsid w:val="66B42007"/>
    <w:rsid w:val="67E61C31"/>
    <w:rsid w:val="68333702"/>
    <w:rsid w:val="685E6CC2"/>
    <w:rsid w:val="68AA7ABE"/>
    <w:rsid w:val="6920616B"/>
    <w:rsid w:val="6A0C16F7"/>
    <w:rsid w:val="6A7774B8"/>
    <w:rsid w:val="6A933BC6"/>
    <w:rsid w:val="6B597D3D"/>
    <w:rsid w:val="6B6C7905"/>
    <w:rsid w:val="6B6FFB2B"/>
    <w:rsid w:val="6B8A6D77"/>
    <w:rsid w:val="6BD79E28"/>
    <w:rsid w:val="6C223520"/>
    <w:rsid w:val="6DE71CAA"/>
    <w:rsid w:val="6DF32ECF"/>
    <w:rsid w:val="6E0E1EE1"/>
    <w:rsid w:val="6E7FB83F"/>
    <w:rsid w:val="6EFD0702"/>
    <w:rsid w:val="6F392F8E"/>
    <w:rsid w:val="6F9439CA"/>
    <w:rsid w:val="6F9F86BD"/>
    <w:rsid w:val="6FBA075D"/>
    <w:rsid w:val="6FC76E98"/>
    <w:rsid w:val="6FED1DEF"/>
    <w:rsid w:val="70194B6E"/>
    <w:rsid w:val="70294DB1"/>
    <w:rsid w:val="70A97C9F"/>
    <w:rsid w:val="70EF2816"/>
    <w:rsid w:val="712C5766"/>
    <w:rsid w:val="7148395C"/>
    <w:rsid w:val="720D24B0"/>
    <w:rsid w:val="725E5648"/>
    <w:rsid w:val="72A44ABA"/>
    <w:rsid w:val="72BC63B0"/>
    <w:rsid w:val="72F7BE77"/>
    <w:rsid w:val="73392D4B"/>
    <w:rsid w:val="73C81EF2"/>
    <w:rsid w:val="73CA68AB"/>
    <w:rsid w:val="73FF185F"/>
    <w:rsid w:val="74BE7A92"/>
    <w:rsid w:val="7571445C"/>
    <w:rsid w:val="757A60AE"/>
    <w:rsid w:val="759F5B15"/>
    <w:rsid w:val="75E6EE3E"/>
    <w:rsid w:val="75FE14B3"/>
    <w:rsid w:val="76F3341D"/>
    <w:rsid w:val="77075720"/>
    <w:rsid w:val="775E6842"/>
    <w:rsid w:val="77B639B2"/>
    <w:rsid w:val="77BF280A"/>
    <w:rsid w:val="77DF857D"/>
    <w:rsid w:val="77FC19EA"/>
    <w:rsid w:val="77FF2493"/>
    <w:rsid w:val="788172EA"/>
    <w:rsid w:val="79BD037B"/>
    <w:rsid w:val="79C159B3"/>
    <w:rsid w:val="7A810926"/>
    <w:rsid w:val="7A9EF9DF"/>
    <w:rsid w:val="7AA34B21"/>
    <w:rsid w:val="7B0D0A6A"/>
    <w:rsid w:val="7B245876"/>
    <w:rsid w:val="7B5FB6DE"/>
    <w:rsid w:val="7BBFDDAD"/>
    <w:rsid w:val="7BDFDC94"/>
    <w:rsid w:val="7BE5343D"/>
    <w:rsid w:val="7C4E7B53"/>
    <w:rsid w:val="7C57599F"/>
    <w:rsid w:val="7C73113B"/>
    <w:rsid w:val="7CD41461"/>
    <w:rsid w:val="7CE575A8"/>
    <w:rsid w:val="7D3F2001"/>
    <w:rsid w:val="7DE942AD"/>
    <w:rsid w:val="7E2D63B4"/>
    <w:rsid w:val="7E4469A9"/>
    <w:rsid w:val="7E6F587C"/>
    <w:rsid w:val="7E78D5B2"/>
    <w:rsid w:val="7E7A0719"/>
    <w:rsid w:val="7E7D62E1"/>
    <w:rsid w:val="7E7F0FD5"/>
    <w:rsid w:val="7E7F45CC"/>
    <w:rsid w:val="7EF7A5A4"/>
    <w:rsid w:val="7EFD6F02"/>
    <w:rsid w:val="7EFF9F9C"/>
    <w:rsid w:val="7F296CD5"/>
    <w:rsid w:val="7F7B4232"/>
    <w:rsid w:val="7F86BCB2"/>
    <w:rsid w:val="7FB56730"/>
    <w:rsid w:val="7FDEBE8B"/>
    <w:rsid w:val="7FFC25EF"/>
    <w:rsid w:val="7FFD7D27"/>
    <w:rsid w:val="7FFE125F"/>
    <w:rsid w:val="7FFF370A"/>
    <w:rsid w:val="7FFF95C1"/>
    <w:rsid w:val="87367C11"/>
    <w:rsid w:val="99BF7335"/>
    <w:rsid w:val="9FF65BB9"/>
    <w:rsid w:val="A9FEDED0"/>
    <w:rsid w:val="AFDFBFFD"/>
    <w:rsid w:val="AFFD305F"/>
    <w:rsid w:val="B3FF364A"/>
    <w:rsid w:val="B5CA2FAA"/>
    <w:rsid w:val="B5F78F81"/>
    <w:rsid w:val="BC7F9786"/>
    <w:rsid w:val="BD7F3F99"/>
    <w:rsid w:val="BE861E83"/>
    <w:rsid w:val="BF272253"/>
    <w:rsid w:val="BF3BF0A0"/>
    <w:rsid w:val="BFFE765D"/>
    <w:rsid w:val="CAD84FAF"/>
    <w:rsid w:val="CDFF5C57"/>
    <w:rsid w:val="CFBA17AF"/>
    <w:rsid w:val="CFBE0682"/>
    <w:rsid w:val="CFFB0D3D"/>
    <w:rsid w:val="CFFEE267"/>
    <w:rsid w:val="D23ECCCA"/>
    <w:rsid w:val="D7B38C4B"/>
    <w:rsid w:val="D9FF6763"/>
    <w:rsid w:val="DBE679A1"/>
    <w:rsid w:val="DBED0D8A"/>
    <w:rsid w:val="DBFEA0FD"/>
    <w:rsid w:val="DCFF7FA5"/>
    <w:rsid w:val="DDD92150"/>
    <w:rsid w:val="DF7A8F6F"/>
    <w:rsid w:val="DF7F2160"/>
    <w:rsid w:val="DF7F532B"/>
    <w:rsid w:val="DFE06E91"/>
    <w:rsid w:val="DFF76272"/>
    <w:rsid w:val="E2FE4B4F"/>
    <w:rsid w:val="E51F46CA"/>
    <w:rsid w:val="E79F44D8"/>
    <w:rsid w:val="E7FD810E"/>
    <w:rsid w:val="E99FE2F5"/>
    <w:rsid w:val="E9B7081B"/>
    <w:rsid w:val="EB5F6E8F"/>
    <w:rsid w:val="EBFD4347"/>
    <w:rsid w:val="EBFF561D"/>
    <w:rsid w:val="ECFDD79D"/>
    <w:rsid w:val="ED7840C9"/>
    <w:rsid w:val="EE26C5EA"/>
    <w:rsid w:val="EFFF0A77"/>
    <w:rsid w:val="F12759D2"/>
    <w:rsid w:val="F2DBD6E6"/>
    <w:rsid w:val="F31FA005"/>
    <w:rsid w:val="F37F39A5"/>
    <w:rsid w:val="F57F0F02"/>
    <w:rsid w:val="F6D7B808"/>
    <w:rsid w:val="F6FF72C6"/>
    <w:rsid w:val="F7C0FEF8"/>
    <w:rsid w:val="F7F62669"/>
    <w:rsid w:val="F9BFF84C"/>
    <w:rsid w:val="F9FB2123"/>
    <w:rsid w:val="FAD955F3"/>
    <w:rsid w:val="FAEFC0DA"/>
    <w:rsid w:val="FAFA3655"/>
    <w:rsid w:val="FB7F2A28"/>
    <w:rsid w:val="FBDF44B3"/>
    <w:rsid w:val="FCDE472B"/>
    <w:rsid w:val="FD3FEF08"/>
    <w:rsid w:val="FDBC728C"/>
    <w:rsid w:val="FDF5078D"/>
    <w:rsid w:val="FDF78709"/>
    <w:rsid w:val="FDFE29D6"/>
    <w:rsid w:val="FDFF59FD"/>
    <w:rsid w:val="FE5735D6"/>
    <w:rsid w:val="FE67790F"/>
    <w:rsid w:val="FE8DAD8A"/>
    <w:rsid w:val="FEBE7C65"/>
    <w:rsid w:val="FEFAB05E"/>
    <w:rsid w:val="FF1C23A0"/>
    <w:rsid w:val="FF3A2362"/>
    <w:rsid w:val="FF5FC768"/>
    <w:rsid w:val="FF63EFD8"/>
    <w:rsid w:val="FF7DAB2F"/>
    <w:rsid w:val="FFB6382E"/>
    <w:rsid w:val="FFBC26BF"/>
    <w:rsid w:val="FFBFB483"/>
    <w:rsid w:val="FFCB0FE9"/>
    <w:rsid w:val="FFCF12F6"/>
    <w:rsid w:val="FFD98492"/>
    <w:rsid w:val="FFFB327D"/>
    <w:rsid w:val="FFFD9C64"/>
    <w:rsid w:val="FFFE63E4"/>
    <w:rsid w:val="FFFF6C6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2"/>
    <w:qFormat/>
    <w:uiPriority w:val="0"/>
    <w:pPr>
      <w:keepNext/>
      <w:keepLines/>
      <w:spacing w:before="240" w:after="240"/>
      <w:outlineLvl w:val="1"/>
    </w:pPr>
    <w:rPr>
      <w:rFonts w:ascii="Arial" w:hAnsi="Arial" w:eastAsia="黑体"/>
      <w:b/>
      <w:bCs/>
      <w:sz w:val="32"/>
      <w:szCs w:val="32"/>
    </w:rPr>
  </w:style>
  <w:style w:type="paragraph" w:styleId="4">
    <w:name w:val="heading 3"/>
    <w:basedOn w:val="1"/>
    <w:next w:val="1"/>
    <w:link w:val="71"/>
    <w:qFormat/>
    <w:uiPriority w:val="0"/>
    <w:pPr>
      <w:keepNext/>
      <w:keepLines/>
      <w:spacing w:before="120" w:after="120"/>
      <w:outlineLvl w:val="2"/>
    </w:pPr>
    <w:rPr>
      <w:b/>
      <w:bCs/>
      <w:sz w:val="24"/>
      <w:szCs w:val="32"/>
    </w:rPr>
  </w:style>
  <w:style w:type="paragraph" w:styleId="5">
    <w:name w:val="heading 4"/>
    <w:basedOn w:val="1"/>
    <w:next w:val="1"/>
    <w:link w:val="64"/>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5"/>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7">
    <w:name w:val="heading 6"/>
    <w:basedOn w:val="1"/>
    <w:next w:val="1"/>
    <w:link w:val="66"/>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67"/>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68"/>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69"/>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unhideWhenUsed/>
    <w:qFormat/>
    <w:uiPriority w:val="39"/>
    <w:pPr>
      <w:widowControl w:val="0"/>
      <w:spacing w:line="240" w:lineRule="auto"/>
      <w:ind w:left="2520" w:leftChars="1200" w:firstLine="0" w:firstLineChars="0"/>
    </w:pPr>
    <w:rPr>
      <w:rFonts w:ascii="等线" w:hAnsi="等线" w:eastAsia="等线"/>
      <w:szCs w:val="22"/>
    </w:rPr>
  </w:style>
  <w:style w:type="paragraph" w:styleId="13">
    <w:name w:val="index 8"/>
    <w:basedOn w:val="1"/>
    <w:next w:val="1"/>
    <w:qFormat/>
    <w:uiPriority w:val="0"/>
    <w:pPr>
      <w:widowControl w:val="0"/>
      <w:autoSpaceDE w:val="0"/>
      <w:autoSpaceDN w:val="0"/>
      <w:ind w:left="2940"/>
    </w:pPr>
    <w:rPr>
      <w:rFonts w:ascii="宋体" w:hAnsi="宋体" w:cs="宋体"/>
      <w:sz w:val="22"/>
      <w:szCs w:val="22"/>
      <w:lang w:eastAsia="en-US"/>
    </w:rPr>
  </w:style>
  <w:style w:type="paragraph" w:styleId="14">
    <w:name w:val="Normal Indent"/>
    <w:basedOn w:val="1"/>
    <w:link w:val="72"/>
    <w:qFormat/>
    <w:uiPriority w:val="0"/>
  </w:style>
  <w:style w:type="paragraph" w:styleId="15">
    <w:name w:val="caption"/>
    <w:basedOn w:val="1"/>
    <w:next w:val="1"/>
    <w:qFormat/>
    <w:uiPriority w:val="0"/>
    <w:rPr>
      <w:rFonts w:ascii="Arial" w:hAnsi="Arial" w:eastAsia="黑体" w:cs="Arial"/>
      <w:sz w:val="20"/>
      <w:szCs w:val="20"/>
    </w:rPr>
  </w:style>
  <w:style w:type="paragraph" w:styleId="16">
    <w:name w:val="Document Map"/>
    <w:basedOn w:val="1"/>
    <w:link w:val="73"/>
    <w:qFormat/>
    <w:uiPriority w:val="99"/>
    <w:rPr>
      <w:rFonts w:ascii="宋体"/>
      <w:sz w:val="18"/>
      <w:szCs w:val="18"/>
    </w:rPr>
  </w:style>
  <w:style w:type="paragraph" w:styleId="17">
    <w:name w:val="toa heading"/>
    <w:basedOn w:val="1"/>
    <w:next w:val="1"/>
    <w:qFormat/>
    <w:uiPriority w:val="0"/>
    <w:pPr>
      <w:spacing w:before="120"/>
    </w:pPr>
    <w:rPr>
      <w:rFonts w:ascii="Arial" w:hAnsi="Arial"/>
      <w:b/>
      <w:bCs/>
    </w:rPr>
  </w:style>
  <w:style w:type="paragraph" w:styleId="18">
    <w:name w:val="annotation text"/>
    <w:basedOn w:val="1"/>
    <w:link w:val="74"/>
    <w:qFormat/>
    <w:uiPriority w:val="99"/>
    <w:pPr>
      <w:jc w:val="left"/>
    </w:pPr>
  </w:style>
  <w:style w:type="paragraph" w:styleId="19">
    <w:name w:val="Body Text 3"/>
    <w:basedOn w:val="1"/>
    <w:link w:val="75"/>
    <w:qFormat/>
    <w:uiPriority w:val="0"/>
    <w:rPr>
      <w:rFonts w:ascii="宋体"/>
      <w:sz w:val="24"/>
      <w:szCs w:val="20"/>
    </w:rPr>
  </w:style>
  <w:style w:type="paragraph" w:styleId="20">
    <w:name w:val="Body Text"/>
    <w:basedOn w:val="1"/>
    <w:link w:val="60"/>
    <w:qFormat/>
    <w:uiPriority w:val="1"/>
    <w:pPr>
      <w:spacing w:after="120"/>
    </w:pPr>
  </w:style>
  <w:style w:type="paragraph" w:styleId="21">
    <w:name w:val="Body Text Indent"/>
    <w:basedOn w:val="1"/>
    <w:link w:val="76"/>
    <w:qFormat/>
    <w:uiPriority w:val="99"/>
    <w:pPr>
      <w:spacing w:after="120"/>
      <w:ind w:left="420" w:leftChars="200"/>
    </w:pPr>
  </w:style>
  <w:style w:type="paragraph" w:styleId="22">
    <w:name w:val="List 2"/>
    <w:basedOn w:val="1"/>
    <w:qFormat/>
    <w:uiPriority w:val="0"/>
    <w:pPr>
      <w:ind w:left="100" w:leftChars="200" w:hanging="200" w:hangingChars="200"/>
    </w:pPr>
  </w:style>
  <w:style w:type="paragraph" w:styleId="23">
    <w:name w:val="List Bullet 2"/>
    <w:basedOn w:val="1"/>
    <w:qFormat/>
    <w:uiPriority w:val="0"/>
    <w:pPr>
      <w:tabs>
        <w:tab w:val="left" w:pos="780"/>
      </w:tabs>
      <w:ind w:left="840" w:hanging="420"/>
    </w:pPr>
  </w:style>
  <w:style w:type="paragraph" w:styleId="24">
    <w:name w:val="toc 5"/>
    <w:basedOn w:val="1"/>
    <w:next w:val="1"/>
    <w:unhideWhenUsed/>
    <w:qFormat/>
    <w:uiPriority w:val="39"/>
    <w:pPr>
      <w:widowControl w:val="0"/>
      <w:spacing w:line="240" w:lineRule="auto"/>
      <w:ind w:left="1680" w:leftChars="800" w:firstLine="0" w:firstLineChars="0"/>
    </w:pPr>
    <w:rPr>
      <w:rFonts w:ascii="等线" w:hAnsi="等线" w:eastAsia="等线"/>
      <w:szCs w:val="22"/>
    </w:rPr>
  </w:style>
  <w:style w:type="paragraph" w:styleId="25">
    <w:name w:val="toc 3"/>
    <w:basedOn w:val="1"/>
    <w:next w:val="1"/>
    <w:qFormat/>
    <w:uiPriority w:val="39"/>
    <w:pPr>
      <w:ind w:left="940"/>
      <w:jc w:val="left"/>
    </w:pPr>
    <w:rPr>
      <w:rFonts w:ascii="宋体" w:hAnsi="宋体"/>
      <w:kern w:val="0"/>
      <w:szCs w:val="21"/>
      <w:lang w:eastAsia="en-US"/>
    </w:rPr>
  </w:style>
  <w:style w:type="paragraph" w:styleId="26">
    <w:name w:val="Plain Text"/>
    <w:basedOn w:val="1"/>
    <w:link w:val="77"/>
    <w:qFormat/>
    <w:uiPriority w:val="0"/>
    <w:rPr>
      <w:rFonts w:ascii="宋体" w:hAnsi="Courier New"/>
      <w:szCs w:val="21"/>
    </w:rPr>
  </w:style>
  <w:style w:type="paragraph" w:styleId="27">
    <w:name w:val="toc 8"/>
    <w:basedOn w:val="1"/>
    <w:next w:val="1"/>
    <w:unhideWhenUsed/>
    <w:qFormat/>
    <w:uiPriority w:val="39"/>
    <w:pPr>
      <w:widowControl w:val="0"/>
      <w:spacing w:line="240" w:lineRule="auto"/>
      <w:ind w:left="2940" w:leftChars="1400" w:firstLine="0" w:firstLineChars="0"/>
    </w:pPr>
    <w:rPr>
      <w:rFonts w:ascii="等线" w:hAnsi="等线" w:eastAsia="等线"/>
      <w:szCs w:val="22"/>
    </w:rPr>
  </w:style>
  <w:style w:type="paragraph" w:styleId="28">
    <w:name w:val="Date"/>
    <w:basedOn w:val="1"/>
    <w:next w:val="1"/>
    <w:link w:val="78"/>
    <w:qFormat/>
    <w:uiPriority w:val="99"/>
    <w:rPr>
      <w:sz w:val="24"/>
      <w:szCs w:val="20"/>
    </w:rPr>
  </w:style>
  <w:style w:type="paragraph" w:styleId="29">
    <w:name w:val="Body Text Indent 2"/>
    <w:basedOn w:val="1"/>
    <w:link w:val="79"/>
    <w:qFormat/>
    <w:uiPriority w:val="0"/>
    <w:pPr>
      <w:ind w:firstLine="640"/>
    </w:pPr>
    <w:rPr>
      <w:rFonts w:eastAsia="仿宋_GB2312"/>
      <w:sz w:val="32"/>
    </w:rPr>
  </w:style>
  <w:style w:type="paragraph" w:styleId="30">
    <w:name w:val="endnote text"/>
    <w:basedOn w:val="1"/>
    <w:link w:val="80"/>
    <w:qFormat/>
    <w:uiPriority w:val="0"/>
    <w:pPr>
      <w:jc w:val="left"/>
    </w:pPr>
    <w:rPr>
      <w:rFonts w:ascii="Courier" w:hAnsi="Courier" w:eastAsia="PMingLiU"/>
      <w:snapToGrid w:val="0"/>
      <w:kern w:val="0"/>
      <w:sz w:val="24"/>
      <w:szCs w:val="20"/>
      <w:lang w:val="en-AU" w:eastAsia="en-US"/>
    </w:rPr>
  </w:style>
  <w:style w:type="paragraph" w:styleId="31">
    <w:name w:val="Balloon Text"/>
    <w:basedOn w:val="1"/>
    <w:link w:val="81"/>
    <w:qFormat/>
    <w:uiPriority w:val="99"/>
    <w:rPr>
      <w:sz w:val="18"/>
      <w:szCs w:val="18"/>
    </w:rPr>
  </w:style>
  <w:style w:type="paragraph" w:styleId="32">
    <w:name w:val="footer"/>
    <w:basedOn w:val="1"/>
    <w:link w:val="59"/>
    <w:unhideWhenUsed/>
    <w:qFormat/>
    <w:uiPriority w:val="99"/>
    <w:pPr>
      <w:tabs>
        <w:tab w:val="center" w:pos="4153"/>
        <w:tab w:val="right" w:pos="8306"/>
      </w:tabs>
      <w:snapToGrid w:val="0"/>
      <w:jc w:val="left"/>
    </w:pPr>
    <w:rPr>
      <w:sz w:val="18"/>
      <w:szCs w:val="18"/>
    </w:rPr>
  </w:style>
  <w:style w:type="paragraph" w:styleId="33">
    <w:name w:val="header"/>
    <w:basedOn w:val="1"/>
    <w:link w:val="58"/>
    <w:unhideWhenUsed/>
    <w:qFormat/>
    <w:uiPriority w:val="99"/>
    <w:pPr>
      <w:tabs>
        <w:tab w:val="center" w:pos="4153"/>
        <w:tab w:val="right" w:pos="8306"/>
      </w:tabs>
      <w:snapToGrid w:val="0"/>
      <w:jc w:val="center"/>
    </w:pPr>
    <w:rPr>
      <w:sz w:val="18"/>
      <w:szCs w:val="18"/>
    </w:rPr>
  </w:style>
  <w:style w:type="paragraph" w:styleId="34">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5">
    <w:name w:val="toc 4"/>
    <w:basedOn w:val="1"/>
    <w:next w:val="1"/>
    <w:unhideWhenUsed/>
    <w:qFormat/>
    <w:uiPriority w:val="39"/>
    <w:pPr>
      <w:widowControl w:val="0"/>
      <w:spacing w:line="240" w:lineRule="auto"/>
      <w:ind w:left="1260" w:leftChars="600" w:firstLine="0" w:firstLineChars="0"/>
    </w:pPr>
    <w:rPr>
      <w:rFonts w:ascii="等线" w:hAnsi="等线" w:eastAsia="等线"/>
      <w:szCs w:val="22"/>
    </w:rPr>
  </w:style>
  <w:style w:type="paragraph" w:styleId="36">
    <w:name w:val="index heading"/>
    <w:basedOn w:val="1"/>
    <w:next w:val="37"/>
    <w:qFormat/>
    <w:uiPriority w:val="0"/>
    <w:pPr>
      <w:spacing w:before="120" w:after="120"/>
      <w:jc w:val="left"/>
    </w:pPr>
    <w:rPr>
      <w:b/>
      <w:bCs/>
      <w:i/>
      <w:iCs/>
      <w:sz w:val="20"/>
      <w:szCs w:val="20"/>
    </w:rPr>
  </w:style>
  <w:style w:type="paragraph" w:styleId="37">
    <w:name w:val="index 1"/>
    <w:basedOn w:val="1"/>
    <w:next w:val="1"/>
    <w:unhideWhenUsed/>
    <w:qFormat/>
    <w:uiPriority w:val="0"/>
    <w:pPr>
      <w:ind w:firstLine="0"/>
    </w:pPr>
  </w:style>
  <w:style w:type="paragraph" w:styleId="38">
    <w:name w:val="List"/>
    <w:basedOn w:val="1"/>
    <w:qFormat/>
    <w:uiPriority w:val="0"/>
    <w:pPr>
      <w:ind w:left="200" w:hanging="200" w:hangingChars="200"/>
    </w:pPr>
  </w:style>
  <w:style w:type="paragraph" w:styleId="39">
    <w:name w:val="footnote text"/>
    <w:basedOn w:val="1"/>
    <w:link w:val="83"/>
    <w:qFormat/>
    <w:uiPriority w:val="0"/>
    <w:pPr>
      <w:jc w:val="left"/>
    </w:pPr>
    <w:rPr>
      <w:rFonts w:ascii="Courier" w:hAnsi="Courier" w:eastAsia="PMingLiU"/>
      <w:snapToGrid w:val="0"/>
      <w:kern w:val="0"/>
      <w:sz w:val="24"/>
      <w:szCs w:val="20"/>
      <w:lang w:val="en-AU" w:eastAsia="en-US"/>
    </w:rPr>
  </w:style>
  <w:style w:type="paragraph" w:styleId="40">
    <w:name w:val="toc 6"/>
    <w:basedOn w:val="1"/>
    <w:next w:val="1"/>
    <w:unhideWhenUsed/>
    <w:qFormat/>
    <w:uiPriority w:val="39"/>
    <w:pPr>
      <w:widowControl w:val="0"/>
      <w:spacing w:line="240" w:lineRule="auto"/>
      <w:ind w:left="2100" w:leftChars="1000" w:firstLine="0" w:firstLineChars="0"/>
    </w:pPr>
    <w:rPr>
      <w:rFonts w:ascii="等线" w:hAnsi="等线" w:eastAsia="等线"/>
      <w:szCs w:val="22"/>
    </w:rPr>
  </w:style>
  <w:style w:type="paragraph" w:styleId="41">
    <w:name w:val="List 5"/>
    <w:basedOn w:val="1"/>
    <w:qFormat/>
    <w:uiPriority w:val="0"/>
    <w:pPr>
      <w:ind w:left="100" w:leftChars="800" w:hanging="200" w:hangingChars="200"/>
    </w:pPr>
  </w:style>
  <w:style w:type="paragraph" w:styleId="42">
    <w:name w:val="Body Text Indent 3"/>
    <w:basedOn w:val="1"/>
    <w:link w:val="84"/>
    <w:qFormat/>
    <w:uiPriority w:val="0"/>
    <w:pPr>
      <w:spacing w:after="120"/>
      <w:ind w:left="420" w:leftChars="200"/>
    </w:pPr>
    <w:rPr>
      <w:sz w:val="16"/>
      <w:szCs w:val="16"/>
    </w:rPr>
  </w:style>
  <w:style w:type="paragraph" w:styleId="43">
    <w:name w:val="toc 2"/>
    <w:basedOn w:val="1"/>
    <w:next w:val="1"/>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4">
    <w:name w:val="toc 9"/>
    <w:basedOn w:val="1"/>
    <w:next w:val="1"/>
    <w:unhideWhenUsed/>
    <w:qFormat/>
    <w:uiPriority w:val="39"/>
    <w:pPr>
      <w:widowControl w:val="0"/>
      <w:spacing w:line="240" w:lineRule="auto"/>
      <w:ind w:left="3360" w:leftChars="1600" w:firstLine="0" w:firstLineChars="0"/>
    </w:pPr>
    <w:rPr>
      <w:rFonts w:ascii="等线" w:hAnsi="等线" w:eastAsia="等线"/>
      <w:szCs w:val="22"/>
    </w:rPr>
  </w:style>
  <w:style w:type="paragraph" w:styleId="45">
    <w:name w:val="Body Text 2"/>
    <w:basedOn w:val="1"/>
    <w:link w:val="85"/>
    <w:qFormat/>
    <w:uiPriority w:val="0"/>
    <w:pPr>
      <w:jc w:val="left"/>
    </w:pPr>
    <w:rPr>
      <w:rFonts w:ascii="楷体_GB2312" w:hAnsi="宋体" w:eastAsia="楷体_GB2312"/>
      <w:color w:val="000000"/>
      <w:kern w:val="0"/>
      <w:szCs w:val="21"/>
    </w:rPr>
  </w:style>
  <w:style w:type="paragraph" w:styleId="46">
    <w:name w:val="List 4"/>
    <w:basedOn w:val="1"/>
    <w:qFormat/>
    <w:uiPriority w:val="0"/>
    <w:pPr>
      <w:ind w:left="100" w:leftChars="600" w:hanging="200" w:hangingChars="200"/>
    </w:pPr>
  </w:style>
  <w:style w:type="paragraph" w:styleId="47">
    <w:name w:val="Normal (Web)"/>
    <w:basedOn w:val="1"/>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8">
    <w:name w:val="Title"/>
    <w:basedOn w:val="1"/>
    <w:link w:val="86"/>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7"/>
    <w:qFormat/>
    <w:uiPriority w:val="99"/>
  </w:style>
  <w:style w:type="table" w:styleId="51">
    <w:name w:val="Table Grid"/>
    <w:basedOn w:val="50"/>
    <w:qFormat/>
    <w:uiPriority w:val="0"/>
    <w:pPr>
      <w:ind w:left="840" w:hanging="420"/>
      <w:jc w:val="both"/>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3">
    <w:name w:val="Strong"/>
    <w:qFormat/>
    <w:uiPriority w:val="22"/>
    <w:rPr>
      <w:b/>
      <w:bCs/>
    </w:rPr>
  </w:style>
  <w:style w:type="character" w:styleId="54">
    <w:name w:val="page number"/>
    <w:qFormat/>
    <w:uiPriority w:val="0"/>
  </w:style>
  <w:style w:type="character" w:styleId="55">
    <w:name w:val="Emphasis"/>
    <w:qFormat/>
    <w:uiPriority w:val="20"/>
    <w:rPr>
      <w:color w:val="CC0000"/>
    </w:rPr>
  </w:style>
  <w:style w:type="character" w:styleId="56">
    <w:name w:val="Hyperlink"/>
    <w:qFormat/>
    <w:uiPriority w:val="99"/>
    <w:rPr>
      <w:color w:val="0000FF"/>
      <w:u w:val="single"/>
    </w:rPr>
  </w:style>
  <w:style w:type="character" w:styleId="57">
    <w:name w:val="annotation reference"/>
    <w:qFormat/>
    <w:uiPriority w:val="99"/>
    <w:rPr>
      <w:sz w:val="21"/>
      <w:szCs w:val="21"/>
    </w:rPr>
  </w:style>
  <w:style w:type="character" w:customStyle="1" w:styleId="58">
    <w:name w:val="页眉 字符"/>
    <w:basedOn w:val="52"/>
    <w:link w:val="33"/>
    <w:qFormat/>
    <w:uiPriority w:val="99"/>
    <w:rPr>
      <w:sz w:val="18"/>
      <w:szCs w:val="18"/>
    </w:rPr>
  </w:style>
  <w:style w:type="character" w:customStyle="1" w:styleId="59">
    <w:name w:val="页脚 字符"/>
    <w:basedOn w:val="52"/>
    <w:link w:val="32"/>
    <w:qFormat/>
    <w:uiPriority w:val="99"/>
    <w:rPr>
      <w:sz w:val="18"/>
      <w:szCs w:val="18"/>
    </w:rPr>
  </w:style>
  <w:style w:type="character" w:customStyle="1" w:styleId="60">
    <w:name w:val="正文文本 字符"/>
    <w:basedOn w:val="52"/>
    <w:link w:val="20"/>
    <w:qFormat/>
    <w:uiPriority w:val="1"/>
    <w:rPr>
      <w:rFonts w:ascii="Times New Roman" w:hAnsi="Times New Roman" w:eastAsia="宋体" w:cs="Times New Roman"/>
      <w:szCs w:val="24"/>
      <w14:ligatures w14:val="none"/>
    </w:rPr>
  </w:style>
  <w:style w:type="character" w:customStyle="1" w:styleId="61">
    <w:name w:val="标题 1 字符"/>
    <w:basedOn w:val="52"/>
    <w:qFormat/>
    <w:uiPriority w:val="0"/>
    <w:rPr>
      <w:rFonts w:ascii="Times New Roman" w:hAnsi="Times New Roman" w:eastAsia="宋体" w:cs="Times New Roman"/>
      <w:b/>
      <w:bCs/>
      <w:kern w:val="44"/>
      <w:sz w:val="44"/>
      <w:szCs w:val="44"/>
      <w14:ligatures w14:val="none"/>
    </w:rPr>
  </w:style>
  <w:style w:type="character" w:customStyle="1" w:styleId="62">
    <w:name w:val="标题 2 字符"/>
    <w:basedOn w:val="52"/>
    <w:link w:val="3"/>
    <w:qFormat/>
    <w:uiPriority w:val="0"/>
    <w:rPr>
      <w:rFonts w:ascii="Arial" w:hAnsi="Arial" w:eastAsia="黑体" w:cs="Times New Roman"/>
      <w:b/>
      <w:bCs/>
      <w:sz w:val="32"/>
      <w:szCs w:val="32"/>
      <w14:ligatures w14:val="none"/>
    </w:rPr>
  </w:style>
  <w:style w:type="character" w:customStyle="1" w:styleId="63">
    <w:name w:val="标题 3 字符"/>
    <w:basedOn w:val="52"/>
    <w:qFormat/>
    <w:uiPriority w:val="0"/>
    <w:rPr>
      <w:rFonts w:ascii="Times New Roman" w:hAnsi="Times New Roman" w:eastAsia="宋体" w:cs="Times New Roman"/>
      <w:b/>
      <w:bCs/>
      <w:sz w:val="32"/>
      <w:szCs w:val="32"/>
      <w14:ligatures w14:val="none"/>
    </w:rPr>
  </w:style>
  <w:style w:type="character" w:customStyle="1" w:styleId="64">
    <w:name w:val="标题 4 字符"/>
    <w:basedOn w:val="52"/>
    <w:link w:val="5"/>
    <w:qFormat/>
    <w:uiPriority w:val="0"/>
    <w:rPr>
      <w:rFonts w:ascii="Arial" w:hAnsi="Arial" w:eastAsia="黑体" w:cs="Times New Roman"/>
      <w:b/>
      <w:bCs/>
      <w:sz w:val="28"/>
      <w:szCs w:val="28"/>
      <w14:ligatures w14:val="none"/>
    </w:rPr>
  </w:style>
  <w:style w:type="character" w:customStyle="1" w:styleId="65">
    <w:name w:val="标题 5 字符"/>
    <w:basedOn w:val="52"/>
    <w:link w:val="6"/>
    <w:qFormat/>
    <w:uiPriority w:val="0"/>
    <w:rPr>
      <w:rFonts w:ascii="Times New Roman" w:hAnsi="Times New Roman" w:eastAsia="宋体" w:cs="Times New Roman"/>
      <w:b/>
      <w:bCs/>
      <w:kern w:val="0"/>
      <w:sz w:val="28"/>
      <w:szCs w:val="28"/>
      <w14:ligatures w14:val="none"/>
    </w:rPr>
  </w:style>
  <w:style w:type="character" w:customStyle="1" w:styleId="66">
    <w:name w:val="标题 6 字符"/>
    <w:basedOn w:val="52"/>
    <w:link w:val="7"/>
    <w:qFormat/>
    <w:uiPriority w:val="0"/>
    <w:rPr>
      <w:rFonts w:ascii="Arial" w:hAnsi="Arial" w:eastAsia="黑体" w:cs="Times New Roman"/>
      <w:b/>
      <w:bCs/>
      <w:kern w:val="0"/>
      <w:sz w:val="24"/>
      <w:szCs w:val="24"/>
      <w14:ligatures w14:val="none"/>
    </w:rPr>
  </w:style>
  <w:style w:type="character" w:customStyle="1" w:styleId="67">
    <w:name w:val="标题 7 字符"/>
    <w:basedOn w:val="52"/>
    <w:link w:val="8"/>
    <w:qFormat/>
    <w:uiPriority w:val="0"/>
    <w:rPr>
      <w:rFonts w:ascii="Times New Roman" w:hAnsi="Times New Roman" w:eastAsia="宋体" w:cs="Times New Roman"/>
      <w:b/>
      <w:bCs/>
      <w:kern w:val="0"/>
      <w:sz w:val="24"/>
      <w:szCs w:val="24"/>
      <w14:ligatures w14:val="none"/>
    </w:rPr>
  </w:style>
  <w:style w:type="character" w:customStyle="1" w:styleId="68">
    <w:name w:val="标题 8 字符"/>
    <w:basedOn w:val="52"/>
    <w:link w:val="9"/>
    <w:qFormat/>
    <w:uiPriority w:val="0"/>
    <w:rPr>
      <w:rFonts w:ascii="Arial" w:hAnsi="Arial" w:eastAsia="黑体" w:cs="Times New Roman"/>
      <w:kern w:val="0"/>
      <w:sz w:val="24"/>
      <w:szCs w:val="24"/>
      <w14:ligatures w14:val="none"/>
    </w:rPr>
  </w:style>
  <w:style w:type="character" w:customStyle="1" w:styleId="69">
    <w:name w:val="标题 9 字符"/>
    <w:basedOn w:val="52"/>
    <w:link w:val="10"/>
    <w:qFormat/>
    <w:uiPriority w:val="0"/>
    <w:rPr>
      <w:rFonts w:ascii="Arial" w:hAnsi="Arial" w:eastAsia="黑体" w:cs="Times New Roman"/>
      <w:kern w:val="0"/>
      <w:szCs w:val="21"/>
      <w14:ligatures w14:val="none"/>
    </w:rPr>
  </w:style>
  <w:style w:type="character" w:customStyle="1" w:styleId="70">
    <w:name w:val="标题 1 字符1"/>
    <w:link w:val="2"/>
    <w:qFormat/>
    <w:uiPriority w:val="0"/>
    <w:rPr>
      <w:rFonts w:ascii="Times New Roman" w:hAnsi="Times New Roman" w:eastAsia="宋体" w:cs="Times New Roman"/>
      <w:b/>
      <w:bCs/>
      <w:kern w:val="44"/>
      <w:sz w:val="44"/>
      <w:szCs w:val="44"/>
      <w14:ligatures w14:val="none"/>
    </w:rPr>
  </w:style>
  <w:style w:type="character" w:customStyle="1" w:styleId="71">
    <w:name w:val="标题 3 字符1"/>
    <w:link w:val="4"/>
    <w:qFormat/>
    <w:uiPriority w:val="0"/>
    <w:rPr>
      <w:rFonts w:ascii="Times New Roman" w:hAnsi="Times New Roman" w:eastAsia="宋体" w:cs="Times New Roman"/>
      <w:b/>
      <w:bCs/>
      <w:sz w:val="24"/>
      <w:szCs w:val="32"/>
      <w14:ligatures w14:val="none"/>
    </w:rPr>
  </w:style>
  <w:style w:type="character" w:customStyle="1" w:styleId="72">
    <w:name w:val="正文缩进 字符"/>
    <w:link w:val="14"/>
    <w:qFormat/>
    <w:uiPriority w:val="0"/>
    <w:rPr>
      <w:rFonts w:ascii="Times New Roman" w:hAnsi="Times New Roman" w:eastAsia="宋体" w:cs="Times New Roman"/>
      <w:szCs w:val="24"/>
      <w14:ligatures w14:val="none"/>
    </w:rPr>
  </w:style>
  <w:style w:type="character" w:customStyle="1" w:styleId="73">
    <w:name w:val="文档结构图 字符"/>
    <w:basedOn w:val="52"/>
    <w:link w:val="16"/>
    <w:qFormat/>
    <w:uiPriority w:val="99"/>
    <w:rPr>
      <w:rFonts w:ascii="宋体" w:hAnsi="Times New Roman" w:eastAsia="宋体" w:cs="Times New Roman"/>
      <w:sz w:val="18"/>
      <w:szCs w:val="18"/>
      <w14:ligatures w14:val="none"/>
    </w:rPr>
  </w:style>
  <w:style w:type="character" w:customStyle="1" w:styleId="74">
    <w:name w:val="批注文字 字符"/>
    <w:basedOn w:val="52"/>
    <w:link w:val="18"/>
    <w:qFormat/>
    <w:uiPriority w:val="99"/>
    <w:rPr>
      <w:rFonts w:ascii="Times New Roman" w:hAnsi="Times New Roman" w:eastAsia="宋体" w:cs="Times New Roman"/>
      <w:szCs w:val="24"/>
      <w14:ligatures w14:val="none"/>
    </w:rPr>
  </w:style>
  <w:style w:type="character" w:customStyle="1" w:styleId="75">
    <w:name w:val="正文文本 3 字符"/>
    <w:basedOn w:val="52"/>
    <w:link w:val="19"/>
    <w:qFormat/>
    <w:uiPriority w:val="0"/>
    <w:rPr>
      <w:rFonts w:ascii="宋体" w:hAnsi="Times New Roman" w:eastAsia="宋体" w:cs="Times New Roman"/>
      <w:sz w:val="24"/>
      <w:szCs w:val="20"/>
      <w14:ligatures w14:val="none"/>
    </w:rPr>
  </w:style>
  <w:style w:type="character" w:customStyle="1" w:styleId="76">
    <w:name w:val="正文文本缩进 字符"/>
    <w:basedOn w:val="52"/>
    <w:link w:val="21"/>
    <w:qFormat/>
    <w:uiPriority w:val="99"/>
    <w:rPr>
      <w:rFonts w:ascii="Times New Roman" w:hAnsi="Times New Roman" w:eastAsia="宋体" w:cs="Times New Roman"/>
      <w:szCs w:val="24"/>
      <w14:ligatures w14:val="none"/>
    </w:rPr>
  </w:style>
  <w:style w:type="character" w:customStyle="1" w:styleId="77">
    <w:name w:val="纯文本 字符"/>
    <w:basedOn w:val="52"/>
    <w:link w:val="26"/>
    <w:qFormat/>
    <w:uiPriority w:val="0"/>
    <w:rPr>
      <w:rFonts w:ascii="宋体" w:hAnsi="Courier New" w:eastAsia="宋体" w:cs="Times New Roman"/>
      <w:szCs w:val="21"/>
      <w14:ligatures w14:val="none"/>
    </w:rPr>
  </w:style>
  <w:style w:type="character" w:customStyle="1" w:styleId="78">
    <w:name w:val="日期 字符"/>
    <w:basedOn w:val="52"/>
    <w:link w:val="28"/>
    <w:qFormat/>
    <w:uiPriority w:val="99"/>
    <w:rPr>
      <w:rFonts w:ascii="Times New Roman" w:hAnsi="Times New Roman" w:eastAsia="宋体" w:cs="Times New Roman"/>
      <w:sz w:val="24"/>
      <w:szCs w:val="20"/>
      <w14:ligatures w14:val="none"/>
    </w:rPr>
  </w:style>
  <w:style w:type="character" w:customStyle="1" w:styleId="79">
    <w:name w:val="正文文本缩进 2 字符"/>
    <w:basedOn w:val="52"/>
    <w:link w:val="29"/>
    <w:qFormat/>
    <w:uiPriority w:val="0"/>
    <w:rPr>
      <w:rFonts w:ascii="Times New Roman" w:hAnsi="Times New Roman" w:eastAsia="仿宋_GB2312" w:cs="Times New Roman"/>
      <w:sz w:val="32"/>
      <w:szCs w:val="24"/>
      <w14:ligatures w14:val="none"/>
    </w:rPr>
  </w:style>
  <w:style w:type="character" w:customStyle="1" w:styleId="80">
    <w:name w:val="尾注文本 字符"/>
    <w:basedOn w:val="52"/>
    <w:link w:val="30"/>
    <w:qFormat/>
    <w:uiPriority w:val="0"/>
    <w:rPr>
      <w:rFonts w:ascii="Courier" w:hAnsi="Courier" w:eastAsia="PMingLiU" w:cs="Times New Roman"/>
      <w:snapToGrid w:val="0"/>
      <w:kern w:val="0"/>
      <w:sz w:val="24"/>
      <w:szCs w:val="20"/>
      <w:lang w:val="en-AU" w:eastAsia="en-US"/>
      <w14:ligatures w14:val="none"/>
    </w:rPr>
  </w:style>
  <w:style w:type="character" w:customStyle="1" w:styleId="81">
    <w:name w:val="批注框文本 字符"/>
    <w:basedOn w:val="52"/>
    <w:link w:val="31"/>
    <w:qFormat/>
    <w:uiPriority w:val="99"/>
    <w:rPr>
      <w:rFonts w:ascii="Times New Roman" w:hAnsi="Times New Roman" w:eastAsia="宋体" w:cs="Times New Roman"/>
      <w:sz w:val="18"/>
      <w:szCs w:val="18"/>
      <w14:ligatures w14:val="none"/>
    </w:rPr>
  </w:style>
  <w:style w:type="character" w:customStyle="1" w:styleId="82">
    <w:name w:val="页脚 字符1"/>
    <w:qFormat/>
    <w:uiPriority w:val="99"/>
    <w:rPr>
      <w:kern w:val="2"/>
      <w:sz w:val="18"/>
      <w:szCs w:val="18"/>
    </w:rPr>
  </w:style>
  <w:style w:type="character" w:customStyle="1" w:styleId="83">
    <w:name w:val="脚注文本 字符"/>
    <w:basedOn w:val="52"/>
    <w:link w:val="39"/>
    <w:qFormat/>
    <w:uiPriority w:val="0"/>
    <w:rPr>
      <w:rFonts w:ascii="Courier" w:hAnsi="Courier" w:eastAsia="PMingLiU" w:cs="Times New Roman"/>
      <w:snapToGrid w:val="0"/>
      <w:kern w:val="0"/>
      <w:sz w:val="24"/>
      <w:szCs w:val="20"/>
      <w:lang w:val="en-AU" w:eastAsia="en-US"/>
      <w14:ligatures w14:val="none"/>
    </w:rPr>
  </w:style>
  <w:style w:type="character" w:customStyle="1" w:styleId="84">
    <w:name w:val="正文文本缩进 3 字符"/>
    <w:basedOn w:val="52"/>
    <w:link w:val="42"/>
    <w:qFormat/>
    <w:uiPriority w:val="0"/>
    <w:rPr>
      <w:rFonts w:ascii="Times New Roman" w:hAnsi="Times New Roman" w:eastAsia="宋体" w:cs="Times New Roman"/>
      <w:sz w:val="16"/>
      <w:szCs w:val="16"/>
      <w14:ligatures w14:val="none"/>
    </w:rPr>
  </w:style>
  <w:style w:type="character" w:customStyle="1" w:styleId="85">
    <w:name w:val="正文文本 2 字符"/>
    <w:basedOn w:val="52"/>
    <w:link w:val="45"/>
    <w:qFormat/>
    <w:uiPriority w:val="0"/>
    <w:rPr>
      <w:rFonts w:ascii="楷体_GB2312" w:hAnsi="宋体" w:eastAsia="楷体_GB2312" w:cs="Times New Roman"/>
      <w:color w:val="000000"/>
      <w:kern w:val="0"/>
      <w:szCs w:val="21"/>
      <w14:ligatures w14:val="none"/>
    </w:rPr>
  </w:style>
  <w:style w:type="character" w:customStyle="1" w:styleId="86">
    <w:name w:val="标题 字符"/>
    <w:basedOn w:val="52"/>
    <w:link w:val="48"/>
    <w:qFormat/>
    <w:uiPriority w:val="0"/>
    <w:rPr>
      <w:rFonts w:ascii="Arial" w:hAnsi="Arial" w:eastAsia="宋体" w:cs="Times New Roman"/>
      <w:b/>
      <w:kern w:val="0"/>
      <w:sz w:val="32"/>
      <w:szCs w:val="20"/>
      <w14:ligatures w14:val="none"/>
    </w:rPr>
  </w:style>
  <w:style w:type="character" w:customStyle="1" w:styleId="87">
    <w:name w:val="批注主题 字符"/>
    <w:basedOn w:val="74"/>
    <w:link w:val="49"/>
    <w:qFormat/>
    <w:uiPriority w:val="99"/>
    <w:rPr>
      <w:rFonts w:ascii="Times New Roman" w:hAnsi="Times New Roman" w:eastAsia="宋体" w:cs="Times New Roman"/>
      <w:szCs w:val="24"/>
      <w14:ligatures w14:val="none"/>
    </w:rPr>
  </w:style>
  <w:style w:type="character" w:customStyle="1" w:styleId="88">
    <w:name w:val="Char Char17"/>
    <w:qFormat/>
    <w:uiPriority w:val="0"/>
    <w:rPr>
      <w:rFonts w:ascii="Arial" w:hAnsi="Arial" w:eastAsia="黑体"/>
      <w:b/>
      <w:bCs/>
      <w:sz w:val="28"/>
      <w:szCs w:val="28"/>
      <w:lang w:val="en-US" w:eastAsia="zh-CN" w:bidi="ar-SA"/>
    </w:rPr>
  </w:style>
  <w:style w:type="character" w:customStyle="1" w:styleId="89">
    <w:name w:val="正文缩进 Char1"/>
    <w:qFormat/>
    <w:uiPriority w:val="0"/>
    <w:rPr>
      <w:kern w:val="2"/>
      <w:sz w:val="21"/>
    </w:rPr>
  </w:style>
  <w:style w:type="character" w:customStyle="1" w:styleId="90">
    <w:name w:val="正文首行缩进 2 Char1"/>
    <w:semiHidden/>
    <w:qFormat/>
    <w:uiPriority w:val="99"/>
    <w:rPr>
      <w:kern w:val="2"/>
      <w:sz w:val="21"/>
      <w:szCs w:val="24"/>
    </w:rPr>
  </w:style>
  <w:style w:type="character" w:customStyle="1" w:styleId="91">
    <w:name w:val="应答文本 Char Char"/>
    <w:link w:val="92"/>
    <w:qFormat/>
    <w:uiPriority w:val="0"/>
    <w:rPr>
      <w:szCs w:val="21"/>
    </w:rPr>
  </w:style>
  <w:style w:type="paragraph" w:customStyle="1" w:styleId="92">
    <w:name w:val="应答文本"/>
    <w:basedOn w:val="1"/>
    <w:link w:val="91"/>
    <w:qFormat/>
    <w:uiPriority w:val="0"/>
    <w:pPr>
      <w:adjustRightInd w:val="0"/>
      <w:snapToGrid w:val="0"/>
      <w:spacing w:afterLines="50"/>
      <w:ind w:left="200" w:leftChars="200"/>
    </w:pPr>
    <w:rPr>
      <w:rFonts w:asciiTheme="minorHAnsi" w:hAnsiTheme="minorHAnsi" w:eastAsiaTheme="minorEastAsia" w:cstheme="minorBidi"/>
      <w:szCs w:val="21"/>
      <w14:ligatures w14:val="standardContextual"/>
    </w:rPr>
  </w:style>
  <w:style w:type="character" w:customStyle="1" w:styleId="93">
    <w:name w:val="Char Char1"/>
    <w:qFormat/>
    <w:uiPriority w:val="0"/>
    <w:rPr>
      <w:rFonts w:eastAsia="宋体"/>
      <w:szCs w:val="24"/>
      <w:lang w:bidi="ar-SA"/>
    </w:rPr>
  </w:style>
  <w:style w:type="character" w:customStyle="1" w:styleId="94">
    <w:name w:val="批注文字 Char1"/>
    <w:semiHidden/>
    <w:qFormat/>
    <w:locked/>
    <w:uiPriority w:val="0"/>
    <w:rPr>
      <w:kern w:val="2"/>
      <w:sz w:val="21"/>
      <w:szCs w:val="24"/>
    </w:rPr>
  </w:style>
  <w:style w:type="character" w:customStyle="1" w:styleId="95">
    <w:name w:val="未处理的提及1"/>
    <w:unhideWhenUsed/>
    <w:qFormat/>
    <w:uiPriority w:val="99"/>
    <w:rPr>
      <w:color w:val="605E5C"/>
      <w:shd w:val="clear" w:color="auto" w:fill="E1DFDD"/>
    </w:rPr>
  </w:style>
  <w:style w:type="character" w:customStyle="1" w:styleId="96">
    <w:name w:val="明显参考1"/>
    <w:qFormat/>
    <w:uiPriority w:val="32"/>
    <w:rPr>
      <w:b/>
      <w:bCs/>
      <w:smallCaps/>
      <w:color w:val="C0504D"/>
      <w:spacing w:val="5"/>
      <w:u w:val="single"/>
    </w:rPr>
  </w:style>
  <w:style w:type="character" w:customStyle="1" w:styleId="97">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character" w:customStyle="1" w:styleId="98">
    <w:name w:val="标题 Char1"/>
    <w:qFormat/>
    <w:uiPriority w:val="10"/>
    <w:rPr>
      <w:rFonts w:ascii="Cambria" w:hAnsi="Cambria" w:eastAsia="宋体" w:cs="Times New Roman"/>
      <w:b/>
      <w:bCs/>
      <w:kern w:val="0"/>
      <w:sz w:val="32"/>
      <w:szCs w:val="32"/>
    </w:rPr>
  </w:style>
  <w:style w:type="character" w:customStyle="1" w:styleId="99">
    <w:name w:val="正文文字 Char"/>
    <w:qFormat/>
    <w:uiPriority w:val="0"/>
    <w:rPr>
      <w:rFonts w:ascii="宋体" w:eastAsia="宋体"/>
      <w:snapToGrid w:val="0"/>
      <w:color w:val="000000"/>
      <w:sz w:val="28"/>
      <w:lang w:val="en-US" w:eastAsia="zh-CN" w:bidi="ar-SA"/>
    </w:rPr>
  </w:style>
  <w:style w:type="character" w:customStyle="1" w:styleId="100">
    <w:name w:val="表格 Char Char"/>
    <w:link w:val="101"/>
    <w:qFormat/>
    <w:uiPriority w:val="0"/>
    <w:rPr>
      <w:rFonts w:ascii="宋体" w:hAnsi="宋体"/>
      <w:szCs w:val="28"/>
    </w:rPr>
  </w:style>
  <w:style w:type="paragraph" w:customStyle="1" w:styleId="101">
    <w:name w:val="表格 Char"/>
    <w:basedOn w:val="1"/>
    <w:link w:val="100"/>
    <w:qFormat/>
    <w:uiPriority w:val="0"/>
    <w:pPr>
      <w:spacing w:before="100" w:beforeAutospacing="1" w:after="100" w:afterAutospacing="1"/>
      <w:jc w:val="center"/>
    </w:pPr>
    <w:rPr>
      <w:rFonts w:ascii="宋体" w:hAnsi="宋体" w:eastAsiaTheme="minorEastAsia" w:cstheme="minorBidi"/>
      <w:szCs w:val="28"/>
      <w14:ligatures w14:val="standardContextual"/>
    </w:rPr>
  </w:style>
  <w:style w:type="character" w:customStyle="1" w:styleId="102">
    <w:name w:val="正文文本 3 Char1"/>
    <w:semiHidden/>
    <w:qFormat/>
    <w:uiPriority w:val="99"/>
    <w:rPr>
      <w:rFonts w:ascii="Times New Roman" w:hAnsi="Times New Roman" w:eastAsia="宋体" w:cs="Times New Roman"/>
      <w:kern w:val="0"/>
      <w:sz w:val="16"/>
      <w:szCs w:val="16"/>
    </w:rPr>
  </w:style>
  <w:style w:type="character" w:customStyle="1" w:styleId="103">
    <w:name w:val="Report Text Char"/>
    <w:link w:val="104"/>
    <w:qFormat/>
    <w:uiPriority w:val="0"/>
    <w:rPr>
      <w:rFonts w:ascii="Arial" w:hAnsi="Arial"/>
      <w:kern w:val="28"/>
      <w:sz w:val="22"/>
    </w:rPr>
  </w:style>
  <w:style w:type="paragraph" w:customStyle="1" w:styleId="104">
    <w:name w:val="Report Text"/>
    <w:basedOn w:val="1"/>
    <w:link w:val="103"/>
    <w:qFormat/>
    <w:uiPriority w:val="0"/>
    <w:pPr>
      <w:spacing w:before="240" w:after="120"/>
      <w:ind w:left="1080"/>
    </w:pPr>
    <w:rPr>
      <w:rFonts w:ascii="Arial" w:hAnsi="Arial" w:eastAsiaTheme="minorEastAsia" w:cstheme="minorBidi"/>
      <w:kern w:val="28"/>
      <w:sz w:val="22"/>
      <w:szCs w:val="22"/>
      <w14:ligatures w14:val="standardContextual"/>
    </w:rPr>
  </w:style>
  <w:style w:type="character" w:customStyle="1" w:styleId="105">
    <w:name w:val="正文文本 2 Char1"/>
    <w:semiHidden/>
    <w:qFormat/>
    <w:uiPriority w:val="99"/>
    <w:rPr>
      <w:rFonts w:ascii="Times New Roman" w:hAnsi="Times New Roman" w:eastAsia="宋体" w:cs="Times New Roman"/>
      <w:kern w:val="0"/>
      <w:szCs w:val="20"/>
    </w:rPr>
  </w:style>
  <w:style w:type="character" w:customStyle="1" w:styleId="106">
    <w:name w:val="Char Char19"/>
    <w:qFormat/>
    <w:uiPriority w:val="0"/>
    <w:rPr>
      <w:rFonts w:ascii="华文细黑" w:hAnsi="Arial" w:eastAsia="华文细黑"/>
      <w:b/>
      <w:bCs/>
      <w:sz w:val="44"/>
      <w:szCs w:val="32"/>
      <w:lang w:val="en-US" w:eastAsia="zh-CN" w:bidi="ar-SA"/>
    </w:rPr>
  </w:style>
  <w:style w:type="character" w:customStyle="1" w:styleId="107">
    <w:name w:val="列表框2 Char"/>
    <w:link w:val="108"/>
    <w:qFormat/>
    <w:uiPriority w:val="0"/>
    <w:rPr>
      <w:rFonts w:ascii="宋体" w:hAnsi="宋体"/>
      <w:szCs w:val="24"/>
    </w:rPr>
  </w:style>
  <w:style w:type="paragraph" w:customStyle="1" w:styleId="108">
    <w:name w:val="列表框2"/>
    <w:basedOn w:val="109"/>
    <w:link w:val="107"/>
    <w:qFormat/>
    <w:uiPriority w:val="0"/>
    <w:pPr>
      <w:tabs>
        <w:tab w:val="left" w:pos="1682"/>
        <w:tab w:val="left" w:pos="2084"/>
      </w:tabs>
      <w:ind w:left="2118" w:leftChars="808" w:hanging="420"/>
    </w:pPr>
    <w:rPr>
      <w:rFonts w:eastAsiaTheme="minorEastAsia" w:cstheme="minorBidi"/>
      <w:kern w:val="2"/>
      <w:szCs w:val="24"/>
      <w14:ligatures w14:val="standardContextual"/>
    </w:rPr>
  </w:style>
  <w:style w:type="paragraph" w:customStyle="1" w:styleId="109">
    <w:name w:val="列表框1"/>
    <w:basedOn w:val="1"/>
    <w:link w:val="110"/>
    <w:qFormat/>
    <w:uiPriority w:val="0"/>
    <w:pPr>
      <w:tabs>
        <w:tab w:val="left" w:pos="1682"/>
      </w:tabs>
      <w:adjustRightInd w:val="0"/>
      <w:snapToGrid w:val="0"/>
      <w:ind w:left="1748" w:hanging="434"/>
    </w:pPr>
    <w:rPr>
      <w:rFonts w:ascii="宋体" w:hAnsi="宋体"/>
      <w:kern w:val="0"/>
      <w:szCs w:val="21"/>
    </w:rPr>
  </w:style>
  <w:style w:type="character" w:customStyle="1" w:styleId="110">
    <w:name w:val="列表框1 Char Char"/>
    <w:link w:val="109"/>
    <w:qFormat/>
    <w:uiPriority w:val="0"/>
    <w:rPr>
      <w:rFonts w:ascii="宋体" w:hAnsi="宋体" w:eastAsia="宋体" w:cs="Times New Roman"/>
      <w:kern w:val="0"/>
      <w:szCs w:val="21"/>
      <w14:ligatures w14:val="none"/>
    </w:rPr>
  </w:style>
  <w:style w:type="character" w:customStyle="1" w:styleId="111">
    <w:name w:val="Char Char7"/>
    <w:qFormat/>
    <w:uiPriority w:val="0"/>
    <w:rPr>
      <w:rFonts w:eastAsia="宋体"/>
      <w:kern w:val="2"/>
      <w:sz w:val="18"/>
      <w:szCs w:val="18"/>
      <w:lang w:val="en-US" w:eastAsia="zh-CN" w:bidi="ar-SA"/>
    </w:rPr>
  </w:style>
  <w:style w:type="character" w:customStyle="1" w:styleId="112">
    <w:name w:val="样式 标题 3 + 黑色 Char"/>
    <w:link w:val="113"/>
    <w:qFormat/>
    <w:uiPriority w:val="0"/>
    <w:rPr>
      <w:color w:val="FF0000"/>
      <w:sz w:val="24"/>
    </w:rPr>
  </w:style>
  <w:style w:type="paragraph" w:customStyle="1" w:styleId="113">
    <w:name w:val="样式 标题 3 + 黑色"/>
    <w:basedOn w:val="4"/>
    <w:link w:val="112"/>
    <w:qFormat/>
    <w:uiPriority w:val="0"/>
    <w:pPr>
      <w:keepNext w:val="0"/>
      <w:keepLines w:val="0"/>
      <w:tabs>
        <w:tab w:val="left" w:pos="1200"/>
        <w:tab w:val="left" w:pos="1260"/>
      </w:tabs>
      <w:spacing w:before="0" w:after="0"/>
      <w:ind w:left="1200" w:hanging="1200" w:hangingChars="500"/>
    </w:pPr>
    <w:rPr>
      <w:rFonts w:asciiTheme="minorHAnsi" w:hAnsiTheme="minorHAnsi" w:eastAsiaTheme="minorEastAsia" w:cstheme="minorBidi"/>
      <w:b w:val="0"/>
      <w:bCs w:val="0"/>
      <w:color w:val="FF0000"/>
      <w:szCs w:val="22"/>
      <w14:ligatures w14:val="standardContextual"/>
    </w:rPr>
  </w:style>
  <w:style w:type="character" w:customStyle="1" w:styleId="114">
    <w:name w:val="已访问的超链接1"/>
    <w:qFormat/>
    <w:uiPriority w:val="99"/>
    <w:rPr>
      <w:color w:val="800080"/>
      <w:u w:val="single"/>
    </w:rPr>
  </w:style>
  <w:style w:type="character" w:customStyle="1" w:styleId="115">
    <w:name w:val="普通文字 Char Char"/>
    <w:qFormat/>
    <w:uiPriority w:val="0"/>
    <w:rPr>
      <w:rFonts w:ascii="宋体" w:hAnsi="Courier New" w:eastAsia="宋体" w:cs="Courier New"/>
      <w:kern w:val="2"/>
      <w:sz w:val="21"/>
      <w:szCs w:val="21"/>
      <w:lang w:val="en-US" w:eastAsia="zh-CN" w:bidi="ar-SA"/>
    </w:rPr>
  </w:style>
  <w:style w:type="character" w:customStyle="1" w:styleId="116">
    <w:name w:val="樣式 標題 3 + (中文) MS Gothic 10.5 點 Char Char Char Char Char Char Char Char Char Char Char Char"/>
    <w:qFormat/>
    <w:uiPriority w:val="0"/>
    <w:rPr>
      <w:rFonts w:hAnsi="PMingLiU" w:eastAsia="MS Gothic"/>
      <w:bCs/>
      <w:snapToGrid w:val="0"/>
      <w:kern w:val="2"/>
      <w:sz w:val="24"/>
      <w:szCs w:val="24"/>
      <w:lang w:val="en-AU" w:eastAsia="zh-TW" w:bidi="ar-SA"/>
    </w:rPr>
  </w:style>
  <w:style w:type="character" w:customStyle="1" w:styleId="117">
    <w:name w:val="批注框文本 Char1"/>
    <w:semiHidden/>
    <w:qFormat/>
    <w:uiPriority w:val="99"/>
    <w:rPr>
      <w:rFonts w:ascii="Times New Roman" w:hAnsi="Times New Roman" w:eastAsia="宋体" w:cs="Times New Roman"/>
      <w:kern w:val="0"/>
      <w:sz w:val="18"/>
      <w:szCs w:val="18"/>
    </w:rPr>
  </w:style>
  <w:style w:type="character" w:customStyle="1" w:styleId="118">
    <w:name w:val="文档结构图 Char1"/>
    <w:semiHidden/>
    <w:qFormat/>
    <w:uiPriority w:val="99"/>
    <w:rPr>
      <w:rFonts w:ascii="宋体" w:hAnsi="Times New Roman" w:eastAsia="宋体" w:cs="Times New Roman"/>
      <w:kern w:val="0"/>
      <w:sz w:val="18"/>
      <w:szCs w:val="18"/>
    </w:rPr>
  </w:style>
  <w:style w:type="character" w:customStyle="1" w:styleId="119">
    <w:name w:val="未处理的提及111"/>
    <w:unhideWhenUsed/>
    <w:qFormat/>
    <w:uiPriority w:val="99"/>
    <w:rPr>
      <w:color w:val="605E5C"/>
      <w:shd w:val="clear" w:color="auto" w:fill="E1DFDD"/>
    </w:rPr>
  </w:style>
  <w:style w:type="character" w:customStyle="1" w:styleId="120">
    <w:name w:val="无编号正文 Char"/>
    <w:link w:val="121"/>
    <w:qFormat/>
    <w:uiPriority w:val="0"/>
    <w:rPr>
      <w:rFonts w:ascii="宋体" w:hAnsi="宋体"/>
      <w:sz w:val="24"/>
      <w:szCs w:val="24"/>
    </w:rPr>
  </w:style>
  <w:style w:type="paragraph" w:customStyle="1" w:styleId="121">
    <w:name w:val="无编号正文"/>
    <w:basedOn w:val="20"/>
    <w:next w:val="1"/>
    <w:link w:val="120"/>
    <w:qFormat/>
    <w:uiPriority w:val="0"/>
    <w:pPr>
      <w:spacing w:after="0"/>
      <w:ind w:left="200" w:leftChars="200"/>
    </w:pPr>
    <w:rPr>
      <w:rFonts w:ascii="宋体" w:hAnsi="宋体" w:eastAsiaTheme="minorEastAsia" w:cstheme="minorBidi"/>
      <w:sz w:val="24"/>
      <w14:ligatures w14:val="standardContextual"/>
    </w:rPr>
  </w:style>
  <w:style w:type="character" w:customStyle="1" w:styleId="122">
    <w:name w:val="日期 Char1"/>
    <w:semiHidden/>
    <w:qFormat/>
    <w:uiPriority w:val="99"/>
    <w:rPr>
      <w:rFonts w:ascii="Times New Roman" w:hAnsi="Times New Roman" w:eastAsia="宋体" w:cs="Times New Roman"/>
      <w:kern w:val="0"/>
      <w:szCs w:val="20"/>
    </w:rPr>
  </w:style>
  <w:style w:type="character" w:customStyle="1" w:styleId="123">
    <w:name w:val="正文文本缩进 Char2"/>
    <w:semiHidden/>
    <w:qFormat/>
    <w:uiPriority w:val="99"/>
    <w:rPr>
      <w:rFonts w:ascii="Times New Roman" w:hAnsi="Times New Roman" w:eastAsia="宋体" w:cs="Times New Roman"/>
      <w:szCs w:val="24"/>
    </w:rPr>
  </w:style>
  <w:style w:type="character" w:customStyle="1" w:styleId="124">
    <w:name w:val="text"/>
    <w:qFormat/>
    <w:uiPriority w:val="0"/>
    <w:rPr>
      <w:rFonts w:ascii="仿宋_GB2312" w:eastAsia="仿宋_GB2312"/>
      <w:b/>
      <w:kern w:val="2"/>
      <w:sz w:val="32"/>
      <w:szCs w:val="32"/>
      <w:lang w:val="en-US" w:eastAsia="zh-CN" w:bidi="ar-SA"/>
    </w:rPr>
  </w:style>
  <w:style w:type="character" w:customStyle="1" w:styleId="125">
    <w:name w:val="脚注文本 Char1"/>
    <w:semiHidden/>
    <w:qFormat/>
    <w:uiPriority w:val="99"/>
    <w:rPr>
      <w:kern w:val="2"/>
      <w:sz w:val="18"/>
      <w:szCs w:val="18"/>
    </w:rPr>
  </w:style>
  <w:style w:type="character" w:customStyle="1" w:styleId="126">
    <w:name w:val="批注主题 Char1"/>
    <w:semiHidden/>
    <w:qFormat/>
    <w:uiPriority w:val="99"/>
    <w:rPr>
      <w:rFonts w:ascii="Times New Roman" w:hAnsi="Times New Roman" w:eastAsia="宋体" w:cs="Times New Roman"/>
      <w:b/>
      <w:bCs/>
      <w:kern w:val="0"/>
      <w:sz w:val="21"/>
      <w:szCs w:val="20"/>
    </w:rPr>
  </w:style>
  <w:style w:type="character" w:customStyle="1" w:styleId="127">
    <w:name w:val="Char Char15"/>
    <w:qFormat/>
    <w:uiPriority w:val="0"/>
    <w:rPr>
      <w:rFonts w:ascii="Arial" w:hAnsi="Arial" w:eastAsia="黑体"/>
      <w:b/>
      <w:bCs/>
      <w:sz w:val="24"/>
      <w:szCs w:val="24"/>
      <w:lang w:val="en-US" w:eastAsia="zh-CN" w:bidi="ar-SA"/>
    </w:rPr>
  </w:style>
  <w:style w:type="character" w:customStyle="1" w:styleId="128">
    <w:name w:val="三级标题康"/>
    <w:qFormat/>
    <w:uiPriority w:val="0"/>
    <w:rPr>
      <w:rFonts w:ascii="Arial" w:hAnsi="Arial" w:eastAsia="宋体" w:cs="Times New Roman"/>
      <w:b/>
      <w:bCs/>
      <w:sz w:val="21"/>
      <w:szCs w:val="32"/>
    </w:rPr>
  </w:style>
  <w:style w:type="character" w:customStyle="1" w:styleId="129">
    <w:name w:val="样式 表内文字"/>
    <w:qFormat/>
    <w:uiPriority w:val="0"/>
    <w:rPr>
      <w:rFonts w:eastAsia="宋体"/>
      <w:snapToGrid/>
      <w:color w:val="000000"/>
      <w:spacing w:val="0"/>
      <w:kern w:val="0"/>
      <w:position w:val="0"/>
      <w:sz w:val="20"/>
      <w:szCs w:val="20"/>
      <w:u w:val="none"/>
    </w:rPr>
  </w:style>
  <w:style w:type="character" w:customStyle="1" w:styleId="130">
    <w:name w:val="Char Char13"/>
    <w:qFormat/>
    <w:uiPriority w:val="0"/>
    <w:rPr>
      <w:rFonts w:ascii="Arial" w:hAnsi="Arial" w:eastAsia="黑体"/>
      <w:sz w:val="24"/>
      <w:szCs w:val="24"/>
      <w:lang w:val="en-US" w:eastAsia="zh-CN" w:bidi="ar-SA"/>
    </w:rPr>
  </w:style>
  <w:style w:type="character" w:customStyle="1" w:styleId="131">
    <w:name w:val="Char Char11"/>
    <w:qFormat/>
    <w:uiPriority w:val="0"/>
    <w:rPr>
      <w:rFonts w:eastAsia="宋体"/>
      <w:b/>
      <w:bCs/>
      <w:kern w:val="2"/>
      <w:sz w:val="21"/>
      <w:szCs w:val="24"/>
      <w:lang w:val="en-US" w:eastAsia="zh-CN" w:bidi="ar-SA"/>
    </w:rPr>
  </w:style>
  <w:style w:type="character" w:customStyle="1" w:styleId="132">
    <w:name w:val="标题 3 Char1"/>
    <w:qFormat/>
    <w:uiPriority w:val="0"/>
    <w:rPr>
      <w:b/>
      <w:bCs/>
      <w:sz w:val="32"/>
      <w:szCs w:val="32"/>
    </w:rPr>
  </w:style>
  <w:style w:type="character" w:customStyle="1" w:styleId="133">
    <w:name w:val="图形布置 Char"/>
    <w:link w:val="134"/>
    <w:qFormat/>
    <w:uiPriority w:val="0"/>
    <w:rPr>
      <w:rFonts w:ascii="Arial" w:hAnsi="Arial" w:cs="Arial"/>
    </w:rPr>
  </w:style>
  <w:style w:type="paragraph" w:customStyle="1" w:styleId="134">
    <w:name w:val="图形布置"/>
    <w:basedOn w:val="135"/>
    <w:link w:val="133"/>
    <w:qFormat/>
    <w:uiPriority w:val="0"/>
    <w:rPr>
      <w:rFonts w:cs="Arial" w:eastAsiaTheme="minorEastAsia"/>
      <w:kern w:val="2"/>
      <w:szCs w:val="22"/>
      <w14:ligatures w14:val="standardContextual"/>
    </w:rPr>
  </w:style>
  <w:style w:type="paragraph" w:customStyle="1" w:styleId="135">
    <w:name w:val="图形题注"/>
    <w:basedOn w:val="15"/>
    <w:link w:val="136"/>
    <w:qFormat/>
    <w:uiPriority w:val="0"/>
    <w:pPr>
      <w:adjustRightInd w:val="0"/>
      <w:snapToGrid w:val="0"/>
      <w:spacing w:afterLines="50"/>
      <w:jc w:val="center"/>
    </w:pPr>
    <w:rPr>
      <w:rFonts w:eastAsia="宋体" w:cs="Times New Roman"/>
      <w:kern w:val="0"/>
      <w:sz w:val="21"/>
    </w:rPr>
  </w:style>
  <w:style w:type="character" w:customStyle="1" w:styleId="136">
    <w:name w:val="图形题注 Char"/>
    <w:link w:val="135"/>
    <w:qFormat/>
    <w:uiPriority w:val="0"/>
    <w:rPr>
      <w:rFonts w:ascii="Arial" w:hAnsi="Arial" w:eastAsia="宋体" w:cs="Times New Roman"/>
      <w:kern w:val="0"/>
      <w:szCs w:val="20"/>
      <w14:ligatures w14:val="none"/>
    </w:rPr>
  </w:style>
  <w:style w:type="character" w:customStyle="1" w:styleId="137">
    <w:name w:val="Char Char12"/>
    <w:qFormat/>
    <w:uiPriority w:val="0"/>
    <w:rPr>
      <w:rFonts w:ascii="Arial" w:hAnsi="Arial" w:eastAsia="黑体"/>
      <w:sz w:val="21"/>
      <w:szCs w:val="21"/>
      <w:lang w:val="en-US" w:eastAsia="zh-CN" w:bidi="ar-SA"/>
    </w:rPr>
  </w:style>
  <w:style w:type="character" w:customStyle="1" w:styleId="138">
    <w:name w:val="正文文本缩进 2 Char1"/>
    <w:semiHidden/>
    <w:qFormat/>
    <w:uiPriority w:val="99"/>
    <w:rPr>
      <w:rFonts w:ascii="Times New Roman" w:hAnsi="Times New Roman" w:eastAsia="宋体" w:cs="Times New Roman"/>
      <w:kern w:val="0"/>
      <w:szCs w:val="20"/>
    </w:rPr>
  </w:style>
  <w:style w:type="character" w:customStyle="1" w:styleId="139">
    <w:name w:val="正文文本缩进 Char1"/>
    <w:semiHidden/>
    <w:qFormat/>
    <w:uiPriority w:val="99"/>
    <w:rPr>
      <w:rFonts w:ascii="Times New Roman" w:hAnsi="Times New Roman" w:eastAsia="宋体" w:cs="Times New Roman"/>
      <w:kern w:val="0"/>
      <w:szCs w:val="20"/>
    </w:rPr>
  </w:style>
  <w:style w:type="character" w:customStyle="1" w:styleId="140">
    <w:name w:val="正文首行缩进 Char"/>
    <w:link w:val="141"/>
    <w:qFormat/>
    <w:uiPriority w:val="0"/>
    <w:rPr>
      <w:szCs w:val="24"/>
    </w:rPr>
  </w:style>
  <w:style w:type="paragraph" w:customStyle="1" w:styleId="141">
    <w:name w:val="正文首行缩进1"/>
    <w:basedOn w:val="20"/>
    <w:link w:val="140"/>
    <w:qFormat/>
    <w:uiPriority w:val="0"/>
    <w:pPr>
      <w:ind w:firstLine="100" w:firstLineChars="100"/>
    </w:pPr>
    <w:rPr>
      <w:rFonts w:asciiTheme="minorHAnsi" w:hAnsiTheme="minorHAnsi" w:eastAsiaTheme="minorEastAsia" w:cstheme="minorBidi"/>
      <w14:ligatures w14:val="standardContextual"/>
    </w:rPr>
  </w:style>
  <w:style w:type="character" w:customStyle="1" w:styleId="142">
    <w:name w:val="页脚 Char1"/>
    <w:semiHidden/>
    <w:qFormat/>
    <w:uiPriority w:val="99"/>
    <w:rPr>
      <w:rFonts w:ascii="Times New Roman" w:hAnsi="Times New Roman" w:eastAsia="宋体" w:cs="Times New Roman"/>
      <w:kern w:val="0"/>
      <w:sz w:val="18"/>
      <w:szCs w:val="18"/>
    </w:rPr>
  </w:style>
  <w:style w:type="character" w:customStyle="1" w:styleId="143">
    <w:name w:val="Char Char10"/>
    <w:qFormat/>
    <w:uiPriority w:val="0"/>
    <w:rPr>
      <w:rFonts w:eastAsia="仿宋_GB2312"/>
      <w:kern w:val="2"/>
      <w:sz w:val="32"/>
      <w:szCs w:val="24"/>
      <w:lang w:val="en-US" w:eastAsia="zh-CN" w:bidi="ar-SA"/>
    </w:rPr>
  </w:style>
  <w:style w:type="character" w:customStyle="1" w:styleId="144">
    <w:name w:val="纯文本 Char1"/>
    <w:qFormat/>
    <w:uiPriority w:val="99"/>
    <w:rPr>
      <w:rFonts w:ascii="宋体" w:hAnsi="Courier New" w:eastAsia="宋体" w:cs="Times New Roman"/>
      <w:szCs w:val="20"/>
    </w:rPr>
  </w:style>
  <w:style w:type="character" w:customStyle="1" w:styleId="145">
    <w:name w:val="正文文本缩进 3 Char1"/>
    <w:semiHidden/>
    <w:qFormat/>
    <w:uiPriority w:val="99"/>
    <w:rPr>
      <w:rFonts w:ascii="Times New Roman" w:hAnsi="Times New Roman" w:eastAsia="宋体" w:cs="Times New Roman"/>
      <w:kern w:val="0"/>
      <w:sz w:val="16"/>
      <w:szCs w:val="16"/>
    </w:rPr>
  </w:style>
  <w:style w:type="character" w:customStyle="1" w:styleId="146">
    <w:name w:val="正文首行缩进 2 Char"/>
    <w:link w:val="147"/>
    <w:qFormat/>
    <w:uiPriority w:val="0"/>
    <w:rPr>
      <w:szCs w:val="24"/>
    </w:rPr>
  </w:style>
  <w:style w:type="paragraph" w:customStyle="1" w:styleId="147">
    <w:name w:val="正文首行缩进 21"/>
    <w:basedOn w:val="21"/>
    <w:link w:val="146"/>
    <w:qFormat/>
    <w:uiPriority w:val="0"/>
    <w:pPr>
      <w:adjustRightInd w:val="0"/>
      <w:spacing w:line="312" w:lineRule="atLeast"/>
      <w:textAlignment w:val="baseline"/>
    </w:pPr>
    <w:rPr>
      <w:rFonts w:asciiTheme="minorHAnsi" w:hAnsiTheme="minorHAnsi" w:eastAsiaTheme="minorEastAsia" w:cstheme="minorBidi"/>
      <w14:ligatures w14:val="standardContextual"/>
    </w:rPr>
  </w:style>
  <w:style w:type="character" w:customStyle="1" w:styleId="148">
    <w:name w:val="样式4 Char"/>
    <w:link w:val="149"/>
    <w:qFormat/>
    <w:uiPriority w:val="0"/>
    <w:rPr>
      <w:rFonts w:ascii="宋体"/>
      <w:sz w:val="18"/>
      <w:szCs w:val="18"/>
    </w:rPr>
  </w:style>
  <w:style w:type="paragraph" w:customStyle="1" w:styleId="149">
    <w:name w:val="样式4"/>
    <w:basedOn w:val="33"/>
    <w:link w:val="148"/>
    <w:qFormat/>
    <w:uiPriority w:val="0"/>
    <w:pPr>
      <w:autoSpaceDE w:val="0"/>
      <w:autoSpaceDN w:val="0"/>
      <w:adjustRightInd w:val="0"/>
      <w:snapToGrid/>
      <w:textAlignment w:val="baseline"/>
    </w:pPr>
    <w:rPr>
      <w:rFonts w:ascii="宋体" w:hAnsiTheme="minorHAnsi" w:eastAsiaTheme="minorEastAsia" w:cstheme="minorBidi"/>
      <w14:ligatures w14:val="standardContextual"/>
    </w:rPr>
  </w:style>
  <w:style w:type="character" w:customStyle="1" w:styleId="150">
    <w:name w:val="Char Char Char Char1"/>
    <w:link w:val="151"/>
    <w:qFormat/>
    <w:uiPriority w:val="0"/>
    <w:rPr>
      <w:rFonts w:ascii="仿宋_GB2312" w:eastAsia="仿宋_GB2312"/>
      <w:b/>
      <w:sz w:val="32"/>
      <w:szCs w:val="32"/>
    </w:rPr>
  </w:style>
  <w:style w:type="paragraph" w:customStyle="1" w:styleId="151">
    <w:name w:val="Char Char Char1"/>
    <w:basedOn w:val="1"/>
    <w:link w:val="150"/>
    <w:qFormat/>
    <w:uiPriority w:val="0"/>
    <w:rPr>
      <w:rFonts w:ascii="仿宋_GB2312" w:eastAsia="仿宋_GB2312" w:hAnsiTheme="minorHAnsi" w:cstheme="minorBidi"/>
      <w:b/>
      <w:sz w:val="32"/>
      <w:szCs w:val="32"/>
      <w14:ligatures w14:val="standardContextual"/>
    </w:rPr>
  </w:style>
  <w:style w:type="character" w:customStyle="1" w:styleId="152">
    <w:name w:val="Char Char16"/>
    <w:qFormat/>
    <w:uiPriority w:val="0"/>
    <w:rPr>
      <w:rFonts w:eastAsia="宋体"/>
      <w:b/>
      <w:bCs/>
      <w:sz w:val="28"/>
      <w:szCs w:val="28"/>
      <w:lang w:val="en-US" w:eastAsia="zh-CN" w:bidi="ar-SA"/>
    </w:rPr>
  </w:style>
  <w:style w:type="character" w:customStyle="1" w:styleId="153">
    <w:name w:val="页眉 Char1"/>
    <w:semiHidden/>
    <w:qFormat/>
    <w:uiPriority w:val="99"/>
    <w:rPr>
      <w:rFonts w:ascii="Times New Roman" w:hAnsi="Times New Roman" w:eastAsia="宋体" w:cs="Times New Roman"/>
      <w:kern w:val="0"/>
      <w:sz w:val="18"/>
      <w:szCs w:val="18"/>
    </w:rPr>
  </w:style>
  <w:style w:type="character" w:customStyle="1" w:styleId="154">
    <w:name w:val="列出段落 Char"/>
    <w:link w:val="155"/>
    <w:qFormat/>
    <w:uiPriority w:val="0"/>
    <w:rPr>
      <w:rFonts w:ascii="Calibri" w:hAnsi="Calibri"/>
    </w:rPr>
  </w:style>
  <w:style w:type="paragraph" w:customStyle="1" w:styleId="155">
    <w:name w:val="列出段落2"/>
    <w:basedOn w:val="1"/>
    <w:link w:val="154"/>
    <w:qFormat/>
    <w:uiPriority w:val="0"/>
    <w:rPr>
      <w:rFonts w:ascii="Calibri" w:hAnsi="Calibri" w:eastAsiaTheme="minorEastAsia" w:cstheme="minorBidi"/>
      <w:szCs w:val="22"/>
      <w14:ligatures w14:val="standardContextual"/>
    </w:rPr>
  </w:style>
  <w:style w:type="character" w:customStyle="1" w:styleId="156">
    <w:name w:val="纯文本 Char2"/>
    <w:qFormat/>
    <w:uiPriority w:val="0"/>
    <w:rPr>
      <w:rFonts w:ascii="宋体" w:hAnsi="Courier New" w:eastAsia="宋体"/>
      <w:kern w:val="2"/>
      <w:sz w:val="21"/>
      <w:lang w:val="en-US" w:eastAsia="zh-CN"/>
    </w:rPr>
  </w:style>
  <w:style w:type="character" w:customStyle="1" w:styleId="157">
    <w:name w:val="font161"/>
    <w:qFormat/>
    <w:uiPriority w:val="0"/>
    <w:rPr>
      <w:b/>
      <w:bCs/>
      <w:sz w:val="32"/>
      <w:szCs w:val="32"/>
    </w:rPr>
  </w:style>
  <w:style w:type="character" w:customStyle="1" w:styleId="158">
    <w:name w:val="Char Char8"/>
    <w:qFormat/>
    <w:uiPriority w:val="0"/>
    <w:rPr>
      <w:rFonts w:ascii="宋体" w:hAnsi="宋体" w:eastAsia="宋体"/>
      <w:kern w:val="2"/>
      <w:sz w:val="21"/>
      <w:szCs w:val="24"/>
      <w:lang w:val="en-US" w:eastAsia="zh-CN" w:bidi="ar-SA"/>
    </w:rPr>
  </w:style>
  <w:style w:type="character" w:customStyle="1" w:styleId="159">
    <w:name w:val="样式 超链接 + 仿宋_GB2312 小四 加粗"/>
    <w:qFormat/>
    <w:uiPriority w:val="0"/>
    <w:rPr>
      <w:rFonts w:ascii="仿宋_GB2312" w:hAnsi="仿宋_GB2312" w:eastAsia="黑体"/>
      <w:b/>
      <w:bCs/>
      <w:color w:val="auto"/>
      <w:sz w:val="24"/>
      <w:u w:val="none"/>
    </w:rPr>
  </w:style>
  <w:style w:type="character" w:customStyle="1" w:styleId="160">
    <w:name w:val="批注文字 Char2"/>
    <w:qFormat/>
    <w:uiPriority w:val="0"/>
    <w:rPr>
      <w:kern w:val="2"/>
      <w:sz w:val="21"/>
      <w:szCs w:val="24"/>
    </w:rPr>
  </w:style>
  <w:style w:type="character" w:customStyle="1" w:styleId="161">
    <w:name w:val="Char Char18"/>
    <w:qFormat/>
    <w:uiPriority w:val="0"/>
    <w:rPr>
      <w:rFonts w:eastAsia="华文细黑"/>
      <w:bCs/>
      <w:sz w:val="36"/>
      <w:szCs w:val="32"/>
      <w:lang w:val="en-US" w:eastAsia="zh-CN" w:bidi="ar-SA"/>
    </w:rPr>
  </w:style>
  <w:style w:type="character" w:customStyle="1" w:styleId="162">
    <w:name w:val="正文文本 Char1"/>
    <w:semiHidden/>
    <w:qFormat/>
    <w:uiPriority w:val="99"/>
    <w:rPr>
      <w:rFonts w:ascii="Times New Roman" w:hAnsi="Times New Roman" w:eastAsia="宋体" w:cs="Times New Roman"/>
      <w:kern w:val="0"/>
      <w:szCs w:val="20"/>
    </w:rPr>
  </w:style>
  <w:style w:type="character" w:customStyle="1" w:styleId="163">
    <w:name w:val="Char Char14"/>
    <w:qFormat/>
    <w:uiPriority w:val="0"/>
    <w:rPr>
      <w:rFonts w:eastAsia="宋体"/>
      <w:b/>
      <w:bCs/>
      <w:sz w:val="24"/>
      <w:szCs w:val="24"/>
      <w:lang w:val="en-US" w:eastAsia="zh-CN" w:bidi="ar-SA"/>
    </w:rPr>
  </w:style>
  <w:style w:type="character" w:customStyle="1" w:styleId="164">
    <w:name w:val="Char Char6"/>
    <w:qFormat/>
    <w:uiPriority w:val="0"/>
    <w:rPr>
      <w:rFonts w:eastAsia="宋体"/>
      <w:sz w:val="18"/>
      <w:szCs w:val="18"/>
      <w:lang w:bidi="ar-SA"/>
    </w:rPr>
  </w:style>
  <w:style w:type="character" w:customStyle="1" w:styleId="165">
    <w:name w:val="正文首行缩进 Char1"/>
    <w:semiHidden/>
    <w:qFormat/>
    <w:uiPriority w:val="99"/>
    <w:rPr>
      <w:rFonts w:ascii="Times New Roman" w:hAnsi="Times New Roman" w:eastAsia="宋体" w:cs="Times New Roman"/>
      <w:kern w:val="0"/>
      <w:szCs w:val="20"/>
    </w:rPr>
  </w:style>
  <w:style w:type="character" w:customStyle="1" w:styleId="166">
    <w:name w:val="Char Char20"/>
    <w:qFormat/>
    <w:uiPriority w:val="0"/>
    <w:rPr>
      <w:rFonts w:ascii="华文细黑" w:eastAsia="华文细黑"/>
      <w:b/>
      <w:bCs/>
      <w:snapToGrid w:val="0"/>
      <w:sz w:val="52"/>
      <w:szCs w:val="44"/>
      <w:lang w:val="en-US" w:eastAsia="zh-CN" w:bidi="ar-SA"/>
    </w:rPr>
  </w:style>
  <w:style w:type="character" w:customStyle="1" w:styleId="167">
    <w:name w:val="Char Char2"/>
    <w:qFormat/>
    <w:uiPriority w:val="0"/>
    <w:rPr>
      <w:rFonts w:ascii="楷体_GB2312" w:hAnsi="宋体" w:eastAsia="楷体_GB2312"/>
      <w:color w:val="000000"/>
      <w:sz w:val="21"/>
      <w:szCs w:val="21"/>
      <w:lang w:val="en-US" w:eastAsia="zh-CN" w:bidi="ar-SA"/>
    </w:rPr>
  </w:style>
  <w:style w:type="character" w:customStyle="1" w:styleId="168">
    <w:name w:val="Char Char9"/>
    <w:qFormat/>
    <w:uiPriority w:val="0"/>
    <w:rPr>
      <w:rFonts w:ascii="宋体" w:hAnsi="宋体" w:eastAsia="宋体"/>
      <w:kern w:val="2"/>
      <w:sz w:val="24"/>
      <w:lang w:val="en-US" w:eastAsia="zh-CN" w:bidi="ar-SA"/>
    </w:rPr>
  </w:style>
  <w:style w:type="character" w:customStyle="1" w:styleId="169">
    <w:name w:val="尾注文本 Char1"/>
    <w:semiHidden/>
    <w:qFormat/>
    <w:uiPriority w:val="99"/>
    <w:rPr>
      <w:kern w:val="2"/>
      <w:sz w:val="21"/>
      <w:szCs w:val="24"/>
    </w:rPr>
  </w:style>
  <w:style w:type="paragraph" w:customStyle="1" w:styleId="170">
    <w:name w:val="xl90"/>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styleId="171">
    <w:name w:val="No Spacing"/>
    <w:qFormat/>
    <w:uiPriority w:val="1"/>
    <w:pPr>
      <w:widowControl w:val="0"/>
      <w:spacing w:after="160" w:line="360" w:lineRule="auto"/>
      <w:ind w:firstLine="420"/>
      <w:jc w:val="both"/>
    </w:pPr>
    <w:rPr>
      <w:rFonts w:ascii="Calibri" w:hAnsi="Calibri" w:eastAsia="宋体" w:cs="Times New Roman"/>
      <w:kern w:val="2"/>
      <w:sz w:val="21"/>
      <w:szCs w:val="22"/>
      <w:lang w:val="en-US" w:eastAsia="zh-CN" w:bidi="ar-SA"/>
    </w:rPr>
  </w:style>
  <w:style w:type="paragraph" w:customStyle="1" w:styleId="172">
    <w:name w:val="USE 5"/>
    <w:basedOn w:val="1"/>
    <w:qFormat/>
    <w:uiPriority w:val="0"/>
    <w:pPr>
      <w:ind w:left="217" w:hanging="340"/>
      <w:jc w:val="left"/>
    </w:pPr>
    <w:rPr>
      <w:rFonts w:ascii="宋体" w:hAnsi="宋体"/>
      <w:sz w:val="24"/>
    </w:rPr>
  </w:style>
  <w:style w:type="paragraph" w:customStyle="1" w:styleId="173">
    <w:name w:val="xl80"/>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174">
    <w:name w:val="xl22"/>
    <w:basedOn w:val="1"/>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5">
    <w:name w:val="cucd-4"/>
    <w:next w:val="1"/>
    <w:qFormat/>
    <w:uiPriority w:val="0"/>
    <w:pPr>
      <w:spacing w:after="160"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76">
    <w:name w:val="p0"/>
    <w:basedOn w:val="1"/>
    <w:qFormat/>
    <w:uiPriority w:val="0"/>
    <w:rPr>
      <w:kern w:val="0"/>
      <w:szCs w:val="21"/>
    </w:rPr>
  </w:style>
  <w:style w:type="paragraph" w:customStyle="1" w:styleId="177">
    <w:name w:val="xl86"/>
    <w:basedOn w:val="1"/>
    <w:qFormat/>
    <w:uiPriority w:val="0"/>
    <w:pPr>
      <w:spacing w:before="100" w:beforeAutospacing="1" w:after="100" w:afterAutospacing="1"/>
      <w:jc w:val="center"/>
    </w:pPr>
    <w:rPr>
      <w:rFonts w:ascii="宋体" w:hAnsi="宋体" w:cs="宋体"/>
      <w:kern w:val="0"/>
      <w:sz w:val="24"/>
    </w:rPr>
  </w:style>
  <w:style w:type="paragraph" w:customStyle="1" w:styleId="178">
    <w:name w:val="标题 21"/>
    <w:basedOn w:val="1"/>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79">
    <w:name w:val="xl4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0">
    <w:name w:val="附件"/>
    <w:basedOn w:val="1"/>
    <w:qFormat/>
    <w:uiPriority w:val="0"/>
    <w:pPr>
      <w:spacing w:line="480" w:lineRule="auto"/>
    </w:pPr>
    <w:rPr>
      <w:rFonts w:ascii="黑体" w:eastAsia="黑体"/>
      <w:b/>
      <w:sz w:val="36"/>
      <w:szCs w:val="20"/>
    </w:rPr>
  </w:style>
  <w:style w:type="paragraph" w:customStyle="1" w:styleId="181">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82">
    <w:name w:val="xl67"/>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83">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4">
    <w:name w:val="Char Char Char Char Char Char Char Char Char Char Char Char Char Char Char Char Char Char Char Char Char Char Char Char2 Char"/>
    <w:basedOn w:val="1"/>
    <w:qFormat/>
    <w:uiPriority w:val="0"/>
    <w:pPr>
      <w:spacing w:line="240" w:lineRule="exact"/>
      <w:jc w:val="center"/>
    </w:pPr>
    <w:rPr>
      <w:rFonts w:ascii="黑体" w:hAnsi="Verdana" w:eastAsia="黑体"/>
      <w:kern w:val="0"/>
      <w:sz w:val="32"/>
      <w:szCs w:val="32"/>
      <w:lang w:eastAsia="en-US"/>
    </w:rPr>
  </w:style>
  <w:style w:type="paragraph" w:customStyle="1" w:styleId="185">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86">
    <w:name w:val="纯文本2"/>
    <w:basedOn w:val="1"/>
    <w:qFormat/>
    <w:uiPriority w:val="0"/>
    <w:rPr>
      <w:rFonts w:ascii="宋体" w:hAnsi="Courier New" w:cs="Courier New"/>
      <w:szCs w:val="21"/>
    </w:rPr>
  </w:style>
  <w:style w:type="paragraph" w:customStyle="1" w:styleId="187">
    <w:name w:val="1.1.1.1"/>
    <w:basedOn w:val="1"/>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88">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89">
    <w:name w:val="zhengwen"/>
    <w:basedOn w:val="1"/>
    <w:qFormat/>
    <w:uiPriority w:val="0"/>
    <w:pPr>
      <w:tabs>
        <w:tab w:val="left" w:pos="1145"/>
      </w:tabs>
      <w:adjustRightInd w:val="0"/>
      <w:snapToGrid w:val="0"/>
      <w:spacing w:line="520" w:lineRule="exact"/>
      <w:ind w:left="1145" w:hanging="720"/>
    </w:pPr>
    <w:rPr>
      <w:bCs/>
      <w:sz w:val="28"/>
    </w:rPr>
  </w:style>
  <w:style w:type="paragraph" w:customStyle="1" w:styleId="190">
    <w:name w:val="Char Char Char Char Char Char Char"/>
    <w:basedOn w:val="1"/>
    <w:qFormat/>
    <w:uiPriority w:val="0"/>
    <w:rPr>
      <w:rFonts w:ascii="仿宋_GB2312" w:eastAsia="仿宋_GB2312"/>
      <w:b/>
      <w:sz w:val="32"/>
      <w:szCs w:val="32"/>
    </w:rPr>
  </w:style>
  <w:style w:type="paragraph" w:customStyle="1" w:styleId="191">
    <w:name w:val="p8"/>
    <w:basedOn w:val="1"/>
    <w:qFormat/>
    <w:uiPriority w:val="0"/>
    <w:pPr>
      <w:spacing w:line="30" w:lineRule="atLeast"/>
      <w:jc w:val="left"/>
    </w:pPr>
    <w:rPr>
      <w:rFonts w:hint="eastAsia" w:ascii="宋体" w:hAnsi="宋体" w:cs="宋体"/>
      <w:kern w:val="0"/>
      <w:szCs w:val="21"/>
    </w:rPr>
  </w:style>
  <w:style w:type="paragraph" w:customStyle="1" w:styleId="192">
    <w:name w:val="我的目录"/>
    <w:basedOn w:val="193"/>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93">
    <w:name w:val="目录 11"/>
    <w:basedOn w:val="1"/>
    <w:next w:val="1"/>
    <w:qFormat/>
    <w:uiPriority w:val="39"/>
    <w:pPr>
      <w:tabs>
        <w:tab w:val="right" w:leader="dot" w:pos="8296"/>
      </w:tabs>
      <w:ind w:left="850" w:leftChars="1" w:hanging="848" w:hangingChars="404"/>
      <w:jc w:val="center"/>
    </w:pPr>
  </w:style>
  <w:style w:type="paragraph" w:customStyle="1" w:styleId="194">
    <w:name w:val="目录 51"/>
    <w:basedOn w:val="1"/>
    <w:next w:val="1"/>
    <w:qFormat/>
    <w:uiPriority w:val="39"/>
    <w:pPr>
      <w:ind w:left="1680" w:leftChars="800"/>
    </w:pPr>
    <w:rPr>
      <w:rFonts w:ascii="Calibri" w:hAnsi="Calibri"/>
      <w:szCs w:val="22"/>
    </w:rPr>
  </w:style>
  <w:style w:type="paragraph" w:customStyle="1" w:styleId="195">
    <w:name w:val="CM255"/>
    <w:basedOn w:val="196"/>
    <w:next w:val="196"/>
    <w:qFormat/>
    <w:uiPriority w:val="0"/>
    <w:pPr>
      <w:spacing w:after="1728"/>
    </w:pPr>
    <w:rPr>
      <w:rFonts w:ascii="宋体" w:cs="宋体"/>
      <w:color w:val="auto"/>
    </w:rPr>
  </w:style>
  <w:style w:type="paragraph" w:customStyle="1" w:styleId="196">
    <w:name w:val="Default"/>
    <w:qFormat/>
    <w:uiPriority w:val="0"/>
    <w:pPr>
      <w:widowControl w:val="0"/>
      <w:autoSpaceDE w:val="0"/>
      <w:autoSpaceDN w:val="0"/>
      <w:adjustRightInd w:val="0"/>
      <w:spacing w:after="160"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197">
    <w:name w:val="font10"/>
    <w:basedOn w:val="1"/>
    <w:qFormat/>
    <w:uiPriority w:val="0"/>
    <w:pPr>
      <w:spacing w:before="100" w:beforeAutospacing="1" w:after="100" w:afterAutospacing="1"/>
      <w:jc w:val="left"/>
    </w:pPr>
    <w:rPr>
      <w:rFonts w:eastAsia="Arial Unicode MS"/>
      <w:color w:val="FF0000"/>
      <w:kern w:val="0"/>
      <w:sz w:val="20"/>
      <w:szCs w:val="20"/>
    </w:rPr>
  </w:style>
  <w:style w:type="paragraph" w:customStyle="1" w:styleId="198">
    <w:name w:val="标题 31"/>
    <w:basedOn w:val="1"/>
    <w:qFormat/>
    <w:uiPriority w:val="1"/>
    <w:pPr>
      <w:ind w:left="237"/>
      <w:jc w:val="left"/>
      <w:outlineLvl w:val="3"/>
    </w:pPr>
    <w:rPr>
      <w:rFonts w:ascii="宋体" w:hAnsi="宋体"/>
      <w:kern w:val="0"/>
      <w:sz w:val="28"/>
      <w:szCs w:val="28"/>
      <w:lang w:eastAsia="en-US"/>
    </w:rPr>
  </w:style>
  <w:style w:type="paragraph" w:customStyle="1" w:styleId="199">
    <w:name w:val="font0"/>
    <w:basedOn w:val="1"/>
    <w:qFormat/>
    <w:uiPriority w:val="0"/>
    <w:pPr>
      <w:spacing w:before="100" w:beforeAutospacing="1" w:after="100" w:afterAutospacing="1"/>
      <w:jc w:val="left"/>
    </w:pPr>
    <w:rPr>
      <w:rFonts w:hint="eastAsia" w:ascii="宋体" w:hAnsi="宋体"/>
      <w:kern w:val="0"/>
      <w:sz w:val="24"/>
    </w:rPr>
  </w:style>
  <w:style w:type="paragraph" w:customStyle="1" w:styleId="200">
    <w:name w:val="Char Char Char Char11"/>
    <w:basedOn w:val="1"/>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201">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02">
    <w:name w:val="小标题"/>
    <w:basedOn w:val="1"/>
    <w:qFormat/>
    <w:uiPriority w:val="0"/>
    <w:pPr>
      <w:spacing w:line="440" w:lineRule="exact"/>
      <w:ind w:left="420" w:hanging="420"/>
    </w:pPr>
    <w:rPr>
      <w:sz w:val="24"/>
    </w:rPr>
  </w:style>
  <w:style w:type="paragraph" w:customStyle="1" w:styleId="203">
    <w:name w:val="样式 宋体 小四 段前: 5 磅 段后: 5 磅"/>
    <w:basedOn w:val="1"/>
    <w:qFormat/>
    <w:uiPriority w:val="0"/>
    <w:pPr>
      <w:spacing w:before="100" w:after="100"/>
      <w:ind w:left="2266" w:leftChars="200"/>
    </w:pPr>
    <w:rPr>
      <w:rFonts w:ascii="宋体" w:cs="宋体"/>
      <w:sz w:val="24"/>
      <w:szCs w:val="20"/>
    </w:rPr>
  </w:style>
  <w:style w:type="paragraph" w:customStyle="1" w:styleId="204">
    <w:name w:val="样式 样式 首行缩进:  2 字符 段前: 4.65 磅 + 首行缩进:  2 字符"/>
    <w:basedOn w:val="1"/>
    <w:qFormat/>
    <w:uiPriority w:val="0"/>
    <w:pPr>
      <w:topLinePunct/>
      <w:spacing w:before="93"/>
      <w:ind w:firstLine="480"/>
    </w:pPr>
    <w:rPr>
      <w:rFonts w:cs="宋体"/>
      <w:sz w:val="24"/>
      <w:szCs w:val="20"/>
    </w:rPr>
  </w:style>
  <w:style w:type="paragraph" w:customStyle="1" w:styleId="205">
    <w:name w:val="USE 1"/>
    <w:basedOn w:val="1"/>
    <w:qFormat/>
    <w:uiPriority w:val="0"/>
    <w:pPr>
      <w:spacing w:line="200" w:lineRule="atLeast"/>
      <w:jc w:val="left"/>
    </w:pPr>
    <w:rPr>
      <w:rFonts w:ascii="宋体" w:hAnsi="宋体"/>
      <w:b/>
      <w:sz w:val="24"/>
      <w:szCs w:val="28"/>
    </w:rPr>
  </w:style>
  <w:style w:type="paragraph" w:customStyle="1" w:styleId="206">
    <w:name w:val="备注"/>
    <w:basedOn w:val="1"/>
    <w:qFormat/>
    <w:uiPriority w:val="0"/>
    <w:pPr>
      <w:tabs>
        <w:tab w:val="left" w:pos="547"/>
        <w:tab w:val="left" w:pos="990"/>
        <w:tab w:val="left" w:pos="1350"/>
      </w:tabs>
      <w:spacing w:line="400" w:lineRule="atLeast"/>
    </w:pPr>
    <w:rPr>
      <w:szCs w:val="21"/>
    </w:rPr>
  </w:style>
  <w:style w:type="paragraph" w:customStyle="1" w:styleId="207">
    <w:name w:val="xl49"/>
    <w:basedOn w:val="1"/>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08">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09">
    <w:name w:val="xl4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10">
    <w:name w:val="USE 3"/>
    <w:basedOn w:val="1"/>
    <w:qFormat/>
    <w:uiPriority w:val="0"/>
    <w:pPr>
      <w:ind w:left="710" w:hanging="170"/>
      <w:jc w:val="left"/>
    </w:pPr>
    <w:rPr>
      <w:rFonts w:ascii="宋体" w:hAnsi="宋体"/>
      <w:sz w:val="24"/>
      <w:szCs w:val="20"/>
    </w:rPr>
  </w:style>
  <w:style w:type="paragraph" w:customStyle="1" w:styleId="211">
    <w:name w:val="批注框文本 Char Char"/>
    <w:basedOn w:val="1"/>
    <w:qFormat/>
    <w:uiPriority w:val="0"/>
    <w:rPr>
      <w:sz w:val="18"/>
      <w:szCs w:val="20"/>
    </w:rPr>
  </w:style>
  <w:style w:type="paragraph" w:customStyle="1" w:styleId="212">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213">
    <w:name w:val="表格"/>
    <w:basedOn w:val="1"/>
    <w:qFormat/>
    <w:uiPriority w:val="0"/>
    <w:pPr>
      <w:jc w:val="center"/>
      <w:textAlignment w:val="center"/>
    </w:pPr>
    <w:rPr>
      <w:rFonts w:ascii="华文细黑" w:hAnsi="华文细黑"/>
      <w:kern w:val="0"/>
      <w:szCs w:val="20"/>
    </w:rPr>
  </w:style>
  <w:style w:type="paragraph" w:customStyle="1" w:styleId="214">
    <w:name w:val="列出段落1"/>
    <w:basedOn w:val="1"/>
    <w:qFormat/>
    <w:uiPriority w:val="0"/>
    <w:pPr>
      <w:spacing w:beforeLines="50" w:after="156" w:line="240" w:lineRule="atLeast"/>
      <w:ind w:left="425"/>
    </w:pPr>
    <w:rPr>
      <w:rFonts w:eastAsia="仿宋_GB2312"/>
      <w:sz w:val="24"/>
    </w:rPr>
  </w:style>
  <w:style w:type="paragraph" w:customStyle="1" w:styleId="215">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216">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7">
    <w:name w:val="retrait3"/>
    <w:basedOn w:val="1"/>
    <w:qFormat/>
    <w:uiPriority w:val="0"/>
    <w:pPr>
      <w:spacing w:before="20" w:after="20"/>
      <w:ind w:left="851"/>
      <w:jc w:val="left"/>
    </w:pPr>
    <w:rPr>
      <w:rFonts w:ascii="Arial" w:hAnsi="Arial"/>
      <w:kern w:val="0"/>
      <w:sz w:val="24"/>
      <w:szCs w:val="20"/>
      <w:lang w:val="en-GB"/>
    </w:rPr>
  </w:style>
  <w:style w:type="paragraph" w:customStyle="1" w:styleId="218">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219">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0">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1">
    <w:name w:val="Table Paragraph"/>
    <w:basedOn w:val="1"/>
    <w:qFormat/>
    <w:uiPriority w:val="1"/>
    <w:pPr>
      <w:jc w:val="left"/>
    </w:pPr>
    <w:rPr>
      <w:rFonts w:ascii="Calibri" w:hAnsi="Calibri"/>
      <w:kern w:val="0"/>
      <w:sz w:val="22"/>
      <w:szCs w:val="22"/>
      <w:lang w:eastAsia="en-US"/>
    </w:rPr>
  </w:style>
  <w:style w:type="paragraph" w:customStyle="1" w:styleId="222">
    <w:name w:val="标题333"/>
    <w:basedOn w:val="1"/>
    <w:qFormat/>
    <w:uiPriority w:val="0"/>
    <w:rPr>
      <w:rFonts w:ascii="宋体" w:hAnsi="宋体" w:cs="宋体"/>
      <w:b/>
      <w:bCs/>
      <w:sz w:val="24"/>
      <w:szCs w:val="20"/>
    </w:rPr>
  </w:style>
  <w:style w:type="paragraph" w:customStyle="1" w:styleId="223">
    <w:name w:val="表格文字图表文字"/>
    <w:basedOn w:val="1"/>
    <w:qFormat/>
    <w:uiPriority w:val="0"/>
    <w:pPr>
      <w:snapToGrid w:val="0"/>
      <w:jc w:val="center"/>
    </w:pPr>
    <w:rPr>
      <w:rFonts w:cs="宋体"/>
      <w:szCs w:val="20"/>
    </w:rPr>
  </w:style>
  <w:style w:type="paragraph" w:customStyle="1" w:styleId="224">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25">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226">
    <w:name w:val="样式 宋体 小四 黑色 左 行距: 1.5 倍行距1"/>
    <w:basedOn w:val="1"/>
    <w:qFormat/>
    <w:uiPriority w:val="0"/>
    <w:pPr>
      <w:jc w:val="left"/>
    </w:pPr>
    <w:rPr>
      <w:rFonts w:ascii="宋体" w:hAnsi="宋体" w:cs="宋体"/>
      <w:color w:val="000000"/>
      <w:sz w:val="24"/>
      <w:szCs w:val="20"/>
    </w:rPr>
  </w:style>
  <w:style w:type="paragraph" w:customStyle="1" w:styleId="227">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28">
    <w:name w:val="USE 4"/>
    <w:basedOn w:val="1"/>
    <w:qFormat/>
    <w:uiPriority w:val="0"/>
    <w:pPr>
      <w:ind w:left="104" w:hanging="227"/>
      <w:jc w:val="left"/>
    </w:pPr>
    <w:rPr>
      <w:rFonts w:ascii="宋体" w:hAnsi="宋体"/>
      <w:sz w:val="24"/>
      <w:szCs w:val="20"/>
    </w:rPr>
  </w:style>
  <w:style w:type="paragraph" w:customStyle="1" w:styleId="229">
    <w:name w:val="Char Char Char Char Char Char Char Char Char Char Char Char1 Char"/>
    <w:basedOn w:val="16"/>
    <w:qFormat/>
    <w:uiPriority w:val="0"/>
    <w:pPr>
      <w:shd w:val="clear" w:color="auto" w:fill="000080"/>
    </w:pPr>
    <w:rPr>
      <w:rFonts w:ascii="Times New Roman"/>
      <w:sz w:val="21"/>
      <w:szCs w:val="20"/>
    </w:rPr>
  </w:style>
  <w:style w:type="paragraph" w:customStyle="1" w:styleId="230">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31">
    <w:name w:val="目录 91"/>
    <w:basedOn w:val="1"/>
    <w:next w:val="1"/>
    <w:qFormat/>
    <w:uiPriority w:val="39"/>
    <w:pPr>
      <w:ind w:left="3360" w:leftChars="1600"/>
    </w:pPr>
    <w:rPr>
      <w:rFonts w:ascii="Calibri" w:hAnsi="Calibri"/>
      <w:szCs w:val="22"/>
    </w:rPr>
  </w:style>
  <w:style w:type="paragraph" w:customStyle="1" w:styleId="232">
    <w:name w:val="retrait1"/>
    <w:basedOn w:val="1"/>
    <w:qFormat/>
    <w:uiPriority w:val="0"/>
    <w:pPr>
      <w:spacing w:before="20" w:after="20"/>
      <w:ind w:left="284"/>
      <w:jc w:val="left"/>
    </w:pPr>
    <w:rPr>
      <w:rFonts w:ascii="Arial" w:hAnsi="Arial"/>
      <w:kern w:val="0"/>
      <w:sz w:val="24"/>
      <w:szCs w:val="20"/>
      <w:lang w:val="en-GB"/>
    </w:rPr>
  </w:style>
  <w:style w:type="paragraph" w:customStyle="1" w:styleId="233">
    <w:name w:val="样式2"/>
    <w:basedOn w:val="33"/>
    <w:qFormat/>
    <w:uiPriority w:val="0"/>
    <w:pPr>
      <w:autoSpaceDE w:val="0"/>
      <w:autoSpaceDN w:val="0"/>
      <w:adjustRightInd w:val="0"/>
      <w:snapToGrid/>
      <w:textAlignment w:val="baseline"/>
    </w:pPr>
    <w:rPr>
      <w:rFonts w:ascii="宋体"/>
      <w:kern w:val="0"/>
      <w:szCs w:val="20"/>
    </w:rPr>
  </w:style>
  <w:style w:type="paragraph" w:customStyle="1" w:styleId="234">
    <w:name w:val="条文 4"/>
    <w:next w:val="1"/>
    <w:qFormat/>
    <w:uiPriority w:val="0"/>
    <w:pPr>
      <w:spacing w:after="160" w:line="310" w:lineRule="exact"/>
      <w:ind w:left="2520" w:hanging="420"/>
      <w:jc w:val="both"/>
    </w:pPr>
    <w:rPr>
      <w:rFonts w:ascii="Times New Roman" w:hAnsi="Times New Roman" w:eastAsia="黑体" w:cs="Times New Roman"/>
      <w:sz w:val="21"/>
      <w:lang w:val="en-US" w:eastAsia="zh-CN" w:bidi="ar-SA"/>
    </w:rPr>
  </w:style>
  <w:style w:type="paragraph" w:customStyle="1" w:styleId="235">
    <w:name w:val="Char2 Char Char Char"/>
    <w:basedOn w:val="1"/>
    <w:qFormat/>
    <w:uiPriority w:val="0"/>
    <w:pPr>
      <w:spacing w:line="240" w:lineRule="exact"/>
      <w:jc w:val="left"/>
    </w:pPr>
    <w:rPr>
      <w:rFonts w:ascii="Verdana" w:hAnsi="Verdana" w:eastAsia="仿宋_GB2312"/>
      <w:kern w:val="0"/>
      <w:sz w:val="24"/>
      <w:szCs w:val="20"/>
      <w:lang w:eastAsia="en-US"/>
    </w:rPr>
  </w:style>
  <w:style w:type="paragraph" w:customStyle="1" w:styleId="236">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237">
    <w:name w:val="font14"/>
    <w:basedOn w:val="1"/>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238">
    <w:name w:val="Report Level 1"/>
    <w:basedOn w:val="1"/>
    <w:next w:val="104"/>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239">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40">
    <w:name w:val="_Style 67"/>
    <w:basedOn w:val="1"/>
    <w:qFormat/>
    <w:uiPriority w:val="0"/>
    <w:pPr>
      <w:spacing w:line="240" w:lineRule="exact"/>
      <w:jc w:val="left"/>
    </w:pPr>
    <w:rPr>
      <w:rFonts w:ascii="楷体_GB2312" w:hAnsi="楷体_GB2312" w:eastAsia="仿宋_GB2312" w:cs="楷体_GB2312"/>
      <w:szCs w:val="20"/>
    </w:rPr>
  </w:style>
  <w:style w:type="paragraph" w:customStyle="1" w:styleId="241">
    <w:name w:val="font11"/>
    <w:basedOn w:val="1"/>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42">
    <w:name w:val="列表段落1"/>
    <w:basedOn w:val="1"/>
    <w:qFormat/>
    <w:uiPriority w:val="34"/>
  </w:style>
  <w:style w:type="paragraph" w:customStyle="1" w:styleId="243">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4">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45">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46">
    <w:name w:val="font7"/>
    <w:basedOn w:val="1"/>
    <w:qFormat/>
    <w:uiPriority w:val="0"/>
    <w:pPr>
      <w:spacing w:before="100" w:beforeAutospacing="1" w:after="100" w:afterAutospacing="1"/>
      <w:jc w:val="left"/>
    </w:pPr>
    <w:rPr>
      <w:kern w:val="0"/>
      <w:sz w:val="20"/>
      <w:szCs w:val="20"/>
    </w:rPr>
  </w:style>
  <w:style w:type="paragraph" w:customStyle="1" w:styleId="247">
    <w:name w:val="二级标题"/>
    <w:basedOn w:val="1"/>
    <w:qFormat/>
    <w:uiPriority w:val="0"/>
    <w:pPr>
      <w:tabs>
        <w:tab w:val="left" w:pos="-1341"/>
      </w:tabs>
      <w:ind w:left="2686" w:hanging="420"/>
      <w:outlineLvl w:val="1"/>
    </w:pPr>
    <w:rPr>
      <w:rFonts w:ascii="宋体" w:hAnsi="宋体"/>
      <w:sz w:val="24"/>
      <w:szCs w:val="20"/>
    </w:rPr>
  </w:style>
  <w:style w:type="paragraph" w:customStyle="1" w:styleId="248">
    <w:name w:val="xl59"/>
    <w:basedOn w:val="1"/>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49">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0">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51">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52">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53">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54">
    <w:name w:val="标题 11"/>
    <w:basedOn w:val="1"/>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55">
    <w:name w:val="标题2"/>
    <w:basedOn w:val="2"/>
    <w:qFormat/>
    <w:uiPriority w:val="0"/>
    <w:pPr>
      <w:spacing w:before="0" w:after="0" w:line="312" w:lineRule="auto"/>
      <w:jc w:val="center"/>
    </w:pPr>
    <w:rPr>
      <w:rFonts w:ascii="宋体"/>
      <w:bCs w:val="0"/>
      <w:sz w:val="30"/>
      <w:szCs w:val="20"/>
    </w:rPr>
  </w:style>
  <w:style w:type="paragraph" w:customStyle="1" w:styleId="256">
    <w:name w:val="P1"/>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257">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258">
    <w:name w:val="条文 5"/>
    <w:next w:val="1"/>
    <w:qFormat/>
    <w:uiPriority w:val="0"/>
    <w:pPr>
      <w:spacing w:after="160" w:line="310" w:lineRule="exact"/>
      <w:ind w:left="2940" w:hanging="420"/>
      <w:jc w:val="both"/>
    </w:pPr>
    <w:rPr>
      <w:rFonts w:ascii="Times New Roman" w:hAnsi="Times New Roman" w:eastAsia="黑体" w:cs="Times New Roman"/>
      <w:sz w:val="21"/>
      <w:lang w:val="en-US" w:eastAsia="zh-CN" w:bidi="ar-SA"/>
    </w:rPr>
  </w:style>
  <w:style w:type="paragraph" w:customStyle="1" w:styleId="259">
    <w:name w:val="xl95"/>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260">
    <w:name w:val="条文 1"/>
    <w:next w:val="1"/>
    <w:qFormat/>
    <w:uiPriority w:val="0"/>
    <w:pPr>
      <w:spacing w:after="160" w:line="310" w:lineRule="exact"/>
      <w:ind w:left="840" w:hanging="420"/>
      <w:jc w:val="both"/>
    </w:pPr>
    <w:rPr>
      <w:rFonts w:ascii="Times New Roman" w:hAnsi="Times New Roman" w:eastAsia="黑体" w:cs="Times New Roman"/>
      <w:sz w:val="21"/>
      <w:lang w:val="en-US" w:eastAsia="zh-CN" w:bidi="ar-SA"/>
    </w:rPr>
  </w:style>
  <w:style w:type="paragraph" w:customStyle="1" w:styleId="261">
    <w:name w:val="需求书2"/>
    <w:basedOn w:val="1"/>
    <w:qFormat/>
    <w:uiPriority w:val="0"/>
    <w:pPr>
      <w:spacing w:line="500" w:lineRule="exact"/>
      <w:ind w:left="735" w:hanging="735"/>
    </w:pPr>
    <w:rPr>
      <w:rFonts w:ascii="黑体" w:eastAsia="黑体"/>
      <w:szCs w:val="20"/>
    </w:rPr>
  </w:style>
  <w:style w:type="paragraph" w:customStyle="1" w:styleId="262">
    <w:name w:val="wuff32"/>
    <w:basedOn w:val="26"/>
    <w:qFormat/>
    <w:uiPriority w:val="0"/>
    <w:pPr>
      <w:jc w:val="center"/>
    </w:pPr>
    <w:rPr>
      <w:rFonts w:ascii="黑体" w:eastAsia="黑体"/>
      <w:sz w:val="24"/>
      <w:szCs w:val="20"/>
    </w:rPr>
  </w:style>
  <w:style w:type="paragraph" w:customStyle="1" w:styleId="263">
    <w:name w:val="font9"/>
    <w:basedOn w:val="1"/>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264">
    <w:name w:val="Char Char Char"/>
    <w:basedOn w:val="1"/>
    <w:qFormat/>
    <w:uiPriority w:val="0"/>
    <w:rPr>
      <w:rFonts w:ascii="仿宋_GB2312" w:eastAsia="仿宋_GB2312"/>
      <w:b/>
      <w:sz w:val="32"/>
      <w:szCs w:val="32"/>
    </w:rPr>
  </w:style>
  <w:style w:type="paragraph" w:customStyle="1" w:styleId="265">
    <w:name w:val="目录 31"/>
    <w:basedOn w:val="1"/>
    <w:next w:val="1"/>
    <w:qFormat/>
    <w:uiPriority w:val="39"/>
    <w:pPr>
      <w:ind w:left="840" w:leftChars="400"/>
    </w:pPr>
  </w:style>
  <w:style w:type="paragraph" w:customStyle="1" w:styleId="266">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67">
    <w:name w:val="样式 标题 2 + (西文) Times New Roman (中文) 仿宋_GB2312 居中 段前: 6 磅 段后:..."/>
    <w:basedOn w:val="3"/>
    <w:qFormat/>
    <w:uiPriority w:val="0"/>
    <w:pPr>
      <w:spacing w:before="120" w:after="120"/>
      <w:jc w:val="left"/>
    </w:pPr>
    <w:rPr>
      <w:rFonts w:ascii="Times New Roman" w:hAnsi="Times New Roman" w:eastAsia="仿宋_GB2312" w:cs="宋体"/>
      <w:szCs w:val="20"/>
    </w:rPr>
  </w:style>
  <w:style w:type="paragraph" w:customStyle="1" w:styleId="268">
    <w:name w:val="标题222"/>
    <w:basedOn w:val="1"/>
    <w:qFormat/>
    <w:uiPriority w:val="0"/>
    <w:rPr>
      <w:rFonts w:cs="宋体"/>
      <w:b/>
      <w:bCs/>
      <w:sz w:val="30"/>
      <w:szCs w:val="20"/>
    </w:rPr>
  </w:style>
  <w:style w:type="paragraph" w:customStyle="1" w:styleId="269">
    <w:name w:val="Char"/>
    <w:basedOn w:val="1"/>
    <w:qFormat/>
    <w:uiPriority w:val="0"/>
    <w:pPr>
      <w:tabs>
        <w:tab w:val="left" w:pos="360"/>
      </w:tabs>
    </w:pPr>
    <w:rPr>
      <w:sz w:val="24"/>
    </w:rPr>
  </w:style>
  <w:style w:type="paragraph" w:customStyle="1" w:styleId="270">
    <w:name w:val="一、"/>
    <w:next w:val="141"/>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71">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2">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3">
    <w:name w:val="xl53"/>
    <w:basedOn w:val="1"/>
    <w:qFormat/>
    <w:uiPriority w:val="0"/>
    <w:pPr>
      <w:spacing w:before="100" w:beforeAutospacing="1" w:after="100" w:afterAutospacing="1"/>
      <w:jc w:val="left"/>
    </w:pPr>
    <w:rPr>
      <w:rFonts w:hint="eastAsia" w:ascii="黑体" w:hAnsi="宋体" w:eastAsia="黑体"/>
      <w:kern w:val="0"/>
      <w:sz w:val="24"/>
    </w:rPr>
  </w:style>
  <w:style w:type="paragraph" w:customStyle="1" w:styleId="274">
    <w:name w:val="USE 2"/>
    <w:basedOn w:val="1"/>
    <w:qFormat/>
    <w:uiPriority w:val="0"/>
    <w:pPr>
      <w:ind w:left="4556" w:hanging="3836"/>
      <w:jc w:val="left"/>
    </w:pPr>
    <w:rPr>
      <w:rFonts w:ascii="宋体" w:hAnsi="宋体"/>
      <w:sz w:val="24"/>
      <w:szCs w:val="20"/>
    </w:rPr>
  </w:style>
  <w:style w:type="paragraph" w:customStyle="1" w:styleId="275">
    <w:name w:val="表格文字"/>
    <w:basedOn w:val="1"/>
    <w:qFormat/>
    <w:uiPriority w:val="0"/>
    <w:pPr>
      <w:adjustRightInd w:val="0"/>
      <w:spacing w:line="420" w:lineRule="atLeast"/>
      <w:jc w:val="left"/>
      <w:textAlignment w:val="baseline"/>
    </w:pPr>
    <w:rPr>
      <w:kern w:val="0"/>
      <w:szCs w:val="20"/>
    </w:rPr>
  </w:style>
  <w:style w:type="paragraph" w:customStyle="1" w:styleId="276">
    <w:name w:val="1."/>
    <w:basedOn w:val="1"/>
    <w:qFormat/>
    <w:uiPriority w:val="0"/>
    <w:pPr>
      <w:tabs>
        <w:tab w:val="left" w:pos="425"/>
      </w:tabs>
      <w:ind w:firstLine="482"/>
    </w:pPr>
    <w:rPr>
      <w:sz w:val="28"/>
      <w:szCs w:val="20"/>
    </w:rPr>
  </w:style>
  <w:style w:type="paragraph" w:customStyle="1" w:styleId="277">
    <w:name w:val="font8"/>
    <w:basedOn w:val="1"/>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27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279">
    <w:name w:val="Body text 1"/>
    <w:basedOn w:val="280"/>
    <w:qFormat/>
    <w:uiPriority w:val="0"/>
    <w:pPr>
      <w:tabs>
        <w:tab w:val="left" w:pos="1134"/>
      </w:tabs>
      <w:ind w:hanging="1134"/>
    </w:pPr>
  </w:style>
  <w:style w:type="paragraph" w:customStyle="1" w:styleId="280">
    <w:name w:val="正文文本1"/>
    <w:qFormat/>
    <w:uiPriority w:val="0"/>
    <w:pPr>
      <w:widowControl w:val="0"/>
      <w:autoSpaceDE w:val="0"/>
      <w:autoSpaceDN w:val="0"/>
      <w:adjustRightInd w:val="0"/>
      <w:spacing w:before="170" w:after="16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281">
    <w:name w:val="_Style 10"/>
    <w:basedOn w:val="1"/>
    <w:next w:val="1"/>
    <w:qFormat/>
    <w:uiPriority w:val="0"/>
  </w:style>
  <w:style w:type="paragraph" w:customStyle="1" w:styleId="282">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83">
    <w:name w:val="Char Char Char Char Char Char Char1"/>
    <w:basedOn w:val="1"/>
    <w:qFormat/>
    <w:uiPriority w:val="0"/>
    <w:pPr>
      <w:spacing w:line="240" w:lineRule="exact"/>
      <w:jc w:val="left"/>
    </w:pPr>
    <w:rPr>
      <w:rFonts w:ascii="Arial" w:hAnsi="Arial" w:eastAsia="Times New Roman" w:cs="Verdana"/>
      <w:b/>
      <w:kern w:val="0"/>
      <w:sz w:val="24"/>
      <w:lang w:eastAsia="en-US"/>
    </w:rPr>
  </w:style>
  <w:style w:type="paragraph" w:customStyle="1" w:styleId="284">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paragraph" w:customStyle="1" w:styleId="285">
    <w:name w:val="Char Char Char Char"/>
    <w:basedOn w:val="1"/>
    <w:qFormat/>
    <w:uiPriority w:val="0"/>
    <w:pPr>
      <w:tabs>
        <w:tab w:val="left" w:pos="360"/>
      </w:tabs>
    </w:pPr>
    <w:rPr>
      <w:sz w:val="24"/>
    </w:rPr>
  </w:style>
  <w:style w:type="paragraph" w:customStyle="1" w:styleId="286">
    <w:name w:val="标题3"/>
    <w:basedOn w:val="2"/>
    <w:qFormat/>
    <w:uiPriority w:val="0"/>
    <w:pPr>
      <w:spacing w:beforeLines="50" w:after="0" w:line="312" w:lineRule="auto"/>
      <w:jc w:val="center"/>
    </w:pPr>
    <w:rPr>
      <w:rFonts w:ascii="宋体"/>
      <w:bCs w:val="0"/>
      <w:sz w:val="24"/>
      <w:szCs w:val="20"/>
    </w:rPr>
  </w:style>
  <w:style w:type="paragraph" w:customStyle="1" w:styleId="287">
    <w:name w:val="cucd-TB"/>
    <w:qFormat/>
    <w:uiPriority w:val="0"/>
    <w:pPr>
      <w:spacing w:after="160" w:line="360" w:lineRule="auto"/>
      <w:ind w:firstLine="420"/>
      <w:jc w:val="center"/>
    </w:pPr>
    <w:rPr>
      <w:rFonts w:ascii="Times New Roman" w:hAnsi="Times New Roman" w:eastAsia="宋体" w:cs="Times New Roman"/>
      <w:kern w:val="2"/>
      <w:sz w:val="21"/>
      <w:szCs w:val="24"/>
      <w:lang w:val="en-US" w:eastAsia="zh-CN" w:bidi="ar-SA"/>
    </w:rPr>
  </w:style>
  <w:style w:type="paragraph" w:customStyle="1" w:styleId="288">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9">
    <w:name w:val="Char1"/>
    <w:basedOn w:val="1"/>
    <w:qFormat/>
    <w:uiPriority w:val="0"/>
    <w:rPr>
      <w:rFonts w:ascii="仿宋_GB2312" w:eastAsia="仿宋_GB2312"/>
      <w:b/>
      <w:sz w:val="32"/>
      <w:szCs w:val="32"/>
    </w:rPr>
  </w:style>
  <w:style w:type="paragraph" w:customStyle="1" w:styleId="290">
    <w:name w:val="xl8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91">
    <w:name w:val="样式 纯文本 + 居中 行距: 最小值 9 磅"/>
    <w:basedOn w:val="26"/>
    <w:qFormat/>
    <w:uiPriority w:val="0"/>
    <w:pPr>
      <w:spacing w:line="180" w:lineRule="atLeast"/>
      <w:jc w:val="left"/>
    </w:pPr>
    <w:rPr>
      <w:rFonts w:cs="宋体"/>
      <w:sz w:val="24"/>
      <w:szCs w:val="20"/>
    </w:rPr>
  </w:style>
  <w:style w:type="paragraph" w:customStyle="1" w:styleId="292">
    <w:name w:val="Char Char Char Char Char Char Char Char Char Char Char Char Char"/>
    <w:basedOn w:val="1"/>
    <w:qFormat/>
    <w:uiPriority w:val="0"/>
    <w:rPr>
      <w:rFonts w:ascii="仿宋_GB2312" w:eastAsia="仿宋_GB2312"/>
      <w:b/>
      <w:sz w:val="32"/>
      <w:szCs w:val="32"/>
    </w:rPr>
  </w:style>
  <w:style w:type="paragraph" w:customStyle="1" w:styleId="293">
    <w:name w:val="xl98"/>
    <w:basedOn w:val="1"/>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94">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95">
    <w:name w:val="Style 樣式 標題 3 + (中文) MS Gothic 10.5 點 + (Latin) Times New Roman (A..."/>
    <w:basedOn w:val="1"/>
    <w:qFormat/>
    <w:uiPriority w:val="0"/>
    <w:pPr>
      <w:keepNext/>
      <w:tabs>
        <w:tab w:val="left" w:pos="2098"/>
      </w:tabs>
      <w:ind w:left="1503" w:hanging="142"/>
      <w:outlineLvl w:val="2"/>
    </w:pPr>
    <w:rPr>
      <w:rFonts w:eastAsia="PMingLiU"/>
      <w:snapToGrid w:val="0"/>
      <w:sz w:val="24"/>
      <w:lang w:val="en-AU" w:eastAsia="zh-TW"/>
    </w:rPr>
  </w:style>
  <w:style w:type="paragraph" w:customStyle="1" w:styleId="296">
    <w:name w:val="tableau"/>
    <w:basedOn w:val="1"/>
    <w:qFormat/>
    <w:uiPriority w:val="0"/>
    <w:pPr>
      <w:spacing w:before="20" w:after="20"/>
      <w:jc w:val="center"/>
    </w:pPr>
    <w:rPr>
      <w:rFonts w:ascii="Arial" w:hAnsi="Arial"/>
      <w:kern w:val="0"/>
      <w:sz w:val="16"/>
      <w:szCs w:val="20"/>
      <w:lang w:val="en-GB"/>
    </w:rPr>
  </w:style>
  <w:style w:type="paragraph" w:customStyle="1" w:styleId="297">
    <w:name w:val="xl35"/>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98">
    <w:name w:val="Char Char Char Char2"/>
    <w:basedOn w:val="1"/>
    <w:qFormat/>
    <w:uiPriority w:val="0"/>
    <w:pPr>
      <w:tabs>
        <w:tab w:val="left" w:pos="1080"/>
      </w:tabs>
      <w:ind w:left="1078" w:leftChars="343" w:right="210" w:rightChars="100" w:hanging="358" w:hangingChars="149"/>
    </w:pPr>
    <w:rPr>
      <w:sz w:val="24"/>
      <w:szCs w:val="20"/>
    </w:rPr>
  </w:style>
  <w:style w:type="paragraph" w:customStyle="1" w:styleId="299">
    <w:name w:val="xl54"/>
    <w:basedOn w:val="1"/>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00">
    <w:name w:val="xl33"/>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301">
    <w:name w:val="样式 宋体 小四 黑色 左 行距: 1.5 倍行距"/>
    <w:basedOn w:val="1"/>
    <w:qFormat/>
    <w:uiPriority w:val="0"/>
    <w:pPr>
      <w:jc w:val="left"/>
    </w:pPr>
    <w:rPr>
      <w:rFonts w:ascii="宋体" w:hAnsi="宋体" w:cs="宋体"/>
      <w:color w:val="000000"/>
      <w:sz w:val="24"/>
      <w:szCs w:val="20"/>
    </w:rPr>
  </w:style>
  <w:style w:type="paragraph" w:customStyle="1" w:styleId="302">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03">
    <w:name w:val="xl64"/>
    <w:basedOn w:val="1"/>
    <w:qFormat/>
    <w:uiPriority w:val="0"/>
    <w:pPr>
      <w:spacing w:before="100" w:beforeAutospacing="1" w:after="100" w:afterAutospacing="1"/>
      <w:jc w:val="center"/>
      <w:textAlignment w:val="center"/>
    </w:pPr>
    <w:rPr>
      <w:rFonts w:ascii="宋体" w:hAnsi="宋体" w:cs="宋体"/>
      <w:kern w:val="0"/>
      <w:sz w:val="24"/>
    </w:rPr>
  </w:style>
  <w:style w:type="paragraph" w:customStyle="1" w:styleId="304">
    <w:name w:val="Tétière"/>
    <w:basedOn w:val="1"/>
    <w:qFormat/>
    <w:uiPriority w:val="0"/>
    <w:pPr>
      <w:spacing w:before="60" w:after="60"/>
      <w:jc w:val="center"/>
    </w:pPr>
    <w:rPr>
      <w:rFonts w:ascii="Arial" w:hAnsi="Arial"/>
      <w:b/>
      <w:kern w:val="0"/>
      <w:sz w:val="16"/>
      <w:szCs w:val="20"/>
      <w:lang w:val="en-GB"/>
    </w:rPr>
  </w:style>
  <w:style w:type="paragraph" w:customStyle="1" w:styleId="305">
    <w:name w:val="目录 81"/>
    <w:basedOn w:val="1"/>
    <w:next w:val="1"/>
    <w:qFormat/>
    <w:uiPriority w:val="39"/>
    <w:pPr>
      <w:ind w:left="2940" w:leftChars="1400"/>
    </w:pPr>
    <w:rPr>
      <w:rFonts w:ascii="Calibri" w:hAnsi="Calibri"/>
      <w:szCs w:val="22"/>
    </w:rPr>
  </w:style>
  <w:style w:type="paragraph" w:customStyle="1" w:styleId="306">
    <w:name w:val="样式1"/>
    <w:basedOn w:val="33"/>
    <w:qFormat/>
    <w:uiPriority w:val="0"/>
    <w:pPr>
      <w:autoSpaceDE w:val="0"/>
      <w:autoSpaceDN w:val="0"/>
      <w:adjustRightInd w:val="0"/>
      <w:snapToGrid/>
      <w:textAlignment w:val="baseline"/>
    </w:pPr>
    <w:rPr>
      <w:rFonts w:ascii="宋体"/>
      <w:kern w:val="0"/>
      <w:szCs w:val="20"/>
    </w:rPr>
  </w:style>
  <w:style w:type="paragraph" w:customStyle="1" w:styleId="307">
    <w:name w:val="Char Char Char Char Char Char Char Char Char Char"/>
    <w:basedOn w:val="1"/>
    <w:qFormat/>
    <w:uiPriority w:val="0"/>
    <w:rPr>
      <w:rFonts w:ascii="Tahoma" w:hAnsi="Tahoma" w:cs="仿宋_GB2312"/>
      <w:sz w:val="24"/>
      <w:szCs w:val="20"/>
    </w:rPr>
  </w:style>
  <w:style w:type="paragraph" w:customStyle="1" w:styleId="308">
    <w:name w:val="孙（1）"/>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309">
    <w:name w:val="Char4"/>
    <w:basedOn w:val="1"/>
    <w:qFormat/>
    <w:uiPriority w:val="0"/>
  </w:style>
  <w:style w:type="paragraph" w:customStyle="1" w:styleId="310">
    <w:name w:val="目录 41"/>
    <w:basedOn w:val="1"/>
    <w:next w:val="1"/>
    <w:qFormat/>
    <w:uiPriority w:val="39"/>
    <w:pPr>
      <w:ind w:left="1260" w:leftChars="600"/>
    </w:pPr>
    <w:rPr>
      <w:rFonts w:ascii="Calibri" w:hAnsi="Calibri"/>
      <w:szCs w:val="22"/>
    </w:rPr>
  </w:style>
  <w:style w:type="paragraph" w:customStyle="1" w:styleId="311">
    <w:name w:val="cucd-0"/>
    <w:qFormat/>
    <w:uiPriority w:val="0"/>
    <w:pPr>
      <w:spacing w:after="160"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312">
    <w:name w:val="xl61"/>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13">
    <w:name w:val="1.1"/>
    <w:basedOn w:val="3"/>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314">
    <w:name w:val="xl31"/>
    <w:basedOn w:val="1"/>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315">
    <w:name w:val="文件正文"/>
    <w:basedOn w:val="1"/>
    <w:qFormat/>
    <w:uiPriority w:val="0"/>
    <w:pPr>
      <w:ind w:firstLine="480"/>
    </w:pPr>
    <w:rPr>
      <w:rFonts w:eastAsia="仿宋_GB2312"/>
      <w:sz w:val="24"/>
      <w:szCs w:val="20"/>
    </w:rPr>
  </w:style>
  <w:style w:type="paragraph" w:customStyle="1" w:styleId="316">
    <w:name w:val="333"/>
    <w:basedOn w:val="1"/>
    <w:qFormat/>
    <w:uiPriority w:val="0"/>
    <w:pPr>
      <w:tabs>
        <w:tab w:val="left" w:pos="9083"/>
      </w:tabs>
      <w:wordWrap w:val="0"/>
      <w:spacing w:beforeLines="50" w:afterLines="50"/>
      <w:ind w:right="1106"/>
    </w:pPr>
    <w:rPr>
      <w:rFonts w:ascii="宋体" w:hAnsi="宋体" w:cs="宋体"/>
      <w:sz w:val="24"/>
    </w:rPr>
  </w:style>
  <w:style w:type="paragraph" w:customStyle="1" w:styleId="317">
    <w:name w:val="xl32"/>
    <w:basedOn w:val="1"/>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318">
    <w:name w:val="xl56"/>
    <w:basedOn w:val="1"/>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19">
    <w:name w:val="xl50"/>
    <w:basedOn w:val="1"/>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20">
    <w:name w:val="xl91"/>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21">
    <w:name w:val="通用专用"/>
    <w:basedOn w:val="1"/>
    <w:qFormat/>
    <w:uiPriority w:val="0"/>
    <w:pPr>
      <w:jc w:val="center"/>
    </w:pPr>
    <w:rPr>
      <w:rFonts w:ascii="宋体"/>
      <w:b/>
      <w:sz w:val="36"/>
      <w:szCs w:val="20"/>
    </w:rPr>
  </w:style>
  <w:style w:type="paragraph" w:customStyle="1" w:styleId="322">
    <w:name w:val="Char Char Char Char Char Char Char Char Char Char Char Char Char1"/>
    <w:basedOn w:val="1"/>
    <w:qFormat/>
    <w:uiPriority w:val="0"/>
    <w:rPr>
      <w:rFonts w:ascii="仿宋_GB2312" w:eastAsia="仿宋_GB2312"/>
      <w:b/>
      <w:sz w:val="32"/>
      <w:szCs w:val="32"/>
    </w:rPr>
  </w:style>
  <w:style w:type="paragraph" w:customStyle="1" w:styleId="323">
    <w:name w:val="xl34"/>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324">
    <w:name w:val="TOC 标题1"/>
    <w:basedOn w:val="2"/>
    <w:next w:val="1"/>
    <w:qFormat/>
    <w:uiPriority w:val="39"/>
    <w:pPr>
      <w:spacing w:before="480" w:after="0" w:line="276" w:lineRule="auto"/>
      <w:jc w:val="left"/>
      <w:outlineLvl w:val="9"/>
    </w:pPr>
    <w:rPr>
      <w:rFonts w:ascii="Cambria" w:hAnsi="Cambria"/>
      <w:color w:val="365F91"/>
      <w:kern w:val="0"/>
      <w:sz w:val="28"/>
      <w:szCs w:val="28"/>
    </w:rPr>
  </w:style>
  <w:style w:type="paragraph" w:customStyle="1" w:styleId="325">
    <w:name w:val="需求书用目录1"/>
    <w:basedOn w:val="1"/>
    <w:qFormat/>
    <w:uiPriority w:val="0"/>
    <w:pPr>
      <w:spacing w:before="360" w:after="40" w:line="500" w:lineRule="exact"/>
      <w:ind w:left="538" w:leftChars="256" w:firstLine="2803" w:firstLineChars="1000"/>
    </w:pPr>
    <w:rPr>
      <w:rFonts w:ascii="宋体"/>
      <w:b/>
      <w:sz w:val="28"/>
      <w:szCs w:val="20"/>
    </w:rPr>
  </w:style>
  <w:style w:type="paragraph" w:customStyle="1" w:styleId="326">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27">
    <w:name w:val="重点"/>
    <w:basedOn w:val="1"/>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328">
    <w:name w:val="目录 61"/>
    <w:basedOn w:val="1"/>
    <w:next w:val="1"/>
    <w:qFormat/>
    <w:uiPriority w:val="39"/>
    <w:pPr>
      <w:ind w:left="2100" w:leftChars="1000"/>
    </w:pPr>
    <w:rPr>
      <w:rFonts w:ascii="Calibri" w:hAnsi="Calibri"/>
      <w:szCs w:val="22"/>
    </w:rPr>
  </w:style>
  <w:style w:type="paragraph" w:customStyle="1" w:styleId="329">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0">
    <w:name w:val="xl93"/>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31">
    <w:name w:val="样式 样式 标题 3 + 仿宋_GB2312 小四 段前: 0 磅 段后: 0 磅 + 段前: 0.5 行"/>
    <w:basedOn w:val="332"/>
    <w:qFormat/>
    <w:uiPriority w:val="0"/>
    <w:pPr>
      <w:spacing w:afterLines="50"/>
      <w:jc w:val="both"/>
    </w:pPr>
    <w:rPr>
      <w:rFonts w:ascii="宋体" w:eastAsia="宋体"/>
      <w:b w:val="0"/>
    </w:rPr>
  </w:style>
  <w:style w:type="paragraph" w:customStyle="1" w:styleId="332">
    <w:name w:val="样式 标题 3 + 仿宋_GB2312 小四 段前: 0 磅 段后: 0 磅"/>
    <w:basedOn w:val="4"/>
    <w:qFormat/>
    <w:uiPriority w:val="0"/>
    <w:pPr>
      <w:spacing w:beforeLines="50" w:after="0" w:line="413" w:lineRule="auto"/>
      <w:jc w:val="center"/>
    </w:pPr>
    <w:rPr>
      <w:rFonts w:ascii="仿宋_GB2312" w:eastAsia="仿宋_GB2312" w:cs="宋体"/>
      <w:kern w:val="0"/>
      <w:szCs w:val="20"/>
    </w:rPr>
  </w:style>
  <w:style w:type="paragraph" w:customStyle="1" w:styleId="333">
    <w:name w:val="xl57"/>
    <w:basedOn w:val="1"/>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34">
    <w:name w:val="青岛正文"/>
    <w:basedOn w:val="1"/>
    <w:qFormat/>
    <w:uiPriority w:val="0"/>
    <w:rPr>
      <w:sz w:val="28"/>
    </w:rPr>
  </w:style>
  <w:style w:type="paragraph" w:customStyle="1" w:styleId="335">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336">
    <w:name w:val="样式 标题 3 + (中文) 黑体 小四 非加粗 段前: 7.8 磅 段后: 0 磅 行距: 固定值 20 磅"/>
    <w:basedOn w:val="4"/>
    <w:qFormat/>
    <w:uiPriority w:val="0"/>
    <w:pPr>
      <w:spacing w:before="0" w:after="0" w:line="400" w:lineRule="exact"/>
    </w:pPr>
    <w:rPr>
      <w:rFonts w:eastAsia="黑体" w:cs="宋体"/>
      <w:b w:val="0"/>
      <w:bCs w:val="0"/>
      <w:szCs w:val="20"/>
    </w:rPr>
  </w:style>
  <w:style w:type="paragraph" w:customStyle="1" w:styleId="337">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38">
    <w:name w:val="font12"/>
    <w:basedOn w:val="1"/>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339">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0">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1">
    <w:name w:val="Report Level 2"/>
    <w:basedOn w:val="238"/>
    <w:next w:val="104"/>
    <w:qFormat/>
    <w:uiPriority w:val="0"/>
    <w:pPr>
      <w:ind w:left="0" w:firstLine="0"/>
      <w:outlineLvl w:val="1"/>
    </w:pPr>
    <w:rPr>
      <w:caps w:val="0"/>
    </w:rPr>
  </w:style>
  <w:style w:type="paragraph" w:styleId="342">
    <w:name w:val="List Paragraph"/>
    <w:basedOn w:val="1"/>
    <w:qFormat/>
    <w:uiPriority w:val="34"/>
    <w:pPr>
      <w:ind w:firstLine="420"/>
    </w:pPr>
  </w:style>
  <w:style w:type="paragraph" w:customStyle="1" w:styleId="343">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344">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5">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6">
    <w:name w:val="样式 宋体 小四 首行缩进:  0.93 厘米 段前: 11.15 磅 段后: 11.15 磅1"/>
    <w:basedOn w:val="196"/>
    <w:next w:val="196"/>
    <w:qFormat/>
    <w:uiPriority w:val="99"/>
    <w:rPr>
      <w:rFonts w:ascii="宋体"/>
      <w:color w:val="auto"/>
    </w:rPr>
  </w:style>
  <w:style w:type="paragraph" w:customStyle="1" w:styleId="347">
    <w:name w:val="纯文本1"/>
    <w:basedOn w:val="1"/>
    <w:qFormat/>
    <w:uiPriority w:val="0"/>
    <w:rPr>
      <w:rFonts w:ascii="宋体" w:hAnsi="Courier New" w:cs="Courier New"/>
      <w:szCs w:val="21"/>
    </w:rPr>
  </w:style>
  <w:style w:type="paragraph" w:customStyle="1" w:styleId="348">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49">
    <w:name w:val="目录 21"/>
    <w:basedOn w:val="1"/>
    <w:next w:val="1"/>
    <w:qFormat/>
    <w:uiPriority w:val="39"/>
    <w:pPr>
      <w:tabs>
        <w:tab w:val="right" w:leader="dot" w:pos="8295"/>
      </w:tabs>
      <w:ind w:left="205" w:leftChars="205"/>
    </w:pPr>
  </w:style>
  <w:style w:type="paragraph" w:customStyle="1" w:styleId="350">
    <w:name w:val="1册标题1"/>
    <w:basedOn w:val="1"/>
    <w:next w:val="1"/>
    <w:qFormat/>
    <w:uiPriority w:val="0"/>
    <w:pPr>
      <w:spacing w:beforeLines="50" w:afterLines="50" w:line="300" w:lineRule="auto"/>
      <w:jc w:val="center"/>
      <w:outlineLvl w:val="0"/>
    </w:pPr>
    <w:rPr>
      <w:rFonts w:ascii="Arial" w:hAnsi="Arial" w:eastAsia="黑体"/>
      <w:b/>
      <w:bCs/>
      <w:sz w:val="48"/>
      <w:szCs w:val="20"/>
    </w:rPr>
  </w:style>
  <w:style w:type="paragraph" w:customStyle="1" w:styleId="351">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52">
    <w:name w:val="青岛标题4"/>
    <w:basedOn w:val="5"/>
    <w:qFormat/>
    <w:uiPriority w:val="0"/>
    <w:pPr>
      <w:spacing w:line="500" w:lineRule="atLeast"/>
      <w:jc w:val="left"/>
      <w:outlineLvl w:val="2"/>
    </w:pPr>
    <w:rPr>
      <w:rFonts w:eastAsia="宋体"/>
      <w:sz w:val="30"/>
    </w:rPr>
  </w:style>
  <w:style w:type="paragraph" w:customStyle="1" w:styleId="353">
    <w:name w:val="样式3"/>
    <w:basedOn w:val="33"/>
    <w:qFormat/>
    <w:uiPriority w:val="0"/>
    <w:pPr>
      <w:autoSpaceDE w:val="0"/>
      <w:autoSpaceDN w:val="0"/>
      <w:adjustRightInd w:val="0"/>
      <w:snapToGrid/>
      <w:textAlignment w:val="baseline"/>
    </w:pPr>
    <w:rPr>
      <w:rFonts w:ascii="宋体"/>
      <w:kern w:val="0"/>
      <w:szCs w:val="20"/>
    </w:rPr>
  </w:style>
  <w:style w:type="paragraph" w:customStyle="1" w:styleId="354">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355">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56">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57">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358">
    <w:name w:val="font13"/>
    <w:basedOn w:val="1"/>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359">
    <w:name w:val="样式 (西文) 宋体 行距: 1.5 倍行距"/>
    <w:basedOn w:val="1"/>
    <w:qFormat/>
    <w:uiPriority w:val="0"/>
    <w:rPr>
      <w:rFonts w:ascii="宋体" w:hAnsi="宋体" w:cs="宋体"/>
      <w:szCs w:val="20"/>
    </w:rPr>
  </w:style>
  <w:style w:type="paragraph" w:customStyle="1" w:styleId="360">
    <w:name w:val="Retrait 1"/>
    <w:basedOn w:val="14"/>
    <w:qFormat/>
    <w:uiPriority w:val="0"/>
    <w:pPr>
      <w:spacing w:after="240"/>
      <w:ind w:left="1134" w:firstLine="0" w:firstLineChars="0"/>
      <w:jc w:val="left"/>
    </w:pPr>
    <w:rPr>
      <w:rFonts w:ascii="Palatino" w:hAnsi="Palatino"/>
      <w:kern w:val="0"/>
      <w:sz w:val="24"/>
      <w:szCs w:val="20"/>
      <w:lang w:val="en-GB"/>
    </w:rPr>
  </w:style>
  <w:style w:type="paragraph" w:customStyle="1" w:styleId="361">
    <w:name w:val="Report Level 3"/>
    <w:basedOn w:val="238"/>
    <w:next w:val="104"/>
    <w:qFormat/>
    <w:uiPriority w:val="0"/>
    <w:pPr>
      <w:tabs>
        <w:tab w:val="clear" w:pos="1080"/>
      </w:tabs>
      <w:ind w:left="0" w:firstLine="0"/>
      <w:jc w:val="both"/>
      <w:outlineLvl w:val="2"/>
    </w:pPr>
    <w:rPr>
      <w:b w:val="0"/>
      <w:caps w:val="0"/>
      <w:sz w:val="22"/>
    </w:rPr>
  </w:style>
  <w:style w:type="paragraph" w:customStyle="1" w:styleId="362">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363">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4">
    <w:name w:val="xl47"/>
    <w:basedOn w:val="1"/>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365">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66">
    <w:name w:val="Char Char Char Char Char Char Char Char Char Char Char Char"/>
    <w:basedOn w:val="1"/>
    <w:qFormat/>
    <w:uiPriority w:val="0"/>
    <w:rPr>
      <w:rFonts w:ascii="Tahoma" w:hAnsi="Tahoma"/>
      <w:sz w:val="24"/>
      <w:szCs w:val="20"/>
    </w:rPr>
  </w:style>
  <w:style w:type="paragraph" w:customStyle="1" w:styleId="367">
    <w:name w:val="标题 41"/>
    <w:basedOn w:val="1"/>
    <w:qFormat/>
    <w:uiPriority w:val="1"/>
    <w:pPr>
      <w:ind w:left="522"/>
      <w:jc w:val="left"/>
      <w:outlineLvl w:val="4"/>
    </w:pPr>
    <w:rPr>
      <w:rFonts w:eastAsia="Times New Roman"/>
      <w:b/>
      <w:bCs/>
      <w:kern w:val="0"/>
      <w:szCs w:val="21"/>
      <w:lang w:eastAsia="en-US"/>
    </w:rPr>
  </w:style>
  <w:style w:type="paragraph" w:customStyle="1" w:styleId="368">
    <w:name w:val="CM226"/>
    <w:basedOn w:val="1"/>
    <w:next w:val="1"/>
    <w:qFormat/>
    <w:uiPriority w:val="0"/>
    <w:pPr>
      <w:autoSpaceDE w:val="0"/>
      <w:autoSpaceDN w:val="0"/>
      <w:adjustRightInd w:val="0"/>
      <w:spacing w:after="2445"/>
      <w:jc w:val="left"/>
    </w:pPr>
    <w:rPr>
      <w:rFonts w:ascii="宋体"/>
      <w:kern w:val="0"/>
      <w:sz w:val="24"/>
    </w:rPr>
  </w:style>
  <w:style w:type="paragraph" w:customStyle="1" w:styleId="369">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70">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371">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72">
    <w:name w:val="合同书"/>
    <w:basedOn w:val="1"/>
    <w:qFormat/>
    <w:uiPriority w:val="0"/>
    <w:pPr>
      <w:jc w:val="center"/>
    </w:pPr>
    <w:rPr>
      <w:b/>
      <w:sz w:val="36"/>
      <w:szCs w:val="20"/>
    </w:rPr>
  </w:style>
  <w:style w:type="paragraph" w:customStyle="1" w:styleId="373">
    <w:name w:val="修订1"/>
    <w:qFormat/>
    <w:uiPriority w:val="99"/>
    <w:pPr>
      <w:spacing w:after="160"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374">
    <w:name w:val="条文 0"/>
    <w:next w:val="1"/>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375">
    <w:name w:val="条文 3"/>
    <w:next w:val="1"/>
    <w:qFormat/>
    <w:uiPriority w:val="0"/>
    <w:pPr>
      <w:spacing w:after="160" w:line="310" w:lineRule="exact"/>
      <w:ind w:left="1680" w:hanging="420"/>
      <w:jc w:val="both"/>
    </w:pPr>
    <w:rPr>
      <w:rFonts w:ascii="Times New Roman" w:hAnsi="Times New Roman" w:eastAsia="黑体" w:cs="Times New Roman"/>
      <w:sz w:val="21"/>
      <w:lang w:val="en-US" w:eastAsia="zh-CN" w:bidi="ar-SA"/>
    </w:rPr>
  </w:style>
  <w:style w:type="paragraph" w:customStyle="1" w:styleId="376">
    <w:name w:val="Char Char Char Char Char1 Char"/>
    <w:basedOn w:val="1"/>
    <w:qFormat/>
    <w:uiPriority w:val="0"/>
    <w:pPr>
      <w:adjustRightInd w:val="0"/>
    </w:pPr>
    <w:rPr>
      <w:rFonts w:eastAsia="黑体"/>
      <w:spacing w:val="20"/>
      <w:sz w:val="32"/>
      <w:szCs w:val="32"/>
    </w:rPr>
  </w:style>
  <w:style w:type="paragraph" w:customStyle="1" w:styleId="377">
    <w:name w:val="批注主题 Char Char"/>
    <w:basedOn w:val="18"/>
    <w:next w:val="18"/>
    <w:qFormat/>
    <w:uiPriority w:val="0"/>
    <w:rPr>
      <w:b/>
      <w:szCs w:val="20"/>
    </w:rPr>
  </w:style>
  <w:style w:type="paragraph" w:customStyle="1" w:styleId="378">
    <w:name w:val="正文段"/>
    <w:basedOn w:val="1"/>
    <w:qFormat/>
    <w:uiPriority w:val="0"/>
    <w:pPr>
      <w:snapToGrid w:val="0"/>
      <w:spacing w:afterLines="50"/>
    </w:pPr>
    <w:rPr>
      <w:kern w:val="0"/>
      <w:sz w:val="24"/>
      <w:szCs w:val="20"/>
    </w:rPr>
  </w:style>
  <w:style w:type="paragraph" w:customStyle="1" w:styleId="379">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380">
    <w:name w:val="条文 表"/>
    <w:next w:val="1"/>
    <w:qFormat/>
    <w:uiPriority w:val="0"/>
    <w:pPr>
      <w:spacing w:after="160" w:line="360" w:lineRule="auto"/>
      <w:ind w:left="3360" w:hanging="420"/>
      <w:jc w:val="center"/>
    </w:pPr>
    <w:rPr>
      <w:rFonts w:ascii="Times New Roman" w:hAnsi="Times New Roman" w:eastAsia="黑体" w:cs="Times New Roman"/>
      <w:sz w:val="21"/>
      <w:lang w:val="en-US" w:eastAsia="zh-CN" w:bidi="ar-SA"/>
    </w:rPr>
  </w:style>
  <w:style w:type="paragraph" w:customStyle="1" w:styleId="381">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82">
    <w:name w:val="目录 71"/>
    <w:basedOn w:val="1"/>
    <w:next w:val="1"/>
    <w:qFormat/>
    <w:uiPriority w:val="39"/>
    <w:pPr>
      <w:ind w:left="2520" w:leftChars="1200"/>
    </w:pPr>
    <w:rPr>
      <w:rFonts w:ascii="Calibri" w:hAnsi="Calibri"/>
      <w:szCs w:val="22"/>
    </w:rPr>
  </w:style>
  <w:style w:type="paragraph" w:customStyle="1" w:styleId="383">
    <w:name w:val="TOC 标题2"/>
    <w:basedOn w:val="2"/>
    <w:next w:val="1"/>
    <w:qFormat/>
    <w:uiPriority w:val="39"/>
    <w:pPr>
      <w:spacing w:before="240" w:after="0" w:line="259" w:lineRule="auto"/>
      <w:ind w:firstLine="0" w:firstLineChars="0"/>
      <w:jc w:val="left"/>
      <w:outlineLvl w:val="9"/>
    </w:pPr>
    <w:rPr>
      <w:rFonts w:ascii="Calibri Light" w:hAnsi="Calibri Light"/>
      <w:b w:val="0"/>
      <w:bCs w:val="0"/>
      <w:color w:val="2E74B5"/>
      <w:kern w:val="0"/>
      <w:sz w:val="32"/>
      <w:szCs w:val="32"/>
    </w:rPr>
  </w:style>
  <w:style w:type="paragraph" w:customStyle="1" w:styleId="384">
    <w:name w:val="青岛标题3"/>
    <w:basedOn w:val="4"/>
    <w:qFormat/>
    <w:uiPriority w:val="0"/>
    <w:pPr>
      <w:spacing w:line="500" w:lineRule="exact"/>
      <w:jc w:val="left"/>
      <w:outlineLvl w:val="1"/>
    </w:pPr>
  </w:style>
  <w:style w:type="paragraph" w:customStyle="1" w:styleId="385">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386">
    <w:name w:val="样式5"/>
    <w:basedOn w:val="1"/>
    <w:qFormat/>
    <w:uiPriority w:val="0"/>
    <w:pPr>
      <w:tabs>
        <w:tab w:val="left" w:pos="547"/>
        <w:tab w:val="left" w:pos="1080"/>
      </w:tabs>
      <w:spacing w:line="480" w:lineRule="atLeast"/>
      <w:jc w:val="center"/>
    </w:pPr>
    <w:rPr>
      <w:b/>
      <w:sz w:val="24"/>
    </w:rPr>
  </w:style>
  <w:style w:type="paragraph" w:customStyle="1" w:styleId="387">
    <w:name w:val="字元 字元 Char Char Char Char Char Char Char"/>
    <w:basedOn w:val="1"/>
    <w:qFormat/>
    <w:uiPriority w:val="0"/>
    <w:rPr>
      <w:rFonts w:ascii="Tahoma" w:hAnsi="Tahoma" w:cs="仿宋_GB2312"/>
      <w:sz w:val="24"/>
      <w:szCs w:val="20"/>
    </w:rPr>
  </w:style>
  <w:style w:type="paragraph" w:customStyle="1" w:styleId="388">
    <w:name w:val="样式 表格 + 加粗"/>
    <w:basedOn w:val="101"/>
    <w:qFormat/>
    <w:uiPriority w:val="0"/>
    <w:rPr>
      <w:b/>
      <w:bCs/>
    </w:rPr>
  </w:style>
  <w:style w:type="paragraph" w:customStyle="1" w:styleId="389">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table" w:customStyle="1" w:styleId="390">
    <w:name w:val="Table Normal"/>
    <w:unhideWhenUsed/>
    <w:qFormat/>
    <w:uiPriority w:val="2"/>
    <w:pPr>
      <w:widowControl w:val="0"/>
      <w:spacing w:line="360" w:lineRule="auto"/>
      <w:ind w:firstLine="420"/>
      <w:jc w:val="both"/>
    </w:pPr>
    <w:rPr>
      <w:rFonts w:ascii="Calibri" w:hAnsi="Calibri"/>
      <w:sz w:val="22"/>
      <w:lang w:eastAsia="en-US"/>
    </w:rPr>
    <w:tblPr>
      <w:tblCellMar>
        <w:top w:w="0" w:type="dxa"/>
        <w:left w:w="0" w:type="dxa"/>
        <w:bottom w:w="0" w:type="dxa"/>
        <w:right w:w="0" w:type="dxa"/>
      </w:tblCellMar>
    </w:tblPr>
  </w:style>
  <w:style w:type="paragraph" w:customStyle="1" w:styleId="391">
    <w:name w:val="WPSOffice手动目录 1"/>
    <w:qFormat/>
    <w:uiPriority w:val="0"/>
    <w:pPr>
      <w:spacing w:after="160" w:line="278" w:lineRule="auto"/>
    </w:pPr>
    <w:rPr>
      <w:rFonts w:ascii="Times New Roman" w:hAnsi="Times New Roman" w:eastAsia="宋体" w:cs="Times New Roman"/>
      <w:lang w:val="en-US" w:eastAsia="zh-CN" w:bidi="ar-SA"/>
    </w:rPr>
  </w:style>
  <w:style w:type="paragraph" w:customStyle="1" w:styleId="392">
    <w:name w:val="WPSOffice手动目录 2"/>
    <w:qFormat/>
    <w:uiPriority w:val="0"/>
    <w:pPr>
      <w:spacing w:after="160" w:line="278" w:lineRule="auto"/>
      <w:ind w:left="200" w:leftChars="200"/>
    </w:pPr>
    <w:rPr>
      <w:rFonts w:ascii="Times New Roman" w:hAnsi="Times New Roman" w:eastAsia="宋体" w:cs="Times New Roman"/>
      <w:lang w:val="en-US" w:eastAsia="zh-CN" w:bidi="ar-SA"/>
    </w:rPr>
  </w:style>
  <w:style w:type="character" w:customStyle="1" w:styleId="393">
    <w:name w:val="font51"/>
    <w:qFormat/>
    <w:uiPriority w:val="0"/>
    <w:rPr>
      <w:rFonts w:hint="default" w:ascii="Calibri" w:hAnsi="Calibri" w:cs="Calibri"/>
      <w:color w:val="000000"/>
      <w:sz w:val="21"/>
      <w:szCs w:val="21"/>
      <w:u w:val="none"/>
    </w:rPr>
  </w:style>
  <w:style w:type="character" w:customStyle="1" w:styleId="394">
    <w:name w:val="font21"/>
    <w:basedOn w:val="52"/>
    <w:qFormat/>
    <w:uiPriority w:val="0"/>
    <w:rPr>
      <w:rFonts w:hint="eastAsia" w:ascii="宋体" w:hAnsi="宋体" w:eastAsia="宋体"/>
      <w:color w:val="000000"/>
      <w:sz w:val="22"/>
      <w:szCs w:val="22"/>
      <w:u w:val="none"/>
    </w:rPr>
  </w:style>
  <w:style w:type="character" w:customStyle="1" w:styleId="395">
    <w:name w:val="font41"/>
    <w:basedOn w:val="52"/>
    <w:qFormat/>
    <w:uiPriority w:val="0"/>
    <w:rPr>
      <w:rFonts w:hint="eastAsia" w:ascii="等线" w:hAnsi="等线" w:eastAsia="等线"/>
      <w:color w:val="FF0000"/>
      <w:sz w:val="20"/>
      <w:szCs w:val="20"/>
      <w:u w:val="none"/>
    </w:rPr>
  </w:style>
  <w:style w:type="paragraph" w:customStyle="1" w:styleId="396">
    <w:name w:val="修订2"/>
    <w:hidden/>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397">
    <w:name w:val="未处理的提及11"/>
    <w:unhideWhenUsed/>
    <w:qFormat/>
    <w:uiPriority w:val="99"/>
    <w:rPr>
      <w:color w:val="605E5C"/>
      <w:shd w:val="clear" w:color="auto" w:fill="E1DFDD"/>
    </w:rPr>
  </w:style>
  <w:style w:type="paragraph" w:customStyle="1" w:styleId="398">
    <w:name w:val="TOC 标题21"/>
    <w:basedOn w:val="2"/>
    <w:next w:val="1"/>
    <w:qFormat/>
    <w:uiPriority w:val="39"/>
    <w:pPr>
      <w:spacing w:before="240" w:after="0" w:line="259" w:lineRule="auto"/>
      <w:ind w:firstLine="0" w:firstLineChars="0"/>
      <w:jc w:val="left"/>
      <w:outlineLvl w:val="9"/>
    </w:pPr>
    <w:rPr>
      <w:rFonts w:ascii="Calibri Light" w:hAnsi="Calibri Light"/>
      <w:b w:val="0"/>
      <w:bCs w:val="0"/>
      <w:color w:val="2E74B5"/>
      <w:kern w:val="0"/>
      <w:sz w:val="32"/>
      <w:szCs w:val="32"/>
    </w:rPr>
  </w:style>
  <w:style w:type="paragraph" w:customStyle="1" w:styleId="399">
    <w:name w:val="修订2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400">
    <w:name w:val="font31"/>
    <w:basedOn w:val="52"/>
    <w:qFormat/>
    <w:uiPriority w:val="0"/>
    <w:rPr>
      <w:rFonts w:hint="eastAsia" w:ascii="宋体" w:hAnsi="宋体" w:eastAsia="宋体" w:cs="宋体"/>
      <w:color w:val="000000"/>
      <w:sz w:val="20"/>
      <w:szCs w:val="20"/>
      <w:u w:val="none"/>
    </w:rPr>
  </w:style>
  <w:style w:type="paragraph" w:customStyle="1" w:styleId="401">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402">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403">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404">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405">
    <w:name w:val="样式 标题 1 + 宋体 五号 非加粗"/>
    <w:basedOn w:val="2"/>
    <w:link w:val="406"/>
    <w:qFormat/>
    <w:uiPriority w:val="0"/>
    <w:rPr>
      <w:rFonts w:ascii="宋体" w:hAnsi="宋体"/>
      <w:bCs w:val="0"/>
      <w:kern w:val="0"/>
      <w:sz w:val="21"/>
    </w:rPr>
  </w:style>
  <w:style w:type="character" w:customStyle="1" w:styleId="406">
    <w:name w:val="样式 标题 1 + 宋体 五号 非加粗 Char"/>
    <w:link w:val="405"/>
    <w:qFormat/>
    <w:uiPriority w:val="0"/>
    <w:rPr>
      <w:rFonts w:ascii="宋体" w:hAnsi="宋体"/>
      <w:b/>
      <w:sz w:val="21"/>
      <w:szCs w:val="44"/>
    </w:rPr>
  </w:style>
  <w:style w:type="paragraph" w:customStyle="1" w:styleId="407">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FA24FF-ADC1-478E-A6C8-743FAE1BE30E}">
  <ds:schemaRefs/>
</ds:datastoreItem>
</file>

<file path=docProps/app.xml><?xml version="1.0" encoding="utf-8"?>
<Properties xmlns="http://schemas.openxmlformats.org/officeDocument/2006/extended-properties" xmlns:vt="http://schemas.openxmlformats.org/officeDocument/2006/docPropsVTypes">
  <Template>Normal</Template>
  <Company>Huawei Technologies Co., Ltd.</Company>
  <Pages>14</Pages>
  <Words>2423</Words>
  <Characters>13817</Characters>
  <Lines>115</Lines>
  <Paragraphs>32</Paragraphs>
  <TotalTime>86</TotalTime>
  <ScaleCrop>false</ScaleCrop>
  <LinksUpToDate>false</LinksUpToDate>
  <CharactersWithSpaces>16208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2026-07-20T03:45:00Z</dcterms:created>
  <dc:creator>刘博</dc:creator>
  <cp:lastModifiedBy>實誠</cp:lastModifiedBy>
  <cp:lastPrinted>2026-07-21T21:14:00Z</cp:lastPrinted>
  <dcterms:modified xsi:type="dcterms:W3CDTF">2026-08-03T14:37:14Z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eyJoZGlkIjoiYjM0YjQxM2M5ZmZkMDBiZTEyYThiOGNiZDEzNDc1NmUiLCJ1c2VySWQiOiI0MDQ3NDY0NDgifQ==</vt:lpwstr>
  </property>
  <property fmtid="{D5CDD505-2E9C-101B-9397-08002B2CF9AE}" pid="3" name="KSOProductBuildVer">
    <vt:lpwstr>2052-12.1.2.25882</vt:lpwstr>
  </property>
  <property fmtid="{D5CDD505-2E9C-101B-9397-08002B2CF9AE}" pid="4" name="ICV">
    <vt:lpwstr>FCCE24633395D568D3076C6AB5726122</vt:lpwstr>
  </property>
</Properties>
</file>