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Theme="minorEastAsia" w:hAnsiTheme="minorEastAsia"/>
          <w:b/>
          <w:bCs/>
          <w:sz w:val="32"/>
          <w:szCs w:val="28"/>
        </w:rPr>
      </w:pPr>
      <w:r>
        <w:rPr>
          <w:rFonts w:asciiTheme="minorEastAsia" w:hAnsiTheme="minorEastAsia"/>
          <w:b/>
          <w:bCs/>
          <w:sz w:val="32"/>
          <w:szCs w:val="28"/>
        </w:rPr>
        <w:t>询价函回执</w:t>
      </w:r>
    </w:p>
    <w:p>
      <w:pPr>
        <w:spacing w:line="360" w:lineRule="auto"/>
        <w:jc w:val="center"/>
        <w:rPr>
          <w:rFonts w:hint="eastAsia" w:asciiTheme="minorEastAsia" w:hAnsiTheme="minorEastAsia"/>
          <w:b/>
          <w:bCs/>
          <w:sz w:val="24"/>
        </w:rPr>
      </w:pPr>
    </w:p>
    <w:p>
      <w:pPr>
        <w:spacing w:line="480" w:lineRule="auto"/>
        <w:rPr>
          <w:rFonts w:hint="eastAsia" w:asciiTheme="minorEastAsia" w:hAnsiTheme="minorEastAsia"/>
          <w:sz w:val="24"/>
          <w:u w:val="single"/>
        </w:rPr>
      </w:pPr>
      <w:r>
        <w:rPr>
          <w:rFonts w:hint="eastAsia" w:asciiTheme="minorEastAsia" w:hAnsiTheme="minorEastAsia"/>
          <w:sz w:val="24"/>
        </w:rPr>
        <w:t>回函单位名称：（盖章）</w:t>
      </w:r>
      <w:r>
        <w:rPr>
          <w:rFonts w:asciiTheme="minorEastAsia" w:hAnsiTheme="minorEastAsia"/>
          <w:sz w:val="24"/>
          <w:u w:val="single"/>
        </w:rPr>
        <w:t xml:space="preserve">                                                </w:t>
      </w:r>
    </w:p>
    <w:p>
      <w:pPr>
        <w:spacing w:line="480" w:lineRule="auto"/>
        <w:rPr>
          <w:rFonts w:hint="eastAsia" w:asciiTheme="minorEastAsia" w:hAnsiTheme="minorEastAsia"/>
          <w:sz w:val="24"/>
          <w:u w:val="single"/>
        </w:rPr>
      </w:pPr>
      <w:r>
        <w:rPr>
          <w:rFonts w:hint="eastAsia" w:asciiTheme="minorEastAsia" w:hAnsiTheme="minorEastAsia"/>
          <w:sz w:val="24"/>
        </w:rPr>
        <w:t>回函单位联系人：</w:t>
      </w:r>
      <w:r>
        <w:rPr>
          <w:rFonts w:asciiTheme="minorEastAsia" w:hAnsiTheme="minorEastAsia"/>
          <w:sz w:val="24"/>
          <w:u w:val="single"/>
        </w:rPr>
        <w:t xml:space="preserve">                                   </w:t>
      </w:r>
    </w:p>
    <w:p>
      <w:pPr>
        <w:spacing w:line="480" w:lineRule="auto"/>
        <w:rPr>
          <w:rFonts w:hint="eastAsia" w:asciiTheme="minorEastAsia" w:hAnsiTheme="minorEastAsia"/>
          <w:sz w:val="24"/>
          <w:u w:val="single"/>
        </w:rPr>
      </w:pPr>
      <w:r>
        <w:rPr>
          <w:rFonts w:hint="eastAsia" w:asciiTheme="minorEastAsia" w:hAnsiTheme="minorEastAsia"/>
          <w:sz w:val="24"/>
        </w:rPr>
        <w:t>联系电话及电子邮箱：</w:t>
      </w:r>
      <w:r>
        <w:rPr>
          <w:rFonts w:asciiTheme="minorEastAsia" w:hAnsiTheme="minorEastAsia"/>
          <w:sz w:val="24"/>
          <w:u w:val="single"/>
        </w:rPr>
        <w:t xml:space="preserve">                               </w:t>
      </w:r>
    </w:p>
    <w:p>
      <w:pPr>
        <w:spacing w:line="480" w:lineRule="auto"/>
        <w:rPr>
          <w:rFonts w:hint="eastAsia" w:asciiTheme="minorEastAsia" w:hAnsiTheme="minorEastAsia"/>
          <w:sz w:val="24"/>
          <w:u w:val="single"/>
        </w:rPr>
      </w:pPr>
      <w:r>
        <w:rPr>
          <w:rFonts w:hint="eastAsia" w:asciiTheme="minorEastAsia" w:hAnsiTheme="minorEastAsia"/>
          <w:sz w:val="24"/>
        </w:rPr>
        <w:t>是否意愿参与后期招标委托工作：</w:t>
      </w:r>
      <w:bookmarkStart w:id="0" w:name="_GoBack"/>
      <w:bookmarkEnd w:id="0"/>
      <w:r>
        <w:rPr>
          <w:rFonts w:hint="eastAsia" w:asciiTheme="minorEastAsia" w:hAnsiTheme="minorEastAsia"/>
          <w:sz w:val="24"/>
          <w:u w:val="single"/>
        </w:rPr>
        <w:t>是/否</w:t>
      </w:r>
    </w:p>
    <w:p>
      <w:pPr>
        <w:numPr>
          <w:ilvl w:val="0"/>
          <w:numId w:val="1"/>
        </w:numPr>
        <w:spacing w:line="480" w:lineRule="auto"/>
        <w:rPr>
          <w:rFonts w:hint="eastAsia" w:asciiTheme="minorEastAsia" w:hAnsiTheme="minorEastAsia"/>
          <w:b/>
          <w:bCs/>
          <w:sz w:val="24"/>
          <w:u w:val="single"/>
        </w:rPr>
      </w:pPr>
      <w:r>
        <w:rPr>
          <w:rFonts w:hint="eastAsia" w:asciiTheme="minorEastAsia" w:hAnsiTheme="minorEastAsia"/>
          <w:b/>
          <w:bCs/>
          <w:sz w:val="24"/>
        </w:rPr>
        <w:t>总报价：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2"/>
        <w:gridCol w:w="2126"/>
        <w:gridCol w:w="1993"/>
        <w:gridCol w:w="1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1809" w:type="pct"/>
            <w:tcBorders>
              <w:right w:val="single" w:color="auto" w:sz="2" w:space="0"/>
            </w:tcBorders>
            <w:shd w:val="clear" w:color="auto" w:fill="DAE3F4" w:themeFill="accent1" w:themeFillTint="3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项目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名称</w:t>
            </w:r>
          </w:p>
        </w:tc>
        <w:tc>
          <w:tcPr>
            <w:tcW w:w="1248" w:type="pct"/>
            <w:tcBorders>
              <w:left w:val="single" w:color="auto" w:sz="2" w:space="0"/>
              <w:right w:val="single" w:color="auto" w:sz="2" w:space="0"/>
            </w:tcBorders>
            <w:shd w:val="clear" w:color="auto" w:fill="DAE3F4" w:themeFill="accent1" w:themeFillTint="3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报价人名称</w:t>
            </w:r>
          </w:p>
        </w:tc>
        <w:tc>
          <w:tcPr>
            <w:tcW w:w="1170" w:type="pct"/>
            <w:tcBorders>
              <w:left w:val="single" w:color="auto" w:sz="2" w:space="0"/>
            </w:tcBorders>
            <w:shd w:val="clear" w:color="auto" w:fill="DAE3F4" w:themeFill="accent1" w:themeFillTint="3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总价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（人民币/元）</w:t>
            </w:r>
          </w:p>
        </w:tc>
        <w:tc>
          <w:tcPr>
            <w:tcW w:w="771" w:type="pct"/>
            <w:shd w:val="clear" w:color="auto" w:fill="DAE3F4" w:themeFill="accent1" w:themeFillTint="3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809" w:type="pct"/>
            <w:tcBorders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shd w:val="clear"/>
                <w:lang w:eastAsia="zh-CN"/>
              </w:rPr>
              <w:t>深圳（东部）人工智能产业公共服务平台四期</w:t>
            </w:r>
            <w:r>
              <w:rPr>
                <w:rFonts w:hint="eastAsia"/>
                <w:highlight w:val="none"/>
                <w:shd w:val="clear"/>
                <w:lang w:eastAsia="zh-CN"/>
              </w:rPr>
              <w:t>集成服务项目</w:t>
            </w:r>
          </w:p>
        </w:tc>
        <w:tc>
          <w:tcPr>
            <w:tcW w:w="1248" w:type="pct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70" w:type="pct"/>
            <w:tcBorders>
              <w:lef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1" w:type="pc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5000" w:type="pct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情况说明：（报价人在此填写需要说明的信息，包括但不限于设备的供货周期、项目款项的支付方式等认为有必要说明的情况。）</w:t>
            </w:r>
          </w:p>
          <w:p>
            <w:pPr>
              <w:autoSpaceDE w:val="0"/>
              <w:autoSpaceDN w:val="0"/>
              <w:adjustRightInd w:val="0"/>
              <w:snapToGrid w:val="0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hint="eastAsia" w:ascii="宋体" w:hAnsi="宋体" w:eastAsia="宋体" w:cs="宋体"/>
                <w:szCs w:val="21"/>
              </w:rPr>
            </w:pPr>
          </w:p>
        </w:tc>
      </w:tr>
    </w:tbl>
    <w:p>
      <w:pPr>
        <w:rPr>
          <w:rFonts w:hint="eastAsia" w:asciiTheme="minorEastAsia" w:hAnsiTheme="minorEastAsia"/>
          <w:b/>
          <w:bCs/>
          <w:sz w:val="24"/>
          <w:u w:val="single"/>
        </w:rPr>
      </w:pPr>
      <w:r>
        <w:rPr>
          <w:rFonts w:hint="eastAsia" w:asciiTheme="minorEastAsia" w:hAnsiTheme="minorEastAsia"/>
          <w:b/>
          <w:bCs/>
          <w:sz w:val="24"/>
          <w:u w:val="single"/>
        </w:rPr>
        <w:br w:type="page"/>
      </w:r>
    </w:p>
    <w:p>
      <w:pPr>
        <w:numPr>
          <w:ilvl w:val="0"/>
          <w:numId w:val="1"/>
        </w:numPr>
        <w:spacing w:line="480" w:lineRule="auto"/>
        <w:rPr>
          <w:rFonts w:hint="eastAsia" w:asciiTheme="minorEastAsia" w:hAnsiTheme="minorEastAsia"/>
          <w:b/>
          <w:sz w:val="24"/>
        </w:rPr>
      </w:pPr>
      <w:r>
        <w:rPr>
          <w:rFonts w:hint="eastAsia" w:asciiTheme="minorEastAsia" w:hAnsiTheme="minorEastAsia"/>
          <w:b/>
          <w:bCs/>
          <w:sz w:val="24"/>
        </w:rPr>
        <w:t>单项报价：</w:t>
      </w:r>
    </w:p>
    <w:p>
      <w:pPr>
        <w:spacing w:line="480" w:lineRule="auto"/>
        <w:jc w:val="center"/>
        <w:rPr>
          <w:rFonts w:hint="eastAsia" w:asciiTheme="minorEastAsia" w:hAnsiTheme="minorEastAsia"/>
          <w:b/>
          <w:sz w:val="24"/>
        </w:rPr>
      </w:pPr>
      <w:r>
        <w:rPr>
          <w:rFonts w:hint="eastAsia" w:asciiTheme="minorEastAsia" w:hAnsiTheme="minorEastAsia"/>
          <w:b/>
          <w:sz w:val="24"/>
        </w:rPr>
        <w:t>单价报价表</w:t>
      </w:r>
    </w:p>
    <w:tbl>
      <w:tblPr>
        <w:tblStyle w:val="4"/>
        <w:tblpPr w:leftFromText="180" w:rightFromText="180" w:vertAnchor="text" w:horzAnchor="page" w:tblpX="925" w:tblpY="806"/>
        <w:tblOverlap w:val="never"/>
        <w:tblW w:w="1057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1404"/>
        <w:gridCol w:w="4192"/>
        <w:gridCol w:w="709"/>
        <w:gridCol w:w="796"/>
        <w:gridCol w:w="1068"/>
        <w:gridCol w:w="727"/>
        <w:gridCol w:w="683"/>
        <w:gridCol w:w="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97" w:type="dxa"/>
            <w:tcBorders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404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货物/服务</w:t>
            </w:r>
          </w:p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4192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技术要求</w:t>
            </w:r>
          </w:p>
        </w:tc>
        <w:tc>
          <w:tcPr>
            <w:tcW w:w="709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数量</w:t>
            </w:r>
          </w:p>
        </w:tc>
        <w:tc>
          <w:tcPr>
            <w:tcW w:w="796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1068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品牌型号</w:t>
            </w:r>
          </w:p>
        </w:tc>
        <w:tc>
          <w:tcPr>
            <w:tcW w:w="727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（元，含税）</w:t>
            </w:r>
          </w:p>
        </w:tc>
        <w:tc>
          <w:tcPr>
            <w:tcW w:w="683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合价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（元，含税）</w:t>
            </w:r>
          </w:p>
        </w:tc>
        <w:tc>
          <w:tcPr>
            <w:tcW w:w="600" w:type="dxa"/>
            <w:tcBorders>
              <w:left w:val="nil"/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498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（一）服务器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</w:trPr>
        <w:tc>
          <w:tcPr>
            <w:tcW w:w="397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AI服务器</w:t>
            </w:r>
          </w:p>
        </w:tc>
        <w:tc>
          <w:tcPr>
            <w:tcW w:w="4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1、CPU：配置≥4*48核国产化ARM架构处理器，主频≥2.6GHz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2、内存：配置≥1152GB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3、硬盘：配置≥2*480GB SSD，2*7.68TB NVME SSD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4、端口：配置≥4*25GE，8*200GE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5、NPU：配置≥8*AI处理器（单颗AI处理器HBM≥64GB，FP16≥ 280TFLOPS）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6、RAID卡：配置≥1*2GB cache-RAID 0,1,5,6,10,50,60,支持超级电容和边带管理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7、电源：配置冗余电源≥4*2600W交流电源模块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8、服务：含三年维保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</w:trPr>
        <w:tc>
          <w:tcPr>
            <w:tcW w:w="397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大数据节点1</w:t>
            </w:r>
          </w:p>
        </w:tc>
        <w:tc>
          <w:tcPr>
            <w:tcW w:w="4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1、CPU：配置≥2*32核国产化ARM架构处理器，主频≥2.6GHz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2、内存：配置≥256GB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3、硬盘：配置≥2*480GB SSD，4*960GB SSD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4、端口：配置≥4*GE，4*10GE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5、RAID卡：配置≥1*RAID卡，支持RAID 0,1,5,6,10,50,60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6、电源：配置冗余电源≥2*900W交流电源模块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7、服务：含三年维保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</w:trPr>
        <w:tc>
          <w:tcPr>
            <w:tcW w:w="397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大数据节点2</w:t>
            </w:r>
          </w:p>
        </w:tc>
        <w:tc>
          <w:tcPr>
            <w:tcW w:w="4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1、CPU：配置≥2*32核国产化ARM架构处理器，主频≥2.6GHz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2、内存：配置≥256GB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3、硬盘：配置≥2*480GB SSD，12*8TB SATA盘；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4、端口：配置≥4*GE，4*10GE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5、RAID卡：配置≥1*RAID卡，支持RAID 0,1,5,6,10,50,60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6、电源：配置冗余电源≥2*900W交流电源模块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7、服务：含三年维保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1" w:hRule="atLeast"/>
        </w:trPr>
        <w:tc>
          <w:tcPr>
            <w:tcW w:w="397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大数据节点3</w:t>
            </w:r>
          </w:p>
        </w:tc>
        <w:tc>
          <w:tcPr>
            <w:tcW w:w="4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1、CPU：配置≥2*32核国产化ARM架构处理器，主频≥2.6GHz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2、内存：配置≥256GB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3、硬盘：配置≥2*480GB SSD，6*7.68TB SSD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4、端口：配置≥4*GE，4*10GE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5、RAID卡：配置≥1*RAID卡，支持RAID 0,1,5,6,10,50,60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6、电源：配置冗余电源≥2*900W交流电源模块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7、服务：含三年维保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</w:trPr>
        <w:tc>
          <w:tcPr>
            <w:tcW w:w="397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裸金属数据仓库网关节点</w:t>
            </w:r>
          </w:p>
        </w:tc>
        <w:tc>
          <w:tcPr>
            <w:tcW w:w="4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1、CPU：配置≥2*48核国产化ARM架构处理器，主频≥2.6GHz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2、内存：配置≥192GB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3、硬盘：配置≥2*480GB SSD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4、端口：配置≥4*GE，8*10GE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5、RAID卡：配置≥1*RAID卡，支持RAID 0,1,5,6,10,50,60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6、电源：配置冗余电源≥2*900W交流电源模块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7、服务：含三年维保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</w:trPr>
        <w:tc>
          <w:tcPr>
            <w:tcW w:w="397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数据仓库</w:t>
            </w:r>
          </w:p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节点</w:t>
            </w:r>
          </w:p>
        </w:tc>
        <w:tc>
          <w:tcPr>
            <w:tcW w:w="4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1、CPU：配置≥2*32核国产化ARM架构处理器，主频≥2.6GHz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2、内存：配置≥512GB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3、硬盘：配置≥2*960GB SSD，12*1.92TB SSD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4、端口：配置≥4*GE，4*10GE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5、RAID卡：配置≥1*RAID卡，支持RAID 0,1,5,6,10,50,60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6、电源：配置冗余电源≥2*900W交流电源模块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7、服务：含三年维保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</w:trPr>
        <w:tc>
          <w:tcPr>
            <w:tcW w:w="397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高性能网络</w:t>
            </w:r>
          </w:p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节点</w:t>
            </w:r>
          </w:p>
        </w:tc>
        <w:tc>
          <w:tcPr>
            <w:tcW w:w="4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1、CPU：配置≥2*64核国产化ARM架构处理器，主频≥2.6GHz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2、内存：配置≥512GB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3、硬盘：配置≥2*960GB SSD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4、端口：配置≥4*GE，8*10GE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5、RAID卡：配置≥1*RAID卡，支持RAID 0,1,5,6,10,50,60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6、电源：配置冗余电源≥2*900W交流电源模块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7、服务：含三年维保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</w:trPr>
        <w:tc>
          <w:tcPr>
            <w:tcW w:w="397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管理节点</w:t>
            </w:r>
          </w:p>
        </w:tc>
        <w:tc>
          <w:tcPr>
            <w:tcW w:w="4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1、CPU：配置≥2*64核国产化ARM架构处理器，主频≥2.6GHz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2、内存：配置≥768GB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3、硬盘：配置≥2*960GB SSD，8*8TB HDD，2*1.92TB SSD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4、端口：配置≥4*GE，2*10GE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5、RAID卡：配置≥1*RAID卡，支持RAID 0,1,5,6,10,50,60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6、电源：配置冗余电源≥2*900W交流电源模块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7、服务：含三年维保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397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通用计算</w:t>
            </w:r>
          </w:p>
        </w:tc>
        <w:tc>
          <w:tcPr>
            <w:tcW w:w="4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1、CPU：配置≥2*64核国产化ARM架构处理器，主频≥2.6GHz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2、内存：配置≥384GB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3、硬盘：配置≥2*960GB SSD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4、端口：配置≥4*GE，4*10GE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5、RAID卡：配置≥1*RAID卡，支持RAID 0,1,5,6,10,50,60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6、电源：配置冗余电源≥2*900W交流电源模块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7、服务：含三年维保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498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（二）交换机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397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业务接入</w:t>
            </w:r>
          </w:p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4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1、机架式设备，高度≤1U，交换容量≥4.8Tbps，包转发率≥2000Mpps；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2、整机支持≥48个10GE光接口，≥6个40GE/100GE光接口；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3、支持 RIP、OSPF、ISIS、BGP 等 IPv4 动态路由协议，支持 RIPng、OSPFv3、ISISv6、BGP4+等 IPv6 动态路由协议；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4、为了保障网络的安全性，要求关键芯片（如CPU或交换芯片或转发芯片或NP芯片，满足其一即可）为原厂商自研芯片；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5、实配：冗余电源，≥16个10GE多模光模块，≥4个40GE多模光模块，≥1根堆叠电缆。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397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BMC接入</w:t>
            </w:r>
          </w:p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4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1、机架式设备，高度≤1U，交换容量≥2.5Tbps，包转发率≥780Mpps；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2、整机支持≥24个10/100/1000M Base-T以太网端口，≥4个1/10/25GE SFP28光接口，≥2个40/100GE QSFP28光接口；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3、支持 RIP、OSPF、ISIS、BGP 等 IPv4 动态路由协议，支持 RIPng、OSPFv3、ISISv6、BGP4+等 IPv6 动态路由协议；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4、支持两个扩展插槽；</w:t>
            </w:r>
          </w:p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5、为了保障网络的安全性，要求关键芯片（如CPU或交换芯片或转发芯片或NP芯片，满足其一即可）为原厂商自研芯片；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6、实配：双电源，≥4个10GE多模光模块。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</w:trPr>
        <w:tc>
          <w:tcPr>
            <w:tcW w:w="397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参数面</w:t>
            </w:r>
          </w:p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4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1、机架式设备，高度≤2U，交换容量≥25Tbps,包转发率≥8000Mpps；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2、整机支持≥32个400GE QSFP-DD光接口，≥2个10GE光接口；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3、支持RoCE网络；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4、为了保障网络的安全性，要求关键芯片（如CPU或交换芯片或转发芯片或NP芯片，满足其一即可）为原厂商自研芯片；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5、支持AI ECN、PFC功能；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6、支持VXLAN、BGP-EVPN、M-LAG等数据中心特性；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7、实配：冗余电源风扇，≥18个400G多模光模块。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498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（三）运维服务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97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运维服务</w:t>
            </w:r>
          </w:p>
        </w:tc>
        <w:tc>
          <w:tcPr>
            <w:tcW w:w="4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设备配套运维服务，包括设备巡检，问题处理等，总期限为三年期，按年报价。首次合同期限为三年，采购人有权根据投标人合同履行期间的服务质量、履约成效，自主决定是否续签；若续签，运维服务价款不得超过本次项目的中标运维服务价款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498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（四）集成服务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97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集成服务</w:t>
            </w:r>
          </w:p>
        </w:tc>
        <w:tc>
          <w:tcPr>
            <w:tcW w:w="4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智算服务器及配套网络设备集成规划设计，初始化配置及测试、系统综合测试服务。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3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3F2D9" w:themeFill="accent4" w:themeFillTint="32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3F2D9" w:themeFill="accent4" w:themeFillTint="32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3F2D9" w:themeFill="accent4" w:themeFillTint="32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498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（五）过保后延期质保服务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97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第四年质保续保服务</w:t>
            </w:r>
          </w:p>
        </w:tc>
        <w:tc>
          <w:tcPr>
            <w:tcW w:w="4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本项目验收之后3年免费质保，第四年质保续保服务费用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97" w:type="dxa"/>
            <w:tcBorders>
              <w:top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第五年质保续保服务</w:t>
            </w:r>
          </w:p>
        </w:tc>
        <w:tc>
          <w:tcPr>
            <w:tcW w:w="4192" w:type="dxa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本项目验收之后3年免费质保，第五年质保续保服务费用</w:t>
            </w:r>
          </w:p>
        </w:tc>
        <w:tc>
          <w:tcPr>
            <w:tcW w:w="709" w:type="dxa"/>
            <w:tcBorders>
              <w:top w:val="nil"/>
              <w:left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1068" w:type="dxa"/>
            <w:tcBorders>
              <w:top w:val="nil"/>
              <w:left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spacing w:line="480" w:lineRule="auto"/>
        <w:jc w:val="center"/>
        <w:rPr>
          <w:rFonts w:hint="eastAsia" w:asciiTheme="minorEastAsia" w:hAnsiTheme="minorEastAsia"/>
          <w:b/>
          <w:sz w:val="24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填报说明：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1.上述总价中须包括完成本项目需求书要求的所有费用。报价人</w:t>
      </w:r>
      <w:r>
        <w:rPr>
          <w:rFonts w:ascii="宋体" w:hAnsi="宋体"/>
          <w:szCs w:val="21"/>
        </w:rPr>
        <w:t>对可能产生的困难以及将发生的</w:t>
      </w:r>
      <w:r>
        <w:rPr>
          <w:rFonts w:hint="eastAsia" w:ascii="宋体" w:hAnsi="宋体"/>
          <w:szCs w:val="21"/>
        </w:rPr>
        <w:t>风险及相关</w:t>
      </w:r>
      <w:r>
        <w:rPr>
          <w:rFonts w:ascii="宋体" w:hAnsi="宋体"/>
          <w:szCs w:val="21"/>
        </w:rPr>
        <w:t>费用充分估计，计入报价中。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2.所有报价货币类型为人民币，保留小数点后2位。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3.本次询价结果仅供询价人相关项目定价参考，询价人不作任何中标承诺，具体项目信息以深圳阳光采购平台发布的正式公开招标公告为准。</w:t>
      </w:r>
    </w:p>
    <w:p>
      <w:pPr>
        <w:widowControl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br w:type="page"/>
      </w:r>
    </w:p>
    <w:p>
      <w:pPr>
        <w:jc w:val="center"/>
        <w:rPr>
          <w:rFonts w:hint="eastAsia" w:ascii="宋体" w:hAnsi="宋体" w:cs="宋体" w:eastAsiaTheme="minorEastAsia"/>
          <w:b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>营业执照</w:t>
      </w:r>
    </w:p>
    <w:p>
      <w:pPr>
        <w:rPr>
          <w:rFonts w:hint="eastAsia" w:ascii="宋体" w:hAnsi="宋体" w:cs="宋体"/>
          <w:b/>
          <w:sz w:val="32"/>
          <w:szCs w:val="32"/>
        </w:rPr>
      </w:pPr>
    </w:p>
    <w:p>
      <w:pPr>
        <w:rPr>
          <w:rFonts w:hint="eastAsia" w:ascii="宋体" w:hAnsi="宋体" w:cs="宋体"/>
          <w:b/>
          <w:sz w:val="32"/>
          <w:szCs w:val="32"/>
        </w:rPr>
      </w:pPr>
    </w:p>
    <w:p>
      <w:pPr>
        <w:rPr>
          <w:rFonts w:hint="eastAsia" w:ascii="宋体" w:hAnsi="宋体" w:cs="宋体"/>
          <w:b/>
          <w:sz w:val="32"/>
          <w:szCs w:val="32"/>
        </w:rPr>
      </w:pPr>
    </w:p>
    <w:p>
      <w:pPr>
        <w:rPr>
          <w:rFonts w:hint="eastAsia" w:ascii="宋体" w:hAnsi="宋体" w:cs="宋体"/>
          <w:b/>
          <w:sz w:val="32"/>
          <w:szCs w:val="32"/>
        </w:rPr>
      </w:pPr>
    </w:p>
    <w:p>
      <w:pPr>
        <w:rPr>
          <w:rFonts w:hint="eastAsia" w:ascii="宋体" w:hAnsi="宋体" w:cs="宋体"/>
          <w:b/>
          <w:sz w:val="32"/>
          <w:szCs w:val="32"/>
        </w:rPr>
      </w:pPr>
    </w:p>
    <w:p>
      <w:pPr>
        <w:rPr>
          <w:rFonts w:hint="eastAsia" w:ascii="宋体" w:hAnsi="宋体" w:cs="宋体"/>
          <w:b/>
          <w:sz w:val="32"/>
          <w:szCs w:val="32"/>
        </w:rPr>
      </w:pPr>
    </w:p>
    <w:p>
      <w:pPr>
        <w:rPr>
          <w:rFonts w:hint="eastAsia"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br w:type="page"/>
      </w:r>
    </w:p>
    <w:p>
      <w:pPr>
        <w:autoSpaceDE w:val="0"/>
        <w:autoSpaceDN w:val="0"/>
        <w:adjustRightInd w:val="0"/>
        <w:snapToGrid w:val="0"/>
        <w:jc w:val="center"/>
        <w:rPr>
          <w:rFonts w:hint="eastAsia"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供应商基本情况表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917"/>
        <w:gridCol w:w="250"/>
        <w:gridCol w:w="901"/>
        <w:gridCol w:w="751"/>
        <w:gridCol w:w="1143"/>
        <w:gridCol w:w="1428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pct"/>
            <w:gridSpan w:val="2"/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供应商</w:t>
            </w:r>
          </w:p>
        </w:tc>
        <w:tc>
          <w:tcPr>
            <w:tcW w:w="3470" w:type="pct"/>
            <w:gridSpan w:val="6"/>
            <w:vAlign w:val="center"/>
          </w:tcPr>
          <w:p>
            <w:pPr>
              <w:ind w:left="84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pct"/>
            <w:gridSpan w:val="2"/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项目名称</w:t>
            </w:r>
          </w:p>
        </w:tc>
        <w:tc>
          <w:tcPr>
            <w:tcW w:w="3470" w:type="pct"/>
            <w:gridSpan w:val="6"/>
            <w:vAlign w:val="center"/>
          </w:tcPr>
          <w:p>
            <w:pPr>
              <w:ind w:left="84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pct"/>
            <w:gridSpan w:val="2"/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项目编号</w:t>
            </w:r>
          </w:p>
        </w:tc>
        <w:tc>
          <w:tcPr>
            <w:tcW w:w="3470" w:type="pct"/>
            <w:gridSpan w:val="6"/>
            <w:vAlign w:val="center"/>
          </w:tcPr>
          <w:p>
            <w:pPr>
              <w:ind w:left="84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000" w:type="pct"/>
            <w:gridSpan w:val="8"/>
            <w:vAlign w:val="center"/>
          </w:tcPr>
          <w:p>
            <w:pPr>
              <w:ind w:left="84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4" w:type="pct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1272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</w:t>
            </w:r>
          </w:p>
        </w:tc>
        <w:tc>
          <w:tcPr>
            <w:tcW w:w="529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112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身份证号码</w:t>
            </w:r>
          </w:p>
        </w:tc>
        <w:tc>
          <w:tcPr>
            <w:tcW w:w="838" w:type="pct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关系单位</w:t>
            </w:r>
          </w:p>
        </w:tc>
        <w:tc>
          <w:tcPr>
            <w:tcW w:w="841" w:type="pct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2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法定代表人/单位负责人/主要经营负责人</w:t>
            </w:r>
          </w:p>
        </w:tc>
        <w:tc>
          <w:tcPr>
            <w:tcW w:w="5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12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授权代理人（如有）</w:t>
            </w:r>
          </w:p>
        </w:tc>
        <w:tc>
          <w:tcPr>
            <w:tcW w:w="5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000" w:type="pct"/>
            <w:gridSpan w:val="8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4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1272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关联关系类型</w:t>
            </w:r>
          </w:p>
        </w:tc>
        <w:tc>
          <w:tcPr>
            <w:tcW w:w="970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关联主体名称</w:t>
            </w:r>
          </w:p>
        </w:tc>
        <w:tc>
          <w:tcPr>
            <w:tcW w:w="2351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2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控股股东</w:t>
            </w:r>
          </w:p>
        </w:tc>
        <w:tc>
          <w:tcPr>
            <w:tcW w:w="9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3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指出资额（或持有股份）占供应商资本总额（或股本总额）50%以上的股东，以及出资额（或持有股份）的比例虽然不足50%，但依其出资额（或持有股份）所享有的表决权已足以对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12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管理关系</w:t>
            </w:r>
          </w:p>
        </w:tc>
        <w:tc>
          <w:tcPr>
            <w:tcW w:w="9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3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指对供应商不具有出资持股关系，但对其存在管理关系的主体。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说明：同一关联关系类型有多个主体的，应分行填写。如未有相关情况，请在相应栏填写“无”。</w:t>
            </w:r>
          </w:p>
        </w:tc>
      </w:tr>
    </w:tbl>
    <w:p>
      <w:pPr>
        <w:ind w:firstLine="420"/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FC7982"/>
    <w:multiLevelType w:val="multilevel"/>
    <w:tmpl w:val="0EFC798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zZDFiY2YxMGY5OTQ4OThkYjNjMDliNTFiZTM0YWEifQ=="/>
  </w:docVars>
  <w:rsids>
    <w:rsidRoot w:val="00A16E9C"/>
    <w:rsid w:val="000C7E6E"/>
    <w:rsid w:val="00165D32"/>
    <w:rsid w:val="001A5818"/>
    <w:rsid w:val="00254C20"/>
    <w:rsid w:val="002B5F72"/>
    <w:rsid w:val="002F1414"/>
    <w:rsid w:val="00301F2A"/>
    <w:rsid w:val="004C085F"/>
    <w:rsid w:val="00562D09"/>
    <w:rsid w:val="005C3069"/>
    <w:rsid w:val="006B29D8"/>
    <w:rsid w:val="00704C9A"/>
    <w:rsid w:val="008762A7"/>
    <w:rsid w:val="008C78CA"/>
    <w:rsid w:val="008D3144"/>
    <w:rsid w:val="008D34D8"/>
    <w:rsid w:val="00A02E00"/>
    <w:rsid w:val="00A032EC"/>
    <w:rsid w:val="00A16E9C"/>
    <w:rsid w:val="00B01204"/>
    <w:rsid w:val="00BF65A2"/>
    <w:rsid w:val="00BF735B"/>
    <w:rsid w:val="00C16EE0"/>
    <w:rsid w:val="00C61560"/>
    <w:rsid w:val="00CC70DF"/>
    <w:rsid w:val="00CF257A"/>
    <w:rsid w:val="00D228B7"/>
    <w:rsid w:val="00DD4E98"/>
    <w:rsid w:val="00EF5838"/>
    <w:rsid w:val="00F307A2"/>
    <w:rsid w:val="00FA0983"/>
    <w:rsid w:val="00FE4944"/>
    <w:rsid w:val="027B74B9"/>
    <w:rsid w:val="027D04DE"/>
    <w:rsid w:val="03CB6504"/>
    <w:rsid w:val="0500733A"/>
    <w:rsid w:val="06EA381B"/>
    <w:rsid w:val="090B649D"/>
    <w:rsid w:val="0F2F6EC7"/>
    <w:rsid w:val="0FA77648"/>
    <w:rsid w:val="10D002A3"/>
    <w:rsid w:val="12033E19"/>
    <w:rsid w:val="12E0220F"/>
    <w:rsid w:val="138378B2"/>
    <w:rsid w:val="151508C6"/>
    <w:rsid w:val="15806382"/>
    <w:rsid w:val="1A846F04"/>
    <w:rsid w:val="1B730411"/>
    <w:rsid w:val="1B937848"/>
    <w:rsid w:val="21203A7B"/>
    <w:rsid w:val="25751F17"/>
    <w:rsid w:val="25DE2DC7"/>
    <w:rsid w:val="26A83F7A"/>
    <w:rsid w:val="26D83272"/>
    <w:rsid w:val="27E47234"/>
    <w:rsid w:val="29203328"/>
    <w:rsid w:val="29F2246B"/>
    <w:rsid w:val="2B453164"/>
    <w:rsid w:val="2B4C7984"/>
    <w:rsid w:val="2DB615A1"/>
    <w:rsid w:val="2F1D6BCF"/>
    <w:rsid w:val="2F7147A0"/>
    <w:rsid w:val="2FBC2844"/>
    <w:rsid w:val="31BD5248"/>
    <w:rsid w:val="36714222"/>
    <w:rsid w:val="37F6D56E"/>
    <w:rsid w:val="38617E0B"/>
    <w:rsid w:val="38BB5D8F"/>
    <w:rsid w:val="3C1D06F4"/>
    <w:rsid w:val="3CBF16C6"/>
    <w:rsid w:val="3DD42A8E"/>
    <w:rsid w:val="3DD657AF"/>
    <w:rsid w:val="3E3D1FA4"/>
    <w:rsid w:val="3E6B790F"/>
    <w:rsid w:val="3FA7C269"/>
    <w:rsid w:val="3FFA449D"/>
    <w:rsid w:val="40D2705F"/>
    <w:rsid w:val="463A5070"/>
    <w:rsid w:val="469F59B0"/>
    <w:rsid w:val="487F0B87"/>
    <w:rsid w:val="4CAC34AD"/>
    <w:rsid w:val="4CE511D4"/>
    <w:rsid w:val="4DBF20C0"/>
    <w:rsid w:val="4DEA25E4"/>
    <w:rsid w:val="4FB7CA69"/>
    <w:rsid w:val="557B26D6"/>
    <w:rsid w:val="559266D3"/>
    <w:rsid w:val="58935687"/>
    <w:rsid w:val="58F20F01"/>
    <w:rsid w:val="5A5EAA27"/>
    <w:rsid w:val="5D205E03"/>
    <w:rsid w:val="5FFD5C01"/>
    <w:rsid w:val="605E50CE"/>
    <w:rsid w:val="61EC5FD8"/>
    <w:rsid w:val="636649C5"/>
    <w:rsid w:val="67142A1A"/>
    <w:rsid w:val="686618F9"/>
    <w:rsid w:val="68DF738F"/>
    <w:rsid w:val="6BA442DD"/>
    <w:rsid w:val="6BFF162D"/>
    <w:rsid w:val="6C053986"/>
    <w:rsid w:val="6D2E1113"/>
    <w:rsid w:val="6D9C07FF"/>
    <w:rsid w:val="6DA76C15"/>
    <w:rsid w:val="6DC50623"/>
    <w:rsid w:val="6E230E36"/>
    <w:rsid w:val="6ED233F1"/>
    <w:rsid w:val="6F7915DC"/>
    <w:rsid w:val="6FDE69EA"/>
    <w:rsid w:val="71CC4032"/>
    <w:rsid w:val="722E1CF7"/>
    <w:rsid w:val="72414CFF"/>
    <w:rsid w:val="728C1448"/>
    <w:rsid w:val="738B18DE"/>
    <w:rsid w:val="742574BD"/>
    <w:rsid w:val="757F6A3A"/>
    <w:rsid w:val="75B73206"/>
    <w:rsid w:val="75B75A41"/>
    <w:rsid w:val="75DC7622"/>
    <w:rsid w:val="770B25CB"/>
    <w:rsid w:val="771407C9"/>
    <w:rsid w:val="77170AF4"/>
    <w:rsid w:val="799A36AE"/>
    <w:rsid w:val="79B60B13"/>
    <w:rsid w:val="7A986551"/>
    <w:rsid w:val="7ACC7125"/>
    <w:rsid w:val="7B9C4722"/>
    <w:rsid w:val="7CF46DFD"/>
    <w:rsid w:val="CCFFD57C"/>
    <w:rsid w:val="DDB18379"/>
    <w:rsid w:val="F3B9BD9A"/>
    <w:rsid w:val="FBCF9B06"/>
    <w:rsid w:val="FDBE8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ind w:left="1525" w:hanging="578"/>
      <w:jc w:val="both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3030</Words>
  <Characters>4526</Characters>
  <Lines>39</Lines>
  <Paragraphs>11</Paragraphs>
  <TotalTime>7</TotalTime>
  <ScaleCrop>false</ScaleCrop>
  <LinksUpToDate>false</LinksUpToDate>
  <CharactersWithSpaces>4871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2021-11-17T04:07:00Z</dcterms:created>
  <dc:creator>13902</dc:creator>
  <cp:lastModifiedBy>LGCI</cp:lastModifiedBy>
  <cp:lastPrinted>2026-07-21T13:15:00Z</cp:lastPrinted>
  <dcterms:modified xsi:type="dcterms:W3CDTF">2026-07-31T17:37:13Z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EB61F33A253F4C68874EB902A946BAE1_13</vt:lpwstr>
  </property>
  <property fmtid="{D5CDD505-2E9C-101B-9397-08002B2CF9AE}" pid="4" name="KSOTemplateDocerSaveRecord">
    <vt:lpwstr>eyJoZGlkIjoiMzc1ZjMzODQyYjk1MTk4YzY4NWQ2NjA5Mjk0Mjk1OTkiLCJ1c2VySWQiOiI0Mzg2NzQ0MDAifQ==</vt:lpwstr>
  </property>
</Properties>
</file>