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09592D">
      <w:pPr>
        <w:spacing w:line="500" w:lineRule="exact"/>
        <w:rPr>
          <w:rFonts w:hint="default" w:ascii="仿宋_GB2312" w:hAnsi="Times New Roman" w:eastAsia="仿宋_GB2312" w:cs="Times New Roman"/>
          <w:b/>
          <w:bCs/>
          <w:color w:val="auto"/>
          <w:sz w:val="30"/>
          <w:szCs w:val="30"/>
          <w:lang w:val="en-US" w:eastAsia="zh-CN"/>
        </w:rPr>
      </w:pPr>
      <w:r>
        <w:rPr>
          <w:rFonts w:hint="eastAsia" w:ascii="仿宋_GB2312" w:hAnsi="Times New Roman" w:eastAsia="仿宋_GB2312" w:cs="Times New Roman"/>
          <w:b/>
          <w:bCs/>
          <w:color w:val="auto"/>
          <w:sz w:val="30"/>
          <w:szCs w:val="30"/>
          <w:lang w:eastAsia="zh-CN"/>
        </w:rPr>
        <w:t>附件</w:t>
      </w:r>
      <w:r>
        <w:rPr>
          <w:rFonts w:hint="eastAsia" w:ascii="仿宋_GB2312" w:hAnsi="Times New Roman" w:eastAsia="仿宋_GB2312" w:cs="Times New Roman"/>
          <w:b/>
          <w:bCs/>
          <w:color w:val="auto"/>
          <w:sz w:val="30"/>
          <w:szCs w:val="30"/>
          <w:lang w:val="en-US" w:eastAsia="zh-CN"/>
        </w:rPr>
        <w:t>5：</w:t>
      </w:r>
    </w:p>
    <w:p w14:paraId="20DA2CC2">
      <w:pPr>
        <w:wordWrap w:val="0"/>
        <w:overflowPunct/>
        <w:topLinePunct w:val="0"/>
        <w:bidi w:val="0"/>
        <w:spacing w:line="400" w:lineRule="exact"/>
        <w:jc w:val="right"/>
        <w:textAlignment w:val="auto"/>
        <w:rPr>
          <w:rFonts w:hint="default" w:ascii="宋体" w:hAnsi="宋体" w:eastAsia="宋体" w:cs="宋体"/>
          <w:b/>
          <w:bCs/>
          <w:color w:val="auto"/>
          <w:lang w:val="en-US" w:eastAsia="zh-CN"/>
        </w:rPr>
      </w:pPr>
      <w:r>
        <w:rPr>
          <w:rFonts w:hint="eastAsia" w:ascii="宋体" w:hAnsi="宋体" w:eastAsia="宋体" w:cs="宋体"/>
          <w:b/>
          <w:bCs/>
          <w:color w:val="auto"/>
        </w:rPr>
        <w:t>合同编号：</w:t>
      </w:r>
      <w:r>
        <w:rPr>
          <w:rFonts w:hint="eastAsia" w:ascii="宋体" w:hAnsi="宋体" w:eastAsia="宋体" w:cs="宋体"/>
          <w:b/>
          <w:bCs/>
          <w:color w:val="auto"/>
          <w:lang w:val="en-US" w:eastAsia="zh-CN"/>
        </w:rPr>
        <w:t xml:space="preserve">             </w:t>
      </w:r>
    </w:p>
    <w:p w14:paraId="2C3BD80C">
      <w:pPr>
        <w:overflowPunct/>
        <w:topLinePunct w:val="0"/>
        <w:bidi w:val="0"/>
        <w:jc w:val="center"/>
        <w:textAlignment w:val="auto"/>
      </w:pPr>
    </w:p>
    <w:p w14:paraId="0984C166">
      <w:pPr>
        <w:overflowPunct/>
        <w:topLinePunct w:val="0"/>
        <w:bidi w:val="0"/>
        <w:jc w:val="center"/>
        <w:textAlignment w:val="auto"/>
      </w:pPr>
    </w:p>
    <w:p w14:paraId="180C9135">
      <w:pPr>
        <w:overflowPunct/>
        <w:topLinePunct w:val="0"/>
        <w:bidi w:val="0"/>
        <w:jc w:val="center"/>
        <w:textAlignment w:val="auto"/>
      </w:pPr>
    </w:p>
    <w:p w14:paraId="0E25EFA8">
      <w:pPr>
        <w:widowControl/>
        <w:overflowPunct/>
        <w:topLinePunct w:val="0"/>
        <w:bidi w:val="0"/>
        <w:snapToGrid w:val="0"/>
        <w:spacing w:line="360" w:lineRule="auto"/>
        <w:jc w:val="center"/>
        <w:textAlignment w:val="auto"/>
        <w:outlineLvl w:val="0"/>
        <w:rPr>
          <w:rFonts w:hint="eastAsia" w:ascii="仿宋" w:hAnsi="仿宋" w:eastAsia="仿宋" w:cs="仿宋"/>
          <w:kern w:val="0"/>
          <w:sz w:val="36"/>
          <w:szCs w:val="36"/>
          <w:lang w:eastAsia="zh-CN"/>
        </w:rPr>
      </w:pPr>
      <w:r>
        <w:rPr>
          <w:rFonts w:hint="eastAsia" w:ascii="仿宋" w:hAnsi="仿宋" w:eastAsia="仿宋" w:cs="仿宋"/>
          <w:kern w:val="0"/>
          <w:sz w:val="36"/>
          <w:szCs w:val="36"/>
          <w:lang w:eastAsia="zh-CN"/>
        </w:rPr>
        <w:t xml:space="preserve"> </w:t>
      </w:r>
    </w:p>
    <w:p w14:paraId="5DCA68BA">
      <w:pPr>
        <w:widowControl/>
        <w:overflowPunct/>
        <w:topLinePunct w:val="0"/>
        <w:bidi w:val="0"/>
        <w:snapToGrid w:val="0"/>
        <w:spacing w:line="360" w:lineRule="auto"/>
        <w:jc w:val="center"/>
        <w:textAlignment w:val="auto"/>
        <w:outlineLvl w:val="0"/>
        <w:rPr>
          <w:rFonts w:hint="eastAsia" w:ascii="仿宋" w:hAnsi="仿宋" w:eastAsia="仿宋" w:cs="仿宋"/>
          <w:kern w:val="0"/>
          <w:sz w:val="36"/>
          <w:szCs w:val="36"/>
          <w:lang w:eastAsia="zh-CN"/>
        </w:rPr>
      </w:pPr>
    </w:p>
    <w:p w14:paraId="340DB7A7">
      <w:pPr>
        <w:widowControl/>
        <w:overflowPunct/>
        <w:topLinePunct w:val="0"/>
        <w:bidi w:val="0"/>
        <w:snapToGrid w:val="0"/>
        <w:spacing w:line="360" w:lineRule="auto"/>
        <w:jc w:val="center"/>
        <w:textAlignment w:val="auto"/>
        <w:outlineLvl w:val="0"/>
        <w:rPr>
          <w:rFonts w:hint="default" w:ascii="宋体" w:hAnsi="宋体" w:eastAsia="宋体" w:cs="宋体"/>
          <w:b/>
          <w:bCs/>
          <w:color w:val="auto"/>
          <w:kern w:val="36"/>
          <w:sz w:val="48"/>
          <w:szCs w:val="48"/>
          <w:lang w:val="en-US" w:eastAsia="zh-CN"/>
        </w:rPr>
      </w:pPr>
      <w:r>
        <w:rPr>
          <w:rFonts w:hint="eastAsia" w:ascii="宋体" w:hAnsi="宋体" w:eastAsia="宋体" w:cs="宋体"/>
          <w:b/>
          <w:bCs/>
          <w:color w:val="auto"/>
          <w:kern w:val="36"/>
          <w:sz w:val="48"/>
          <w:szCs w:val="48"/>
          <w:lang w:val="en-US" w:eastAsia="zh-CN"/>
        </w:rPr>
        <w:t>专项法律服务合同</w:t>
      </w:r>
    </w:p>
    <w:p w14:paraId="4317DFAD">
      <w:pPr>
        <w:widowControl/>
        <w:overflowPunct/>
        <w:topLinePunct w:val="0"/>
        <w:bidi w:val="0"/>
        <w:snapToGrid w:val="0"/>
        <w:spacing w:line="360" w:lineRule="auto"/>
        <w:jc w:val="center"/>
        <w:textAlignment w:val="auto"/>
        <w:outlineLvl w:val="0"/>
        <w:rPr>
          <w:rFonts w:hint="eastAsia" w:ascii="宋体" w:hAnsi="宋体" w:eastAsia="宋体" w:cs="宋体"/>
          <w:b/>
          <w:bCs/>
          <w:color w:val="auto"/>
          <w:kern w:val="36"/>
          <w:sz w:val="48"/>
          <w:szCs w:val="48"/>
          <w:lang w:eastAsia="zh-CN"/>
        </w:rPr>
      </w:pPr>
    </w:p>
    <w:p w14:paraId="799A1811">
      <w:pPr>
        <w:widowControl/>
        <w:overflowPunct/>
        <w:topLinePunct w:val="0"/>
        <w:bidi w:val="0"/>
        <w:spacing w:line="720" w:lineRule="auto"/>
        <w:ind w:firstLine="420"/>
        <w:jc w:val="center"/>
        <w:textAlignment w:val="auto"/>
        <w:rPr>
          <w:rFonts w:hint="eastAsia" w:ascii="宋体" w:hAnsi="宋体" w:eastAsia="宋体" w:cs="宋体"/>
          <w:b/>
          <w:color w:val="auto"/>
          <w:sz w:val="44"/>
          <w:szCs w:val="44"/>
        </w:rPr>
      </w:pPr>
    </w:p>
    <w:p w14:paraId="226712AD">
      <w:pPr>
        <w:widowControl/>
        <w:overflowPunct/>
        <w:topLinePunct w:val="0"/>
        <w:bidi w:val="0"/>
        <w:spacing w:line="720" w:lineRule="auto"/>
        <w:textAlignment w:val="auto"/>
        <w:rPr>
          <w:rFonts w:hint="eastAsia" w:ascii="宋体" w:hAnsi="宋体" w:eastAsia="宋体" w:cs="宋体"/>
          <w:b/>
          <w:bCs/>
          <w:color w:val="auto"/>
          <w:kern w:val="0"/>
          <w:sz w:val="28"/>
          <w:szCs w:val="28"/>
          <w:u w:val="single"/>
          <w:lang w:val="en-US" w:eastAsia="zh-CN"/>
        </w:rPr>
      </w:pPr>
      <w:bookmarkStart w:id="0" w:name="_Toc319652752"/>
      <w:bookmarkEnd w:id="0"/>
      <w:bookmarkStart w:id="1" w:name="_Toc260327127"/>
      <w:bookmarkEnd w:id="1"/>
    </w:p>
    <w:p w14:paraId="2E8110EF">
      <w:pPr>
        <w:widowControl/>
        <w:overflowPunct/>
        <w:topLinePunct w:val="0"/>
        <w:bidi w:val="0"/>
        <w:spacing w:line="720" w:lineRule="auto"/>
        <w:ind w:firstLine="1124" w:firstLineChars="400"/>
        <w:jc w:val="left"/>
        <w:textAlignment w:val="auto"/>
        <w:rPr>
          <w:rFonts w:hint="eastAsia" w:ascii="宋体" w:hAnsi="宋体" w:eastAsia="宋体" w:cs="宋体"/>
          <w:b/>
          <w:bCs/>
          <w:color w:val="auto"/>
          <w:kern w:val="0"/>
          <w:sz w:val="28"/>
          <w:szCs w:val="28"/>
        </w:rPr>
      </w:pPr>
      <w:r>
        <w:rPr>
          <w:rFonts w:hint="eastAsia" w:ascii="宋体" w:hAnsi="宋体" w:eastAsia="宋体" w:cs="宋体"/>
          <w:b/>
          <w:bCs/>
          <w:color w:val="auto"/>
          <w:kern w:val="0"/>
          <w:sz w:val="28"/>
          <w:szCs w:val="28"/>
          <w:u w:val="none"/>
          <w:lang w:val="en-US" w:eastAsia="zh-CN"/>
        </w:rPr>
        <w:t>项目名称：</w:t>
      </w:r>
      <w:r>
        <w:rPr>
          <w:rFonts w:hint="eastAsia" w:ascii="宋体" w:hAnsi="宋体" w:eastAsia="宋体" w:cs="宋体"/>
          <w:b/>
          <w:bCs/>
          <w:color w:val="auto"/>
          <w:kern w:val="0"/>
          <w:sz w:val="28"/>
          <w:szCs w:val="28"/>
          <w:u w:val="single"/>
          <w:lang w:val="en-US" w:eastAsia="zh-CN"/>
        </w:rPr>
        <w:t>某项目资产收并购专项法律服务（含尽职调查）</w:t>
      </w:r>
    </w:p>
    <w:p w14:paraId="2EC2ED2F">
      <w:pPr>
        <w:widowControl/>
        <w:overflowPunct/>
        <w:topLinePunct w:val="0"/>
        <w:bidi w:val="0"/>
        <w:spacing w:line="720" w:lineRule="auto"/>
        <w:ind w:firstLine="1124" w:firstLineChars="400"/>
        <w:jc w:val="left"/>
        <w:textAlignment w:val="auto"/>
        <w:rPr>
          <w:rFonts w:hint="eastAsia" w:ascii="宋体" w:hAnsi="宋体" w:eastAsia="宋体" w:cs="宋体"/>
          <w:b/>
          <w:bCs/>
          <w:color w:val="auto"/>
          <w:kern w:val="0"/>
          <w:sz w:val="28"/>
          <w:szCs w:val="28"/>
          <w:u w:val="single"/>
          <w:lang w:val="en-US" w:eastAsia="zh-CN"/>
        </w:rPr>
      </w:pPr>
      <w:r>
        <w:rPr>
          <w:rFonts w:hint="eastAsia" w:ascii="宋体" w:hAnsi="宋体" w:eastAsia="宋体" w:cs="宋体"/>
          <w:b/>
          <w:bCs/>
          <w:color w:val="auto"/>
          <w:kern w:val="0"/>
          <w:sz w:val="28"/>
          <w:szCs w:val="28"/>
        </w:rPr>
        <w:t>甲方：</w:t>
      </w:r>
      <w:r>
        <w:rPr>
          <w:rFonts w:hint="eastAsia" w:ascii="宋体" w:hAnsi="宋体" w:eastAsia="宋体" w:cs="宋体"/>
          <w:b/>
          <w:bCs/>
          <w:color w:val="auto"/>
          <w:kern w:val="0"/>
          <w:sz w:val="28"/>
          <w:szCs w:val="28"/>
          <w:u w:val="single"/>
          <w:lang w:val="en-US" w:eastAsia="zh-CN"/>
        </w:rPr>
        <w:fldChar w:fldCharType="begin"/>
      </w:r>
      <w:r>
        <w:rPr>
          <w:rFonts w:hint="eastAsia" w:ascii="宋体" w:hAnsi="宋体" w:eastAsia="宋体" w:cs="宋体"/>
          <w:b/>
          <w:bCs/>
          <w:color w:val="auto"/>
          <w:kern w:val="0"/>
          <w:sz w:val="28"/>
          <w:szCs w:val="28"/>
          <w:u w:val="single"/>
          <w:lang w:val="en-US" w:eastAsia="zh-CN"/>
        </w:rPr>
        <w:instrText xml:space="preserve"> HYPERLINK "http://www.baidu.com/link?url=uiXDKoluVmB9sCF7gcK2PDSL_k0NoNidV99RDRji-dzAjmeyb-f7fQmibFS2vkgq6CWoFv-lZ4TDOowpJ0DlAx6qg4rd5Wxm5C8zqDqWE9O" \t "https://www.baidu.com/_blank" </w:instrText>
      </w:r>
      <w:r>
        <w:rPr>
          <w:rFonts w:hint="eastAsia" w:ascii="宋体" w:hAnsi="宋体" w:eastAsia="宋体" w:cs="宋体"/>
          <w:b/>
          <w:bCs/>
          <w:color w:val="auto"/>
          <w:kern w:val="0"/>
          <w:sz w:val="28"/>
          <w:szCs w:val="28"/>
          <w:u w:val="single"/>
          <w:lang w:val="en-US" w:eastAsia="zh-CN"/>
        </w:rPr>
        <w:fldChar w:fldCharType="separate"/>
      </w:r>
      <w:r>
        <w:rPr>
          <w:rFonts w:hint="eastAsia" w:ascii="宋体" w:hAnsi="宋体" w:eastAsia="宋体" w:cs="宋体"/>
          <w:b/>
          <w:bCs/>
          <w:color w:val="auto"/>
          <w:kern w:val="0"/>
          <w:sz w:val="28"/>
          <w:szCs w:val="28"/>
          <w:u w:val="single"/>
          <w:lang w:val="en-US" w:eastAsia="zh-CN"/>
        </w:rPr>
        <w:t>深圳市龙岗区城投置地开发有限公司</w:t>
      </w:r>
    </w:p>
    <w:p w14:paraId="5392A8BD">
      <w:pPr>
        <w:widowControl/>
        <w:overflowPunct/>
        <w:topLinePunct w:val="0"/>
        <w:bidi w:val="0"/>
        <w:spacing w:line="720" w:lineRule="auto"/>
        <w:ind w:firstLine="1124" w:firstLineChars="400"/>
        <w:jc w:val="left"/>
        <w:textAlignment w:val="auto"/>
        <w:rPr>
          <w:rFonts w:hint="default" w:ascii="宋体" w:hAnsi="宋体" w:eastAsia="宋体" w:cs="宋体"/>
          <w:b/>
          <w:bCs/>
          <w:color w:val="auto"/>
          <w:kern w:val="0"/>
          <w:sz w:val="28"/>
          <w:szCs w:val="28"/>
          <w:u w:val="single"/>
          <w:lang w:val="en-US" w:eastAsia="zh-CN"/>
        </w:rPr>
      </w:pPr>
      <w:r>
        <w:rPr>
          <w:rFonts w:hint="eastAsia" w:ascii="宋体" w:hAnsi="宋体" w:eastAsia="宋体" w:cs="宋体"/>
          <w:b/>
          <w:bCs/>
          <w:color w:val="auto"/>
          <w:kern w:val="0"/>
          <w:sz w:val="28"/>
          <w:szCs w:val="28"/>
          <w:u w:val="single"/>
          <w:lang w:val="en-US" w:eastAsia="zh-CN"/>
        </w:rPr>
        <w:fldChar w:fldCharType="end"/>
      </w:r>
      <w:r>
        <w:rPr>
          <w:rFonts w:hint="eastAsia" w:ascii="宋体" w:hAnsi="宋体" w:eastAsia="宋体" w:cs="宋体"/>
          <w:b/>
          <w:bCs/>
          <w:color w:val="auto"/>
          <w:kern w:val="0"/>
          <w:sz w:val="28"/>
          <w:szCs w:val="28"/>
          <w:u w:val="none"/>
          <w:lang w:val="en-US" w:eastAsia="zh-CN"/>
        </w:rPr>
        <w:t>乙方：</w:t>
      </w:r>
      <w:r>
        <w:rPr>
          <w:rFonts w:hint="eastAsia" w:ascii="宋体" w:hAnsi="宋体" w:eastAsia="宋体" w:cs="宋体"/>
          <w:b/>
          <w:bCs/>
          <w:color w:val="auto"/>
          <w:kern w:val="0"/>
          <w:sz w:val="28"/>
          <w:szCs w:val="28"/>
          <w:u w:val="single"/>
          <w:lang w:val="en-US" w:eastAsia="zh-CN"/>
        </w:rPr>
        <w:t xml:space="preserve">                               </w:t>
      </w:r>
      <w:r>
        <w:rPr>
          <w:rFonts w:hint="eastAsia" w:ascii="宋体" w:hAnsi="宋体" w:eastAsia="宋体" w:cs="宋体"/>
          <w:b/>
          <w:bCs/>
          <w:color w:val="auto"/>
          <w:kern w:val="0"/>
          <w:sz w:val="28"/>
          <w:szCs w:val="28"/>
          <w:u w:val="none"/>
          <w:lang w:val="en-US" w:eastAsia="zh-CN"/>
        </w:rPr>
        <w:t xml:space="preserve"> </w:t>
      </w:r>
    </w:p>
    <w:p w14:paraId="44D941E7">
      <w:pPr>
        <w:widowControl/>
        <w:overflowPunct/>
        <w:topLinePunct w:val="0"/>
        <w:bidi w:val="0"/>
        <w:spacing w:line="720" w:lineRule="auto"/>
        <w:ind w:firstLine="1124" w:firstLineChars="400"/>
        <w:jc w:val="left"/>
        <w:textAlignment w:val="auto"/>
        <w:rPr>
          <w:rFonts w:hint="eastAsia" w:ascii="宋体" w:hAnsi="宋体" w:eastAsia="宋体" w:cs="宋体"/>
          <w:b/>
          <w:bCs/>
          <w:color w:val="auto"/>
          <w:kern w:val="0"/>
          <w:sz w:val="28"/>
          <w:szCs w:val="28"/>
          <w:u w:val="single"/>
          <w:lang w:val="en-US" w:eastAsia="zh-CN"/>
        </w:rPr>
      </w:pPr>
    </w:p>
    <w:p w14:paraId="612E7962">
      <w:pPr>
        <w:overflowPunct/>
        <w:topLinePunct w:val="0"/>
        <w:bidi w:val="0"/>
        <w:textAlignment w:val="auto"/>
        <w:rPr>
          <w:rFonts w:hint="eastAsia"/>
        </w:rPr>
      </w:pPr>
    </w:p>
    <w:p w14:paraId="3F7AAB92">
      <w:pPr>
        <w:widowControl/>
        <w:overflowPunct/>
        <w:topLinePunct w:val="0"/>
        <w:bidi w:val="0"/>
        <w:spacing w:line="720" w:lineRule="auto"/>
        <w:ind w:firstLine="2249" w:firstLineChars="800"/>
        <w:jc w:val="both"/>
        <w:textAlignment w:val="auto"/>
        <w:rPr>
          <w:rFonts w:hint="eastAsia" w:ascii="宋体" w:hAnsi="宋体" w:eastAsia="宋体" w:cs="宋体"/>
          <w:b/>
          <w:bCs/>
          <w:color w:val="auto"/>
          <w:kern w:val="0"/>
          <w:sz w:val="28"/>
          <w:szCs w:val="28"/>
          <w:highlight w:val="none"/>
          <w:lang w:val="en-US" w:eastAsia="zh-CN"/>
        </w:rPr>
      </w:pPr>
      <w:r>
        <w:rPr>
          <w:rFonts w:hint="eastAsia" w:ascii="宋体" w:hAnsi="宋体" w:eastAsia="宋体" w:cs="宋体"/>
          <w:b/>
          <w:bCs/>
          <w:color w:val="auto"/>
          <w:kern w:val="0"/>
          <w:sz w:val="28"/>
          <w:szCs w:val="28"/>
          <w:highlight w:val="none"/>
        </w:rPr>
        <w:t>签订日期：</w:t>
      </w:r>
      <w:r>
        <w:rPr>
          <w:rFonts w:hint="eastAsia" w:ascii="宋体" w:hAnsi="宋体" w:eastAsia="宋体" w:cs="宋体"/>
          <w:b/>
          <w:bCs/>
          <w:color w:val="auto"/>
          <w:kern w:val="0"/>
          <w:sz w:val="28"/>
          <w:szCs w:val="28"/>
          <w:highlight w:val="none"/>
          <w:lang w:val="en-US" w:eastAsia="zh-CN"/>
        </w:rPr>
        <w:t>2026</w:t>
      </w:r>
      <w:r>
        <w:rPr>
          <w:rFonts w:hint="eastAsia" w:ascii="宋体" w:hAnsi="宋体" w:eastAsia="宋体" w:cs="宋体"/>
          <w:b/>
          <w:bCs/>
          <w:color w:val="auto"/>
          <w:kern w:val="0"/>
          <w:sz w:val="28"/>
          <w:szCs w:val="28"/>
          <w:highlight w:val="none"/>
        </w:rPr>
        <w:t>年</w:t>
      </w:r>
      <w:r>
        <w:rPr>
          <w:rFonts w:hint="eastAsia" w:ascii="宋体" w:hAnsi="宋体" w:eastAsia="宋体" w:cs="宋体"/>
          <w:b/>
          <w:bCs/>
          <w:color w:val="auto"/>
          <w:kern w:val="0"/>
          <w:sz w:val="28"/>
          <w:szCs w:val="28"/>
          <w:highlight w:val="none"/>
          <w:lang w:val="en-US" w:eastAsia="zh-CN"/>
        </w:rPr>
        <w:t xml:space="preserve">  </w:t>
      </w:r>
      <w:r>
        <w:rPr>
          <w:rFonts w:hint="eastAsia" w:ascii="宋体" w:hAnsi="宋体" w:eastAsia="宋体" w:cs="宋体"/>
          <w:b/>
          <w:bCs/>
          <w:color w:val="auto"/>
          <w:kern w:val="0"/>
          <w:sz w:val="28"/>
          <w:szCs w:val="28"/>
          <w:highlight w:val="none"/>
        </w:rPr>
        <w:t>月</w:t>
      </w:r>
      <w:r>
        <w:rPr>
          <w:rFonts w:hint="eastAsia" w:ascii="宋体" w:hAnsi="宋体" w:eastAsia="宋体" w:cs="宋体"/>
          <w:b/>
          <w:bCs/>
          <w:color w:val="auto"/>
          <w:kern w:val="0"/>
          <w:sz w:val="28"/>
          <w:szCs w:val="28"/>
          <w:highlight w:val="none"/>
          <w:lang w:val="en-US" w:eastAsia="zh-CN"/>
        </w:rPr>
        <w:t xml:space="preserve">  日</w:t>
      </w:r>
    </w:p>
    <w:p w14:paraId="7E08402C">
      <w:pPr>
        <w:widowControl/>
        <w:overflowPunct/>
        <w:topLinePunct w:val="0"/>
        <w:bidi w:val="0"/>
        <w:jc w:val="center"/>
        <w:textAlignment w:val="auto"/>
      </w:pPr>
    </w:p>
    <w:p w14:paraId="2AD718DC">
      <w:pPr>
        <w:overflowPunct/>
        <w:topLinePunct w:val="0"/>
        <w:bidi w:val="0"/>
        <w:jc w:val="center"/>
        <w:textAlignment w:val="auto"/>
        <w:sectPr>
          <w:headerReference r:id="rId3" w:type="default"/>
          <w:pgSz w:w="11906" w:h="16838"/>
          <w:pgMar w:top="1440" w:right="1797" w:bottom="1440" w:left="1797" w:header="851" w:footer="992" w:gutter="0"/>
          <w:pgNumType w:fmt="decimal"/>
          <w:cols w:space="0" w:num="1"/>
          <w:rtlGutter w:val="0"/>
          <w:docGrid w:type="lines" w:linePitch="312" w:charSpace="0"/>
        </w:sectPr>
      </w:pPr>
    </w:p>
    <w:p w14:paraId="41CE997E">
      <w:pPr>
        <w:overflowPunct/>
        <w:topLinePunct w:val="0"/>
        <w:bidi w:val="0"/>
        <w:spacing w:line="500" w:lineRule="exact"/>
        <w:jc w:val="center"/>
        <w:textAlignment w:val="auto"/>
        <w:rPr>
          <w:rFonts w:hint="eastAsia" w:ascii="宋体" w:hAnsi="宋体" w:eastAsia="宋体" w:cs="宋体"/>
          <w:b/>
          <w:bCs/>
          <w:sz w:val="44"/>
          <w:szCs w:val="44"/>
        </w:rPr>
      </w:pPr>
    </w:p>
    <w:p w14:paraId="6A7058A5">
      <w:pPr>
        <w:keepNext w:val="0"/>
        <w:keepLines w:val="0"/>
        <w:pageBreakBefore/>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44"/>
          <w:szCs w:val="44"/>
        </w:rPr>
        <w:sectPr>
          <w:headerReference r:id="rId4" w:type="default"/>
          <w:footerReference r:id="rId5" w:type="default"/>
          <w:pgSz w:w="11906" w:h="16838"/>
          <w:pgMar w:top="1440" w:right="1797" w:bottom="1440" w:left="1797" w:header="851" w:footer="992" w:gutter="0"/>
          <w:pgNumType w:fmt="decimal" w:start="1"/>
          <w:cols w:space="0" w:num="1"/>
          <w:rtlGutter w:val="0"/>
          <w:docGrid w:type="lines" w:linePitch="312" w:charSpace="0"/>
        </w:sectPr>
      </w:pPr>
    </w:p>
    <w:p w14:paraId="62243F19">
      <w:pPr>
        <w:keepNext w:val="0"/>
        <w:keepLines w:val="0"/>
        <w:pageBreakBefore/>
        <w:widowControl w:val="0"/>
        <w:kinsoku/>
        <w:wordWrap/>
        <w:overflowPunct/>
        <w:topLinePunct w:val="0"/>
        <w:autoSpaceDE/>
        <w:autoSpaceDN/>
        <w:bidi w:val="0"/>
        <w:adjustRightInd/>
        <w:snapToGrid/>
        <w:spacing w:line="500" w:lineRule="exact"/>
        <w:jc w:val="center"/>
        <w:textAlignment w:val="auto"/>
        <w:rPr>
          <w:rFonts w:ascii="宋体" w:hAnsi="宋体" w:eastAsia="宋体" w:cs="宋体"/>
          <w:b/>
          <w:bCs/>
          <w:sz w:val="44"/>
          <w:szCs w:val="44"/>
        </w:rPr>
      </w:pPr>
      <w:r>
        <w:rPr>
          <w:rFonts w:hint="eastAsia" w:ascii="宋体" w:hAnsi="宋体" w:eastAsia="宋体" w:cs="宋体"/>
          <w:b/>
          <w:bCs/>
          <w:sz w:val="44"/>
          <w:szCs w:val="44"/>
        </w:rPr>
        <w:t>专项法律服务合同</w:t>
      </w:r>
    </w:p>
    <w:p w14:paraId="7C5EBDED">
      <w:pPr>
        <w:widowControl/>
        <w:overflowPunct/>
        <w:topLinePunct w:val="0"/>
        <w:bidi w:val="0"/>
        <w:spacing w:line="500" w:lineRule="exact"/>
        <w:jc w:val="left"/>
        <w:textAlignment w:val="auto"/>
        <w:rPr>
          <w:rFonts w:hint="eastAsia" w:ascii="宋体" w:hAnsi="宋体" w:eastAsia="宋体" w:cs="宋体"/>
          <w:b/>
          <w:bCs/>
          <w:kern w:val="0"/>
          <w:sz w:val="24"/>
          <w:szCs w:val="24"/>
        </w:rPr>
      </w:pPr>
    </w:p>
    <w:p w14:paraId="095A08DE">
      <w:pPr>
        <w:widowControl/>
        <w:overflowPunct/>
        <w:topLinePunct w:val="0"/>
        <w:bidi w:val="0"/>
        <w:spacing w:line="500" w:lineRule="exact"/>
        <w:jc w:val="left"/>
        <w:textAlignment w:val="auto"/>
        <w:rPr>
          <w:rFonts w:hint="eastAsia" w:ascii="宋体" w:hAnsi="宋体" w:eastAsia="宋体" w:cs="宋体"/>
          <w:b/>
          <w:bCs/>
          <w:kern w:val="0"/>
          <w:sz w:val="24"/>
          <w:szCs w:val="24"/>
          <w:u w:val="single"/>
          <w:lang w:val="en-US" w:eastAsia="zh-CN"/>
        </w:rPr>
      </w:pPr>
      <w:r>
        <w:rPr>
          <w:rFonts w:hint="eastAsia" w:ascii="宋体" w:hAnsi="宋体" w:eastAsia="宋体" w:cs="宋体"/>
          <w:b/>
          <w:bCs/>
          <w:kern w:val="0"/>
          <w:sz w:val="24"/>
          <w:szCs w:val="24"/>
        </w:rPr>
        <w:t>甲方（</w:t>
      </w:r>
      <w:r>
        <w:rPr>
          <w:rFonts w:hint="eastAsia" w:ascii="宋体" w:hAnsi="宋体" w:eastAsia="宋体" w:cs="宋体"/>
          <w:b/>
          <w:bCs/>
          <w:kern w:val="0"/>
          <w:sz w:val="24"/>
          <w:szCs w:val="24"/>
          <w:lang w:eastAsia="zh-CN"/>
        </w:rPr>
        <w:t>委托人</w:t>
      </w:r>
      <w:r>
        <w:rPr>
          <w:rFonts w:hint="eastAsia" w:ascii="宋体" w:hAnsi="宋体" w:eastAsia="宋体" w:cs="宋体"/>
          <w:b/>
          <w:bCs/>
          <w:kern w:val="0"/>
          <w:sz w:val="24"/>
          <w:szCs w:val="24"/>
        </w:rPr>
        <w:t>）：</w:t>
      </w:r>
      <w:r>
        <w:rPr>
          <w:rFonts w:hint="eastAsia" w:ascii="宋体" w:hAnsi="宋体" w:eastAsia="宋体" w:cs="宋体"/>
          <w:b/>
          <w:bCs/>
          <w:kern w:val="0"/>
          <w:sz w:val="24"/>
          <w:szCs w:val="24"/>
          <w:lang w:val="en-US" w:eastAsia="zh-CN"/>
        </w:rPr>
        <w:t>深圳市龙岗区城投置地开发有限公司</w:t>
      </w:r>
    </w:p>
    <w:p w14:paraId="6F56B410">
      <w:pPr>
        <w:widowControl/>
        <w:overflowPunct/>
        <w:topLinePunct w:val="0"/>
        <w:bidi w:val="0"/>
        <w:spacing w:line="500" w:lineRule="exact"/>
        <w:jc w:val="left"/>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乙方（</w:t>
      </w:r>
      <w:r>
        <w:rPr>
          <w:rFonts w:hint="eastAsia" w:ascii="宋体" w:hAnsi="宋体" w:eastAsia="宋体" w:cs="宋体"/>
          <w:b/>
          <w:bCs/>
          <w:kern w:val="0"/>
          <w:sz w:val="24"/>
          <w:szCs w:val="24"/>
          <w:lang w:val="en-US" w:eastAsia="zh-CN"/>
        </w:rPr>
        <w:t>受托人</w:t>
      </w:r>
      <w:r>
        <w:rPr>
          <w:rFonts w:hint="eastAsia" w:ascii="宋体" w:hAnsi="宋体" w:eastAsia="宋体" w:cs="宋体"/>
          <w:b/>
          <w:bCs/>
          <w:kern w:val="0"/>
          <w:sz w:val="24"/>
          <w:szCs w:val="24"/>
        </w:rPr>
        <w:t>）：</w:t>
      </w:r>
    </w:p>
    <w:p w14:paraId="31C98951">
      <w:pPr>
        <w:overflowPunct/>
        <w:topLinePunct w:val="0"/>
        <w:bidi w:val="0"/>
        <w:spacing w:line="540" w:lineRule="exact"/>
        <w:ind w:firstLine="482" w:firstLineChars="200"/>
        <w:textAlignment w:val="auto"/>
        <w:rPr>
          <w:rFonts w:hint="eastAsia" w:ascii="宋体" w:hAnsi="宋体" w:eastAsia="宋体" w:cs="宋体"/>
          <w:b/>
          <w:bCs/>
          <w:kern w:val="0"/>
          <w:sz w:val="24"/>
          <w:szCs w:val="24"/>
        </w:rPr>
      </w:pPr>
    </w:p>
    <w:p w14:paraId="4D53EA35">
      <w:pPr>
        <w:overflowPunct/>
        <w:topLinePunct w:val="0"/>
        <w:bidi w:val="0"/>
        <w:spacing w:line="540" w:lineRule="exact"/>
        <w:ind w:firstLine="482" w:firstLineChars="200"/>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根据《中华人民共和国民法典》《中华人民共和国律师法》及相关法律法规之规定，甲乙双方经协商一致，就</w:t>
      </w:r>
      <w:r>
        <w:rPr>
          <w:rFonts w:hint="eastAsia" w:ascii="宋体" w:hAnsi="宋体" w:eastAsia="宋体" w:cs="宋体"/>
          <w:b/>
          <w:bCs/>
          <w:kern w:val="0"/>
          <w:sz w:val="24"/>
          <w:szCs w:val="24"/>
          <w:lang w:val="en-US" w:eastAsia="zh-CN"/>
        </w:rPr>
        <w:t>委托乙方提供</w:t>
      </w:r>
      <w:r>
        <w:rPr>
          <w:rFonts w:hint="eastAsia" w:ascii="宋体" w:hAnsi="宋体" w:eastAsia="宋体" w:cs="宋体"/>
          <w:b/>
          <w:bCs/>
          <w:kern w:val="0"/>
          <w:sz w:val="24"/>
          <w:szCs w:val="24"/>
          <w:u w:val="single"/>
          <w:lang w:val="en-US" w:eastAsia="zh-CN"/>
        </w:rPr>
        <w:t>某项目资产收并购专项法律服务（含尽职调查）</w:t>
      </w:r>
      <w:r>
        <w:rPr>
          <w:rFonts w:hint="eastAsia" w:ascii="宋体" w:hAnsi="宋体" w:eastAsia="宋体" w:cs="宋体"/>
          <w:b/>
          <w:bCs/>
          <w:kern w:val="0"/>
          <w:sz w:val="24"/>
          <w:szCs w:val="24"/>
          <w:u w:val="none"/>
          <w:lang w:val="en-US" w:eastAsia="zh-CN"/>
        </w:rPr>
        <w:t>（以下简称“项目”）</w:t>
      </w:r>
      <w:r>
        <w:rPr>
          <w:rFonts w:hint="eastAsia" w:ascii="宋体" w:hAnsi="宋体" w:eastAsia="宋体" w:cs="宋体"/>
          <w:b/>
          <w:bCs/>
          <w:kern w:val="0"/>
          <w:sz w:val="24"/>
          <w:szCs w:val="24"/>
        </w:rPr>
        <w:t>事宜，一致同意签订本合同，以资双方信守。</w:t>
      </w:r>
    </w:p>
    <w:p w14:paraId="026A0D1C">
      <w:pPr>
        <w:overflowPunct/>
        <w:topLinePunct w:val="0"/>
        <w:bidi w:val="0"/>
        <w:spacing w:line="500" w:lineRule="exact"/>
        <w:ind w:firstLine="463" w:firstLineChars="192"/>
        <w:textAlignment w:val="auto"/>
        <w:outlineLvl w:val="0"/>
        <w:rPr>
          <w:rFonts w:hint="eastAsia" w:ascii="宋体" w:hAnsi="宋体" w:eastAsia="宋体" w:cs="宋体"/>
          <w:b/>
          <w:bCs/>
          <w:sz w:val="24"/>
          <w:szCs w:val="24"/>
        </w:rPr>
      </w:pPr>
      <w:r>
        <w:rPr>
          <w:rFonts w:hint="eastAsia" w:ascii="宋体" w:hAnsi="宋体" w:eastAsia="宋体" w:cs="宋体"/>
          <w:b/>
          <w:bCs/>
          <w:kern w:val="0"/>
          <w:sz w:val="24"/>
          <w:szCs w:val="24"/>
        </w:rPr>
        <w:t xml:space="preserve">第一条 </w:t>
      </w:r>
      <w:r>
        <w:rPr>
          <w:rFonts w:hint="eastAsia" w:ascii="宋体" w:hAnsi="宋体" w:eastAsia="宋体" w:cs="宋体"/>
          <w:b/>
          <w:bCs/>
          <w:sz w:val="24"/>
          <w:szCs w:val="24"/>
        </w:rPr>
        <w:t>服务团队及人员安排</w:t>
      </w:r>
    </w:p>
    <w:p w14:paraId="59955265">
      <w:pPr>
        <w:overflowPunct/>
        <w:topLinePunct w:val="0"/>
        <w:bidi w:val="0"/>
        <w:spacing w:line="540" w:lineRule="exact"/>
        <w:ind w:firstLine="456" w:firstLineChars="200"/>
        <w:textAlignment w:val="auto"/>
        <w:rPr>
          <w:rFonts w:hint="eastAsia" w:ascii="宋体" w:hAnsi="宋体" w:eastAsia="宋体" w:cs="宋体"/>
          <w:spacing w:val="-6"/>
          <w:sz w:val="24"/>
          <w:szCs w:val="24"/>
        </w:rPr>
      </w:pPr>
      <w:r>
        <w:rPr>
          <w:rFonts w:hint="eastAsia" w:ascii="宋体" w:hAnsi="宋体" w:eastAsia="宋体" w:cs="宋体"/>
          <w:spacing w:val="-6"/>
          <w:sz w:val="24"/>
          <w:szCs w:val="24"/>
        </w:rPr>
        <w:t>乙方接受甲方</w:t>
      </w:r>
      <w:r>
        <w:rPr>
          <w:rFonts w:hint="eastAsia" w:ascii="宋体" w:hAnsi="宋体" w:eastAsia="宋体" w:cs="宋体"/>
          <w:spacing w:val="-6"/>
          <w:sz w:val="24"/>
          <w:szCs w:val="24"/>
          <w:lang w:val="en-US" w:eastAsia="zh-CN"/>
        </w:rPr>
        <w:t>委托</w:t>
      </w:r>
      <w:r>
        <w:rPr>
          <w:rFonts w:hint="eastAsia" w:ascii="宋体" w:hAnsi="宋体" w:eastAsia="宋体" w:cs="宋体"/>
          <w:spacing w:val="-6"/>
          <w:sz w:val="24"/>
          <w:szCs w:val="24"/>
        </w:rPr>
        <w:t>，并指派</w:t>
      </w:r>
      <w:r>
        <w:rPr>
          <w:rFonts w:hint="eastAsia" w:ascii="宋体" w:hAnsi="宋体" w:eastAsia="宋体" w:cs="宋体"/>
          <w:spacing w:val="-6"/>
          <w:sz w:val="24"/>
          <w:szCs w:val="24"/>
          <w:u w:val="single"/>
          <w:lang w:val="en-US" w:eastAsia="zh-CN"/>
        </w:rPr>
        <w:t xml:space="preserve">                              </w:t>
      </w:r>
      <w:r>
        <w:rPr>
          <w:rFonts w:hint="eastAsia" w:ascii="宋体" w:hAnsi="宋体" w:eastAsia="宋体" w:cs="宋体"/>
          <w:spacing w:val="-6"/>
          <w:sz w:val="24"/>
          <w:szCs w:val="24"/>
          <w:u w:val="none"/>
          <w:lang w:val="en-US" w:eastAsia="zh-CN"/>
        </w:rPr>
        <w:t>等人</w:t>
      </w:r>
      <w:r>
        <w:rPr>
          <w:rFonts w:hint="eastAsia" w:ascii="宋体" w:hAnsi="宋体" w:eastAsia="宋体" w:cs="宋体"/>
          <w:spacing w:val="-6"/>
          <w:sz w:val="24"/>
          <w:szCs w:val="24"/>
          <w:lang w:val="en-US" w:eastAsia="zh-CN"/>
        </w:rPr>
        <w:t>共同组成专项服务组</w:t>
      </w:r>
      <w:r>
        <w:rPr>
          <w:rFonts w:hint="eastAsia" w:ascii="宋体" w:hAnsi="宋体" w:eastAsia="宋体" w:cs="宋体"/>
          <w:spacing w:val="-6"/>
          <w:sz w:val="24"/>
          <w:szCs w:val="24"/>
        </w:rPr>
        <w:t>为</w:t>
      </w:r>
      <w:r>
        <w:rPr>
          <w:rFonts w:hint="eastAsia" w:ascii="宋体" w:hAnsi="宋体" w:eastAsia="宋体" w:cs="宋体"/>
          <w:color w:val="auto"/>
          <w:spacing w:val="-6"/>
          <w:sz w:val="24"/>
          <w:szCs w:val="24"/>
        </w:rPr>
        <w:t>甲方</w:t>
      </w:r>
      <w:r>
        <w:rPr>
          <w:rFonts w:hint="eastAsia" w:ascii="宋体" w:hAnsi="宋体" w:eastAsia="宋体" w:cs="宋体"/>
          <w:color w:val="auto"/>
          <w:spacing w:val="-6"/>
          <w:sz w:val="24"/>
          <w:szCs w:val="24"/>
          <w:lang w:val="en-US" w:eastAsia="zh-CN"/>
        </w:rPr>
        <w:t>提供</w:t>
      </w:r>
      <w:r>
        <w:rPr>
          <w:rFonts w:hint="eastAsia" w:ascii="宋体" w:hAnsi="宋体" w:eastAsia="宋体" w:cs="宋体"/>
          <w:color w:val="auto"/>
          <w:spacing w:val="-6"/>
          <w:sz w:val="24"/>
          <w:szCs w:val="24"/>
        </w:rPr>
        <w:t>项目</w:t>
      </w:r>
      <w:r>
        <w:rPr>
          <w:rFonts w:hint="eastAsia" w:ascii="宋体" w:hAnsi="宋体" w:eastAsia="宋体" w:cs="宋体"/>
          <w:color w:val="auto"/>
          <w:spacing w:val="-6"/>
          <w:sz w:val="24"/>
          <w:szCs w:val="24"/>
          <w:lang w:val="en-US" w:eastAsia="zh-CN"/>
        </w:rPr>
        <w:t>专项法律服务</w:t>
      </w:r>
      <w:r>
        <w:rPr>
          <w:rFonts w:hint="eastAsia" w:ascii="宋体" w:hAnsi="宋体" w:eastAsia="宋体" w:cs="宋体"/>
          <w:spacing w:val="-6"/>
          <w:sz w:val="24"/>
          <w:szCs w:val="24"/>
        </w:rPr>
        <w:t>。其中</w:t>
      </w:r>
      <w:r>
        <w:rPr>
          <w:rFonts w:hint="eastAsia" w:ascii="宋体" w:hAnsi="宋体" w:eastAsia="宋体" w:cs="宋体"/>
          <w:spacing w:val="-6"/>
          <w:sz w:val="24"/>
          <w:szCs w:val="24"/>
          <w:lang w:val="en-US" w:eastAsia="zh-CN"/>
        </w:rPr>
        <w:t>【】律师</w:t>
      </w:r>
      <w:r>
        <w:rPr>
          <w:rFonts w:hint="eastAsia" w:ascii="宋体" w:hAnsi="宋体" w:eastAsia="宋体" w:cs="宋体"/>
          <w:spacing w:val="-6"/>
          <w:sz w:val="24"/>
          <w:szCs w:val="24"/>
        </w:rPr>
        <w:t>为</w:t>
      </w:r>
      <w:r>
        <w:rPr>
          <w:rFonts w:hint="eastAsia" w:ascii="宋体" w:hAnsi="宋体" w:eastAsia="宋体" w:cs="宋体"/>
          <w:spacing w:val="-6"/>
          <w:sz w:val="24"/>
          <w:szCs w:val="24"/>
          <w:lang w:val="en-US" w:eastAsia="zh-CN"/>
        </w:rPr>
        <w:t>项目</w:t>
      </w:r>
      <w:r>
        <w:rPr>
          <w:rFonts w:hint="eastAsia" w:ascii="宋体" w:hAnsi="宋体" w:eastAsia="宋体" w:cs="宋体"/>
          <w:spacing w:val="-6"/>
          <w:sz w:val="24"/>
          <w:szCs w:val="24"/>
        </w:rPr>
        <w:t>负责人，</w:t>
      </w:r>
      <w:r>
        <w:rPr>
          <w:rFonts w:hint="eastAsia" w:ascii="宋体" w:hAnsi="宋体" w:eastAsia="宋体" w:cs="宋体"/>
          <w:spacing w:val="-6"/>
          <w:sz w:val="24"/>
          <w:szCs w:val="24"/>
          <w:lang w:eastAsia="zh-CN"/>
        </w:rPr>
        <w:t>乙方将根据项目进展的需要，随时调配</w:t>
      </w:r>
      <w:r>
        <w:rPr>
          <w:rFonts w:hint="eastAsia" w:ascii="宋体" w:hAnsi="宋体" w:eastAsia="宋体" w:cs="宋体"/>
          <w:spacing w:val="-6"/>
          <w:sz w:val="24"/>
          <w:szCs w:val="24"/>
        </w:rPr>
        <w:t>项目团队成员，保障</w:t>
      </w:r>
      <w:r>
        <w:rPr>
          <w:rFonts w:hint="eastAsia" w:ascii="宋体" w:hAnsi="宋体" w:eastAsia="宋体" w:cs="宋体"/>
          <w:spacing w:val="-6"/>
          <w:sz w:val="24"/>
          <w:szCs w:val="24"/>
          <w:lang w:eastAsia="zh-CN"/>
        </w:rPr>
        <w:t>甲方</w:t>
      </w:r>
      <w:r>
        <w:rPr>
          <w:rFonts w:hint="eastAsia" w:ascii="宋体" w:hAnsi="宋体" w:eastAsia="宋体" w:cs="宋体"/>
          <w:spacing w:val="-6"/>
          <w:sz w:val="24"/>
          <w:szCs w:val="24"/>
        </w:rPr>
        <w:t>项目顺利、及时开展。</w:t>
      </w:r>
    </w:p>
    <w:p w14:paraId="3589A041">
      <w:pPr>
        <w:tabs>
          <w:tab w:val="left" w:pos="630"/>
        </w:tabs>
        <w:overflowPunct/>
        <w:topLinePunct w:val="0"/>
        <w:bidi w:val="0"/>
        <w:spacing w:line="500" w:lineRule="exact"/>
        <w:ind w:firstLine="463" w:firstLineChars="192"/>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第</w:t>
      </w:r>
      <w:r>
        <w:rPr>
          <w:rFonts w:hint="eastAsia" w:ascii="宋体" w:hAnsi="宋体" w:eastAsia="宋体" w:cs="宋体"/>
          <w:b/>
          <w:bCs/>
          <w:kern w:val="0"/>
          <w:sz w:val="24"/>
          <w:szCs w:val="24"/>
          <w:lang w:eastAsia="zh-CN"/>
        </w:rPr>
        <w:t>二</w:t>
      </w:r>
      <w:r>
        <w:rPr>
          <w:rFonts w:hint="eastAsia" w:ascii="宋体" w:hAnsi="宋体" w:eastAsia="宋体" w:cs="宋体"/>
          <w:b/>
          <w:bCs/>
          <w:kern w:val="0"/>
          <w:sz w:val="24"/>
          <w:szCs w:val="24"/>
        </w:rPr>
        <w:t>条 合同期限</w:t>
      </w:r>
    </w:p>
    <w:p w14:paraId="27D0BB0E">
      <w:pPr>
        <w:tabs>
          <w:tab w:val="left" w:pos="630"/>
        </w:tabs>
        <w:overflowPunct/>
        <w:topLinePunct w:val="0"/>
        <w:bidi w:val="0"/>
        <w:spacing w:line="500" w:lineRule="exact"/>
        <w:ind w:firstLine="460" w:firstLineChars="192"/>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自本合同签订之日起至收购物业办理完毕产权证书之日止。</w:t>
      </w:r>
    </w:p>
    <w:p w14:paraId="17E401F5">
      <w:pPr>
        <w:widowControl/>
        <w:overflowPunct/>
        <w:topLinePunct w:val="0"/>
        <w:bidi w:val="0"/>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sz w:val="24"/>
          <w:szCs w:val="24"/>
        </w:rPr>
        <w:t>第三条 服务内容</w:t>
      </w:r>
    </w:p>
    <w:p w14:paraId="6ADA7D8A">
      <w:pPr>
        <w:overflowPunct/>
        <w:topLinePunct w:val="0"/>
        <w:bidi w:val="0"/>
        <w:spacing w:line="500" w:lineRule="exact"/>
        <w:ind w:firstLine="460" w:firstLineChars="192"/>
        <w:textAlignment w:val="auto"/>
        <w:outlineLvl w:val="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提供收并购专项法律服务，包括但不限于：</w:t>
      </w:r>
    </w:p>
    <w:p w14:paraId="5676BEC5">
      <w:pPr>
        <w:overflowPunct/>
        <w:topLinePunct w:val="0"/>
        <w:bidi w:val="0"/>
        <w:spacing w:line="500" w:lineRule="exact"/>
        <w:ind w:firstLine="463" w:firstLineChars="192"/>
        <w:textAlignment w:val="auto"/>
        <w:outlineLvl w:val="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（一）尽职调查及交易模式</w:t>
      </w:r>
    </w:p>
    <w:p w14:paraId="52ED88D7">
      <w:pPr>
        <w:overflowPunct/>
        <w:topLinePunct w:val="0"/>
        <w:bidi w:val="0"/>
        <w:spacing w:line="500" w:lineRule="exact"/>
        <w:ind w:firstLine="460" w:firstLineChars="192"/>
        <w:textAlignment w:val="auto"/>
        <w:outlineLvl w:val="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1.对目标公司及拟收购资产开展全面尽职调查，调查方式包括自行调查及目标公司主动披露，调查内容包括但不限于：</w:t>
      </w:r>
    </w:p>
    <w:p w14:paraId="49185608">
      <w:pPr>
        <w:overflowPunct/>
        <w:topLinePunct w:val="0"/>
        <w:bidi w:val="0"/>
        <w:spacing w:line="500" w:lineRule="exact"/>
        <w:ind w:firstLine="460" w:firstLineChars="192"/>
        <w:textAlignment w:val="auto"/>
        <w:outlineLvl w:val="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lang w:eastAsia="zh-CN"/>
        </w:rPr>
        <w:t>目标公司的基本情况、对外投资情况、治理结构、资质情况；</w:t>
      </w:r>
    </w:p>
    <w:p w14:paraId="15FFD2F0">
      <w:pPr>
        <w:overflowPunct/>
        <w:topLinePunct w:val="0"/>
        <w:bidi w:val="0"/>
        <w:spacing w:line="500" w:lineRule="exact"/>
        <w:ind w:firstLine="460" w:firstLineChars="192"/>
        <w:textAlignment w:val="auto"/>
        <w:outlineLvl w:val="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（2）目标公司资产（权属沿革及抵押、查封等权利负担状态）及潜在风险分析、建设工程等项目进度和合法合规性；</w:t>
      </w:r>
    </w:p>
    <w:p w14:paraId="7646AB25">
      <w:pPr>
        <w:overflowPunct/>
        <w:topLinePunct w:val="0"/>
        <w:bidi w:val="0"/>
        <w:spacing w:line="500" w:lineRule="exact"/>
        <w:ind w:firstLine="460" w:firstLineChars="192"/>
        <w:textAlignment w:val="auto"/>
        <w:outlineLvl w:val="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（3）目标公司及与项目相关的重大合同签署及履行情况，如银行贷款合同、合作开发合同、勘察设计合同、建设施工合同等；</w:t>
      </w:r>
    </w:p>
    <w:p w14:paraId="64BD1375">
      <w:pPr>
        <w:overflowPunct/>
        <w:topLinePunct w:val="0"/>
        <w:bidi w:val="0"/>
        <w:spacing w:line="500" w:lineRule="exact"/>
        <w:ind w:firstLine="460" w:firstLineChars="192"/>
        <w:textAlignment w:val="auto"/>
        <w:outlineLvl w:val="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（4）目标公司劳动用工、重大债权债务、关联交易及对外担保、税务风险等情况；</w:t>
      </w:r>
    </w:p>
    <w:p w14:paraId="7862D8CF">
      <w:pPr>
        <w:overflowPunct/>
        <w:topLinePunct w:val="0"/>
        <w:bidi w:val="0"/>
        <w:spacing w:line="500" w:lineRule="exact"/>
        <w:ind w:firstLine="460" w:firstLineChars="192"/>
        <w:textAlignment w:val="auto"/>
        <w:outlineLvl w:val="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（5）目标公司诉讼仲裁和行政处罚等；</w:t>
      </w:r>
    </w:p>
    <w:p w14:paraId="4213CA86">
      <w:pPr>
        <w:overflowPunct/>
        <w:topLinePunct w:val="0"/>
        <w:bidi w:val="0"/>
        <w:spacing w:line="500" w:lineRule="exact"/>
        <w:ind w:firstLine="460" w:firstLineChars="192"/>
        <w:textAlignment w:val="auto"/>
        <w:outlineLvl w:val="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（6）研判并充分披露收购存在的重大风险、潜在风险及制定可采取的应对措施；</w:t>
      </w:r>
    </w:p>
    <w:p w14:paraId="3C1676F9">
      <w:pPr>
        <w:overflowPunct/>
        <w:topLinePunct w:val="0"/>
        <w:bidi w:val="0"/>
        <w:spacing w:line="500" w:lineRule="exact"/>
        <w:ind w:firstLine="460" w:firstLineChars="192"/>
        <w:textAlignment w:val="auto"/>
        <w:outlineLvl w:val="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（7）穿透目标公司的上层股权架构，核查与目标公司及其资产相关的合同文件；</w:t>
      </w:r>
    </w:p>
    <w:p w14:paraId="7531A908">
      <w:pPr>
        <w:overflowPunct/>
        <w:topLinePunct w:val="0"/>
        <w:bidi w:val="0"/>
        <w:spacing w:line="500" w:lineRule="exact"/>
        <w:ind w:firstLine="460" w:firstLineChars="192"/>
        <w:textAlignment w:val="auto"/>
        <w:outlineLvl w:val="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（8）其他与尽调相关的事项。</w:t>
      </w:r>
    </w:p>
    <w:p w14:paraId="0938E27A">
      <w:pPr>
        <w:overflowPunct/>
        <w:topLinePunct w:val="0"/>
        <w:bidi w:val="0"/>
        <w:spacing w:line="500" w:lineRule="exact"/>
        <w:ind w:firstLine="460" w:firstLineChars="192"/>
        <w:textAlignment w:val="auto"/>
        <w:outlineLvl w:val="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2.初步设计交易模式，针对交易生效条件、交易主体的合法有效性、交易对价的支付安排、交付标准、风险隔离、退出机制等提出法律意见。</w:t>
      </w:r>
    </w:p>
    <w:p w14:paraId="671AC69C">
      <w:pPr>
        <w:overflowPunct/>
        <w:topLinePunct w:val="0"/>
        <w:bidi w:val="0"/>
        <w:spacing w:line="500" w:lineRule="exact"/>
        <w:ind w:firstLine="463" w:firstLineChars="192"/>
        <w:textAlignment w:val="auto"/>
        <w:outlineLvl w:val="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（二）深化交易架构及配套文件</w:t>
      </w:r>
    </w:p>
    <w:p w14:paraId="78583764">
      <w:pPr>
        <w:overflowPunct/>
        <w:topLinePunct w:val="0"/>
        <w:bidi w:val="0"/>
        <w:spacing w:line="500" w:lineRule="exact"/>
        <w:ind w:firstLine="460" w:firstLineChars="192"/>
        <w:textAlignment w:val="auto"/>
        <w:outlineLvl w:val="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1.协助开展交易前风险排除措施，包括但不限于参与相关债权人的协商谈判、拟定相关文件等。</w:t>
      </w:r>
    </w:p>
    <w:p w14:paraId="113794FE">
      <w:pPr>
        <w:overflowPunct/>
        <w:topLinePunct w:val="0"/>
        <w:bidi w:val="0"/>
        <w:spacing w:line="500" w:lineRule="exact"/>
        <w:ind w:firstLine="460" w:firstLineChars="192"/>
        <w:textAlignment w:val="auto"/>
        <w:outlineLvl w:val="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2.参与合同法律、商务谈判，制作谈判备忘录，明确存在的问题及下一步工作建议等。</w:t>
      </w:r>
    </w:p>
    <w:p w14:paraId="7DF92D7B">
      <w:pPr>
        <w:overflowPunct/>
        <w:topLinePunct w:val="0"/>
        <w:bidi w:val="0"/>
        <w:spacing w:line="500" w:lineRule="exact"/>
        <w:ind w:firstLine="460" w:firstLineChars="192"/>
        <w:textAlignment w:val="auto"/>
        <w:outlineLvl w:val="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3.根据谈判结果及最新的风险研判情况，起草、审核、修改相关交易文件，包括但不限于资产收购协议、资金共管协议及相关协议文件。</w:t>
      </w:r>
    </w:p>
    <w:p w14:paraId="3FC0DB0F">
      <w:pPr>
        <w:overflowPunct/>
        <w:topLinePunct w:val="0"/>
        <w:bidi w:val="0"/>
        <w:spacing w:line="500" w:lineRule="exact"/>
        <w:ind w:firstLine="463" w:firstLineChars="192"/>
        <w:textAlignment w:val="auto"/>
        <w:outlineLvl w:val="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（三）交易合同签订及履行</w:t>
      </w:r>
    </w:p>
    <w:p w14:paraId="515D49A3">
      <w:pPr>
        <w:overflowPunct/>
        <w:topLinePunct w:val="0"/>
        <w:bidi w:val="0"/>
        <w:spacing w:line="500" w:lineRule="exact"/>
        <w:ind w:firstLine="460" w:firstLineChars="192"/>
        <w:textAlignment w:val="auto"/>
        <w:outlineLvl w:val="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1.协助合同完成签署，确保合同合法有效。</w:t>
      </w:r>
    </w:p>
    <w:p w14:paraId="51C5284B">
      <w:pPr>
        <w:overflowPunct/>
        <w:topLinePunct w:val="0"/>
        <w:bidi w:val="0"/>
        <w:spacing w:line="500" w:lineRule="exact"/>
        <w:ind w:firstLine="460" w:firstLineChars="192"/>
        <w:textAlignment w:val="auto"/>
        <w:outlineLvl w:val="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2.协助办理网签备案、预告登记，跟进住建部门及不动产登记中心的审批流程等。</w:t>
      </w:r>
    </w:p>
    <w:p w14:paraId="7877E490">
      <w:pPr>
        <w:overflowPunct/>
        <w:topLinePunct w:val="0"/>
        <w:bidi w:val="0"/>
        <w:spacing w:line="500" w:lineRule="exact"/>
        <w:ind w:firstLine="460" w:firstLineChars="192"/>
        <w:textAlignment w:val="auto"/>
        <w:outlineLvl w:val="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3.协助设立共管账户、对交易对价的支付合规性进行审查。</w:t>
      </w:r>
    </w:p>
    <w:p w14:paraId="567ED2D1">
      <w:pPr>
        <w:overflowPunct/>
        <w:topLinePunct w:val="0"/>
        <w:bidi w:val="0"/>
        <w:spacing w:line="500" w:lineRule="exact"/>
        <w:ind w:firstLine="460" w:firstLineChars="192"/>
        <w:textAlignment w:val="auto"/>
        <w:outlineLvl w:val="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4.动态查询标的物业及交易相对方名下的新增司法查封与冻结信息。若有第三人对标的物业主张权利，协助协调解除权利负担。</w:t>
      </w:r>
    </w:p>
    <w:p w14:paraId="10A5A7F6">
      <w:pPr>
        <w:overflowPunct/>
        <w:topLinePunct w:val="0"/>
        <w:bidi w:val="0"/>
        <w:spacing w:line="500" w:lineRule="exact"/>
        <w:ind w:firstLine="460" w:firstLineChars="192"/>
        <w:textAlignment w:val="auto"/>
        <w:outlineLvl w:val="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5.列席重要工程例会，审查各分项工程验收文件，确保工程质量合规。</w:t>
      </w:r>
    </w:p>
    <w:p w14:paraId="249F96B8">
      <w:pPr>
        <w:overflowPunct/>
        <w:topLinePunct w:val="0"/>
        <w:bidi w:val="0"/>
        <w:spacing w:line="500" w:lineRule="exact"/>
        <w:ind w:firstLine="463" w:firstLineChars="192"/>
        <w:textAlignment w:val="auto"/>
        <w:outlineLvl w:val="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（四）物业交付及办证</w:t>
      </w:r>
    </w:p>
    <w:p w14:paraId="52A8D121">
      <w:pPr>
        <w:overflowPunct/>
        <w:topLinePunct w:val="0"/>
        <w:bidi w:val="0"/>
        <w:spacing w:line="500" w:lineRule="exact"/>
        <w:ind w:firstLine="460" w:firstLineChars="192"/>
        <w:textAlignment w:val="auto"/>
        <w:outlineLvl w:val="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1.审核收楼文件、协助办理相关收楼手续。</w:t>
      </w:r>
    </w:p>
    <w:p w14:paraId="4844314A">
      <w:pPr>
        <w:overflowPunct/>
        <w:topLinePunct w:val="0"/>
        <w:bidi w:val="0"/>
        <w:spacing w:line="500" w:lineRule="exact"/>
        <w:ind w:firstLine="460" w:firstLineChars="192"/>
        <w:textAlignment w:val="auto"/>
        <w:outlineLvl w:val="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2.协助审查规划、消防、人防、节能及竣工验收备案等全套手续的法律文件。</w:t>
      </w:r>
    </w:p>
    <w:p w14:paraId="3A937616">
      <w:pPr>
        <w:overflowPunct/>
        <w:topLinePunct w:val="0"/>
        <w:bidi w:val="0"/>
        <w:spacing w:line="500" w:lineRule="exact"/>
        <w:ind w:firstLine="460" w:firstLineChars="192"/>
        <w:textAlignment w:val="auto"/>
        <w:outlineLvl w:val="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3.协助办理不动产权证书。</w:t>
      </w:r>
    </w:p>
    <w:p w14:paraId="73B6D339">
      <w:pPr>
        <w:overflowPunct/>
        <w:topLinePunct w:val="0"/>
        <w:bidi w:val="0"/>
        <w:spacing w:line="500" w:lineRule="exact"/>
        <w:ind w:firstLine="463" w:firstLineChars="192"/>
        <w:textAlignment w:val="auto"/>
        <w:outlineLvl w:val="0"/>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（五）其他与收购相关的法律服务，</w:t>
      </w:r>
      <w:r>
        <w:rPr>
          <w:rFonts w:hint="eastAsia" w:ascii="宋体" w:hAnsi="宋体" w:eastAsia="宋体" w:cs="宋体"/>
          <w:b w:val="0"/>
          <w:bCs w:val="0"/>
          <w:sz w:val="24"/>
          <w:szCs w:val="24"/>
          <w:lang w:val="en-US" w:eastAsia="zh-CN"/>
        </w:rPr>
        <w:t>包括但不限于提供法律咨询、出具法律意见、参与相关会议等。</w:t>
      </w:r>
    </w:p>
    <w:p w14:paraId="494C00D4">
      <w:pPr>
        <w:overflowPunct/>
        <w:topLinePunct w:val="0"/>
        <w:bidi w:val="0"/>
        <w:spacing w:line="500" w:lineRule="exact"/>
        <w:ind w:firstLine="460" w:firstLineChars="192"/>
        <w:textAlignment w:val="auto"/>
        <w:outlineLvl w:val="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服务终止后，整理已完成的全部法律文件，编制详细的项目法律档案目录，形成电子及纸质档案移交甲方存档。</w:t>
      </w:r>
    </w:p>
    <w:p w14:paraId="68F50405">
      <w:pPr>
        <w:overflowPunct/>
        <w:topLinePunct w:val="0"/>
        <w:bidi w:val="0"/>
        <w:spacing w:line="500" w:lineRule="exact"/>
        <w:ind w:firstLine="463" w:firstLineChars="192"/>
        <w:textAlignment w:val="auto"/>
        <w:outlineLvl w:val="0"/>
        <w:rPr>
          <w:rFonts w:hint="eastAsia" w:ascii="宋体" w:hAnsi="宋体" w:eastAsia="宋体" w:cs="宋体"/>
          <w:b/>
          <w:bCs/>
          <w:sz w:val="24"/>
          <w:szCs w:val="24"/>
        </w:rPr>
      </w:pPr>
      <w:r>
        <w:rPr>
          <w:rFonts w:hint="eastAsia" w:ascii="宋体" w:hAnsi="宋体" w:eastAsia="宋体" w:cs="宋体"/>
          <w:b/>
          <w:bCs/>
          <w:sz w:val="24"/>
          <w:szCs w:val="24"/>
          <w:lang w:eastAsia="zh-CN"/>
        </w:rPr>
        <w:t>第四条</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服务费用</w:t>
      </w:r>
    </w:p>
    <w:p w14:paraId="3CC104C8">
      <w:pPr>
        <w:tabs>
          <w:tab w:val="left" w:pos="630"/>
        </w:tabs>
        <w:overflowPunct/>
        <w:topLinePunct w:val="0"/>
        <w:bidi w:val="0"/>
        <w:spacing w:line="500" w:lineRule="exact"/>
        <w:ind w:firstLine="460" w:firstLineChars="192"/>
        <w:textAlignment w:val="auto"/>
        <w:rPr>
          <w:rFonts w:hint="eastAsia" w:ascii="宋体" w:hAnsi="宋体" w:eastAsia="宋体" w:cs="宋体"/>
          <w:sz w:val="24"/>
          <w:szCs w:val="24"/>
          <w:u w:color="218FC4"/>
          <w:lang w:eastAsia="zh-CN"/>
        </w:rPr>
      </w:pPr>
      <w:r>
        <w:rPr>
          <w:rFonts w:hint="eastAsia" w:ascii="宋体" w:hAnsi="宋体" w:eastAsia="宋体" w:cs="宋体"/>
          <w:sz w:val="24"/>
          <w:szCs w:val="24"/>
          <w:u w:color="218FC4"/>
        </w:rPr>
        <w:t>乙方本项目的</w:t>
      </w:r>
      <w:r>
        <w:rPr>
          <w:rFonts w:hint="eastAsia" w:ascii="宋体" w:hAnsi="宋体" w:eastAsia="宋体" w:cs="宋体"/>
          <w:sz w:val="24"/>
          <w:szCs w:val="24"/>
          <w:u w:color="218FC4"/>
          <w:lang w:eastAsia="zh-CN"/>
        </w:rPr>
        <w:t>服务费用</w:t>
      </w:r>
      <w:r>
        <w:rPr>
          <w:rFonts w:hint="eastAsia" w:ascii="宋体" w:hAnsi="宋体" w:eastAsia="宋体" w:cs="宋体"/>
          <w:sz w:val="24"/>
          <w:szCs w:val="24"/>
          <w:u w:color="218FC4"/>
        </w:rPr>
        <w:t>为人民币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color="218FC4"/>
        </w:rPr>
        <w:t>元（大写：人民币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color="218FC4"/>
        </w:rPr>
        <w:t>元整）。</w:t>
      </w:r>
      <w:r>
        <w:rPr>
          <w:rFonts w:hint="eastAsia" w:ascii="宋体" w:hAnsi="宋体" w:eastAsia="宋体" w:cs="宋体"/>
          <w:sz w:val="24"/>
          <w:szCs w:val="24"/>
          <w:u w:color="218FC4"/>
          <w:lang w:val="en-US" w:eastAsia="zh-CN"/>
        </w:rPr>
        <w:t>上述价款已包含完成本项目所需的全部成本、利润、税费、专家评审费（如有）及其他一切费用。</w:t>
      </w:r>
    </w:p>
    <w:p w14:paraId="2620255E">
      <w:pPr>
        <w:kinsoku w:val="0"/>
        <w:overflowPunct/>
        <w:topLinePunct w:val="0"/>
        <w:bidi w:val="0"/>
        <w:spacing w:line="560" w:lineRule="exact"/>
        <w:ind w:firstLine="482" w:firstLineChars="200"/>
        <w:textAlignment w:val="auto"/>
        <w:rPr>
          <w:rFonts w:hint="default"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第五条 服务费用支付方式</w:t>
      </w:r>
    </w:p>
    <w:p w14:paraId="5AF7E5D2">
      <w:pPr>
        <w:numPr>
          <w:ilvl w:val="0"/>
          <w:numId w:val="0"/>
        </w:numPr>
        <w:kinsoku w:val="0"/>
        <w:overflowPunct/>
        <w:topLinePunct w:val="0"/>
        <w:bidi w:val="0"/>
        <w:spacing w:line="560" w:lineRule="exact"/>
        <w:ind w:firstLine="480" w:firstLineChars="200"/>
        <w:textAlignment w:val="auto"/>
        <w:rPr>
          <w:rFonts w:hint="eastAsia" w:ascii="宋体" w:hAnsi="宋体" w:eastAsia="宋体" w:cs="宋体"/>
          <w:color w:val="auto"/>
          <w:sz w:val="24"/>
          <w:szCs w:val="24"/>
          <w:u w:color="218FC4"/>
        </w:rPr>
      </w:pPr>
      <w:r>
        <w:rPr>
          <w:rFonts w:hint="eastAsia" w:ascii="宋体" w:hAnsi="宋体" w:eastAsia="宋体" w:cs="宋体"/>
          <w:color w:val="auto"/>
          <w:sz w:val="24"/>
          <w:szCs w:val="24"/>
          <w:u w:color="218FC4"/>
          <w:lang w:val="en-US" w:eastAsia="zh-CN"/>
        </w:rPr>
        <w:t>1.</w:t>
      </w:r>
      <w:r>
        <w:rPr>
          <w:rFonts w:hint="eastAsia" w:ascii="宋体" w:hAnsi="宋体" w:eastAsia="宋体" w:cs="宋体"/>
          <w:color w:val="auto"/>
          <w:sz w:val="24"/>
          <w:szCs w:val="24"/>
          <w:u w:color="218FC4"/>
          <w:lang w:eastAsia="zh-CN"/>
        </w:rPr>
        <w:t>服务费用支付安排如下：</w:t>
      </w:r>
    </w:p>
    <w:tbl>
      <w:tblPr>
        <w:tblStyle w:val="21"/>
        <w:tblW w:w="9600" w:type="dxa"/>
        <w:tblInd w:w="-2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2152"/>
        <w:gridCol w:w="5752"/>
      </w:tblGrid>
      <w:tr w14:paraId="08D58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8" w:hRule="atLeast"/>
        </w:trPr>
        <w:tc>
          <w:tcPr>
            <w:tcW w:w="1696" w:type="dxa"/>
            <w:noWrap w:val="0"/>
            <w:vAlign w:val="top"/>
          </w:tcPr>
          <w:p w14:paraId="590A895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cstheme="minorEastAsia"/>
                <w:sz w:val="24"/>
                <w:szCs w:val="24"/>
                <w:highlight w:val="none"/>
                <w:vertAlign w:val="baseline"/>
                <w:lang w:val="en-US" w:eastAsia="zh-CN"/>
              </w:rPr>
              <w:t>服务内容</w:t>
            </w:r>
          </w:p>
        </w:tc>
        <w:tc>
          <w:tcPr>
            <w:tcW w:w="2152" w:type="dxa"/>
            <w:noWrap w:val="0"/>
            <w:vAlign w:val="top"/>
          </w:tcPr>
          <w:p w14:paraId="064802F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当期应付金额</w:t>
            </w:r>
          </w:p>
        </w:tc>
        <w:tc>
          <w:tcPr>
            <w:tcW w:w="5752" w:type="dxa"/>
            <w:noWrap w:val="0"/>
            <w:vAlign w:val="top"/>
          </w:tcPr>
          <w:p w14:paraId="55C9105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支付安排</w:t>
            </w:r>
          </w:p>
        </w:tc>
      </w:tr>
      <w:tr w14:paraId="1819A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Merge w:val="restart"/>
            <w:noWrap w:val="0"/>
            <w:vAlign w:val="center"/>
          </w:tcPr>
          <w:p w14:paraId="7613DEB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（一）尽职调查及交易模式</w:t>
            </w:r>
          </w:p>
        </w:tc>
        <w:tc>
          <w:tcPr>
            <w:tcW w:w="2152" w:type="dxa"/>
            <w:vMerge w:val="restart"/>
            <w:noWrap w:val="0"/>
            <w:vAlign w:val="center"/>
          </w:tcPr>
          <w:p w14:paraId="58F2346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占合同总价的40%</w:t>
            </w:r>
          </w:p>
        </w:tc>
        <w:tc>
          <w:tcPr>
            <w:tcW w:w="5752" w:type="dxa"/>
            <w:noWrap w:val="0"/>
            <w:vAlign w:val="top"/>
          </w:tcPr>
          <w:p w14:paraId="5A18CF8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交付尽调报告初稿，并经甲方验收合格后支付当期应付金额的50%</w:t>
            </w:r>
          </w:p>
        </w:tc>
      </w:tr>
      <w:tr w14:paraId="71F8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Merge w:val="continue"/>
            <w:noWrap w:val="0"/>
            <w:vAlign w:val="center"/>
          </w:tcPr>
          <w:p w14:paraId="2A6EE79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stheme="minorEastAsia"/>
                <w:sz w:val="24"/>
                <w:szCs w:val="24"/>
                <w:highlight w:val="none"/>
                <w:vertAlign w:val="baseline"/>
                <w:lang w:val="en-US" w:eastAsia="zh-CN"/>
              </w:rPr>
            </w:pPr>
          </w:p>
        </w:tc>
        <w:tc>
          <w:tcPr>
            <w:tcW w:w="2152" w:type="dxa"/>
            <w:vMerge w:val="continue"/>
            <w:noWrap w:val="0"/>
            <w:vAlign w:val="center"/>
          </w:tcPr>
          <w:p w14:paraId="1843AA3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stheme="minorEastAsia"/>
                <w:sz w:val="24"/>
                <w:szCs w:val="24"/>
                <w:highlight w:val="none"/>
                <w:vertAlign w:val="baseline"/>
                <w:lang w:val="en-US" w:eastAsia="zh-CN"/>
              </w:rPr>
            </w:pPr>
          </w:p>
        </w:tc>
        <w:tc>
          <w:tcPr>
            <w:tcW w:w="5752" w:type="dxa"/>
            <w:noWrap w:val="0"/>
            <w:vAlign w:val="top"/>
          </w:tcPr>
          <w:p w14:paraId="66FE88D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交付尽调报告终稿及交易模式法律意见书后，支付当期应付金额的50%</w:t>
            </w:r>
          </w:p>
        </w:tc>
      </w:tr>
      <w:tr w14:paraId="2881E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Merge w:val="restart"/>
            <w:noWrap w:val="0"/>
            <w:vAlign w:val="center"/>
          </w:tcPr>
          <w:p w14:paraId="2C2200E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（二）深化交易架构及配套文件</w:t>
            </w:r>
          </w:p>
        </w:tc>
        <w:tc>
          <w:tcPr>
            <w:tcW w:w="2152" w:type="dxa"/>
            <w:vMerge w:val="restart"/>
            <w:noWrap w:val="0"/>
            <w:vAlign w:val="center"/>
          </w:tcPr>
          <w:p w14:paraId="534B9B4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占合同总价的</w:t>
            </w:r>
            <w:r>
              <w:rPr>
                <w:rFonts w:hint="eastAsia" w:asciiTheme="minorEastAsia" w:hAnsiTheme="minorEastAsia" w:cstheme="minorEastAsia"/>
                <w:sz w:val="24"/>
                <w:szCs w:val="24"/>
                <w:highlight w:val="none"/>
                <w:vertAlign w:val="baseline"/>
                <w:lang w:val="en-US" w:eastAsia="zh-CN"/>
              </w:rPr>
              <w:t>2</w:t>
            </w:r>
            <w:r>
              <w:rPr>
                <w:rFonts w:hint="eastAsia" w:asciiTheme="minorEastAsia" w:hAnsiTheme="minorEastAsia" w:eastAsiaTheme="minorEastAsia" w:cstheme="minorEastAsia"/>
                <w:sz w:val="24"/>
                <w:szCs w:val="24"/>
                <w:highlight w:val="none"/>
                <w:vertAlign w:val="baseline"/>
                <w:lang w:val="en-US" w:eastAsia="zh-CN"/>
              </w:rPr>
              <w:t>0%</w:t>
            </w:r>
          </w:p>
        </w:tc>
        <w:tc>
          <w:tcPr>
            <w:tcW w:w="5752" w:type="dxa"/>
            <w:noWrap w:val="0"/>
            <w:vAlign w:val="top"/>
          </w:tcPr>
          <w:p w14:paraId="23D23E5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收购协议及相关配套文件定稿后支付当期应付金额的</w:t>
            </w:r>
            <w:r>
              <w:rPr>
                <w:rFonts w:hint="eastAsia" w:asciiTheme="minorEastAsia" w:hAnsiTheme="minorEastAsia" w:cstheme="minorEastAsia"/>
                <w:sz w:val="24"/>
                <w:szCs w:val="24"/>
                <w:highlight w:val="none"/>
                <w:vertAlign w:val="baseline"/>
                <w:lang w:val="en-US" w:eastAsia="zh-CN"/>
              </w:rPr>
              <w:t>7</w:t>
            </w:r>
            <w:r>
              <w:rPr>
                <w:rFonts w:hint="eastAsia" w:asciiTheme="minorEastAsia" w:hAnsiTheme="minorEastAsia" w:eastAsiaTheme="minorEastAsia" w:cstheme="minorEastAsia"/>
                <w:sz w:val="24"/>
                <w:szCs w:val="24"/>
                <w:highlight w:val="none"/>
                <w:vertAlign w:val="baseline"/>
                <w:lang w:val="en-US" w:eastAsia="zh-CN"/>
              </w:rPr>
              <w:t>0%</w:t>
            </w:r>
          </w:p>
        </w:tc>
      </w:tr>
      <w:tr w14:paraId="1CC3D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Merge w:val="continue"/>
            <w:noWrap w:val="0"/>
            <w:vAlign w:val="center"/>
          </w:tcPr>
          <w:p w14:paraId="5020FA6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stheme="minorEastAsia"/>
                <w:sz w:val="24"/>
                <w:szCs w:val="24"/>
                <w:highlight w:val="none"/>
                <w:vertAlign w:val="baseline"/>
                <w:lang w:val="en-US" w:eastAsia="zh-CN"/>
              </w:rPr>
            </w:pPr>
          </w:p>
        </w:tc>
        <w:tc>
          <w:tcPr>
            <w:tcW w:w="2152" w:type="dxa"/>
            <w:vMerge w:val="continue"/>
            <w:noWrap w:val="0"/>
            <w:vAlign w:val="center"/>
          </w:tcPr>
          <w:p w14:paraId="24F6D4D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stheme="minorEastAsia"/>
                <w:sz w:val="24"/>
                <w:szCs w:val="24"/>
                <w:highlight w:val="none"/>
                <w:vertAlign w:val="baseline"/>
                <w:lang w:val="en-US" w:eastAsia="zh-CN"/>
              </w:rPr>
            </w:pPr>
          </w:p>
        </w:tc>
        <w:tc>
          <w:tcPr>
            <w:tcW w:w="5752" w:type="dxa"/>
            <w:noWrap w:val="0"/>
            <w:vAlign w:val="top"/>
          </w:tcPr>
          <w:p w14:paraId="2888AC4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正式签署收购协议及相关配套文件后支付当期应付金额的</w:t>
            </w:r>
            <w:r>
              <w:rPr>
                <w:rFonts w:hint="eastAsia" w:asciiTheme="minorEastAsia" w:hAnsiTheme="minorEastAsia" w:cstheme="minorEastAsia"/>
                <w:sz w:val="24"/>
                <w:szCs w:val="24"/>
                <w:highlight w:val="none"/>
                <w:vertAlign w:val="baseline"/>
                <w:lang w:val="en-US" w:eastAsia="zh-CN"/>
              </w:rPr>
              <w:t>3</w:t>
            </w:r>
            <w:r>
              <w:rPr>
                <w:rFonts w:hint="eastAsia" w:asciiTheme="minorEastAsia" w:hAnsiTheme="minorEastAsia" w:eastAsiaTheme="minorEastAsia" w:cstheme="minorEastAsia"/>
                <w:sz w:val="24"/>
                <w:szCs w:val="24"/>
                <w:highlight w:val="none"/>
                <w:vertAlign w:val="baseline"/>
                <w:lang w:val="en-US" w:eastAsia="zh-CN"/>
              </w:rPr>
              <w:t>0%</w:t>
            </w:r>
          </w:p>
        </w:tc>
      </w:tr>
      <w:tr w14:paraId="6D9A4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Merge w:val="restart"/>
            <w:noWrap w:val="0"/>
            <w:vAlign w:val="center"/>
          </w:tcPr>
          <w:p w14:paraId="16E0B6B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（三）交易合同签订及履行</w:t>
            </w:r>
          </w:p>
        </w:tc>
        <w:tc>
          <w:tcPr>
            <w:tcW w:w="2152" w:type="dxa"/>
            <w:vMerge w:val="restart"/>
            <w:noWrap w:val="0"/>
            <w:vAlign w:val="center"/>
          </w:tcPr>
          <w:p w14:paraId="78FC13C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占合同总价的1</w:t>
            </w:r>
            <w:r>
              <w:rPr>
                <w:rFonts w:hint="eastAsia" w:asciiTheme="minorEastAsia" w:hAnsiTheme="minorEastAsia" w:cstheme="minorEastAsia"/>
                <w:sz w:val="24"/>
                <w:szCs w:val="24"/>
                <w:highlight w:val="none"/>
                <w:vertAlign w:val="baseline"/>
                <w:lang w:val="en-US" w:eastAsia="zh-CN"/>
              </w:rPr>
              <w:t>5</w:t>
            </w:r>
            <w:r>
              <w:rPr>
                <w:rFonts w:hint="eastAsia" w:asciiTheme="minorEastAsia" w:hAnsiTheme="minorEastAsia" w:eastAsiaTheme="minorEastAsia" w:cstheme="minorEastAsia"/>
                <w:sz w:val="24"/>
                <w:szCs w:val="24"/>
                <w:highlight w:val="none"/>
                <w:vertAlign w:val="baseline"/>
                <w:lang w:val="en-US" w:eastAsia="zh-CN"/>
              </w:rPr>
              <w:t>%</w:t>
            </w:r>
          </w:p>
        </w:tc>
        <w:tc>
          <w:tcPr>
            <w:tcW w:w="5752" w:type="dxa"/>
            <w:noWrap w:val="0"/>
            <w:vAlign w:val="top"/>
          </w:tcPr>
          <w:p w14:paraId="5816ACD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办理完毕预告登记后支付当期应付金额的50%</w:t>
            </w:r>
          </w:p>
        </w:tc>
      </w:tr>
      <w:tr w14:paraId="74E1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vMerge w:val="continue"/>
            <w:noWrap w:val="0"/>
            <w:vAlign w:val="center"/>
          </w:tcPr>
          <w:p w14:paraId="5F589C5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stheme="minorEastAsia"/>
                <w:sz w:val="24"/>
                <w:szCs w:val="24"/>
                <w:highlight w:val="none"/>
                <w:vertAlign w:val="baseline"/>
                <w:lang w:val="en-US" w:eastAsia="zh-CN"/>
              </w:rPr>
            </w:pPr>
          </w:p>
        </w:tc>
        <w:tc>
          <w:tcPr>
            <w:tcW w:w="2152" w:type="dxa"/>
            <w:vMerge w:val="continue"/>
            <w:noWrap w:val="0"/>
            <w:vAlign w:val="center"/>
          </w:tcPr>
          <w:p w14:paraId="3602C6C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stheme="minorEastAsia"/>
                <w:sz w:val="24"/>
                <w:szCs w:val="24"/>
                <w:highlight w:val="none"/>
                <w:vertAlign w:val="baseline"/>
                <w:lang w:val="en-US" w:eastAsia="zh-CN"/>
              </w:rPr>
            </w:pPr>
          </w:p>
        </w:tc>
        <w:tc>
          <w:tcPr>
            <w:tcW w:w="5752" w:type="dxa"/>
            <w:noWrap w:val="0"/>
            <w:vAlign w:val="top"/>
          </w:tcPr>
          <w:p w14:paraId="21E9B9B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标的物业达到约定的交付条件后支付当期应付金额的50%</w:t>
            </w:r>
          </w:p>
        </w:tc>
      </w:tr>
      <w:tr w14:paraId="207D5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noWrap w:val="0"/>
            <w:vAlign w:val="center"/>
          </w:tcPr>
          <w:p w14:paraId="67FCC9D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（四）物业交付及办证</w:t>
            </w:r>
          </w:p>
        </w:tc>
        <w:tc>
          <w:tcPr>
            <w:tcW w:w="2152" w:type="dxa"/>
            <w:noWrap w:val="0"/>
            <w:vAlign w:val="center"/>
          </w:tcPr>
          <w:p w14:paraId="0A034BA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占合同总价的1</w:t>
            </w:r>
            <w:r>
              <w:rPr>
                <w:rFonts w:hint="eastAsia" w:asciiTheme="minorEastAsia" w:hAnsiTheme="minorEastAsia" w:cstheme="minorEastAsia"/>
                <w:sz w:val="24"/>
                <w:szCs w:val="24"/>
                <w:highlight w:val="none"/>
                <w:vertAlign w:val="baseline"/>
                <w:lang w:val="en-US" w:eastAsia="zh-CN"/>
              </w:rPr>
              <w:t>5</w:t>
            </w:r>
            <w:r>
              <w:rPr>
                <w:rFonts w:hint="eastAsia" w:asciiTheme="minorEastAsia" w:hAnsiTheme="minorEastAsia" w:eastAsiaTheme="minorEastAsia" w:cstheme="minorEastAsia"/>
                <w:sz w:val="24"/>
                <w:szCs w:val="24"/>
                <w:highlight w:val="none"/>
                <w:vertAlign w:val="baseline"/>
                <w:lang w:val="en-US" w:eastAsia="zh-CN"/>
              </w:rPr>
              <w:t>%</w:t>
            </w:r>
          </w:p>
        </w:tc>
        <w:tc>
          <w:tcPr>
            <w:tcW w:w="5752" w:type="dxa"/>
            <w:noWrap w:val="0"/>
            <w:vAlign w:val="top"/>
          </w:tcPr>
          <w:p w14:paraId="01D7F82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办理完毕产权登记后支付当期应付金额的100%</w:t>
            </w:r>
          </w:p>
        </w:tc>
      </w:tr>
      <w:tr w14:paraId="0630B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noWrap w:val="0"/>
            <w:vAlign w:val="center"/>
          </w:tcPr>
          <w:p w14:paraId="582CAE9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（五）履约考核评价</w:t>
            </w:r>
          </w:p>
        </w:tc>
        <w:tc>
          <w:tcPr>
            <w:tcW w:w="2152" w:type="dxa"/>
            <w:noWrap w:val="0"/>
            <w:vAlign w:val="center"/>
          </w:tcPr>
          <w:p w14:paraId="1E0A5FD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占合同总价的10%</w:t>
            </w:r>
          </w:p>
        </w:tc>
        <w:tc>
          <w:tcPr>
            <w:tcW w:w="5752" w:type="dxa"/>
            <w:noWrap w:val="0"/>
            <w:vAlign w:val="top"/>
          </w:tcPr>
          <w:p w14:paraId="6B51399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stheme="minorEastAsia"/>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在乙方完成</w:t>
            </w:r>
            <w:r>
              <w:rPr>
                <w:rFonts w:hint="eastAsia" w:ascii="宋体" w:hAnsi="宋体" w:cs="宋体"/>
                <w:sz w:val="24"/>
                <w:szCs w:val="24"/>
                <w:highlight w:val="none"/>
                <w:vertAlign w:val="baseline"/>
                <w:lang w:val="en-US" w:eastAsia="zh-CN"/>
              </w:rPr>
              <w:t>全部</w:t>
            </w:r>
            <w:r>
              <w:rPr>
                <w:rFonts w:hint="eastAsia" w:ascii="宋体" w:hAnsi="宋体" w:eastAsia="宋体" w:cs="宋体"/>
                <w:sz w:val="24"/>
                <w:szCs w:val="24"/>
                <w:highlight w:val="none"/>
                <w:vertAlign w:val="baseline"/>
                <w:lang w:val="en-US" w:eastAsia="zh-CN"/>
              </w:rPr>
              <w:t>服务内容</w:t>
            </w:r>
            <w:r>
              <w:rPr>
                <w:rFonts w:hint="eastAsia" w:ascii="宋体" w:hAnsi="宋体" w:cs="宋体"/>
                <w:sz w:val="24"/>
                <w:szCs w:val="24"/>
                <w:highlight w:val="none"/>
                <w:vertAlign w:val="baseline"/>
                <w:lang w:val="en-US" w:eastAsia="zh-CN"/>
              </w:rPr>
              <w:t>后进</w:t>
            </w:r>
            <w:bookmarkStart w:id="2" w:name="_GoBack"/>
            <w:bookmarkEnd w:id="2"/>
            <w:r>
              <w:rPr>
                <w:rFonts w:hint="eastAsia" w:asciiTheme="minorEastAsia" w:hAnsiTheme="minorEastAsia" w:eastAsiaTheme="minorEastAsia" w:cstheme="minorEastAsia"/>
                <w:sz w:val="24"/>
                <w:szCs w:val="24"/>
                <w:highlight w:val="none"/>
                <w:vertAlign w:val="baseline"/>
                <w:lang w:val="en-US" w:eastAsia="zh-CN"/>
              </w:rPr>
              <w:t>行一次性履约评价，</w:t>
            </w:r>
            <w:r>
              <w:rPr>
                <w:rFonts w:hint="eastAsia" w:asciiTheme="minorEastAsia" w:hAnsiTheme="minorEastAsia" w:eastAsiaTheme="minorEastAsia" w:cstheme="minorEastAsia"/>
                <w:color w:val="auto"/>
                <w:sz w:val="24"/>
                <w:szCs w:val="24"/>
                <w:lang w:val="en-US" w:eastAsia="zh-CN"/>
              </w:rPr>
              <w:t>履约考核评价为合格以上（75≤总分＜90分，不含合格）的全额支付履约考核评价费；合格（60≤总分＜75分）的支付履约考核评价费的50%；不合格的不予支付。乙方参与投标、签订本合同视为接受甲方的单方履约评价结果，同意由甲方根据单方履约评价结果支付履约考核评价费。</w:t>
            </w:r>
          </w:p>
        </w:tc>
      </w:tr>
    </w:tbl>
    <w:p w14:paraId="42CEDE10">
      <w:pPr>
        <w:numPr>
          <w:ilvl w:val="0"/>
          <w:numId w:val="0"/>
        </w:numPr>
        <w:kinsoku w:val="0"/>
        <w:overflowPunct/>
        <w:topLinePunct w:val="0"/>
        <w:bidi w:val="0"/>
        <w:spacing w:line="560" w:lineRule="exact"/>
        <w:ind w:firstLine="480" w:firstLineChars="200"/>
        <w:textAlignment w:val="auto"/>
        <w:rPr>
          <w:rFonts w:hint="eastAsia" w:ascii="宋体" w:hAnsi="宋体" w:eastAsia="宋体" w:cs="宋体"/>
          <w:color w:val="auto"/>
          <w:sz w:val="24"/>
          <w:szCs w:val="24"/>
          <w:u w:color="218FC4"/>
        </w:rPr>
      </w:pPr>
      <w:r>
        <w:rPr>
          <w:rFonts w:hint="eastAsia" w:ascii="宋体" w:hAnsi="宋体" w:eastAsia="宋体" w:cs="宋体"/>
          <w:color w:val="auto"/>
          <w:sz w:val="24"/>
          <w:szCs w:val="24"/>
          <w:u w:color="218FC4"/>
          <w:lang w:val="en-US" w:eastAsia="zh-CN"/>
        </w:rPr>
        <w:t>2.</w:t>
      </w:r>
      <w:r>
        <w:rPr>
          <w:rFonts w:hint="eastAsia" w:ascii="宋体" w:hAnsi="宋体" w:eastAsia="宋体" w:cs="宋体"/>
          <w:color w:val="auto"/>
          <w:sz w:val="24"/>
          <w:szCs w:val="24"/>
          <w:u w:color="218FC4"/>
        </w:rPr>
        <w:t>甲方应将上述款项支付于乙方下列账户：</w:t>
      </w:r>
    </w:p>
    <w:p w14:paraId="30D699D6">
      <w:pPr>
        <w:overflowPunct/>
        <w:topLinePunct w:val="0"/>
        <w:bidi w:val="0"/>
        <w:spacing w:line="500" w:lineRule="exact"/>
        <w:ind w:firstLine="460" w:firstLineChars="192"/>
        <w:jc w:val="left"/>
        <w:textAlignment w:val="auto"/>
        <w:rPr>
          <w:rFonts w:hint="eastAsia" w:ascii="宋体" w:hAnsi="宋体" w:eastAsia="宋体" w:cs="宋体"/>
          <w:sz w:val="24"/>
          <w:szCs w:val="24"/>
          <w:highlight w:val="none"/>
          <w:u w:color="218FC4"/>
        </w:rPr>
      </w:pPr>
      <w:r>
        <w:rPr>
          <w:rFonts w:hint="eastAsia" w:ascii="宋体" w:hAnsi="宋体" w:eastAsia="宋体" w:cs="宋体"/>
          <w:sz w:val="24"/>
          <w:szCs w:val="24"/>
          <w:highlight w:val="none"/>
          <w:u w:color="218FC4"/>
        </w:rPr>
        <w:t>户   名：</w:t>
      </w:r>
    </w:p>
    <w:p w14:paraId="7B6AC410">
      <w:pPr>
        <w:overflowPunct/>
        <w:topLinePunct w:val="0"/>
        <w:bidi w:val="0"/>
        <w:spacing w:line="500" w:lineRule="exact"/>
        <w:ind w:firstLine="460" w:firstLineChars="192"/>
        <w:jc w:val="left"/>
        <w:textAlignment w:val="auto"/>
        <w:rPr>
          <w:rFonts w:hint="eastAsia" w:ascii="宋体" w:hAnsi="宋体" w:eastAsia="宋体" w:cs="宋体"/>
          <w:sz w:val="24"/>
          <w:szCs w:val="24"/>
          <w:highlight w:val="none"/>
          <w:u w:color="218FC4"/>
        </w:rPr>
      </w:pPr>
      <w:r>
        <w:rPr>
          <w:rFonts w:hint="eastAsia" w:ascii="宋体" w:hAnsi="宋体" w:eastAsia="宋体" w:cs="宋体"/>
          <w:sz w:val="24"/>
          <w:szCs w:val="24"/>
          <w:highlight w:val="none"/>
          <w:u w:color="218FC4"/>
        </w:rPr>
        <w:t>开户银行：</w:t>
      </w:r>
    </w:p>
    <w:p w14:paraId="641C24E9">
      <w:pPr>
        <w:overflowPunct/>
        <w:topLinePunct w:val="0"/>
        <w:bidi w:val="0"/>
        <w:spacing w:line="500" w:lineRule="exact"/>
        <w:ind w:firstLine="460" w:firstLineChars="192"/>
        <w:jc w:val="left"/>
        <w:textAlignment w:val="auto"/>
        <w:rPr>
          <w:rFonts w:hint="eastAsia" w:ascii="宋体" w:hAnsi="宋体" w:eastAsia="宋体" w:cs="宋体"/>
          <w:sz w:val="24"/>
          <w:szCs w:val="24"/>
          <w:highlight w:val="none"/>
          <w:u w:color="218FC4"/>
        </w:rPr>
      </w:pPr>
      <w:r>
        <w:rPr>
          <w:rFonts w:hint="eastAsia" w:ascii="宋体" w:hAnsi="宋体" w:eastAsia="宋体" w:cs="宋体"/>
          <w:sz w:val="24"/>
          <w:szCs w:val="24"/>
          <w:highlight w:val="none"/>
          <w:u w:color="218FC4"/>
        </w:rPr>
        <w:t>账   号 ：</w:t>
      </w:r>
    </w:p>
    <w:p w14:paraId="34277B6E">
      <w:pPr>
        <w:numPr>
          <w:ilvl w:val="0"/>
          <w:numId w:val="0"/>
        </w:numPr>
        <w:kinsoku w:val="0"/>
        <w:overflowPunct/>
        <w:topLinePunct w:val="0"/>
        <w:bidi w:val="0"/>
        <w:spacing w:line="560" w:lineRule="exact"/>
        <w:ind w:firstLine="480" w:firstLineChars="200"/>
        <w:textAlignment w:val="auto"/>
        <w:rPr>
          <w:rFonts w:hint="eastAsia"/>
        </w:rPr>
      </w:pPr>
      <w:r>
        <w:rPr>
          <w:rFonts w:hint="eastAsia" w:ascii="宋体" w:hAnsi="宋体" w:eastAsia="宋体" w:cs="宋体"/>
          <w:color w:val="auto"/>
          <w:sz w:val="24"/>
          <w:szCs w:val="24"/>
          <w:u w:color="218FC4"/>
          <w:lang w:val="en-US" w:eastAsia="zh-CN"/>
        </w:rPr>
        <w:t>3.合同履行期间，若因政府（政府部门）政策、决定、通知等原因、不可抗力或甲方单方通知解除合同时，乙方未进行工作的，合同自甲方通知解除之日起终止；乙方已经开始工作的，按实际完成并已达到合同约定的支付节点的工作内容进行结算，未达到支付节点的工作内容不予结算。除此以外，甲方不再承担任何违约金、赔偿金、补偿金等经济责任。</w:t>
      </w:r>
    </w:p>
    <w:p w14:paraId="2029F7BB">
      <w:pPr>
        <w:overflowPunct/>
        <w:topLinePunct w:val="0"/>
        <w:bidi w:val="0"/>
        <w:spacing w:line="54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第</w:t>
      </w:r>
      <w:r>
        <w:rPr>
          <w:rFonts w:hint="eastAsia" w:ascii="宋体" w:hAnsi="宋体" w:eastAsia="宋体" w:cs="宋体"/>
          <w:b/>
          <w:bCs/>
          <w:sz w:val="24"/>
          <w:szCs w:val="24"/>
          <w:lang w:val="en-US" w:eastAsia="zh-CN"/>
        </w:rPr>
        <w:t>六</w:t>
      </w:r>
      <w:r>
        <w:rPr>
          <w:rFonts w:hint="eastAsia" w:ascii="宋体" w:hAnsi="宋体" w:eastAsia="宋体" w:cs="宋体"/>
          <w:b/>
          <w:bCs/>
          <w:sz w:val="24"/>
          <w:szCs w:val="24"/>
        </w:rPr>
        <w:t xml:space="preserve">条 双方的责任 </w:t>
      </w:r>
    </w:p>
    <w:p w14:paraId="50AEA031">
      <w:pPr>
        <w:overflowPunct/>
        <w:topLinePunct w:val="0"/>
        <w:bidi w:val="0"/>
        <w:spacing w:line="540" w:lineRule="exact"/>
        <w:ind w:firstLine="480" w:firstLineChars="200"/>
        <w:textAlignment w:val="auto"/>
        <w:rPr>
          <w:rFonts w:hint="eastAsia" w:ascii="宋体" w:hAnsi="宋体" w:eastAsia="宋体" w:cs="宋体"/>
          <w:spacing w:val="-6"/>
          <w:sz w:val="24"/>
          <w:szCs w:val="24"/>
          <w:u w:color="218FC4"/>
        </w:rPr>
      </w:pPr>
      <w:r>
        <w:rPr>
          <w:rFonts w:hint="eastAsia" w:ascii="宋体" w:hAnsi="宋体" w:eastAsia="宋体" w:cs="宋体"/>
          <w:b w:val="0"/>
          <w:bCs w:val="0"/>
          <w:sz w:val="24"/>
          <w:szCs w:val="24"/>
          <w:lang w:val="en-US" w:eastAsia="zh-CN"/>
        </w:rPr>
        <w:t>1.</w:t>
      </w:r>
      <w:r>
        <w:rPr>
          <w:rFonts w:hint="eastAsia" w:ascii="宋体" w:hAnsi="宋体" w:eastAsia="宋体" w:cs="宋体"/>
          <w:spacing w:val="-6"/>
          <w:sz w:val="24"/>
          <w:szCs w:val="24"/>
          <w:u w:color="218FC4"/>
        </w:rPr>
        <w:t>甲方应为乙方人员的工作提供必需的、真实的资料，包括但不限于</w:t>
      </w:r>
      <w:r>
        <w:rPr>
          <w:rFonts w:hint="eastAsia" w:ascii="宋体" w:hAnsi="宋体" w:eastAsia="宋体" w:cs="宋体"/>
          <w:spacing w:val="-6"/>
          <w:sz w:val="24"/>
          <w:szCs w:val="24"/>
          <w:u w:color="218FC4"/>
          <w:lang w:val="en-US" w:eastAsia="zh-CN"/>
        </w:rPr>
        <w:t>提供与目标公司联络及收集尽调材料便利</w:t>
      </w:r>
      <w:r>
        <w:rPr>
          <w:rFonts w:hint="eastAsia" w:ascii="宋体" w:hAnsi="宋体" w:eastAsia="宋体" w:cs="宋体"/>
          <w:spacing w:val="-6"/>
          <w:sz w:val="24"/>
          <w:szCs w:val="24"/>
          <w:u w:color="218FC4"/>
        </w:rPr>
        <w:t xml:space="preserve">等。 </w:t>
      </w:r>
    </w:p>
    <w:p w14:paraId="2C4B27C7">
      <w:pPr>
        <w:overflowPunct/>
        <w:topLinePunct w:val="0"/>
        <w:bidi w:val="0"/>
        <w:spacing w:line="540" w:lineRule="exact"/>
        <w:ind w:firstLine="456" w:firstLineChars="200"/>
        <w:textAlignment w:val="auto"/>
        <w:rPr>
          <w:rFonts w:hint="eastAsia" w:ascii="宋体" w:hAnsi="宋体" w:eastAsia="宋体" w:cs="宋体"/>
          <w:spacing w:val="-6"/>
          <w:sz w:val="24"/>
          <w:szCs w:val="24"/>
          <w:u w:color="218FC4"/>
        </w:rPr>
      </w:pPr>
      <w:r>
        <w:rPr>
          <w:rFonts w:hint="eastAsia" w:ascii="宋体" w:hAnsi="宋体" w:eastAsia="宋体" w:cs="宋体"/>
          <w:spacing w:val="-6"/>
          <w:sz w:val="24"/>
          <w:szCs w:val="24"/>
          <w:u w:color="218FC4"/>
          <w:lang w:val="en-US" w:eastAsia="zh-CN"/>
        </w:rPr>
        <w:t>2.</w:t>
      </w:r>
      <w:r>
        <w:rPr>
          <w:rFonts w:hint="eastAsia" w:ascii="宋体" w:hAnsi="宋体" w:eastAsia="宋体" w:cs="宋体"/>
          <w:spacing w:val="-6"/>
          <w:sz w:val="24"/>
          <w:szCs w:val="24"/>
          <w:u w:color="218FC4"/>
        </w:rPr>
        <w:t xml:space="preserve">甲方应指定本项目的工作负责人，负责与乙方联系，并对本合同所涉及法律事务进行日常管理。 </w:t>
      </w:r>
    </w:p>
    <w:p w14:paraId="3D637865">
      <w:pPr>
        <w:overflowPunct/>
        <w:topLinePunct w:val="0"/>
        <w:bidi w:val="0"/>
        <w:spacing w:line="540" w:lineRule="exact"/>
        <w:ind w:firstLine="456" w:firstLineChars="200"/>
        <w:textAlignment w:val="auto"/>
        <w:rPr>
          <w:rFonts w:hint="eastAsia" w:ascii="宋体" w:hAnsi="宋体" w:eastAsia="宋体" w:cs="宋体"/>
          <w:spacing w:val="-6"/>
          <w:sz w:val="24"/>
          <w:szCs w:val="24"/>
          <w:u w:color="218FC4"/>
        </w:rPr>
      </w:pPr>
      <w:r>
        <w:rPr>
          <w:rFonts w:hint="eastAsia" w:ascii="宋体" w:hAnsi="宋体" w:eastAsia="宋体" w:cs="宋体"/>
          <w:spacing w:val="-6"/>
          <w:sz w:val="24"/>
          <w:szCs w:val="24"/>
          <w:u w:color="218FC4"/>
          <w:lang w:val="en-US" w:eastAsia="zh-CN"/>
        </w:rPr>
        <w:t>3.</w:t>
      </w:r>
      <w:r>
        <w:rPr>
          <w:rFonts w:hint="eastAsia" w:ascii="宋体" w:hAnsi="宋体" w:eastAsia="宋体" w:cs="宋体"/>
          <w:spacing w:val="-6"/>
          <w:sz w:val="24"/>
          <w:szCs w:val="24"/>
          <w:u w:color="218FC4"/>
        </w:rPr>
        <w:t xml:space="preserve">乙方应认真负责，忠于职守，维护甲方合法权益，应在工作范围内履行职责。 </w:t>
      </w:r>
    </w:p>
    <w:p w14:paraId="05CE31F4">
      <w:pPr>
        <w:tabs>
          <w:tab w:val="left" w:pos="630"/>
        </w:tabs>
        <w:overflowPunct/>
        <w:topLinePunct w:val="0"/>
        <w:bidi w:val="0"/>
        <w:spacing w:line="500" w:lineRule="exact"/>
        <w:ind w:firstLine="437" w:firstLineChars="192"/>
        <w:textAlignment w:val="auto"/>
        <w:rPr>
          <w:rFonts w:hint="eastAsia" w:ascii="宋体" w:hAnsi="宋体" w:eastAsia="宋体" w:cs="宋体"/>
          <w:bCs/>
          <w:sz w:val="24"/>
          <w:szCs w:val="24"/>
        </w:rPr>
      </w:pPr>
      <w:r>
        <w:rPr>
          <w:rFonts w:hint="eastAsia" w:ascii="宋体" w:hAnsi="宋体" w:eastAsia="宋体" w:cs="宋体"/>
          <w:spacing w:val="-6"/>
          <w:sz w:val="24"/>
          <w:szCs w:val="24"/>
          <w:u w:color="218FC4"/>
        </w:rPr>
        <w:t>4</w:t>
      </w:r>
      <w:r>
        <w:rPr>
          <w:rFonts w:hint="eastAsia" w:ascii="宋体" w:hAnsi="宋体" w:eastAsia="宋体" w:cs="宋体"/>
          <w:spacing w:val="-6"/>
          <w:sz w:val="24"/>
          <w:szCs w:val="24"/>
          <w:u w:color="218FC4"/>
          <w:lang w:eastAsia="zh-CN"/>
        </w:rPr>
        <w:t>.乙方</w:t>
      </w:r>
      <w:r>
        <w:rPr>
          <w:rFonts w:hint="eastAsia" w:ascii="宋体" w:hAnsi="宋体" w:eastAsia="宋体" w:cs="宋体"/>
          <w:bCs/>
          <w:sz w:val="24"/>
          <w:szCs w:val="24"/>
        </w:rPr>
        <w:t>未经甲方允许不得擅自对外发布有关法律事务处理的意见。</w:t>
      </w:r>
    </w:p>
    <w:p w14:paraId="7F29B3DF">
      <w:pPr>
        <w:kinsoku w:val="0"/>
        <w:overflowPunct/>
        <w:topLinePunct w:val="0"/>
        <w:bidi w:val="0"/>
        <w:spacing w:line="560" w:lineRule="exact"/>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5</w:t>
      </w:r>
      <w:r>
        <w:rPr>
          <w:rFonts w:hint="eastAsia" w:ascii="宋体" w:hAnsi="宋体" w:eastAsia="宋体" w:cs="宋体"/>
          <w:bCs/>
          <w:sz w:val="24"/>
          <w:szCs w:val="24"/>
          <w:lang w:eastAsia="zh-CN"/>
        </w:rPr>
        <w:t>.乙方</w:t>
      </w:r>
      <w:r>
        <w:rPr>
          <w:rFonts w:hint="eastAsia" w:ascii="宋体" w:hAnsi="宋体" w:eastAsia="宋体" w:cs="宋体"/>
          <w:bCs/>
          <w:sz w:val="24"/>
          <w:szCs w:val="24"/>
        </w:rPr>
        <w:t>不得利用为甲方提供法律服务过程中获得的非公开信息和便利信息，为本人及所在单位或他人谋取利益。</w:t>
      </w:r>
    </w:p>
    <w:p w14:paraId="3646D138">
      <w:pPr>
        <w:kinsoku w:val="0"/>
        <w:overflowPunct/>
        <w:topLinePunct w:val="0"/>
        <w:bidi w:val="0"/>
        <w:spacing w:line="560" w:lineRule="exact"/>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6</w:t>
      </w:r>
      <w:r>
        <w:rPr>
          <w:rFonts w:hint="eastAsia" w:ascii="宋体" w:hAnsi="宋体" w:eastAsia="宋体" w:cs="宋体"/>
          <w:bCs/>
          <w:sz w:val="24"/>
          <w:szCs w:val="24"/>
          <w:lang w:eastAsia="zh-CN"/>
        </w:rPr>
        <w:t>.</w:t>
      </w:r>
      <w:r>
        <w:rPr>
          <w:rFonts w:hint="eastAsia" w:ascii="宋体" w:hAnsi="宋体" w:eastAsia="宋体" w:cs="宋体"/>
          <w:bCs/>
          <w:sz w:val="24"/>
          <w:szCs w:val="24"/>
        </w:rPr>
        <w:t>乙方根据甲方需求出具法律意见的，应由承办律师签名，并加盖律师事务所公章。</w:t>
      </w:r>
    </w:p>
    <w:p w14:paraId="3E157D72">
      <w:pPr>
        <w:tabs>
          <w:tab w:val="left" w:pos="630"/>
        </w:tabs>
        <w:overflowPunct/>
        <w:topLinePunct w:val="0"/>
        <w:bidi w:val="0"/>
        <w:spacing w:line="500" w:lineRule="exact"/>
        <w:ind w:firstLine="463" w:firstLineChars="192"/>
        <w:textAlignment w:val="auto"/>
        <w:rPr>
          <w:rFonts w:hint="eastAsia" w:ascii="宋体" w:hAnsi="宋体" w:eastAsia="宋体" w:cs="宋体"/>
          <w:spacing w:val="-6"/>
          <w:sz w:val="24"/>
          <w:szCs w:val="24"/>
          <w:u w:color="218FC4"/>
        </w:rPr>
      </w:pPr>
      <w:r>
        <w:rPr>
          <w:rFonts w:hint="eastAsia" w:ascii="宋体" w:hAnsi="宋体" w:eastAsia="宋体" w:cs="宋体"/>
          <w:b/>
          <w:bCs/>
          <w:sz w:val="24"/>
          <w:szCs w:val="24"/>
        </w:rPr>
        <w:t>第</w:t>
      </w:r>
      <w:r>
        <w:rPr>
          <w:rFonts w:hint="eastAsia" w:ascii="宋体" w:hAnsi="宋体" w:eastAsia="宋体" w:cs="宋体"/>
          <w:b/>
          <w:bCs/>
          <w:sz w:val="24"/>
          <w:szCs w:val="24"/>
          <w:lang w:val="en-US" w:eastAsia="zh-CN"/>
        </w:rPr>
        <w:t>七</w:t>
      </w:r>
      <w:r>
        <w:rPr>
          <w:rFonts w:hint="eastAsia" w:ascii="宋体" w:hAnsi="宋体" w:eastAsia="宋体" w:cs="宋体"/>
          <w:b/>
          <w:bCs/>
          <w:sz w:val="24"/>
          <w:szCs w:val="24"/>
        </w:rPr>
        <w:t xml:space="preserve">条 </w:t>
      </w:r>
      <w:r>
        <w:rPr>
          <w:rFonts w:hint="eastAsia" w:ascii="宋体" w:hAnsi="宋体" w:eastAsia="宋体" w:cs="宋体"/>
          <w:b/>
          <w:bCs/>
          <w:spacing w:val="-6"/>
          <w:sz w:val="24"/>
          <w:szCs w:val="24"/>
          <w:u w:color="218FC4"/>
        </w:rPr>
        <w:t>保密与知识产权保护</w:t>
      </w:r>
    </w:p>
    <w:p w14:paraId="334077AC">
      <w:pPr>
        <w:tabs>
          <w:tab w:val="left" w:pos="630"/>
        </w:tabs>
        <w:overflowPunct/>
        <w:topLinePunct w:val="0"/>
        <w:bidi w:val="0"/>
        <w:spacing w:line="500" w:lineRule="exact"/>
        <w:ind w:firstLine="460" w:firstLineChars="192"/>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乙方</w:t>
      </w:r>
      <w:r>
        <w:rPr>
          <w:rFonts w:hint="eastAsia" w:ascii="宋体" w:hAnsi="宋体" w:eastAsia="宋体" w:cs="宋体"/>
          <w:kern w:val="0"/>
          <w:sz w:val="24"/>
          <w:szCs w:val="24"/>
          <w:lang w:val="en-US" w:eastAsia="zh-CN"/>
        </w:rPr>
        <w:t>及乙方</w:t>
      </w:r>
      <w:r>
        <w:rPr>
          <w:rFonts w:hint="eastAsia" w:ascii="宋体" w:hAnsi="宋体" w:eastAsia="宋体" w:cs="宋体"/>
          <w:kern w:val="0"/>
          <w:sz w:val="24"/>
          <w:szCs w:val="24"/>
        </w:rPr>
        <w:t>律师应对为甲方提供服务期间所涉及的商业秘密、技术秘密和个人隐私承担保密义务</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包括但不限于甲方提供的与本项目有关的资料、文件等</w:t>
      </w:r>
      <w:r>
        <w:rPr>
          <w:rFonts w:hint="eastAsia" w:ascii="宋体" w:hAnsi="宋体" w:eastAsia="宋体" w:cs="宋体"/>
          <w:kern w:val="0"/>
          <w:sz w:val="24"/>
          <w:szCs w:val="24"/>
        </w:rPr>
        <w:t>。</w:t>
      </w:r>
    </w:p>
    <w:p w14:paraId="16ECE929">
      <w:pPr>
        <w:tabs>
          <w:tab w:val="left" w:pos="630"/>
        </w:tabs>
        <w:overflowPunct/>
        <w:topLinePunct w:val="0"/>
        <w:bidi w:val="0"/>
        <w:spacing w:line="500" w:lineRule="exact"/>
        <w:ind w:firstLine="460" w:firstLineChars="192"/>
        <w:textAlignment w:val="auto"/>
        <w:rPr>
          <w:rFonts w:hint="eastAsia"/>
        </w:rPr>
      </w:pP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非经乙方同意，甲方不得将乙方提供的法律意见和其他有关文件用于非经双方同意的</w:t>
      </w:r>
      <w:r>
        <w:rPr>
          <w:rFonts w:hint="eastAsia" w:ascii="宋体" w:hAnsi="宋体" w:eastAsia="宋体" w:cs="宋体"/>
          <w:kern w:val="0"/>
          <w:sz w:val="24"/>
          <w:szCs w:val="24"/>
          <w:lang w:eastAsia="zh-CN"/>
        </w:rPr>
        <w:t>其他</w:t>
      </w:r>
      <w:r>
        <w:rPr>
          <w:rFonts w:hint="eastAsia" w:ascii="宋体" w:hAnsi="宋体" w:eastAsia="宋体" w:cs="宋体"/>
          <w:kern w:val="0"/>
          <w:sz w:val="24"/>
          <w:szCs w:val="24"/>
        </w:rPr>
        <w:t>任何目的。</w:t>
      </w:r>
    </w:p>
    <w:p w14:paraId="6FD20CAB">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2" w:firstLineChars="200"/>
        <w:textAlignment w:val="auto"/>
        <w:outlineLvl w:val="0"/>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eastAsia="宋体" w:cs="宋体"/>
          <w:b/>
          <w:sz w:val="24"/>
          <w:szCs w:val="24"/>
          <w:lang w:val="en-US" w:eastAsia="zh-CN"/>
        </w:rPr>
        <w:t>八</w:t>
      </w:r>
      <w:r>
        <w:rPr>
          <w:rFonts w:hint="eastAsia" w:ascii="宋体" w:hAnsi="宋体" w:eastAsia="宋体" w:cs="宋体"/>
          <w:b/>
          <w:sz w:val="24"/>
          <w:szCs w:val="24"/>
        </w:rPr>
        <w:t>条</w:t>
      </w:r>
      <w:r>
        <w:rPr>
          <w:rFonts w:hint="eastAsia" w:ascii="宋体" w:hAnsi="宋体" w:eastAsia="宋体" w:cs="宋体"/>
          <w:b/>
          <w:sz w:val="24"/>
          <w:szCs w:val="24"/>
          <w:lang w:val="en-US" w:eastAsia="zh-CN"/>
        </w:rPr>
        <w:t xml:space="preserve"> </w:t>
      </w:r>
      <w:r>
        <w:rPr>
          <w:rFonts w:hint="eastAsia" w:ascii="宋体" w:hAnsi="宋体" w:eastAsia="宋体" w:cs="宋体"/>
          <w:b/>
          <w:sz w:val="24"/>
          <w:szCs w:val="24"/>
        </w:rPr>
        <w:t>合同解除</w:t>
      </w:r>
    </w:p>
    <w:p w14:paraId="45E7B7FD">
      <w:pPr>
        <w:keepNext w:val="0"/>
        <w:keepLines w:val="0"/>
        <w:pageBreakBefore w:val="0"/>
        <w:widowControl w:val="0"/>
        <w:numPr>
          <w:ilvl w:val="0"/>
          <w:numId w:val="1"/>
        </w:numPr>
        <w:kinsoku/>
        <w:wordWrap/>
        <w:overflowPunct/>
        <w:topLinePunct w:val="0"/>
        <w:autoSpaceDE/>
        <w:autoSpaceDN/>
        <w:bidi w:val="0"/>
        <w:adjustRightInd w:val="0"/>
        <w:snapToGrid w:val="0"/>
        <w:spacing w:line="500" w:lineRule="exact"/>
        <w:ind w:left="0" w:leftChars="0" w:firstLine="480" w:firstLineChars="200"/>
        <w:textAlignment w:val="auto"/>
        <w:outlineLvl w:val="0"/>
        <w:rPr>
          <w:rFonts w:hint="eastAsia" w:ascii="宋体" w:hAnsi="宋体" w:eastAsia="宋体" w:cs="宋体"/>
          <w:sz w:val="24"/>
          <w:szCs w:val="24"/>
        </w:rPr>
      </w:pPr>
      <w:r>
        <w:rPr>
          <w:rFonts w:hint="eastAsia" w:ascii="宋体" w:hAnsi="宋体" w:eastAsia="宋体" w:cs="宋体"/>
          <w:sz w:val="24"/>
          <w:szCs w:val="24"/>
        </w:rPr>
        <w:t>甲乙双方经协商同意，可以变更或者解除本合同。</w:t>
      </w:r>
    </w:p>
    <w:p w14:paraId="0CD18719">
      <w:pPr>
        <w:keepNext w:val="0"/>
        <w:keepLines w:val="0"/>
        <w:pageBreakBefore w:val="0"/>
        <w:widowControl w:val="0"/>
        <w:numPr>
          <w:ilvl w:val="0"/>
          <w:numId w:val="1"/>
        </w:numPr>
        <w:kinsoku/>
        <w:wordWrap/>
        <w:overflowPunct/>
        <w:topLinePunct w:val="0"/>
        <w:autoSpaceDE/>
        <w:autoSpaceDN/>
        <w:bidi w:val="0"/>
        <w:adjustRightInd w:val="0"/>
        <w:snapToGrid w:val="0"/>
        <w:spacing w:line="500" w:lineRule="exact"/>
        <w:ind w:left="0" w:leftChars="0" w:firstLine="480" w:firstLineChars="200"/>
        <w:textAlignment w:val="auto"/>
        <w:outlineLvl w:val="0"/>
        <w:rPr>
          <w:rFonts w:hint="eastAsia" w:ascii="宋体" w:hAnsi="宋体" w:eastAsia="宋体" w:cs="宋体"/>
          <w:sz w:val="24"/>
          <w:szCs w:val="24"/>
        </w:rPr>
      </w:pPr>
      <w:r>
        <w:rPr>
          <w:rFonts w:hint="eastAsia" w:ascii="宋体" w:hAnsi="宋体" w:eastAsia="宋体" w:cs="宋体"/>
          <w:sz w:val="24"/>
          <w:szCs w:val="24"/>
        </w:rPr>
        <w:t>乙方有下列情形之一的，甲方有权解除合同：</w:t>
      </w:r>
    </w:p>
    <w:p w14:paraId="1E9BB912">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未经甲方同意，擅自更换</w:t>
      </w:r>
      <w:r>
        <w:rPr>
          <w:rFonts w:hint="eastAsia" w:ascii="宋体" w:hAnsi="宋体" w:eastAsia="宋体" w:cs="宋体"/>
          <w:sz w:val="24"/>
          <w:szCs w:val="24"/>
          <w:lang w:val="en-US" w:eastAsia="zh-CN"/>
        </w:rPr>
        <w:t>为</w:t>
      </w:r>
      <w:r>
        <w:rPr>
          <w:rFonts w:hint="eastAsia" w:ascii="宋体" w:hAnsi="宋体" w:eastAsia="宋体" w:cs="宋体"/>
          <w:sz w:val="24"/>
          <w:szCs w:val="24"/>
        </w:rPr>
        <w:t>甲方</w:t>
      </w:r>
      <w:r>
        <w:rPr>
          <w:rFonts w:hint="eastAsia" w:ascii="宋体" w:hAnsi="宋体" w:eastAsia="宋体" w:cs="宋体"/>
          <w:sz w:val="24"/>
          <w:szCs w:val="24"/>
          <w:lang w:val="en-US" w:eastAsia="zh-CN"/>
        </w:rPr>
        <w:t>提供服务</w:t>
      </w:r>
      <w:r>
        <w:rPr>
          <w:rFonts w:hint="eastAsia" w:ascii="宋体" w:hAnsi="宋体" w:eastAsia="宋体" w:cs="宋体"/>
          <w:sz w:val="24"/>
          <w:szCs w:val="24"/>
        </w:rPr>
        <w:t>的律师；</w:t>
      </w:r>
    </w:p>
    <w:p w14:paraId="6BC4E638">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因乙方律师工作延误、失误导致甲方遭受损失的；</w:t>
      </w:r>
    </w:p>
    <w:p w14:paraId="64E5267B">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拒绝提供约定服务的。</w:t>
      </w:r>
    </w:p>
    <w:p w14:paraId="346644DA">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outlineLvl w:val="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三</w:t>
      </w:r>
      <w:r>
        <w:rPr>
          <w:rFonts w:hint="eastAsia" w:ascii="宋体" w:hAnsi="宋体" w:eastAsia="宋体" w:cs="宋体"/>
          <w:sz w:val="24"/>
          <w:szCs w:val="24"/>
        </w:rPr>
        <w:t>）甲方有下列情形之一的，乙方有权解除合同：</w:t>
      </w:r>
    </w:p>
    <w:p w14:paraId="4EFF9127">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甲方的委托事项违反法律或者违反律师执业规范的；</w:t>
      </w:r>
    </w:p>
    <w:p w14:paraId="0AFBB73F">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甲方有捏造事实、伪造证据等情形，致使乙方律师不能提供有效的法律服务的；</w:t>
      </w:r>
    </w:p>
    <w:p w14:paraId="40FDC8EF">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甲方逾期</w:t>
      </w:r>
      <w:r>
        <w:rPr>
          <w:rFonts w:hint="eastAsia" w:ascii="宋体" w:hAnsi="宋体" w:eastAsia="宋体" w:cs="宋体"/>
          <w:sz w:val="24"/>
          <w:szCs w:val="24"/>
          <w:u w:val="single"/>
        </w:rPr>
        <w:t xml:space="preserve">  30  </w:t>
      </w:r>
      <w:r>
        <w:rPr>
          <w:rFonts w:hint="eastAsia" w:ascii="宋体" w:hAnsi="宋体" w:eastAsia="宋体" w:cs="宋体"/>
          <w:sz w:val="24"/>
          <w:szCs w:val="24"/>
        </w:rPr>
        <w:t>日内不向乙方支付</w:t>
      </w:r>
      <w:r>
        <w:rPr>
          <w:rFonts w:hint="eastAsia" w:ascii="宋体" w:hAnsi="宋体" w:eastAsia="宋体" w:cs="宋体"/>
          <w:sz w:val="24"/>
          <w:szCs w:val="24"/>
          <w:lang w:eastAsia="zh-CN"/>
        </w:rPr>
        <w:t>服务</w:t>
      </w:r>
      <w:r>
        <w:rPr>
          <w:rFonts w:hint="eastAsia" w:ascii="宋体" w:hAnsi="宋体" w:eastAsia="宋体" w:cs="宋体"/>
          <w:sz w:val="24"/>
          <w:szCs w:val="24"/>
        </w:rPr>
        <w:t>费</w:t>
      </w:r>
      <w:r>
        <w:rPr>
          <w:rFonts w:hint="eastAsia" w:ascii="宋体" w:hAnsi="宋体" w:eastAsia="宋体" w:cs="宋体"/>
          <w:sz w:val="24"/>
          <w:szCs w:val="24"/>
          <w:lang w:eastAsia="zh-CN"/>
        </w:rPr>
        <w:t>用</w:t>
      </w:r>
      <w:r>
        <w:rPr>
          <w:rFonts w:hint="eastAsia" w:ascii="宋体" w:hAnsi="宋体" w:eastAsia="宋体" w:cs="宋体"/>
          <w:sz w:val="24"/>
          <w:szCs w:val="24"/>
        </w:rPr>
        <w:t>或者工作费用的。</w:t>
      </w:r>
    </w:p>
    <w:p w14:paraId="4E512B7A">
      <w:pPr>
        <w:overflowPunct/>
        <w:topLinePunct w:val="0"/>
        <w:bidi w:val="0"/>
        <w:spacing w:line="500" w:lineRule="exact"/>
        <w:ind w:firstLine="463" w:firstLineChars="192"/>
        <w:textAlignment w:val="auto"/>
        <w:outlineLvl w:val="0"/>
        <w:rPr>
          <w:rFonts w:hint="eastAsia" w:ascii="宋体" w:hAnsi="宋体" w:eastAsia="宋体" w:cs="宋体"/>
          <w:b/>
          <w:bCs/>
          <w:sz w:val="24"/>
          <w:szCs w:val="24"/>
        </w:rPr>
      </w:pPr>
      <w:r>
        <w:rPr>
          <w:rFonts w:hint="eastAsia" w:ascii="宋体" w:hAnsi="宋体" w:eastAsia="宋体" w:cs="宋体"/>
          <w:b/>
          <w:bCs/>
          <w:sz w:val="24"/>
          <w:szCs w:val="24"/>
        </w:rPr>
        <w:t>第</w:t>
      </w:r>
      <w:r>
        <w:rPr>
          <w:rFonts w:hint="eastAsia" w:ascii="宋体" w:hAnsi="宋体" w:eastAsia="宋体" w:cs="宋体"/>
          <w:b/>
          <w:bCs/>
          <w:sz w:val="24"/>
          <w:szCs w:val="24"/>
          <w:lang w:val="en-US" w:eastAsia="zh-CN"/>
        </w:rPr>
        <w:t>九</w:t>
      </w:r>
      <w:r>
        <w:rPr>
          <w:rFonts w:hint="eastAsia" w:ascii="宋体" w:hAnsi="宋体" w:eastAsia="宋体" w:cs="宋体"/>
          <w:b/>
          <w:bCs/>
          <w:sz w:val="24"/>
          <w:szCs w:val="24"/>
        </w:rPr>
        <w:t xml:space="preserve">条 违约责任 </w:t>
      </w:r>
    </w:p>
    <w:p w14:paraId="34003A48">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乙方无正当理由不提供本合同约定的法律服务或者违反合同约定义务，</w:t>
      </w:r>
      <w:r>
        <w:rPr>
          <w:rFonts w:hint="eastAsia" w:ascii="宋体" w:hAnsi="宋体" w:eastAsia="宋体" w:cs="宋体"/>
          <w:sz w:val="24"/>
          <w:szCs w:val="24"/>
          <w:lang w:val="en-US" w:eastAsia="zh-CN"/>
        </w:rPr>
        <w:t>经甲方要求整改后仍拒不整改的，</w:t>
      </w:r>
      <w:r>
        <w:rPr>
          <w:rFonts w:hint="eastAsia" w:ascii="宋体" w:hAnsi="宋体" w:eastAsia="宋体" w:cs="宋体"/>
          <w:sz w:val="24"/>
          <w:szCs w:val="24"/>
        </w:rPr>
        <w:t>甲方有权要求乙方退还部分或者全部已付的</w:t>
      </w:r>
      <w:r>
        <w:rPr>
          <w:rFonts w:hint="eastAsia" w:ascii="宋体" w:hAnsi="宋体" w:eastAsia="宋体" w:cs="宋体"/>
          <w:sz w:val="24"/>
          <w:szCs w:val="24"/>
          <w:lang w:eastAsia="zh-CN"/>
        </w:rPr>
        <w:t>服务费</w:t>
      </w:r>
      <w:r>
        <w:rPr>
          <w:rFonts w:hint="eastAsia" w:ascii="宋体" w:hAnsi="宋体" w:eastAsia="宋体" w:cs="宋体"/>
          <w:sz w:val="24"/>
          <w:szCs w:val="24"/>
        </w:rPr>
        <w:t>。乙方律师因工作延误</w:t>
      </w:r>
      <w:r>
        <w:rPr>
          <w:rFonts w:hint="eastAsia" w:ascii="宋体" w:hAnsi="宋体" w:eastAsia="宋体" w:cs="宋体"/>
          <w:sz w:val="24"/>
          <w:szCs w:val="24"/>
          <w:lang w:eastAsia="zh-CN"/>
        </w:rPr>
        <w:t>、</w:t>
      </w:r>
      <w:r>
        <w:rPr>
          <w:rFonts w:hint="eastAsia" w:ascii="宋体" w:hAnsi="宋体" w:eastAsia="宋体" w:cs="宋体"/>
          <w:sz w:val="24"/>
          <w:szCs w:val="24"/>
        </w:rPr>
        <w:t>失职、失误导致甲方遭受损失，乙方应当向甲方承担赔偿责任。</w:t>
      </w:r>
    </w:p>
    <w:p w14:paraId="3BCD715C">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甲方无正当理由不支付</w:t>
      </w:r>
      <w:r>
        <w:rPr>
          <w:rFonts w:hint="eastAsia" w:ascii="宋体" w:hAnsi="宋体" w:eastAsia="宋体" w:cs="宋体"/>
          <w:sz w:val="24"/>
          <w:szCs w:val="24"/>
          <w:lang w:eastAsia="zh-CN"/>
        </w:rPr>
        <w:t>法律服务费</w:t>
      </w:r>
      <w:r>
        <w:rPr>
          <w:rFonts w:hint="eastAsia" w:ascii="宋体" w:hAnsi="宋体" w:eastAsia="宋体" w:cs="宋体"/>
          <w:sz w:val="24"/>
          <w:szCs w:val="24"/>
        </w:rPr>
        <w:t>或者工作费用，乙方有权按</w:t>
      </w:r>
      <w:r>
        <w:rPr>
          <w:rFonts w:hint="eastAsia" w:ascii="宋体" w:hAnsi="宋体" w:eastAsia="宋体" w:cs="宋体"/>
          <w:sz w:val="24"/>
          <w:szCs w:val="24"/>
          <w:lang w:val="en-US" w:eastAsia="zh-CN"/>
        </w:rPr>
        <w:t>合同约定的支付节点和条件</w:t>
      </w:r>
      <w:r>
        <w:rPr>
          <w:rFonts w:hint="eastAsia" w:ascii="宋体" w:hAnsi="宋体" w:eastAsia="宋体" w:cs="宋体"/>
          <w:sz w:val="24"/>
          <w:szCs w:val="24"/>
        </w:rPr>
        <w:t>要求甲方支付</w:t>
      </w:r>
      <w:r>
        <w:rPr>
          <w:rFonts w:hint="eastAsia" w:ascii="宋体" w:hAnsi="宋体" w:eastAsia="宋体" w:cs="宋体"/>
          <w:sz w:val="24"/>
          <w:szCs w:val="24"/>
          <w:lang w:val="en-US" w:eastAsia="zh-CN"/>
        </w:rPr>
        <w:t>应付</w:t>
      </w:r>
      <w:r>
        <w:rPr>
          <w:rFonts w:hint="eastAsia" w:ascii="宋体" w:hAnsi="宋体" w:eastAsia="宋体" w:cs="宋体"/>
          <w:sz w:val="24"/>
          <w:szCs w:val="24"/>
        </w:rPr>
        <w:t>的</w:t>
      </w:r>
      <w:r>
        <w:rPr>
          <w:rFonts w:hint="eastAsia" w:ascii="宋体" w:hAnsi="宋体" w:eastAsia="宋体" w:cs="宋体"/>
          <w:sz w:val="24"/>
          <w:szCs w:val="24"/>
          <w:lang w:eastAsia="zh-CN"/>
        </w:rPr>
        <w:t>法律服务费</w:t>
      </w:r>
      <w:r>
        <w:rPr>
          <w:rFonts w:hint="eastAsia" w:ascii="宋体" w:hAnsi="宋体" w:eastAsia="宋体" w:cs="宋体"/>
          <w:sz w:val="24"/>
          <w:szCs w:val="24"/>
        </w:rPr>
        <w:t>、未报销的工作费用以及延期支付的利息。</w:t>
      </w:r>
    </w:p>
    <w:p w14:paraId="16C6178C">
      <w:pPr>
        <w:overflowPunct/>
        <w:topLinePunct w:val="0"/>
        <w:bidi w:val="0"/>
        <w:adjustRightInd w:val="0"/>
        <w:snapToGrid w:val="0"/>
        <w:spacing w:line="500" w:lineRule="exact"/>
        <w:ind w:firstLine="480" w:firstLineChars="200"/>
        <w:jc w:val="left"/>
        <w:textAlignment w:val="auto"/>
        <w:outlineLvl w:val="9"/>
        <w:rPr>
          <w:rFonts w:hint="eastAsia" w:ascii="宋体" w:hAnsi="宋体" w:eastAsia="宋体" w:cs="宋体"/>
          <w:b/>
          <w:bCs/>
          <w:sz w:val="24"/>
          <w:szCs w:val="24"/>
        </w:rPr>
      </w:pPr>
      <w:r>
        <w:rPr>
          <w:rFonts w:hint="eastAsia" w:ascii="宋体" w:hAnsi="宋体" w:eastAsia="宋体" w:cs="宋体"/>
          <w:sz w:val="24"/>
          <w:szCs w:val="24"/>
          <w:lang w:val="en-US" w:eastAsia="zh-CN"/>
        </w:rPr>
        <w:t>3.</w:t>
      </w:r>
      <w:r>
        <w:rPr>
          <w:rFonts w:hint="eastAsia" w:ascii="宋体" w:hAnsi="宋体" w:eastAsia="宋体" w:cs="宋体"/>
          <w:color w:val="000000"/>
          <w:sz w:val="24"/>
          <w:szCs w:val="24"/>
          <w:shd w:val="clear" w:color="auto" w:fill="auto"/>
          <w:lang w:val="en-US" w:eastAsia="zh-CN"/>
        </w:rPr>
        <w:t>任何一方违约的，守约方因维权付出的所有费用，包括但不限于律师代理费、诉讼费、担保费、保全费、差旅费、材料费、调查费、评估费、鉴定费等均由违约方支付，给守约方造成损失的，违约方还应另行赔偿。</w:t>
      </w:r>
    </w:p>
    <w:p w14:paraId="29FAF85A">
      <w:pPr>
        <w:overflowPunct/>
        <w:topLinePunct w:val="0"/>
        <w:bidi w:val="0"/>
        <w:spacing w:line="500" w:lineRule="exact"/>
        <w:ind w:firstLine="463" w:firstLineChars="192"/>
        <w:textAlignment w:val="auto"/>
        <w:outlineLvl w:val="0"/>
        <w:rPr>
          <w:rFonts w:hint="eastAsia" w:ascii="宋体" w:hAnsi="宋体" w:eastAsia="宋体" w:cs="宋体"/>
          <w:b/>
          <w:bCs/>
          <w:sz w:val="24"/>
          <w:szCs w:val="24"/>
        </w:rPr>
      </w:pPr>
      <w:r>
        <w:rPr>
          <w:rFonts w:hint="eastAsia" w:ascii="宋体" w:hAnsi="宋体" w:eastAsia="宋体" w:cs="宋体"/>
          <w:b/>
          <w:bCs/>
          <w:sz w:val="24"/>
          <w:szCs w:val="24"/>
        </w:rPr>
        <w:t>第</w:t>
      </w:r>
      <w:r>
        <w:rPr>
          <w:rFonts w:hint="eastAsia" w:ascii="宋体" w:hAnsi="宋体" w:eastAsia="宋体" w:cs="宋体"/>
          <w:b/>
          <w:bCs/>
          <w:sz w:val="24"/>
          <w:szCs w:val="24"/>
          <w:lang w:val="en-US" w:eastAsia="zh-CN"/>
        </w:rPr>
        <w:t>十</w:t>
      </w:r>
      <w:r>
        <w:rPr>
          <w:rFonts w:hint="eastAsia" w:ascii="宋体" w:hAnsi="宋体" w:eastAsia="宋体" w:cs="宋体"/>
          <w:b/>
          <w:bCs/>
          <w:sz w:val="24"/>
          <w:szCs w:val="24"/>
        </w:rPr>
        <w:t xml:space="preserve">条 争议解决 </w:t>
      </w:r>
    </w:p>
    <w:p w14:paraId="4B78656C">
      <w:pPr>
        <w:tabs>
          <w:tab w:val="left" w:pos="630"/>
        </w:tabs>
        <w:overflowPunct/>
        <w:topLinePunct w:val="0"/>
        <w:bidi w:val="0"/>
        <w:spacing w:line="500" w:lineRule="exact"/>
        <w:ind w:firstLine="460" w:firstLineChars="192"/>
        <w:textAlignment w:val="auto"/>
        <w:rPr>
          <w:rFonts w:hint="eastAsia" w:ascii="宋体" w:hAnsi="宋体" w:eastAsia="宋体" w:cs="宋体"/>
          <w:kern w:val="0"/>
          <w:sz w:val="24"/>
          <w:szCs w:val="24"/>
        </w:rPr>
      </w:pPr>
      <w:r>
        <w:rPr>
          <w:rFonts w:hint="eastAsia" w:ascii="宋体" w:hAnsi="宋体" w:eastAsia="宋体" w:cs="宋体"/>
          <w:kern w:val="0"/>
          <w:sz w:val="24"/>
          <w:szCs w:val="24"/>
        </w:rPr>
        <w:t xml:space="preserve">如因本合同发生纠纷，双方先进行协商，协商不成，任何一方均有权向甲方所在地人民法院提起诉讼。 </w:t>
      </w:r>
    </w:p>
    <w:p w14:paraId="7AAAFA35">
      <w:pPr>
        <w:overflowPunct/>
        <w:topLinePunct w:val="0"/>
        <w:bidi w:val="0"/>
        <w:spacing w:line="500" w:lineRule="exact"/>
        <w:ind w:firstLine="463" w:firstLineChars="192"/>
        <w:textAlignment w:val="auto"/>
        <w:outlineLvl w:val="0"/>
        <w:rPr>
          <w:rFonts w:hint="eastAsia" w:ascii="宋体" w:hAnsi="宋体" w:eastAsia="宋体" w:cs="宋体"/>
          <w:b/>
          <w:bCs/>
          <w:sz w:val="24"/>
          <w:szCs w:val="24"/>
        </w:rPr>
      </w:pPr>
      <w:r>
        <w:rPr>
          <w:rFonts w:hint="eastAsia" w:ascii="宋体" w:hAnsi="宋体" w:eastAsia="宋体" w:cs="宋体"/>
          <w:b/>
          <w:bCs/>
          <w:sz w:val="24"/>
          <w:szCs w:val="24"/>
        </w:rPr>
        <w:t>第</w:t>
      </w:r>
      <w:r>
        <w:rPr>
          <w:rFonts w:hint="eastAsia" w:ascii="宋体" w:hAnsi="宋体" w:eastAsia="宋体" w:cs="宋体"/>
          <w:b/>
          <w:bCs/>
          <w:sz w:val="24"/>
          <w:szCs w:val="24"/>
          <w:lang w:val="en-US" w:eastAsia="zh-CN"/>
        </w:rPr>
        <w:t>十一</w:t>
      </w:r>
      <w:r>
        <w:rPr>
          <w:rFonts w:hint="eastAsia" w:ascii="宋体" w:hAnsi="宋体" w:eastAsia="宋体" w:cs="宋体"/>
          <w:b/>
          <w:bCs/>
          <w:sz w:val="24"/>
          <w:szCs w:val="24"/>
        </w:rPr>
        <w:t>条 其他</w:t>
      </w:r>
      <w:r>
        <w:rPr>
          <w:rFonts w:hint="eastAsia" w:ascii="宋体" w:hAnsi="宋体" w:eastAsia="宋体" w:cs="宋体"/>
          <w:b/>
          <w:bCs/>
          <w:sz w:val="24"/>
          <w:szCs w:val="24"/>
          <w:lang w:eastAsia="zh-CN"/>
        </w:rPr>
        <w:t>约定</w:t>
      </w:r>
      <w:r>
        <w:rPr>
          <w:rFonts w:hint="eastAsia" w:ascii="宋体" w:hAnsi="宋体" w:eastAsia="宋体" w:cs="宋体"/>
          <w:b/>
          <w:bCs/>
          <w:sz w:val="24"/>
          <w:szCs w:val="24"/>
        </w:rPr>
        <w:t xml:space="preserve"> </w:t>
      </w:r>
    </w:p>
    <w:p w14:paraId="4CA6308F">
      <w:pPr>
        <w:tabs>
          <w:tab w:val="left" w:pos="630"/>
        </w:tabs>
        <w:overflowPunct/>
        <w:topLinePunct w:val="0"/>
        <w:bidi w:val="0"/>
        <w:spacing w:line="500" w:lineRule="exact"/>
        <w:ind w:firstLine="460" w:firstLineChars="192"/>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 xml:space="preserve">本合同自甲、乙双方法定代表人或授权代表签字并加盖公章后生效。 </w:t>
      </w:r>
    </w:p>
    <w:p w14:paraId="037376D6">
      <w:pPr>
        <w:tabs>
          <w:tab w:val="left" w:pos="630"/>
        </w:tabs>
        <w:overflowPunct/>
        <w:topLinePunct w:val="0"/>
        <w:bidi w:val="0"/>
        <w:spacing w:line="500" w:lineRule="exact"/>
        <w:ind w:firstLine="460" w:firstLineChars="192"/>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2.</w:t>
      </w:r>
      <w:r>
        <w:rPr>
          <w:rFonts w:hint="eastAsia" w:ascii="宋体" w:hAnsi="宋体" w:eastAsia="宋体" w:cs="宋体"/>
          <w:sz w:val="24"/>
          <w:szCs w:val="24"/>
        </w:rPr>
        <w:t>本合同正本壹式</w:t>
      </w:r>
      <w:r>
        <w:rPr>
          <w:rFonts w:hint="eastAsia" w:ascii="宋体" w:hAnsi="宋体" w:eastAsia="宋体" w:cs="宋体"/>
          <w:sz w:val="24"/>
          <w:szCs w:val="24"/>
          <w:u w:val="single"/>
          <w:lang w:val="en-US" w:eastAsia="zh-CN"/>
        </w:rPr>
        <w:t>肆</w:t>
      </w:r>
      <w:r>
        <w:rPr>
          <w:rFonts w:hint="eastAsia" w:ascii="宋体" w:hAnsi="宋体" w:eastAsia="宋体" w:cs="宋体"/>
          <w:sz w:val="24"/>
          <w:szCs w:val="24"/>
        </w:rPr>
        <w:t>份，甲方执</w:t>
      </w:r>
      <w:r>
        <w:rPr>
          <w:rFonts w:hint="eastAsia" w:ascii="宋体" w:hAnsi="宋体" w:eastAsia="宋体" w:cs="宋体"/>
          <w:color w:val="auto"/>
          <w:sz w:val="24"/>
          <w:szCs w:val="24"/>
          <w:highlight w:val="none"/>
          <w:u w:val="single"/>
          <w:lang w:val="en-US" w:eastAsia="zh-CN"/>
        </w:rPr>
        <w:t>贰</w:t>
      </w:r>
      <w:r>
        <w:rPr>
          <w:rFonts w:hint="eastAsia" w:ascii="宋体" w:hAnsi="宋体" w:eastAsia="宋体" w:cs="宋体"/>
          <w:sz w:val="24"/>
          <w:szCs w:val="24"/>
        </w:rPr>
        <w:t>份、乙方执</w:t>
      </w:r>
      <w:r>
        <w:rPr>
          <w:rFonts w:hint="eastAsia" w:ascii="宋体" w:hAnsi="宋体" w:eastAsia="宋体" w:cs="宋体"/>
          <w:sz w:val="24"/>
          <w:szCs w:val="24"/>
          <w:u w:val="single"/>
          <w:lang w:val="en-US" w:eastAsia="zh-CN"/>
        </w:rPr>
        <w:t>贰</w:t>
      </w:r>
      <w:r>
        <w:rPr>
          <w:rFonts w:hint="eastAsia" w:ascii="宋体" w:hAnsi="宋体" w:eastAsia="宋体" w:cs="宋体"/>
          <w:sz w:val="24"/>
          <w:szCs w:val="24"/>
        </w:rPr>
        <w:t>份，具有同等的法律效力。</w:t>
      </w:r>
      <w:r>
        <w:rPr>
          <w:rFonts w:hint="eastAsia" w:ascii="宋体" w:hAnsi="宋体" w:eastAsia="宋体" w:cs="宋体"/>
          <w:kern w:val="0"/>
          <w:sz w:val="24"/>
          <w:szCs w:val="24"/>
        </w:rPr>
        <w:t xml:space="preserve"> </w:t>
      </w:r>
    </w:p>
    <w:p w14:paraId="61CE7164">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本合同未尽事宜，由甲、乙双方协商解决，经协商一致可签订补充协议，补</w:t>
      </w:r>
      <w:r>
        <w:rPr>
          <w:rFonts w:hint="eastAsia" w:ascii="宋体" w:hAnsi="宋体" w:eastAsia="宋体" w:cs="宋体"/>
          <w:sz w:val="24"/>
          <w:szCs w:val="24"/>
        </w:rPr>
        <w:t>充</w:t>
      </w:r>
      <w:r>
        <w:rPr>
          <w:rFonts w:hint="eastAsia" w:ascii="宋体" w:hAnsi="宋体" w:eastAsia="宋体" w:cs="宋体"/>
          <w:color w:val="auto"/>
          <w:sz w:val="24"/>
          <w:szCs w:val="24"/>
        </w:rPr>
        <w:t xml:space="preserve">协议与本合同具有同等效力。 </w:t>
      </w:r>
    </w:p>
    <w:p w14:paraId="229AC700">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jc w:val="left"/>
        <w:textAlignment w:val="auto"/>
        <w:outlineLvl w:val="9"/>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4.甲方可根据自身经营需要将合同权利义务概括转让给其关联公司，乙方予以同意。</w:t>
      </w:r>
    </w:p>
    <w:p w14:paraId="7924AE67">
      <w:pPr>
        <w:widowControl/>
        <w:overflowPunct/>
        <w:topLinePunct w:val="0"/>
        <w:bidi w:val="0"/>
        <w:spacing w:line="500" w:lineRule="exact"/>
        <w:jc w:val="left"/>
        <w:textAlignment w:val="auto"/>
        <w:rPr>
          <w:rFonts w:hint="eastAsia" w:ascii="宋体" w:hAnsi="宋体" w:eastAsia="宋体" w:cs="宋体"/>
          <w:b/>
          <w:bCs/>
          <w:kern w:val="0"/>
          <w:sz w:val="24"/>
          <w:szCs w:val="24"/>
        </w:rPr>
      </w:pPr>
    </w:p>
    <w:p w14:paraId="58FB00EA">
      <w:pPr>
        <w:pStyle w:val="4"/>
        <w:overflowPunct/>
        <w:topLinePunct w:val="0"/>
        <w:bidi w:val="0"/>
        <w:textAlignment w:val="auto"/>
        <w:rPr>
          <w:rFonts w:hint="eastAsia"/>
        </w:rPr>
      </w:pPr>
    </w:p>
    <w:p w14:paraId="107EB340">
      <w:pPr>
        <w:widowControl/>
        <w:overflowPunct/>
        <w:topLinePunct w:val="0"/>
        <w:bidi w:val="0"/>
        <w:spacing w:line="500" w:lineRule="exact"/>
        <w:jc w:val="left"/>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甲方：</w:t>
      </w:r>
      <w:r>
        <w:rPr>
          <w:rFonts w:hint="eastAsia" w:ascii="宋体" w:hAnsi="宋体" w:eastAsia="宋体" w:cs="宋体"/>
          <w:b/>
          <w:bCs/>
          <w:kern w:val="0"/>
          <w:sz w:val="24"/>
          <w:szCs w:val="24"/>
          <w:lang w:val="en-US" w:eastAsia="zh-CN"/>
        </w:rPr>
        <w:t>深圳市龙岗区城投置地开发有限公司</w:t>
      </w:r>
      <w:r>
        <w:rPr>
          <w:rFonts w:hint="eastAsia" w:ascii="宋体" w:hAnsi="宋体" w:eastAsia="宋体" w:cs="宋体"/>
          <w:b/>
          <w:bCs/>
          <w:kern w:val="0"/>
          <w:sz w:val="24"/>
          <w:szCs w:val="24"/>
        </w:rPr>
        <w:t xml:space="preserve">（盖章）          </w:t>
      </w:r>
    </w:p>
    <w:p w14:paraId="1005D491">
      <w:pPr>
        <w:widowControl/>
        <w:overflowPunct/>
        <w:topLinePunct w:val="0"/>
        <w:bidi w:val="0"/>
        <w:spacing w:line="500" w:lineRule="exact"/>
        <w:jc w:val="left"/>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 xml:space="preserve">法定代表人或授权代表（签名）：                </w:t>
      </w:r>
    </w:p>
    <w:p w14:paraId="254E7417">
      <w:pPr>
        <w:widowControl/>
        <w:overflowPunct/>
        <w:topLinePunct w:val="0"/>
        <w:bidi w:val="0"/>
        <w:spacing w:line="500" w:lineRule="exact"/>
        <w:jc w:val="left"/>
        <w:textAlignment w:val="auto"/>
        <w:rPr>
          <w:rFonts w:hint="eastAsia" w:ascii="宋体" w:hAnsi="宋体" w:eastAsia="宋体" w:cs="宋体"/>
          <w:b/>
          <w:bCs/>
          <w:kern w:val="0"/>
          <w:sz w:val="24"/>
          <w:szCs w:val="24"/>
        </w:rPr>
      </w:pPr>
    </w:p>
    <w:p w14:paraId="20B3D5B8">
      <w:pPr>
        <w:widowControl/>
        <w:overflowPunct/>
        <w:topLinePunct w:val="0"/>
        <w:bidi w:val="0"/>
        <w:spacing w:line="500" w:lineRule="exact"/>
        <w:jc w:val="left"/>
        <w:textAlignment w:val="auto"/>
        <w:rPr>
          <w:rFonts w:hint="eastAsia" w:ascii="宋体" w:hAnsi="宋体" w:eastAsia="宋体" w:cs="宋体"/>
          <w:b/>
          <w:bCs/>
          <w:kern w:val="0"/>
          <w:sz w:val="24"/>
          <w:szCs w:val="24"/>
        </w:rPr>
      </w:pPr>
    </w:p>
    <w:p w14:paraId="261DDC74">
      <w:pPr>
        <w:widowControl/>
        <w:overflowPunct/>
        <w:topLinePunct w:val="0"/>
        <w:bidi w:val="0"/>
        <w:spacing w:line="500" w:lineRule="exact"/>
        <w:jc w:val="left"/>
        <w:textAlignment w:val="auto"/>
        <w:rPr>
          <w:rFonts w:hint="eastAsia" w:ascii="宋体" w:hAnsi="宋体" w:eastAsia="宋体" w:cs="宋体"/>
          <w:b/>
          <w:bCs/>
          <w:kern w:val="0"/>
          <w:sz w:val="24"/>
          <w:szCs w:val="24"/>
        </w:rPr>
      </w:pPr>
    </w:p>
    <w:p w14:paraId="75EB7CE8">
      <w:pPr>
        <w:pStyle w:val="15"/>
        <w:overflowPunct/>
        <w:topLinePunct w:val="0"/>
        <w:bidi w:val="0"/>
        <w:textAlignment w:val="auto"/>
        <w:rPr>
          <w:rFonts w:hint="eastAsia"/>
        </w:rPr>
      </w:pPr>
    </w:p>
    <w:p w14:paraId="60A52F9E">
      <w:pPr>
        <w:widowControl/>
        <w:overflowPunct/>
        <w:topLinePunct w:val="0"/>
        <w:bidi w:val="0"/>
        <w:spacing w:line="500" w:lineRule="exact"/>
        <w:jc w:val="left"/>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 xml:space="preserve">乙方：（盖章）   </w:t>
      </w:r>
    </w:p>
    <w:p w14:paraId="585085A3">
      <w:pPr>
        <w:widowControl/>
        <w:overflowPunct/>
        <w:topLinePunct w:val="0"/>
        <w:bidi w:val="0"/>
        <w:spacing w:line="500" w:lineRule="exact"/>
        <w:jc w:val="left"/>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 xml:space="preserve">法定代表人或授权代表（签名）：                           </w:t>
      </w:r>
    </w:p>
    <w:p w14:paraId="58528193">
      <w:pPr>
        <w:widowControl/>
        <w:overflowPunct/>
        <w:topLinePunct w:val="0"/>
        <w:bidi w:val="0"/>
        <w:spacing w:line="500" w:lineRule="exact"/>
        <w:jc w:val="left"/>
        <w:textAlignment w:val="auto"/>
        <w:rPr>
          <w:rFonts w:hint="eastAsia" w:ascii="宋体" w:hAnsi="宋体" w:eastAsia="宋体" w:cs="宋体"/>
          <w:b/>
          <w:bCs/>
          <w:kern w:val="0"/>
          <w:sz w:val="24"/>
          <w:szCs w:val="24"/>
        </w:rPr>
      </w:pPr>
    </w:p>
    <w:p w14:paraId="0CF1574C">
      <w:pPr>
        <w:widowControl/>
        <w:overflowPunct/>
        <w:topLinePunct w:val="0"/>
        <w:bidi w:val="0"/>
        <w:spacing w:line="500" w:lineRule="exact"/>
        <w:jc w:val="left"/>
        <w:textAlignment w:val="auto"/>
        <w:rPr>
          <w:rFonts w:hint="eastAsia" w:ascii="宋体" w:hAnsi="宋体" w:eastAsia="宋体" w:cs="宋体"/>
          <w:b/>
          <w:bCs/>
          <w:kern w:val="0"/>
          <w:sz w:val="24"/>
          <w:szCs w:val="24"/>
        </w:rPr>
      </w:pPr>
    </w:p>
    <w:p w14:paraId="4D715639">
      <w:pPr>
        <w:widowControl/>
        <w:overflowPunct/>
        <w:topLinePunct w:val="0"/>
        <w:bidi w:val="0"/>
        <w:spacing w:line="500" w:lineRule="exact"/>
        <w:jc w:val="left"/>
        <w:textAlignment w:val="auto"/>
        <w:rPr>
          <w:rFonts w:hint="eastAsia" w:ascii="宋体" w:hAnsi="宋体" w:eastAsia="宋体" w:cs="宋体"/>
          <w:b/>
          <w:bCs/>
          <w:kern w:val="0"/>
          <w:sz w:val="24"/>
          <w:szCs w:val="24"/>
        </w:rPr>
      </w:pPr>
    </w:p>
    <w:p w14:paraId="3514C2C7">
      <w:pPr>
        <w:widowControl/>
        <w:overflowPunct/>
        <w:topLinePunct w:val="0"/>
        <w:bidi w:val="0"/>
        <w:spacing w:line="500" w:lineRule="exact"/>
        <w:jc w:val="left"/>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lang w:val="en-US" w:eastAsia="zh-CN"/>
        </w:rPr>
        <w:t>合同</w:t>
      </w:r>
      <w:r>
        <w:rPr>
          <w:rFonts w:hint="eastAsia" w:ascii="宋体" w:hAnsi="宋体" w:eastAsia="宋体" w:cs="宋体"/>
          <w:b/>
          <w:bCs/>
          <w:kern w:val="0"/>
          <w:sz w:val="24"/>
          <w:szCs w:val="24"/>
          <w:highlight w:val="none"/>
        </w:rPr>
        <w:t>签署日期：</w:t>
      </w:r>
      <w:r>
        <w:rPr>
          <w:rFonts w:hint="eastAsia" w:ascii="宋体" w:hAnsi="宋体" w:eastAsia="宋体" w:cs="宋体"/>
          <w:b/>
          <w:bCs/>
          <w:kern w:val="0"/>
          <w:sz w:val="24"/>
          <w:szCs w:val="24"/>
          <w:highlight w:val="none"/>
          <w:lang w:val="en-US" w:eastAsia="zh-CN"/>
        </w:rPr>
        <w:t>2026</w:t>
      </w:r>
      <w:r>
        <w:rPr>
          <w:rFonts w:hint="eastAsia" w:ascii="宋体" w:hAnsi="宋体" w:eastAsia="宋体" w:cs="宋体"/>
          <w:b/>
          <w:bCs/>
          <w:kern w:val="0"/>
          <w:sz w:val="24"/>
          <w:szCs w:val="24"/>
          <w:highlight w:val="none"/>
        </w:rPr>
        <w:t>年</w:t>
      </w:r>
      <w:r>
        <w:rPr>
          <w:rFonts w:hint="eastAsia" w:ascii="宋体" w:hAnsi="宋体" w:eastAsia="宋体" w:cs="宋体"/>
          <w:b/>
          <w:bCs/>
          <w:kern w:val="0"/>
          <w:sz w:val="24"/>
          <w:szCs w:val="24"/>
          <w:highlight w:val="none"/>
          <w:lang w:val="en-US" w:eastAsia="zh-CN"/>
        </w:rPr>
        <w:t xml:space="preserve">  </w:t>
      </w:r>
      <w:r>
        <w:rPr>
          <w:rFonts w:hint="eastAsia" w:ascii="宋体" w:hAnsi="宋体" w:eastAsia="宋体" w:cs="宋体"/>
          <w:b/>
          <w:bCs/>
          <w:kern w:val="0"/>
          <w:sz w:val="24"/>
          <w:szCs w:val="24"/>
          <w:highlight w:val="none"/>
        </w:rPr>
        <w:t>月</w:t>
      </w:r>
      <w:r>
        <w:rPr>
          <w:rFonts w:hint="eastAsia" w:ascii="宋体" w:hAnsi="宋体" w:eastAsia="宋体" w:cs="宋体"/>
          <w:b/>
          <w:bCs/>
          <w:kern w:val="0"/>
          <w:sz w:val="24"/>
          <w:szCs w:val="24"/>
          <w:highlight w:val="none"/>
          <w:lang w:val="en-US" w:eastAsia="zh-CN"/>
        </w:rPr>
        <w:t xml:space="preserve">  </w:t>
      </w:r>
      <w:r>
        <w:rPr>
          <w:rFonts w:hint="eastAsia" w:ascii="宋体" w:hAnsi="宋体" w:eastAsia="宋体" w:cs="宋体"/>
          <w:b/>
          <w:bCs/>
          <w:kern w:val="0"/>
          <w:sz w:val="24"/>
          <w:szCs w:val="24"/>
          <w:highlight w:val="none"/>
        </w:rPr>
        <w:t>日</w:t>
      </w:r>
    </w:p>
    <w:p w14:paraId="1FF14E56">
      <w:pPr>
        <w:widowControl/>
        <w:overflowPunct/>
        <w:topLinePunct w:val="0"/>
        <w:bidi w:val="0"/>
        <w:spacing w:line="500" w:lineRule="exact"/>
        <w:jc w:val="left"/>
        <w:textAlignment w:val="auto"/>
        <w:rPr>
          <w:rFonts w:hint="eastAsia" w:ascii="宋体" w:hAnsi="宋体" w:eastAsia="宋体" w:cs="宋体"/>
          <w:b/>
          <w:bCs/>
          <w:kern w:val="0"/>
          <w:sz w:val="24"/>
          <w:szCs w:val="24"/>
        </w:rPr>
      </w:pPr>
    </w:p>
    <w:p w14:paraId="21525D2C">
      <w:pPr>
        <w:widowControl/>
        <w:overflowPunct/>
        <w:topLinePunct w:val="0"/>
        <w:bidi w:val="0"/>
        <w:spacing w:line="500" w:lineRule="exact"/>
        <w:jc w:val="left"/>
        <w:textAlignment w:val="auto"/>
        <w:rPr>
          <w:rFonts w:hint="eastAsia" w:ascii="宋体" w:hAnsi="宋体" w:eastAsia="宋体" w:cs="宋体"/>
          <w:b/>
          <w:bCs/>
          <w:kern w:val="0"/>
          <w:sz w:val="24"/>
          <w:szCs w:val="24"/>
        </w:rPr>
      </w:pPr>
    </w:p>
    <w:p w14:paraId="4F235DAB">
      <w:pPr>
        <w:pStyle w:val="3"/>
        <w:overflowPunct/>
        <w:topLinePunct w:val="0"/>
        <w:bidi w:val="0"/>
        <w:spacing w:before="0" w:after="0" w:line="360" w:lineRule="auto"/>
        <w:textAlignment w:val="auto"/>
        <w:rPr>
          <w:rFonts w:hint="eastAsia" w:ascii="宋体" w:hAnsi="宋体" w:cs="宋体"/>
          <w:sz w:val="24"/>
          <w:szCs w:val="24"/>
        </w:rPr>
        <w:sectPr>
          <w:footerReference r:id="rId6" w:type="default"/>
          <w:pgSz w:w="11906" w:h="16838"/>
          <w:pgMar w:top="1440" w:right="1797" w:bottom="1440" w:left="1797" w:header="851" w:footer="992" w:gutter="0"/>
          <w:pgNumType w:fmt="decimal" w:start="1"/>
          <w:cols w:space="0" w:num="1"/>
          <w:rtlGutter w:val="0"/>
          <w:docGrid w:type="lines" w:linePitch="312" w:charSpace="0"/>
        </w:sectPr>
      </w:pPr>
    </w:p>
    <w:p w14:paraId="1502A9C3">
      <w:pPr>
        <w:overflowPunct/>
        <w:topLinePunct w:val="0"/>
        <w:bidi w:val="0"/>
        <w:spacing w:line="420" w:lineRule="exact"/>
        <w:jc w:val="both"/>
        <w:textAlignment w:val="auto"/>
        <w:outlineLvl w:val="0"/>
        <w:rPr>
          <w:rFonts w:hint="default" w:cs="Times New Roman" w:asciiTheme="minorEastAsia" w:hAnsiTheme="minorEastAsia" w:eastAsiaTheme="minorEastAsia"/>
          <w:b/>
          <w:bCs/>
          <w:snapToGrid w:val="0"/>
          <w:color w:val="auto"/>
          <w:kern w:val="0"/>
          <w:sz w:val="26"/>
          <w:szCs w:val="26"/>
          <w:lang w:val="en-US" w:eastAsia="zh-CN" w:bidi="ar-SA"/>
        </w:rPr>
      </w:pPr>
      <w:r>
        <w:rPr>
          <w:rFonts w:hint="eastAsia" w:ascii="宋体" w:hAnsi="宋体" w:cs="宋体"/>
          <w:sz w:val="24"/>
          <w:szCs w:val="24"/>
        </w:rPr>
        <w:t xml:space="preserve">附件1：      </w:t>
      </w:r>
      <w:r>
        <w:rPr>
          <w:rFonts w:hint="eastAsia" w:ascii="宋体" w:hAnsi="宋体" w:cs="宋体"/>
          <w:sz w:val="21"/>
          <w:szCs w:val="21"/>
        </w:rPr>
        <w:t xml:space="preserve">   </w:t>
      </w:r>
    </w:p>
    <w:p w14:paraId="66019AF1">
      <w:pPr>
        <w:overflowPunct/>
        <w:topLinePunct w:val="0"/>
        <w:bidi w:val="0"/>
        <w:spacing w:line="420" w:lineRule="exact"/>
        <w:jc w:val="center"/>
        <w:textAlignment w:val="auto"/>
        <w:outlineLvl w:val="0"/>
        <w:rPr>
          <w:rFonts w:hint="eastAsia" w:ascii="宋体" w:hAnsi="宋体" w:eastAsia="宋体"/>
          <w:b/>
          <w:color w:val="auto"/>
          <w:sz w:val="36"/>
          <w:szCs w:val="36"/>
          <w:highlight w:val="none"/>
        </w:rPr>
      </w:pPr>
      <w:r>
        <w:rPr>
          <w:rFonts w:hint="eastAsia" w:ascii="宋体" w:hAnsi="宋体" w:eastAsia="宋体"/>
          <w:b/>
          <w:color w:val="auto"/>
          <w:sz w:val="36"/>
          <w:szCs w:val="36"/>
          <w:highlight w:val="none"/>
        </w:rPr>
        <w:t>考核办法</w:t>
      </w:r>
    </w:p>
    <w:p w14:paraId="5BE21803">
      <w:pPr>
        <w:pStyle w:val="34"/>
        <w:overflowPunct/>
        <w:topLinePunct w:val="0"/>
        <w:bidi w:val="0"/>
        <w:spacing w:line="360" w:lineRule="auto"/>
        <w:ind w:firstLine="480" w:firstLineChars="200"/>
        <w:textAlignment w:val="auto"/>
        <w:rPr>
          <w:rFonts w:ascii="宋体" w:hAnsi="宋体" w:cs="宋体"/>
          <w:color w:val="auto"/>
          <w:sz w:val="24"/>
          <w:u w:val="single"/>
        </w:rPr>
      </w:pPr>
      <w:r>
        <w:rPr>
          <w:rFonts w:hint="eastAsia" w:ascii="宋体" w:hAnsi="宋体" w:cs="宋体"/>
          <w:color w:val="auto"/>
          <w:sz w:val="24"/>
          <w:u w:val="single"/>
        </w:rPr>
        <w:t>1、本办法以乙方的实际工作为根据，通过量化的方式对其工作进行全面检查考核，以提高乙方合同履约工作整体质量。</w:t>
      </w:r>
    </w:p>
    <w:p w14:paraId="435B8FCE">
      <w:pPr>
        <w:pStyle w:val="34"/>
        <w:overflowPunct/>
        <w:topLinePunct w:val="0"/>
        <w:bidi w:val="0"/>
        <w:spacing w:line="360" w:lineRule="auto"/>
        <w:ind w:firstLine="480" w:firstLineChars="200"/>
        <w:textAlignment w:val="auto"/>
        <w:rPr>
          <w:rFonts w:ascii="宋体" w:hAnsi="宋体" w:cs="宋体"/>
          <w:color w:val="auto"/>
          <w:sz w:val="24"/>
          <w:u w:val="single"/>
        </w:rPr>
      </w:pPr>
      <w:r>
        <w:rPr>
          <w:rFonts w:hint="eastAsia" w:ascii="宋体" w:hAnsi="宋体" w:cs="宋体"/>
          <w:color w:val="auto"/>
          <w:sz w:val="24"/>
          <w:u w:val="single"/>
        </w:rPr>
        <w:t>2、甲方有权在实施阶段根据具体情况对此考核办法进行修订、补充和完善，乙方应无条件根据修订后的考核办法接受考核。</w:t>
      </w:r>
    </w:p>
    <w:p w14:paraId="796333A9">
      <w:pPr>
        <w:pStyle w:val="34"/>
        <w:overflowPunct/>
        <w:topLinePunct w:val="0"/>
        <w:bidi w:val="0"/>
        <w:spacing w:line="360" w:lineRule="auto"/>
        <w:ind w:firstLine="480" w:firstLineChars="200"/>
        <w:textAlignment w:val="auto"/>
        <w:rPr>
          <w:rFonts w:ascii="宋体" w:hAnsi="宋体" w:cs="宋体"/>
          <w:color w:val="auto"/>
          <w:sz w:val="24"/>
          <w:u w:val="single"/>
        </w:rPr>
      </w:pPr>
      <w:r>
        <w:rPr>
          <w:rFonts w:hint="eastAsia" w:ascii="宋体" w:hAnsi="宋体" w:cs="宋体"/>
          <w:color w:val="auto"/>
          <w:sz w:val="24"/>
          <w:u w:val="single"/>
        </w:rPr>
        <w:t>3、考核工作由委托方牵头，乙方应配合检查考核，无条件接受检查考核结果，并不会因此提出任何延期、索赔的要求</w:t>
      </w:r>
      <w:r>
        <w:rPr>
          <w:rFonts w:hint="eastAsia" w:ascii="宋体" w:hAnsi="宋体" w:cs="宋体"/>
          <w:color w:val="auto"/>
          <w:sz w:val="24"/>
          <w:u w:val="single"/>
          <w:lang w:eastAsia="zh-CN"/>
        </w:rPr>
        <w:t>。</w:t>
      </w:r>
    </w:p>
    <w:p w14:paraId="4148D91D">
      <w:pPr>
        <w:pStyle w:val="34"/>
        <w:overflowPunct/>
        <w:topLinePunct w:val="0"/>
        <w:bidi w:val="0"/>
        <w:spacing w:line="360" w:lineRule="auto"/>
        <w:ind w:firstLine="480" w:firstLineChars="200"/>
        <w:textAlignment w:val="auto"/>
        <w:rPr>
          <w:rFonts w:ascii="宋体" w:hAnsi="宋体" w:cs="宋体"/>
          <w:color w:val="auto"/>
          <w:sz w:val="24"/>
          <w:u w:val="single"/>
        </w:rPr>
      </w:pPr>
      <w:r>
        <w:rPr>
          <w:rFonts w:hint="eastAsia" w:ascii="宋体" w:hAnsi="宋体" w:cs="宋体"/>
          <w:color w:val="auto"/>
          <w:sz w:val="24"/>
          <w:u w:val="single"/>
          <w:lang w:val="en-US" w:eastAsia="zh-CN"/>
        </w:rPr>
        <w:t>4</w:t>
      </w:r>
      <w:r>
        <w:rPr>
          <w:rFonts w:hint="eastAsia" w:ascii="宋体" w:hAnsi="宋体" w:cs="宋体"/>
          <w:color w:val="auto"/>
          <w:sz w:val="24"/>
          <w:u w:val="single"/>
        </w:rPr>
        <w:t>、评分细则</w:t>
      </w:r>
    </w:p>
    <w:p w14:paraId="262785A3">
      <w:pPr>
        <w:pStyle w:val="34"/>
        <w:overflowPunct/>
        <w:topLinePunct w:val="0"/>
        <w:bidi w:val="0"/>
        <w:spacing w:line="360" w:lineRule="auto"/>
        <w:ind w:firstLine="480" w:firstLineChars="200"/>
        <w:textAlignment w:val="auto"/>
        <w:rPr>
          <w:rFonts w:ascii="宋体" w:hAnsi="宋体" w:cs="宋体"/>
          <w:color w:val="auto"/>
          <w:sz w:val="24"/>
          <w:u w:val="single"/>
        </w:rPr>
      </w:pPr>
      <w:r>
        <w:rPr>
          <w:rFonts w:hint="eastAsia" w:ascii="宋体" w:hAnsi="宋体" w:cs="宋体"/>
          <w:color w:val="auto"/>
          <w:sz w:val="24"/>
          <w:u w:val="single"/>
          <w:lang w:val="en-US" w:eastAsia="zh-CN"/>
        </w:rPr>
        <w:t>4</w:t>
      </w:r>
      <w:r>
        <w:rPr>
          <w:rFonts w:hint="eastAsia" w:ascii="宋体" w:hAnsi="宋体" w:cs="宋体"/>
          <w:color w:val="auto"/>
          <w:sz w:val="24"/>
          <w:u w:val="single"/>
        </w:rPr>
        <w:t>.1每个类别根据各评分项目规定的评分细则进行打分。</w:t>
      </w:r>
    </w:p>
    <w:p w14:paraId="6298F4D5">
      <w:pPr>
        <w:pStyle w:val="36"/>
        <w:overflowPunct/>
        <w:topLinePunct w:val="0"/>
        <w:bidi w:val="0"/>
        <w:spacing w:line="360" w:lineRule="auto"/>
        <w:ind w:firstLine="480"/>
        <w:jc w:val="left"/>
        <w:textAlignment w:val="auto"/>
        <w:rPr>
          <w:rFonts w:ascii="宋体" w:hAnsi="宋体" w:cs="宋体"/>
          <w:color w:val="auto"/>
          <w:sz w:val="24"/>
          <w:szCs w:val="24"/>
          <w:u w:val="single"/>
        </w:rPr>
      </w:pPr>
      <w:r>
        <w:rPr>
          <w:rFonts w:hint="eastAsia" w:ascii="宋体" w:hAnsi="宋体" w:cs="宋体"/>
          <w:color w:val="auto"/>
          <w:sz w:val="24"/>
          <w:szCs w:val="24"/>
          <w:u w:val="single"/>
          <w:lang w:val="en-US" w:eastAsia="zh-CN"/>
        </w:rPr>
        <w:t>4</w:t>
      </w:r>
      <w:r>
        <w:rPr>
          <w:rFonts w:hint="eastAsia" w:ascii="宋体" w:hAnsi="宋体" w:cs="宋体"/>
          <w:color w:val="auto"/>
          <w:sz w:val="24"/>
          <w:szCs w:val="24"/>
          <w:u w:val="single"/>
        </w:rPr>
        <w:t>.2每个评分项目的打分不得超过该项目的标准分，每个项目的扣分按评分项目直至扣到零分为止。</w:t>
      </w:r>
    </w:p>
    <w:p w14:paraId="3D4501A4">
      <w:pPr>
        <w:pStyle w:val="36"/>
        <w:overflowPunct/>
        <w:topLinePunct w:val="0"/>
        <w:bidi w:val="0"/>
        <w:spacing w:line="360" w:lineRule="auto"/>
        <w:ind w:firstLine="480"/>
        <w:jc w:val="left"/>
        <w:textAlignment w:val="auto"/>
        <w:rPr>
          <w:rFonts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、考核应用</w:t>
      </w:r>
    </w:p>
    <w:p w14:paraId="46C72674">
      <w:pPr>
        <w:pStyle w:val="34"/>
        <w:overflowPunct/>
        <w:topLinePunct w:val="0"/>
        <w:bidi w:val="0"/>
        <w:spacing w:line="360" w:lineRule="auto"/>
        <w:ind w:firstLine="480" w:firstLineChars="200"/>
        <w:textAlignment w:val="auto"/>
        <w:rPr>
          <w:rFonts w:ascii="宋体" w:hAnsi="宋体" w:cs="宋体"/>
          <w:b/>
          <w:bCs/>
          <w:color w:val="auto"/>
          <w:sz w:val="24"/>
        </w:rPr>
      </w:pPr>
      <w:r>
        <w:rPr>
          <w:rFonts w:hint="eastAsia" w:ascii="宋体" w:hAnsi="宋体" w:cs="宋体"/>
          <w:color w:val="auto"/>
          <w:sz w:val="24"/>
          <w:u w:val="single"/>
        </w:rPr>
        <w:t>单项评价，优秀（100≤总分≤90分）、良好（75≤总分＜90分）、合格（60≤总分＜75分）、不合格（总分＜60分）</w:t>
      </w:r>
      <w:r>
        <w:rPr>
          <w:rFonts w:hint="eastAsia" w:ascii="宋体" w:hAnsi="宋体" w:cs="宋体"/>
          <w:color w:val="auto"/>
          <w:sz w:val="24"/>
          <w:u w:val="single"/>
          <w:lang w:eastAsia="zh-CN"/>
        </w:rPr>
        <w:t>，</w:t>
      </w:r>
      <w:r>
        <w:rPr>
          <w:rFonts w:hint="eastAsia" w:ascii="宋体" w:hAnsi="宋体" w:cs="宋体"/>
          <w:color w:val="auto"/>
          <w:sz w:val="24"/>
          <w:u w:val="single"/>
        </w:rPr>
        <w:t>合格以上</w:t>
      </w:r>
      <w:r>
        <w:rPr>
          <w:rFonts w:hint="eastAsia" w:ascii="宋体" w:hAnsi="宋体" w:cs="宋体"/>
          <w:color w:val="auto"/>
          <w:sz w:val="24"/>
          <w:u w:val="single"/>
          <w:lang w:eastAsia="zh-CN"/>
        </w:rPr>
        <w:t>（不含）</w:t>
      </w:r>
      <w:r>
        <w:rPr>
          <w:rFonts w:hint="eastAsia" w:ascii="宋体" w:hAnsi="宋体" w:cs="宋体"/>
          <w:color w:val="auto"/>
          <w:sz w:val="24"/>
          <w:u w:val="single"/>
        </w:rPr>
        <w:t>全额支付，不合格视为乙方未正常履约，甲方有权扣除相应考核费用。若乙方所有考核平均分为差，视为乙方违约，甲方除按支付条款执行外，且甲方有权在后续项目采购中对乙方设置风险提示。</w:t>
      </w:r>
    </w:p>
    <w:p w14:paraId="5A99A03B">
      <w:pPr>
        <w:overflowPunct/>
        <w:topLinePunct w:val="0"/>
        <w:bidi w:val="0"/>
        <w:textAlignment w:val="auto"/>
        <w:rPr>
          <w:rFonts w:hint="eastAsia" w:ascii="宋体" w:hAnsi="宋体"/>
          <w:b/>
          <w:color w:val="auto"/>
          <w:sz w:val="36"/>
          <w:szCs w:val="36"/>
          <w:highlight w:val="none"/>
        </w:rPr>
      </w:pPr>
      <w:r>
        <w:rPr>
          <w:rFonts w:hint="eastAsia" w:ascii="宋体" w:hAnsi="宋体"/>
          <w:b/>
          <w:color w:val="auto"/>
          <w:sz w:val="36"/>
          <w:szCs w:val="36"/>
          <w:highlight w:val="none"/>
        </w:rPr>
        <w:br w:type="page"/>
      </w:r>
    </w:p>
    <w:p w14:paraId="162199DA">
      <w:pPr>
        <w:overflowPunct/>
        <w:topLinePunct w:val="0"/>
        <w:bidi w:val="0"/>
        <w:spacing w:line="420" w:lineRule="exact"/>
        <w:jc w:val="center"/>
        <w:textAlignment w:val="auto"/>
        <w:outlineLvl w:val="0"/>
        <w:rPr>
          <w:rFonts w:ascii="宋体" w:hAnsi="宋体"/>
          <w:b/>
          <w:color w:val="auto"/>
          <w:sz w:val="36"/>
          <w:szCs w:val="36"/>
          <w:highlight w:val="none"/>
        </w:rPr>
      </w:pPr>
      <w:r>
        <w:rPr>
          <w:rFonts w:hint="eastAsia" w:ascii="宋体" w:hAnsi="宋体"/>
          <w:b/>
          <w:color w:val="auto"/>
          <w:sz w:val="36"/>
          <w:szCs w:val="36"/>
          <w:highlight w:val="none"/>
        </w:rPr>
        <w:t>履约评价报告书</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3"/>
        <w:gridCol w:w="379"/>
        <w:gridCol w:w="1819"/>
        <w:gridCol w:w="1047"/>
        <w:gridCol w:w="1234"/>
        <w:gridCol w:w="929"/>
        <w:gridCol w:w="2164"/>
      </w:tblGrid>
      <w:tr w14:paraId="03191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781" w:type="pct"/>
            <w:gridSpan w:val="2"/>
            <w:tcBorders>
              <w:top w:val="single" w:color="auto" w:sz="4" w:space="0"/>
              <w:left w:val="single" w:color="auto" w:sz="12" w:space="0"/>
              <w:bottom w:val="single" w:color="auto" w:sz="4" w:space="0"/>
              <w:right w:val="single" w:color="auto" w:sz="4" w:space="0"/>
            </w:tcBorders>
            <w:noWrap w:val="0"/>
            <w:vAlign w:val="center"/>
          </w:tcPr>
          <w:p w14:paraId="53119CF5">
            <w:pPr>
              <w:overflowPunct/>
              <w:topLinePunct w:val="0"/>
              <w:bidi w:val="0"/>
              <w:textAlignment w:val="auto"/>
              <w:rPr>
                <w:rFonts w:ascii="宋体" w:hAnsi="宋体"/>
                <w:color w:val="auto"/>
                <w:szCs w:val="21"/>
                <w:highlight w:val="none"/>
              </w:rPr>
            </w:pPr>
            <w:r>
              <w:rPr>
                <w:rFonts w:hint="eastAsia" w:ascii="宋体" w:hAnsi="宋体"/>
                <w:color w:val="auto"/>
                <w:szCs w:val="21"/>
                <w:highlight w:val="none"/>
              </w:rPr>
              <w:t>评价部门</w:t>
            </w:r>
          </w:p>
        </w:tc>
        <w:tc>
          <w:tcPr>
            <w:tcW w:w="1681" w:type="pct"/>
            <w:gridSpan w:val="2"/>
            <w:tcBorders>
              <w:top w:val="single" w:color="auto" w:sz="4" w:space="0"/>
              <w:left w:val="single" w:color="auto" w:sz="4" w:space="0"/>
              <w:bottom w:val="single" w:color="auto" w:sz="4" w:space="0"/>
              <w:right w:val="single" w:color="auto" w:sz="4" w:space="0"/>
            </w:tcBorders>
            <w:noWrap w:val="0"/>
            <w:vAlign w:val="center"/>
          </w:tcPr>
          <w:p w14:paraId="06A48F11">
            <w:pPr>
              <w:overflowPunct/>
              <w:topLinePunct w:val="0"/>
              <w:bidi w:val="0"/>
              <w:textAlignment w:val="auto"/>
              <w:rPr>
                <w:rFonts w:ascii="宋体" w:hAnsi="宋体"/>
                <w:color w:val="auto"/>
                <w:szCs w:val="21"/>
                <w:highlight w:val="none"/>
              </w:rPr>
            </w:pPr>
          </w:p>
        </w:tc>
        <w:tc>
          <w:tcPr>
            <w:tcW w:w="724" w:type="pct"/>
            <w:tcBorders>
              <w:top w:val="single" w:color="auto" w:sz="4" w:space="0"/>
              <w:left w:val="single" w:color="auto" w:sz="4" w:space="0"/>
              <w:bottom w:val="single" w:color="auto" w:sz="4" w:space="0"/>
              <w:right w:val="single" w:color="auto" w:sz="4" w:space="0"/>
            </w:tcBorders>
            <w:noWrap w:val="0"/>
            <w:vAlign w:val="center"/>
          </w:tcPr>
          <w:p w14:paraId="4AAB666C">
            <w:pPr>
              <w:overflowPunct/>
              <w:topLinePunct w:val="0"/>
              <w:bidi w:val="0"/>
              <w:textAlignment w:val="auto"/>
              <w:rPr>
                <w:rFonts w:hint="eastAsia" w:ascii="宋体" w:hAnsi="宋体"/>
                <w:color w:val="auto"/>
                <w:szCs w:val="21"/>
                <w:highlight w:val="none"/>
              </w:rPr>
            </w:pPr>
            <w:r>
              <w:rPr>
                <w:rFonts w:hint="eastAsia" w:ascii="宋体" w:hAnsi="宋体"/>
                <w:color w:val="auto"/>
                <w:szCs w:val="21"/>
                <w:highlight w:val="none"/>
              </w:rPr>
              <w:t>评价日期</w:t>
            </w:r>
          </w:p>
        </w:tc>
        <w:tc>
          <w:tcPr>
            <w:tcW w:w="1812" w:type="pct"/>
            <w:gridSpan w:val="2"/>
            <w:tcBorders>
              <w:top w:val="single" w:color="auto" w:sz="4" w:space="0"/>
              <w:left w:val="single" w:color="auto" w:sz="4" w:space="0"/>
              <w:bottom w:val="single" w:color="auto" w:sz="4" w:space="0"/>
              <w:right w:val="single" w:color="auto" w:sz="12" w:space="0"/>
            </w:tcBorders>
            <w:noWrap w:val="0"/>
            <w:vAlign w:val="center"/>
          </w:tcPr>
          <w:p w14:paraId="592CB057">
            <w:pPr>
              <w:overflowPunct/>
              <w:topLinePunct w:val="0"/>
              <w:bidi w:val="0"/>
              <w:textAlignment w:val="auto"/>
              <w:rPr>
                <w:rFonts w:ascii="宋体" w:hAnsi="宋体"/>
                <w:color w:val="auto"/>
                <w:szCs w:val="21"/>
                <w:highlight w:val="none"/>
              </w:rPr>
            </w:pPr>
          </w:p>
        </w:tc>
      </w:tr>
      <w:tr w14:paraId="3BD6F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81" w:type="pct"/>
            <w:gridSpan w:val="2"/>
            <w:tcBorders>
              <w:top w:val="single" w:color="auto" w:sz="4" w:space="0"/>
              <w:left w:val="single" w:color="auto" w:sz="12" w:space="0"/>
              <w:bottom w:val="single" w:color="auto" w:sz="4" w:space="0"/>
              <w:right w:val="single" w:color="auto" w:sz="4" w:space="0"/>
            </w:tcBorders>
            <w:noWrap w:val="0"/>
            <w:vAlign w:val="center"/>
          </w:tcPr>
          <w:p w14:paraId="6819EB3E">
            <w:pPr>
              <w:overflowPunct/>
              <w:topLinePunct w:val="0"/>
              <w:bidi w:val="0"/>
              <w:textAlignment w:val="auto"/>
              <w:rPr>
                <w:rFonts w:ascii="宋体" w:hAnsi="宋体"/>
                <w:color w:val="auto"/>
                <w:szCs w:val="21"/>
                <w:highlight w:val="none"/>
              </w:rPr>
            </w:pPr>
            <w:r>
              <w:rPr>
                <w:rFonts w:hint="eastAsia" w:ascii="宋体" w:hAnsi="宋体"/>
                <w:color w:val="auto"/>
                <w:szCs w:val="21"/>
                <w:highlight w:val="none"/>
              </w:rPr>
              <w:t>被评价单位</w:t>
            </w:r>
          </w:p>
        </w:tc>
        <w:tc>
          <w:tcPr>
            <w:tcW w:w="1681" w:type="pct"/>
            <w:gridSpan w:val="2"/>
            <w:tcBorders>
              <w:top w:val="single" w:color="auto" w:sz="4" w:space="0"/>
              <w:left w:val="single" w:color="auto" w:sz="4" w:space="0"/>
              <w:bottom w:val="single" w:color="auto" w:sz="4" w:space="0"/>
              <w:right w:val="single" w:color="auto" w:sz="4" w:space="0"/>
            </w:tcBorders>
            <w:noWrap w:val="0"/>
            <w:vAlign w:val="center"/>
          </w:tcPr>
          <w:p w14:paraId="68A7D98A">
            <w:pPr>
              <w:overflowPunct/>
              <w:topLinePunct w:val="0"/>
              <w:bidi w:val="0"/>
              <w:textAlignment w:val="auto"/>
              <w:rPr>
                <w:rFonts w:ascii="宋体" w:hAnsi="宋体"/>
                <w:color w:val="auto"/>
                <w:szCs w:val="21"/>
                <w:highlight w:val="none"/>
              </w:rPr>
            </w:pPr>
          </w:p>
        </w:tc>
        <w:tc>
          <w:tcPr>
            <w:tcW w:w="724" w:type="pct"/>
            <w:tcBorders>
              <w:top w:val="single" w:color="auto" w:sz="4" w:space="0"/>
              <w:left w:val="single" w:color="auto" w:sz="4" w:space="0"/>
              <w:bottom w:val="single" w:color="auto" w:sz="4" w:space="0"/>
              <w:right w:val="single" w:color="auto" w:sz="4" w:space="0"/>
            </w:tcBorders>
            <w:noWrap w:val="0"/>
            <w:vAlign w:val="center"/>
          </w:tcPr>
          <w:p w14:paraId="3859CCB8">
            <w:pPr>
              <w:overflowPunct/>
              <w:topLinePunct w:val="0"/>
              <w:bidi w:val="0"/>
              <w:textAlignment w:val="auto"/>
              <w:rPr>
                <w:rFonts w:ascii="宋体" w:hAnsi="宋体"/>
                <w:color w:val="auto"/>
                <w:szCs w:val="21"/>
                <w:highlight w:val="none"/>
              </w:rPr>
            </w:pPr>
            <w:r>
              <w:rPr>
                <w:rFonts w:hint="eastAsia" w:ascii="宋体" w:hAnsi="宋体"/>
                <w:color w:val="auto"/>
                <w:szCs w:val="21"/>
                <w:highlight w:val="none"/>
              </w:rPr>
              <w:t>类    别</w:t>
            </w:r>
          </w:p>
        </w:tc>
        <w:tc>
          <w:tcPr>
            <w:tcW w:w="1812" w:type="pct"/>
            <w:gridSpan w:val="2"/>
            <w:tcBorders>
              <w:top w:val="single" w:color="auto" w:sz="4" w:space="0"/>
              <w:left w:val="single" w:color="auto" w:sz="4" w:space="0"/>
              <w:bottom w:val="single" w:color="auto" w:sz="4" w:space="0"/>
              <w:right w:val="single" w:color="auto" w:sz="12" w:space="0"/>
            </w:tcBorders>
            <w:noWrap w:val="0"/>
            <w:vAlign w:val="center"/>
          </w:tcPr>
          <w:p w14:paraId="06CA42D3">
            <w:pPr>
              <w:overflowPunct/>
              <w:topLinePunct w:val="0"/>
              <w:bidi w:val="0"/>
              <w:textAlignment w:val="auto"/>
              <w:rPr>
                <w:rFonts w:ascii="宋体" w:hAnsi="宋体"/>
                <w:color w:val="auto"/>
                <w:szCs w:val="21"/>
                <w:highlight w:val="none"/>
              </w:rPr>
            </w:pPr>
            <w:r>
              <w:rPr>
                <w:rFonts w:hint="eastAsia" w:ascii="宋体" w:hAnsi="宋体"/>
                <w:color w:val="auto"/>
                <w:szCs w:val="21"/>
                <w:highlight w:val="none"/>
              </w:rPr>
              <w:t xml:space="preserve">□货物   □服务  </w:t>
            </w:r>
          </w:p>
        </w:tc>
      </w:tr>
      <w:tr w14:paraId="6ACCF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781" w:type="pct"/>
            <w:gridSpan w:val="2"/>
            <w:tcBorders>
              <w:top w:val="single" w:color="auto" w:sz="4" w:space="0"/>
              <w:left w:val="single" w:color="auto" w:sz="12" w:space="0"/>
              <w:bottom w:val="single" w:color="auto" w:sz="4" w:space="0"/>
              <w:right w:val="single" w:color="auto" w:sz="4" w:space="0"/>
            </w:tcBorders>
            <w:noWrap w:val="0"/>
            <w:vAlign w:val="center"/>
          </w:tcPr>
          <w:p w14:paraId="0EF9951B">
            <w:pPr>
              <w:overflowPunct/>
              <w:topLinePunct w:val="0"/>
              <w:bidi w:val="0"/>
              <w:textAlignment w:val="auto"/>
              <w:rPr>
                <w:rFonts w:ascii="宋体" w:hAnsi="宋体"/>
                <w:color w:val="auto"/>
                <w:szCs w:val="21"/>
                <w:highlight w:val="none"/>
              </w:rPr>
            </w:pPr>
            <w:r>
              <w:rPr>
                <w:rFonts w:hint="eastAsia" w:ascii="宋体" w:hAnsi="宋体"/>
                <w:color w:val="auto"/>
                <w:szCs w:val="21"/>
                <w:highlight w:val="none"/>
              </w:rPr>
              <w:t>合同名称</w:t>
            </w:r>
          </w:p>
        </w:tc>
        <w:tc>
          <w:tcPr>
            <w:tcW w:w="4218" w:type="pct"/>
            <w:gridSpan w:val="5"/>
            <w:tcBorders>
              <w:top w:val="single" w:color="auto" w:sz="4" w:space="0"/>
              <w:left w:val="single" w:color="auto" w:sz="4" w:space="0"/>
              <w:bottom w:val="single" w:color="auto" w:sz="4" w:space="0"/>
              <w:right w:val="single" w:color="auto" w:sz="12" w:space="0"/>
            </w:tcBorders>
            <w:noWrap w:val="0"/>
            <w:vAlign w:val="center"/>
          </w:tcPr>
          <w:p w14:paraId="5BC80CC2">
            <w:pPr>
              <w:overflowPunct/>
              <w:topLinePunct w:val="0"/>
              <w:bidi w:val="0"/>
              <w:textAlignment w:val="auto"/>
              <w:rPr>
                <w:rFonts w:ascii="宋体" w:hAnsi="宋体"/>
                <w:color w:val="auto"/>
                <w:szCs w:val="21"/>
                <w:highlight w:val="none"/>
              </w:rPr>
            </w:pPr>
          </w:p>
        </w:tc>
      </w:tr>
      <w:tr w14:paraId="6851F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81" w:type="pct"/>
            <w:gridSpan w:val="2"/>
            <w:tcBorders>
              <w:top w:val="single" w:color="auto" w:sz="4" w:space="0"/>
              <w:left w:val="single" w:color="auto" w:sz="12" w:space="0"/>
              <w:bottom w:val="single" w:color="auto" w:sz="4" w:space="0"/>
              <w:right w:val="single" w:color="auto" w:sz="4" w:space="0"/>
            </w:tcBorders>
            <w:noWrap w:val="0"/>
            <w:vAlign w:val="center"/>
          </w:tcPr>
          <w:p w14:paraId="445A4347">
            <w:pPr>
              <w:overflowPunct/>
              <w:topLinePunct w:val="0"/>
              <w:bidi w:val="0"/>
              <w:textAlignment w:val="auto"/>
              <w:rPr>
                <w:rFonts w:ascii="宋体" w:hAnsi="宋体"/>
                <w:color w:val="auto"/>
                <w:szCs w:val="21"/>
                <w:highlight w:val="none"/>
              </w:rPr>
            </w:pPr>
            <w:r>
              <w:rPr>
                <w:rFonts w:hint="eastAsia" w:ascii="宋体" w:hAnsi="宋体"/>
                <w:color w:val="auto"/>
                <w:szCs w:val="21"/>
                <w:highlight w:val="none"/>
              </w:rPr>
              <w:t>合同号</w:t>
            </w:r>
          </w:p>
        </w:tc>
        <w:tc>
          <w:tcPr>
            <w:tcW w:w="1681" w:type="pct"/>
            <w:gridSpan w:val="2"/>
            <w:tcBorders>
              <w:top w:val="single" w:color="auto" w:sz="4" w:space="0"/>
              <w:left w:val="single" w:color="auto" w:sz="4" w:space="0"/>
              <w:bottom w:val="single" w:color="auto" w:sz="4" w:space="0"/>
              <w:right w:val="single" w:color="auto" w:sz="4" w:space="0"/>
            </w:tcBorders>
            <w:noWrap w:val="0"/>
            <w:vAlign w:val="center"/>
          </w:tcPr>
          <w:p w14:paraId="1394C272">
            <w:pPr>
              <w:overflowPunct/>
              <w:topLinePunct w:val="0"/>
              <w:bidi w:val="0"/>
              <w:textAlignment w:val="auto"/>
              <w:rPr>
                <w:rFonts w:ascii="宋体" w:hAnsi="宋体"/>
                <w:color w:val="auto"/>
                <w:szCs w:val="21"/>
                <w:highlight w:val="none"/>
              </w:rPr>
            </w:pPr>
          </w:p>
        </w:tc>
        <w:tc>
          <w:tcPr>
            <w:tcW w:w="724" w:type="pct"/>
            <w:tcBorders>
              <w:top w:val="single" w:color="auto" w:sz="4" w:space="0"/>
              <w:left w:val="single" w:color="auto" w:sz="4" w:space="0"/>
              <w:bottom w:val="single" w:color="auto" w:sz="4" w:space="0"/>
              <w:right w:val="single" w:color="auto" w:sz="4" w:space="0"/>
            </w:tcBorders>
            <w:noWrap w:val="0"/>
            <w:vAlign w:val="center"/>
          </w:tcPr>
          <w:p w14:paraId="5504B722">
            <w:pPr>
              <w:overflowPunct/>
              <w:topLinePunct w:val="0"/>
              <w:bidi w:val="0"/>
              <w:textAlignment w:val="auto"/>
              <w:rPr>
                <w:rFonts w:ascii="宋体" w:hAnsi="宋体"/>
                <w:color w:val="auto"/>
                <w:szCs w:val="21"/>
                <w:highlight w:val="none"/>
              </w:rPr>
            </w:pPr>
            <w:r>
              <w:rPr>
                <w:rFonts w:hint="eastAsia" w:ascii="宋体" w:hAnsi="宋体"/>
                <w:color w:val="auto"/>
                <w:szCs w:val="21"/>
                <w:highlight w:val="none"/>
              </w:rPr>
              <w:t>合同价</w:t>
            </w:r>
          </w:p>
        </w:tc>
        <w:tc>
          <w:tcPr>
            <w:tcW w:w="1812" w:type="pct"/>
            <w:gridSpan w:val="2"/>
            <w:tcBorders>
              <w:top w:val="single" w:color="auto" w:sz="4" w:space="0"/>
              <w:left w:val="single" w:color="auto" w:sz="4" w:space="0"/>
              <w:bottom w:val="single" w:color="auto" w:sz="4" w:space="0"/>
              <w:right w:val="single" w:color="auto" w:sz="12" w:space="0"/>
            </w:tcBorders>
            <w:noWrap w:val="0"/>
            <w:vAlign w:val="center"/>
          </w:tcPr>
          <w:p w14:paraId="384436E2">
            <w:pPr>
              <w:overflowPunct/>
              <w:topLinePunct w:val="0"/>
              <w:bidi w:val="0"/>
              <w:textAlignment w:val="auto"/>
              <w:rPr>
                <w:rFonts w:ascii="宋体" w:hAnsi="宋体"/>
                <w:color w:val="auto"/>
                <w:szCs w:val="21"/>
                <w:highlight w:val="none"/>
              </w:rPr>
            </w:pPr>
            <w:r>
              <w:rPr>
                <w:rFonts w:hint="eastAsia" w:ascii="宋体" w:hAnsi="宋体"/>
                <w:color w:val="auto"/>
                <w:szCs w:val="21"/>
                <w:highlight w:val="none"/>
              </w:rPr>
              <w:t>（万元）</w:t>
            </w:r>
          </w:p>
        </w:tc>
      </w:tr>
      <w:tr w14:paraId="6784A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000" w:type="pct"/>
            <w:gridSpan w:val="7"/>
            <w:tcBorders>
              <w:top w:val="single" w:color="auto" w:sz="4" w:space="0"/>
              <w:left w:val="single" w:color="auto" w:sz="12" w:space="0"/>
              <w:bottom w:val="single" w:color="auto" w:sz="4" w:space="0"/>
              <w:right w:val="single" w:color="auto" w:sz="12" w:space="0"/>
            </w:tcBorders>
            <w:noWrap w:val="0"/>
            <w:vAlign w:val="center"/>
          </w:tcPr>
          <w:p w14:paraId="65523D65">
            <w:pPr>
              <w:overflowPunct/>
              <w:topLinePunct w:val="0"/>
              <w:bidi w:val="0"/>
              <w:textAlignment w:val="auto"/>
              <w:rPr>
                <w:rFonts w:ascii="宋体" w:hAnsi="宋体"/>
                <w:b/>
                <w:color w:val="auto"/>
                <w:szCs w:val="21"/>
                <w:highlight w:val="none"/>
              </w:rPr>
            </w:pPr>
            <w:r>
              <w:rPr>
                <w:rFonts w:hint="eastAsia" w:ascii="宋体" w:hAnsi="宋体"/>
                <w:b/>
                <w:color w:val="auto"/>
                <w:szCs w:val="21"/>
                <w:highlight w:val="none"/>
              </w:rPr>
              <w:t>履约评价分项内容及得分情况</w:t>
            </w:r>
          </w:p>
        </w:tc>
      </w:tr>
      <w:tr w14:paraId="5B6EB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9" w:type="pct"/>
            <w:tcBorders>
              <w:top w:val="single" w:color="auto" w:sz="4" w:space="0"/>
              <w:left w:val="single" w:color="auto" w:sz="12" w:space="0"/>
              <w:bottom w:val="single" w:color="auto" w:sz="4" w:space="0"/>
              <w:right w:val="single" w:color="auto" w:sz="4" w:space="0"/>
            </w:tcBorders>
            <w:noWrap w:val="0"/>
            <w:vAlign w:val="center"/>
          </w:tcPr>
          <w:p w14:paraId="32C88E30">
            <w:pPr>
              <w:overflowPunct/>
              <w:topLinePunct w:val="0"/>
              <w:bidi w:val="0"/>
              <w:textAlignment w:val="auto"/>
              <w:rPr>
                <w:rFonts w:ascii="宋体" w:hAnsi="宋体"/>
                <w:color w:val="auto"/>
                <w:szCs w:val="21"/>
                <w:highlight w:val="none"/>
              </w:rPr>
            </w:pPr>
            <w:r>
              <w:rPr>
                <w:rFonts w:hint="eastAsia" w:ascii="宋体" w:hAnsi="宋体"/>
                <w:color w:val="auto"/>
                <w:szCs w:val="21"/>
                <w:highlight w:val="none"/>
              </w:rPr>
              <w:t>序号</w:t>
            </w:r>
          </w:p>
        </w:tc>
        <w:tc>
          <w:tcPr>
            <w:tcW w:w="3172" w:type="pct"/>
            <w:gridSpan w:val="5"/>
            <w:tcBorders>
              <w:top w:val="single" w:color="auto" w:sz="4" w:space="0"/>
              <w:left w:val="single" w:color="auto" w:sz="4" w:space="0"/>
              <w:bottom w:val="single" w:color="auto" w:sz="4" w:space="0"/>
              <w:right w:val="single" w:color="auto" w:sz="4" w:space="0"/>
            </w:tcBorders>
            <w:noWrap w:val="0"/>
            <w:vAlign w:val="center"/>
          </w:tcPr>
          <w:p w14:paraId="1D8FB318">
            <w:pPr>
              <w:overflowPunct/>
              <w:topLinePunct w:val="0"/>
              <w:bidi w:val="0"/>
              <w:textAlignment w:val="auto"/>
              <w:rPr>
                <w:rFonts w:ascii="宋体" w:hAnsi="宋体"/>
                <w:color w:val="auto"/>
                <w:szCs w:val="21"/>
                <w:highlight w:val="none"/>
              </w:rPr>
            </w:pPr>
            <w:r>
              <w:rPr>
                <w:rFonts w:hint="eastAsia" w:ascii="宋体" w:hAnsi="宋体"/>
                <w:color w:val="auto"/>
                <w:szCs w:val="21"/>
                <w:highlight w:val="none"/>
              </w:rPr>
              <w:t>分  项  内  容</w:t>
            </w:r>
          </w:p>
        </w:tc>
        <w:tc>
          <w:tcPr>
            <w:tcW w:w="1268" w:type="pct"/>
            <w:tcBorders>
              <w:top w:val="single" w:color="auto" w:sz="4" w:space="0"/>
              <w:left w:val="single" w:color="auto" w:sz="4" w:space="0"/>
              <w:bottom w:val="single" w:color="auto" w:sz="4" w:space="0"/>
              <w:right w:val="single" w:color="auto" w:sz="12" w:space="0"/>
            </w:tcBorders>
            <w:noWrap w:val="0"/>
            <w:vAlign w:val="center"/>
          </w:tcPr>
          <w:p w14:paraId="5437C55E">
            <w:pPr>
              <w:overflowPunct/>
              <w:topLinePunct w:val="0"/>
              <w:bidi w:val="0"/>
              <w:textAlignment w:val="auto"/>
              <w:rPr>
                <w:rFonts w:ascii="宋体" w:hAnsi="宋体"/>
                <w:color w:val="auto"/>
                <w:szCs w:val="21"/>
                <w:highlight w:val="none"/>
              </w:rPr>
            </w:pPr>
            <w:r>
              <w:rPr>
                <w:rFonts w:hint="eastAsia" w:ascii="宋体" w:hAnsi="宋体"/>
                <w:color w:val="auto"/>
                <w:szCs w:val="21"/>
                <w:highlight w:val="none"/>
              </w:rPr>
              <w:t>得  分</w:t>
            </w:r>
          </w:p>
        </w:tc>
      </w:tr>
      <w:tr w14:paraId="00737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9" w:type="pct"/>
            <w:tcBorders>
              <w:top w:val="single" w:color="auto" w:sz="4" w:space="0"/>
              <w:left w:val="single" w:color="auto" w:sz="12" w:space="0"/>
              <w:bottom w:val="single" w:color="auto" w:sz="4" w:space="0"/>
              <w:right w:val="single" w:color="auto" w:sz="4" w:space="0"/>
            </w:tcBorders>
            <w:noWrap w:val="0"/>
            <w:vAlign w:val="center"/>
          </w:tcPr>
          <w:p w14:paraId="0505A9D9">
            <w:pPr>
              <w:overflowPunct/>
              <w:topLinePunct w:val="0"/>
              <w:bidi w:val="0"/>
              <w:textAlignment w:val="auto"/>
              <w:rPr>
                <w:rFonts w:hint="eastAsia" w:ascii="宋体" w:hAnsi="宋体"/>
                <w:color w:val="auto"/>
                <w:szCs w:val="21"/>
                <w:highlight w:val="none"/>
              </w:rPr>
            </w:pPr>
            <w:r>
              <w:rPr>
                <w:rFonts w:hint="eastAsia" w:ascii="宋体" w:hAnsi="宋体"/>
                <w:color w:val="auto"/>
                <w:szCs w:val="21"/>
                <w:highlight w:val="none"/>
              </w:rPr>
              <w:t>1</w:t>
            </w:r>
          </w:p>
        </w:tc>
        <w:tc>
          <w:tcPr>
            <w:tcW w:w="3172" w:type="pct"/>
            <w:gridSpan w:val="5"/>
            <w:tcBorders>
              <w:top w:val="single" w:color="auto" w:sz="4" w:space="0"/>
              <w:left w:val="single" w:color="auto" w:sz="4" w:space="0"/>
              <w:bottom w:val="single" w:color="auto" w:sz="4" w:space="0"/>
              <w:right w:val="single" w:color="auto" w:sz="4" w:space="0"/>
            </w:tcBorders>
            <w:noWrap w:val="0"/>
            <w:vAlign w:val="center"/>
          </w:tcPr>
          <w:p w14:paraId="577C30E1">
            <w:pPr>
              <w:overflowPunct/>
              <w:topLinePunct w:val="0"/>
              <w:bidi w:val="0"/>
              <w:textAlignment w:val="auto"/>
              <w:rPr>
                <w:rFonts w:ascii="宋体" w:hAnsi="宋体"/>
                <w:color w:val="auto"/>
                <w:szCs w:val="21"/>
                <w:highlight w:val="none"/>
              </w:rPr>
            </w:pPr>
          </w:p>
        </w:tc>
        <w:tc>
          <w:tcPr>
            <w:tcW w:w="1268" w:type="pct"/>
            <w:tcBorders>
              <w:top w:val="single" w:color="auto" w:sz="4" w:space="0"/>
              <w:left w:val="single" w:color="auto" w:sz="4" w:space="0"/>
              <w:bottom w:val="single" w:color="auto" w:sz="4" w:space="0"/>
              <w:right w:val="single" w:color="auto" w:sz="12" w:space="0"/>
            </w:tcBorders>
            <w:noWrap w:val="0"/>
            <w:vAlign w:val="center"/>
          </w:tcPr>
          <w:p w14:paraId="1F3BC124">
            <w:pPr>
              <w:overflowPunct/>
              <w:topLinePunct w:val="0"/>
              <w:bidi w:val="0"/>
              <w:textAlignment w:val="auto"/>
              <w:rPr>
                <w:rFonts w:ascii="宋体" w:hAnsi="宋体"/>
                <w:color w:val="auto"/>
                <w:szCs w:val="21"/>
                <w:highlight w:val="none"/>
              </w:rPr>
            </w:pPr>
          </w:p>
        </w:tc>
      </w:tr>
      <w:tr w14:paraId="18D5C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9" w:type="pct"/>
            <w:tcBorders>
              <w:top w:val="single" w:color="auto" w:sz="4" w:space="0"/>
              <w:left w:val="single" w:color="auto" w:sz="12" w:space="0"/>
              <w:bottom w:val="single" w:color="auto" w:sz="4" w:space="0"/>
              <w:right w:val="single" w:color="auto" w:sz="4" w:space="0"/>
            </w:tcBorders>
            <w:noWrap w:val="0"/>
            <w:vAlign w:val="center"/>
          </w:tcPr>
          <w:p w14:paraId="18D2019C">
            <w:pPr>
              <w:overflowPunct/>
              <w:topLinePunct w:val="0"/>
              <w:bidi w:val="0"/>
              <w:textAlignment w:val="auto"/>
              <w:rPr>
                <w:rFonts w:hint="eastAsia" w:ascii="宋体" w:hAnsi="宋体"/>
                <w:color w:val="auto"/>
                <w:szCs w:val="21"/>
                <w:highlight w:val="none"/>
              </w:rPr>
            </w:pPr>
            <w:r>
              <w:rPr>
                <w:rFonts w:hint="eastAsia" w:ascii="宋体" w:hAnsi="宋体"/>
                <w:color w:val="auto"/>
                <w:szCs w:val="21"/>
                <w:highlight w:val="none"/>
              </w:rPr>
              <w:t>2</w:t>
            </w:r>
          </w:p>
        </w:tc>
        <w:tc>
          <w:tcPr>
            <w:tcW w:w="3172" w:type="pct"/>
            <w:gridSpan w:val="5"/>
            <w:tcBorders>
              <w:top w:val="single" w:color="auto" w:sz="4" w:space="0"/>
              <w:left w:val="single" w:color="auto" w:sz="4" w:space="0"/>
              <w:bottom w:val="single" w:color="auto" w:sz="4" w:space="0"/>
              <w:right w:val="single" w:color="auto" w:sz="4" w:space="0"/>
            </w:tcBorders>
            <w:noWrap w:val="0"/>
            <w:vAlign w:val="center"/>
          </w:tcPr>
          <w:p w14:paraId="52AE72E8">
            <w:pPr>
              <w:overflowPunct/>
              <w:topLinePunct w:val="0"/>
              <w:bidi w:val="0"/>
              <w:textAlignment w:val="auto"/>
              <w:rPr>
                <w:rFonts w:ascii="宋体" w:hAnsi="宋体"/>
                <w:color w:val="auto"/>
                <w:szCs w:val="21"/>
                <w:highlight w:val="none"/>
              </w:rPr>
            </w:pPr>
          </w:p>
        </w:tc>
        <w:tc>
          <w:tcPr>
            <w:tcW w:w="1268" w:type="pct"/>
            <w:tcBorders>
              <w:top w:val="single" w:color="auto" w:sz="4" w:space="0"/>
              <w:left w:val="single" w:color="auto" w:sz="4" w:space="0"/>
              <w:bottom w:val="single" w:color="auto" w:sz="4" w:space="0"/>
              <w:right w:val="single" w:color="auto" w:sz="12" w:space="0"/>
            </w:tcBorders>
            <w:noWrap w:val="0"/>
            <w:vAlign w:val="center"/>
          </w:tcPr>
          <w:p w14:paraId="67AFDF3F">
            <w:pPr>
              <w:overflowPunct/>
              <w:topLinePunct w:val="0"/>
              <w:bidi w:val="0"/>
              <w:textAlignment w:val="auto"/>
              <w:rPr>
                <w:rFonts w:ascii="宋体" w:hAnsi="宋体"/>
                <w:color w:val="auto"/>
                <w:szCs w:val="21"/>
                <w:highlight w:val="none"/>
              </w:rPr>
            </w:pPr>
          </w:p>
        </w:tc>
      </w:tr>
      <w:tr w14:paraId="3AC2C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9" w:type="pct"/>
            <w:tcBorders>
              <w:top w:val="single" w:color="auto" w:sz="4" w:space="0"/>
              <w:left w:val="single" w:color="auto" w:sz="12" w:space="0"/>
              <w:bottom w:val="single" w:color="auto" w:sz="4" w:space="0"/>
              <w:right w:val="single" w:color="auto" w:sz="4" w:space="0"/>
            </w:tcBorders>
            <w:noWrap w:val="0"/>
            <w:vAlign w:val="center"/>
          </w:tcPr>
          <w:p w14:paraId="5145A6DD">
            <w:pPr>
              <w:overflowPunct/>
              <w:topLinePunct w:val="0"/>
              <w:bidi w:val="0"/>
              <w:textAlignment w:val="auto"/>
              <w:rPr>
                <w:rFonts w:hint="eastAsia" w:ascii="宋体" w:hAnsi="宋体"/>
                <w:color w:val="auto"/>
                <w:szCs w:val="21"/>
                <w:highlight w:val="none"/>
              </w:rPr>
            </w:pPr>
            <w:r>
              <w:rPr>
                <w:rFonts w:hint="eastAsia" w:ascii="宋体" w:hAnsi="宋体"/>
                <w:color w:val="auto"/>
                <w:szCs w:val="21"/>
                <w:highlight w:val="none"/>
              </w:rPr>
              <w:t>3</w:t>
            </w:r>
          </w:p>
        </w:tc>
        <w:tc>
          <w:tcPr>
            <w:tcW w:w="3172" w:type="pct"/>
            <w:gridSpan w:val="5"/>
            <w:tcBorders>
              <w:top w:val="single" w:color="auto" w:sz="4" w:space="0"/>
              <w:left w:val="single" w:color="auto" w:sz="4" w:space="0"/>
              <w:bottom w:val="single" w:color="auto" w:sz="4" w:space="0"/>
              <w:right w:val="single" w:color="auto" w:sz="4" w:space="0"/>
            </w:tcBorders>
            <w:noWrap w:val="0"/>
            <w:vAlign w:val="center"/>
          </w:tcPr>
          <w:p w14:paraId="2E080BC4">
            <w:pPr>
              <w:overflowPunct/>
              <w:topLinePunct w:val="0"/>
              <w:bidi w:val="0"/>
              <w:textAlignment w:val="auto"/>
              <w:rPr>
                <w:rFonts w:ascii="宋体" w:hAnsi="宋体"/>
                <w:color w:val="auto"/>
                <w:szCs w:val="21"/>
                <w:highlight w:val="none"/>
              </w:rPr>
            </w:pPr>
          </w:p>
        </w:tc>
        <w:tc>
          <w:tcPr>
            <w:tcW w:w="1268" w:type="pct"/>
            <w:tcBorders>
              <w:top w:val="single" w:color="auto" w:sz="4" w:space="0"/>
              <w:left w:val="single" w:color="auto" w:sz="4" w:space="0"/>
              <w:bottom w:val="single" w:color="auto" w:sz="4" w:space="0"/>
              <w:right w:val="single" w:color="auto" w:sz="12" w:space="0"/>
            </w:tcBorders>
            <w:noWrap w:val="0"/>
            <w:vAlign w:val="center"/>
          </w:tcPr>
          <w:p w14:paraId="79A9FD51">
            <w:pPr>
              <w:overflowPunct/>
              <w:topLinePunct w:val="0"/>
              <w:bidi w:val="0"/>
              <w:textAlignment w:val="auto"/>
              <w:rPr>
                <w:rFonts w:ascii="宋体" w:hAnsi="宋体"/>
                <w:color w:val="auto"/>
                <w:szCs w:val="21"/>
                <w:highlight w:val="none"/>
              </w:rPr>
            </w:pPr>
          </w:p>
        </w:tc>
      </w:tr>
      <w:tr w14:paraId="77715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9" w:type="pct"/>
            <w:tcBorders>
              <w:top w:val="single" w:color="auto" w:sz="4" w:space="0"/>
              <w:left w:val="single" w:color="auto" w:sz="12" w:space="0"/>
              <w:bottom w:val="single" w:color="auto" w:sz="4" w:space="0"/>
              <w:right w:val="single" w:color="auto" w:sz="4" w:space="0"/>
            </w:tcBorders>
            <w:noWrap w:val="0"/>
            <w:vAlign w:val="center"/>
          </w:tcPr>
          <w:p w14:paraId="74710738">
            <w:pPr>
              <w:overflowPunct/>
              <w:topLinePunct w:val="0"/>
              <w:bidi w:val="0"/>
              <w:textAlignment w:val="auto"/>
              <w:rPr>
                <w:rFonts w:hint="eastAsia" w:ascii="宋体" w:hAnsi="宋体"/>
                <w:color w:val="auto"/>
                <w:szCs w:val="21"/>
                <w:highlight w:val="none"/>
              </w:rPr>
            </w:pPr>
            <w:r>
              <w:rPr>
                <w:rFonts w:hint="eastAsia" w:ascii="宋体" w:hAnsi="宋体"/>
                <w:color w:val="auto"/>
                <w:szCs w:val="21"/>
                <w:highlight w:val="none"/>
              </w:rPr>
              <w:t>4</w:t>
            </w:r>
          </w:p>
        </w:tc>
        <w:tc>
          <w:tcPr>
            <w:tcW w:w="3172" w:type="pct"/>
            <w:gridSpan w:val="5"/>
            <w:tcBorders>
              <w:top w:val="single" w:color="auto" w:sz="4" w:space="0"/>
              <w:left w:val="single" w:color="auto" w:sz="4" w:space="0"/>
              <w:bottom w:val="single" w:color="auto" w:sz="4" w:space="0"/>
              <w:right w:val="single" w:color="auto" w:sz="4" w:space="0"/>
            </w:tcBorders>
            <w:noWrap w:val="0"/>
            <w:vAlign w:val="center"/>
          </w:tcPr>
          <w:p w14:paraId="5C2040BE">
            <w:pPr>
              <w:overflowPunct/>
              <w:topLinePunct w:val="0"/>
              <w:bidi w:val="0"/>
              <w:textAlignment w:val="auto"/>
              <w:rPr>
                <w:rFonts w:ascii="宋体" w:hAnsi="宋体"/>
                <w:color w:val="auto"/>
                <w:szCs w:val="21"/>
                <w:highlight w:val="none"/>
              </w:rPr>
            </w:pPr>
          </w:p>
        </w:tc>
        <w:tc>
          <w:tcPr>
            <w:tcW w:w="1268" w:type="pct"/>
            <w:tcBorders>
              <w:top w:val="single" w:color="auto" w:sz="4" w:space="0"/>
              <w:left w:val="single" w:color="auto" w:sz="4" w:space="0"/>
              <w:bottom w:val="single" w:color="auto" w:sz="4" w:space="0"/>
              <w:right w:val="single" w:color="auto" w:sz="12" w:space="0"/>
            </w:tcBorders>
            <w:noWrap w:val="0"/>
            <w:vAlign w:val="center"/>
          </w:tcPr>
          <w:p w14:paraId="361FB726">
            <w:pPr>
              <w:overflowPunct/>
              <w:topLinePunct w:val="0"/>
              <w:bidi w:val="0"/>
              <w:textAlignment w:val="auto"/>
              <w:rPr>
                <w:rFonts w:ascii="宋体" w:hAnsi="宋体"/>
                <w:color w:val="auto"/>
                <w:szCs w:val="21"/>
                <w:highlight w:val="none"/>
              </w:rPr>
            </w:pPr>
          </w:p>
        </w:tc>
      </w:tr>
      <w:tr w14:paraId="75DDD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9" w:type="pct"/>
            <w:tcBorders>
              <w:top w:val="single" w:color="auto" w:sz="4" w:space="0"/>
              <w:left w:val="single" w:color="auto" w:sz="12" w:space="0"/>
              <w:bottom w:val="single" w:color="auto" w:sz="4" w:space="0"/>
              <w:right w:val="single" w:color="auto" w:sz="4" w:space="0"/>
            </w:tcBorders>
            <w:noWrap w:val="0"/>
            <w:vAlign w:val="center"/>
          </w:tcPr>
          <w:p w14:paraId="535E85F0">
            <w:pPr>
              <w:overflowPunct/>
              <w:topLinePunct w:val="0"/>
              <w:bidi w:val="0"/>
              <w:textAlignment w:val="auto"/>
              <w:rPr>
                <w:rFonts w:ascii="宋体" w:hAnsi="宋体"/>
                <w:color w:val="auto"/>
                <w:szCs w:val="21"/>
                <w:highlight w:val="none"/>
              </w:rPr>
            </w:pPr>
            <w:r>
              <w:rPr>
                <w:rFonts w:hint="eastAsia" w:ascii="宋体" w:hAnsi="宋体"/>
                <w:color w:val="auto"/>
                <w:szCs w:val="21"/>
                <w:highlight w:val="none"/>
              </w:rPr>
              <w:t>5</w:t>
            </w:r>
          </w:p>
        </w:tc>
        <w:tc>
          <w:tcPr>
            <w:tcW w:w="3172" w:type="pct"/>
            <w:gridSpan w:val="5"/>
            <w:tcBorders>
              <w:top w:val="single" w:color="auto" w:sz="4" w:space="0"/>
              <w:left w:val="single" w:color="auto" w:sz="4" w:space="0"/>
              <w:bottom w:val="single" w:color="auto" w:sz="4" w:space="0"/>
              <w:right w:val="single" w:color="auto" w:sz="4" w:space="0"/>
            </w:tcBorders>
            <w:noWrap w:val="0"/>
            <w:vAlign w:val="center"/>
          </w:tcPr>
          <w:p w14:paraId="4CA64096">
            <w:pPr>
              <w:overflowPunct/>
              <w:topLinePunct w:val="0"/>
              <w:bidi w:val="0"/>
              <w:textAlignment w:val="auto"/>
              <w:rPr>
                <w:rFonts w:ascii="宋体" w:hAnsi="宋体"/>
                <w:color w:val="auto"/>
                <w:szCs w:val="21"/>
                <w:highlight w:val="none"/>
              </w:rPr>
            </w:pPr>
          </w:p>
        </w:tc>
        <w:tc>
          <w:tcPr>
            <w:tcW w:w="1268" w:type="pct"/>
            <w:tcBorders>
              <w:top w:val="single" w:color="auto" w:sz="4" w:space="0"/>
              <w:left w:val="single" w:color="auto" w:sz="4" w:space="0"/>
              <w:bottom w:val="single" w:color="auto" w:sz="4" w:space="0"/>
              <w:right w:val="single" w:color="auto" w:sz="12" w:space="0"/>
            </w:tcBorders>
            <w:noWrap w:val="0"/>
            <w:vAlign w:val="center"/>
          </w:tcPr>
          <w:p w14:paraId="27466FDA">
            <w:pPr>
              <w:overflowPunct/>
              <w:topLinePunct w:val="0"/>
              <w:bidi w:val="0"/>
              <w:textAlignment w:val="auto"/>
              <w:rPr>
                <w:rFonts w:ascii="宋体" w:hAnsi="宋体"/>
                <w:color w:val="auto"/>
                <w:szCs w:val="21"/>
                <w:highlight w:val="none"/>
              </w:rPr>
            </w:pPr>
          </w:p>
        </w:tc>
      </w:tr>
      <w:tr w14:paraId="4E529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9" w:type="pct"/>
            <w:tcBorders>
              <w:top w:val="single" w:color="auto" w:sz="4" w:space="0"/>
              <w:left w:val="single" w:color="auto" w:sz="12" w:space="0"/>
              <w:bottom w:val="single" w:color="auto" w:sz="4" w:space="0"/>
              <w:right w:val="single" w:color="auto" w:sz="4" w:space="0"/>
            </w:tcBorders>
            <w:noWrap w:val="0"/>
            <w:vAlign w:val="center"/>
          </w:tcPr>
          <w:p w14:paraId="320607EB">
            <w:pPr>
              <w:overflowPunct/>
              <w:topLinePunct w:val="0"/>
              <w:bidi w:val="0"/>
              <w:textAlignment w:val="auto"/>
              <w:rPr>
                <w:rFonts w:ascii="宋体" w:hAnsi="宋体"/>
                <w:color w:val="auto"/>
                <w:szCs w:val="21"/>
                <w:highlight w:val="none"/>
              </w:rPr>
            </w:pPr>
            <w:r>
              <w:rPr>
                <w:rFonts w:hint="eastAsia" w:ascii="宋体" w:hAnsi="宋体"/>
                <w:color w:val="auto"/>
                <w:szCs w:val="21"/>
                <w:highlight w:val="none"/>
              </w:rPr>
              <w:t>6</w:t>
            </w:r>
          </w:p>
        </w:tc>
        <w:tc>
          <w:tcPr>
            <w:tcW w:w="3172" w:type="pct"/>
            <w:gridSpan w:val="5"/>
            <w:tcBorders>
              <w:top w:val="single" w:color="auto" w:sz="4" w:space="0"/>
              <w:left w:val="single" w:color="auto" w:sz="4" w:space="0"/>
              <w:bottom w:val="single" w:color="auto" w:sz="4" w:space="0"/>
              <w:right w:val="single" w:color="auto" w:sz="4" w:space="0"/>
            </w:tcBorders>
            <w:noWrap w:val="0"/>
            <w:vAlign w:val="center"/>
          </w:tcPr>
          <w:p w14:paraId="79A8F913">
            <w:pPr>
              <w:overflowPunct/>
              <w:topLinePunct w:val="0"/>
              <w:bidi w:val="0"/>
              <w:textAlignment w:val="auto"/>
              <w:rPr>
                <w:rFonts w:ascii="宋体" w:hAnsi="宋体"/>
                <w:color w:val="auto"/>
                <w:szCs w:val="21"/>
                <w:highlight w:val="none"/>
              </w:rPr>
            </w:pPr>
          </w:p>
        </w:tc>
        <w:tc>
          <w:tcPr>
            <w:tcW w:w="1268" w:type="pct"/>
            <w:tcBorders>
              <w:top w:val="single" w:color="auto" w:sz="4" w:space="0"/>
              <w:left w:val="single" w:color="auto" w:sz="4" w:space="0"/>
              <w:bottom w:val="single" w:color="auto" w:sz="4" w:space="0"/>
              <w:right w:val="single" w:color="auto" w:sz="12" w:space="0"/>
            </w:tcBorders>
            <w:noWrap w:val="0"/>
            <w:vAlign w:val="center"/>
          </w:tcPr>
          <w:p w14:paraId="793A4298">
            <w:pPr>
              <w:overflowPunct/>
              <w:topLinePunct w:val="0"/>
              <w:bidi w:val="0"/>
              <w:textAlignment w:val="auto"/>
              <w:rPr>
                <w:rFonts w:ascii="宋体" w:hAnsi="宋体"/>
                <w:color w:val="auto"/>
                <w:szCs w:val="21"/>
                <w:highlight w:val="none"/>
              </w:rPr>
            </w:pPr>
          </w:p>
        </w:tc>
      </w:tr>
      <w:tr w14:paraId="3F4CB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731" w:type="pct"/>
            <w:gridSpan w:val="6"/>
            <w:tcBorders>
              <w:top w:val="single" w:color="auto" w:sz="4" w:space="0"/>
              <w:left w:val="single" w:color="auto" w:sz="12" w:space="0"/>
              <w:bottom w:val="single" w:color="auto" w:sz="4" w:space="0"/>
              <w:right w:val="single" w:color="auto" w:sz="4" w:space="0"/>
            </w:tcBorders>
            <w:noWrap w:val="0"/>
            <w:vAlign w:val="center"/>
          </w:tcPr>
          <w:p w14:paraId="1199ED0F">
            <w:pPr>
              <w:overflowPunct/>
              <w:topLinePunct w:val="0"/>
              <w:bidi w:val="0"/>
              <w:textAlignment w:val="auto"/>
              <w:rPr>
                <w:rFonts w:ascii="宋体" w:hAnsi="宋体"/>
                <w:color w:val="auto"/>
                <w:szCs w:val="21"/>
                <w:highlight w:val="none"/>
              </w:rPr>
            </w:pPr>
            <w:r>
              <w:rPr>
                <w:rFonts w:hint="eastAsia" w:ascii="宋体" w:hAnsi="宋体"/>
                <w:color w:val="auto"/>
                <w:szCs w:val="21"/>
                <w:highlight w:val="none"/>
              </w:rPr>
              <w:t>存在以下情况</w:t>
            </w:r>
          </w:p>
        </w:tc>
        <w:tc>
          <w:tcPr>
            <w:tcW w:w="1268" w:type="pct"/>
            <w:tcBorders>
              <w:top w:val="single" w:color="auto" w:sz="4" w:space="0"/>
              <w:left w:val="single" w:color="auto" w:sz="4" w:space="0"/>
              <w:bottom w:val="single" w:color="auto" w:sz="4" w:space="0"/>
              <w:right w:val="single" w:color="auto" w:sz="12" w:space="0"/>
            </w:tcBorders>
            <w:noWrap w:val="0"/>
            <w:vAlign w:val="center"/>
          </w:tcPr>
          <w:p w14:paraId="1E437270">
            <w:pPr>
              <w:overflowPunct/>
              <w:topLinePunct w:val="0"/>
              <w:bidi w:val="0"/>
              <w:textAlignment w:val="auto"/>
              <w:rPr>
                <w:rFonts w:ascii="宋体" w:hAnsi="宋体"/>
                <w:color w:val="auto"/>
                <w:szCs w:val="21"/>
                <w:highlight w:val="none"/>
              </w:rPr>
            </w:pPr>
            <w:r>
              <w:rPr>
                <w:rFonts w:hint="eastAsia"/>
                <w:color w:val="auto"/>
                <w:highlight w:val="none"/>
              </w:rPr>
              <w:t>扣分</w:t>
            </w:r>
          </w:p>
        </w:tc>
      </w:tr>
      <w:tr w14:paraId="38A75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9" w:type="pct"/>
            <w:tcBorders>
              <w:top w:val="single" w:color="auto" w:sz="4" w:space="0"/>
              <w:left w:val="single" w:color="auto" w:sz="12" w:space="0"/>
              <w:bottom w:val="single" w:color="auto" w:sz="4" w:space="0"/>
              <w:right w:val="single" w:color="auto" w:sz="4" w:space="0"/>
            </w:tcBorders>
            <w:noWrap w:val="0"/>
            <w:vAlign w:val="center"/>
          </w:tcPr>
          <w:p w14:paraId="50CDD744">
            <w:pPr>
              <w:overflowPunct/>
              <w:topLinePunct w:val="0"/>
              <w:bidi w:val="0"/>
              <w:textAlignment w:val="auto"/>
              <w:rPr>
                <w:rFonts w:hint="eastAsia" w:ascii="宋体" w:hAnsi="宋体"/>
                <w:color w:val="auto"/>
                <w:szCs w:val="21"/>
                <w:highlight w:val="none"/>
              </w:rPr>
            </w:pPr>
            <w:r>
              <w:rPr>
                <w:rFonts w:hint="eastAsia" w:ascii="宋体" w:hAnsi="宋体"/>
                <w:color w:val="auto"/>
                <w:szCs w:val="21"/>
                <w:highlight w:val="none"/>
              </w:rPr>
              <w:t>1</w:t>
            </w:r>
          </w:p>
        </w:tc>
        <w:tc>
          <w:tcPr>
            <w:tcW w:w="3172" w:type="pct"/>
            <w:gridSpan w:val="5"/>
            <w:tcBorders>
              <w:top w:val="single" w:color="auto" w:sz="4" w:space="0"/>
              <w:left w:val="single" w:color="auto" w:sz="4" w:space="0"/>
              <w:bottom w:val="single" w:color="auto" w:sz="4" w:space="0"/>
              <w:right w:val="single" w:color="auto" w:sz="4" w:space="0"/>
            </w:tcBorders>
            <w:noWrap w:val="0"/>
            <w:vAlign w:val="center"/>
          </w:tcPr>
          <w:p w14:paraId="71C020E1">
            <w:pPr>
              <w:overflowPunct/>
              <w:topLinePunct w:val="0"/>
              <w:bidi w:val="0"/>
              <w:textAlignment w:val="auto"/>
              <w:rPr>
                <w:rFonts w:ascii="宋体" w:hAnsi="宋体"/>
                <w:color w:val="auto"/>
                <w:szCs w:val="21"/>
                <w:highlight w:val="none"/>
              </w:rPr>
            </w:pPr>
            <w:r>
              <w:rPr>
                <w:rFonts w:hint="eastAsia" w:ascii="宋体" w:hAnsi="宋体"/>
                <w:color w:val="auto"/>
                <w:szCs w:val="21"/>
                <w:highlight w:val="none"/>
              </w:rPr>
              <w:t>合同相对方未按合同约定履行被投诉、检举的，经集团公司纪检监察部门及投资采购部核实投诉、检举情况属实的，不得套用优秀、良好等级。</w:t>
            </w:r>
          </w:p>
        </w:tc>
        <w:tc>
          <w:tcPr>
            <w:tcW w:w="1268" w:type="pct"/>
            <w:tcBorders>
              <w:top w:val="single" w:color="auto" w:sz="4" w:space="0"/>
              <w:left w:val="single" w:color="auto" w:sz="4" w:space="0"/>
              <w:bottom w:val="single" w:color="auto" w:sz="4" w:space="0"/>
              <w:right w:val="single" w:color="auto" w:sz="12" w:space="0"/>
            </w:tcBorders>
            <w:noWrap w:val="0"/>
            <w:vAlign w:val="center"/>
          </w:tcPr>
          <w:p w14:paraId="3208EA22">
            <w:pPr>
              <w:overflowPunct/>
              <w:topLinePunct w:val="0"/>
              <w:bidi w:val="0"/>
              <w:textAlignment w:val="auto"/>
              <w:rPr>
                <w:rFonts w:ascii="宋体" w:hAnsi="宋体"/>
                <w:color w:val="auto"/>
                <w:szCs w:val="21"/>
                <w:highlight w:val="none"/>
              </w:rPr>
            </w:pPr>
          </w:p>
        </w:tc>
      </w:tr>
      <w:tr w14:paraId="0E678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9" w:type="pct"/>
            <w:tcBorders>
              <w:top w:val="single" w:color="auto" w:sz="4" w:space="0"/>
              <w:left w:val="single" w:color="auto" w:sz="12" w:space="0"/>
              <w:bottom w:val="single" w:color="auto" w:sz="4" w:space="0"/>
              <w:right w:val="single" w:color="auto" w:sz="4" w:space="0"/>
            </w:tcBorders>
            <w:noWrap w:val="0"/>
            <w:vAlign w:val="center"/>
          </w:tcPr>
          <w:p w14:paraId="0390408A">
            <w:pPr>
              <w:overflowPunct/>
              <w:topLinePunct w:val="0"/>
              <w:bidi w:val="0"/>
              <w:textAlignment w:val="auto"/>
              <w:rPr>
                <w:rFonts w:hint="eastAsia" w:ascii="宋体" w:hAnsi="宋体"/>
                <w:color w:val="auto"/>
                <w:szCs w:val="21"/>
                <w:highlight w:val="none"/>
              </w:rPr>
            </w:pPr>
            <w:r>
              <w:rPr>
                <w:rFonts w:hint="eastAsia" w:ascii="宋体" w:hAnsi="宋体"/>
                <w:color w:val="auto"/>
                <w:szCs w:val="21"/>
                <w:highlight w:val="none"/>
              </w:rPr>
              <w:t>2</w:t>
            </w:r>
          </w:p>
        </w:tc>
        <w:tc>
          <w:tcPr>
            <w:tcW w:w="3172" w:type="pct"/>
            <w:gridSpan w:val="5"/>
            <w:tcBorders>
              <w:top w:val="single" w:color="auto" w:sz="4" w:space="0"/>
              <w:left w:val="single" w:color="auto" w:sz="4" w:space="0"/>
              <w:bottom w:val="single" w:color="auto" w:sz="4" w:space="0"/>
              <w:right w:val="single" w:color="auto" w:sz="4" w:space="0"/>
            </w:tcBorders>
            <w:noWrap w:val="0"/>
            <w:vAlign w:val="center"/>
          </w:tcPr>
          <w:p w14:paraId="1453E85C">
            <w:pPr>
              <w:overflowPunct/>
              <w:topLinePunct w:val="0"/>
              <w:bidi w:val="0"/>
              <w:textAlignment w:val="auto"/>
              <w:rPr>
                <w:rFonts w:ascii="宋体" w:hAnsi="宋体"/>
                <w:color w:val="auto"/>
                <w:szCs w:val="21"/>
                <w:highlight w:val="none"/>
              </w:rPr>
            </w:pPr>
            <w:r>
              <w:rPr>
                <w:rFonts w:hint="eastAsia" w:ascii="宋体" w:hAnsi="宋体"/>
                <w:color w:val="auto"/>
                <w:szCs w:val="21"/>
                <w:highlight w:val="none"/>
              </w:rPr>
              <w:t>合同相对方使用不正当行为影响评价结果的，或存在其他违规、违纪行为的，经集团公司纪检监察部门及投资采购部核实投诉、检举情况属实的，其评价结果将降至不合格等级。</w:t>
            </w:r>
          </w:p>
        </w:tc>
        <w:tc>
          <w:tcPr>
            <w:tcW w:w="1268" w:type="pct"/>
            <w:tcBorders>
              <w:top w:val="single" w:color="auto" w:sz="4" w:space="0"/>
              <w:left w:val="single" w:color="auto" w:sz="4" w:space="0"/>
              <w:bottom w:val="single" w:color="auto" w:sz="4" w:space="0"/>
              <w:right w:val="single" w:color="auto" w:sz="12" w:space="0"/>
            </w:tcBorders>
            <w:noWrap w:val="0"/>
            <w:vAlign w:val="center"/>
          </w:tcPr>
          <w:p w14:paraId="1F05415C">
            <w:pPr>
              <w:overflowPunct/>
              <w:topLinePunct w:val="0"/>
              <w:bidi w:val="0"/>
              <w:textAlignment w:val="auto"/>
              <w:rPr>
                <w:rFonts w:ascii="宋体" w:hAnsi="宋体"/>
                <w:color w:val="auto"/>
                <w:szCs w:val="21"/>
                <w:highlight w:val="none"/>
              </w:rPr>
            </w:pPr>
          </w:p>
        </w:tc>
      </w:tr>
      <w:tr w14:paraId="0F14A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559" w:type="pct"/>
            <w:tcBorders>
              <w:top w:val="single" w:color="auto" w:sz="4" w:space="0"/>
              <w:left w:val="single" w:color="auto" w:sz="12" w:space="0"/>
              <w:bottom w:val="single" w:color="auto" w:sz="4" w:space="0"/>
              <w:right w:val="single" w:color="auto" w:sz="4" w:space="0"/>
            </w:tcBorders>
            <w:noWrap w:val="0"/>
            <w:vAlign w:val="center"/>
          </w:tcPr>
          <w:p w14:paraId="462FF0B9">
            <w:pPr>
              <w:overflowPunct/>
              <w:topLinePunct w:val="0"/>
              <w:bidi w:val="0"/>
              <w:textAlignment w:val="auto"/>
              <w:rPr>
                <w:rFonts w:ascii="宋体" w:hAnsi="宋体"/>
                <w:color w:val="auto"/>
                <w:szCs w:val="21"/>
                <w:highlight w:val="none"/>
              </w:rPr>
            </w:pPr>
            <w:r>
              <w:rPr>
                <w:rFonts w:hint="eastAsia" w:ascii="宋体" w:hAnsi="宋体"/>
                <w:color w:val="auto"/>
                <w:szCs w:val="21"/>
                <w:highlight w:val="none"/>
              </w:rPr>
              <w:t>最终得分</w:t>
            </w:r>
          </w:p>
        </w:tc>
        <w:tc>
          <w:tcPr>
            <w:tcW w:w="4440" w:type="pct"/>
            <w:gridSpan w:val="6"/>
            <w:tcBorders>
              <w:top w:val="single" w:color="auto" w:sz="4" w:space="0"/>
              <w:left w:val="single" w:color="auto" w:sz="4" w:space="0"/>
              <w:bottom w:val="single" w:color="auto" w:sz="4" w:space="0"/>
              <w:right w:val="single" w:color="auto" w:sz="12" w:space="0"/>
            </w:tcBorders>
            <w:noWrap w:val="0"/>
            <w:vAlign w:val="center"/>
          </w:tcPr>
          <w:p w14:paraId="65A8B7EC">
            <w:pPr>
              <w:overflowPunct/>
              <w:topLinePunct w:val="0"/>
              <w:bidi w:val="0"/>
              <w:textAlignment w:val="auto"/>
              <w:rPr>
                <w:rFonts w:ascii="宋体" w:hAnsi="宋体"/>
                <w:color w:val="auto"/>
                <w:szCs w:val="21"/>
                <w:highlight w:val="none"/>
              </w:rPr>
            </w:pPr>
          </w:p>
        </w:tc>
      </w:tr>
      <w:tr w14:paraId="4BD30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781" w:type="pct"/>
            <w:gridSpan w:val="2"/>
            <w:tcBorders>
              <w:top w:val="single" w:color="auto" w:sz="4" w:space="0"/>
              <w:left w:val="single" w:color="auto" w:sz="12" w:space="0"/>
              <w:bottom w:val="single" w:color="auto" w:sz="4" w:space="0"/>
              <w:right w:val="single" w:color="auto" w:sz="4" w:space="0"/>
            </w:tcBorders>
            <w:noWrap w:val="0"/>
            <w:vAlign w:val="center"/>
          </w:tcPr>
          <w:p w14:paraId="441225B3">
            <w:pPr>
              <w:overflowPunct/>
              <w:topLinePunct w:val="0"/>
              <w:bidi w:val="0"/>
              <w:textAlignment w:val="auto"/>
              <w:rPr>
                <w:rFonts w:ascii="宋体" w:hAnsi="宋体"/>
                <w:color w:val="auto"/>
                <w:szCs w:val="21"/>
                <w:highlight w:val="none"/>
              </w:rPr>
            </w:pPr>
            <w:r>
              <w:rPr>
                <w:rFonts w:hint="eastAsia" w:ascii="宋体" w:hAnsi="宋体"/>
                <w:color w:val="auto"/>
                <w:szCs w:val="21"/>
                <w:highlight w:val="none"/>
              </w:rPr>
              <w:t>评价等级</w:t>
            </w:r>
          </w:p>
        </w:tc>
        <w:tc>
          <w:tcPr>
            <w:tcW w:w="4218" w:type="pct"/>
            <w:gridSpan w:val="5"/>
            <w:tcBorders>
              <w:top w:val="single" w:color="auto" w:sz="4" w:space="0"/>
              <w:left w:val="single" w:color="auto" w:sz="4" w:space="0"/>
              <w:bottom w:val="single" w:color="auto" w:sz="4" w:space="0"/>
              <w:right w:val="single" w:color="auto" w:sz="12" w:space="0"/>
            </w:tcBorders>
            <w:noWrap w:val="0"/>
            <w:vAlign w:val="center"/>
          </w:tcPr>
          <w:p w14:paraId="12E04A89">
            <w:pPr>
              <w:overflowPunct/>
              <w:topLinePunct w:val="0"/>
              <w:bidi w:val="0"/>
              <w:textAlignment w:val="auto"/>
              <w:rPr>
                <w:rFonts w:hint="eastAsia"/>
                <w:color w:val="auto"/>
                <w:highlight w:val="none"/>
              </w:rPr>
            </w:pPr>
            <w:r>
              <w:rPr>
                <w:rFonts w:hint="eastAsia"/>
                <w:color w:val="auto"/>
                <w:highlight w:val="none"/>
              </w:rPr>
              <w:t>□ 良好（75</w:t>
            </w:r>
            <w:r>
              <w:rPr>
                <w:rFonts w:hint="eastAsia" w:ascii="Times New Roman" w:hAnsi="Times New Roman"/>
                <w:color w:val="auto"/>
                <w:szCs w:val="24"/>
                <w:highlight w:val="none"/>
              </w:rPr>
              <w:t>≤总分</w:t>
            </w:r>
            <w:r>
              <w:rPr>
                <w:rFonts w:hint="eastAsia"/>
                <w:color w:val="auto"/>
                <w:highlight w:val="none"/>
              </w:rPr>
              <w:t>＜</w:t>
            </w:r>
            <w:r>
              <w:rPr>
                <w:rFonts w:hint="eastAsia" w:ascii="Times New Roman" w:hAnsi="Times New Roman"/>
                <w:color w:val="auto"/>
                <w:szCs w:val="24"/>
                <w:highlight w:val="none"/>
              </w:rPr>
              <w:t>90分</w:t>
            </w:r>
            <w:r>
              <w:rPr>
                <w:rFonts w:hint="eastAsia"/>
                <w:color w:val="auto"/>
                <w:highlight w:val="none"/>
              </w:rPr>
              <w:t>）   □ 合格（60≤总分＜75分）   □ 不合格（总分＜60分）</w:t>
            </w:r>
          </w:p>
          <w:p w14:paraId="346F1C99">
            <w:pPr>
              <w:pStyle w:val="38"/>
              <w:overflowPunct/>
              <w:topLinePunct w:val="0"/>
              <w:bidi w:val="0"/>
              <w:textAlignment w:val="auto"/>
              <w:rPr>
                <w:color w:val="auto"/>
                <w:highlight w:val="none"/>
              </w:rPr>
            </w:pPr>
            <w:r>
              <w:rPr>
                <w:rFonts w:hint="eastAsia" w:ascii="Times New Roman" w:hAnsi="Times New Roman" w:cs="Times New Roman"/>
                <w:color w:val="auto"/>
                <w:kern w:val="2"/>
                <w:sz w:val="21"/>
                <w:highlight w:val="none"/>
              </w:rPr>
              <w:t>□ 优秀（100≤总分≤90分）</w:t>
            </w:r>
          </w:p>
        </w:tc>
      </w:tr>
      <w:tr w14:paraId="0C3DC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jc w:val="center"/>
        </w:trPr>
        <w:tc>
          <w:tcPr>
            <w:tcW w:w="1848" w:type="pct"/>
            <w:gridSpan w:val="3"/>
            <w:tcBorders>
              <w:top w:val="single" w:color="auto" w:sz="4" w:space="0"/>
              <w:left w:val="single" w:color="auto" w:sz="12" w:space="0"/>
              <w:bottom w:val="single" w:color="auto" w:sz="4" w:space="0"/>
              <w:right w:val="single" w:color="auto" w:sz="4" w:space="0"/>
            </w:tcBorders>
            <w:noWrap w:val="0"/>
            <w:vAlign w:val="center"/>
          </w:tcPr>
          <w:p w14:paraId="5E841080">
            <w:pPr>
              <w:overflowPunct/>
              <w:topLinePunct w:val="0"/>
              <w:bidi w:val="0"/>
              <w:textAlignment w:val="auto"/>
              <w:rPr>
                <w:rFonts w:ascii="宋体" w:hAnsi="宋体"/>
                <w:color w:val="auto"/>
                <w:szCs w:val="21"/>
                <w:highlight w:val="none"/>
              </w:rPr>
            </w:pPr>
            <w:r>
              <w:rPr>
                <w:rFonts w:hint="eastAsia" w:ascii="宋体" w:hAnsi="宋体"/>
                <w:color w:val="auto"/>
                <w:szCs w:val="21"/>
                <w:highlight w:val="none"/>
              </w:rPr>
              <w:t>评价小组成员签字</w:t>
            </w:r>
          </w:p>
        </w:tc>
        <w:tc>
          <w:tcPr>
            <w:tcW w:w="3151" w:type="pct"/>
            <w:gridSpan w:val="4"/>
            <w:tcBorders>
              <w:top w:val="single" w:color="auto" w:sz="4" w:space="0"/>
              <w:left w:val="single" w:color="auto" w:sz="4" w:space="0"/>
              <w:bottom w:val="single" w:color="auto" w:sz="4" w:space="0"/>
              <w:right w:val="single" w:color="auto" w:sz="12" w:space="0"/>
            </w:tcBorders>
            <w:noWrap w:val="0"/>
            <w:vAlign w:val="bottom"/>
          </w:tcPr>
          <w:p w14:paraId="21EC8076">
            <w:pPr>
              <w:overflowPunct/>
              <w:topLinePunct w:val="0"/>
              <w:bidi w:val="0"/>
              <w:textAlignment w:val="auto"/>
              <w:rPr>
                <w:rFonts w:ascii="宋体" w:hAnsi="宋体"/>
                <w:color w:val="auto"/>
                <w:szCs w:val="21"/>
                <w:highlight w:val="none"/>
              </w:rPr>
            </w:pPr>
          </w:p>
        </w:tc>
      </w:tr>
    </w:tbl>
    <w:p w14:paraId="2A2F5A3E">
      <w:pPr>
        <w:overflowPunct/>
        <w:topLinePunct w:val="0"/>
        <w:bidi w:val="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tbl>
      <w:tblPr>
        <w:tblStyle w:val="20"/>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3147"/>
        <w:gridCol w:w="1317"/>
        <w:gridCol w:w="938"/>
        <w:gridCol w:w="1228"/>
        <w:gridCol w:w="1223"/>
        <w:gridCol w:w="7"/>
      </w:tblGrid>
      <w:tr w14:paraId="6F376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9060" w:type="dxa"/>
            <w:gridSpan w:val="7"/>
            <w:tcBorders>
              <w:top w:val="nil"/>
              <w:left w:val="nil"/>
              <w:bottom w:val="single" w:color="auto" w:sz="4" w:space="0"/>
              <w:right w:val="nil"/>
            </w:tcBorders>
            <w:noWrap w:val="0"/>
            <w:vAlign w:val="top"/>
          </w:tcPr>
          <w:p w14:paraId="3038BB2C">
            <w:pPr>
              <w:overflowPunct/>
              <w:topLinePunct w:val="0"/>
              <w:bidi w:val="0"/>
              <w:spacing w:line="560" w:lineRule="exact"/>
              <w:jc w:val="center"/>
              <w:textAlignment w:val="auto"/>
              <w:rPr>
                <w:rFonts w:hint="default" w:ascii="仿宋_GB2312" w:eastAsia="仿宋_GB2312"/>
                <w:color w:val="auto"/>
                <w:szCs w:val="21"/>
                <w:highlight w:val="none"/>
                <w:lang w:val="en-US" w:eastAsia="zh-CN"/>
              </w:rPr>
            </w:pPr>
            <w:r>
              <w:rPr>
                <w:rFonts w:hint="eastAsia" w:ascii="宋体" w:hAnsi="宋体"/>
                <w:b/>
                <w:color w:val="auto"/>
                <w:sz w:val="36"/>
                <w:szCs w:val="36"/>
                <w:highlight w:val="none"/>
                <w:lang w:val="en-US" w:eastAsia="zh-CN"/>
              </w:rPr>
              <w:t>服务类合同履约评价表</w:t>
            </w:r>
          </w:p>
        </w:tc>
      </w:tr>
      <w:tr w14:paraId="07061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200" w:type="dxa"/>
            <w:tcBorders>
              <w:top w:val="single" w:color="auto" w:sz="4" w:space="0"/>
            </w:tcBorders>
            <w:noWrap w:val="0"/>
            <w:vAlign w:val="top"/>
          </w:tcPr>
          <w:p w14:paraId="33E0A36E">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评价日期</w:t>
            </w:r>
          </w:p>
        </w:tc>
        <w:tc>
          <w:tcPr>
            <w:tcW w:w="3147" w:type="dxa"/>
            <w:tcBorders>
              <w:top w:val="single" w:color="auto" w:sz="4" w:space="0"/>
            </w:tcBorders>
            <w:noWrap w:val="0"/>
            <w:vAlign w:val="top"/>
          </w:tcPr>
          <w:p w14:paraId="20457990">
            <w:pPr>
              <w:overflowPunct/>
              <w:topLinePunct w:val="0"/>
              <w:bidi w:val="0"/>
              <w:spacing w:line="560" w:lineRule="exact"/>
              <w:jc w:val="left"/>
              <w:textAlignment w:val="auto"/>
              <w:rPr>
                <w:rFonts w:hint="eastAsia" w:ascii="仿宋_GB2312" w:eastAsia="仿宋_GB2312"/>
                <w:color w:val="auto"/>
                <w:szCs w:val="21"/>
                <w:highlight w:val="none"/>
              </w:rPr>
            </w:pPr>
          </w:p>
        </w:tc>
        <w:tc>
          <w:tcPr>
            <w:tcW w:w="1317" w:type="dxa"/>
            <w:tcBorders>
              <w:top w:val="single" w:color="auto" w:sz="4" w:space="0"/>
            </w:tcBorders>
            <w:noWrap w:val="0"/>
            <w:vAlign w:val="top"/>
          </w:tcPr>
          <w:p w14:paraId="07344CB6">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被评价单位</w:t>
            </w:r>
          </w:p>
        </w:tc>
        <w:tc>
          <w:tcPr>
            <w:tcW w:w="3396" w:type="dxa"/>
            <w:gridSpan w:val="4"/>
            <w:tcBorders>
              <w:top w:val="single" w:color="auto" w:sz="4" w:space="0"/>
            </w:tcBorders>
            <w:noWrap w:val="0"/>
            <w:vAlign w:val="top"/>
          </w:tcPr>
          <w:p w14:paraId="4F4D573C">
            <w:pPr>
              <w:overflowPunct/>
              <w:topLinePunct w:val="0"/>
              <w:bidi w:val="0"/>
              <w:spacing w:line="560" w:lineRule="exact"/>
              <w:jc w:val="left"/>
              <w:textAlignment w:val="auto"/>
              <w:rPr>
                <w:rFonts w:hint="eastAsia" w:ascii="仿宋_GB2312" w:eastAsia="仿宋_GB2312"/>
                <w:color w:val="auto"/>
                <w:szCs w:val="21"/>
                <w:highlight w:val="none"/>
              </w:rPr>
            </w:pPr>
          </w:p>
        </w:tc>
      </w:tr>
      <w:tr w14:paraId="1E637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6" w:hRule="atLeast"/>
        </w:trPr>
        <w:tc>
          <w:tcPr>
            <w:tcW w:w="1200" w:type="dxa"/>
            <w:noWrap w:val="0"/>
            <w:vAlign w:val="top"/>
          </w:tcPr>
          <w:p w14:paraId="000FF8FB">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主办部门</w:t>
            </w:r>
          </w:p>
        </w:tc>
        <w:tc>
          <w:tcPr>
            <w:tcW w:w="3147" w:type="dxa"/>
            <w:noWrap w:val="0"/>
            <w:vAlign w:val="top"/>
          </w:tcPr>
          <w:p w14:paraId="7A251B52">
            <w:pPr>
              <w:overflowPunct/>
              <w:topLinePunct w:val="0"/>
              <w:bidi w:val="0"/>
              <w:spacing w:line="560" w:lineRule="exact"/>
              <w:jc w:val="left"/>
              <w:textAlignment w:val="auto"/>
              <w:rPr>
                <w:rFonts w:hint="eastAsia" w:ascii="仿宋_GB2312" w:eastAsia="仿宋_GB2312"/>
                <w:color w:val="auto"/>
                <w:szCs w:val="21"/>
                <w:highlight w:val="none"/>
              </w:rPr>
            </w:pPr>
          </w:p>
        </w:tc>
        <w:tc>
          <w:tcPr>
            <w:tcW w:w="1317" w:type="dxa"/>
            <w:noWrap w:val="0"/>
            <w:vAlign w:val="top"/>
          </w:tcPr>
          <w:p w14:paraId="0794FC38">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 xml:space="preserve">评价人   </w:t>
            </w:r>
          </w:p>
        </w:tc>
        <w:tc>
          <w:tcPr>
            <w:tcW w:w="3396" w:type="dxa"/>
            <w:gridSpan w:val="4"/>
            <w:noWrap w:val="0"/>
            <w:vAlign w:val="top"/>
          </w:tcPr>
          <w:p w14:paraId="554F7A0C">
            <w:pPr>
              <w:overflowPunct/>
              <w:topLinePunct w:val="0"/>
              <w:bidi w:val="0"/>
              <w:spacing w:line="560" w:lineRule="exact"/>
              <w:jc w:val="left"/>
              <w:textAlignment w:val="auto"/>
              <w:rPr>
                <w:rFonts w:hint="eastAsia" w:ascii="仿宋_GB2312" w:eastAsia="仿宋_GB2312"/>
                <w:color w:val="auto"/>
                <w:szCs w:val="21"/>
                <w:highlight w:val="none"/>
              </w:rPr>
            </w:pPr>
          </w:p>
        </w:tc>
      </w:tr>
      <w:tr w14:paraId="762A6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2" w:hRule="atLeast"/>
        </w:trPr>
        <w:tc>
          <w:tcPr>
            <w:tcW w:w="1200" w:type="dxa"/>
            <w:noWrap w:val="0"/>
            <w:vAlign w:val="top"/>
          </w:tcPr>
          <w:p w14:paraId="396EFD04">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合同名称</w:t>
            </w:r>
          </w:p>
        </w:tc>
        <w:tc>
          <w:tcPr>
            <w:tcW w:w="3147" w:type="dxa"/>
            <w:noWrap w:val="0"/>
            <w:vAlign w:val="top"/>
          </w:tcPr>
          <w:p w14:paraId="44F5289B">
            <w:pPr>
              <w:overflowPunct/>
              <w:topLinePunct w:val="0"/>
              <w:bidi w:val="0"/>
              <w:spacing w:line="560" w:lineRule="exact"/>
              <w:jc w:val="left"/>
              <w:textAlignment w:val="auto"/>
              <w:rPr>
                <w:rFonts w:hint="eastAsia" w:ascii="仿宋_GB2312" w:eastAsia="仿宋_GB2312"/>
                <w:color w:val="auto"/>
                <w:szCs w:val="21"/>
                <w:highlight w:val="none"/>
              </w:rPr>
            </w:pPr>
          </w:p>
        </w:tc>
        <w:tc>
          <w:tcPr>
            <w:tcW w:w="1317" w:type="dxa"/>
            <w:noWrap w:val="0"/>
            <w:vAlign w:val="top"/>
          </w:tcPr>
          <w:p w14:paraId="1469A00A">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合同编号</w:t>
            </w:r>
          </w:p>
        </w:tc>
        <w:tc>
          <w:tcPr>
            <w:tcW w:w="3396" w:type="dxa"/>
            <w:gridSpan w:val="4"/>
            <w:noWrap w:val="0"/>
            <w:vAlign w:val="top"/>
          </w:tcPr>
          <w:p w14:paraId="42BDAAC3">
            <w:pPr>
              <w:overflowPunct/>
              <w:topLinePunct w:val="0"/>
              <w:bidi w:val="0"/>
              <w:spacing w:line="560" w:lineRule="exact"/>
              <w:jc w:val="left"/>
              <w:textAlignment w:val="auto"/>
              <w:rPr>
                <w:rFonts w:hint="eastAsia" w:ascii="仿宋_GB2312" w:eastAsia="仿宋_GB2312"/>
                <w:color w:val="auto"/>
                <w:szCs w:val="21"/>
                <w:highlight w:val="none"/>
              </w:rPr>
            </w:pPr>
          </w:p>
        </w:tc>
      </w:tr>
      <w:tr w14:paraId="48665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1200" w:type="dxa"/>
            <w:noWrap w:val="0"/>
            <w:vAlign w:val="top"/>
          </w:tcPr>
          <w:p w14:paraId="4830578F">
            <w:pPr>
              <w:overflowPunct/>
              <w:topLinePunct w:val="0"/>
              <w:bidi w:val="0"/>
              <w:spacing w:line="560" w:lineRule="exact"/>
              <w:jc w:val="left"/>
              <w:textAlignment w:val="auto"/>
              <w:rPr>
                <w:rFonts w:ascii="仿宋_GB2312" w:eastAsia="仿宋_GB2312"/>
                <w:color w:val="auto"/>
                <w:szCs w:val="21"/>
                <w:highlight w:val="none"/>
              </w:rPr>
            </w:pPr>
            <w:r>
              <w:rPr>
                <w:rFonts w:hint="eastAsia" w:ascii="仿宋_GB2312" w:eastAsia="仿宋_GB2312"/>
                <w:color w:val="auto"/>
                <w:szCs w:val="21"/>
                <w:highlight w:val="none"/>
              </w:rPr>
              <w:t>分项内容</w:t>
            </w:r>
          </w:p>
        </w:tc>
        <w:tc>
          <w:tcPr>
            <w:tcW w:w="3147" w:type="dxa"/>
            <w:noWrap w:val="0"/>
            <w:vAlign w:val="top"/>
          </w:tcPr>
          <w:p w14:paraId="4FEE033A">
            <w:pPr>
              <w:overflowPunct/>
              <w:topLinePunct w:val="0"/>
              <w:bidi w:val="0"/>
              <w:spacing w:line="560" w:lineRule="exact"/>
              <w:ind w:firstLine="420" w:firstLineChars="200"/>
              <w:jc w:val="left"/>
              <w:textAlignment w:val="auto"/>
              <w:rPr>
                <w:rFonts w:ascii="仿宋_GB2312" w:eastAsia="仿宋_GB2312"/>
                <w:color w:val="auto"/>
                <w:szCs w:val="21"/>
                <w:highlight w:val="none"/>
              </w:rPr>
            </w:pPr>
            <w:r>
              <w:rPr>
                <w:rFonts w:hint="eastAsia" w:ascii="仿宋_GB2312" w:eastAsia="仿宋_GB2312"/>
                <w:color w:val="auto"/>
                <w:szCs w:val="21"/>
                <w:highlight w:val="none"/>
              </w:rPr>
              <w:t>一般情形评价指标</w:t>
            </w:r>
          </w:p>
        </w:tc>
        <w:tc>
          <w:tcPr>
            <w:tcW w:w="1317" w:type="dxa"/>
            <w:noWrap w:val="0"/>
            <w:vAlign w:val="top"/>
          </w:tcPr>
          <w:p w14:paraId="6A2F8CA4">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分值</w:t>
            </w:r>
          </w:p>
        </w:tc>
        <w:tc>
          <w:tcPr>
            <w:tcW w:w="938" w:type="dxa"/>
            <w:noWrap w:val="0"/>
            <w:vAlign w:val="top"/>
          </w:tcPr>
          <w:p w14:paraId="5FE4B8D3">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扣分</w:t>
            </w:r>
          </w:p>
        </w:tc>
        <w:tc>
          <w:tcPr>
            <w:tcW w:w="1228" w:type="dxa"/>
            <w:noWrap w:val="0"/>
            <w:vAlign w:val="top"/>
          </w:tcPr>
          <w:p w14:paraId="1708ECDE">
            <w:pPr>
              <w:overflowPunct/>
              <w:topLinePunct w:val="0"/>
              <w:bidi w:val="0"/>
              <w:spacing w:line="560" w:lineRule="exact"/>
              <w:ind w:firstLine="420" w:firstLineChars="200"/>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得分</w:t>
            </w:r>
          </w:p>
        </w:tc>
        <w:tc>
          <w:tcPr>
            <w:tcW w:w="1230" w:type="dxa"/>
            <w:gridSpan w:val="2"/>
            <w:noWrap w:val="0"/>
            <w:vAlign w:val="top"/>
          </w:tcPr>
          <w:p w14:paraId="42537FC3">
            <w:pPr>
              <w:overflowPunct/>
              <w:topLinePunct w:val="0"/>
              <w:bidi w:val="0"/>
              <w:spacing w:line="560" w:lineRule="exact"/>
              <w:ind w:firstLine="420" w:firstLineChars="200"/>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备注</w:t>
            </w:r>
          </w:p>
        </w:tc>
      </w:tr>
      <w:tr w14:paraId="7769B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vMerge w:val="restart"/>
            <w:noWrap w:val="0"/>
            <w:vAlign w:val="top"/>
          </w:tcPr>
          <w:p w14:paraId="7E6497CB">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服务水平</w:t>
            </w:r>
          </w:p>
        </w:tc>
        <w:tc>
          <w:tcPr>
            <w:tcW w:w="3147" w:type="dxa"/>
            <w:noWrap w:val="0"/>
            <w:vAlign w:val="top"/>
          </w:tcPr>
          <w:p w14:paraId="7DB04798">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服务方案表达是否清晰，是否存在歧义。</w:t>
            </w:r>
          </w:p>
        </w:tc>
        <w:tc>
          <w:tcPr>
            <w:tcW w:w="1317" w:type="dxa"/>
            <w:noWrap w:val="0"/>
            <w:vAlign w:val="top"/>
          </w:tcPr>
          <w:p w14:paraId="4812E4A2">
            <w:pPr>
              <w:overflowPunct/>
              <w:topLinePunct w:val="0"/>
              <w:bidi w:val="0"/>
              <w:spacing w:line="560" w:lineRule="exact"/>
              <w:jc w:val="left"/>
              <w:textAlignment w:val="auto"/>
              <w:rPr>
                <w:rFonts w:ascii="仿宋_GB2312" w:eastAsia="仿宋_GB2312"/>
                <w:color w:val="auto"/>
                <w:szCs w:val="21"/>
                <w:highlight w:val="none"/>
              </w:rPr>
            </w:pPr>
            <w:r>
              <w:rPr>
                <w:rFonts w:hint="eastAsia" w:ascii="仿宋_GB2312" w:eastAsia="仿宋_GB2312"/>
                <w:color w:val="auto"/>
                <w:szCs w:val="21"/>
                <w:highlight w:val="none"/>
              </w:rPr>
              <w:t>6</w:t>
            </w:r>
          </w:p>
        </w:tc>
        <w:tc>
          <w:tcPr>
            <w:tcW w:w="938" w:type="dxa"/>
            <w:noWrap w:val="0"/>
            <w:vAlign w:val="top"/>
          </w:tcPr>
          <w:p w14:paraId="2413EB56">
            <w:pPr>
              <w:overflowPunct/>
              <w:topLinePunct w:val="0"/>
              <w:bidi w:val="0"/>
              <w:spacing w:line="560" w:lineRule="exact"/>
              <w:jc w:val="left"/>
              <w:textAlignment w:val="auto"/>
              <w:rPr>
                <w:rFonts w:hint="eastAsia" w:ascii="仿宋_GB2312" w:eastAsia="仿宋_GB2312"/>
                <w:color w:val="auto"/>
                <w:szCs w:val="21"/>
                <w:highlight w:val="none"/>
              </w:rPr>
            </w:pPr>
          </w:p>
        </w:tc>
        <w:tc>
          <w:tcPr>
            <w:tcW w:w="1228" w:type="dxa"/>
            <w:noWrap w:val="0"/>
            <w:vAlign w:val="top"/>
          </w:tcPr>
          <w:p w14:paraId="19A9539F">
            <w:pPr>
              <w:overflowPunct/>
              <w:topLinePunct w:val="0"/>
              <w:bidi w:val="0"/>
              <w:spacing w:line="560" w:lineRule="exact"/>
              <w:jc w:val="left"/>
              <w:textAlignment w:val="auto"/>
              <w:rPr>
                <w:rFonts w:hint="eastAsia" w:ascii="仿宋_GB2312" w:eastAsia="仿宋_GB2312"/>
                <w:color w:val="auto"/>
                <w:szCs w:val="21"/>
                <w:highlight w:val="none"/>
              </w:rPr>
            </w:pPr>
          </w:p>
        </w:tc>
        <w:tc>
          <w:tcPr>
            <w:tcW w:w="1230" w:type="dxa"/>
            <w:gridSpan w:val="2"/>
            <w:vMerge w:val="restart"/>
            <w:noWrap w:val="0"/>
            <w:vAlign w:val="top"/>
          </w:tcPr>
          <w:p w14:paraId="73E46CC7">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扣分说明：合同相对方存在评价内容情形的，直接扣除对应分值分数，反之得到对应分值分数。</w:t>
            </w:r>
          </w:p>
        </w:tc>
      </w:tr>
      <w:tr w14:paraId="6D12A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vMerge w:val="continue"/>
            <w:noWrap w:val="0"/>
            <w:vAlign w:val="top"/>
          </w:tcPr>
          <w:p w14:paraId="1B628EED">
            <w:pPr>
              <w:overflowPunct/>
              <w:topLinePunct w:val="0"/>
              <w:bidi w:val="0"/>
              <w:spacing w:line="560" w:lineRule="exact"/>
              <w:jc w:val="left"/>
              <w:textAlignment w:val="auto"/>
              <w:rPr>
                <w:rFonts w:hint="eastAsia" w:ascii="仿宋_GB2312" w:eastAsia="仿宋_GB2312"/>
                <w:color w:val="auto"/>
                <w:szCs w:val="21"/>
                <w:highlight w:val="none"/>
              </w:rPr>
            </w:pPr>
          </w:p>
        </w:tc>
        <w:tc>
          <w:tcPr>
            <w:tcW w:w="3147" w:type="dxa"/>
            <w:noWrap w:val="0"/>
            <w:vAlign w:val="top"/>
          </w:tcPr>
          <w:p w14:paraId="6D270C30">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服务方案能否准确反映公司提出的要求。</w:t>
            </w:r>
          </w:p>
        </w:tc>
        <w:tc>
          <w:tcPr>
            <w:tcW w:w="1317" w:type="dxa"/>
            <w:noWrap w:val="0"/>
            <w:vAlign w:val="top"/>
          </w:tcPr>
          <w:p w14:paraId="7EA2ECCA">
            <w:pPr>
              <w:overflowPunct/>
              <w:topLinePunct w:val="0"/>
              <w:bidi w:val="0"/>
              <w:spacing w:line="560" w:lineRule="exact"/>
              <w:jc w:val="left"/>
              <w:textAlignment w:val="auto"/>
              <w:rPr>
                <w:rFonts w:ascii="仿宋_GB2312" w:eastAsia="仿宋_GB2312"/>
                <w:color w:val="auto"/>
                <w:szCs w:val="21"/>
                <w:highlight w:val="none"/>
              </w:rPr>
            </w:pPr>
            <w:r>
              <w:rPr>
                <w:rFonts w:hint="eastAsia" w:ascii="仿宋_GB2312" w:eastAsia="仿宋_GB2312"/>
                <w:color w:val="auto"/>
                <w:szCs w:val="21"/>
                <w:highlight w:val="none"/>
              </w:rPr>
              <w:t>7</w:t>
            </w:r>
          </w:p>
        </w:tc>
        <w:tc>
          <w:tcPr>
            <w:tcW w:w="938" w:type="dxa"/>
            <w:noWrap w:val="0"/>
            <w:vAlign w:val="top"/>
          </w:tcPr>
          <w:p w14:paraId="071A0A96">
            <w:pPr>
              <w:overflowPunct/>
              <w:topLinePunct w:val="0"/>
              <w:bidi w:val="0"/>
              <w:spacing w:line="560" w:lineRule="exact"/>
              <w:jc w:val="left"/>
              <w:textAlignment w:val="auto"/>
              <w:rPr>
                <w:rFonts w:hint="eastAsia" w:ascii="仿宋_GB2312" w:eastAsia="仿宋_GB2312"/>
                <w:color w:val="auto"/>
                <w:szCs w:val="21"/>
                <w:highlight w:val="none"/>
              </w:rPr>
            </w:pPr>
          </w:p>
        </w:tc>
        <w:tc>
          <w:tcPr>
            <w:tcW w:w="1228" w:type="dxa"/>
            <w:noWrap w:val="0"/>
            <w:vAlign w:val="top"/>
          </w:tcPr>
          <w:p w14:paraId="44C718ED">
            <w:pPr>
              <w:overflowPunct/>
              <w:topLinePunct w:val="0"/>
              <w:bidi w:val="0"/>
              <w:spacing w:line="560" w:lineRule="exact"/>
              <w:jc w:val="left"/>
              <w:textAlignment w:val="auto"/>
              <w:rPr>
                <w:rFonts w:hint="eastAsia" w:ascii="仿宋_GB2312" w:eastAsia="仿宋_GB2312"/>
                <w:color w:val="auto"/>
                <w:szCs w:val="21"/>
                <w:highlight w:val="none"/>
              </w:rPr>
            </w:pPr>
          </w:p>
        </w:tc>
        <w:tc>
          <w:tcPr>
            <w:tcW w:w="1230" w:type="dxa"/>
            <w:gridSpan w:val="2"/>
            <w:vMerge w:val="continue"/>
            <w:noWrap w:val="0"/>
            <w:vAlign w:val="top"/>
          </w:tcPr>
          <w:p w14:paraId="790CD87B">
            <w:pPr>
              <w:overflowPunct/>
              <w:topLinePunct w:val="0"/>
              <w:bidi w:val="0"/>
              <w:spacing w:line="560" w:lineRule="exact"/>
              <w:jc w:val="left"/>
              <w:textAlignment w:val="auto"/>
              <w:rPr>
                <w:rFonts w:hint="eastAsia" w:ascii="仿宋_GB2312" w:eastAsia="仿宋_GB2312"/>
                <w:color w:val="auto"/>
                <w:szCs w:val="21"/>
                <w:highlight w:val="none"/>
              </w:rPr>
            </w:pPr>
          </w:p>
        </w:tc>
      </w:tr>
      <w:tr w14:paraId="4984D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vMerge w:val="continue"/>
            <w:noWrap w:val="0"/>
            <w:vAlign w:val="top"/>
          </w:tcPr>
          <w:p w14:paraId="3AABEAB8">
            <w:pPr>
              <w:overflowPunct/>
              <w:topLinePunct w:val="0"/>
              <w:bidi w:val="0"/>
              <w:spacing w:line="560" w:lineRule="exact"/>
              <w:jc w:val="left"/>
              <w:textAlignment w:val="auto"/>
              <w:rPr>
                <w:rFonts w:hint="eastAsia" w:ascii="仿宋_GB2312" w:eastAsia="仿宋_GB2312"/>
                <w:color w:val="auto"/>
                <w:szCs w:val="21"/>
                <w:highlight w:val="none"/>
              </w:rPr>
            </w:pPr>
          </w:p>
        </w:tc>
        <w:tc>
          <w:tcPr>
            <w:tcW w:w="3147" w:type="dxa"/>
            <w:noWrap w:val="0"/>
            <w:vAlign w:val="top"/>
          </w:tcPr>
          <w:p w14:paraId="765C416F">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服务方案是否均有深入的分析，是否全面涵盖项目内容且有充分理由及法律依据。</w:t>
            </w:r>
          </w:p>
        </w:tc>
        <w:tc>
          <w:tcPr>
            <w:tcW w:w="1317" w:type="dxa"/>
            <w:noWrap w:val="0"/>
            <w:vAlign w:val="top"/>
          </w:tcPr>
          <w:p w14:paraId="1A059119">
            <w:pPr>
              <w:overflowPunct/>
              <w:topLinePunct w:val="0"/>
              <w:bidi w:val="0"/>
              <w:spacing w:line="560" w:lineRule="exact"/>
              <w:jc w:val="left"/>
              <w:textAlignment w:val="auto"/>
              <w:rPr>
                <w:rFonts w:ascii="仿宋_GB2312" w:eastAsia="仿宋_GB2312"/>
                <w:color w:val="auto"/>
                <w:szCs w:val="21"/>
                <w:highlight w:val="none"/>
              </w:rPr>
            </w:pPr>
            <w:r>
              <w:rPr>
                <w:rFonts w:hint="eastAsia" w:ascii="仿宋_GB2312" w:eastAsia="仿宋_GB2312"/>
                <w:color w:val="auto"/>
                <w:szCs w:val="21"/>
                <w:highlight w:val="none"/>
              </w:rPr>
              <w:t>10</w:t>
            </w:r>
          </w:p>
        </w:tc>
        <w:tc>
          <w:tcPr>
            <w:tcW w:w="938" w:type="dxa"/>
            <w:noWrap w:val="0"/>
            <w:vAlign w:val="top"/>
          </w:tcPr>
          <w:p w14:paraId="70634A9C">
            <w:pPr>
              <w:overflowPunct/>
              <w:topLinePunct w:val="0"/>
              <w:bidi w:val="0"/>
              <w:spacing w:line="560" w:lineRule="exact"/>
              <w:jc w:val="left"/>
              <w:textAlignment w:val="auto"/>
              <w:rPr>
                <w:rFonts w:hint="eastAsia" w:ascii="仿宋_GB2312" w:eastAsia="仿宋_GB2312"/>
                <w:color w:val="auto"/>
                <w:szCs w:val="21"/>
                <w:highlight w:val="none"/>
              </w:rPr>
            </w:pPr>
          </w:p>
        </w:tc>
        <w:tc>
          <w:tcPr>
            <w:tcW w:w="1228" w:type="dxa"/>
            <w:noWrap w:val="0"/>
            <w:vAlign w:val="top"/>
          </w:tcPr>
          <w:p w14:paraId="1F686DF9">
            <w:pPr>
              <w:overflowPunct/>
              <w:topLinePunct w:val="0"/>
              <w:bidi w:val="0"/>
              <w:spacing w:line="560" w:lineRule="exact"/>
              <w:jc w:val="left"/>
              <w:textAlignment w:val="auto"/>
              <w:rPr>
                <w:rFonts w:hint="eastAsia" w:ascii="仿宋_GB2312" w:eastAsia="仿宋_GB2312"/>
                <w:color w:val="auto"/>
                <w:szCs w:val="21"/>
                <w:highlight w:val="none"/>
              </w:rPr>
            </w:pPr>
          </w:p>
        </w:tc>
        <w:tc>
          <w:tcPr>
            <w:tcW w:w="1230" w:type="dxa"/>
            <w:gridSpan w:val="2"/>
            <w:vMerge w:val="continue"/>
            <w:noWrap w:val="0"/>
            <w:vAlign w:val="top"/>
          </w:tcPr>
          <w:p w14:paraId="1DEA6BA1">
            <w:pPr>
              <w:overflowPunct/>
              <w:topLinePunct w:val="0"/>
              <w:bidi w:val="0"/>
              <w:spacing w:line="560" w:lineRule="exact"/>
              <w:jc w:val="left"/>
              <w:textAlignment w:val="auto"/>
              <w:rPr>
                <w:rFonts w:hint="eastAsia" w:ascii="仿宋_GB2312" w:eastAsia="仿宋_GB2312"/>
                <w:color w:val="auto"/>
                <w:szCs w:val="21"/>
                <w:highlight w:val="none"/>
              </w:rPr>
            </w:pPr>
          </w:p>
        </w:tc>
      </w:tr>
      <w:tr w14:paraId="00BF8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00" w:type="dxa"/>
            <w:vMerge w:val="continue"/>
            <w:noWrap w:val="0"/>
            <w:vAlign w:val="top"/>
          </w:tcPr>
          <w:p w14:paraId="6D75196F">
            <w:pPr>
              <w:overflowPunct/>
              <w:topLinePunct w:val="0"/>
              <w:bidi w:val="0"/>
              <w:spacing w:line="560" w:lineRule="exact"/>
              <w:jc w:val="left"/>
              <w:textAlignment w:val="auto"/>
              <w:rPr>
                <w:rFonts w:hint="eastAsia" w:ascii="仿宋_GB2312" w:eastAsia="仿宋_GB2312"/>
                <w:color w:val="auto"/>
                <w:szCs w:val="21"/>
                <w:highlight w:val="none"/>
              </w:rPr>
            </w:pPr>
          </w:p>
        </w:tc>
        <w:tc>
          <w:tcPr>
            <w:tcW w:w="3147" w:type="dxa"/>
            <w:noWrap w:val="0"/>
            <w:vAlign w:val="top"/>
          </w:tcPr>
          <w:p w14:paraId="7CB177CF">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服务方案是否囊括风险点且具有前瞻性。</w:t>
            </w:r>
          </w:p>
        </w:tc>
        <w:tc>
          <w:tcPr>
            <w:tcW w:w="1317" w:type="dxa"/>
            <w:noWrap w:val="0"/>
            <w:vAlign w:val="top"/>
          </w:tcPr>
          <w:p w14:paraId="1DB77FDC">
            <w:pPr>
              <w:overflowPunct/>
              <w:topLinePunct w:val="0"/>
              <w:bidi w:val="0"/>
              <w:spacing w:line="560" w:lineRule="exact"/>
              <w:jc w:val="left"/>
              <w:textAlignment w:val="auto"/>
              <w:rPr>
                <w:rFonts w:ascii="仿宋_GB2312" w:eastAsia="仿宋_GB2312"/>
                <w:color w:val="auto"/>
                <w:szCs w:val="21"/>
                <w:highlight w:val="none"/>
              </w:rPr>
            </w:pPr>
            <w:r>
              <w:rPr>
                <w:rFonts w:hint="eastAsia" w:ascii="仿宋_GB2312" w:eastAsia="仿宋_GB2312"/>
                <w:color w:val="auto"/>
                <w:szCs w:val="21"/>
                <w:highlight w:val="none"/>
              </w:rPr>
              <w:t>7</w:t>
            </w:r>
          </w:p>
        </w:tc>
        <w:tc>
          <w:tcPr>
            <w:tcW w:w="938" w:type="dxa"/>
            <w:noWrap w:val="0"/>
            <w:vAlign w:val="top"/>
          </w:tcPr>
          <w:p w14:paraId="3E998CB9">
            <w:pPr>
              <w:overflowPunct/>
              <w:topLinePunct w:val="0"/>
              <w:bidi w:val="0"/>
              <w:spacing w:line="560" w:lineRule="exact"/>
              <w:jc w:val="left"/>
              <w:textAlignment w:val="auto"/>
              <w:rPr>
                <w:rFonts w:hint="eastAsia" w:ascii="仿宋_GB2312" w:eastAsia="仿宋_GB2312"/>
                <w:color w:val="auto"/>
                <w:szCs w:val="21"/>
                <w:highlight w:val="none"/>
              </w:rPr>
            </w:pPr>
          </w:p>
        </w:tc>
        <w:tc>
          <w:tcPr>
            <w:tcW w:w="1228" w:type="dxa"/>
            <w:noWrap w:val="0"/>
            <w:vAlign w:val="top"/>
          </w:tcPr>
          <w:p w14:paraId="5770CEE7">
            <w:pPr>
              <w:overflowPunct/>
              <w:topLinePunct w:val="0"/>
              <w:bidi w:val="0"/>
              <w:spacing w:line="560" w:lineRule="exact"/>
              <w:jc w:val="left"/>
              <w:textAlignment w:val="auto"/>
              <w:rPr>
                <w:rFonts w:hint="eastAsia" w:ascii="仿宋_GB2312" w:eastAsia="仿宋_GB2312"/>
                <w:color w:val="auto"/>
                <w:szCs w:val="21"/>
                <w:highlight w:val="none"/>
              </w:rPr>
            </w:pPr>
          </w:p>
        </w:tc>
        <w:tc>
          <w:tcPr>
            <w:tcW w:w="1230" w:type="dxa"/>
            <w:gridSpan w:val="2"/>
            <w:vMerge w:val="continue"/>
            <w:noWrap w:val="0"/>
            <w:vAlign w:val="top"/>
          </w:tcPr>
          <w:p w14:paraId="6C62A9EF">
            <w:pPr>
              <w:overflowPunct/>
              <w:topLinePunct w:val="0"/>
              <w:bidi w:val="0"/>
              <w:spacing w:line="560" w:lineRule="exact"/>
              <w:jc w:val="left"/>
              <w:textAlignment w:val="auto"/>
              <w:rPr>
                <w:rFonts w:hint="eastAsia" w:ascii="仿宋_GB2312" w:eastAsia="仿宋_GB2312"/>
                <w:color w:val="auto"/>
                <w:szCs w:val="21"/>
                <w:highlight w:val="none"/>
              </w:rPr>
            </w:pPr>
          </w:p>
        </w:tc>
      </w:tr>
      <w:tr w14:paraId="34577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00" w:type="dxa"/>
            <w:vMerge w:val="continue"/>
            <w:noWrap w:val="0"/>
            <w:vAlign w:val="top"/>
          </w:tcPr>
          <w:p w14:paraId="638A1711">
            <w:pPr>
              <w:overflowPunct/>
              <w:topLinePunct w:val="0"/>
              <w:bidi w:val="0"/>
              <w:spacing w:line="560" w:lineRule="exact"/>
              <w:jc w:val="left"/>
              <w:textAlignment w:val="auto"/>
              <w:rPr>
                <w:rFonts w:hint="eastAsia" w:ascii="仿宋_GB2312" w:eastAsia="仿宋_GB2312"/>
                <w:color w:val="auto"/>
                <w:szCs w:val="21"/>
                <w:highlight w:val="none"/>
              </w:rPr>
            </w:pPr>
          </w:p>
        </w:tc>
        <w:tc>
          <w:tcPr>
            <w:tcW w:w="3147" w:type="dxa"/>
            <w:noWrap w:val="0"/>
            <w:vAlign w:val="top"/>
          </w:tcPr>
          <w:p w14:paraId="1899C2BD">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出具服务方案是否存在延误情形</w:t>
            </w:r>
          </w:p>
        </w:tc>
        <w:tc>
          <w:tcPr>
            <w:tcW w:w="1317" w:type="dxa"/>
            <w:noWrap w:val="0"/>
            <w:vAlign w:val="top"/>
          </w:tcPr>
          <w:p w14:paraId="07EBBBC3">
            <w:pPr>
              <w:overflowPunct/>
              <w:topLinePunct w:val="0"/>
              <w:bidi w:val="0"/>
              <w:spacing w:line="560" w:lineRule="exact"/>
              <w:jc w:val="left"/>
              <w:textAlignment w:val="auto"/>
              <w:rPr>
                <w:rFonts w:ascii="仿宋_GB2312" w:eastAsia="仿宋_GB2312"/>
                <w:color w:val="auto"/>
                <w:szCs w:val="21"/>
                <w:highlight w:val="none"/>
              </w:rPr>
            </w:pPr>
            <w:r>
              <w:rPr>
                <w:rFonts w:hint="eastAsia" w:ascii="仿宋_GB2312" w:eastAsia="仿宋_GB2312"/>
                <w:color w:val="auto"/>
                <w:szCs w:val="21"/>
                <w:highlight w:val="none"/>
              </w:rPr>
              <w:t>5</w:t>
            </w:r>
          </w:p>
        </w:tc>
        <w:tc>
          <w:tcPr>
            <w:tcW w:w="938" w:type="dxa"/>
            <w:noWrap w:val="0"/>
            <w:vAlign w:val="top"/>
          </w:tcPr>
          <w:p w14:paraId="49F3546A">
            <w:pPr>
              <w:overflowPunct/>
              <w:topLinePunct w:val="0"/>
              <w:bidi w:val="0"/>
              <w:spacing w:line="560" w:lineRule="exact"/>
              <w:jc w:val="left"/>
              <w:textAlignment w:val="auto"/>
              <w:rPr>
                <w:rFonts w:hint="eastAsia" w:ascii="仿宋_GB2312" w:eastAsia="仿宋_GB2312"/>
                <w:color w:val="auto"/>
                <w:szCs w:val="21"/>
                <w:highlight w:val="none"/>
              </w:rPr>
            </w:pPr>
          </w:p>
        </w:tc>
        <w:tc>
          <w:tcPr>
            <w:tcW w:w="1228" w:type="dxa"/>
            <w:noWrap w:val="0"/>
            <w:vAlign w:val="top"/>
          </w:tcPr>
          <w:p w14:paraId="765588DF">
            <w:pPr>
              <w:overflowPunct/>
              <w:topLinePunct w:val="0"/>
              <w:bidi w:val="0"/>
              <w:spacing w:line="560" w:lineRule="exact"/>
              <w:jc w:val="left"/>
              <w:textAlignment w:val="auto"/>
              <w:rPr>
                <w:rFonts w:hint="eastAsia" w:ascii="仿宋_GB2312" w:eastAsia="仿宋_GB2312"/>
                <w:color w:val="auto"/>
                <w:szCs w:val="21"/>
                <w:highlight w:val="none"/>
              </w:rPr>
            </w:pPr>
          </w:p>
        </w:tc>
        <w:tc>
          <w:tcPr>
            <w:tcW w:w="1230" w:type="dxa"/>
            <w:gridSpan w:val="2"/>
            <w:vMerge w:val="continue"/>
            <w:noWrap w:val="0"/>
            <w:vAlign w:val="top"/>
          </w:tcPr>
          <w:p w14:paraId="08834EC5">
            <w:pPr>
              <w:overflowPunct/>
              <w:topLinePunct w:val="0"/>
              <w:bidi w:val="0"/>
              <w:spacing w:line="560" w:lineRule="exact"/>
              <w:jc w:val="left"/>
              <w:textAlignment w:val="auto"/>
              <w:rPr>
                <w:rFonts w:hint="eastAsia" w:ascii="仿宋_GB2312" w:eastAsia="仿宋_GB2312"/>
                <w:color w:val="auto"/>
                <w:szCs w:val="21"/>
                <w:highlight w:val="none"/>
              </w:rPr>
            </w:pPr>
          </w:p>
        </w:tc>
      </w:tr>
      <w:tr w14:paraId="3D4FF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vMerge w:val="continue"/>
            <w:noWrap w:val="0"/>
            <w:vAlign w:val="top"/>
          </w:tcPr>
          <w:p w14:paraId="59651628">
            <w:pPr>
              <w:overflowPunct/>
              <w:topLinePunct w:val="0"/>
              <w:bidi w:val="0"/>
              <w:spacing w:line="560" w:lineRule="exact"/>
              <w:jc w:val="left"/>
              <w:textAlignment w:val="auto"/>
              <w:rPr>
                <w:rFonts w:hint="eastAsia" w:ascii="仿宋_GB2312" w:eastAsia="仿宋_GB2312"/>
                <w:color w:val="auto"/>
                <w:szCs w:val="21"/>
                <w:highlight w:val="none"/>
              </w:rPr>
            </w:pPr>
          </w:p>
        </w:tc>
        <w:tc>
          <w:tcPr>
            <w:tcW w:w="3147" w:type="dxa"/>
            <w:noWrap w:val="0"/>
            <w:vAlign w:val="top"/>
          </w:tcPr>
          <w:p w14:paraId="1FF165C7">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（存在其中一项即扣除26分）</w:t>
            </w:r>
            <w:r>
              <w:rPr>
                <w:rFonts w:eastAsia="仿宋_GB2312" w:cs="Calibri"/>
                <w:color w:val="auto"/>
                <w:szCs w:val="21"/>
                <w:highlight w:val="none"/>
              </w:rPr>
              <w:t>①</w:t>
            </w:r>
            <w:r>
              <w:rPr>
                <w:rFonts w:hint="eastAsia" w:ascii="仿宋_GB2312" w:eastAsia="仿宋_GB2312"/>
                <w:color w:val="auto"/>
                <w:szCs w:val="21"/>
                <w:highlight w:val="none"/>
              </w:rPr>
              <w:t>服务方案反复修改次数超过3次才能完成；</w:t>
            </w:r>
            <w:r>
              <w:rPr>
                <w:rFonts w:eastAsia="仿宋_GB2312" w:cs="Calibri"/>
                <w:color w:val="auto"/>
                <w:szCs w:val="21"/>
                <w:highlight w:val="none"/>
              </w:rPr>
              <w:t>②</w:t>
            </w:r>
            <w:r>
              <w:rPr>
                <w:rFonts w:hint="eastAsia" w:ascii="仿宋_GB2312" w:eastAsia="仿宋_GB2312"/>
                <w:color w:val="auto"/>
                <w:szCs w:val="21"/>
                <w:highlight w:val="none"/>
              </w:rPr>
              <w:t>多次反复沟通协调后出具的服务方案仍未能完全满足项目要求的</w:t>
            </w:r>
            <w:r>
              <w:rPr>
                <w:rFonts w:hint="eastAsia" w:eastAsia="仿宋_GB2312" w:cs="Calibri"/>
                <w:color w:val="auto"/>
                <w:szCs w:val="21"/>
                <w:highlight w:val="none"/>
              </w:rPr>
              <w:t>；</w:t>
            </w:r>
            <w:r>
              <w:rPr>
                <w:rFonts w:eastAsia="Gulim" w:cs="Calibri"/>
                <w:color w:val="auto"/>
                <w:szCs w:val="21"/>
                <w:highlight w:val="none"/>
              </w:rPr>
              <w:t>③</w:t>
            </w:r>
            <w:r>
              <w:rPr>
                <w:rFonts w:hint="eastAsia" w:ascii="仿宋_GB2312" w:eastAsia="仿宋_GB2312"/>
                <w:color w:val="auto"/>
                <w:szCs w:val="21"/>
                <w:highlight w:val="none"/>
              </w:rPr>
              <w:t>未推荐或未提供保障公司最大利益的方案；</w:t>
            </w:r>
            <w:r>
              <w:rPr>
                <w:rFonts w:eastAsia="Gulim" w:cs="Calibri"/>
                <w:color w:val="auto"/>
                <w:szCs w:val="21"/>
                <w:highlight w:val="none"/>
              </w:rPr>
              <w:t>④</w:t>
            </w:r>
            <w:r>
              <w:rPr>
                <w:rFonts w:hint="eastAsia" w:ascii="仿宋_GB2312" w:eastAsia="仿宋_GB2312"/>
                <w:color w:val="auto"/>
                <w:szCs w:val="21"/>
                <w:highlight w:val="none"/>
              </w:rPr>
              <w:t>存在其它不符合合同要求未及时整改的，但未造成不良影响的。</w:t>
            </w:r>
          </w:p>
        </w:tc>
        <w:tc>
          <w:tcPr>
            <w:tcW w:w="1317" w:type="dxa"/>
            <w:noWrap w:val="0"/>
            <w:vAlign w:val="top"/>
          </w:tcPr>
          <w:p w14:paraId="6D6DB87F">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26</w:t>
            </w:r>
          </w:p>
        </w:tc>
        <w:tc>
          <w:tcPr>
            <w:tcW w:w="938" w:type="dxa"/>
            <w:noWrap w:val="0"/>
            <w:vAlign w:val="top"/>
          </w:tcPr>
          <w:p w14:paraId="25649E6D">
            <w:pPr>
              <w:overflowPunct/>
              <w:topLinePunct w:val="0"/>
              <w:bidi w:val="0"/>
              <w:spacing w:line="560" w:lineRule="exact"/>
              <w:jc w:val="left"/>
              <w:textAlignment w:val="auto"/>
              <w:rPr>
                <w:rFonts w:hint="eastAsia" w:ascii="仿宋_GB2312" w:eastAsia="仿宋_GB2312"/>
                <w:color w:val="auto"/>
                <w:szCs w:val="21"/>
                <w:highlight w:val="none"/>
              </w:rPr>
            </w:pPr>
          </w:p>
        </w:tc>
        <w:tc>
          <w:tcPr>
            <w:tcW w:w="1228" w:type="dxa"/>
            <w:noWrap w:val="0"/>
            <w:vAlign w:val="top"/>
          </w:tcPr>
          <w:p w14:paraId="76A22528">
            <w:pPr>
              <w:overflowPunct/>
              <w:topLinePunct w:val="0"/>
              <w:bidi w:val="0"/>
              <w:spacing w:line="560" w:lineRule="exact"/>
              <w:jc w:val="left"/>
              <w:textAlignment w:val="auto"/>
              <w:rPr>
                <w:rFonts w:hint="eastAsia" w:ascii="仿宋_GB2312" w:eastAsia="仿宋_GB2312"/>
                <w:color w:val="auto"/>
                <w:szCs w:val="21"/>
                <w:highlight w:val="none"/>
              </w:rPr>
            </w:pPr>
          </w:p>
        </w:tc>
        <w:tc>
          <w:tcPr>
            <w:tcW w:w="1230" w:type="dxa"/>
            <w:gridSpan w:val="2"/>
            <w:vMerge w:val="continue"/>
            <w:noWrap w:val="0"/>
            <w:vAlign w:val="top"/>
          </w:tcPr>
          <w:p w14:paraId="3B13FD78">
            <w:pPr>
              <w:overflowPunct/>
              <w:topLinePunct w:val="0"/>
              <w:bidi w:val="0"/>
              <w:spacing w:line="560" w:lineRule="exact"/>
              <w:jc w:val="left"/>
              <w:textAlignment w:val="auto"/>
              <w:rPr>
                <w:rFonts w:hint="eastAsia" w:ascii="仿宋_GB2312" w:eastAsia="仿宋_GB2312"/>
                <w:color w:val="auto"/>
                <w:szCs w:val="21"/>
                <w:highlight w:val="none"/>
              </w:rPr>
            </w:pPr>
          </w:p>
        </w:tc>
      </w:tr>
      <w:tr w14:paraId="5B22E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200" w:type="dxa"/>
            <w:vMerge w:val="restart"/>
            <w:noWrap w:val="0"/>
            <w:vAlign w:val="top"/>
          </w:tcPr>
          <w:p w14:paraId="49CBE3F4">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响应程度及服务态度</w:t>
            </w:r>
          </w:p>
        </w:tc>
        <w:tc>
          <w:tcPr>
            <w:tcW w:w="3147" w:type="dxa"/>
            <w:noWrap w:val="0"/>
            <w:vAlign w:val="top"/>
          </w:tcPr>
          <w:p w14:paraId="14C76BFC">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响应程度差，积极性不强，经多次催促才配合项目进程。</w:t>
            </w:r>
          </w:p>
        </w:tc>
        <w:tc>
          <w:tcPr>
            <w:tcW w:w="1317" w:type="dxa"/>
            <w:noWrap w:val="0"/>
            <w:vAlign w:val="top"/>
          </w:tcPr>
          <w:p w14:paraId="0891514E">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26</w:t>
            </w:r>
          </w:p>
        </w:tc>
        <w:tc>
          <w:tcPr>
            <w:tcW w:w="938" w:type="dxa"/>
            <w:noWrap w:val="0"/>
            <w:vAlign w:val="top"/>
          </w:tcPr>
          <w:p w14:paraId="1711F748">
            <w:pPr>
              <w:overflowPunct/>
              <w:topLinePunct w:val="0"/>
              <w:bidi w:val="0"/>
              <w:spacing w:line="560" w:lineRule="exact"/>
              <w:jc w:val="left"/>
              <w:textAlignment w:val="auto"/>
              <w:rPr>
                <w:rFonts w:hint="eastAsia" w:ascii="仿宋_GB2312" w:eastAsia="仿宋_GB2312"/>
                <w:color w:val="auto"/>
                <w:szCs w:val="21"/>
                <w:highlight w:val="none"/>
              </w:rPr>
            </w:pPr>
          </w:p>
        </w:tc>
        <w:tc>
          <w:tcPr>
            <w:tcW w:w="1228" w:type="dxa"/>
            <w:noWrap w:val="0"/>
            <w:vAlign w:val="top"/>
          </w:tcPr>
          <w:p w14:paraId="0C3A63FC">
            <w:pPr>
              <w:overflowPunct/>
              <w:topLinePunct w:val="0"/>
              <w:bidi w:val="0"/>
              <w:spacing w:line="560" w:lineRule="exact"/>
              <w:jc w:val="left"/>
              <w:textAlignment w:val="auto"/>
              <w:rPr>
                <w:rFonts w:hint="eastAsia" w:ascii="仿宋_GB2312" w:eastAsia="仿宋_GB2312"/>
                <w:color w:val="auto"/>
                <w:szCs w:val="21"/>
                <w:highlight w:val="none"/>
              </w:rPr>
            </w:pPr>
          </w:p>
        </w:tc>
        <w:tc>
          <w:tcPr>
            <w:tcW w:w="1230" w:type="dxa"/>
            <w:gridSpan w:val="2"/>
            <w:vMerge w:val="continue"/>
            <w:noWrap w:val="0"/>
            <w:vAlign w:val="top"/>
          </w:tcPr>
          <w:p w14:paraId="348CA57A">
            <w:pPr>
              <w:overflowPunct/>
              <w:topLinePunct w:val="0"/>
              <w:bidi w:val="0"/>
              <w:spacing w:line="560" w:lineRule="exact"/>
              <w:jc w:val="left"/>
              <w:textAlignment w:val="auto"/>
              <w:rPr>
                <w:rFonts w:hint="eastAsia" w:ascii="仿宋_GB2312" w:eastAsia="仿宋_GB2312"/>
                <w:color w:val="auto"/>
                <w:szCs w:val="21"/>
                <w:highlight w:val="none"/>
              </w:rPr>
            </w:pPr>
          </w:p>
        </w:tc>
      </w:tr>
      <w:tr w14:paraId="6E5F2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2" w:hRule="atLeast"/>
        </w:trPr>
        <w:tc>
          <w:tcPr>
            <w:tcW w:w="1200" w:type="dxa"/>
            <w:vMerge w:val="continue"/>
            <w:noWrap w:val="0"/>
            <w:vAlign w:val="top"/>
          </w:tcPr>
          <w:p w14:paraId="50CC2B89">
            <w:pPr>
              <w:overflowPunct/>
              <w:topLinePunct w:val="0"/>
              <w:bidi w:val="0"/>
              <w:spacing w:line="560" w:lineRule="exact"/>
              <w:jc w:val="left"/>
              <w:textAlignment w:val="auto"/>
              <w:rPr>
                <w:rFonts w:hint="eastAsia" w:ascii="仿宋_GB2312" w:eastAsia="仿宋_GB2312"/>
                <w:color w:val="auto"/>
                <w:szCs w:val="21"/>
                <w:highlight w:val="none"/>
              </w:rPr>
            </w:pPr>
          </w:p>
        </w:tc>
        <w:tc>
          <w:tcPr>
            <w:tcW w:w="3147" w:type="dxa"/>
            <w:noWrap w:val="0"/>
            <w:vAlign w:val="top"/>
          </w:tcPr>
          <w:p w14:paraId="48A1D826">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服务团队是否稳定，是否经常变更。</w:t>
            </w:r>
          </w:p>
        </w:tc>
        <w:tc>
          <w:tcPr>
            <w:tcW w:w="1317" w:type="dxa"/>
            <w:noWrap w:val="0"/>
            <w:vAlign w:val="top"/>
          </w:tcPr>
          <w:p w14:paraId="02664317">
            <w:pPr>
              <w:overflowPunct/>
              <w:topLinePunct w:val="0"/>
              <w:bidi w:val="0"/>
              <w:spacing w:line="560" w:lineRule="exact"/>
              <w:jc w:val="left"/>
              <w:textAlignment w:val="auto"/>
              <w:rPr>
                <w:rFonts w:ascii="仿宋_GB2312" w:eastAsia="仿宋_GB2312"/>
                <w:color w:val="auto"/>
                <w:szCs w:val="21"/>
                <w:highlight w:val="none"/>
              </w:rPr>
            </w:pPr>
            <w:r>
              <w:rPr>
                <w:rFonts w:hint="eastAsia" w:ascii="仿宋_GB2312" w:eastAsia="仿宋_GB2312"/>
                <w:color w:val="auto"/>
                <w:szCs w:val="21"/>
                <w:highlight w:val="none"/>
              </w:rPr>
              <w:t>4</w:t>
            </w:r>
          </w:p>
        </w:tc>
        <w:tc>
          <w:tcPr>
            <w:tcW w:w="938" w:type="dxa"/>
            <w:noWrap w:val="0"/>
            <w:vAlign w:val="top"/>
          </w:tcPr>
          <w:p w14:paraId="5C0E5E3F">
            <w:pPr>
              <w:overflowPunct/>
              <w:topLinePunct w:val="0"/>
              <w:bidi w:val="0"/>
              <w:spacing w:line="560" w:lineRule="exact"/>
              <w:jc w:val="left"/>
              <w:textAlignment w:val="auto"/>
              <w:rPr>
                <w:rFonts w:hint="eastAsia" w:ascii="仿宋_GB2312" w:eastAsia="仿宋_GB2312"/>
                <w:color w:val="auto"/>
                <w:szCs w:val="21"/>
                <w:highlight w:val="none"/>
              </w:rPr>
            </w:pPr>
          </w:p>
        </w:tc>
        <w:tc>
          <w:tcPr>
            <w:tcW w:w="1228" w:type="dxa"/>
            <w:noWrap w:val="0"/>
            <w:vAlign w:val="top"/>
          </w:tcPr>
          <w:p w14:paraId="5B371D49">
            <w:pPr>
              <w:overflowPunct/>
              <w:topLinePunct w:val="0"/>
              <w:bidi w:val="0"/>
              <w:spacing w:line="560" w:lineRule="exact"/>
              <w:jc w:val="left"/>
              <w:textAlignment w:val="auto"/>
              <w:rPr>
                <w:rFonts w:hint="eastAsia" w:ascii="仿宋_GB2312" w:eastAsia="仿宋_GB2312"/>
                <w:color w:val="auto"/>
                <w:szCs w:val="21"/>
                <w:highlight w:val="none"/>
              </w:rPr>
            </w:pPr>
          </w:p>
        </w:tc>
        <w:tc>
          <w:tcPr>
            <w:tcW w:w="1230" w:type="dxa"/>
            <w:gridSpan w:val="2"/>
            <w:vMerge w:val="continue"/>
            <w:noWrap w:val="0"/>
            <w:vAlign w:val="top"/>
          </w:tcPr>
          <w:p w14:paraId="3980408A">
            <w:pPr>
              <w:overflowPunct/>
              <w:topLinePunct w:val="0"/>
              <w:bidi w:val="0"/>
              <w:spacing w:line="560" w:lineRule="exact"/>
              <w:jc w:val="left"/>
              <w:textAlignment w:val="auto"/>
              <w:rPr>
                <w:rFonts w:hint="eastAsia" w:ascii="仿宋_GB2312" w:eastAsia="仿宋_GB2312"/>
                <w:color w:val="auto"/>
                <w:szCs w:val="21"/>
                <w:highlight w:val="none"/>
              </w:rPr>
            </w:pPr>
          </w:p>
        </w:tc>
      </w:tr>
      <w:tr w14:paraId="6FD30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vMerge w:val="continue"/>
            <w:noWrap w:val="0"/>
            <w:vAlign w:val="top"/>
          </w:tcPr>
          <w:p w14:paraId="5947D949">
            <w:pPr>
              <w:overflowPunct/>
              <w:topLinePunct w:val="0"/>
              <w:bidi w:val="0"/>
              <w:spacing w:line="560" w:lineRule="exact"/>
              <w:jc w:val="left"/>
              <w:textAlignment w:val="auto"/>
              <w:rPr>
                <w:rFonts w:hint="eastAsia" w:ascii="仿宋_GB2312" w:eastAsia="仿宋_GB2312"/>
                <w:color w:val="auto"/>
                <w:szCs w:val="21"/>
                <w:highlight w:val="none"/>
              </w:rPr>
            </w:pPr>
          </w:p>
        </w:tc>
        <w:tc>
          <w:tcPr>
            <w:tcW w:w="3147" w:type="dxa"/>
            <w:noWrap w:val="0"/>
            <w:vAlign w:val="top"/>
          </w:tcPr>
          <w:p w14:paraId="6341A0E6">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 xml:space="preserve">服务团队人员资质是否符合项目要求。 </w:t>
            </w:r>
          </w:p>
        </w:tc>
        <w:tc>
          <w:tcPr>
            <w:tcW w:w="1317" w:type="dxa"/>
            <w:noWrap w:val="0"/>
            <w:vAlign w:val="top"/>
          </w:tcPr>
          <w:p w14:paraId="1C33D934">
            <w:pPr>
              <w:overflowPunct/>
              <w:topLinePunct w:val="0"/>
              <w:bidi w:val="0"/>
              <w:spacing w:line="560" w:lineRule="exact"/>
              <w:jc w:val="left"/>
              <w:textAlignment w:val="auto"/>
              <w:rPr>
                <w:rFonts w:ascii="仿宋_GB2312" w:eastAsia="仿宋_GB2312"/>
                <w:color w:val="auto"/>
                <w:szCs w:val="21"/>
                <w:highlight w:val="none"/>
              </w:rPr>
            </w:pPr>
            <w:r>
              <w:rPr>
                <w:rFonts w:hint="eastAsia" w:ascii="仿宋_GB2312" w:eastAsia="仿宋_GB2312"/>
                <w:color w:val="auto"/>
                <w:szCs w:val="21"/>
                <w:highlight w:val="none"/>
              </w:rPr>
              <w:t>4</w:t>
            </w:r>
          </w:p>
        </w:tc>
        <w:tc>
          <w:tcPr>
            <w:tcW w:w="938" w:type="dxa"/>
            <w:noWrap w:val="0"/>
            <w:vAlign w:val="top"/>
          </w:tcPr>
          <w:p w14:paraId="525C54E2">
            <w:pPr>
              <w:overflowPunct/>
              <w:topLinePunct w:val="0"/>
              <w:bidi w:val="0"/>
              <w:spacing w:line="560" w:lineRule="exact"/>
              <w:jc w:val="left"/>
              <w:textAlignment w:val="auto"/>
              <w:rPr>
                <w:rFonts w:hint="eastAsia" w:ascii="仿宋_GB2312" w:eastAsia="仿宋_GB2312"/>
                <w:color w:val="auto"/>
                <w:szCs w:val="21"/>
                <w:highlight w:val="none"/>
              </w:rPr>
            </w:pPr>
          </w:p>
        </w:tc>
        <w:tc>
          <w:tcPr>
            <w:tcW w:w="1228" w:type="dxa"/>
            <w:noWrap w:val="0"/>
            <w:vAlign w:val="top"/>
          </w:tcPr>
          <w:p w14:paraId="742626A8">
            <w:pPr>
              <w:overflowPunct/>
              <w:topLinePunct w:val="0"/>
              <w:bidi w:val="0"/>
              <w:spacing w:line="560" w:lineRule="exact"/>
              <w:jc w:val="left"/>
              <w:textAlignment w:val="auto"/>
              <w:rPr>
                <w:rFonts w:hint="eastAsia" w:ascii="仿宋_GB2312" w:eastAsia="仿宋_GB2312"/>
                <w:color w:val="auto"/>
                <w:szCs w:val="21"/>
                <w:highlight w:val="none"/>
              </w:rPr>
            </w:pPr>
          </w:p>
        </w:tc>
        <w:tc>
          <w:tcPr>
            <w:tcW w:w="1230" w:type="dxa"/>
            <w:gridSpan w:val="2"/>
            <w:vMerge w:val="continue"/>
            <w:noWrap w:val="0"/>
            <w:vAlign w:val="top"/>
          </w:tcPr>
          <w:p w14:paraId="32FC34A2">
            <w:pPr>
              <w:overflowPunct/>
              <w:topLinePunct w:val="0"/>
              <w:bidi w:val="0"/>
              <w:spacing w:line="560" w:lineRule="exact"/>
              <w:jc w:val="left"/>
              <w:textAlignment w:val="auto"/>
              <w:rPr>
                <w:rFonts w:hint="eastAsia" w:ascii="仿宋_GB2312" w:eastAsia="仿宋_GB2312"/>
                <w:color w:val="auto"/>
                <w:szCs w:val="21"/>
                <w:highlight w:val="none"/>
              </w:rPr>
            </w:pPr>
          </w:p>
        </w:tc>
      </w:tr>
      <w:tr w14:paraId="1AE57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vMerge w:val="continue"/>
            <w:noWrap w:val="0"/>
            <w:vAlign w:val="top"/>
          </w:tcPr>
          <w:p w14:paraId="0802D81C">
            <w:pPr>
              <w:overflowPunct/>
              <w:topLinePunct w:val="0"/>
              <w:bidi w:val="0"/>
              <w:spacing w:line="560" w:lineRule="exact"/>
              <w:jc w:val="left"/>
              <w:textAlignment w:val="auto"/>
              <w:rPr>
                <w:rFonts w:hint="eastAsia" w:ascii="仿宋_GB2312" w:eastAsia="仿宋_GB2312"/>
                <w:color w:val="auto"/>
                <w:szCs w:val="21"/>
                <w:highlight w:val="none"/>
              </w:rPr>
            </w:pPr>
          </w:p>
        </w:tc>
        <w:tc>
          <w:tcPr>
            <w:tcW w:w="3147" w:type="dxa"/>
            <w:noWrap w:val="0"/>
            <w:vAlign w:val="top"/>
          </w:tcPr>
          <w:p w14:paraId="5268EFF4">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服务团队人员不符合项目要求时，是否及时更换符合项目要求的其他人员。</w:t>
            </w:r>
          </w:p>
        </w:tc>
        <w:tc>
          <w:tcPr>
            <w:tcW w:w="1317" w:type="dxa"/>
            <w:noWrap w:val="0"/>
            <w:vAlign w:val="top"/>
          </w:tcPr>
          <w:p w14:paraId="6CABE7F4">
            <w:pPr>
              <w:overflowPunct/>
              <w:topLinePunct w:val="0"/>
              <w:bidi w:val="0"/>
              <w:spacing w:line="560" w:lineRule="exact"/>
              <w:jc w:val="left"/>
              <w:textAlignment w:val="auto"/>
              <w:rPr>
                <w:rFonts w:ascii="仿宋_GB2312" w:eastAsia="仿宋_GB2312"/>
                <w:color w:val="auto"/>
                <w:szCs w:val="21"/>
                <w:highlight w:val="none"/>
              </w:rPr>
            </w:pPr>
            <w:r>
              <w:rPr>
                <w:rFonts w:hint="eastAsia" w:ascii="仿宋_GB2312" w:eastAsia="仿宋_GB2312"/>
                <w:color w:val="auto"/>
                <w:szCs w:val="21"/>
                <w:highlight w:val="none"/>
              </w:rPr>
              <w:t>5</w:t>
            </w:r>
          </w:p>
        </w:tc>
        <w:tc>
          <w:tcPr>
            <w:tcW w:w="938" w:type="dxa"/>
            <w:noWrap w:val="0"/>
            <w:vAlign w:val="top"/>
          </w:tcPr>
          <w:p w14:paraId="1E254D8F">
            <w:pPr>
              <w:overflowPunct/>
              <w:topLinePunct w:val="0"/>
              <w:bidi w:val="0"/>
              <w:spacing w:line="560" w:lineRule="exact"/>
              <w:jc w:val="left"/>
              <w:textAlignment w:val="auto"/>
              <w:rPr>
                <w:rFonts w:hint="eastAsia" w:ascii="仿宋_GB2312" w:eastAsia="仿宋_GB2312"/>
                <w:color w:val="auto"/>
                <w:szCs w:val="21"/>
                <w:highlight w:val="none"/>
              </w:rPr>
            </w:pPr>
          </w:p>
        </w:tc>
        <w:tc>
          <w:tcPr>
            <w:tcW w:w="1228" w:type="dxa"/>
            <w:noWrap w:val="0"/>
            <w:vAlign w:val="top"/>
          </w:tcPr>
          <w:p w14:paraId="0081F36B">
            <w:pPr>
              <w:overflowPunct/>
              <w:topLinePunct w:val="0"/>
              <w:bidi w:val="0"/>
              <w:spacing w:line="560" w:lineRule="exact"/>
              <w:jc w:val="left"/>
              <w:textAlignment w:val="auto"/>
              <w:rPr>
                <w:rFonts w:hint="eastAsia" w:ascii="仿宋_GB2312" w:eastAsia="仿宋_GB2312"/>
                <w:color w:val="auto"/>
                <w:szCs w:val="21"/>
                <w:highlight w:val="none"/>
              </w:rPr>
            </w:pPr>
          </w:p>
        </w:tc>
        <w:tc>
          <w:tcPr>
            <w:tcW w:w="1230" w:type="dxa"/>
            <w:gridSpan w:val="2"/>
            <w:vMerge w:val="continue"/>
            <w:noWrap w:val="0"/>
            <w:vAlign w:val="top"/>
          </w:tcPr>
          <w:p w14:paraId="150D991E">
            <w:pPr>
              <w:overflowPunct/>
              <w:topLinePunct w:val="0"/>
              <w:bidi w:val="0"/>
              <w:spacing w:line="560" w:lineRule="exact"/>
              <w:jc w:val="left"/>
              <w:textAlignment w:val="auto"/>
              <w:rPr>
                <w:rFonts w:hint="eastAsia" w:ascii="仿宋_GB2312" w:eastAsia="仿宋_GB2312"/>
                <w:color w:val="auto"/>
                <w:szCs w:val="21"/>
                <w:highlight w:val="none"/>
              </w:rPr>
            </w:pPr>
          </w:p>
        </w:tc>
      </w:tr>
      <w:tr w14:paraId="6ABA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7" w:type="dxa"/>
            <w:gridSpan w:val="2"/>
            <w:noWrap w:val="0"/>
            <w:vAlign w:val="top"/>
          </w:tcPr>
          <w:p w14:paraId="0557A92F">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合计</w:t>
            </w:r>
          </w:p>
        </w:tc>
        <w:tc>
          <w:tcPr>
            <w:tcW w:w="1317" w:type="dxa"/>
            <w:noWrap w:val="0"/>
            <w:vAlign w:val="top"/>
          </w:tcPr>
          <w:p w14:paraId="46E1FCC3">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100</w:t>
            </w:r>
          </w:p>
        </w:tc>
        <w:tc>
          <w:tcPr>
            <w:tcW w:w="938" w:type="dxa"/>
            <w:noWrap w:val="0"/>
            <w:vAlign w:val="top"/>
          </w:tcPr>
          <w:p w14:paraId="4AE548F4">
            <w:pPr>
              <w:overflowPunct/>
              <w:topLinePunct w:val="0"/>
              <w:bidi w:val="0"/>
              <w:spacing w:line="560" w:lineRule="exact"/>
              <w:jc w:val="left"/>
              <w:textAlignment w:val="auto"/>
              <w:rPr>
                <w:rFonts w:hint="eastAsia" w:ascii="仿宋_GB2312" w:eastAsia="仿宋_GB2312"/>
                <w:color w:val="auto"/>
                <w:szCs w:val="21"/>
                <w:highlight w:val="none"/>
              </w:rPr>
            </w:pPr>
          </w:p>
        </w:tc>
        <w:tc>
          <w:tcPr>
            <w:tcW w:w="1228" w:type="dxa"/>
            <w:noWrap w:val="0"/>
            <w:vAlign w:val="top"/>
          </w:tcPr>
          <w:p w14:paraId="719E3DA8">
            <w:pPr>
              <w:overflowPunct/>
              <w:topLinePunct w:val="0"/>
              <w:bidi w:val="0"/>
              <w:spacing w:line="560" w:lineRule="exact"/>
              <w:jc w:val="left"/>
              <w:textAlignment w:val="auto"/>
              <w:rPr>
                <w:rFonts w:hint="eastAsia" w:ascii="仿宋_GB2312" w:eastAsia="仿宋_GB2312"/>
                <w:color w:val="auto"/>
                <w:szCs w:val="21"/>
                <w:highlight w:val="none"/>
              </w:rPr>
            </w:pPr>
          </w:p>
        </w:tc>
        <w:tc>
          <w:tcPr>
            <w:tcW w:w="1230" w:type="dxa"/>
            <w:gridSpan w:val="2"/>
            <w:noWrap w:val="0"/>
            <w:vAlign w:val="top"/>
          </w:tcPr>
          <w:p w14:paraId="444372BD">
            <w:pPr>
              <w:overflowPunct/>
              <w:topLinePunct w:val="0"/>
              <w:bidi w:val="0"/>
              <w:spacing w:line="560" w:lineRule="exact"/>
              <w:jc w:val="left"/>
              <w:textAlignment w:val="auto"/>
              <w:rPr>
                <w:rFonts w:hint="eastAsia" w:ascii="仿宋_GB2312" w:eastAsia="仿宋_GB2312"/>
                <w:color w:val="auto"/>
                <w:szCs w:val="21"/>
                <w:highlight w:val="none"/>
              </w:rPr>
            </w:pPr>
          </w:p>
        </w:tc>
      </w:tr>
      <w:tr w14:paraId="77966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7" w:type="dxa"/>
            <w:gridSpan w:val="2"/>
            <w:noWrap w:val="0"/>
            <w:vAlign w:val="top"/>
          </w:tcPr>
          <w:p w14:paraId="3AF97FA1">
            <w:pPr>
              <w:overflowPunct/>
              <w:topLinePunct w:val="0"/>
              <w:bidi w:val="0"/>
              <w:spacing w:line="560" w:lineRule="exact"/>
              <w:jc w:val="left"/>
              <w:textAlignment w:val="auto"/>
              <w:rPr>
                <w:rFonts w:ascii="仿宋_GB2312" w:eastAsia="仿宋_GB2312"/>
                <w:color w:val="auto"/>
                <w:szCs w:val="21"/>
                <w:highlight w:val="none"/>
              </w:rPr>
            </w:pPr>
            <w:r>
              <w:rPr>
                <w:rFonts w:hint="eastAsia" w:ascii="仿宋_GB2312" w:eastAsia="仿宋_GB2312"/>
                <w:color w:val="auto"/>
                <w:szCs w:val="21"/>
                <w:highlight w:val="none"/>
              </w:rPr>
              <w:t>不合格情形评价指标</w:t>
            </w:r>
          </w:p>
          <w:p w14:paraId="186E3D53">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（出现以下任一情形应当扣除41分，同时不再对一般情形评价指标进行评价。出现以下两项及以上即扣除100分。）</w:t>
            </w:r>
          </w:p>
        </w:tc>
        <w:tc>
          <w:tcPr>
            <w:tcW w:w="1317" w:type="dxa"/>
            <w:noWrap w:val="0"/>
            <w:vAlign w:val="top"/>
          </w:tcPr>
          <w:p w14:paraId="41F552DB">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扣分</w:t>
            </w:r>
          </w:p>
        </w:tc>
        <w:tc>
          <w:tcPr>
            <w:tcW w:w="938" w:type="dxa"/>
            <w:noWrap w:val="0"/>
            <w:vAlign w:val="top"/>
          </w:tcPr>
          <w:p w14:paraId="702FE50C">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请在需要扣分栏目打</w:t>
            </w:r>
            <w:r>
              <w:rPr>
                <w:rFonts w:ascii="Arial" w:hAnsi="Arial" w:eastAsia="仿宋_GB2312" w:cs="Arial"/>
                <w:color w:val="auto"/>
                <w:szCs w:val="21"/>
                <w:highlight w:val="none"/>
              </w:rPr>
              <w:t>√</w:t>
            </w:r>
          </w:p>
        </w:tc>
        <w:tc>
          <w:tcPr>
            <w:tcW w:w="1228" w:type="dxa"/>
            <w:noWrap w:val="0"/>
            <w:vAlign w:val="top"/>
          </w:tcPr>
          <w:p w14:paraId="2DD63B6E">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得分</w:t>
            </w:r>
          </w:p>
        </w:tc>
        <w:tc>
          <w:tcPr>
            <w:tcW w:w="1230" w:type="dxa"/>
            <w:gridSpan w:val="2"/>
            <w:noWrap w:val="0"/>
            <w:vAlign w:val="top"/>
          </w:tcPr>
          <w:p w14:paraId="47FE1BE2">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 xml:space="preserve">     备注</w:t>
            </w:r>
          </w:p>
        </w:tc>
      </w:tr>
      <w:tr w14:paraId="39B89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7" w:type="dxa"/>
          <w:trHeight w:val="1499" w:hRule="atLeast"/>
        </w:trPr>
        <w:tc>
          <w:tcPr>
            <w:tcW w:w="4347" w:type="dxa"/>
            <w:gridSpan w:val="2"/>
            <w:noWrap w:val="0"/>
            <w:vAlign w:val="top"/>
          </w:tcPr>
          <w:p w14:paraId="47C27C3E">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服务方案依据的法律条文适用错误（本款适用法律、审计、评估、税务等需要引用法律条文的服务方案）</w:t>
            </w:r>
          </w:p>
        </w:tc>
        <w:tc>
          <w:tcPr>
            <w:tcW w:w="1317" w:type="dxa"/>
            <w:vMerge w:val="restart"/>
            <w:noWrap w:val="0"/>
            <w:vAlign w:val="top"/>
          </w:tcPr>
          <w:p w14:paraId="42106BED">
            <w:pPr>
              <w:overflowPunct/>
              <w:topLinePunct w:val="0"/>
              <w:bidi w:val="0"/>
              <w:spacing w:line="560" w:lineRule="exact"/>
              <w:jc w:val="left"/>
              <w:textAlignment w:val="auto"/>
              <w:rPr>
                <w:rFonts w:hint="eastAsia" w:ascii="仿宋_GB2312" w:eastAsia="仿宋_GB2312"/>
                <w:color w:val="auto"/>
                <w:szCs w:val="21"/>
                <w:highlight w:val="none"/>
              </w:rPr>
            </w:pPr>
          </w:p>
        </w:tc>
        <w:tc>
          <w:tcPr>
            <w:tcW w:w="938" w:type="dxa"/>
            <w:noWrap w:val="0"/>
            <w:vAlign w:val="top"/>
          </w:tcPr>
          <w:p w14:paraId="35936C2C">
            <w:pPr>
              <w:overflowPunct/>
              <w:topLinePunct w:val="0"/>
              <w:bidi w:val="0"/>
              <w:spacing w:line="560" w:lineRule="exact"/>
              <w:jc w:val="left"/>
              <w:textAlignment w:val="auto"/>
              <w:rPr>
                <w:rFonts w:hint="eastAsia" w:ascii="仿宋_GB2312" w:eastAsia="仿宋_GB2312"/>
                <w:color w:val="auto"/>
                <w:szCs w:val="21"/>
                <w:highlight w:val="none"/>
              </w:rPr>
            </w:pPr>
          </w:p>
        </w:tc>
        <w:tc>
          <w:tcPr>
            <w:tcW w:w="1228" w:type="dxa"/>
            <w:vMerge w:val="restart"/>
            <w:noWrap w:val="0"/>
            <w:vAlign w:val="top"/>
          </w:tcPr>
          <w:p w14:paraId="5868B5B8">
            <w:pPr>
              <w:overflowPunct/>
              <w:topLinePunct w:val="0"/>
              <w:bidi w:val="0"/>
              <w:spacing w:line="560" w:lineRule="exact"/>
              <w:jc w:val="left"/>
              <w:textAlignment w:val="auto"/>
              <w:rPr>
                <w:rFonts w:hint="eastAsia" w:ascii="仿宋_GB2312" w:eastAsia="仿宋_GB2312"/>
                <w:color w:val="auto"/>
                <w:szCs w:val="21"/>
                <w:highlight w:val="none"/>
              </w:rPr>
            </w:pPr>
          </w:p>
        </w:tc>
        <w:tc>
          <w:tcPr>
            <w:tcW w:w="1223" w:type="dxa"/>
            <w:vMerge w:val="restart"/>
            <w:noWrap w:val="0"/>
            <w:vAlign w:val="top"/>
          </w:tcPr>
          <w:p w14:paraId="76EE03A7">
            <w:pPr>
              <w:overflowPunct/>
              <w:topLinePunct w:val="0"/>
              <w:bidi w:val="0"/>
              <w:spacing w:line="560" w:lineRule="exact"/>
              <w:jc w:val="left"/>
              <w:textAlignment w:val="auto"/>
              <w:rPr>
                <w:rFonts w:hint="eastAsia" w:ascii="仿宋_GB2312" w:eastAsia="仿宋_GB2312"/>
                <w:color w:val="auto"/>
                <w:szCs w:val="21"/>
                <w:highlight w:val="none"/>
              </w:rPr>
            </w:pPr>
          </w:p>
        </w:tc>
      </w:tr>
      <w:tr w14:paraId="5437E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4347" w:type="dxa"/>
            <w:gridSpan w:val="2"/>
            <w:noWrap w:val="0"/>
            <w:vAlign w:val="top"/>
          </w:tcPr>
          <w:p w14:paraId="288C545A">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服务团队人数未达到合同约定人数。</w:t>
            </w:r>
          </w:p>
        </w:tc>
        <w:tc>
          <w:tcPr>
            <w:tcW w:w="1317" w:type="dxa"/>
            <w:vMerge w:val="continue"/>
            <w:noWrap w:val="0"/>
            <w:vAlign w:val="top"/>
          </w:tcPr>
          <w:p w14:paraId="771E993D">
            <w:pPr>
              <w:overflowPunct/>
              <w:topLinePunct w:val="0"/>
              <w:bidi w:val="0"/>
              <w:spacing w:line="560" w:lineRule="exact"/>
              <w:jc w:val="left"/>
              <w:textAlignment w:val="auto"/>
              <w:rPr>
                <w:rFonts w:hint="eastAsia" w:ascii="仿宋_GB2312" w:eastAsia="仿宋_GB2312"/>
                <w:color w:val="auto"/>
                <w:szCs w:val="21"/>
                <w:highlight w:val="none"/>
              </w:rPr>
            </w:pPr>
          </w:p>
        </w:tc>
        <w:tc>
          <w:tcPr>
            <w:tcW w:w="938" w:type="dxa"/>
            <w:noWrap w:val="0"/>
            <w:vAlign w:val="top"/>
          </w:tcPr>
          <w:p w14:paraId="144273C0">
            <w:pPr>
              <w:overflowPunct/>
              <w:topLinePunct w:val="0"/>
              <w:bidi w:val="0"/>
              <w:spacing w:line="560" w:lineRule="exact"/>
              <w:jc w:val="left"/>
              <w:textAlignment w:val="auto"/>
              <w:rPr>
                <w:rFonts w:hint="eastAsia" w:ascii="仿宋_GB2312" w:eastAsia="仿宋_GB2312"/>
                <w:color w:val="auto"/>
                <w:szCs w:val="21"/>
                <w:highlight w:val="none"/>
              </w:rPr>
            </w:pPr>
          </w:p>
        </w:tc>
        <w:tc>
          <w:tcPr>
            <w:tcW w:w="1228" w:type="dxa"/>
            <w:vMerge w:val="continue"/>
            <w:noWrap w:val="0"/>
            <w:vAlign w:val="top"/>
          </w:tcPr>
          <w:p w14:paraId="75229159">
            <w:pPr>
              <w:overflowPunct/>
              <w:topLinePunct w:val="0"/>
              <w:bidi w:val="0"/>
              <w:spacing w:line="560" w:lineRule="exact"/>
              <w:jc w:val="left"/>
              <w:textAlignment w:val="auto"/>
              <w:rPr>
                <w:rFonts w:hint="eastAsia" w:ascii="仿宋_GB2312" w:eastAsia="仿宋_GB2312"/>
                <w:color w:val="auto"/>
                <w:szCs w:val="21"/>
                <w:highlight w:val="none"/>
              </w:rPr>
            </w:pPr>
          </w:p>
        </w:tc>
        <w:tc>
          <w:tcPr>
            <w:tcW w:w="1223" w:type="dxa"/>
            <w:vMerge w:val="continue"/>
            <w:noWrap w:val="0"/>
            <w:vAlign w:val="top"/>
          </w:tcPr>
          <w:p w14:paraId="5B5220D8">
            <w:pPr>
              <w:overflowPunct/>
              <w:topLinePunct w:val="0"/>
              <w:bidi w:val="0"/>
              <w:spacing w:line="560" w:lineRule="exact"/>
              <w:jc w:val="left"/>
              <w:textAlignment w:val="auto"/>
              <w:rPr>
                <w:rFonts w:hint="eastAsia" w:ascii="仿宋_GB2312" w:eastAsia="仿宋_GB2312"/>
                <w:color w:val="auto"/>
                <w:szCs w:val="21"/>
                <w:highlight w:val="none"/>
              </w:rPr>
            </w:pPr>
          </w:p>
        </w:tc>
      </w:tr>
      <w:tr w14:paraId="3CDB7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7" w:type="dxa"/>
        </w:trPr>
        <w:tc>
          <w:tcPr>
            <w:tcW w:w="4347" w:type="dxa"/>
            <w:gridSpan w:val="2"/>
            <w:noWrap w:val="0"/>
            <w:vAlign w:val="top"/>
          </w:tcPr>
          <w:p w14:paraId="3F85A91A">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未按合同约定配合参加工作超过3次。</w:t>
            </w:r>
          </w:p>
        </w:tc>
        <w:tc>
          <w:tcPr>
            <w:tcW w:w="1317" w:type="dxa"/>
            <w:vMerge w:val="continue"/>
            <w:noWrap w:val="0"/>
            <w:vAlign w:val="top"/>
          </w:tcPr>
          <w:p w14:paraId="42C27107">
            <w:pPr>
              <w:overflowPunct/>
              <w:topLinePunct w:val="0"/>
              <w:bidi w:val="0"/>
              <w:spacing w:line="560" w:lineRule="exact"/>
              <w:jc w:val="left"/>
              <w:textAlignment w:val="auto"/>
              <w:rPr>
                <w:rFonts w:hint="eastAsia" w:ascii="仿宋_GB2312" w:eastAsia="仿宋_GB2312"/>
                <w:color w:val="auto"/>
                <w:szCs w:val="21"/>
                <w:highlight w:val="none"/>
              </w:rPr>
            </w:pPr>
          </w:p>
        </w:tc>
        <w:tc>
          <w:tcPr>
            <w:tcW w:w="938" w:type="dxa"/>
            <w:noWrap w:val="0"/>
            <w:vAlign w:val="top"/>
          </w:tcPr>
          <w:p w14:paraId="5FB8FF09">
            <w:pPr>
              <w:overflowPunct/>
              <w:topLinePunct w:val="0"/>
              <w:bidi w:val="0"/>
              <w:spacing w:line="560" w:lineRule="exact"/>
              <w:jc w:val="left"/>
              <w:textAlignment w:val="auto"/>
              <w:rPr>
                <w:rFonts w:hint="eastAsia" w:ascii="仿宋_GB2312" w:eastAsia="仿宋_GB2312"/>
                <w:color w:val="auto"/>
                <w:szCs w:val="21"/>
                <w:highlight w:val="none"/>
              </w:rPr>
            </w:pPr>
          </w:p>
        </w:tc>
        <w:tc>
          <w:tcPr>
            <w:tcW w:w="1228" w:type="dxa"/>
            <w:vMerge w:val="continue"/>
            <w:noWrap w:val="0"/>
            <w:vAlign w:val="top"/>
          </w:tcPr>
          <w:p w14:paraId="34380019">
            <w:pPr>
              <w:overflowPunct/>
              <w:topLinePunct w:val="0"/>
              <w:bidi w:val="0"/>
              <w:spacing w:line="560" w:lineRule="exact"/>
              <w:jc w:val="left"/>
              <w:textAlignment w:val="auto"/>
              <w:rPr>
                <w:rFonts w:hint="eastAsia" w:ascii="仿宋_GB2312" w:eastAsia="仿宋_GB2312"/>
                <w:color w:val="auto"/>
                <w:szCs w:val="21"/>
                <w:highlight w:val="none"/>
              </w:rPr>
            </w:pPr>
          </w:p>
        </w:tc>
        <w:tc>
          <w:tcPr>
            <w:tcW w:w="1223" w:type="dxa"/>
            <w:vMerge w:val="continue"/>
            <w:noWrap w:val="0"/>
            <w:vAlign w:val="top"/>
          </w:tcPr>
          <w:p w14:paraId="4491A24A">
            <w:pPr>
              <w:overflowPunct/>
              <w:topLinePunct w:val="0"/>
              <w:bidi w:val="0"/>
              <w:spacing w:line="560" w:lineRule="exact"/>
              <w:jc w:val="left"/>
              <w:textAlignment w:val="auto"/>
              <w:rPr>
                <w:rFonts w:hint="eastAsia" w:ascii="仿宋_GB2312" w:eastAsia="仿宋_GB2312"/>
                <w:color w:val="auto"/>
                <w:szCs w:val="21"/>
                <w:highlight w:val="none"/>
              </w:rPr>
            </w:pPr>
          </w:p>
        </w:tc>
      </w:tr>
      <w:tr w14:paraId="43C53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4347" w:type="dxa"/>
            <w:gridSpan w:val="2"/>
            <w:noWrap w:val="0"/>
            <w:vAlign w:val="top"/>
          </w:tcPr>
          <w:p w14:paraId="68E9B072">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服务方案反复修改6次或以上仍出现错漏。</w:t>
            </w:r>
          </w:p>
        </w:tc>
        <w:tc>
          <w:tcPr>
            <w:tcW w:w="1317" w:type="dxa"/>
            <w:vMerge w:val="continue"/>
            <w:noWrap w:val="0"/>
            <w:vAlign w:val="top"/>
          </w:tcPr>
          <w:p w14:paraId="5AB9D806">
            <w:pPr>
              <w:overflowPunct/>
              <w:topLinePunct w:val="0"/>
              <w:bidi w:val="0"/>
              <w:spacing w:line="560" w:lineRule="exact"/>
              <w:jc w:val="left"/>
              <w:textAlignment w:val="auto"/>
              <w:rPr>
                <w:rFonts w:hint="eastAsia" w:ascii="仿宋_GB2312" w:eastAsia="仿宋_GB2312"/>
                <w:color w:val="auto"/>
                <w:szCs w:val="21"/>
                <w:highlight w:val="none"/>
              </w:rPr>
            </w:pPr>
          </w:p>
        </w:tc>
        <w:tc>
          <w:tcPr>
            <w:tcW w:w="938" w:type="dxa"/>
            <w:noWrap w:val="0"/>
            <w:vAlign w:val="top"/>
          </w:tcPr>
          <w:p w14:paraId="23955404">
            <w:pPr>
              <w:overflowPunct/>
              <w:topLinePunct w:val="0"/>
              <w:bidi w:val="0"/>
              <w:spacing w:line="560" w:lineRule="exact"/>
              <w:jc w:val="left"/>
              <w:textAlignment w:val="auto"/>
              <w:rPr>
                <w:rFonts w:hint="eastAsia" w:ascii="仿宋_GB2312" w:eastAsia="仿宋_GB2312"/>
                <w:color w:val="auto"/>
                <w:szCs w:val="21"/>
                <w:highlight w:val="none"/>
              </w:rPr>
            </w:pPr>
          </w:p>
        </w:tc>
        <w:tc>
          <w:tcPr>
            <w:tcW w:w="1228" w:type="dxa"/>
            <w:vMerge w:val="continue"/>
            <w:noWrap w:val="0"/>
            <w:vAlign w:val="top"/>
          </w:tcPr>
          <w:p w14:paraId="4B9B8C2E">
            <w:pPr>
              <w:overflowPunct/>
              <w:topLinePunct w:val="0"/>
              <w:bidi w:val="0"/>
              <w:spacing w:line="560" w:lineRule="exact"/>
              <w:jc w:val="left"/>
              <w:textAlignment w:val="auto"/>
              <w:rPr>
                <w:rFonts w:hint="eastAsia" w:ascii="仿宋_GB2312" w:eastAsia="仿宋_GB2312"/>
                <w:color w:val="auto"/>
                <w:szCs w:val="21"/>
                <w:highlight w:val="none"/>
              </w:rPr>
            </w:pPr>
          </w:p>
        </w:tc>
        <w:tc>
          <w:tcPr>
            <w:tcW w:w="1223" w:type="dxa"/>
            <w:vMerge w:val="continue"/>
            <w:noWrap w:val="0"/>
            <w:vAlign w:val="top"/>
          </w:tcPr>
          <w:p w14:paraId="5A0C64EF">
            <w:pPr>
              <w:overflowPunct/>
              <w:topLinePunct w:val="0"/>
              <w:bidi w:val="0"/>
              <w:spacing w:line="560" w:lineRule="exact"/>
              <w:jc w:val="left"/>
              <w:textAlignment w:val="auto"/>
              <w:rPr>
                <w:rFonts w:hint="eastAsia" w:ascii="仿宋_GB2312" w:eastAsia="仿宋_GB2312"/>
                <w:color w:val="auto"/>
                <w:szCs w:val="21"/>
                <w:highlight w:val="none"/>
              </w:rPr>
            </w:pPr>
          </w:p>
        </w:tc>
      </w:tr>
      <w:tr w14:paraId="7CA5F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7" w:type="dxa"/>
        </w:trPr>
        <w:tc>
          <w:tcPr>
            <w:tcW w:w="4347" w:type="dxa"/>
            <w:gridSpan w:val="2"/>
            <w:noWrap w:val="0"/>
            <w:vAlign w:val="top"/>
          </w:tcPr>
          <w:p w14:paraId="1E02976C">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未能按照约定期限出具服务方案。</w:t>
            </w:r>
          </w:p>
        </w:tc>
        <w:tc>
          <w:tcPr>
            <w:tcW w:w="1317" w:type="dxa"/>
            <w:vMerge w:val="continue"/>
            <w:noWrap w:val="0"/>
            <w:vAlign w:val="top"/>
          </w:tcPr>
          <w:p w14:paraId="33286EE0">
            <w:pPr>
              <w:overflowPunct/>
              <w:topLinePunct w:val="0"/>
              <w:bidi w:val="0"/>
              <w:spacing w:line="560" w:lineRule="exact"/>
              <w:jc w:val="left"/>
              <w:textAlignment w:val="auto"/>
              <w:rPr>
                <w:rFonts w:hint="eastAsia" w:ascii="仿宋_GB2312" w:eastAsia="仿宋_GB2312"/>
                <w:color w:val="auto"/>
                <w:szCs w:val="21"/>
                <w:highlight w:val="none"/>
              </w:rPr>
            </w:pPr>
          </w:p>
        </w:tc>
        <w:tc>
          <w:tcPr>
            <w:tcW w:w="938" w:type="dxa"/>
            <w:noWrap w:val="0"/>
            <w:vAlign w:val="top"/>
          </w:tcPr>
          <w:p w14:paraId="1E21F6A7">
            <w:pPr>
              <w:overflowPunct/>
              <w:topLinePunct w:val="0"/>
              <w:bidi w:val="0"/>
              <w:spacing w:line="560" w:lineRule="exact"/>
              <w:jc w:val="left"/>
              <w:textAlignment w:val="auto"/>
              <w:rPr>
                <w:rFonts w:hint="eastAsia" w:ascii="仿宋_GB2312" w:eastAsia="仿宋_GB2312"/>
                <w:color w:val="auto"/>
                <w:szCs w:val="21"/>
                <w:highlight w:val="none"/>
              </w:rPr>
            </w:pPr>
          </w:p>
        </w:tc>
        <w:tc>
          <w:tcPr>
            <w:tcW w:w="1228" w:type="dxa"/>
            <w:vMerge w:val="continue"/>
            <w:noWrap w:val="0"/>
            <w:vAlign w:val="top"/>
          </w:tcPr>
          <w:p w14:paraId="006EF064">
            <w:pPr>
              <w:overflowPunct/>
              <w:topLinePunct w:val="0"/>
              <w:bidi w:val="0"/>
              <w:spacing w:line="560" w:lineRule="exact"/>
              <w:jc w:val="left"/>
              <w:textAlignment w:val="auto"/>
              <w:rPr>
                <w:rFonts w:hint="eastAsia" w:ascii="仿宋_GB2312" w:eastAsia="仿宋_GB2312"/>
                <w:color w:val="auto"/>
                <w:szCs w:val="21"/>
                <w:highlight w:val="none"/>
              </w:rPr>
            </w:pPr>
          </w:p>
        </w:tc>
        <w:tc>
          <w:tcPr>
            <w:tcW w:w="1223" w:type="dxa"/>
            <w:vMerge w:val="continue"/>
            <w:noWrap w:val="0"/>
            <w:vAlign w:val="top"/>
          </w:tcPr>
          <w:p w14:paraId="651DEEEF">
            <w:pPr>
              <w:overflowPunct/>
              <w:topLinePunct w:val="0"/>
              <w:bidi w:val="0"/>
              <w:spacing w:line="560" w:lineRule="exact"/>
              <w:jc w:val="left"/>
              <w:textAlignment w:val="auto"/>
              <w:rPr>
                <w:rFonts w:hint="eastAsia" w:ascii="仿宋_GB2312" w:eastAsia="仿宋_GB2312"/>
                <w:color w:val="auto"/>
                <w:szCs w:val="21"/>
                <w:highlight w:val="none"/>
              </w:rPr>
            </w:pPr>
          </w:p>
        </w:tc>
      </w:tr>
      <w:tr w14:paraId="703AD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37" w:hRule="atLeast"/>
        </w:trPr>
        <w:tc>
          <w:tcPr>
            <w:tcW w:w="4347" w:type="dxa"/>
            <w:gridSpan w:val="2"/>
            <w:noWrap w:val="0"/>
            <w:vAlign w:val="top"/>
          </w:tcPr>
          <w:p w14:paraId="455B8DE6">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未经公司同意，泄露服务过程中获得公司信息、资料。</w:t>
            </w:r>
          </w:p>
        </w:tc>
        <w:tc>
          <w:tcPr>
            <w:tcW w:w="1317" w:type="dxa"/>
            <w:vMerge w:val="continue"/>
            <w:noWrap w:val="0"/>
            <w:vAlign w:val="top"/>
          </w:tcPr>
          <w:p w14:paraId="7970D87C">
            <w:pPr>
              <w:overflowPunct/>
              <w:topLinePunct w:val="0"/>
              <w:bidi w:val="0"/>
              <w:spacing w:line="560" w:lineRule="exact"/>
              <w:jc w:val="left"/>
              <w:textAlignment w:val="auto"/>
              <w:rPr>
                <w:rFonts w:hint="eastAsia" w:ascii="仿宋_GB2312" w:eastAsia="仿宋_GB2312"/>
                <w:color w:val="auto"/>
                <w:szCs w:val="21"/>
                <w:highlight w:val="none"/>
              </w:rPr>
            </w:pPr>
          </w:p>
        </w:tc>
        <w:tc>
          <w:tcPr>
            <w:tcW w:w="938" w:type="dxa"/>
            <w:noWrap w:val="0"/>
            <w:vAlign w:val="top"/>
          </w:tcPr>
          <w:p w14:paraId="34601AE1">
            <w:pPr>
              <w:overflowPunct/>
              <w:topLinePunct w:val="0"/>
              <w:bidi w:val="0"/>
              <w:spacing w:line="560" w:lineRule="exact"/>
              <w:jc w:val="left"/>
              <w:textAlignment w:val="auto"/>
              <w:rPr>
                <w:rFonts w:hint="eastAsia" w:ascii="仿宋_GB2312" w:eastAsia="仿宋_GB2312"/>
                <w:color w:val="auto"/>
                <w:szCs w:val="21"/>
                <w:highlight w:val="none"/>
              </w:rPr>
            </w:pPr>
          </w:p>
        </w:tc>
        <w:tc>
          <w:tcPr>
            <w:tcW w:w="1228" w:type="dxa"/>
            <w:vMerge w:val="continue"/>
            <w:noWrap w:val="0"/>
            <w:vAlign w:val="top"/>
          </w:tcPr>
          <w:p w14:paraId="2345D204">
            <w:pPr>
              <w:overflowPunct/>
              <w:topLinePunct w:val="0"/>
              <w:bidi w:val="0"/>
              <w:spacing w:line="560" w:lineRule="exact"/>
              <w:jc w:val="left"/>
              <w:textAlignment w:val="auto"/>
              <w:rPr>
                <w:rFonts w:hint="eastAsia" w:ascii="仿宋_GB2312" w:eastAsia="仿宋_GB2312"/>
                <w:color w:val="auto"/>
                <w:szCs w:val="21"/>
                <w:highlight w:val="none"/>
              </w:rPr>
            </w:pPr>
          </w:p>
        </w:tc>
        <w:tc>
          <w:tcPr>
            <w:tcW w:w="1223" w:type="dxa"/>
            <w:vMerge w:val="continue"/>
            <w:noWrap w:val="0"/>
            <w:vAlign w:val="top"/>
          </w:tcPr>
          <w:p w14:paraId="229FED04">
            <w:pPr>
              <w:overflowPunct/>
              <w:topLinePunct w:val="0"/>
              <w:bidi w:val="0"/>
              <w:spacing w:line="560" w:lineRule="exact"/>
              <w:jc w:val="left"/>
              <w:textAlignment w:val="auto"/>
              <w:rPr>
                <w:rFonts w:hint="eastAsia" w:ascii="仿宋_GB2312" w:eastAsia="仿宋_GB2312"/>
                <w:color w:val="auto"/>
                <w:szCs w:val="21"/>
                <w:highlight w:val="none"/>
              </w:rPr>
            </w:pPr>
          </w:p>
        </w:tc>
      </w:tr>
      <w:tr w14:paraId="1DD01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1100" w:hRule="atLeast"/>
        </w:trPr>
        <w:tc>
          <w:tcPr>
            <w:tcW w:w="4347" w:type="dxa"/>
            <w:gridSpan w:val="2"/>
            <w:noWrap w:val="0"/>
            <w:vAlign w:val="top"/>
          </w:tcPr>
          <w:p w14:paraId="17825DD3">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弄虚作假，串通损害公司利益或存在欺骗等不诚信行为；</w:t>
            </w:r>
          </w:p>
        </w:tc>
        <w:tc>
          <w:tcPr>
            <w:tcW w:w="1317" w:type="dxa"/>
            <w:vMerge w:val="continue"/>
            <w:noWrap w:val="0"/>
            <w:vAlign w:val="top"/>
          </w:tcPr>
          <w:p w14:paraId="7746CA9A">
            <w:pPr>
              <w:overflowPunct/>
              <w:topLinePunct w:val="0"/>
              <w:bidi w:val="0"/>
              <w:spacing w:line="560" w:lineRule="exact"/>
              <w:jc w:val="left"/>
              <w:textAlignment w:val="auto"/>
              <w:rPr>
                <w:rFonts w:hint="eastAsia" w:ascii="仿宋_GB2312" w:eastAsia="仿宋_GB2312"/>
                <w:color w:val="auto"/>
                <w:szCs w:val="21"/>
                <w:highlight w:val="none"/>
              </w:rPr>
            </w:pPr>
          </w:p>
        </w:tc>
        <w:tc>
          <w:tcPr>
            <w:tcW w:w="938" w:type="dxa"/>
            <w:noWrap w:val="0"/>
            <w:vAlign w:val="top"/>
          </w:tcPr>
          <w:p w14:paraId="7544D145">
            <w:pPr>
              <w:overflowPunct/>
              <w:topLinePunct w:val="0"/>
              <w:bidi w:val="0"/>
              <w:spacing w:line="560" w:lineRule="exact"/>
              <w:jc w:val="left"/>
              <w:textAlignment w:val="auto"/>
              <w:rPr>
                <w:rFonts w:hint="eastAsia" w:ascii="仿宋_GB2312" w:eastAsia="仿宋_GB2312"/>
                <w:color w:val="auto"/>
                <w:szCs w:val="21"/>
                <w:highlight w:val="none"/>
              </w:rPr>
            </w:pPr>
          </w:p>
        </w:tc>
        <w:tc>
          <w:tcPr>
            <w:tcW w:w="1228" w:type="dxa"/>
            <w:vMerge w:val="restart"/>
            <w:noWrap w:val="0"/>
            <w:vAlign w:val="top"/>
          </w:tcPr>
          <w:p w14:paraId="53FFE9EF">
            <w:pPr>
              <w:overflowPunct/>
              <w:topLinePunct w:val="0"/>
              <w:bidi w:val="0"/>
              <w:spacing w:line="560" w:lineRule="exact"/>
              <w:jc w:val="left"/>
              <w:textAlignment w:val="auto"/>
              <w:rPr>
                <w:rFonts w:hint="eastAsia" w:ascii="仿宋_GB2312" w:eastAsia="仿宋_GB2312"/>
                <w:color w:val="auto"/>
                <w:szCs w:val="21"/>
                <w:highlight w:val="none"/>
              </w:rPr>
            </w:pPr>
          </w:p>
        </w:tc>
        <w:tc>
          <w:tcPr>
            <w:tcW w:w="1223" w:type="dxa"/>
            <w:vMerge w:val="continue"/>
            <w:noWrap w:val="0"/>
            <w:vAlign w:val="top"/>
          </w:tcPr>
          <w:p w14:paraId="28B62109">
            <w:pPr>
              <w:overflowPunct/>
              <w:topLinePunct w:val="0"/>
              <w:bidi w:val="0"/>
              <w:spacing w:line="560" w:lineRule="exact"/>
              <w:jc w:val="left"/>
              <w:textAlignment w:val="auto"/>
              <w:rPr>
                <w:rFonts w:hint="eastAsia" w:ascii="仿宋_GB2312" w:eastAsia="仿宋_GB2312"/>
                <w:color w:val="auto"/>
                <w:szCs w:val="21"/>
                <w:highlight w:val="none"/>
              </w:rPr>
            </w:pPr>
          </w:p>
        </w:tc>
      </w:tr>
      <w:tr w14:paraId="22BCA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7" w:type="dxa"/>
          <w:trHeight w:val="537" w:hRule="atLeast"/>
        </w:trPr>
        <w:tc>
          <w:tcPr>
            <w:tcW w:w="4347" w:type="dxa"/>
            <w:gridSpan w:val="2"/>
            <w:noWrap w:val="0"/>
            <w:vAlign w:val="top"/>
          </w:tcPr>
          <w:p w14:paraId="0719B80C">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在合同履行中受到政府有关部门严重行政处罚的；</w:t>
            </w:r>
          </w:p>
        </w:tc>
        <w:tc>
          <w:tcPr>
            <w:tcW w:w="1317" w:type="dxa"/>
            <w:vMerge w:val="continue"/>
            <w:noWrap w:val="0"/>
            <w:vAlign w:val="top"/>
          </w:tcPr>
          <w:p w14:paraId="08F20321">
            <w:pPr>
              <w:overflowPunct/>
              <w:topLinePunct w:val="0"/>
              <w:bidi w:val="0"/>
              <w:spacing w:line="560" w:lineRule="exact"/>
              <w:jc w:val="left"/>
              <w:textAlignment w:val="auto"/>
              <w:rPr>
                <w:rFonts w:hint="eastAsia" w:ascii="仿宋_GB2312" w:eastAsia="仿宋_GB2312"/>
                <w:color w:val="auto"/>
                <w:szCs w:val="21"/>
                <w:highlight w:val="none"/>
              </w:rPr>
            </w:pPr>
          </w:p>
        </w:tc>
        <w:tc>
          <w:tcPr>
            <w:tcW w:w="938" w:type="dxa"/>
            <w:noWrap w:val="0"/>
            <w:vAlign w:val="top"/>
          </w:tcPr>
          <w:p w14:paraId="0F42C519">
            <w:pPr>
              <w:overflowPunct/>
              <w:topLinePunct w:val="0"/>
              <w:bidi w:val="0"/>
              <w:spacing w:line="560" w:lineRule="exact"/>
              <w:jc w:val="left"/>
              <w:textAlignment w:val="auto"/>
              <w:rPr>
                <w:rFonts w:hint="eastAsia" w:ascii="仿宋_GB2312" w:eastAsia="仿宋_GB2312"/>
                <w:color w:val="auto"/>
                <w:szCs w:val="21"/>
                <w:highlight w:val="none"/>
              </w:rPr>
            </w:pPr>
          </w:p>
        </w:tc>
        <w:tc>
          <w:tcPr>
            <w:tcW w:w="1228" w:type="dxa"/>
            <w:vMerge w:val="continue"/>
            <w:noWrap w:val="0"/>
            <w:vAlign w:val="top"/>
          </w:tcPr>
          <w:p w14:paraId="2547DCD0">
            <w:pPr>
              <w:overflowPunct/>
              <w:topLinePunct w:val="0"/>
              <w:bidi w:val="0"/>
              <w:spacing w:line="560" w:lineRule="exact"/>
              <w:jc w:val="left"/>
              <w:textAlignment w:val="auto"/>
              <w:rPr>
                <w:rFonts w:hint="eastAsia" w:ascii="仿宋_GB2312" w:eastAsia="仿宋_GB2312"/>
                <w:color w:val="auto"/>
                <w:szCs w:val="21"/>
                <w:highlight w:val="none"/>
              </w:rPr>
            </w:pPr>
          </w:p>
        </w:tc>
        <w:tc>
          <w:tcPr>
            <w:tcW w:w="1223" w:type="dxa"/>
            <w:vMerge w:val="continue"/>
            <w:noWrap w:val="0"/>
            <w:vAlign w:val="top"/>
          </w:tcPr>
          <w:p w14:paraId="4C320BEC">
            <w:pPr>
              <w:overflowPunct/>
              <w:topLinePunct w:val="0"/>
              <w:bidi w:val="0"/>
              <w:spacing w:line="560" w:lineRule="exact"/>
              <w:jc w:val="left"/>
              <w:textAlignment w:val="auto"/>
              <w:rPr>
                <w:rFonts w:hint="eastAsia" w:ascii="仿宋_GB2312" w:eastAsia="仿宋_GB2312"/>
                <w:color w:val="auto"/>
                <w:szCs w:val="21"/>
                <w:highlight w:val="none"/>
              </w:rPr>
            </w:pPr>
          </w:p>
        </w:tc>
      </w:tr>
      <w:tr w14:paraId="43968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7" w:type="dxa"/>
          <w:trHeight w:val="619" w:hRule="atLeast"/>
        </w:trPr>
        <w:tc>
          <w:tcPr>
            <w:tcW w:w="4347" w:type="dxa"/>
            <w:gridSpan w:val="2"/>
            <w:noWrap w:val="0"/>
            <w:vAlign w:val="top"/>
          </w:tcPr>
          <w:p w14:paraId="22110D4A">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其它违反合同约定或违反法律法规、职业道德行为。</w:t>
            </w:r>
          </w:p>
        </w:tc>
        <w:tc>
          <w:tcPr>
            <w:tcW w:w="1317" w:type="dxa"/>
            <w:vMerge w:val="continue"/>
            <w:noWrap w:val="0"/>
            <w:vAlign w:val="top"/>
          </w:tcPr>
          <w:p w14:paraId="2955E678">
            <w:pPr>
              <w:overflowPunct/>
              <w:topLinePunct w:val="0"/>
              <w:bidi w:val="0"/>
              <w:spacing w:line="560" w:lineRule="exact"/>
              <w:jc w:val="left"/>
              <w:textAlignment w:val="auto"/>
              <w:rPr>
                <w:rFonts w:hint="eastAsia" w:ascii="仿宋_GB2312" w:eastAsia="仿宋_GB2312"/>
                <w:color w:val="auto"/>
                <w:szCs w:val="21"/>
                <w:highlight w:val="none"/>
              </w:rPr>
            </w:pPr>
          </w:p>
        </w:tc>
        <w:tc>
          <w:tcPr>
            <w:tcW w:w="938" w:type="dxa"/>
            <w:noWrap w:val="0"/>
            <w:vAlign w:val="top"/>
          </w:tcPr>
          <w:p w14:paraId="40B871A5">
            <w:pPr>
              <w:overflowPunct/>
              <w:topLinePunct w:val="0"/>
              <w:bidi w:val="0"/>
              <w:spacing w:line="560" w:lineRule="exact"/>
              <w:jc w:val="left"/>
              <w:textAlignment w:val="auto"/>
              <w:rPr>
                <w:rFonts w:hint="eastAsia" w:ascii="仿宋_GB2312" w:eastAsia="仿宋_GB2312"/>
                <w:color w:val="auto"/>
                <w:szCs w:val="21"/>
                <w:highlight w:val="none"/>
              </w:rPr>
            </w:pPr>
          </w:p>
        </w:tc>
        <w:tc>
          <w:tcPr>
            <w:tcW w:w="1228" w:type="dxa"/>
            <w:vMerge w:val="continue"/>
            <w:noWrap w:val="0"/>
            <w:vAlign w:val="top"/>
          </w:tcPr>
          <w:p w14:paraId="5E594F18">
            <w:pPr>
              <w:overflowPunct/>
              <w:topLinePunct w:val="0"/>
              <w:bidi w:val="0"/>
              <w:spacing w:line="560" w:lineRule="exact"/>
              <w:jc w:val="left"/>
              <w:textAlignment w:val="auto"/>
              <w:rPr>
                <w:rFonts w:hint="eastAsia" w:ascii="仿宋_GB2312" w:eastAsia="仿宋_GB2312"/>
                <w:color w:val="auto"/>
                <w:szCs w:val="21"/>
                <w:highlight w:val="none"/>
              </w:rPr>
            </w:pPr>
          </w:p>
        </w:tc>
        <w:tc>
          <w:tcPr>
            <w:tcW w:w="1223" w:type="dxa"/>
            <w:vMerge w:val="continue"/>
            <w:noWrap w:val="0"/>
            <w:vAlign w:val="top"/>
          </w:tcPr>
          <w:p w14:paraId="4B9879A2">
            <w:pPr>
              <w:overflowPunct/>
              <w:topLinePunct w:val="0"/>
              <w:bidi w:val="0"/>
              <w:spacing w:line="560" w:lineRule="exact"/>
              <w:jc w:val="left"/>
              <w:textAlignment w:val="auto"/>
              <w:rPr>
                <w:rFonts w:hint="eastAsia" w:ascii="仿宋_GB2312" w:eastAsia="仿宋_GB2312"/>
                <w:color w:val="auto"/>
                <w:szCs w:val="21"/>
                <w:highlight w:val="none"/>
              </w:rPr>
            </w:pPr>
          </w:p>
        </w:tc>
      </w:tr>
      <w:tr w14:paraId="5FF7B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7" w:type="dxa"/>
            <w:gridSpan w:val="2"/>
            <w:noWrap w:val="0"/>
            <w:vAlign w:val="top"/>
          </w:tcPr>
          <w:p w14:paraId="676C39C2">
            <w:pPr>
              <w:overflowPunct/>
              <w:topLinePunct w:val="0"/>
              <w:bidi w:val="0"/>
              <w:spacing w:line="560" w:lineRule="exact"/>
              <w:jc w:val="left"/>
              <w:textAlignment w:val="auto"/>
              <w:rPr>
                <w:rFonts w:hint="eastAsia" w:ascii="仿宋_GB2312" w:eastAsia="仿宋_GB2312"/>
                <w:color w:val="auto"/>
                <w:szCs w:val="21"/>
                <w:highlight w:val="none"/>
              </w:rPr>
            </w:pPr>
            <w:r>
              <w:rPr>
                <w:rFonts w:hint="eastAsia" w:ascii="仿宋_GB2312" w:eastAsia="仿宋_GB2312"/>
                <w:color w:val="auto"/>
                <w:szCs w:val="21"/>
                <w:highlight w:val="none"/>
              </w:rPr>
              <w:t>总分100分</w:t>
            </w:r>
          </w:p>
        </w:tc>
        <w:tc>
          <w:tcPr>
            <w:tcW w:w="1317" w:type="dxa"/>
            <w:noWrap w:val="0"/>
            <w:vAlign w:val="top"/>
          </w:tcPr>
          <w:p w14:paraId="5791B6F9">
            <w:pPr>
              <w:overflowPunct/>
              <w:topLinePunct w:val="0"/>
              <w:bidi w:val="0"/>
              <w:spacing w:line="560" w:lineRule="exact"/>
              <w:jc w:val="left"/>
              <w:textAlignment w:val="auto"/>
              <w:rPr>
                <w:rFonts w:hint="eastAsia" w:ascii="仿宋_GB2312" w:eastAsia="仿宋_GB2312"/>
                <w:color w:val="auto"/>
                <w:szCs w:val="21"/>
                <w:highlight w:val="none"/>
              </w:rPr>
            </w:pPr>
          </w:p>
        </w:tc>
        <w:tc>
          <w:tcPr>
            <w:tcW w:w="938" w:type="dxa"/>
            <w:noWrap w:val="0"/>
            <w:vAlign w:val="top"/>
          </w:tcPr>
          <w:p w14:paraId="7B89264E">
            <w:pPr>
              <w:overflowPunct/>
              <w:topLinePunct w:val="0"/>
              <w:bidi w:val="0"/>
              <w:spacing w:line="560" w:lineRule="exact"/>
              <w:jc w:val="left"/>
              <w:textAlignment w:val="auto"/>
              <w:rPr>
                <w:rFonts w:hint="eastAsia" w:ascii="仿宋_GB2312" w:eastAsia="仿宋_GB2312"/>
                <w:color w:val="auto"/>
                <w:szCs w:val="21"/>
                <w:highlight w:val="none"/>
              </w:rPr>
            </w:pPr>
          </w:p>
        </w:tc>
        <w:tc>
          <w:tcPr>
            <w:tcW w:w="2458" w:type="dxa"/>
            <w:gridSpan w:val="3"/>
            <w:noWrap w:val="0"/>
            <w:vAlign w:val="top"/>
          </w:tcPr>
          <w:p w14:paraId="2AFBB923">
            <w:pPr>
              <w:overflowPunct/>
              <w:topLinePunct w:val="0"/>
              <w:bidi w:val="0"/>
              <w:spacing w:line="560" w:lineRule="exact"/>
              <w:jc w:val="left"/>
              <w:textAlignment w:val="auto"/>
              <w:rPr>
                <w:rFonts w:hint="eastAsia" w:ascii="仿宋_GB2312" w:eastAsia="仿宋_GB2312"/>
                <w:color w:val="auto"/>
                <w:szCs w:val="21"/>
                <w:highlight w:val="none"/>
              </w:rPr>
            </w:pPr>
          </w:p>
        </w:tc>
      </w:tr>
    </w:tbl>
    <w:p w14:paraId="19552736">
      <w:pPr>
        <w:overflowPunct/>
        <w:topLinePunct w:val="0"/>
        <w:bidi w:val="0"/>
        <w:textAlignment w:val="auto"/>
        <w:rPr>
          <w:rFonts w:hint="eastAsia" w:ascii="宋体" w:hAnsi="宋体" w:eastAsia="宋体" w:cs="宋体"/>
          <w:color w:val="auto"/>
          <w:sz w:val="24"/>
          <w:szCs w:val="24"/>
          <w:highlight w:val="none"/>
        </w:rPr>
      </w:pPr>
    </w:p>
    <w:p w14:paraId="14DE14E7">
      <w:pPr>
        <w:pStyle w:val="11"/>
        <w:overflowPunct/>
        <w:topLinePunct w:val="0"/>
        <w:bidi w:val="0"/>
        <w:textAlignment w:val="auto"/>
        <w:rPr>
          <w:color w:val="auto"/>
        </w:rPr>
      </w:pPr>
    </w:p>
    <w:p w14:paraId="3B88C491">
      <w:pPr>
        <w:overflowPunct/>
        <w:topLinePunct w:val="0"/>
        <w:bidi w:val="0"/>
        <w:textAlignment w:val="auto"/>
        <w:rPr>
          <w:rFonts w:hint="eastAsia" w:ascii="宋体" w:hAnsi="宋体" w:cs="宋体"/>
          <w:b/>
          <w:bCs/>
          <w:kern w:val="44"/>
          <w:sz w:val="24"/>
          <w:szCs w:val="24"/>
        </w:rPr>
      </w:pPr>
      <w:r>
        <w:rPr>
          <w:rFonts w:hint="eastAsia" w:asciiTheme="minorEastAsia" w:hAnsiTheme="minorEastAsia" w:eastAsiaTheme="minorEastAsia"/>
          <w:color w:val="auto"/>
          <w:sz w:val="26"/>
          <w:szCs w:val="26"/>
        </w:rPr>
        <w:br w:type="page"/>
      </w:r>
    </w:p>
    <w:p w14:paraId="436A910F">
      <w:pPr>
        <w:pageBreakBefore/>
        <w:overflowPunct/>
        <w:topLinePunct w:val="0"/>
        <w:bidi w:val="0"/>
        <w:jc w:val="both"/>
        <w:textAlignment w:val="auto"/>
        <w:rPr>
          <w:rFonts w:hint="eastAsia" w:ascii="宋体" w:hAnsi="宋体" w:cs="宋体"/>
          <w:b/>
          <w:bCs/>
          <w:kern w:val="44"/>
          <w:sz w:val="24"/>
          <w:szCs w:val="24"/>
        </w:rPr>
      </w:pPr>
      <w:r>
        <w:rPr>
          <w:rFonts w:hint="eastAsia" w:ascii="宋体" w:hAnsi="宋体" w:cs="宋体"/>
          <w:b/>
          <w:bCs/>
          <w:kern w:val="44"/>
          <w:sz w:val="24"/>
          <w:szCs w:val="24"/>
        </w:rPr>
        <w:t>附件2：</w:t>
      </w:r>
    </w:p>
    <w:p w14:paraId="5D4AA21A">
      <w:pPr>
        <w:pStyle w:val="3"/>
        <w:overflowPunct/>
        <w:topLinePunct w:val="0"/>
        <w:bidi w:val="0"/>
        <w:spacing w:before="0" w:after="0" w:line="360" w:lineRule="auto"/>
        <w:ind w:firstLine="2249" w:firstLineChars="700"/>
        <w:jc w:val="both"/>
        <w:textAlignment w:val="auto"/>
        <w:rPr>
          <w:rStyle w:val="31"/>
          <w:rFonts w:hint="eastAsia" w:ascii="宋体" w:hAnsi="宋体" w:eastAsia="宋体" w:cs="宋体"/>
          <w:color w:val="auto"/>
          <w:kern w:val="0"/>
          <w:sz w:val="32"/>
          <w:szCs w:val="32"/>
        </w:rPr>
      </w:pPr>
      <w:r>
        <w:rPr>
          <w:rStyle w:val="31"/>
          <w:rFonts w:hint="eastAsia" w:ascii="宋体" w:hAnsi="宋体" w:eastAsia="宋体" w:cs="宋体"/>
          <w:color w:val="auto"/>
          <w:kern w:val="0"/>
          <w:sz w:val="32"/>
          <w:szCs w:val="32"/>
        </w:rPr>
        <w:t>项目服务团队成员名单</w:t>
      </w:r>
    </w:p>
    <w:tbl>
      <w:tblPr>
        <w:tblStyle w:val="20"/>
        <w:tblW w:w="8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205"/>
        <w:gridCol w:w="1892"/>
        <w:gridCol w:w="1515"/>
        <w:gridCol w:w="2715"/>
      </w:tblGrid>
      <w:tr w14:paraId="1F226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714" w:type="dxa"/>
            <w:tcBorders>
              <w:top w:val="single" w:color="auto" w:sz="4" w:space="0"/>
              <w:left w:val="single" w:color="auto" w:sz="4" w:space="0"/>
              <w:bottom w:val="single" w:color="auto" w:sz="4" w:space="0"/>
              <w:right w:val="single" w:color="auto" w:sz="4" w:space="0"/>
            </w:tcBorders>
            <w:vAlign w:val="center"/>
          </w:tcPr>
          <w:p w14:paraId="5529671E">
            <w:pPr>
              <w:overflowPunct/>
              <w:topLinePunct w:val="0"/>
              <w:bidi w:val="0"/>
              <w:spacing w:line="360" w:lineRule="auto"/>
              <w:jc w:val="center"/>
              <w:textAlignment w:val="auto"/>
              <w:rPr>
                <w:rFonts w:hint="eastAsia" w:ascii="宋体" w:hAnsi="宋体"/>
                <w:szCs w:val="24"/>
              </w:rPr>
            </w:pPr>
            <w:r>
              <w:rPr>
                <w:rFonts w:hint="eastAsia" w:ascii="宋体" w:hAnsi="宋体"/>
                <w:szCs w:val="24"/>
              </w:rPr>
              <w:t>序号</w:t>
            </w:r>
          </w:p>
        </w:tc>
        <w:tc>
          <w:tcPr>
            <w:tcW w:w="1205" w:type="dxa"/>
            <w:tcBorders>
              <w:top w:val="single" w:color="auto" w:sz="4" w:space="0"/>
              <w:left w:val="single" w:color="auto" w:sz="4" w:space="0"/>
              <w:bottom w:val="single" w:color="auto" w:sz="4" w:space="0"/>
              <w:right w:val="single" w:color="auto" w:sz="4" w:space="0"/>
            </w:tcBorders>
            <w:vAlign w:val="center"/>
          </w:tcPr>
          <w:p w14:paraId="3A86380E">
            <w:pPr>
              <w:overflowPunct/>
              <w:topLinePunct w:val="0"/>
              <w:bidi w:val="0"/>
              <w:spacing w:line="360" w:lineRule="auto"/>
              <w:jc w:val="center"/>
              <w:textAlignment w:val="auto"/>
              <w:rPr>
                <w:rFonts w:hint="eastAsia" w:ascii="宋体" w:hAnsi="宋体"/>
                <w:szCs w:val="24"/>
              </w:rPr>
            </w:pPr>
            <w:r>
              <w:rPr>
                <w:rFonts w:hint="eastAsia" w:ascii="宋体" w:hAnsi="宋体"/>
                <w:szCs w:val="24"/>
              </w:rPr>
              <w:t>姓名</w:t>
            </w:r>
          </w:p>
        </w:tc>
        <w:tc>
          <w:tcPr>
            <w:tcW w:w="1892" w:type="dxa"/>
            <w:tcBorders>
              <w:top w:val="single" w:color="auto" w:sz="4" w:space="0"/>
              <w:left w:val="single" w:color="auto" w:sz="4" w:space="0"/>
              <w:bottom w:val="single" w:color="auto" w:sz="4" w:space="0"/>
              <w:right w:val="single" w:color="auto" w:sz="4" w:space="0"/>
            </w:tcBorders>
            <w:vAlign w:val="center"/>
          </w:tcPr>
          <w:p w14:paraId="7D341D92">
            <w:pPr>
              <w:overflowPunct/>
              <w:topLinePunct w:val="0"/>
              <w:bidi w:val="0"/>
              <w:spacing w:line="360" w:lineRule="auto"/>
              <w:jc w:val="center"/>
              <w:textAlignment w:val="auto"/>
              <w:rPr>
                <w:rFonts w:hint="eastAsia" w:ascii="宋体" w:hAnsi="宋体"/>
                <w:szCs w:val="24"/>
              </w:rPr>
            </w:pPr>
            <w:r>
              <w:rPr>
                <w:rFonts w:hint="eastAsia" w:ascii="宋体" w:hAnsi="宋体"/>
                <w:szCs w:val="24"/>
              </w:rPr>
              <w:t>职务</w:t>
            </w:r>
          </w:p>
        </w:tc>
        <w:tc>
          <w:tcPr>
            <w:tcW w:w="1515" w:type="dxa"/>
            <w:tcBorders>
              <w:top w:val="single" w:color="auto" w:sz="4" w:space="0"/>
              <w:left w:val="single" w:color="auto" w:sz="4" w:space="0"/>
              <w:bottom w:val="single" w:color="auto" w:sz="4" w:space="0"/>
              <w:right w:val="single" w:color="auto" w:sz="4" w:space="0"/>
            </w:tcBorders>
            <w:vAlign w:val="center"/>
          </w:tcPr>
          <w:p w14:paraId="1798312E">
            <w:pPr>
              <w:overflowPunct/>
              <w:topLinePunct w:val="0"/>
              <w:bidi w:val="0"/>
              <w:spacing w:line="360" w:lineRule="auto"/>
              <w:jc w:val="center"/>
              <w:textAlignment w:val="auto"/>
              <w:rPr>
                <w:rFonts w:hint="default" w:ascii="宋体" w:hAnsi="宋体" w:eastAsiaTheme="minorEastAsia"/>
                <w:szCs w:val="24"/>
                <w:lang w:val="en-US" w:eastAsia="zh-CN"/>
              </w:rPr>
            </w:pPr>
            <w:r>
              <w:rPr>
                <w:rFonts w:hint="eastAsia" w:ascii="宋体" w:hAnsi="宋体"/>
                <w:szCs w:val="24"/>
                <w:lang w:val="en-US" w:eastAsia="zh-CN"/>
              </w:rPr>
              <w:t>分工</w:t>
            </w:r>
          </w:p>
        </w:tc>
        <w:tc>
          <w:tcPr>
            <w:tcW w:w="2715" w:type="dxa"/>
            <w:tcBorders>
              <w:top w:val="single" w:color="auto" w:sz="4" w:space="0"/>
              <w:left w:val="single" w:color="auto" w:sz="4" w:space="0"/>
              <w:bottom w:val="single" w:color="auto" w:sz="4" w:space="0"/>
              <w:right w:val="single" w:color="auto" w:sz="4" w:space="0"/>
            </w:tcBorders>
            <w:vAlign w:val="center"/>
          </w:tcPr>
          <w:p w14:paraId="33B6450E">
            <w:pPr>
              <w:overflowPunct/>
              <w:topLinePunct w:val="0"/>
              <w:bidi w:val="0"/>
              <w:spacing w:line="360" w:lineRule="auto"/>
              <w:jc w:val="center"/>
              <w:textAlignment w:val="auto"/>
              <w:rPr>
                <w:rFonts w:hint="eastAsia" w:ascii="宋体" w:hAnsi="宋体"/>
                <w:szCs w:val="24"/>
              </w:rPr>
            </w:pPr>
            <w:r>
              <w:rPr>
                <w:rFonts w:hint="eastAsia" w:ascii="宋体" w:hAnsi="宋体"/>
                <w:szCs w:val="24"/>
              </w:rPr>
              <w:t>任本项目职务</w:t>
            </w:r>
          </w:p>
        </w:tc>
      </w:tr>
      <w:tr w14:paraId="78FCF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4" w:hRule="atLeast"/>
          <w:jc w:val="center"/>
        </w:trPr>
        <w:tc>
          <w:tcPr>
            <w:tcW w:w="714" w:type="dxa"/>
            <w:tcBorders>
              <w:top w:val="single" w:color="auto" w:sz="4" w:space="0"/>
              <w:left w:val="single" w:color="auto" w:sz="4" w:space="0"/>
              <w:bottom w:val="single" w:color="auto" w:sz="4" w:space="0"/>
              <w:right w:val="single" w:color="auto" w:sz="4" w:space="0"/>
            </w:tcBorders>
            <w:shd w:val="clear" w:color="auto" w:fill="auto"/>
            <w:vAlign w:val="center"/>
          </w:tcPr>
          <w:p w14:paraId="77B489D3">
            <w:pPr>
              <w:overflowPunct/>
              <w:topLinePunct w:val="0"/>
              <w:bidi w:val="0"/>
              <w:spacing w:line="360" w:lineRule="auto"/>
              <w:jc w:val="center"/>
              <w:textAlignment w:val="auto"/>
              <w:rPr>
                <w:rFonts w:hint="eastAsia" w:ascii="宋体" w:hAnsi="宋体" w:eastAsiaTheme="minorEastAsia" w:cstheme="minorBidi"/>
                <w:kern w:val="2"/>
                <w:sz w:val="21"/>
                <w:szCs w:val="24"/>
                <w:lang w:val="en-US" w:eastAsia="zh-CN" w:bidi="ar-SA"/>
              </w:rPr>
            </w:pPr>
            <w:r>
              <w:rPr>
                <w:rFonts w:hint="eastAsia" w:ascii="宋体" w:hAnsi="宋体"/>
                <w:szCs w:val="24"/>
              </w:rPr>
              <w:t>1</w:t>
            </w:r>
          </w:p>
        </w:tc>
        <w:tc>
          <w:tcPr>
            <w:tcW w:w="1205" w:type="dxa"/>
            <w:tcBorders>
              <w:top w:val="single" w:color="auto" w:sz="4" w:space="0"/>
              <w:left w:val="single" w:color="auto" w:sz="4" w:space="0"/>
              <w:bottom w:val="single" w:color="auto" w:sz="4" w:space="0"/>
              <w:right w:val="single" w:color="auto" w:sz="4" w:space="0"/>
            </w:tcBorders>
            <w:shd w:val="clear" w:color="auto" w:fill="auto"/>
            <w:vAlign w:val="center"/>
          </w:tcPr>
          <w:p w14:paraId="2DDE131F">
            <w:pPr>
              <w:overflowPunct/>
              <w:topLinePunct w:val="0"/>
              <w:bidi w:val="0"/>
              <w:spacing w:line="360" w:lineRule="auto"/>
              <w:jc w:val="center"/>
              <w:textAlignment w:val="auto"/>
              <w:rPr>
                <w:rFonts w:hint="eastAsia" w:ascii="宋体" w:hAnsi="宋体" w:eastAsiaTheme="minorEastAsia" w:cstheme="minorBidi"/>
                <w:kern w:val="2"/>
                <w:sz w:val="21"/>
                <w:szCs w:val="24"/>
                <w:lang w:val="en-US" w:eastAsia="zh-CN" w:bidi="ar-SA"/>
              </w:rPr>
            </w:pPr>
          </w:p>
        </w:tc>
        <w:tc>
          <w:tcPr>
            <w:tcW w:w="1892" w:type="dxa"/>
            <w:tcBorders>
              <w:top w:val="single" w:color="auto" w:sz="4" w:space="0"/>
              <w:left w:val="single" w:color="auto" w:sz="4" w:space="0"/>
              <w:bottom w:val="single" w:color="auto" w:sz="4" w:space="0"/>
              <w:right w:val="single" w:color="auto" w:sz="4" w:space="0"/>
            </w:tcBorders>
            <w:shd w:val="clear" w:color="auto" w:fill="auto"/>
            <w:vAlign w:val="center"/>
          </w:tcPr>
          <w:p w14:paraId="11D0DF74">
            <w:pPr>
              <w:overflowPunct/>
              <w:topLinePunct w:val="0"/>
              <w:bidi w:val="0"/>
              <w:spacing w:line="360" w:lineRule="auto"/>
              <w:jc w:val="center"/>
              <w:textAlignment w:val="auto"/>
              <w:rPr>
                <w:rFonts w:hint="default" w:ascii="宋体" w:hAnsi="宋体" w:eastAsiaTheme="minorEastAsia" w:cstheme="minorBidi"/>
                <w:kern w:val="2"/>
                <w:sz w:val="21"/>
                <w:szCs w:val="24"/>
                <w:lang w:val="en-US" w:eastAsia="zh-CN" w:bidi="ar-SA"/>
              </w:rPr>
            </w:pP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0E65B356">
            <w:pPr>
              <w:overflowPunct/>
              <w:topLinePunct w:val="0"/>
              <w:bidi w:val="0"/>
              <w:spacing w:line="360" w:lineRule="auto"/>
              <w:jc w:val="center"/>
              <w:textAlignment w:val="auto"/>
              <w:rPr>
                <w:rFonts w:hint="eastAsia" w:ascii="宋体" w:hAnsi="宋体" w:eastAsiaTheme="minorEastAsia" w:cstheme="minorBidi"/>
                <w:kern w:val="2"/>
                <w:sz w:val="21"/>
                <w:szCs w:val="24"/>
                <w:lang w:val="en-US" w:eastAsia="zh-CN" w:bidi="ar-SA"/>
              </w:rPr>
            </w:pPr>
          </w:p>
        </w:tc>
        <w:tc>
          <w:tcPr>
            <w:tcW w:w="2715" w:type="dxa"/>
            <w:tcBorders>
              <w:top w:val="single" w:color="auto" w:sz="4" w:space="0"/>
              <w:left w:val="single" w:color="auto" w:sz="4" w:space="0"/>
              <w:bottom w:val="single" w:color="auto" w:sz="4" w:space="0"/>
              <w:right w:val="single" w:color="auto" w:sz="4" w:space="0"/>
            </w:tcBorders>
            <w:shd w:val="clear" w:color="auto" w:fill="auto"/>
            <w:vAlign w:val="center"/>
          </w:tcPr>
          <w:p w14:paraId="74DFF361">
            <w:pPr>
              <w:overflowPunct/>
              <w:topLinePunct w:val="0"/>
              <w:bidi w:val="0"/>
              <w:spacing w:line="360" w:lineRule="auto"/>
              <w:jc w:val="center"/>
              <w:textAlignment w:val="auto"/>
              <w:rPr>
                <w:rFonts w:hint="eastAsia" w:ascii="宋体" w:hAnsi="宋体" w:eastAsiaTheme="minorEastAsia" w:cstheme="minorBidi"/>
                <w:kern w:val="2"/>
                <w:sz w:val="21"/>
                <w:szCs w:val="24"/>
                <w:lang w:val="en-US" w:eastAsia="zh-CN" w:bidi="ar-SA"/>
              </w:rPr>
            </w:pPr>
          </w:p>
        </w:tc>
      </w:tr>
      <w:tr w14:paraId="11AE5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714" w:type="dxa"/>
            <w:tcBorders>
              <w:top w:val="single" w:color="auto" w:sz="4" w:space="0"/>
              <w:left w:val="single" w:color="auto" w:sz="4" w:space="0"/>
              <w:bottom w:val="single" w:color="auto" w:sz="4" w:space="0"/>
              <w:right w:val="single" w:color="auto" w:sz="4" w:space="0"/>
            </w:tcBorders>
            <w:shd w:val="clear" w:color="auto" w:fill="auto"/>
            <w:vAlign w:val="center"/>
          </w:tcPr>
          <w:p w14:paraId="7F2CE977">
            <w:pPr>
              <w:overflowPunct/>
              <w:topLinePunct w:val="0"/>
              <w:bidi w:val="0"/>
              <w:spacing w:line="360" w:lineRule="auto"/>
              <w:jc w:val="center"/>
              <w:textAlignment w:val="auto"/>
              <w:rPr>
                <w:rFonts w:hint="eastAsia" w:ascii="宋体" w:hAnsi="宋体"/>
                <w:szCs w:val="24"/>
              </w:rPr>
            </w:pPr>
            <w:r>
              <w:rPr>
                <w:rFonts w:hint="eastAsia" w:ascii="宋体" w:hAnsi="宋体"/>
                <w:szCs w:val="24"/>
              </w:rPr>
              <w:t>2</w:t>
            </w:r>
          </w:p>
        </w:tc>
        <w:tc>
          <w:tcPr>
            <w:tcW w:w="1205" w:type="dxa"/>
            <w:tcBorders>
              <w:top w:val="single" w:color="auto" w:sz="4" w:space="0"/>
              <w:left w:val="single" w:color="auto" w:sz="4" w:space="0"/>
              <w:bottom w:val="single" w:color="auto" w:sz="4" w:space="0"/>
              <w:right w:val="single" w:color="auto" w:sz="4" w:space="0"/>
            </w:tcBorders>
            <w:shd w:val="clear" w:color="auto" w:fill="auto"/>
            <w:vAlign w:val="center"/>
          </w:tcPr>
          <w:p w14:paraId="54DBF0E8">
            <w:pPr>
              <w:overflowPunct/>
              <w:topLinePunct w:val="0"/>
              <w:bidi w:val="0"/>
              <w:spacing w:line="360" w:lineRule="auto"/>
              <w:jc w:val="center"/>
              <w:textAlignment w:val="auto"/>
              <w:rPr>
                <w:rFonts w:hint="eastAsia" w:ascii="宋体" w:hAnsi="宋体" w:eastAsiaTheme="minorEastAsia" w:cstheme="minorBidi"/>
                <w:kern w:val="2"/>
                <w:sz w:val="21"/>
                <w:szCs w:val="24"/>
                <w:lang w:val="en-US" w:eastAsia="zh-CN" w:bidi="ar-SA"/>
              </w:rPr>
            </w:pPr>
          </w:p>
        </w:tc>
        <w:tc>
          <w:tcPr>
            <w:tcW w:w="1892" w:type="dxa"/>
            <w:tcBorders>
              <w:top w:val="single" w:color="auto" w:sz="4" w:space="0"/>
              <w:left w:val="single" w:color="auto" w:sz="4" w:space="0"/>
              <w:bottom w:val="single" w:color="auto" w:sz="4" w:space="0"/>
              <w:right w:val="single" w:color="auto" w:sz="4" w:space="0"/>
            </w:tcBorders>
            <w:shd w:val="clear" w:color="auto" w:fill="auto"/>
            <w:vAlign w:val="center"/>
          </w:tcPr>
          <w:p w14:paraId="3F4758D9">
            <w:pPr>
              <w:overflowPunct/>
              <w:topLinePunct w:val="0"/>
              <w:bidi w:val="0"/>
              <w:spacing w:line="360" w:lineRule="auto"/>
              <w:jc w:val="center"/>
              <w:textAlignment w:val="auto"/>
              <w:rPr>
                <w:rFonts w:hint="eastAsia" w:asciiTheme="minorHAnsi" w:hAnsiTheme="minorHAnsi" w:eastAsiaTheme="minorEastAsia" w:cstheme="minorBidi"/>
                <w:kern w:val="2"/>
                <w:sz w:val="21"/>
                <w:szCs w:val="24"/>
                <w:lang w:val="en-US" w:eastAsia="zh-CN" w:bidi="ar-SA"/>
              </w:rPr>
            </w:pP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0B21A6EE">
            <w:pPr>
              <w:overflowPunct/>
              <w:topLinePunct w:val="0"/>
              <w:bidi w:val="0"/>
              <w:spacing w:line="360" w:lineRule="auto"/>
              <w:jc w:val="center"/>
              <w:textAlignment w:val="auto"/>
              <w:rPr>
                <w:rFonts w:hint="eastAsia" w:ascii="宋体" w:hAnsi="宋体" w:eastAsiaTheme="minorEastAsia" w:cstheme="minorBidi"/>
                <w:kern w:val="2"/>
                <w:sz w:val="21"/>
                <w:szCs w:val="24"/>
                <w:lang w:val="en-US" w:eastAsia="zh-CN" w:bidi="ar-SA"/>
              </w:rPr>
            </w:pPr>
          </w:p>
        </w:tc>
        <w:tc>
          <w:tcPr>
            <w:tcW w:w="2715" w:type="dxa"/>
            <w:tcBorders>
              <w:top w:val="single" w:color="auto" w:sz="4" w:space="0"/>
              <w:left w:val="single" w:color="auto" w:sz="4" w:space="0"/>
              <w:bottom w:val="single" w:color="auto" w:sz="4" w:space="0"/>
              <w:right w:val="single" w:color="auto" w:sz="4" w:space="0"/>
            </w:tcBorders>
            <w:shd w:val="clear" w:color="auto" w:fill="auto"/>
            <w:vAlign w:val="center"/>
          </w:tcPr>
          <w:p w14:paraId="78EC9861">
            <w:pPr>
              <w:overflowPunct/>
              <w:topLinePunct w:val="0"/>
              <w:bidi w:val="0"/>
              <w:spacing w:line="360" w:lineRule="auto"/>
              <w:jc w:val="center"/>
              <w:textAlignment w:val="auto"/>
              <w:rPr>
                <w:rFonts w:hint="eastAsia" w:ascii="宋体" w:hAnsi="宋体" w:eastAsiaTheme="minorEastAsia" w:cstheme="minorBidi"/>
                <w:kern w:val="2"/>
                <w:sz w:val="21"/>
                <w:szCs w:val="24"/>
                <w:lang w:val="en-US" w:eastAsia="zh-CN" w:bidi="ar-SA"/>
              </w:rPr>
            </w:pPr>
          </w:p>
        </w:tc>
      </w:tr>
      <w:tr w14:paraId="7FC63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4" w:hRule="atLeast"/>
          <w:jc w:val="center"/>
        </w:trPr>
        <w:tc>
          <w:tcPr>
            <w:tcW w:w="714" w:type="dxa"/>
            <w:tcBorders>
              <w:top w:val="single" w:color="auto" w:sz="4" w:space="0"/>
              <w:left w:val="single" w:color="auto" w:sz="4" w:space="0"/>
              <w:bottom w:val="single" w:color="auto" w:sz="4" w:space="0"/>
              <w:right w:val="single" w:color="auto" w:sz="4" w:space="0"/>
            </w:tcBorders>
            <w:shd w:val="clear" w:color="auto" w:fill="auto"/>
            <w:vAlign w:val="center"/>
          </w:tcPr>
          <w:p w14:paraId="362ED0B0">
            <w:pPr>
              <w:overflowPunct/>
              <w:topLinePunct w:val="0"/>
              <w:bidi w:val="0"/>
              <w:spacing w:line="360" w:lineRule="auto"/>
              <w:jc w:val="center"/>
              <w:textAlignment w:val="auto"/>
              <w:rPr>
                <w:rFonts w:hint="eastAsia" w:ascii="宋体" w:hAnsi="宋体" w:eastAsiaTheme="minorEastAsia" w:cstheme="minorBidi"/>
                <w:kern w:val="2"/>
                <w:sz w:val="21"/>
                <w:szCs w:val="24"/>
                <w:lang w:val="en-US" w:eastAsia="zh-CN" w:bidi="ar-SA"/>
              </w:rPr>
            </w:pPr>
            <w:r>
              <w:rPr>
                <w:rFonts w:hint="eastAsia" w:ascii="宋体" w:hAnsi="宋体"/>
                <w:szCs w:val="24"/>
              </w:rPr>
              <w:t>3</w:t>
            </w:r>
          </w:p>
        </w:tc>
        <w:tc>
          <w:tcPr>
            <w:tcW w:w="1205" w:type="dxa"/>
            <w:tcBorders>
              <w:top w:val="single" w:color="auto" w:sz="4" w:space="0"/>
              <w:left w:val="single" w:color="auto" w:sz="4" w:space="0"/>
              <w:bottom w:val="single" w:color="auto" w:sz="4" w:space="0"/>
              <w:right w:val="single" w:color="auto" w:sz="4" w:space="0"/>
            </w:tcBorders>
            <w:vAlign w:val="center"/>
          </w:tcPr>
          <w:p w14:paraId="5E3B8389">
            <w:pPr>
              <w:overflowPunct/>
              <w:topLinePunct w:val="0"/>
              <w:bidi w:val="0"/>
              <w:spacing w:line="360" w:lineRule="auto"/>
              <w:jc w:val="center"/>
              <w:textAlignment w:val="auto"/>
              <w:rPr>
                <w:rFonts w:hint="default" w:ascii="宋体" w:hAnsi="宋体" w:eastAsiaTheme="minorEastAsia"/>
                <w:szCs w:val="24"/>
                <w:lang w:val="en-US" w:eastAsia="zh-CN"/>
              </w:rPr>
            </w:pPr>
          </w:p>
        </w:tc>
        <w:tc>
          <w:tcPr>
            <w:tcW w:w="1892" w:type="dxa"/>
            <w:tcBorders>
              <w:top w:val="single" w:color="auto" w:sz="4" w:space="0"/>
              <w:left w:val="single" w:color="auto" w:sz="4" w:space="0"/>
              <w:bottom w:val="single" w:color="auto" w:sz="4" w:space="0"/>
              <w:right w:val="single" w:color="auto" w:sz="4" w:space="0"/>
            </w:tcBorders>
            <w:vAlign w:val="center"/>
          </w:tcPr>
          <w:p w14:paraId="252C4097">
            <w:pPr>
              <w:overflowPunct/>
              <w:topLinePunct w:val="0"/>
              <w:bidi w:val="0"/>
              <w:spacing w:line="360" w:lineRule="auto"/>
              <w:jc w:val="center"/>
              <w:textAlignment w:val="auto"/>
              <w:rPr>
                <w:rFonts w:hint="default" w:ascii="宋体" w:hAnsi="宋体" w:eastAsiaTheme="minorEastAsia"/>
                <w:szCs w:val="24"/>
                <w:lang w:val="en-US" w:eastAsia="zh-CN"/>
              </w:rPr>
            </w:pPr>
          </w:p>
        </w:tc>
        <w:tc>
          <w:tcPr>
            <w:tcW w:w="1515" w:type="dxa"/>
            <w:tcBorders>
              <w:top w:val="single" w:color="auto" w:sz="4" w:space="0"/>
              <w:left w:val="single" w:color="auto" w:sz="4" w:space="0"/>
              <w:bottom w:val="single" w:color="auto" w:sz="4" w:space="0"/>
              <w:right w:val="single" w:color="auto" w:sz="4" w:space="0"/>
            </w:tcBorders>
            <w:vAlign w:val="center"/>
          </w:tcPr>
          <w:p w14:paraId="5CFBFE54">
            <w:pPr>
              <w:overflowPunct/>
              <w:topLinePunct w:val="0"/>
              <w:bidi w:val="0"/>
              <w:spacing w:line="360" w:lineRule="auto"/>
              <w:jc w:val="center"/>
              <w:textAlignment w:val="auto"/>
              <w:rPr>
                <w:rFonts w:hint="default" w:ascii="宋体" w:hAnsi="宋体" w:eastAsiaTheme="minorEastAsia"/>
                <w:szCs w:val="24"/>
                <w:lang w:val="en-US" w:eastAsia="zh-CN"/>
              </w:rPr>
            </w:pPr>
          </w:p>
        </w:tc>
        <w:tc>
          <w:tcPr>
            <w:tcW w:w="2715" w:type="dxa"/>
            <w:tcBorders>
              <w:top w:val="single" w:color="auto" w:sz="4" w:space="0"/>
              <w:left w:val="single" w:color="auto" w:sz="4" w:space="0"/>
              <w:bottom w:val="single" w:color="auto" w:sz="4" w:space="0"/>
              <w:right w:val="single" w:color="auto" w:sz="4" w:space="0"/>
            </w:tcBorders>
            <w:vAlign w:val="center"/>
          </w:tcPr>
          <w:p w14:paraId="21908473">
            <w:pPr>
              <w:overflowPunct/>
              <w:topLinePunct w:val="0"/>
              <w:bidi w:val="0"/>
              <w:spacing w:line="360" w:lineRule="auto"/>
              <w:jc w:val="center"/>
              <w:textAlignment w:val="auto"/>
              <w:rPr>
                <w:rFonts w:hint="default" w:ascii="宋体" w:hAnsi="宋体" w:eastAsiaTheme="minorEastAsia"/>
                <w:szCs w:val="24"/>
                <w:lang w:val="en-US" w:eastAsia="zh-CN"/>
              </w:rPr>
            </w:pPr>
          </w:p>
        </w:tc>
      </w:tr>
      <w:tr w14:paraId="2576E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714" w:type="dxa"/>
            <w:tcBorders>
              <w:top w:val="single" w:color="auto" w:sz="4" w:space="0"/>
              <w:left w:val="single" w:color="auto" w:sz="4" w:space="0"/>
              <w:bottom w:val="single" w:color="auto" w:sz="4" w:space="0"/>
              <w:right w:val="single" w:color="auto" w:sz="4" w:space="0"/>
            </w:tcBorders>
            <w:shd w:val="clear" w:color="auto" w:fill="auto"/>
            <w:vAlign w:val="center"/>
          </w:tcPr>
          <w:p w14:paraId="6254F7DF">
            <w:pPr>
              <w:overflowPunct/>
              <w:topLinePunct w:val="0"/>
              <w:bidi w:val="0"/>
              <w:spacing w:line="360" w:lineRule="auto"/>
              <w:jc w:val="center"/>
              <w:textAlignment w:val="auto"/>
              <w:rPr>
                <w:rFonts w:hint="eastAsia" w:ascii="宋体" w:hAnsi="宋体" w:eastAsiaTheme="minorEastAsia" w:cstheme="minorBidi"/>
                <w:kern w:val="2"/>
                <w:sz w:val="21"/>
                <w:szCs w:val="24"/>
                <w:lang w:val="en-US" w:eastAsia="zh-CN" w:bidi="ar-SA"/>
              </w:rPr>
            </w:pPr>
            <w:r>
              <w:rPr>
                <w:rFonts w:hint="eastAsia" w:ascii="宋体" w:hAnsi="宋体"/>
                <w:szCs w:val="24"/>
              </w:rPr>
              <w:t>4</w:t>
            </w:r>
          </w:p>
        </w:tc>
        <w:tc>
          <w:tcPr>
            <w:tcW w:w="1205" w:type="dxa"/>
            <w:tcBorders>
              <w:top w:val="single" w:color="auto" w:sz="4" w:space="0"/>
              <w:left w:val="single" w:color="auto" w:sz="4" w:space="0"/>
              <w:bottom w:val="single" w:color="auto" w:sz="4" w:space="0"/>
              <w:right w:val="single" w:color="auto" w:sz="4" w:space="0"/>
            </w:tcBorders>
            <w:vAlign w:val="center"/>
          </w:tcPr>
          <w:p w14:paraId="0777177E">
            <w:pPr>
              <w:overflowPunct/>
              <w:topLinePunct w:val="0"/>
              <w:bidi w:val="0"/>
              <w:spacing w:line="360" w:lineRule="auto"/>
              <w:jc w:val="center"/>
              <w:textAlignment w:val="auto"/>
              <w:rPr>
                <w:rFonts w:hint="default" w:ascii="宋体" w:hAnsi="宋体" w:eastAsiaTheme="minorEastAsia"/>
                <w:szCs w:val="24"/>
                <w:lang w:val="en-US" w:eastAsia="zh-CN"/>
              </w:rPr>
            </w:pPr>
          </w:p>
        </w:tc>
        <w:tc>
          <w:tcPr>
            <w:tcW w:w="1892" w:type="dxa"/>
            <w:tcBorders>
              <w:top w:val="single" w:color="auto" w:sz="4" w:space="0"/>
              <w:left w:val="single" w:color="auto" w:sz="4" w:space="0"/>
              <w:bottom w:val="single" w:color="auto" w:sz="4" w:space="0"/>
              <w:right w:val="single" w:color="auto" w:sz="4" w:space="0"/>
            </w:tcBorders>
            <w:vAlign w:val="center"/>
          </w:tcPr>
          <w:p w14:paraId="39FD1077">
            <w:pPr>
              <w:overflowPunct/>
              <w:topLinePunct w:val="0"/>
              <w:bidi w:val="0"/>
              <w:spacing w:line="360" w:lineRule="auto"/>
              <w:jc w:val="center"/>
              <w:textAlignment w:val="auto"/>
              <w:rPr>
                <w:rFonts w:hint="eastAsia" w:ascii="宋体" w:hAnsi="宋体"/>
                <w:szCs w:val="24"/>
              </w:rPr>
            </w:pPr>
          </w:p>
        </w:tc>
        <w:tc>
          <w:tcPr>
            <w:tcW w:w="1515" w:type="dxa"/>
            <w:tcBorders>
              <w:top w:val="single" w:color="auto" w:sz="4" w:space="0"/>
              <w:left w:val="single" w:color="auto" w:sz="4" w:space="0"/>
              <w:bottom w:val="single" w:color="auto" w:sz="4" w:space="0"/>
              <w:right w:val="single" w:color="auto" w:sz="4" w:space="0"/>
            </w:tcBorders>
            <w:vAlign w:val="center"/>
          </w:tcPr>
          <w:p w14:paraId="65FD49F8">
            <w:pPr>
              <w:overflowPunct/>
              <w:topLinePunct w:val="0"/>
              <w:bidi w:val="0"/>
              <w:spacing w:line="360" w:lineRule="auto"/>
              <w:jc w:val="center"/>
              <w:textAlignment w:val="auto"/>
              <w:rPr>
                <w:rFonts w:hint="eastAsia" w:ascii="宋体" w:hAnsi="宋体"/>
                <w:szCs w:val="24"/>
              </w:rPr>
            </w:pPr>
          </w:p>
        </w:tc>
        <w:tc>
          <w:tcPr>
            <w:tcW w:w="2715" w:type="dxa"/>
            <w:tcBorders>
              <w:top w:val="single" w:color="auto" w:sz="4" w:space="0"/>
              <w:left w:val="single" w:color="auto" w:sz="4" w:space="0"/>
              <w:bottom w:val="single" w:color="auto" w:sz="4" w:space="0"/>
              <w:right w:val="single" w:color="auto" w:sz="4" w:space="0"/>
            </w:tcBorders>
            <w:vAlign w:val="center"/>
          </w:tcPr>
          <w:p w14:paraId="3D85BF29">
            <w:pPr>
              <w:overflowPunct/>
              <w:topLinePunct w:val="0"/>
              <w:bidi w:val="0"/>
              <w:spacing w:line="360" w:lineRule="auto"/>
              <w:jc w:val="center"/>
              <w:textAlignment w:val="auto"/>
              <w:rPr>
                <w:rFonts w:hint="default" w:ascii="宋体" w:hAnsi="宋体" w:cs="宋体"/>
                <w:sz w:val="22"/>
                <w:lang w:val="en-US"/>
              </w:rPr>
            </w:pPr>
          </w:p>
        </w:tc>
      </w:tr>
      <w:tr w14:paraId="44A6C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714" w:type="dxa"/>
            <w:tcBorders>
              <w:top w:val="single" w:color="auto" w:sz="4" w:space="0"/>
              <w:left w:val="single" w:color="auto" w:sz="4" w:space="0"/>
              <w:bottom w:val="single" w:color="auto" w:sz="4" w:space="0"/>
              <w:right w:val="single" w:color="auto" w:sz="4" w:space="0"/>
            </w:tcBorders>
            <w:shd w:val="clear" w:color="auto" w:fill="auto"/>
            <w:vAlign w:val="center"/>
          </w:tcPr>
          <w:p w14:paraId="7CC9F5A1">
            <w:pPr>
              <w:overflowPunct/>
              <w:topLinePunct w:val="0"/>
              <w:bidi w:val="0"/>
              <w:spacing w:line="360" w:lineRule="auto"/>
              <w:jc w:val="center"/>
              <w:textAlignment w:val="auto"/>
              <w:rPr>
                <w:rFonts w:hint="eastAsia" w:ascii="宋体" w:hAnsi="宋体" w:eastAsiaTheme="minorEastAsia" w:cstheme="minorBidi"/>
                <w:kern w:val="2"/>
                <w:sz w:val="21"/>
                <w:szCs w:val="24"/>
                <w:lang w:val="en-US" w:eastAsia="zh-CN" w:bidi="ar-SA"/>
              </w:rPr>
            </w:pPr>
            <w:r>
              <w:rPr>
                <w:rFonts w:hint="eastAsia" w:ascii="宋体" w:hAnsi="宋体"/>
                <w:szCs w:val="24"/>
              </w:rPr>
              <w:t>5</w:t>
            </w:r>
          </w:p>
        </w:tc>
        <w:tc>
          <w:tcPr>
            <w:tcW w:w="1205" w:type="dxa"/>
            <w:tcBorders>
              <w:top w:val="single" w:color="auto" w:sz="4" w:space="0"/>
              <w:left w:val="single" w:color="auto" w:sz="4" w:space="0"/>
              <w:bottom w:val="single" w:color="auto" w:sz="4" w:space="0"/>
              <w:right w:val="single" w:color="auto" w:sz="4" w:space="0"/>
            </w:tcBorders>
            <w:vAlign w:val="center"/>
          </w:tcPr>
          <w:p w14:paraId="79830095">
            <w:pPr>
              <w:overflowPunct/>
              <w:topLinePunct w:val="0"/>
              <w:bidi w:val="0"/>
              <w:spacing w:line="360" w:lineRule="auto"/>
              <w:jc w:val="center"/>
              <w:textAlignment w:val="auto"/>
              <w:rPr>
                <w:rFonts w:hint="default" w:ascii="宋体" w:hAnsi="宋体"/>
                <w:szCs w:val="24"/>
                <w:lang w:val="en-US"/>
              </w:rPr>
            </w:pPr>
          </w:p>
        </w:tc>
        <w:tc>
          <w:tcPr>
            <w:tcW w:w="1892" w:type="dxa"/>
            <w:tcBorders>
              <w:top w:val="single" w:color="auto" w:sz="4" w:space="0"/>
              <w:left w:val="single" w:color="auto" w:sz="4" w:space="0"/>
              <w:bottom w:val="single" w:color="auto" w:sz="4" w:space="0"/>
              <w:right w:val="single" w:color="auto" w:sz="4" w:space="0"/>
            </w:tcBorders>
            <w:vAlign w:val="center"/>
          </w:tcPr>
          <w:p w14:paraId="2AB84150">
            <w:pPr>
              <w:overflowPunct/>
              <w:topLinePunct w:val="0"/>
              <w:bidi w:val="0"/>
              <w:spacing w:line="360" w:lineRule="auto"/>
              <w:jc w:val="center"/>
              <w:textAlignment w:val="auto"/>
              <w:rPr>
                <w:rFonts w:hint="eastAsia" w:ascii="宋体" w:hAnsi="宋体"/>
                <w:szCs w:val="24"/>
              </w:rPr>
            </w:pPr>
          </w:p>
        </w:tc>
        <w:tc>
          <w:tcPr>
            <w:tcW w:w="1515" w:type="dxa"/>
            <w:tcBorders>
              <w:top w:val="single" w:color="auto" w:sz="4" w:space="0"/>
              <w:left w:val="single" w:color="auto" w:sz="4" w:space="0"/>
              <w:bottom w:val="single" w:color="auto" w:sz="4" w:space="0"/>
              <w:right w:val="single" w:color="auto" w:sz="4" w:space="0"/>
            </w:tcBorders>
            <w:vAlign w:val="center"/>
          </w:tcPr>
          <w:p w14:paraId="211DC862">
            <w:pPr>
              <w:overflowPunct/>
              <w:topLinePunct w:val="0"/>
              <w:bidi w:val="0"/>
              <w:spacing w:line="360" w:lineRule="auto"/>
              <w:jc w:val="center"/>
              <w:textAlignment w:val="auto"/>
              <w:rPr>
                <w:rFonts w:hint="eastAsia" w:ascii="宋体" w:hAnsi="宋体"/>
                <w:bCs/>
                <w:szCs w:val="24"/>
              </w:rPr>
            </w:pPr>
          </w:p>
        </w:tc>
        <w:tc>
          <w:tcPr>
            <w:tcW w:w="2715" w:type="dxa"/>
            <w:tcBorders>
              <w:top w:val="single" w:color="auto" w:sz="4" w:space="0"/>
              <w:left w:val="single" w:color="auto" w:sz="4" w:space="0"/>
              <w:bottom w:val="single" w:color="auto" w:sz="4" w:space="0"/>
              <w:right w:val="single" w:color="auto" w:sz="4" w:space="0"/>
            </w:tcBorders>
            <w:vAlign w:val="center"/>
          </w:tcPr>
          <w:p w14:paraId="65B8BCD8">
            <w:pPr>
              <w:overflowPunct/>
              <w:topLinePunct w:val="0"/>
              <w:bidi w:val="0"/>
              <w:spacing w:line="360" w:lineRule="auto"/>
              <w:jc w:val="center"/>
              <w:textAlignment w:val="auto"/>
              <w:rPr>
                <w:rFonts w:hint="eastAsia" w:ascii="宋体" w:hAnsi="宋体"/>
                <w:szCs w:val="24"/>
              </w:rPr>
            </w:pPr>
          </w:p>
        </w:tc>
      </w:tr>
      <w:tr w14:paraId="005E1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4" w:hRule="atLeast"/>
          <w:jc w:val="center"/>
        </w:trPr>
        <w:tc>
          <w:tcPr>
            <w:tcW w:w="714" w:type="dxa"/>
            <w:tcBorders>
              <w:top w:val="single" w:color="auto" w:sz="4" w:space="0"/>
              <w:left w:val="single" w:color="auto" w:sz="4" w:space="0"/>
              <w:bottom w:val="single" w:color="auto" w:sz="4" w:space="0"/>
              <w:right w:val="single" w:color="auto" w:sz="4" w:space="0"/>
            </w:tcBorders>
            <w:vAlign w:val="center"/>
          </w:tcPr>
          <w:p w14:paraId="2E1895B1">
            <w:pPr>
              <w:overflowPunct/>
              <w:topLinePunct w:val="0"/>
              <w:bidi w:val="0"/>
              <w:spacing w:line="360" w:lineRule="auto"/>
              <w:jc w:val="center"/>
              <w:textAlignment w:val="auto"/>
              <w:rPr>
                <w:rFonts w:hint="default" w:ascii="宋体" w:hAnsi="宋体" w:eastAsiaTheme="minorEastAsia"/>
                <w:szCs w:val="24"/>
                <w:lang w:val="en-US" w:eastAsia="zh-CN"/>
              </w:rPr>
            </w:pPr>
            <w:r>
              <w:rPr>
                <w:rFonts w:hint="eastAsia" w:ascii="宋体" w:hAnsi="宋体"/>
                <w:szCs w:val="24"/>
                <w:lang w:val="en-US" w:eastAsia="zh-CN"/>
              </w:rPr>
              <w:t>6</w:t>
            </w:r>
          </w:p>
        </w:tc>
        <w:tc>
          <w:tcPr>
            <w:tcW w:w="1205" w:type="dxa"/>
            <w:tcBorders>
              <w:top w:val="single" w:color="auto" w:sz="4" w:space="0"/>
              <w:left w:val="single" w:color="auto" w:sz="4" w:space="0"/>
              <w:bottom w:val="single" w:color="auto" w:sz="4" w:space="0"/>
              <w:right w:val="single" w:color="auto" w:sz="4" w:space="0"/>
            </w:tcBorders>
            <w:vAlign w:val="center"/>
          </w:tcPr>
          <w:p w14:paraId="4E35F35E">
            <w:pPr>
              <w:overflowPunct/>
              <w:topLinePunct w:val="0"/>
              <w:bidi w:val="0"/>
              <w:spacing w:line="360" w:lineRule="auto"/>
              <w:jc w:val="center"/>
              <w:textAlignment w:val="auto"/>
              <w:rPr>
                <w:rFonts w:hint="default" w:ascii="宋体" w:hAnsi="宋体"/>
                <w:szCs w:val="24"/>
                <w:lang w:val="en-US"/>
              </w:rPr>
            </w:pPr>
          </w:p>
        </w:tc>
        <w:tc>
          <w:tcPr>
            <w:tcW w:w="1892" w:type="dxa"/>
            <w:tcBorders>
              <w:top w:val="single" w:color="auto" w:sz="4" w:space="0"/>
              <w:left w:val="single" w:color="auto" w:sz="4" w:space="0"/>
              <w:bottom w:val="single" w:color="auto" w:sz="4" w:space="0"/>
              <w:right w:val="single" w:color="auto" w:sz="4" w:space="0"/>
            </w:tcBorders>
            <w:vAlign w:val="center"/>
          </w:tcPr>
          <w:p w14:paraId="4FD45EED">
            <w:pPr>
              <w:overflowPunct/>
              <w:topLinePunct w:val="0"/>
              <w:bidi w:val="0"/>
              <w:spacing w:line="360" w:lineRule="auto"/>
              <w:jc w:val="center"/>
              <w:textAlignment w:val="auto"/>
              <w:rPr>
                <w:rFonts w:hint="eastAsia" w:ascii="宋体" w:hAnsi="宋体"/>
                <w:szCs w:val="24"/>
              </w:rPr>
            </w:pPr>
          </w:p>
        </w:tc>
        <w:tc>
          <w:tcPr>
            <w:tcW w:w="1515" w:type="dxa"/>
            <w:tcBorders>
              <w:top w:val="single" w:color="auto" w:sz="4" w:space="0"/>
              <w:left w:val="single" w:color="auto" w:sz="4" w:space="0"/>
              <w:bottom w:val="single" w:color="auto" w:sz="4" w:space="0"/>
              <w:right w:val="single" w:color="auto" w:sz="4" w:space="0"/>
            </w:tcBorders>
            <w:vAlign w:val="center"/>
          </w:tcPr>
          <w:p w14:paraId="3BC2196B">
            <w:pPr>
              <w:overflowPunct/>
              <w:topLinePunct w:val="0"/>
              <w:bidi w:val="0"/>
              <w:spacing w:line="360" w:lineRule="auto"/>
              <w:jc w:val="center"/>
              <w:textAlignment w:val="auto"/>
              <w:rPr>
                <w:rFonts w:hint="eastAsia" w:ascii="宋体" w:hAnsi="宋体"/>
                <w:szCs w:val="24"/>
              </w:rPr>
            </w:pPr>
          </w:p>
        </w:tc>
        <w:tc>
          <w:tcPr>
            <w:tcW w:w="2715" w:type="dxa"/>
            <w:tcBorders>
              <w:top w:val="single" w:color="auto" w:sz="4" w:space="0"/>
              <w:left w:val="single" w:color="auto" w:sz="4" w:space="0"/>
              <w:bottom w:val="single" w:color="auto" w:sz="4" w:space="0"/>
              <w:right w:val="single" w:color="auto" w:sz="4" w:space="0"/>
            </w:tcBorders>
            <w:vAlign w:val="center"/>
          </w:tcPr>
          <w:p w14:paraId="20B6093A">
            <w:pPr>
              <w:overflowPunct/>
              <w:topLinePunct w:val="0"/>
              <w:bidi w:val="0"/>
              <w:spacing w:line="360" w:lineRule="auto"/>
              <w:jc w:val="center"/>
              <w:textAlignment w:val="auto"/>
              <w:rPr>
                <w:rFonts w:hint="eastAsia" w:ascii="宋体" w:hAnsi="宋体"/>
                <w:szCs w:val="24"/>
              </w:rPr>
            </w:pPr>
          </w:p>
        </w:tc>
      </w:tr>
      <w:tr w14:paraId="3EFB7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714" w:type="dxa"/>
            <w:tcBorders>
              <w:top w:val="single" w:color="auto" w:sz="4" w:space="0"/>
              <w:left w:val="single" w:color="auto" w:sz="4" w:space="0"/>
              <w:bottom w:val="single" w:color="auto" w:sz="4" w:space="0"/>
              <w:right w:val="single" w:color="auto" w:sz="4" w:space="0"/>
            </w:tcBorders>
            <w:vAlign w:val="center"/>
          </w:tcPr>
          <w:p w14:paraId="36322420">
            <w:pPr>
              <w:overflowPunct/>
              <w:topLinePunct w:val="0"/>
              <w:bidi w:val="0"/>
              <w:spacing w:line="360" w:lineRule="auto"/>
              <w:jc w:val="center"/>
              <w:textAlignment w:val="auto"/>
              <w:rPr>
                <w:rFonts w:hint="default" w:ascii="宋体" w:hAnsi="宋体"/>
                <w:szCs w:val="24"/>
                <w:lang w:val="en-US" w:eastAsia="zh-CN"/>
              </w:rPr>
            </w:pPr>
            <w:r>
              <w:rPr>
                <w:rFonts w:hint="eastAsia" w:ascii="宋体" w:hAnsi="宋体"/>
                <w:szCs w:val="24"/>
                <w:lang w:val="en-US" w:eastAsia="zh-CN"/>
              </w:rPr>
              <w:t>7</w:t>
            </w:r>
          </w:p>
        </w:tc>
        <w:tc>
          <w:tcPr>
            <w:tcW w:w="1205" w:type="dxa"/>
            <w:tcBorders>
              <w:top w:val="single" w:color="auto" w:sz="4" w:space="0"/>
              <w:left w:val="single" w:color="auto" w:sz="4" w:space="0"/>
              <w:bottom w:val="single" w:color="auto" w:sz="4" w:space="0"/>
              <w:right w:val="single" w:color="auto" w:sz="4" w:space="0"/>
            </w:tcBorders>
            <w:vAlign w:val="center"/>
          </w:tcPr>
          <w:p w14:paraId="0B6684D0">
            <w:pPr>
              <w:overflowPunct/>
              <w:topLinePunct w:val="0"/>
              <w:bidi w:val="0"/>
              <w:spacing w:line="360" w:lineRule="auto"/>
              <w:jc w:val="center"/>
              <w:textAlignment w:val="auto"/>
              <w:rPr>
                <w:rFonts w:hint="default" w:ascii="宋体" w:hAnsi="宋体"/>
                <w:szCs w:val="24"/>
                <w:lang w:val="en-US" w:eastAsia="zh-CN"/>
              </w:rPr>
            </w:pPr>
          </w:p>
        </w:tc>
        <w:tc>
          <w:tcPr>
            <w:tcW w:w="1892" w:type="dxa"/>
            <w:tcBorders>
              <w:top w:val="single" w:color="auto" w:sz="4" w:space="0"/>
              <w:left w:val="single" w:color="auto" w:sz="4" w:space="0"/>
              <w:bottom w:val="single" w:color="auto" w:sz="4" w:space="0"/>
              <w:right w:val="single" w:color="auto" w:sz="4" w:space="0"/>
            </w:tcBorders>
            <w:vAlign w:val="center"/>
          </w:tcPr>
          <w:p w14:paraId="483C1AD6">
            <w:pPr>
              <w:overflowPunct/>
              <w:topLinePunct w:val="0"/>
              <w:bidi w:val="0"/>
              <w:spacing w:line="360" w:lineRule="auto"/>
              <w:jc w:val="center"/>
              <w:textAlignment w:val="auto"/>
              <w:rPr>
                <w:rFonts w:hint="eastAsia" w:ascii="宋体" w:hAnsi="宋体"/>
                <w:szCs w:val="24"/>
                <w:lang w:val="en-US" w:eastAsia="zh-CN"/>
              </w:rPr>
            </w:pPr>
          </w:p>
        </w:tc>
        <w:tc>
          <w:tcPr>
            <w:tcW w:w="1515" w:type="dxa"/>
            <w:tcBorders>
              <w:top w:val="single" w:color="auto" w:sz="4" w:space="0"/>
              <w:left w:val="single" w:color="auto" w:sz="4" w:space="0"/>
              <w:bottom w:val="single" w:color="auto" w:sz="4" w:space="0"/>
              <w:right w:val="single" w:color="auto" w:sz="4" w:space="0"/>
            </w:tcBorders>
            <w:vAlign w:val="center"/>
          </w:tcPr>
          <w:p w14:paraId="2243F7AF">
            <w:pPr>
              <w:overflowPunct/>
              <w:topLinePunct w:val="0"/>
              <w:bidi w:val="0"/>
              <w:spacing w:line="360" w:lineRule="auto"/>
              <w:jc w:val="center"/>
              <w:textAlignment w:val="auto"/>
              <w:rPr>
                <w:rFonts w:hint="eastAsia" w:ascii="宋体" w:hAnsi="宋体"/>
                <w:szCs w:val="24"/>
                <w:lang w:val="en-US" w:eastAsia="zh-CN"/>
              </w:rPr>
            </w:pPr>
          </w:p>
        </w:tc>
        <w:tc>
          <w:tcPr>
            <w:tcW w:w="2715" w:type="dxa"/>
            <w:tcBorders>
              <w:top w:val="single" w:color="auto" w:sz="4" w:space="0"/>
              <w:left w:val="single" w:color="auto" w:sz="4" w:space="0"/>
              <w:bottom w:val="single" w:color="auto" w:sz="4" w:space="0"/>
              <w:right w:val="single" w:color="auto" w:sz="4" w:space="0"/>
            </w:tcBorders>
            <w:vAlign w:val="center"/>
          </w:tcPr>
          <w:p w14:paraId="5A95085F">
            <w:pPr>
              <w:overflowPunct/>
              <w:topLinePunct w:val="0"/>
              <w:bidi w:val="0"/>
              <w:spacing w:line="360" w:lineRule="auto"/>
              <w:jc w:val="center"/>
              <w:textAlignment w:val="auto"/>
              <w:rPr>
                <w:rFonts w:hint="eastAsia" w:ascii="宋体" w:hAnsi="宋体"/>
                <w:szCs w:val="24"/>
                <w:lang w:val="en-US" w:eastAsia="zh-CN"/>
              </w:rPr>
            </w:pPr>
          </w:p>
        </w:tc>
      </w:tr>
      <w:tr w14:paraId="2C5DC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4" w:hRule="atLeast"/>
          <w:jc w:val="center"/>
        </w:trPr>
        <w:tc>
          <w:tcPr>
            <w:tcW w:w="714" w:type="dxa"/>
            <w:tcBorders>
              <w:top w:val="single" w:color="auto" w:sz="4" w:space="0"/>
              <w:left w:val="single" w:color="auto" w:sz="4" w:space="0"/>
              <w:bottom w:val="single" w:color="auto" w:sz="4" w:space="0"/>
              <w:right w:val="single" w:color="auto" w:sz="4" w:space="0"/>
            </w:tcBorders>
            <w:vAlign w:val="center"/>
          </w:tcPr>
          <w:p w14:paraId="09377CE7">
            <w:pPr>
              <w:overflowPunct/>
              <w:topLinePunct w:val="0"/>
              <w:bidi w:val="0"/>
              <w:spacing w:line="360" w:lineRule="auto"/>
              <w:jc w:val="center"/>
              <w:textAlignment w:val="auto"/>
              <w:rPr>
                <w:rFonts w:hint="eastAsia" w:ascii="宋体" w:hAnsi="宋体"/>
                <w:szCs w:val="24"/>
              </w:rPr>
            </w:pPr>
            <w:r>
              <w:rPr>
                <w:rFonts w:hint="eastAsia" w:ascii="宋体" w:hAnsi="宋体"/>
                <w:szCs w:val="24"/>
                <w:lang w:val="en-US" w:eastAsia="zh-CN"/>
              </w:rPr>
              <w:t>8</w:t>
            </w:r>
          </w:p>
        </w:tc>
        <w:tc>
          <w:tcPr>
            <w:tcW w:w="1205" w:type="dxa"/>
            <w:tcBorders>
              <w:top w:val="single" w:color="auto" w:sz="4" w:space="0"/>
              <w:left w:val="single" w:color="auto" w:sz="4" w:space="0"/>
              <w:bottom w:val="single" w:color="auto" w:sz="4" w:space="0"/>
              <w:right w:val="single" w:color="auto" w:sz="4" w:space="0"/>
            </w:tcBorders>
            <w:vAlign w:val="center"/>
          </w:tcPr>
          <w:p w14:paraId="6590CCAF">
            <w:pPr>
              <w:overflowPunct/>
              <w:topLinePunct w:val="0"/>
              <w:bidi w:val="0"/>
              <w:spacing w:line="360" w:lineRule="auto"/>
              <w:jc w:val="center"/>
              <w:textAlignment w:val="auto"/>
              <w:rPr>
                <w:rFonts w:hint="default" w:ascii="宋体" w:hAnsi="宋体"/>
                <w:szCs w:val="24"/>
                <w:lang w:val="en-US"/>
              </w:rPr>
            </w:pPr>
          </w:p>
        </w:tc>
        <w:tc>
          <w:tcPr>
            <w:tcW w:w="1892" w:type="dxa"/>
            <w:tcBorders>
              <w:top w:val="single" w:color="auto" w:sz="4" w:space="0"/>
              <w:left w:val="single" w:color="auto" w:sz="4" w:space="0"/>
              <w:bottom w:val="single" w:color="auto" w:sz="4" w:space="0"/>
              <w:right w:val="single" w:color="auto" w:sz="4" w:space="0"/>
            </w:tcBorders>
            <w:vAlign w:val="center"/>
          </w:tcPr>
          <w:p w14:paraId="708514E0">
            <w:pPr>
              <w:overflowPunct/>
              <w:topLinePunct w:val="0"/>
              <w:bidi w:val="0"/>
              <w:spacing w:line="360" w:lineRule="auto"/>
              <w:jc w:val="center"/>
              <w:textAlignment w:val="auto"/>
              <w:rPr>
                <w:rFonts w:hint="eastAsia" w:ascii="宋体" w:hAnsi="宋体"/>
                <w:szCs w:val="24"/>
              </w:rPr>
            </w:pPr>
          </w:p>
        </w:tc>
        <w:tc>
          <w:tcPr>
            <w:tcW w:w="1515" w:type="dxa"/>
            <w:tcBorders>
              <w:top w:val="single" w:color="auto" w:sz="4" w:space="0"/>
              <w:left w:val="single" w:color="auto" w:sz="4" w:space="0"/>
              <w:bottom w:val="single" w:color="auto" w:sz="4" w:space="0"/>
              <w:right w:val="single" w:color="auto" w:sz="4" w:space="0"/>
            </w:tcBorders>
            <w:vAlign w:val="center"/>
          </w:tcPr>
          <w:p w14:paraId="46E5EB9B">
            <w:pPr>
              <w:overflowPunct/>
              <w:topLinePunct w:val="0"/>
              <w:bidi w:val="0"/>
              <w:spacing w:line="360" w:lineRule="auto"/>
              <w:jc w:val="center"/>
              <w:textAlignment w:val="auto"/>
              <w:rPr>
                <w:rFonts w:hint="default" w:ascii="宋体" w:hAnsi="宋体"/>
                <w:szCs w:val="24"/>
                <w:lang w:val="en-US"/>
              </w:rPr>
            </w:pPr>
          </w:p>
        </w:tc>
        <w:tc>
          <w:tcPr>
            <w:tcW w:w="2715" w:type="dxa"/>
            <w:tcBorders>
              <w:top w:val="single" w:color="auto" w:sz="4" w:space="0"/>
              <w:left w:val="single" w:color="auto" w:sz="4" w:space="0"/>
              <w:bottom w:val="single" w:color="auto" w:sz="4" w:space="0"/>
              <w:right w:val="single" w:color="auto" w:sz="4" w:space="0"/>
            </w:tcBorders>
            <w:vAlign w:val="center"/>
          </w:tcPr>
          <w:p w14:paraId="1666C223">
            <w:pPr>
              <w:overflowPunct/>
              <w:topLinePunct w:val="0"/>
              <w:bidi w:val="0"/>
              <w:spacing w:line="360" w:lineRule="auto"/>
              <w:jc w:val="center"/>
              <w:textAlignment w:val="auto"/>
              <w:rPr>
                <w:rFonts w:hint="eastAsia" w:ascii="宋体" w:hAnsi="宋体"/>
                <w:szCs w:val="24"/>
              </w:rPr>
            </w:pPr>
          </w:p>
        </w:tc>
      </w:tr>
    </w:tbl>
    <w:p w14:paraId="4197C98A">
      <w:pPr>
        <w:pStyle w:val="19"/>
        <w:overflowPunct/>
        <w:topLinePunct w:val="0"/>
        <w:bidi w:val="0"/>
        <w:spacing w:after="0"/>
        <w:ind w:left="0" w:leftChars="0" w:firstLine="0" w:firstLineChars="0"/>
        <w:textAlignment w:val="auto"/>
        <w:rPr>
          <w:rFonts w:hint="eastAsia" w:ascii="黑体" w:hAnsi="黑体" w:eastAsia="黑体"/>
          <w:sz w:val="28"/>
          <w:szCs w:val="28"/>
        </w:rPr>
      </w:pPr>
    </w:p>
    <w:p w14:paraId="52E5AA9B">
      <w:pPr>
        <w:pStyle w:val="19"/>
        <w:overflowPunct/>
        <w:topLinePunct w:val="0"/>
        <w:bidi w:val="0"/>
        <w:spacing w:after="0"/>
        <w:ind w:left="0" w:leftChars="0" w:firstLine="0" w:firstLineChars="0"/>
        <w:textAlignment w:val="auto"/>
        <w:rPr>
          <w:rFonts w:hint="eastAsia" w:ascii="黑体" w:hAnsi="黑体" w:eastAsia="黑体"/>
          <w:sz w:val="28"/>
          <w:szCs w:val="28"/>
        </w:rPr>
      </w:pPr>
    </w:p>
    <w:p w14:paraId="4868D2D2">
      <w:pPr>
        <w:rPr>
          <w:rFonts w:hint="eastAsia"/>
          <w:b/>
          <w:bCs/>
          <w:sz w:val="28"/>
          <w:szCs w:val="28"/>
        </w:rPr>
      </w:pPr>
      <w:r>
        <w:rPr>
          <w:rFonts w:hint="eastAsia"/>
          <w:b/>
          <w:bCs/>
          <w:sz w:val="28"/>
          <w:szCs w:val="28"/>
        </w:rPr>
        <w:br w:type="page"/>
      </w:r>
    </w:p>
    <w:p w14:paraId="6067E61B">
      <w:pPr>
        <w:pageBreakBefore/>
        <w:overflowPunct/>
        <w:topLinePunct w:val="0"/>
        <w:bidi w:val="0"/>
        <w:jc w:val="both"/>
        <w:textAlignment w:val="auto"/>
        <w:rPr>
          <w:rFonts w:hint="eastAsia" w:ascii="宋体"/>
          <w:b/>
          <w:spacing w:val="20"/>
          <w:sz w:val="32"/>
          <w:szCs w:val="32"/>
        </w:rPr>
      </w:pPr>
      <w:r>
        <w:rPr>
          <w:rFonts w:hint="eastAsia" w:ascii="宋体" w:hAnsi="宋体" w:cs="宋体"/>
          <w:b/>
          <w:bCs/>
          <w:kern w:val="44"/>
          <w:sz w:val="24"/>
          <w:szCs w:val="24"/>
        </w:rPr>
        <w:t>附件3：</w:t>
      </w:r>
    </w:p>
    <w:p w14:paraId="4870C647">
      <w:pPr>
        <w:overflowPunct/>
        <w:topLinePunct w:val="0"/>
        <w:bidi w:val="0"/>
        <w:spacing w:line="240" w:lineRule="auto"/>
        <w:jc w:val="center"/>
        <w:textAlignment w:val="auto"/>
        <w:rPr>
          <w:rFonts w:ascii="宋体"/>
          <w:b/>
          <w:spacing w:val="20"/>
          <w:sz w:val="32"/>
          <w:szCs w:val="32"/>
        </w:rPr>
      </w:pPr>
      <w:r>
        <w:rPr>
          <w:rFonts w:hint="eastAsia" w:ascii="宋体"/>
          <w:b/>
          <w:spacing w:val="20"/>
          <w:sz w:val="32"/>
          <w:szCs w:val="32"/>
        </w:rPr>
        <w:t>廉政协议</w:t>
      </w:r>
    </w:p>
    <w:p w14:paraId="205563BE">
      <w:pPr>
        <w:pStyle w:val="19"/>
        <w:overflowPunct/>
        <w:topLinePunct w:val="0"/>
        <w:bidi w:val="0"/>
        <w:spacing w:after="0" w:line="240" w:lineRule="auto"/>
        <w:textAlignment w:val="auto"/>
      </w:pPr>
    </w:p>
    <w:p w14:paraId="59EE4580">
      <w:pPr>
        <w:overflowPunct/>
        <w:topLinePunct w:val="0"/>
        <w:bidi w:val="0"/>
        <w:spacing w:line="240" w:lineRule="auto"/>
        <w:contextualSpacing/>
        <w:textAlignment w:val="auto"/>
        <w:rPr>
          <w:rFonts w:ascii="宋体"/>
          <w:sz w:val="21"/>
          <w:szCs w:val="21"/>
        </w:rPr>
      </w:pPr>
      <w:r>
        <w:rPr>
          <w:rFonts w:hint="eastAsia" w:ascii="宋体" w:hAnsi="宋体"/>
          <w:sz w:val="21"/>
          <w:szCs w:val="21"/>
        </w:rPr>
        <w:t xml:space="preserve">    甲乙双方为加强阳光合作，保证职员职业安全，甲乙双方经协商</w:t>
      </w:r>
      <w:r>
        <w:rPr>
          <w:rFonts w:hint="eastAsia" w:ascii="宋体" w:hAnsi="宋体"/>
          <w:sz w:val="21"/>
          <w:szCs w:val="21"/>
          <w:lang w:eastAsia="zh-CN"/>
        </w:rPr>
        <w:t>签订</w:t>
      </w:r>
      <w:r>
        <w:rPr>
          <w:rFonts w:hint="eastAsia" w:ascii="宋体" w:hAnsi="宋体"/>
          <w:sz w:val="21"/>
          <w:szCs w:val="21"/>
        </w:rPr>
        <w:t>本协议并作为双方共同遵守的廉政行为准则。</w:t>
      </w:r>
    </w:p>
    <w:p w14:paraId="3558D2F3">
      <w:pPr>
        <w:numPr>
          <w:ilvl w:val="0"/>
          <w:numId w:val="2"/>
        </w:numPr>
        <w:overflowPunct/>
        <w:topLinePunct w:val="0"/>
        <w:bidi w:val="0"/>
        <w:spacing w:line="240" w:lineRule="auto"/>
        <w:contextualSpacing/>
        <w:textAlignment w:val="auto"/>
        <w:rPr>
          <w:rFonts w:hint="eastAsia" w:ascii="宋体" w:hAnsi="宋体"/>
          <w:b/>
          <w:sz w:val="21"/>
          <w:szCs w:val="21"/>
        </w:rPr>
      </w:pPr>
      <w:r>
        <w:rPr>
          <w:rFonts w:hint="eastAsia" w:ascii="宋体" w:hAnsi="宋体"/>
          <w:b/>
          <w:sz w:val="21"/>
          <w:szCs w:val="21"/>
        </w:rPr>
        <w:t>甲方责任</w:t>
      </w:r>
    </w:p>
    <w:p w14:paraId="73A3AE4A">
      <w:pPr>
        <w:overflowPunct/>
        <w:topLinePunct w:val="0"/>
        <w:bidi w:val="0"/>
        <w:spacing w:line="240" w:lineRule="auto"/>
        <w:ind w:left="105" w:leftChars="50" w:firstLine="420"/>
        <w:contextualSpacing/>
        <w:textAlignment w:val="auto"/>
        <w:rPr>
          <w:rFonts w:hint="eastAsia" w:ascii="宋体" w:hAnsi="宋体"/>
          <w:sz w:val="21"/>
          <w:szCs w:val="21"/>
        </w:rPr>
      </w:pPr>
      <w:r>
        <w:rPr>
          <w:rFonts w:hint="eastAsia" w:ascii="宋体" w:hAnsi="宋体"/>
          <w:sz w:val="21"/>
          <w:szCs w:val="21"/>
        </w:rPr>
        <w:t>1.甲方从事</w:t>
      </w:r>
      <w:r>
        <w:rPr>
          <w:rFonts w:hint="eastAsia" w:ascii="宋体" w:hAnsi="宋体"/>
          <w:kern w:val="2"/>
          <w:sz w:val="21"/>
          <w:szCs w:val="21"/>
        </w:rPr>
        <w:t>业务活动必须坚持公开、公平、公正、诚信、透明的原则（除法律法规认定的商业秘密和合同文件另有规定者外）。</w:t>
      </w:r>
    </w:p>
    <w:p w14:paraId="143641E4">
      <w:pPr>
        <w:spacing w:line="240" w:lineRule="auto"/>
        <w:rPr>
          <w:rFonts w:hint="eastAsia"/>
          <w:b/>
          <w:bCs/>
          <w:sz w:val="28"/>
          <w:szCs w:val="28"/>
        </w:rPr>
      </w:pPr>
      <w:r>
        <w:rPr>
          <w:rFonts w:hint="eastAsia" w:ascii="宋体" w:hAnsi="宋体"/>
          <w:sz w:val="21"/>
          <w:szCs w:val="21"/>
        </w:rPr>
        <w:t>3.甲方人员应严格遵守本单位</w:t>
      </w:r>
      <w:r>
        <w:rPr>
          <w:rFonts w:hint="eastAsia" w:ascii="宋体" w:hAnsi="宋体"/>
          <w:sz w:val="21"/>
          <w:szCs w:val="21"/>
          <w:lang w:eastAsia="zh-CN"/>
        </w:rPr>
        <w:t>有关</w:t>
      </w:r>
      <w:r>
        <w:rPr>
          <w:rFonts w:hint="eastAsia" w:ascii="宋体" w:hAnsi="宋体"/>
          <w:sz w:val="21"/>
          <w:szCs w:val="21"/>
        </w:rPr>
        <w:t>廉政管理的规定，不得接受乙方任何形式的回扣、实物、现金、有价证券、礼券等有价物品，不得参加乙方提供的旅游或其他可能影响职务</w:t>
      </w:r>
    </w:p>
    <w:p w14:paraId="36C6CF44">
      <w:pPr>
        <w:overflowPunct/>
        <w:topLinePunct w:val="0"/>
        <w:bidi w:val="0"/>
        <w:spacing w:line="240" w:lineRule="auto"/>
        <w:ind w:left="105" w:leftChars="50" w:firstLine="420" w:firstLineChars="200"/>
        <w:contextualSpacing/>
        <w:textAlignment w:val="auto"/>
        <w:rPr>
          <w:rFonts w:hint="eastAsia" w:ascii="宋体" w:hAnsi="宋体"/>
          <w:sz w:val="21"/>
          <w:szCs w:val="21"/>
        </w:rPr>
      </w:pPr>
      <w:r>
        <w:rPr>
          <w:rFonts w:hint="eastAsia" w:ascii="宋体" w:hAnsi="宋体"/>
          <w:sz w:val="21"/>
          <w:szCs w:val="21"/>
        </w:rPr>
        <w:t xml:space="preserve">行为公正履行的活动。 </w:t>
      </w:r>
    </w:p>
    <w:p w14:paraId="6A3F00C7">
      <w:pPr>
        <w:overflowPunct/>
        <w:topLinePunct w:val="0"/>
        <w:bidi w:val="0"/>
        <w:spacing w:line="240" w:lineRule="auto"/>
        <w:ind w:left="105" w:leftChars="50" w:firstLine="420" w:firstLineChars="200"/>
        <w:contextualSpacing/>
        <w:textAlignment w:val="auto"/>
        <w:rPr>
          <w:rFonts w:hint="eastAsia" w:ascii="宋体" w:hAnsi="宋体"/>
          <w:sz w:val="21"/>
          <w:szCs w:val="21"/>
        </w:rPr>
      </w:pPr>
      <w:r>
        <w:rPr>
          <w:rFonts w:hint="eastAsia" w:ascii="宋体" w:hAnsi="宋体"/>
          <w:sz w:val="21"/>
          <w:szCs w:val="21"/>
        </w:rPr>
        <w:t>4.甲方人员如违反廉政管理制度及本协议规定，甲方视情节轻重、影响大小给予处罚，或移交司法机关处理。</w:t>
      </w:r>
    </w:p>
    <w:p w14:paraId="373E8AC1">
      <w:pPr>
        <w:overflowPunct/>
        <w:topLinePunct w:val="0"/>
        <w:bidi w:val="0"/>
        <w:spacing w:line="240" w:lineRule="auto"/>
        <w:ind w:left="105" w:leftChars="50" w:firstLine="420" w:firstLineChars="200"/>
        <w:contextualSpacing/>
        <w:textAlignment w:val="auto"/>
        <w:rPr>
          <w:rFonts w:hint="eastAsia" w:ascii="宋体" w:hAnsi="宋体"/>
          <w:sz w:val="21"/>
          <w:szCs w:val="21"/>
        </w:rPr>
      </w:pPr>
      <w:r>
        <w:rPr>
          <w:rFonts w:hint="eastAsia" w:ascii="宋体" w:hAnsi="宋体"/>
          <w:sz w:val="21"/>
          <w:szCs w:val="21"/>
        </w:rPr>
        <w:t>5．对于乙方举报甲方人员违反廉政规定的情况，甲方应及时进行调查，根据调查情况进行处理，并将调查结果向乙方反馈。</w:t>
      </w:r>
    </w:p>
    <w:p w14:paraId="522A2B73">
      <w:pPr>
        <w:overflowPunct/>
        <w:topLinePunct w:val="0"/>
        <w:bidi w:val="0"/>
        <w:spacing w:line="240" w:lineRule="auto"/>
        <w:ind w:left="105" w:leftChars="50" w:firstLine="420" w:firstLineChars="200"/>
        <w:contextualSpacing/>
        <w:textAlignment w:val="auto"/>
        <w:rPr>
          <w:rFonts w:hint="eastAsia" w:ascii="宋体" w:hAnsi="宋体"/>
          <w:sz w:val="21"/>
          <w:szCs w:val="21"/>
        </w:rPr>
      </w:pPr>
      <w:r>
        <w:rPr>
          <w:rFonts w:hint="eastAsia" w:ascii="宋体" w:hAnsi="宋体"/>
          <w:sz w:val="21"/>
          <w:szCs w:val="21"/>
        </w:rPr>
        <w:t>6.接受举报的一方应为举报方保密，不得对举报方进行报复。</w:t>
      </w:r>
    </w:p>
    <w:p w14:paraId="6B009B3C">
      <w:pPr>
        <w:numPr>
          <w:ilvl w:val="0"/>
          <w:numId w:val="2"/>
        </w:numPr>
        <w:overflowPunct/>
        <w:topLinePunct w:val="0"/>
        <w:bidi w:val="0"/>
        <w:spacing w:line="240" w:lineRule="auto"/>
        <w:contextualSpacing/>
        <w:textAlignment w:val="auto"/>
        <w:rPr>
          <w:rFonts w:hint="eastAsia" w:ascii="宋体" w:hAnsi="宋体"/>
          <w:b/>
          <w:sz w:val="21"/>
          <w:szCs w:val="21"/>
        </w:rPr>
      </w:pPr>
      <w:r>
        <w:rPr>
          <w:rFonts w:hint="eastAsia" w:ascii="宋体" w:hAnsi="宋体"/>
          <w:b/>
          <w:sz w:val="21"/>
          <w:szCs w:val="21"/>
        </w:rPr>
        <w:t>乙方责任</w:t>
      </w:r>
    </w:p>
    <w:p w14:paraId="4AD0B48F">
      <w:pPr>
        <w:overflowPunct/>
        <w:topLinePunct w:val="0"/>
        <w:bidi w:val="0"/>
        <w:spacing w:line="240" w:lineRule="auto"/>
        <w:ind w:left="105" w:leftChars="50" w:firstLine="420"/>
        <w:contextualSpacing/>
        <w:textAlignment w:val="auto"/>
        <w:rPr>
          <w:rFonts w:hint="eastAsia" w:ascii="宋体" w:hAnsi="宋体"/>
          <w:kern w:val="2"/>
          <w:sz w:val="21"/>
          <w:szCs w:val="21"/>
        </w:rPr>
      </w:pPr>
      <w:r>
        <w:rPr>
          <w:rFonts w:hint="eastAsia" w:ascii="宋体" w:hAnsi="宋体"/>
          <w:kern w:val="2"/>
          <w:sz w:val="21"/>
          <w:szCs w:val="21"/>
        </w:rPr>
        <w:t>乙方应与甲方保持正常的业务交往，按照有关法律法规和程序开展业务活动。</w:t>
      </w:r>
    </w:p>
    <w:p w14:paraId="1C82910F">
      <w:pPr>
        <w:overflowPunct/>
        <w:topLinePunct w:val="0"/>
        <w:bidi w:val="0"/>
        <w:spacing w:line="240" w:lineRule="auto"/>
        <w:ind w:left="105" w:leftChars="50" w:firstLine="420" w:firstLineChars="200"/>
        <w:contextualSpacing/>
        <w:textAlignment w:val="auto"/>
        <w:rPr>
          <w:rFonts w:hint="eastAsia" w:ascii="宋体" w:hAnsi="宋体"/>
          <w:sz w:val="21"/>
          <w:szCs w:val="21"/>
        </w:rPr>
      </w:pPr>
      <w:r>
        <w:rPr>
          <w:rFonts w:hint="eastAsia" w:ascii="宋体" w:hAnsi="宋体"/>
          <w:sz w:val="21"/>
          <w:szCs w:val="21"/>
        </w:rPr>
        <w:t>1.乙方不得以任何形式给予甲方人员回扣、赠送实物、现金、有价证券、礼券等有价物品或提供旅游等其他可能影响职务行为公正履行的活动（以下统称“财物”）。</w:t>
      </w:r>
    </w:p>
    <w:p w14:paraId="388DBFAF">
      <w:pPr>
        <w:overflowPunct/>
        <w:topLinePunct w:val="0"/>
        <w:bidi w:val="0"/>
        <w:spacing w:line="240" w:lineRule="auto"/>
        <w:ind w:left="105" w:leftChars="50" w:firstLine="420" w:firstLineChars="200"/>
        <w:contextualSpacing/>
        <w:textAlignment w:val="auto"/>
        <w:rPr>
          <w:rFonts w:hint="eastAsia" w:ascii="宋体" w:hAnsi="宋体"/>
          <w:sz w:val="21"/>
          <w:szCs w:val="21"/>
        </w:rPr>
      </w:pPr>
      <w:r>
        <w:rPr>
          <w:rFonts w:hint="eastAsia" w:ascii="宋体" w:hAnsi="宋体"/>
          <w:sz w:val="21"/>
          <w:szCs w:val="21"/>
        </w:rPr>
        <w:t>2.乙方有责任接受甲方对乙方在合作期间廉政管理执行情况的监督，并对甲方相关调查工作主动配合。</w:t>
      </w:r>
    </w:p>
    <w:p w14:paraId="0D297D9C">
      <w:pPr>
        <w:overflowPunct/>
        <w:topLinePunct w:val="0"/>
        <w:bidi w:val="0"/>
        <w:spacing w:line="240" w:lineRule="auto"/>
        <w:ind w:left="105" w:leftChars="50" w:firstLine="420" w:firstLineChars="200"/>
        <w:contextualSpacing/>
        <w:textAlignment w:val="auto"/>
        <w:rPr>
          <w:rFonts w:hint="eastAsia" w:ascii="宋体" w:hAnsi="宋体"/>
          <w:sz w:val="21"/>
          <w:szCs w:val="21"/>
        </w:rPr>
      </w:pPr>
      <w:r>
        <w:rPr>
          <w:rFonts w:hint="eastAsia" w:ascii="宋体" w:hAnsi="宋体"/>
          <w:sz w:val="21"/>
          <w:szCs w:val="21"/>
        </w:rPr>
        <w:t>3.乙方有义务就甲方人员任何形式的索取或收受财物行为及时向甲方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被司法机关立案查处核实属实的，甲方有权解除原合同，如甲方解除原合同的，则乙方应退还甲方所支付的所有款项并按原合同与本合同约定承担违约责任。</w:t>
      </w:r>
    </w:p>
    <w:p w14:paraId="3C952A81">
      <w:pPr>
        <w:overflowPunct/>
        <w:topLinePunct w:val="0"/>
        <w:bidi w:val="0"/>
        <w:spacing w:line="240" w:lineRule="auto"/>
        <w:ind w:left="105" w:leftChars="50" w:firstLine="420" w:firstLineChars="200"/>
        <w:contextualSpacing/>
        <w:textAlignment w:val="auto"/>
        <w:rPr>
          <w:sz w:val="21"/>
          <w:szCs w:val="24"/>
        </w:rPr>
      </w:pPr>
      <w:r>
        <w:rPr>
          <w:rFonts w:hint="eastAsia" w:ascii="宋体" w:hAnsi="宋体"/>
          <w:sz w:val="21"/>
          <w:szCs w:val="21"/>
        </w:rPr>
        <w:t>4．甲方接受乙方实名或匿名举报，保证为举报者的信息保密。</w:t>
      </w:r>
    </w:p>
    <w:p w14:paraId="5163DDEE">
      <w:pPr>
        <w:numPr>
          <w:ilvl w:val="0"/>
          <w:numId w:val="2"/>
        </w:numPr>
        <w:overflowPunct/>
        <w:topLinePunct w:val="0"/>
        <w:bidi w:val="0"/>
        <w:spacing w:line="240" w:lineRule="auto"/>
        <w:contextualSpacing/>
        <w:textAlignment w:val="auto"/>
        <w:rPr>
          <w:rFonts w:hint="eastAsia" w:ascii="宋体" w:hAnsi="宋体"/>
          <w:b/>
          <w:sz w:val="21"/>
          <w:szCs w:val="21"/>
        </w:rPr>
      </w:pPr>
      <w:r>
        <w:rPr>
          <w:rFonts w:hint="eastAsia" w:ascii="宋体" w:hAnsi="宋体"/>
          <w:b/>
          <w:sz w:val="21"/>
          <w:szCs w:val="21"/>
        </w:rPr>
        <w:t>其他</w:t>
      </w:r>
    </w:p>
    <w:p w14:paraId="576A1F5A">
      <w:pPr>
        <w:overflowPunct/>
        <w:topLinePunct w:val="0"/>
        <w:bidi w:val="0"/>
        <w:spacing w:line="240" w:lineRule="auto"/>
        <w:ind w:left="105" w:leftChars="50" w:firstLine="420" w:firstLineChars="200"/>
        <w:contextualSpacing/>
        <w:textAlignment w:val="auto"/>
        <w:rPr>
          <w:rFonts w:hint="eastAsia" w:ascii="宋体" w:hAnsi="宋体"/>
          <w:sz w:val="21"/>
          <w:szCs w:val="21"/>
        </w:rPr>
      </w:pPr>
      <w:r>
        <w:rPr>
          <w:rFonts w:hint="eastAsia" w:ascii="宋体" w:hAnsi="宋体"/>
          <w:sz w:val="21"/>
          <w:szCs w:val="21"/>
        </w:rPr>
        <w:t>本协议经双方签署后生效。</w:t>
      </w:r>
    </w:p>
    <w:p w14:paraId="27B009F2">
      <w:pPr>
        <w:overflowPunct/>
        <w:topLinePunct w:val="0"/>
        <w:bidi w:val="0"/>
        <w:spacing w:line="240" w:lineRule="auto"/>
        <w:ind w:right="26"/>
        <w:contextualSpacing/>
        <w:textAlignment w:val="auto"/>
        <w:rPr>
          <w:rFonts w:hint="eastAsia" w:ascii="宋体" w:hAnsi="宋体"/>
          <w:sz w:val="21"/>
          <w:szCs w:val="21"/>
        </w:rPr>
      </w:pPr>
    </w:p>
    <w:p w14:paraId="06241CFD">
      <w:pPr>
        <w:pStyle w:val="4"/>
        <w:overflowPunct/>
        <w:topLinePunct w:val="0"/>
        <w:bidi w:val="0"/>
        <w:spacing w:line="240" w:lineRule="auto"/>
        <w:textAlignment w:val="auto"/>
        <w:rPr>
          <w:rFonts w:hint="eastAsia" w:ascii="宋体" w:hAnsi="宋体"/>
          <w:sz w:val="21"/>
          <w:szCs w:val="21"/>
        </w:rPr>
      </w:pPr>
    </w:p>
    <w:p w14:paraId="7403421F">
      <w:pPr>
        <w:overflowPunct/>
        <w:topLinePunct w:val="0"/>
        <w:bidi w:val="0"/>
        <w:spacing w:line="240" w:lineRule="auto"/>
        <w:textAlignment w:val="auto"/>
        <w:rPr>
          <w:sz w:val="21"/>
          <w:szCs w:val="24"/>
        </w:rPr>
      </w:pPr>
    </w:p>
    <w:p w14:paraId="5E7A9A94">
      <w:pPr>
        <w:overflowPunct/>
        <w:topLinePunct w:val="0"/>
        <w:bidi w:val="0"/>
        <w:spacing w:line="240" w:lineRule="auto"/>
        <w:ind w:left="1699" w:hanging="1698" w:hangingChars="809"/>
        <w:jc w:val="both"/>
        <w:textAlignment w:val="auto"/>
        <w:rPr>
          <w:rFonts w:hint="eastAsia" w:ascii="宋体" w:hAnsi="宋体"/>
          <w:sz w:val="21"/>
          <w:szCs w:val="21"/>
        </w:rPr>
      </w:pPr>
      <w:r>
        <w:rPr>
          <w:rFonts w:hint="eastAsia" w:ascii="宋体" w:hAnsi="宋体"/>
          <w:sz w:val="21"/>
          <w:szCs w:val="21"/>
        </w:rPr>
        <w:t>甲方（盖章）：</w:t>
      </w:r>
      <w:r>
        <w:rPr>
          <w:rFonts w:hint="eastAsia" w:ascii="宋体" w:hAnsi="宋体"/>
          <w:sz w:val="21"/>
          <w:szCs w:val="21"/>
          <w:lang w:val="en-US" w:eastAsia="zh-CN"/>
        </w:rPr>
        <w:t xml:space="preserve">                      </w:t>
      </w:r>
      <w:r>
        <w:rPr>
          <w:rFonts w:hint="eastAsia" w:ascii="宋体" w:hAnsi="宋体"/>
          <w:sz w:val="21"/>
          <w:szCs w:val="21"/>
        </w:rPr>
        <w:t xml:space="preserve">     乙方（盖章）：</w:t>
      </w:r>
      <w:r>
        <w:rPr>
          <w:rFonts w:hint="eastAsia" w:ascii="宋体" w:hAnsi="宋体" w:cs="仿宋_GB2312"/>
          <w:sz w:val="24"/>
          <w:szCs w:val="21"/>
        </w:rPr>
        <w:t xml:space="preserve"> </w:t>
      </w:r>
      <w:r>
        <w:rPr>
          <w:rFonts w:hint="eastAsia" w:ascii="宋体" w:hAnsi="宋体"/>
          <w:sz w:val="21"/>
          <w:szCs w:val="21"/>
        </w:rPr>
        <w:t xml:space="preserve">                                                                      </w:t>
      </w:r>
      <w:r>
        <w:rPr>
          <w:rFonts w:hint="eastAsia" w:ascii="宋体" w:hAnsi="宋体"/>
          <w:sz w:val="21"/>
          <w:szCs w:val="21"/>
          <w:lang w:val="en-US" w:eastAsia="zh-CN"/>
        </w:rPr>
        <w:t xml:space="preserve">     </w:t>
      </w:r>
    </w:p>
    <w:p w14:paraId="5C78F614">
      <w:pPr>
        <w:overflowPunct/>
        <w:topLinePunct w:val="0"/>
        <w:bidi w:val="0"/>
        <w:spacing w:line="240" w:lineRule="auto"/>
        <w:ind w:right="26" w:firstLine="840" w:firstLineChars="400"/>
        <w:contextualSpacing/>
        <w:textAlignment w:val="auto"/>
        <w:rPr>
          <w:rFonts w:hint="eastAsia" w:ascii="宋体" w:hAnsi="宋体"/>
          <w:sz w:val="21"/>
          <w:szCs w:val="21"/>
        </w:rPr>
      </w:pPr>
    </w:p>
    <w:p w14:paraId="50C09299">
      <w:pPr>
        <w:overflowPunct/>
        <w:topLinePunct w:val="0"/>
        <w:bidi w:val="0"/>
        <w:spacing w:line="240" w:lineRule="auto"/>
        <w:ind w:right="26"/>
        <w:contextualSpacing/>
        <w:textAlignment w:val="auto"/>
        <w:rPr>
          <w:rFonts w:ascii="宋体"/>
          <w:sz w:val="21"/>
          <w:szCs w:val="21"/>
        </w:rPr>
      </w:pPr>
      <w:r>
        <w:rPr>
          <w:rFonts w:hint="eastAsia" w:ascii="宋体" w:hAnsi="宋体"/>
          <w:sz w:val="21"/>
          <w:szCs w:val="21"/>
        </w:rPr>
        <w:t>法定代表人（授权代表）：</w:t>
      </w:r>
      <w:r>
        <w:rPr>
          <w:rFonts w:hint="eastAsia" w:ascii="宋体"/>
          <w:sz w:val="21"/>
          <w:szCs w:val="21"/>
        </w:rPr>
        <w:tab/>
      </w:r>
      <w:r>
        <w:rPr>
          <w:rFonts w:hint="eastAsia" w:ascii="宋体"/>
          <w:sz w:val="21"/>
          <w:szCs w:val="21"/>
        </w:rPr>
        <w:tab/>
      </w:r>
      <w:r>
        <w:rPr>
          <w:rFonts w:hint="eastAsia" w:ascii="宋体"/>
          <w:sz w:val="21"/>
          <w:szCs w:val="21"/>
        </w:rPr>
        <w:tab/>
      </w:r>
      <w:r>
        <w:rPr>
          <w:rFonts w:hint="eastAsia" w:ascii="宋体"/>
          <w:sz w:val="21"/>
          <w:szCs w:val="21"/>
          <w:lang w:val="en-US" w:eastAsia="zh-CN"/>
        </w:rPr>
        <w:t xml:space="preserve">    </w:t>
      </w:r>
      <w:r>
        <w:rPr>
          <w:rFonts w:hint="eastAsia" w:ascii="宋体"/>
          <w:sz w:val="21"/>
          <w:szCs w:val="21"/>
        </w:rPr>
        <w:t xml:space="preserve"> </w:t>
      </w:r>
      <w:r>
        <w:rPr>
          <w:rFonts w:hint="eastAsia" w:ascii="宋体" w:hAnsi="宋体"/>
          <w:sz w:val="21"/>
          <w:szCs w:val="21"/>
        </w:rPr>
        <w:t>法定代表人（授权代表）：</w:t>
      </w:r>
    </w:p>
    <w:p w14:paraId="605326EC">
      <w:pPr>
        <w:pStyle w:val="4"/>
        <w:overflowPunct/>
        <w:topLinePunct w:val="0"/>
        <w:bidi w:val="0"/>
        <w:spacing w:line="240" w:lineRule="auto"/>
        <w:jc w:val="both"/>
        <w:textAlignment w:val="auto"/>
        <w:rPr>
          <w:sz w:val="32"/>
          <w:szCs w:val="32"/>
        </w:rPr>
      </w:pPr>
    </w:p>
    <w:p w14:paraId="53E854AE">
      <w:pPr>
        <w:overflowPunct/>
        <w:topLinePunct w:val="0"/>
        <w:bidi w:val="0"/>
        <w:spacing w:line="240" w:lineRule="auto"/>
        <w:ind w:right="26"/>
        <w:contextualSpacing/>
        <w:textAlignment w:val="auto"/>
        <w:rPr>
          <w:sz w:val="21"/>
          <w:szCs w:val="24"/>
        </w:rPr>
      </w:pPr>
      <w:r>
        <w:rPr>
          <w:rFonts w:hint="eastAsia" w:ascii="宋体" w:hAnsi="宋体"/>
          <w:sz w:val="21"/>
          <w:szCs w:val="21"/>
        </w:rPr>
        <w:t>签订日期：   年   月   日</w:t>
      </w:r>
      <w:r>
        <w:rPr>
          <w:sz w:val="21"/>
          <w:szCs w:val="21"/>
        </w:rPr>
        <w:tab/>
      </w:r>
    </w:p>
    <w:p w14:paraId="54521AB5">
      <w:pPr>
        <w:pageBreakBefore/>
        <w:overflowPunct/>
        <w:topLinePunct w:val="0"/>
        <w:bidi w:val="0"/>
        <w:jc w:val="both"/>
        <w:textAlignment w:val="auto"/>
        <w:rPr>
          <w:rFonts w:hint="default" w:ascii="宋体" w:hAnsi="宋体" w:cs="宋体"/>
          <w:b/>
          <w:bCs/>
          <w:kern w:val="44"/>
          <w:sz w:val="24"/>
          <w:szCs w:val="24"/>
          <w:lang w:val="en-US" w:eastAsia="zh-CN"/>
        </w:rPr>
      </w:pPr>
      <w:r>
        <w:rPr>
          <w:rFonts w:hint="eastAsia" w:ascii="宋体" w:hAnsi="宋体" w:cs="宋体"/>
          <w:b/>
          <w:bCs/>
          <w:kern w:val="44"/>
          <w:sz w:val="24"/>
          <w:szCs w:val="24"/>
          <w:lang w:eastAsia="zh-CN"/>
        </w:rPr>
        <w:t>附件</w:t>
      </w:r>
      <w:r>
        <w:rPr>
          <w:rFonts w:hint="eastAsia" w:ascii="宋体" w:hAnsi="宋体" w:cs="宋体"/>
          <w:b/>
          <w:bCs/>
          <w:kern w:val="44"/>
          <w:sz w:val="24"/>
          <w:szCs w:val="24"/>
          <w:lang w:val="en-US" w:eastAsia="zh-CN"/>
        </w:rPr>
        <w:t>4：</w:t>
      </w:r>
    </w:p>
    <w:p w14:paraId="7F142367">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b/>
          <w:bCs/>
          <w:sz w:val="28"/>
          <w:szCs w:val="28"/>
        </w:rPr>
      </w:pPr>
      <w:r>
        <w:rPr>
          <w:rFonts w:hint="eastAsia"/>
          <w:b/>
          <w:bCs/>
          <w:sz w:val="28"/>
          <w:szCs w:val="28"/>
        </w:rPr>
        <w:t>龙岗区进一步规范政商交往行为告知书</w:t>
      </w:r>
    </w:p>
    <w:p w14:paraId="6511256A">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为深入构建“亲”“清”新型政商关系，努力打造尊商、亲商、助商、安商良好营商环境，龙岗区委区政府制定了《龙岗区公职人员政商交往“十个不准”》，严明公职人员在政商交往中的纪律要求。请参与龙岗建设的广大企业及其从业人员，严格监督我区公职人员落实“十个不准”，并在与我区公职人员交往中切实做到“十个不得”。</w:t>
      </w:r>
    </w:p>
    <w:p w14:paraId="221EE684">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一、不得向公职人员赠送礼品、礼金、消费卡等财物。</w:t>
      </w:r>
    </w:p>
    <w:p w14:paraId="2CB2742F">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二、不得违规向公职人员提供宴请、旅游、娱乐等安排。</w:t>
      </w:r>
    </w:p>
    <w:p w14:paraId="4F80D5A3">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三、不得通过打麻将等形式向公职人员输送利益。</w:t>
      </w:r>
    </w:p>
    <w:p w14:paraId="26C3B4AF">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四、不得为公职人员报销应由其个人支付的费用。</w:t>
      </w:r>
    </w:p>
    <w:p w14:paraId="499A98AF">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五、不得违规向公职人员及其亲友借贷款。</w:t>
      </w:r>
    </w:p>
    <w:p w14:paraId="7CF91217">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六、不得违规将车辆、住房等借给公职人员使用。</w:t>
      </w:r>
    </w:p>
    <w:p w14:paraId="44A47E2C">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七、不得在招投标中与公职人员搞暗箱操作、围标串标。</w:t>
      </w:r>
    </w:p>
    <w:p w14:paraId="2AF15CAE">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八、不得为利益相关人和公职人员牵线搭桥或者代为传递信息、传递财物。</w:t>
      </w:r>
    </w:p>
    <w:p w14:paraId="0144B9EB">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九、不得让公职人员在企业违规兼职取酬。</w:t>
      </w:r>
    </w:p>
    <w:p w14:paraId="067DF9B6">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十、不得为公职人员亲友违规承揽业务提供便利。</w:t>
      </w:r>
    </w:p>
    <w:p w14:paraId="7ED1EB31">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上述“十个不得”，请您严格遵守。同时，在政商交往中，如有发现我区公职人员存在违反“十个不准”的问题，请及时通过网络举报平台或者12388举报电话等方式，向纪检监察机关反映举报，我们将一律严格保密、一律优先处置、一律严肃查处。</w:t>
      </w:r>
    </w:p>
    <w:p w14:paraId="03A88C98">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p>
    <w:p w14:paraId="55F421FA">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本</w:t>
      </w:r>
      <w:r>
        <w:rPr>
          <w:rFonts w:hint="eastAsia" w:ascii="宋体" w:hAnsi="宋体" w:eastAsia="宋体" w:cs="宋体"/>
          <w:color w:val="000000"/>
          <w:sz w:val="24"/>
          <w:szCs w:val="24"/>
          <w:lang w:eastAsia="zh-CN"/>
        </w:rPr>
        <w:t>单位</w:t>
      </w:r>
      <w:r>
        <w:rPr>
          <w:rFonts w:hint="eastAsia" w:ascii="宋体" w:hAnsi="宋体" w:eastAsia="宋体" w:cs="宋体"/>
          <w:color w:val="000000"/>
          <w:sz w:val="24"/>
          <w:szCs w:val="24"/>
        </w:rPr>
        <w:t>已知晓上述告知内容，并愿意遵照执行（</w:t>
      </w:r>
      <w:r>
        <w:rPr>
          <w:rFonts w:hint="eastAsia" w:ascii="宋体" w:hAnsi="宋体" w:cs="宋体"/>
          <w:color w:val="000000"/>
          <w:sz w:val="24"/>
          <w:szCs w:val="24"/>
          <w:lang w:val="en-US" w:eastAsia="zh-CN"/>
        </w:rPr>
        <w:t>盖章</w:t>
      </w:r>
      <w:r>
        <w:rPr>
          <w:rFonts w:hint="eastAsia" w:ascii="宋体" w:hAnsi="宋体" w:eastAsia="宋体" w:cs="宋体"/>
          <w:color w:val="000000"/>
          <w:sz w:val="24"/>
          <w:szCs w:val="24"/>
        </w:rPr>
        <w:t>）：</w:t>
      </w:r>
    </w:p>
    <w:p w14:paraId="7514B7C4">
      <w:pPr>
        <w:keepNext w:val="0"/>
        <w:keepLines w:val="0"/>
        <w:pageBreakBefore w:val="0"/>
        <w:widowControl w:val="0"/>
        <w:kinsoku/>
        <w:wordWrap/>
        <w:overflowPunct/>
        <w:topLinePunct w:val="0"/>
        <w:autoSpaceDE/>
        <w:autoSpaceDN/>
        <w:bidi w:val="0"/>
        <w:adjustRightInd w:val="0"/>
        <w:snapToGrid w:val="0"/>
        <w:spacing w:line="520" w:lineRule="exact"/>
        <w:jc w:val="left"/>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 xml:space="preserve">                                  法定代表人（签章）：</w:t>
      </w:r>
    </w:p>
    <w:p w14:paraId="1A5768FF">
      <w:pPr>
        <w:spacing w:line="240" w:lineRule="auto"/>
        <w:jc w:val="right"/>
        <w:outlineLvl w:val="9"/>
      </w:pPr>
      <w:r>
        <w:rPr>
          <w:rFonts w:hint="eastAsia" w:cs="宋体"/>
          <w:color w:val="000000"/>
          <w:sz w:val="24"/>
          <w:szCs w:val="24"/>
          <w:lang w:val="en-US" w:eastAsia="zh-CN"/>
        </w:rPr>
        <w:t xml:space="preserve">   </w:t>
      </w:r>
      <w:r>
        <w:rPr>
          <w:rFonts w:hint="eastAsia" w:ascii="宋体" w:hAnsi="宋体" w:eastAsia="宋体" w:cs="宋体"/>
          <w:color w:val="000000"/>
          <w:sz w:val="24"/>
          <w:szCs w:val="24"/>
        </w:rPr>
        <w:t>年</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 xml:space="preserve"> 月</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 xml:space="preserve"> 日</w:t>
      </w:r>
    </w:p>
    <w:p w14:paraId="1597B51F">
      <w:pPr>
        <w:overflowPunct/>
        <w:topLinePunct w:val="0"/>
        <w:bidi w:val="0"/>
        <w:textAlignment w:val="auto"/>
        <w:rPr>
          <w:rFonts w:hint="eastAsia" w:ascii="宋体" w:hAnsi="宋体" w:cs="宋体"/>
          <w:sz w:val="24"/>
          <w:szCs w:val="24"/>
          <w:lang w:eastAsia="zh-CN"/>
        </w:rPr>
      </w:pPr>
    </w:p>
    <w:sectPr>
      <w:footerReference r:id="rId7" w:type="default"/>
      <w:pgSz w:w="11906" w:h="16838"/>
      <w:pgMar w:top="1440" w:right="1797" w:bottom="1440" w:left="179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OpenSymbol"/>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2"/>
    <w:panose1 w:val="05050102010706020507"/>
    <w:charset w:val="02"/>
    <w:family w:val="roman"/>
    <w:pitch w:val="default"/>
    <w:sig w:usb0="00000000" w:usb1="00000000" w:usb2="00000000" w:usb3="00000000" w:csb0="8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微软雅黑">
    <w:altName w:val="黑体"/>
    <w:panose1 w:val="020B0503020204020204"/>
    <w:charset w:val="86"/>
    <w:family w:val="auto"/>
    <w:pitch w:val="default"/>
    <w:sig w:usb0="00000000" w:usb1="00000000" w:usb2="00000016" w:usb3="00000000" w:csb0="0004001F" w:csb1="00000000"/>
  </w:font>
  <w:font w:name="Cambria">
    <w:altName w:val="Caladea"/>
    <w:panose1 w:val="02040503050406030204"/>
    <w:charset w:val="00"/>
    <w:family w:val="roman"/>
    <w:pitch w:val="default"/>
    <w:sig w:usb0="00000000" w:usb1="00000000" w:usb2="02000000" w:usb3="00000000" w:csb0="2000019F" w:csb1="00000000"/>
  </w:font>
  <w:font w:name="Caladea">
    <w:panose1 w:val="02040503050406030204"/>
    <w:charset w:val="00"/>
    <w:family w:val="auto"/>
    <w:pitch w:val="default"/>
    <w:sig w:usb0="00000007" w:usb1="00000000" w:usb2="00000000" w:usb3="00000000" w:csb0="20000093"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FZXBSJW--GB1-0">
    <w:altName w:val="华文中宋"/>
    <w:panose1 w:val="00000000000000000000"/>
    <w:charset w:val="00"/>
    <w:family w:val="auto"/>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Gulim">
    <w:altName w:val="Noto Sans CJK HK Bold"/>
    <w:panose1 w:val="020B0600000101010101"/>
    <w:charset w:val="00"/>
    <w:family w:val="roman"/>
    <w:pitch w:val="default"/>
    <w:sig w:usb0="00000000" w:usb1="00000000" w:usb2="00000010" w:usb3="00000000" w:csb0="00080000" w:csb1="00000000"/>
  </w:font>
  <w:font w:name="Noto Sans CJK HK Bold">
    <w:panose1 w:val="020B0500000000000000"/>
    <w:charset w:val="88"/>
    <w:family w:val="auto"/>
    <w:pitch w:val="default"/>
    <w:sig w:usb0="30000083" w:usb1="2BDF3C10" w:usb2="00000016" w:usb3="00000000" w:csb0="603A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780B6">
    <w:pPr>
      <w:tabs>
        <w:tab w:val="center" w:pos="4153"/>
        <w:tab w:val="right" w:pos="8306"/>
      </w:tabs>
      <w:snapToGrid w:val="0"/>
      <w:rPr>
        <w:rFonts w:ascii="宋体" w:hAnsi="宋体" w:eastAsia="宋体" w:cs="宋体"/>
        <w:sz w:val="18"/>
        <w:szCs w:val="18"/>
      </w:rPr>
    </w:pPr>
  </w:p>
  <w:p w14:paraId="4C8FE58A">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7982C">
    <w:pPr>
      <w:tabs>
        <w:tab w:val="center" w:pos="4153"/>
        <w:tab w:val="right" w:pos="8306"/>
      </w:tabs>
      <w:snapToGrid w:val="0"/>
      <w:rPr>
        <w:rFonts w:ascii="宋体" w:hAnsi="宋体" w:eastAsia="宋体" w:cs="宋体"/>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A431D5">
                          <w:pPr>
                            <w:pStyle w:val="13"/>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DA431D5">
                    <w:pPr>
                      <w:pStyle w:val="13"/>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p w14:paraId="5E4E430D">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ACFA5">
    <w:pPr>
      <w:tabs>
        <w:tab w:val="center" w:pos="4153"/>
        <w:tab w:val="right" w:pos="8306"/>
      </w:tabs>
      <w:snapToGrid w:val="0"/>
      <w:rPr>
        <w:rFonts w:ascii="宋体" w:hAnsi="宋体" w:eastAsia="宋体" w:cs="宋体"/>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62F809">
                          <w:pPr>
                            <w:pStyle w:val="13"/>
                          </w:pPr>
                          <w:r>
                            <w:t xml:space="preserve">第 </w:t>
                          </w:r>
                          <w:r>
                            <w:fldChar w:fldCharType="begin"/>
                          </w:r>
                          <w:r>
                            <w:instrText xml:space="preserve"> PAGE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C62F809">
                    <w:pPr>
                      <w:pStyle w:val="13"/>
                    </w:pPr>
                    <w:r>
                      <w:t xml:space="preserve">第 </w:t>
                    </w:r>
                    <w:r>
                      <w:fldChar w:fldCharType="begin"/>
                    </w:r>
                    <w:r>
                      <w:instrText xml:space="preserve"> PAGE  \* MERGEFORMAT </w:instrText>
                    </w:r>
                    <w:r>
                      <w:fldChar w:fldCharType="separate"/>
                    </w:r>
                    <w:r>
                      <w:t>7</w:t>
                    </w:r>
                    <w:r>
                      <w:fldChar w:fldCharType="end"/>
                    </w:r>
                    <w:r>
                      <w:t xml:space="preserve"> 页</w:t>
                    </w:r>
                  </w:p>
                </w:txbxContent>
              </v:textbox>
            </v:shape>
          </w:pict>
        </mc:Fallback>
      </mc:AlternateContent>
    </w:r>
  </w:p>
  <w:p w14:paraId="32365DED">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E24CA">
    <w:pPr>
      <w:pStyle w:val="14"/>
      <w:jc w:val="right"/>
      <w:rPr>
        <w:rFonts w:ascii="楷体" w:hAnsi="楷体" w:eastAsia="楷体"/>
        <w:b/>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3F995">
    <w:pPr>
      <w:pStyle w:val="14"/>
      <w:pBdr>
        <w:bottom w:val="none" w:color="auto" w:sz="0" w:space="1"/>
      </w:pBdr>
      <w:jc w:val="right"/>
      <w:rPr>
        <w:rFonts w:ascii="楷体" w:hAnsi="楷体" w:eastAsia="楷体"/>
        <w:b/>
        <w:sz w:val="21"/>
        <w:szCs w:val="21"/>
      </w:rPr>
    </w:pPr>
  </w:p>
  <w:p w14:paraId="0CCCE916">
    <w:pPr>
      <w:pStyle w:val="14"/>
      <w:pBdr>
        <w:bottom w:val="none" w:color="auto" w:sz="0" w:space="1"/>
      </w:pBdr>
      <w:jc w:val="both"/>
      <w:rPr>
        <w:b/>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DD479F"/>
    <w:multiLevelType w:val="singleLevel"/>
    <w:tmpl w:val="51DD479F"/>
    <w:lvl w:ilvl="0" w:tentative="0">
      <w:start w:val="1"/>
      <w:numFmt w:val="chineseCounting"/>
      <w:suff w:val="nothing"/>
      <w:lvlText w:val="（%1）"/>
      <w:lvlJc w:val="left"/>
      <w:rPr>
        <w:rFonts w:hint="eastAsia"/>
      </w:rPr>
    </w:lvl>
  </w:abstractNum>
  <w:abstractNum w:abstractNumId="1">
    <w:nsid w:val="799F1C8B"/>
    <w:multiLevelType w:val="multilevel"/>
    <w:tmpl w:val="799F1C8B"/>
    <w:lvl w:ilvl="0" w:tentative="0">
      <w:start w:val="1"/>
      <w:numFmt w:val="japaneseCounting"/>
      <w:lvlText w:val="%1、"/>
      <w:lvlJc w:val="left"/>
      <w:pPr>
        <w:ind w:left="1110" w:hanging="51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xOGMyN2JhZTY4YTkxNWNkYWM2ZWU0ZGJlNWYxYjcifQ=="/>
  </w:docVars>
  <w:rsids>
    <w:rsidRoot w:val="17BE5136"/>
    <w:rsid w:val="000102BA"/>
    <w:rsid w:val="00045651"/>
    <w:rsid w:val="0026389C"/>
    <w:rsid w:val="00450E0B"/>
    <w:rsid w:val="00530C6A"/>
    <w:rsid w:val="00545B75"/>
    <w:rsid w:val="006040EB"/>
    <w:rsid w:val="00631F70"/>
    <w:rsid w:val="00716806"/>
    <w:rsid w:val="0083233F"/>
    <w:rsid w:val="009A27B8"/>
    <w:rsid w:val="009E009B"/>
    <w:rsid w:val="00A469FF"/>
    <w:rsid w:val="00AD6FD5"/>
    <w:rsid w:val="00B16638"/>
    <w:rsid w:val="00B32CA6"/>
    <w:rsid w:val="00B60943"/>
    <w:rsid w:val="00BF266E"/>
    <w:rsid w:val="00C134C5"/>
    <w:rsid w:val="00C46601"/>
    <w:rsid w:val="00C51887"/>
    <w:rsid w:val="00CE1C65"/>
    <w:rsid w:val="00D054D3"/>
    <w:rsid w:val="00D25F06"/>
    <w:rsid w:val="00DB62A6"/>
    <w:rsid w:val="00DF63D9"/>
    <w:rsid w:val="00E63D6F"/>
    <w:rsid w:val="00E85514"/>
    <w:rsid w:val="00E8738A"/>
    <w:rsid w:val="00ED4298"/>
    <w:rsid w:val="00F444E8"/>
    <w:rsid w:val="00FF3254"/>
    <w:rsid w:val="01BD17FD"/>
    <w:rsid w:val="022918D7"/>
    <w:rsid w:val="0255099D"/>
    <w:rsid w:val="028A38B2"/>
    <w:rsid w:val="02FE3E7B"/>
    <w:rsid w:val="032633D2"/>
    <w:rsid w:val="03373831"/>
    <w:rsid w:val="03CE5F43"/>
    <w:rsid w:val="04441D61"/>
    <w:rsid w:val="05143E2A"/>
    <w:rsid w:val="0537429E"/>
    <w:rsid w:val="061846E0"/>
    <w:rsid w:val="06752D16"/>
    <w:rsid w:val="070710B4"/>
    <w:rsid w:val="078B7CA7"/>
    <w:rsid w:val="081E1D7C"/>
    <w:rsid w:val="08AC212E"/>
    <w:rsid w:val="08D57B76"/>
    <w:rsid w:val="096A178B"/>
    <w:rsid w:val="0A2B3F44"/>
    <w:rsid w:val="0A6F38B0"/>
    <w:rsid w:val="0B093682"/>
    <w:rsid w:val="0B4A3885"/>
    <w:rsid w:val="0BB1402B"/>
    <w:rsid w:val="0C21546C"/>
    <w:rsid w:val="0CE97943"/>
    <w:rsid w:val="0D2D1B11"/>
    <w:rsid w:val="0D4119AE"/>
    <w:rsid w:val="0D523741"/>
    <w:rsid w:val="0D8C737A"/>
    <w:rsid w:val="0E2A182C"/>
    <w:rsid w:val="0E30313F"/>
    <w:rsid w:val="0F0767AD"/>
    <w:rsid w:val="0F3C27A7"/>
    <w:rsid w:val="0F430274"/>
    <w:rsid w:val="0F500A75"/>
    <w:rsid w:val="0FAF1E65"/>
    <w:rsid w:val="0FE443F8"/>
    <w:rsid w:val="0FEB630E"/>
    <w:rsid w:val="10D36276"/>
    <w:rsid w:val="112A22DF"/>
    <w:rsid w:val="12386BEC"/>
    <w:rsid w:val="12E274C9"/>
    <w:rsid w:val="12E56A2A"/>
    <w:rsid w:val="131D2AF7"/>
    <w:rsid w:val="139567D6"/>
    <w:rsid w:val="13AB16DC"/>
    <w:rsid w:val="14E758F6"/>
    <w:rsid w:val="165459D4"/>
    <w:rsid w:val="16F2414E"/>
    <w:rsid w:val="17BE5136"/>
    <w:rsid w:val="17DB2790"/>
    <w:rsid w:val="17DFDF3E"/>
    <w:rsid w:val="19D04EBF"/>
    <w:rsid w:val="1A7B736C"/>
    <w:rsid w:val="1A9B009D"/>
    <w:rsid w:val="1AD17095"/>
    <w:rsid w:val="1AD82317"/>
    <w:rsid w:val="1B527002"/>
    <w:rsid w:val="1B695E65"/>
    <w:rsid w:val="1CDA105D"/>
    <w:rsid w:val="1D322C47"/>
    <w:rsid w:val="1DE20F4A"/>
    <w:rsid w:val="1EA57449"/>
    <w:rsid w:val="1ED16D1D"/>
    <w:rsid w:val="1F4905FA"/>
    <w:rsid w:val="1F8232BD"/>
    <w:rsid w:val="1FD02C6E"/>
    <w:rsid w:val="201A786F"/>
    <w:rsid w:val="205B0A9F"/>
    <w:rsid w:val="209C728D"/>
    <w:rsid w:val="21472A39"/>
    <w:rsid w:val="21770DD3"/>
    <w:rsid w:val="2234700E"/>
    <w:rsid w:val="22761828"/>
    <w:rsid w:val="22973BD0"/>
    <w:rsid w:val="22B1460E"/>
    <w:rsid w:val="236553F8"/>
    <w:rsid w:val="24231E35"/>
    <w:rsid w:val="24BD6748"/>
    <w:rsid w:val="25484372"/>
    <w:rsid w:val="25BD0A09"/>
    <w:rsid w:val="268B3F63"/>
    <w:rsid w:val="278639F6"/>
    <w:rsid w:val="27FD412F"/>
    <w:rsid w:val="27FF406E"/>
    <w:rsid w:val="28485A15"/>
    <w:rsid w:val="28AD75B9"/>
    <w:rsid w:val="291E4AE1"/>
    <w:rsid w:val="29B03871"/>
    <w:rsid w:val="2A2E0D9E"/>
    <w:rsid w:val="2A513E7B"/>
    <w:rsid w:val="2A9E7B6E"/>
    <w:rsid w:val="2AD4638D"/>
    <w:rsid w:val="2B807273"/>
    <w:rsid w:val="2B813FDE"/>
    <w:rsid w:val="2BC43724"/>
    <w:rsid w:val="2BC76C50"/>
    <w:rsid w:val="2BD537C2"/>
    <w:rsid w:val="2C624A73"/>
    <w:rsid w:val="2D0457B3"/>
    <w:rsid w:val="2DB9081B"/>
    <w:rsid w:val="2DFFF222"/>
    <w:rsid w:val="2E112405"/>
    <w:rsid w:val="2E9D04BA"/>
    <w:rsid w:val="2EB22152"/>
    <w:rsid w:val="2F155F25"/>
    <w:rsid w:val="2F805A94"/>
    <w:rsid w:val="2F974B8C"/>
    <w:rsid w:val="301D4A99"/>
    <w:rsid w:val="30F505B5"/>
    <w:rsid w:val="311A449B"/>
    <w:rsid w:val="311B1ABF"/>
    <w:rsid w:val="31451722"/>
    <w:rsid w:val="319B75D1"/>
    <w:rsid w:val="31E60E9F"/>
    <w:rsid w:val="322748ED"/>
    <w:rsid w:val="3239707C"/>
    <w:rsid w:val="327D275F"/>
    <w:rsid w:val="3374160C"/>
    <w:rsid w:val="33D41194"/>
    <w:rsid w:val="3444167C"/>
    <w:rsid w:val="34AA4849"/>
    <w:rsid w:val="366E4E60"/>
    <w:rsid w:val="36964308"/>
    <w:rsid w:val="36974ADA"/>
    <w:rsid w:val="36977A9E"/>
    <w:rsid w:val="36AD19A0"/>
    <w:rsid w:val="36AF46C9"/>
    <w:rsid w:val="370A4368"/>
    <w:rsid w:val="37BCEEC2"/>
    <w:rsid w:val="37F30DCD"/>
    <w:rsid w:val="37FEBFE7"/>
    <w:rsid w:val="38044A36"/>
    <w:rsid w:val="38616D82"/>
    <w:rsid w:val="399B5F67"/>
    <w:rsid w:val="39D03A68"/>
    <w:rsid w:val="39E40870"/>
    <w:rsid w:val="3A342376"/>
    <w:rsid w:val="3A487698"/>
    <w:rsid w:val="3B4DB9A2"/>
    <w:rsid w:val="3B7F24C9"/>
    <w:rsid w:val="3B9D177C"/>
    <w:rsid w:val="3BDF3EAD"/>
    <w:rsid w:val="3BFEF34C"/>
    <w:rsid w:val="3C0B2B89"/>
    <w:rsid w:val="3CAF0C1B"/>
    <w:rsid w:val="3CF7563B"/>
    <w:rsid w:val="3D4D1E0B"/>
    <w:rsid w:val="3D6A1B31"/>
    <w:rsid w:val="3D9FFD71"/>
    <w:rsid w:val="3E245B07"/>
    <w:rsid w:val="3E2A65A9"/>
    <w:rsid w:val="3E301D72"/>
    <w:rsid w:val="3EBD75C8"/>
    <w:rsid w:val="3F00274D"/>
    <w:rsid w:val="3F2012CD"/>
    <w:rsid w:val="3F221C10"/>
    <w:rsid w:val="3F2A5FF3"/>
    <w:rsid w:val="3F3D2530"/>
    <w:rsid w:val="3F776719"/>
    <w:rsid w:val="3F837423"/>
    <w:rsid w:val="3F971E9B"/>
    <w:rsid w:val="3F9E90DB"/>
    <w:rsid w:val="3FA7041A"/>
    <w:rsid w:val="403A3A3D"/>
    <w:rsid w:val="4060397D"/>
    <w:rsid w:val="40AD35DC"/>
    <w:rsid w:val="40E666D6"/>
    <w:rsid w:val="411A0CA9"/>
    <w:rsid w:val="4135700A"/>
    <w:rsid w:val="41506DB8"/>
    <w:rsid w:val="416D3A83"/>
    <w:rsid w:val="41D37CA5"/>
    <w:rsid w:val="424E37D0"/>
    <w:rsid w:val="425D61F8"/>
    <w:rsid w:val="428B67D2"/>
    <w:rsid w:val="42AE63A1"/>
    <w:rsid w:val="43217136"/>
    <w:rsid w:val="4360297A"/>
    <w:rsid w:val="439F1CE8"/>
    <w:rsid w:val="4557CE18"/>
    <w:rsid w:val="455E3712"/>
    <w:rsid w:val="462F6700"/>
    <w:rsid w:val="463378BD"/>
    <w:rsid w:val="464E0916"/>
    <w:rsid w:val="46F047DF"/>
    <w:rsid w:val="470B1C8F"/>
    <w:rsid w:val="476768A9"/>
    <w:rsid w:val="47AF1A5E"/>
    <w:rsid w:val="47AF28AA"/>
    <w:rsid w:val="48110C72"/>
    <w:rsid w:val="48555848"/>
    <w:rsid w:val="48BB76E5"/>
    <w:rsid w:val="48DA3F00"/>
    <w:rsid w:val="49B542E6"/>
    <w:rsid w:val="4A3D2DD0"/>
    <w:rsid w:val="4ABD6E55"/>
    <w:rsid w:val="4ADB19D7"/>
    <w:rsid w:val="4ADF2DFE"/>
    <w:rsid w:val="4AFFFF3F"/>
    <w:rsid w:val="4C193AE8"/>
    <w:rsid w:val="4E023EE3"/>
    <w:rsid w:val="4E2E2FAC"/>
    <w:rsid w:val="4E9F200D"/>
    <w:rsid w:val="4F047624"/>
    <w:rsid w:val="4F440434"/>
    <w:rsid w:val="4F8349F2"/>
    <w:rsid w:val="4F8C05A4"/>
    <w:rsid w:val="4FDA48F5"/>
    <w:rsid w:val="4FF6228A"/>
    <w:rsid w:val="4FFEB507"/>
    <w:rsid w:val="50135F42"/>
    <w:rsid w:val="50506965"/>
    <w:rsid w:val="50547135"/>
    <w:rsid w:val="50894AB6"/>
    <w:rsid w:val="50914370"/>
    <w:rsid w:val="50950E36"/>
    <w:rsid w:val="519A258E"/>
    <w:rsid w:val="51B2BB4B"/>
    <w:rsid w:val="52880638"/>
    <w:rsid w:val="530A54F1"/>
    <w:rsid w:val="54136627"/>
    <w:rsid w:val="5435659E"/>
    <w:rsid w:val="543F11CA"/>
    <w:rsid w:val="555A0E0F"/>
    <w:rsid w:val="55CE71A2"/>
    <w:rsid w:val="55FCF8BE"/>
    <w:rsid w:val="56A143BE"/>
    <w:rsid w:val="57006430"/>
    <w:rsid w:val="5717442A"/>
    <w:rsid w:val="57B95737"/>
    <w:rsid w:val="57E9DA92"/>
    <w:rsid w:val="57FC3E0F"/>
    <w:rsid w:val="57FE652D"/>
    <w:rsid w:val="585F0E3A"/>
    <w:rsid w:val="5906675A"/>
    <w:rsid w:val="596C5516"/>
    <w:rsid w:val="59970A31"/>
    <w:rsid w:val="59F47CC5"/>
    <w:rsid w:val="5A32F978"/>
    <w:rsid w:val="5A4119E4"/>
    <w:rsid w:val="5B772127"/>
    <w:rsid w:val="5B7DC0FA"/>
    <w:rsid w:val="5C841E70"/>
    <w:rsid w:val="5CE8194E"/>
    <w:rsid w:val="5D2B7011"/>
    <w:rsid w:val="5D3C0959"/>
    <w:rsid w:val="5D5F42BF"/>
    <w:rsid w:val="5D6A51C0"/>
    <w:rsid w:val="5DB15D9D"/>
    <w:rsid w:val="5DE2E4B1"/>
    <w:rsid w:val="5EA762EA"/>
    <w:rsid w:val="5F887EC9"/>
    <w:rsid w:val="5FBDB4FB"/>
    <w:rsid w:val="604069F6"/>
    <w:rsid w:val="613A650F"/>
    <w:rsid w:val="621B3277"/>
    <w:rsid w:val="62614A02"/>
    <w:rsid w:val="63D84F3B"/>
    <w:rsid w:val="6453398B"/>
    <w:rsid w:val="65034034"/>
    <w:rsid w:val="65650502"/>
    <w:rsid w:val="65DA788D"/>
    <w:rsid w:val="6654743E"/>
    <w:rsid w:val="665D32C3"/>
    <w:rsid w:val="665E1EA6"/>
    <w:rsid w:val="67446DCC"/>
    <w:rsid w:val="67DF6787"/>
    <w:rsid w:val="67EF1BD2"/>
    <w:rsid w:val="686A77D9"/>
    <w:rsid w:val="68ED6920"/>
    <w:rsid w:val="696372B1"/>
    <w:rsid w:val="699833FF"/>
    <w:rsid w:val="6A1E0CFA"/>
    <w:rsid w:val="6A303637"/>
    <w:rsid w:val="6A6D6639"/>
    <w:rsid w:val="6A7C687C"/>
    <w:rsid w:val="6AFB6CB5"/>
    <w:rsid w:val="6B4D1FC7"/>
    <w:rsid w:val="6BA611CB"/>
    <w:rsid w:val="6BDF5315"/>
    <w:rsid w:val="6BF399AE"/>
    <w:rsid w:val="6BF5A893"/>
    <w:rsid w:val="6C2C44BB"/>
    <w:rsid w:val="6C5B8795"/>
    <w:rsid w:val="6C6FE386"/>
    <w:rsid w:val="6D072EBC"/>
    <w:rsid w:val="6D1021A3"/>
    <w:rsid w:val="6D4C1EE5"/>
    <w:rsid w:val="6DC46F94"/>
    <w:rsid w:val="6DE90278"/>
    <w:rsid w:val="6F2E5A7A"/>
    <w:rsid w:val="6F3F787C"/>
    <w:rsid w:val="6F501589"/>
    <w:rsid w:val="6F712FCC"/>
    <w:rsid w:val="6F785BC8"/>
    <w:rsid w:val="6F9A6B19"/>
    <w:rsid w:val="6FBE5BD8"/>
    <w:rsid w:val="6FE79A4A"/>
    <w:rsid w:val="70734256"/>
    <w:rsid w:val="715B4276"/>
    <w:rsid w:val="716270B1"/>
    <w:rsid w:val="718C2ED6"/>
    <w:rsid w:val="721832C9"/>
    <w:rsid w:val="72822E9E"/>
    <w:rsid w:val="72B97FD0"/>
    <w:rsid w:val="73B452D9"/>
    <w:rsid w:val="745A8F68"/>
    <w:rsid w:val="749A44CF"/>
    <w:rsid w:val="74BF5CE3"/>
    <w:rsid w:val="75053083"/>
    <w:rsid w:val="75454743"/>
    <w:rsid w:val="75D457BF"/>
    <w:rsid w:val="75D90911"/>
    <w:rsid w:val="76937428"/>
    <w:rsid w:val="76A67C6A"/>
    <w:rsid w:val="76FA74A7"/>
    <w:rsid w:val="76FF919E"/>
    <w:rsid w:val="7716B7C2"/>
    <w:rsid w:val="777E03B0"/>
    <w:rsid w:val="77A422F4"/>
    <w:rsid w:val="77BFF644"/>
    <w:rsid w:val="77C33D3D"/>
    <w:rsid w:val="77EA5E8A"/>
    <w:rsid w:val="787328DD"/>
    <w:rsid w:val="78B97A17"/>
    <w:rsid w:val="79237919"/>
    <w:rsid w:val="7993773F"/>
    <w:rsid w:val="79FA0F49"/>
    <w:rsid w:val="7A0667C1"/>
    <w:rsid w:val="7A374D73"/>
    <w:rsid w:val="7A8377B3"/>
    <w:rsid w:val="7B7425AF"/>
    <w:rsid w:val="7BB75484"/>
    <w:rsid w:val="7BD9C231"/>
    <w:rsid w:val="7BE34BD1"/>
    <w:rsid w:val="7BF14B49"/>
    <w:rsid w:val="7BF266B0"/>
    <w:rsid w:val="7BFE0691"/>
    <w:rsid w:val="7C811D55"/>
    <w:rsid w:val="7CBF30A1"/>
    <w:rsid w:val="7CE01150"/>
    <w:rsid w:val="7CF92840"/>
    <w:rsid w:val="7DC02E11"/>
    <w:rsid w:val="7DD26490"/>
    <w:rsid w:val="7E325778"/>
    <w:rsid w:val="7E7B84F8"/>
    <w:rsid w:val="7EBD0FF5"/>
    <w:rsid w:val="7EDFC8EB"/>
    <w:rsid w:val="7EE457BE"/>
    <w:rsid w:val="7F1EE771"/>
    <w:rsid w:val="7F5EC284"/>
    <w:rsid w:val="7F6DA61C"/>
    <w:rsid w:val="7F6F2B81"/>
    <w:rsid w:val="7F7B285D"/>
    <w:rsid w:val="7F972488"/>
    <w:rsid w:val="7FABB68B"/>
    <w:rsid w:val="7FBDB45C"/>
    <w:rsid w:val="7FC723E4"/>
    <w:rsid w:val="7FDF0FBE"/>
    <w:rsid w:val="7FEFCEB3"/>
    <w:rsid w:val="7FF27EC2"/>
    <w:rsid w:val="7FF8017F"/>
    <w:rsid w:val="867B694E"/>
    <w:rsid w:val="87EF8F85"/>
    <w:rsid w:val="8F2EC618"/>
    <w:rsid w:val="8FB9B6FA"/>
    <w:rsid w:val="8FFD7A0F"/>
    <w:rsid w:val="8FFF5CC5"/>
    <w:rsid w:val="9B2DBA90"/>
    <w:rsid w:val="AE9FAAFE"/>
    <w:rsid w:val="AFBFA2C7"/>
    <w:rsid w:val="B539CBE2"/>
    <w:rsid w:val="B77C2F72"/>
    <w:rsid w:val="B7DC15B4"/>
    <w:rsid w:val="B9FF479C"/>
    <w:rsid w:val="BB9E8567"/>
    <w:rsid w:val="BCF1D38D"/>
    <w:rsid w:val="BCFF39AD"/>
    <w:rsid w:val="BD573AEE"/>
    <w:rsid w:val="BDDDEF41"/>
    <w:rsid w:val="BDDE2E16"/>
    <w:rsid w:val="BF9E1A0A"/>
    <w:rsid w:val="BFAFC93A"/>
    <w:rsid w:val="BFCFDA06"/>
    <w:rsid w:val="BFDEDDB3"/>
    <w:rsid w:val="BFDF1468"/>
    <w:rsid w:val="BFEDB880"/>
    <w:rsid w:val="BFFFF0BD"/>
    <w:rsid w:val="C6DF14E6"/>
    <w:rsid w:val="CDEDEE5D"/>
    <w:rsid w:val="CE5F7412"/>
    <w:rsid w:val="CE8E0C16"/>
    <w:rsid w:val="D3D7EEA6"/>
    <w:rsid w:val="D3EF486B"/>
    <w:rsid w:val="D7FD3B90"/>
    <w:rsid w:val="DDBFA338"/>
    <w:rsid w:val="DEBF9E11"/>
    <w:rsid w:val="DFAE7B8E"/>
    <w:rsid w:val="DFFF0EB3"/>
    <w:rsid w:val="E7AFF6B1"/>
    <w:rsid w:val="E7BF7D6D"/>
    <w:rsid w:val="EB5F656A"/>
    <w:rsid w:val="EBEF419A"/>
    <w:rsid w:val="EDBCDE94"/>
    <w:rsid w:val="EDFF8F7E"/>
    <w:rsid w:val="EFEFE4F3"/>
    <w:rsid w:val="F3FFD2E8"/>
    <w:rsid w:val="F6B3B72A"/>
    <w:rsid w:val="F7C36423"/>
    <w:rsid w:val="F7FA9580"/>
    <w:rsid w:val="F9CF5D1F"/>
    <w:rsid w:val="FA3D4AD2"/>
    <w:rsid w:val="FBF78EC6"/>
    <w:rsid w:val="FDBB0F50"/>
    <w:rsid w:val="FDCFDEA0"/>
    <w:rsid w:val="FDF6DB1A"/>
    <w:rsid w:val="FEF76E82"/>
    <w:rsid w:val="FEF7733C"/>
    <w:rsid w:val="FEF862C4"/>
    <w:rsid w:val="FF5B0E57"/>
    <w:rsid w:val="FF9B4BE3"/>
    <w:rsid w:val="FFBB3BFA"/>
    <w:rsid w:val="FFBDCBA2"/>
    <w:rsid w:val="FFC78757"/>
    <w:rsid w:val="FFCDEB74"/>
    <w:rsid w:val="FFD26D17"/>
    <w:rsid w:val="FFDD383F"/>
    <w:rsid w:val="FFDEA337"/>
    <w:rsid w:val="FFF3B3E3"/>
    <w:rsid w:val="FFF7DBC0"/>
    <w:rsid w:val="FFFFAA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33"/>
    <w:qFormat/>
    <w:uiPriority w:val="0"/>
    <w:pPr>
      <w:keepNext/>
      <w:keepLines/>
      <w:widowControl/>
      <w:spacing w:before="340" w:after="330"/>
      <w:jc w:val="left"/>
      <w:outlineLvl w:val="0"/>
    </w:pPr>
    <w:rPr>
      <w:rFonts w:ascii="华文细黑" w:hAnsi="宋体" w:eastAsia="宋体" w:cs="宋体"/>
      <w:b/>
      <w:bCs/>
      <w:snapToGrid w:val="0"/>
      <w:kern w:val="0"/>
      <w:sz w:val="28"/>
      <w:szCs w:val="44"/>
      <w:lang w:val="zh-CN"/>
    </w:rPr>
  </w:style>
  <w:style w:type="paragraph" w:styleId="4">
    <w:name w:val="heading 2"/>
    <w:basedOn w:val="1"/>
    <w:next w:val="1"/>
    <w:qFormat/>
    <w:uiPriority w:val="0"/>
    <w:pPr>
      <w:keepNext/>
      <w:keepLines/>
      <w:jc w:val="center"/>
      <w:outlineLvl w:val="1"/>
    </w:pPr>
    <w:rPr>
      <w:rFonts w:ascii="Arial" w:hAnsi="Arial" w:eastAsia="微软雅黑"/>
      <w:b/>
      <w:bCs/>
      <w:kern w:val="0"/>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customStyle="1" w:styleId="2">
    <w:name w:val="纯文本1"/>
    <w:basedOn w:val="1"/>
    <w:qFormat/>
    <w:uiPriority w:val="0"/>
    <w:rPr>
      <w:rFonts w:ascii="宋体" w:hAnsi="Courier New" w:cs="Courier New"/>
    </w:rPr>
  </w:style>
  <w:style w:type="paragraph" w:styleId="5">
    <w:name w:val="index 8"/>
    <w:basedOn w:val="1"/>
    <w:next w:val="1"/>
    <w:qFormat/>
    <w:uiPriority w:val="0"/>
    <w:pPr>
      <w:ind w:left="1400" w:leftChars="1400"/>
    </w:pPr>
  </w:style>
  <w:style w:type="paragraph" w:styleId="6">
    <w:name w:val="Normal Indent"/>
    <w:basedOn w:val="1"/>
    <w:unhideWhenUsed/>
    <w:qFormat/>
    <w:uiPriority w:val="99"/>
    <w:pPr>
      <w:ind w:firstLine="420"/>
    </w:pPr>
  </w:style>
  <w:style w:type="paragraph" w:styleId="7">
    <w:name w:val="annotation text"/>
    <w:basedOn w:val="1"/>
    <w:link w:val="27"/>
    <w:qFormat/>
    <w:uiPriority w:val="0"/>
    <w:pPr>
      <w:jc w:val="left"/>
    </w:pPr>
  </w:style>
  <w:style w:type="paragraph" w:styleId="8">
    <w:name w:val="Body Text"/>
    <w:basedOn w:val="1"/>
    <w:next w:val="9"/>
    <w:qFormat/>
    <w:uiPriority w:val="0"/>
    <w:pPr>
      <w:spacing w:after="120"/>
    </w:pPr>
  </w:style>
  <w:style w:type="paragraph" w:styleId="9">
    <w:name w:val="Title"/>
    <w:basedOn w:val="1"/>
    <w:next w:val="1"/>
    <w:qFormat/>
    <w:uiPriority w:val="10"/>
    <w:pPr>
      <w:spacing w:before="240" w:after="60"/>
      <w:jc w:val="center"/>
      <w:outlineLvl w:val="0"/>
    </w:pPr>
    <w:rPr>
      <w:rFonts w:ascii="Cambria" w:hAnsi="Cambria" w:cs="Times New Roman"/>
      <w:b/>
      <w:bCs/>
      <w:sz w:val="32"/>
      <w:szCs w:val="32"/>
    </w:rPr>
  </w:style>
  <w:style w:type="paragraph" w:styleId="10">
    <w:name w:val="Body Text Indent"/>
    <w:basedOn w:val="1"/>
    <w:unhideWhenUsed/>
    <w:qFormat/>
    <w:uiPriority w:val="99"/>
    <w:pPr>
      <w:ind w:left="2603"/>
    </w:pPr>
    <w:rPr>
      <w:rFonts w:ascii="华文细黑" w:hAnsi="华文细黑" w:eastAsia="华文细黑"/>
      <w:color w:val="000000"/>
    </w:rPr>
  </w:style>
  <w:style w:type="paragraph" w:styleId="11">
    <w:name w:val="Plain Text"/>
    <w:basedOn w:val="1"/>
    <w:next w:val="5"/>
    <w:qFormat/>
    <w:uiPriority w:val="0"/>
    <w:rPr>
      <w:rFonts w:ascii="宋体" w:hAnsi="Courier New"/>
      <w:szCs w:val="21"/>
    </w:rPr>
  </w:style>
  <w:style w:type="paragraph" w:styleId="12">
    <w:name w:val="Balloon Text"/>
    <w:basedOn w:val="1"/>
    <w:link w:val="26"/>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toc 2"/>
    <w:basedOn w:val="1"/>
    <w:next w:val="1"/>
    <w:qFormat/>
    <w:uiPriority w:val="0"/>
    <w:pPr>
      <w:tabs>
        <w:tab w:val="right" w:leader="dot" w:pos="8949"/>
      </w:tabs>
      <w:adjustRightInd w:val="0"/>
      <w:snapToGrid w:val="0"/>
      <w:spacing w:line="360" w:lineRule="auto"/>
      <w:ind w:right="420" w:rightChars="200" w:firstLine="964" w:firstLineChars="400"/>
      <w:jc w:val="distribute"/>
    </w:pPr>
    <w:rPr>
      <w:rFonts w:ascii="宋体" w:hAnsi="宋体"/>
      <w:b/>
      <w:smallCaps/>
      <w:sz w:val="24"/>
      <w:szCs w:val="24"/>
    </w:rPr>
  </w:style>
  <w:style w:type="paragraph" w:styleId="1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7">
    <w:name w:val="annotation subject"/>
    <w:basedOn w:val="7"/>
    <w:next w:val="7"/>
    <w:link w:val="28"/>
    <w:qFormat/>
    <w:uiPriority w:val="0"/>
    <w:rPr>
      <w:b/>
      <w:bCs/>
    </w:rPr>
  </w:style>
  <w:style w:type="paragraph" w:styleId="18">
    <w:name w:val="Body Text First Indent"/>
    <w:basedOn w:val="8"/>
    <w:qFormat/>
    <w:uiPriority w:val="0"/>
    <w:pPr>
      <w:spacing w:after="120"/>
      <w:ind w:firstLine="420" w:firstLineChars="100"/>
    </w:pPr>
    <w:rPr>
      <w:sz w:val="21"/>
    </w:rPr>
  </w:style>
  <w:style w:type="paragraph" w:styleId="19">
    <w:name w:val="Body Text First Indent 2"/>
    <w:basedOn w:val="10"/>
    <w:unhideWhenUsed/>
    <w:qFormat/>
    <w:uiPriority w:val="99"/>
    <w:pPr>
      <w:spacing w:after="120"/>
      <w:ind w:left="420" w:leftChars="200" w:firstLine="420" w:firstLineChars="200"/>
    </w:pPr>
    <w:rPr>
      <w:rFonts w:ascii="Times New Roman" w:hAnsi="Times New Roman" w:eastAsia="宋体"/>
      <w:color w:val="auto"/>
    </w:r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Hyperlink"/>
    <w:basedOn w:val="22"/>
    <w:qFormat/>
    <w:uiPriority w:val="0"/>
    <w:rPr>
      <w:color w:val="0000FF"/>
      <w:u w:val="single"/>
    </w:rPr>
  </w:style>
  <w:style w:type="character" w:styleId="24">
    <w:name w:val="annotation reference"/>
    <w:basedOn w:val="22"/>
    <w:qFormat/>
    <w:uiPriority w:val="0"/>
    <w:rPr>
      <w:sz w:val="21"/>
      <w:szCs w:val="21"/>
    </w:rPr>
  </w:style>
  <w:style w:type="paragraph" w:customStyle="1" w:styleId="25">
    <w:name w:val="公文正文"/>
    <w:basedOn w:val="1"/>
    <w:qFormat/>
    <w:uiPriority w:val="0"/>
    <w:pPr>
      <w:tabs>
        <w:tab w:val="left" w:pos="2700"/>
      </w:tabs>
      <w:spacing w:line="560" w:lineRule="exact"/>
      <w:ind w:firstLine="640" w:firstLineChars="200"/>
    </w:pPr>
    <w:rPr>
      <w:rFonts w:ascii="仿宋_GB2312" w:hAnsi="仿宋" w:eastAsia="仿宋_GB2312" w:cs="宋体"/>
      <w:sz w:val="32"/>
    </w:rPr>
  </w:style>
  <w:style w:type="character" w:customStyle="1" w:styleId="26">
    <w:name w:val="批注框文本 Char"/>
    <w:basedOn w:val="22"/>
    <w:link w:val="12"/>
    <w:qFormat/>
    <w:uiPriority w:val="0"/>
    <w:rPr>
      <w:rFonts w:asciiTheme="minorHAnsi" w:hAnsiTheme="minorHAnsi" w:eastAsiaTheme="minorEastAsia" w:cstheme="minorBidi"/>
      <w:kern w:val="2"/>
      <w:sz w:val="18"/>
      <w:szCs w:val="18"/>
    </w:rPr>
  </w:style>
  <w:style w:type="character" w:customStyle="1" w:styleId="27">
    <w:name w:val="批注文字 Char"/>
    <w:basedOn w:val="22"/>
    <w:link w:val="7"/>
    <w:qFormat/>
    <w:uiPriority w:val="0"/>
    <w:rPr>
      <w:rFonts w:asciiTheme="minorHAnsi" w:hAnsiTheme="minorHAnsi" w:eastAsiaTheme="minorEastAsia" w:cstheme="minorBidi"/>
      <w:kern w:val="2"/>
      <w:sz w:val="21"/>
      <w:szCs w:val="24"/>
    </w:rPr>
  </w:style>
  <w:style w:type="character" w:customStyle="1" w:styleId="28">
    <w:name w:val="批注主题 Char"/>
    <w:basedOn w:val="27"/>
    <w:link w:val="17"/>
    <w:qFormat/>
    <w:uiPriority w:val="0"/>
  </w:style>
  <w:style w:type="paragraph" w:customStyle="1" w:styleId="29">
    <w:name w:val="正文文本1"/>
    <w:basedOn w:val="1"/>
    <w:qFormat/>
    <w:uiPriority w:val="0"/>
    <w:pPr>
      <w:widowControl w:val="0"/>
      <w:shd w:val="clear" w:color="auto" w:fill="auto"/>
      <w:spacing w:line="446" w:lineRule="auto"/>
      <w:ind w:firstLine="400"/>
    </w:pPr>
    <w:rPr>
      <w:rFonts w:ascii="宋体" w:hAnsi="宋体" w:eastAsia="宋体" w:cs="宋体"/>
      <w:sz w:val="26"/>
      <w:szCs w:val="26"/>
      <w:u w:val="none"/>
      <w:shd w:val="clear" w:color="auto" w:fill="auto"/>
    </w:rPr>
  </w:style>
  <w:style w:type="paragraph" w:customStyle="1" w:styleId="30">
    <w:name w:val="正文 A"/>
    <w:qFormat/>
    <w:uiPriority w:val="0"/>
    <w:pPr>
      <w:widowControl w:val="0"/>
      <w:spacing w:after="240" w:line="580" w:lineRule="exact"/>
      <w:ind w:left="646"/>
      <w:jc w:val="both"/>
    </w:pPr>
    <w:rPr>
      <w:rFonts w:ascii="Calibri" w:hAnsi="Calibri" w:eastAsia="Calibri" w:cs="Calibri"/>
      <w:color w:val="000000"/>
      <w:kern w:val="2"/>
      <w:sz w:val="21"/>
      <w:szCs w:val="21"/>
      <w:lang w:val="en-US" w:eastAsia="zh-CN" w:bidi="ar-SA"/>
    </w:rPr>
  </w:style>
  <w:style w:type="character" w:customStyle="1" w:styleId="31">
    <w:name w:val="fontstyle21"/>
    <w:basedOn w:val="22"/>
    <w:qFormat/>
    <w:uiPriority w:val="0"/>
    <w:rPr>
      <w:rFonts w:ascii="FZXBSJW--GB1-0" w:hAnsi="FZXBSJW--GB1-0" w:eastAsia="FZXBSJW--GB1-0" w:cs="FZXBSJW--GB1-0"/>
      <w:color w:val="000000"/>
      <w:sz w:val="44"/>
      <w:szCs w:val="44"/>
    </w:rPr>
  </w:style>
  <w:style w:type="character" w:customStyle="1" w:styleId="32">
    <w:name w:val="fontstyle31"/>
    <w:basedOn w:val="22"/>
    <w:qFormat/>
    <w:uiPriority w:val="0"/>
    <w:rPr>
      <w:rFonts w:ascii="仿宋_GB2312" w:hAnsi="仿宋_GB2312" w:eastAsia="仿宋_GB2312" w:cs="仿宋_GB2312"/>
      <w:color w:val="000000"/>
      <w:sz w:val="32"/>
      <w:szCs w:val="32"/>
    </w:rPr>
  </w:style>
  <w:style w:type="character" w:customStyle="1" w:styleId="33">
    <w:name w:val="标题 1 Char"/>
    <w:link w:val="3"/>
    <w:qFormat/>
    <w:uiPriority w:val="0"/>
    <w:rPr>
      <w:rFonts w:ascii="华文细黑" w:hAnsi="宋体" w:eastAsia="宋体" w:cs="宋体"/>
      <w:b/>
      <w:bCs/>
      <w:snapToGrid w:val="0"/>
      <w:kern w:val="0"/>
      <w:sz w:val="28"/>
      <w:szCs w:val="44"/>
      <w:lang w:val="zh-CN"/>
    </w:rPr>
  </w:style>
  <w:style w:type="paragraph" w:customStyle="1" w:styleId="34">
    <w:name w:val="Normal_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
    <w:name w:val="列表段落1"/>
    <w:basedOn w:val="1"/>
    <w:qFormat/>
    <w:uiPriority w:val="34"/>
    <w:pPr>
      <w:ind w:firstLine="420" w:firstLineChars="200"/>
    </w:pPr>
  </w:style>
  <w:style w:type="paragraph" w:customStyle="1" w:styleId="36">
    <w:name w:val="列出段落1"/>
    <w:basedOn w:val="37"/>
    <w:qFormat/>
    <w:uiPriority w:val="34"/>
    <w:pPr>
      <w:ind w:firstLine="420" w:firstLineChars="200"/>
    </w:pPr>
  </w:style>
  <w:style w:type="paragraph" w:customStyle="1" w:styleId="37">
    <w:name w:val="正文2"/>
    <w:qFormat/>
    <w:uiPriority w:val="0"/>
    <w:pPr>
      <w:widowControl w:val="0"/>
      <w:jc w:val="both"/>
    </w:pPr>
    <w:rPr>
      <w:rFonts w:ascii="Calibri" w:hAnsi="Calibri" w:eastAsia="宋体" w:cs="Times New Roman"/>
      <w:kern w:val="2"/>
      <w:sz w:val="21"/>
      <w:lang w:val="en-US" w:eastAsia="zh-CN" w:bidi="ar-SA"/>
    </w:rPr>
  </w:style>
  <w:style w:type="paragraph" w:customStyle="1" w:styleId="38">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6952</Words>
  <Characters>7118</Characters>
  <Lines>22</Lines>
  <Paragraphs>6</Paragraphs>
  <TotalTime>0</TotalTime>
  <ScaleCrop>false</ScaleCrop>
  <LinksUpToDate>false</LinksUpToDate>
  <CharactersWithSpaces>7514</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2021-07-11T23:15:00Z</dcterms:created>
  <dc:creator>☺</dc:creator>
  <cp:lastModifiedBy>oo</cp:lastModifiedBy>
  <cp:lastPrinted>2025-11-29T14:22:00Z</cp:lastPrinted>
  <dcterms:modified xsi:type="dcterms:W3CDTF">2026-07-28T11:53:57Z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79A41952B24F4C5F8615458D672E695E_13</vt:lpwstr>
  </property>
  <property fmtid="{D5CDD505-2E9C-101B-9397-08002B2CF9AE}" pid="4" name="KSOTemplateDocerSaveRecord">
    <vt:lpwstr>eyJoZGlkIjoiNWMyNDI0OWY5MGVjMDYwZTI5OThjOTVjNzczNDcwOTkiLCJ1c2VySWQiOiIzMjAxMjQ4MDYifQ==</vt:lpwstr>
  </property>
</Properties>
</file>