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F2B27">
      <w:pPr>
        <w:spacing w:line="500" w:lineRule="exact"/>
        <w:jc w:val="both"/>
        <w:rPr>
          <w:rFonts w:hint="eastAsia" w:ascii="仿宋_GB2312" w:hAnsi="Times New Roman" w:eastAsia="仿宋_GB2312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b/>
          <w:bCs/>
          <w:color w:val="auto"/>
          <w:sz w:val="30"/>
          <w:szCs w:val="30"/>
          <w:highlight w:val="none"/>
          <w:lang w:val="en-US" w:eastAsia="zh-CN"/>
        </w:rPr>
        <w:t>附件3：</w:t>
      </w:r>
    </w:p>
    <w:p w14:paraId="7F142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龙岗区进一步规范政商交往行为告知书</w:t>
      </w:r>
    </w:p>
    <w:p w14:paraId="65112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为深入构建“亲”“清”新型政商关系，努力打造尊商、亲商、助商、安商良好营商环境，龙岗区委区政府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221EE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一、不得向公职人员赠送礼品、礼金、消费卡等财物。</w:t>
      </w:r>
    </w:p>
    <w:p w14:paraId="2CB27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二、不得违规向公职人员提供宴请、旅游、娱乐等安排。</w:t>
      </w:r>
    </w:p>
    <w:p w14:paraId="4F80D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三、不得通过打麻将等形式向公职人员输送利益。</w:t>
      </w:r>
    </w:p>
    <w:p w14:paraId="26C3B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四、不得为公职人员报销应由其个人支付的费用。</w:t>
      </w:r>
    </w:p>
    <w:p w14:paraId="499A9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五、不得违规向公职人员及其亲友借贷款。</w:t>
      </w:r>
    </w:p>
    <w:p w14:paraId="7CF91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六、不得违规将车辆、住房等借给公职人员使用。</w:t>
      </w:r>
    </w:p>
    <w:p w14:paraId="44A47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七、不得在招投标中与公职人员搞暗箱操作、围标串标。</w:t>
      </w:r>
    </w:p>
    <w:p w14:paraId="2AF15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八、不得为利益相关人和公职人员牵线搭桥或者代为传递信息、传递财物。</w:t>
      </w:r>
    </w:p>
    <w:p w14:paraId="0144B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九、不得让公职人员在企业违规兼职取酬。</w:t>
      </w:r>
    </w:p>
    <w:p w14:paraId="067DF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十、不得为公职人员亲友违规承揽业务提供便利。</w:t>
      </w:r>
    </w:p>
    <w:p w14:paraId="7ED1E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上述“十个不得”，请您严格遵守。同时，在政商交往中，如有发现我区公职人员存在违反“十个不准”的问题，请及时通过网络举报平台或者12388举报电话等方式，向纪检监察机关反映举报，我们将一律严格保密、一律优先处置、一律严肃查处。</w:t>
      </w:r>
    </w:p>
    <w:p w14:paraId="03A88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55F42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本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人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</w:rPr>
        <w:t>已知晓上述告知内容，并愿意遵照执行（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签字盖章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）：</w:t>
      </w:r>
    </w:p>
    <w:p w14:paraId="46813C51">
      <w:pPr>
        <w:pStyle w:val="2"/>
        <w:rPr>
          <w:rFonts w:hint="default" w:eastAsia="宋体"/>
          <w:lang w:val="en-US" w:eastAsia="zh-CN"/>
        </w:rPr>
      </w:pPr>
      <w:r>
        <w:rPr>
          <w:rFonts w:hint="eastAsia" w:hAnsi="宋体" w:cs="宋体"/>
          <w:color w:val="000000"/>
          <w:sz w:val="24"/>
          <w:szCs w:val="24"/>
          <w:lang w:val="en-US" w:eastAsia="zh-CN"/>
        </w:rPr>
        <w:t xml:space="preserve">                                   </w:t>
      </w:r>
    </w:p>
    <w:p w14:paraId="7514B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6226C216">
      <w:pPr>
        <w:spacing w:line="240" w:lineRule="auto"/>
        <w:jc w:val="right"/>
        <w:outlineLvl w:val="9"/>
        <w:rPr>
          <w:rFonts w:hint="eastAsia" w:ascii="宋体" w:hAnsi="宋体"/>
          <w:b/>
          <w:snapToGrid w:val="0"/>
          <w:kern w:val="0"/>
          <w:sz w:val="32"/>
          <w:szCs w:val="32"/>
          <w:highlight w:val="none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日</w:t>
      </w:r>
    </w:p>
    <w:p w14:paraId="1A5768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7170C"/>
    <w:rsid w:val="3ED7ACE6"/>
    <w:rsid w:val="3EFEBF34"/>
    <w:rsid w:val="4527170C"/>
    <w:rsid w:val="5DDF222C"/>
    <w:rsid w:val="5FDAFDC6"/>
    <w:rsid w:val="7BBEAA74"/>
    <w:rsid w:val="B2D204F3"/>
    <w:rsid w:val="F1E3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rPr>
      <w:rFonts w:ascii="宋体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2025-03-01T02:13:00Z</dcterms:created>
  <dc:creator>姚隽</dc:creator>
  <cp:lastModifiedBy>苏佳敏</cp:lastModifiedBy>
  <dcterms:modified xsi:type="dcterms:W3CDTF">2026-07-23T10:17:10Z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FA5401090AA2BB85076C5C697FB9D1D9_42</vt:lpwstr>
  </property>
</Properties>
</file>