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C462DD">
      <w:pPr>
        <w:keepNext w:val="0"/>
        <w:keepLines w:val="0"/>
        <w:pageBreakBefore w:val="0"/>
        <w:widowControl w:val="0"/>
        <w:kinsoku/>
        <w:wordWrap/>
        <w:overflowPunct/>
        <w:topLinePunct w:val="0"/>
        <w:autoSpaceDE/>
        <w:autoSpaceDN/>
        <w:bidi w:val="0"/>
        <w:adjustRightInd/>
        <w:snapToGrid/>
        <w:jc w:val="center"/>
        <w:textAlignment w:val="auto"/>
        <w:rPr>
          <w:rFonts w:hint="default" w:ascii="仿宋_GB2312" w:hAnsi="仿宋_GB2312" w:eastAsia="仿宋_GB2312" w:cs="仿宋_GB2312"/>
          <w:b w:val="0"/>
          <w:bCs/>
          <w:color w:val="000000"/>
          <w:sz w:val="32"/>
          <w:szCs w:val="32"/>
          <w:lang w:val="en-US" w:eastAsia="zh-CN"/>
        </w:rPr>
      </w:pPr>
      <w:r>
        <w:rPr>
          <w:rFonts w:hint="eastAsia" w:ascii="宋体" w:hAnsi="宋体" w:eastAsia="宋体" w:cs="宋体"/>
          <w:sz w:val="44"/>
          <w:szCs w:val="44"/>
          <w:lang w:val="en-US" w:eastAsia="zh-CN"/>
        </w:rPr>
        <w:t>物理降温仪</w:t>
      </w:r>
    </w:p>
    <w:p w14:paraId="37B5DD36">
      <w:pPr>
        <w:keepNext w:val="0"/>
        <w:keepLines w:val="0"/>
        <w:pageBreakBefore w:val="0"/>
        <w:widowControl w:val="0"/>
        <w:kinsoku/>
        <w:wordWrap/>
        <w:overflowPunct/>
        <w:topLinePunct w:val="0"/>
        <w:bidi w:val="0"/>
        <w:snapToGrid/>
        <w:ind w:firstLine="643" w:firstLineChars="200"/>
        <w:textAlignment w:val="auto"/>
        <w:rPr>
          <w:rFonts w:hint="eastAsia" w:ascii="楷体_GB2312" w:hAnsi="楷体_GB2312" w:eastAsia="楷体_GB2312" w:cs="楷体_GB2312"/>
          <w:b/>
          <w:bCs w:val="0"/>
          <w:color w:val="000000"/>
          <w:sz w:val="32"/>
          <w:szCs w:val="32"/>
          <w:lang w:val="en-US" w:eastAsia="zh-CN"/>
        </w:rPr>
      </w:pPr>
    </w:p>
    <w:p w14:paraId="70187E1A">
      <w:pPr>
        <w:keepNext w:val="0"/>
        <w:keepLines w:val="0"/>
        <w:pageBreakBefore w:val="0"/>
        <w:widowControl w:val="0"/>
        <w:kinsoku/>
        <w:wordWrap/>
        <w:overflowPunct/>
        <w:topLinePunct w:val="0"/>
        <w:bidi w:val="0"/>
        <w:snapToGrid/>
        <w:ind w:firstLine="643" w:firstLineChars="200"/>
        <w:textAlignment w:val="auto"/>
        <w:rPr>
          <w:rFonts w:hint="default" w:ascii="楷体_GB2312" w:hAnsi="楷体_GB2312" w:eastAsia="楷体_GB2312" w:cs="楷体_GB2312"/>
          <w:b/>
          <w:bCs w:val="0"/>
          <w:color w:val="000000"/>
          <w:sz w:val="32"/>
          <w:szCs w:val="32"/>
          <w:lang w:val="en-US" w:eastAsia="zh-CN"/>
        </w:rPr>
      </w:pPr>
      <w:r>
        <w:rPr>
          <w:rFonts w:hint="eastAsia" w:ascii="楷体_GB2312" w:hAnsi="楷体_GB2312" w:eastAsia="楷体_GB2312" w:cs="楷体_GB2312"/>
          <w:b/>
          <w:bCs w:val="0"/>
          <w:color w:val="000000"/>
          <w:sz w:val="32"/>
          <w:szCs w:val="32"/>
          <w:lang w:val="en-US" w:eastAsia="zh-CN"/>
        </w:rPr>
        <w:t>一、项目概况</w:t>
      </w:r>
    </w:p>
    <w:p w14:paraId="681B50D2">
      <w:pPr>
        <w:keepNext w:val="0"/>
        <w:keepLines w:val="0"/>
        <w:pageBreakBefore w:val="0"/>
        <w:widowControl w:val="0"/>
        <w:kinsoku/>
        <w:wordWrap/>
        <w:overflowPunct/>
        <w:topLinePunct w:val="0"/>
        <w:bidi w:val="0"/>
        <w:snapToGrid/>
        <w:ind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 w:val="0"/>
          <w:bCs/>
          <w:color w:val="000000"/>
          <w:sz w:val="32"/>
          <w:szCs w:val="32"/>
          <w:lang w:val="en-US" w:eastAsia="zh-CN"/>
        </w:rPr>
        <w:t>1.用途：对患者进行亚低温治疗及围手术期进行复温</w:t>
      </w:r>
      <w:r>
        <w:rPr>
          <w:rFonts w:hint="eastAsia" w:ascii="仿宋_GB2312" w:hAnsi="仿宋_GB2312" w:eastAsia="仿宋_GB2312" w:cs="仿宋_GB2312"/>
          <w:bCs/>
          <w:color w:val="000000"/>
          <w:sz w:val="32"/>
          <w:szCs w:val="32"/>
        </w:rPr>
        <w:t>。</w:t>
      </w:r>
    </w:p>
    <w:p w14:paraId="54C8DB4A">
      <w:pPr>
        <w:keepNext w:val="0"/>
        <w:keepLines w:val="0"/>
        <w:pageBreakBefore w:val="0"/>
        <w:widowControl w:val="0"/>
        <w:kinsoku/>
        <w:wordWrap/>
        <w:overflowPunct/>
        <w:topLinePunct w:val="0"/>
        <w:bidi w:val="0"/>
        <w:snapToGrid/>
        <w:ind w:firstLine="640" w:firstLineChars="200"/>
        <w:textAlignment w:val="auto"/>
        <w:rPr>
          <w:rFonts w:hint="eastAsia" w:ascii="仿宋_GB2312" w:hAnsi="仿宋_GB2312" w:eastAsia="仿宋_GB2312" w:cs="仿宋_GB2312"/>
          <w:b w:val="0"/>
          <w:bCs/>
          <w:color w:val="000000"/>
          <w:sz w:val="32"/>
          <w:szCs w:val="32"/>
          <w:lang w:val="en-US" w:eastAsia="zh-CN"/>
        </w:rPr>
      </w:pPr>
      <w:r>
        <w:rPr>
          <w:rFonts w:hint="eastAsia" w:ascii="仿宋_GB2312" w:hAnsi="仿宋_GB2312" w:eastAsia="仿宋_GB2312" w:cs="仿宋_GB2312"/>
          <w:b w:val="0"/>
          <w:bCs/>
          <w:color w:val="000000"/>
          <w:sz w:val="32"/>
          <w:szCs w:val="32"/>
          <w:lang w:val="en-US" w:eastAsia="zh-CN"/>
        </w:rPr>
        <w:t>★2.本项目不接受进口产品投标。</w:t>
      </w:r>
    </w:p>
    <w:p w14:paraId="42B5EA2C">
      <w:pPr>
        <w:keepNext w:val="0"/>
        <w:keepLines w:val="0"/>
        <w:pageBreakBefore w:val="0"/>
        <w:widowControl w:val="0"/>
        <w:kinsoku/>
        <w:wordWrap/>
        <w:overflowPunct/>
        <w:topLinePunct w:val="0"/>
        <w:bidi w:val="0"/>
        <w:snapToGrid/>
        <w:ind w:firstLine="643" w:firstLineChars="200"/>
        <w:textAlignment w:val="auto"/>
        <w:rPr>
          <w:rFonts w:hint="eastAsia" w:ascii="楷体_GB2312" w:hAnsi="楷体_GB2312" w:eastAsia="楷体_GB2312" w:cs="楷体_GB2312"/>
          <w:b/>
          <w:bCs w:val="0"/>
          <w:color w:val="000000"/>
          <w:sz w:val="32"/>
          <w:szCs w:val="32"/>
          <w:lang w:val="en-US" w:eastAsia="zh-CN"/>
        </w:rPr>
      </w:pPr>
      <w:r>
        <w:rPr>
          <w:rFonts w:hint="eastAsia" w:ascii="楷体_GB2312" w:hAnsi="楷体_GB2312" w:eastAsia="楷体_GB2312" w:cs="楷体_GB2312"/>
          <w:b/>
          <w:bCs w:val="0"/>
          <w:color w:val="000000"/>
          <w:sz w:val="32"/>
          <w:szCs w:val="32"/>
          <w:lang w:val="en-US" w:eastAsia="zh-CN"/>
        </w:rPr>
        <w:t>二、主要技术及系统要求</w:t>
      </w:r>
    </w:p>
    <w:p w14:paraId="1909B6C4">
      <w:pPr>
        <w:keepNext w:val="0"/>
        <w:keepLines w:val="0"/>
        <w:pageBreakBefore w:val="0"/>
        <w:widowControl w:val="0"/>
        <w:kinsoku/>
        <w:wordWrap/>
        <w:overflowPunct/>
        <w:topLinePunct w:val="0"/>
        <w:bidi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1.产品设计：集成升温、降温功能一体；加热系统：采用防腐碳钢加热盘技术；制冷系统：旋转式高分倍医用压缩机二次水循环无氟环保制冷技术。</w:t>
      </w:r>
      <w:r>
        <w:rPr>
          <w:rFonts w:hint="eastAsia" w:ascii="仿宋_GB2312" w:hAnsi="仿宋_GB2312" w:eastAsia="仿宋_GB2312" w:cs="仿宋_GB2312"/>
          <w:b/>
          <w:bCs w:val="0"/>
          <w:color w:val="000000"/>
          <w:sz w:val="32"/>
          <w:szCs w:val="32"/>
          <w:lang w:val="en-US" w:eastAsia="zh-CN"/>
        </w:rPr>
        <w:t>（提供产品彩页或产品说明书或厂家技术白皮书证明，佐证材料须提供完整页面并标记出符合要求的描述）</w:t>
      </w:r>
      <w:r>
        <w:rPr>
          <w:rFonts w:hint="eastAsia" w:ascii="仿宋_GB2312" w:hAnsi="仿宋_GB2312" w:eastAsia="仿宋_GB2312" w:cs="仿宋_GB2312"/>
          <w:bCs/>
          <w:color w:val="000000"/>
          <w:sz w:val="32"/>
          <w:szCs w:val="32"/>
          <w:lang w:val="en-US" w:eastAsia="zh-CN"/>
        </w:rPr>
        <w:t xml:space="preserve">； </w:t>
      </w:r>
    </w:p>
    <w:p w14:paraId="497C3520">
      <w:pPr>
        <w:keepNext w:val="0"/>
        <w:keepLines w:val="0"/>
        <w:pageBreakBefore w:val="0"/>
        <w:widowControl w:val="0"/>
        <w:kinsoku/>
        <w:wordWrap/>
        <w:overflowPunct/>
        <w:topLinePunct w:val="0"/>
        <w:bidi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2.系统结构：≥三路输出，包括但不限于：一路升温、两路降温，每路均可独立控温。</w:t>
      </w:r>
      <w:r>
        <w:rPr>
          <w:rFonts w:hint="eastAsia" w:ascii="仿宋_GB2312" w:hAnsi="仿宋_GB2312" w:eastAsia="仿宋_GB2312" w:cs="仿宋_GB2312"/>
          <w:b/>
          <w:bCs w:val="0"/>
          <w:color w:val="000000"/>
          <w:sz w:val="32"/>
          <w:szCs w:val="32"/>
          <w:lang w:val="en-US" w:eastAsia="zh-CN"/>
        </w:rPr>
        <w:t>（提供产品彩页或产品说明书或厂家技术白皮书证明，佐证材料须提供完整页面并标记出符合要求的描述）</w:t>
      </w:r>
      <w:r>
        <w:rPr>
          <w:rFonts w:hint="eastAsia" w:ascii="仿宋_GB2312" w:hAnsi="仿宋_GB2312" w:eastAsia="仿宋_GB2312" w:cs="仿宋_GB2312"/>
          <w:bCs/>
          <w:color w:val="000000"/>
          <w:sz w:val="32"/>
          <w:szCs w:val="32"/>
          <w:lang w:val="en-US" w:eastAsia="zh-CN"/>
        </w:rPr>
        <w:t xml:space="preserve">； </w:t>
      </w:r>
    </w:p>
    <w:p w14:paraId="3CC34037">
      <w:pPr>
        <w:keepNext w:val="0"/>
        <w:keepLines w:val="0"/>
        <w:pageBreakBefore w:val="0"/>
        <w:widowControl w:val="0"/>
        <w:kinsoku/>
        <w:wordWrap/>
        <w:overflowPunct/>
        <w:topLinePunct w:val="0"/>
        <w:bidi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 xml:space="preserve">3.温控范围：-2℃～40℃，升降温速度每分钟≥2℃；毯面温度：降温毯和降温帽的表面温度围绕水温的±1℃显示，表面温度不均匀度：≤2℃；毯子作用面承载压力：≥135kg水循环正常； </w:t>
      </w:r>
    </w:p>
    <w:p w14:paraId="6DB4FE8B">
      <w:pPr>
        <w:keepNext w:val="0"/>
        <w:keepLines w:val="0"/>
        <w:pageBreakBefore w:val="0"/>
        <w:widowControl w:val="0"/>
        <w:kinsoku/>
        <w:wordWrap/>
        <w:overflowPunct/>
        <w:topLinePunct w:val="0"/>
        <w:bidi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4.体温设定范围：30.00℃～40 .00℃，步进0.01℃；体温传感器监测范围：26℃～43℃。</w:t>
      </w:r>
      <w:r>
        <w:rPr>
          <w:rFonts w:hint="eastAsia" w:ascii="仿宋_GB2312" w:hAnsi="仿宋_GB2312" w:eastAsia="仿宋_GB2312" w:cs="仿宋_GB2312"/>
          <w:b/>
          <w:bCs w:val="0"/>
          <w:color w:val="000000"/>
          <w:sz w:val="32"/>
          <w:szCs w:val="32"/>
          <w:lang w:val="en-US" w:eastAsia="zh-CN"/>
        </w:rPr>
        <w:t>（提供产品彩页或产品说明书或厂家技术白皮书证明，佐证材料须提供完整页面并标记出符合要求的描述）</w:t>
      </w:r>
      <w:r>
        <w:rPr>
          <w:rFonts w:hint="eastAsia" w:ascii="仿宋_GB2312" w:hAnsi="仿宋_GB2312" w:eastAsia="仿宋_GB2312" w:cs="仿宋_GB2312"/>
          <w:bCs/>
          <w:color w:val="000000"/>
          <w:sz w:val="32"/>
          <w:szCs w:val="32"/>
          <w:lang w:val="en-US" w:eastAsia="zh-CN"/>
        </w:rPr>
        <w:t xml:space="preserve">； </w:t>
      </w:r>
    </w:p>
    <w:p w14:paraId="458F542A">
      <w:pPr>
        <w:keepNext w:val="0"/>
        <w:keepLines w:val="0"/>
        <w:pageBreakBefore w:val="0"/>
        <w:widowControl w:val="0"/>
        <w:kinsoku/>
        <w:wordWrap/>
        <w:overflowPunct/>
        <w:topLinePunct w:val="0"/>
        <w:bidi w:val="0"/>
        <w:snapToGrid/>
        <w:ind w:firstLine="640" w:firstLineChars="200"/>
        <w:textAlignment w:val="auto"/>
        <w:rPr>
          <w:rFonts w:hint="default"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5.体温监测模式≥两种，包括但不限于：腋温监测和肛温监测，腋温和肛温传感器可根据临床实际需求灵活搭配；毯帽内置传感器，毯帽材质≥两种，包括但不限于：TPU（热塑性聚氨酯）材质和玻璃钢硬材质；</w:t>
      </w:r>
    </w:p>
    <w:p w14:paraId="1684AAB6">
      <w:pPr>
        <w:keepNext w:val="0"/>
        <w:keepLines w:val="0"/>
        <w:pageBreakBefore w:val="0"/>
        <w:widowControl w:val="0"/>
        <w:kinsoku/>
        <w:wordWrap/>
        <w:overflowPunct/>
        <w:topLinePunct w:val="0"/>
        <w:bidi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6. 显示界面：≥7寸彩色液晶触摸屏，屏幕亮度≥三挡可调，包括但不限于：弱、中、强；设备具备≥三种安全报警模式，包括但不限于：缺水故障报警、水位超限报警、传感器脱落报警；设备工作噪音：≤49dB。</w:t>
      </w:r>
      <w:r>
        <w:rPr>
          <w:rFonts w:hint="eastAsia" w:ascii="仿宋_GB2312" w:hAnsi="仿宋_GB2312" w:eastAsia="仿宋_GB2312" w:cs="仿宋_GB2312"/>
          <w:b/>
          <w:bCs w:val="0"/>
          <w:color w:val="000000"/>
          <w:sz w:val="32"/>
          <w:szCs w:val="32"/>
          <w:lang w:val="en-US" w:eastAsia="zh-CN"/>
        </w:rPr>
        <w:t>（提供产品彩页或产品说明书或厂家技术白皮书证明，佐证材料须提供完整页面并标记出符合要求的描述）</w:t>
      </w:r>
      <w:r>
        <w:rPr>
          <w:rFonts w:hint="eastAsia" w:ascii="仿宋_GB2312" w:hAnsi="仿宋_GB2312" w:eastAsia="仿宋_GB2312" w:cs="仿宋_GB2312"/>
          <w:bCs/>
          <w:color w:val="000000"/>
          <w:sz w:val="32"/>
          <w:szCs w:val="32"/>
          <w:lang w:val="en-US" w:eastAsia="zh-CN"/>
        </w:rPr>
        <w:t xml:space="preserve">； </w:t>
      </w:r>
    </w:p>
    <w:p w14:paraId="3ED665D4">
      <w:pPr>
        <w:keepNext w:val="0"/>
        <w:keepLines w:val="0"/>
        <w:pageBreakBefore w:val="0"/>
        <w:widowControl w:val="0"/>
        <w:kinsoku/>
        <w:wordWrap/>
        <w:overflowPunct/>
        <w:topLinePunct w:val="0"/>
        <w:bidi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 xml:space="preserve">7.系统控制方式≥两种控制模式，包括但不限于：手动控制模式和自动控制模式； </w:t>
      </w:r>
    </w:p>
    <w:p w14:paraId="4E0C2F44">
      <w:pPr>
        <w:keepNext w:val="0"/>
        <w:keepLines w:val="0"/>
        <w:pageBreakBefore w:val="0"/>
        <w:widowControl w:val="0"/>
        <w:kinsoku/>
        <w:wordWrap/>
        <w:overflowPunct/>
        <w:topLinePunct w:val="0"/>
        <w:bidi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8.降温系统自动控制模式下，体温设定范围：31℃-37℃，具备≥五种体温控制档，包括但不限于：31±0.5℃（中度低温）、33±0.5℃（颅脑降温）、35±0.5℃（发热降温）、37±0.5℃（防褥疮护理）以及自定义模式（医嘱）。</w:t>
      </w:r>
      <w:r>
        <w:rPr>
          <w:rFonts w:hint="eastAsia" w:ascii="仿宋_GB2312" w:hAnsi="仿宋_GB2312" w:eastAsia="仿宋_GB2312" w:cs="仿宋_GB2312"/>
          <w:b/>
          <w:bCs w:val="0"/>
          <w:color w:val="000000"/>
          <w:sz w:val="32"/>
          <w:szCs w:val="32"/>
          <w:lang w:val="en-US" w:eastAsia="zh-CN"/>
        </w:rPr>
        <w:t>（提供产品彩页或产品说明书或厂家技术白皮书证明，佐证材料须提供完整页面并标记出符合要求的描述）</w:t>
      </w:r>
      <w:r>
        <w:rPr>
          <w:rFonts w:hint="eastAsia" w:ascii="仿宋_GB2312" w:hAnsi="仿宋_GB2312" w:eastAsia="仿宋_GB2312" w:cs="仿宋_GB2312"/>
          <w:bCs/>
          <w:color w:val="000000"/>
          <w:sz w:val="32"/>
          <w:szCs w:val="32"/>
          <w:lang w:val="en-US" w:eastAsia="zh-CN"/>
        </w:rPr>
        <w:t xml:space="preserve">； </w:t>
      </w:r>
    </w:p>
    <w:p w14:paraId="08AF518F">
      <w:pPr>
        <w:keepNext w:val="0"/>
        <w:keepLines w:val="0"/>
        <w:pageBreakBefore w:val="0"/>
        <w:widowControl w:val="0"/>
        <w:kinsoku/>
        <w:wordWrap/>
        <w:overflowPunct/>
        <w:topLinePunct w:val="0"/>
        <w:bidi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9.升温系统自动控制模式下，体温设定范围具备≥三档，包括但不限于：36±2℃、40±2℃以及自定义模式；</w:t>
      </w:r>
    </w:p>
    <w:p w14:paraId="1B277E6C">
      <w:pPr>
        <w:keepNext w:val="0"/>
        <w:keepLines w:val="0"/>
        <w:pageBreakBefore w:val="0"/>
        <w:widowControl w:val="0"/>
        <w:kinsoku/>
        <w:wordWrap/>
        <w:overflowPunct/>
        <w:topLinePunct w:val="0"/>
        <w:bidi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 xml:space="preserve">10.产品具备记忆功能：设备断电后自动存储上次设定参数，以供下次使用参数，一键启动； </w:t>
      </w:r>
    </w:p>
    <w:p w14:paraId="0621664A">
      <w:pPr>
        <w:keepNext w:val="0"/>
        <w:keepLines w:val="0"/>
        <w:pageBreakBefore w:val="0"/>
        <w:widowControl w:val="0"/>
        <w:kinsoku/>
        <w:wordWrap/>
        <w:overflowPunct/>
        <w:topLinePunct w:val="0"/>
        <w:bidi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11.产品设计使用年限≥10年。</w:t>
      </w:r>
    </w:p>
    <w:p w14:paraId="00AAA1BB">
      <w:pPr>
        <w:keepNext w:val="0"/>
        <w:keepLines w:val="0"/>
        <w:pageBreakBefore w:val="0"/>
        <w:widowControl w:val="0"/>
        <w:kinsoku/>
        <w:wordWrap/>
        <w:overflowPunct/>
        <w:topLinePunct w:val="0"/>
        <w:bidi w:val="0"/>
        <w:snapToGrid/>
        <w:ind w:firstLine="643" w:firstLineChars="200"/>
        <w:textAlignment w:val="auto"/>
        <w:rPr>
          <w:rFonts w:hint="eastAsia" w:ascii="楷体_GB2312" w:hAnsi="楷体_GB2312" w:eastAsia="楷体_GB2312" w:cs="楷体_GB2312"/>
          <w:b/>
          <w:bCs w:val="0"/>
          <w:color w:val="000000"/>
          <w:sz w:val="32"/>
          <w:szCs w:val="32"/>
          <w:lang w:val="en-US" w:eastAsia="zh-CN"/>
        </w:rPr>
      </w:pPr>
      <w:r>
        <w:rPr>
          <w:rFonts w:hint="eastAsia" w:ascii="黑体" w:hAnsi="黑体" w:eastAsia="黑体" w:cs="黑体"/>
          <w:b/>
          <w:bCs w:val="0"/>
          <w:color w:val="000000"/>
          <w:sz w:val="32"/>
          <w:szCs w:val="32"/>
          <w:lang w:val="en-US" w:eastAsia="zh-CN"/>
        </w:rPr>
        <w:t>★</w:t>
      </w:r>
      <w:r>
        <w:rPr>
          <w:rFonts w:hint="eastAsia" w:ascii="楷体_GB2312" w:hAnsi="楷体_GB2312" w:eastAsia="楷体_GB2312" w:cs="楷体_GB2312"/>
          <w:b/>
          <w:bCs w:val="0"/>
          <w:color w:val="000000"/>
          <w:sz w:val="32"/>
          <w:szCs w:val="32"/>
          <w:lang w:val="en-US" w:eastAsia="zh-CN"/>
        </w:rPr>
        <w:t>三、单套配置要求</w:t>
      </w:r>
    </w:p>
    <w:p w14:paraId="36CAAA01">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1.主机：               3台</w:t>
      </w:r>
    </w:p>
    <w:p w14:paraId="0BBCF82A">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2.升温毯：             3 条</w:t>
      </w:r>
    </w:p>
    <w:p w14:paraId="186D5936">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3.降温毯：             6条</w:t>
      </w:r>
    </w:p>
    <w:p w14:paraId="0993EF5E">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4.降温帽：    8个（婴儿1个、儿童型号5个、成人2个）</w:t>
      </w:r>
    </w:p>
    <w:p w14:paraId="526E3CD2">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5.人体探头：           16个（腋下10个、肛内6个）</w:t>
      </w:r>
    </w:p>
    <w:p w14:paraId="32A9A312">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6.输血输液加温仪：     2台</w:t>
      </w:r>
    </w:p>
    <w:p w14:paraId="575E7019">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7.中文说明书           3套（另电子版1份）</w:t>
      </w:r>
    </w:p>
    <w:p w14:paraId="08CB862B">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8.中文操作流程卡(过塑) 3套</w:t>
      </w:r>
    </w:p>
    <w:p w14:paraId="048AA788">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9.中文维修手册         3套（另电子版1份）</w:t>
      </w:r>
    </w:p>
    <w:p w14:paraId="49D25A6C">
      <w:pPr>
        <w:pStyle w:val="14"/>
        <w:keepNext w:val="0"/>
        <w:keepLines w:val="0"/>
        <w:pageBreakBefore w:val="0"/>
        <w:widowControl w:val="0"/>
        <w:kinsoku/>
        <w:wordWrap/>
        <w:overflowPunct/>
        <w:topLinePunct w:val="0"/>
        <w:bidi w:val="0"/>
        <w:snapToGrid/>
        <w:ind w:firstLine="643" w:firstLineChars="200"/>
        <w:textAlignment w:val="auto"/>
        <w:rPr>
          <w:rFonts w:hint="eastAsia" w:ascii="楷体_GB2312" w:hAnsi="楷体_GB2312" w:eastAsia="楷体_GB2312" w:cs="楷体_GB2312"/>
          <w:b/>
          <w:bCs w:val="0"/>
          <w:color w:val="000000"/>
          <w:sz w:val="32"/>
          <w:szCs w:val="32"/>
          <w:lang w:val="en-US" w:eastAsia="zh-CN"/>
        </w:rPr>
      </w:pPr>
      <w:r>
        <w:rPr>
          <w:rFonts w:hint="eastAsia" w:ascii="楷体_GB2312" w:hAnsi="楷体_GB2312" w:eastAsia="楷体_GB2312" w:cs="楷体_GB2312"/>
          <w:b/>
          <w:bCs w:val="0"/>
          <w:color w:val="000000"/>
          <w:sz w:val="32"/>
          <w:szCs w:val="32"/>
          <w:lang w:val="en-US" w:eastAsia="zh-CN"/>
        </w:rPr>
        <w:t>四、商务条款及其他要求</w:t>
      </w:r>
    </w:p>
    <w:p w14:paraId="4C22E17B">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default"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（一）</w:t>
      </w:r>
      <w:r>
        <w:rPr>
          <w:rFonts w:hint="eastAsia" w:ascii="黑体" w:hAnsi="黑体" w:eastAsia="黑体" w:cs="黑体"/>
          <w:b/>
          <w:bCs w:val="0"/>
          <w:color w:val="000000"/>
          <w:sz w:val="32"/>
          <w:szCs w:val="32"/>
          <w:lang w:val="en-US" w:eastAsia="zh-CN"/>
        </w:rPr>
        <w:t>★</w:t>
      </w:r>
      <w:r>
        <w:rPr>
          <w:rFonts w:hint="default" w:ascii="仿宋_GB2312" w:hAnsi="仿宋_GB2312" w:eastAsia="仿宋_GB2312" w:cs="仿宋_GB2312"/>
          <w:bCs/>
          <w:color w:val="000000"/>
          <w:sz w:val="32"/>
          <w:szCs w:val="32"/>
          <w:lang w:val="en-US" w:eastAsia="zh-CN"/>
        </w:rPr>
        <w:t>交货日期：签订合同后，经采购人通知后30（天）日历日内。</w:t>
      </w:r>
    </w:p>
    <w:p w14:paraId="083153F5">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default"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（二）</w:t>
      </w:r>
      <w:r>
        <w:rPr>
          <w:rFonts w:hint="default" w:ascii="仿宋_GB2312" w:hAnsi="仿宋_GB2312" w:eastAsia="仿宋_GB2312" w:cs="仿宋_GB2312"/>
          <w:bCs/>
          <w:color w:val="000000"/>
          <w:sz w:val="32"/>
          <w:szCs w:val="32"/>
          <w:lang w:val="en-US" w:eastAsia="zh-CN"/>
        </w:rPr>
        <w:t>交货地点：采购人指定地点。</w:t>
      </w:r>
    </w:p>
    <w:p w14:paraId="6432ADFC">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default"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（三）</w:t>
      </w:r>
      <w:r>
        <w:rPr>
          <w:rFonts w:hint="default" w:ascii="仿宋_GB2312" w:hAnsi="仿宋_GB2312" w:eastAsia="仿宋_GB2312" w:cs="仿宋_GB2312"/>
          <w:bCs/>
          <w:color w:val="000000"/>
          <w:sz w:val="32"/>
          <w:szCs w:val="32"/>
          <w:lang w:val="en-US" w:eastAsia="zh-CN"/>
        </w:rPr>
        <w:t>报价：人民币报价。</w:t>
      </w:r>
    </w:p>
    <w:p w14:paraId="3246C944">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highlight w:val="none"/>
          <w:lang w:val="en-US" w:eastAsia="zh-CN"/>
        </w:rPr>
        <w:t>（四）</w:t>
      </w:r>
      <w:r>
        <w:rPr>
          <w:rFonts w:hint="default" w:ascii="仿宋_GB2312" w:hAnsi="仿宋_GB2312" w:eastAsia="仿宋_GB2312" w:cs="仿宋_GB2312"/>
          <w:bCs/>
          <w:color w:val="000000"/>
          <w:sz w:val="32"/>
          <w:szCs w:val="32"/>
          <w:highlight w:val="none"/>
          <w:lang w:val="en-US" w:eastAsia="zh-CN"/>
        </w:rPr>
        <w:t>付款条件：</w:t>
      </w:r>
      <w:r>
        <w:rPr>
          <w:rFonts w:hint="default" w:ascii="仿宋_GB2312" w:hAnsi="仿宋_GB2312" w:eastAsia="仿宋_GB2312" w:cs="仿宋_GB2312"/>
          <w:bCs/>
          <w:color w:val="000000"/>
          <w:sz w:val="32"/>
          <w:szCs w:val="32"/>
          <w:lang w:val="en-US" w:eastAsia="zh-CN"/>
        </w:rPr>
        <w:t>（1）签订合同和财政资金到位后，采购人支付中标人不超过合同金额70%的预付款；（2）财政资金到位后，设备送货至采购人指定地点后，可支付不超过合同总额95%的设备款；（3）财政资金到位后，设备验收合格后可支付剩余验收款（若资金不足以支付尾款，可据实支付部分款项，待资金到位后支付余款）；（4）若资金到位后且设备验收合格，可一次性支付100%验收款。当采购人2026年的资金预算不足以支付项目款项时，则需顺延至2027年支付。</w:t>
      </w:r>
    </w:p>
    <w:p w14:paraId="4F92872A">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default"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（五）如有备品备件、消耗品、零配件，提供备品备件清单，提供消耗品优惠价格，提供零配件优惠价格。</w:t>
      </w:r>
    </w:p>
    <w:p w14:paraId="56C63815">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（六）★免费保修期内售后服务要求</w:t>
      </w:r>
    </w:p>
    <w:p w14:paraId="614AFF9B">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default"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1.在免费保修期内，一旦发生质量问题，投标人保证在接到通知12小时内赶到现场进行修理或更换</w:t>
      </w:r>
      <w:r>
        <w:rPr>
          <w:rFonts w:hint="default" w:ascii="仿宋_GB2312" w:hAnsi="仿宋_GB2312" w:eastAsia="仿宋_GB2312" w:cs="仿宋_GB2312"/>
          <w:bCs/>
          <w:color w:val="000000"/>
          <w:sz w:val="32"/>
          <w:szCs w:val="32"/>
          <w:lang w:val="en-US" w:eastAsia="zh-CN"/>
        </w:rPr>
        <w:t>。</w:t>
      </w:r>
    </w:p>
    <w:p w14:paraId="0DDBB733">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default" w:ascii="仿宋_GB2312" w:hAnsi="仿宋_GB2312" w:eastAsia="仿宋_GB2312" w:cs="仿宋_GB2312"/>
          <w:bCs/>
          <w:color w:val="000000"/>
          <w:sz w:val="32"/>
          <w:szCs w:val="32"/>
          <w:highlight w:val="none"/>
          <w:lang w:val="en-US" w:eastAsia="zh-CN"/>
        </w:rPr>
      </w:pPr>
      <w:r>
        <w:rPr>
          <w:rFonts w:hint="eastAsia" w:ascii="仿宋_GB2312" w:hAnsi="仿宋_GB2312" w:eastAsia="仿宋_GB2312" w:cs="仿宋_GB2312"/>
          <w:bCs/>
          <w:color w:val="000000"/>
          <w:sz w:val="32"/>
          <w:szCs w:val="32"/>
          <w:lang w:val="en-US" w:eastAsia="zh-CN"/>
        </w:rPr>
        <w:t>2.对所提供的设备整机质保期（整机全保）：≥3年，保修期3年。质保期时间自最终验收合格并交付使用之日起计算，保修期自质保期满起计算</w:t>
      </w:r>
      <w:r>
        <w:rPr>
          <w:rFonts w:hint="default" w:ascii="仿宋_GB2312" w:hAnsi="仿宋_GB2312" w:eastAsia="仿宋_GB2312" w:cs="仿宋_GB2312"/>
          <w:bCs/>
          <w:color w:val="000000"/>
          <w:sz w:val="32"/>
          <w:szCs w:val="32"/>
          <w:highlight w:val="none"/>
          <w:lang w:val="en-US" w:eastAsia="zh-CN"/>
        </w:rPr>
        <w:t>。</w:t>
      </w:r>
    </w:p>
    <w:p w14:paraId="216DBBCA">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default" w:ascii="仿宋_GB2312" w:hAnsi="仿宋_GB2312" w:eastAsia="仿宋_GB2312" w:cs="仿宋_GB2312"/>
          <w:bCs/>
          <w:color w:val="000000"/>
          <w:sz w:val="32"/>
          <w:szCs w:val="32"/>
          <w:highlight w:val="none"/>
          <w:lang w:val="en-US" w:eastAsia="zh-CN"/>
        </w:rPr>
      </w:pPr>
      <w:r>
        <w:rPr>
          <w:rFonts w:hint="eastAsia" w:ascii="仿宋_GB2312" w:hAnsi="仿宋_GB2312" w:eastAsia="仿宋_GB2312" w:cs="仿宋_GB2312"/>
          <w:bCs/>
          <w:color w:val="000000"/>
          <w:sz w:val="32"/>
          <w:szCs w:val="32"/>
          <w:highlight w:val="none"/>
          <w:lang w:val="en-US" w:eastAsia="zh-CN"/>
        </w:rPr>
        <w:t>3.免费保修期（质保期）内，所有服务及配件全部免费。</w:t>
      </w:r>
    </w:p>
    <w:p w14:paraId="3FA98600">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highlight w:val="none"/>
          <w:lang w:val="en-US" w:eastAsia="zh-CN"/>
        </w:rPr>
      </w:pPr>
      <w:r>
        <w:rPr>
          <w:rFonts w:hint="eastAsia" w:ascii="仿宋_GB2312" w:hAnsi="仿宋_GB2312" w:eastAsia="仿宋_GB2312" w:cs="仿宋_GB2312"/>
          <w:bCs/>
          <w:color w:val="000000"/>
          <w:sz w:val="32"/>
          <w:szCs w:val="32"/>
          <w:highlight w:val="none"/>
          <w:lang w:val="en-US" w:eastAsia="zh-CN"/>
        </w:rPr>
        <w:t>4.保修期内，免费维修，用户只承担更换零备件的费用。</w:t>
      </w:r>
    </w:p>
    <w:p w14:paraId="16B9C59C">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default" w:ascii="仿宋_GB2312" w:hAnsi="仿宋_GB2312" w:eastAsia="仿宋_GB2312" w:cs="仿宋_GB2312"/>
          <w:bCs/>
          <w:color w:val="000000"/>
          <w:sz w:val="32"/>
          <w:szCs w:val="32"/>
          <w:highlight w:val="none"/>
          <w:lang w:val="en-US" w:eastAsia="zh-CN"/>
        </w:rPr>
      </w:pPr>
      <w:r>
        <w:rPr>
          <w:rFonts w:hint="eastAsia" w:ascii="仿宋_GB2312" w:hAnsi="仿宋_GB2312" w:eastAsia="仿宋_GB2312" w:cs="仿宋_GB2312"/>
          <w:bCs/>
          <w:color w:val="000000"/>
          <w:sz w:val="32"/>
          <w:szCs w:val="32"/>
          <w:highlight w:val="none"/>
          <w:lang w:val="en-US" w:eastAsia="zh-CN"/>
        </w:rPr>
        <w:t>5.</w:t>
      </w:r>
      <w:r>
        <w:rPr>
          <w:rFonts w:hint="default" w:ascii="仿宋_GB2312" w:hAnsi="仿宋_GB2312" w:eastAsia="仿宋_GB2312" w:cs="仿宋_GB2312"/>
          <w:bCs/>
          <w:color w:val="000000"/>
          <w:sz w:val="32"/>
          <w:szCs w:val="32"/>
          <w:highlight w:val="none"/>
          <w:lang w:val="en-US" w:eastAsia="zh-CN"/>
        </w:rPr>
        <w:t>投标人应提供全套、完整的书面技术资料，包括仪器说明书、操作手册、简单维修说明、图纸等。</w:t>
      </w:r>
    </w:p>
    <w:p w14:paraId="7FCF2AC3">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default" w:ascii="仿宋_GB2312" w:hAnsi="仿宋_GB2312" w:eastAsia="仿宋_GB2312" w:cs="仿宋_GB2312"/>
          <w:bCs/>
          <w:color w:val="000000"/>
          <w:sz w:val="32"/>
          <w:szCs w:val="32"/>
          <w:highlight w:val="none"/>
          <w:lang w:val="en-US" w:eastAsia="zh-CN"/>
        </w:rPr>
      </w:pPr>
      <w:r>
        <w:rPr>
          <w:rFonts w:hint="eastAsia" w:ascii="仿宋_GB2312" w:hAnsi="仿宋_GB2312" w:eastAsia="仿宋_GB2312" w:cs="仿宋_GB2312"/>
          <w:bCs/>
          <w:color w:val="000000"/>
          <w:sz w:val="32"/>
          <w:szCs w:val="32"/>
          <w:highlight w:val="none"/>
          <w:lang w:val="en-US" w:eastAsia="zh-CN"/>
        </w:rPr>
        <w:t>6.</w:t>
      </w:r>
      <w:r>
        <w:rPr>
          <w:rFonts w:hint="default" w:ascii="仿宋_GB2312" w:hAnsi="仿宋_GB2312" w:eastAsia="仿宋_GB2312" w:cs="仿宋_GB2312"/>
          <w:bCs/>
          <w:color w:val="000000"/>
          <w:sz w:val="32"/>
          <w:szCs w:val="32"/>
          <w:highlight w:val="none"/>
          <w:lang w:val="en-US" w:eastAsia="zh-CN"/>
        </w:rPr>
        <w:t>在</w:t>
      </w:r>
      <w:r>
        <w:rPr>
          <w:rFonts w:hint="eastAsia" w:ascii="仿宋_GB2312" w:hAnsi="仿宋_GB2312" w:eastAsia="仿宋_GB2312" w:cs="仿宋_GB2312"/>
          <w:bCs/>
          <w:color w:val="000000"/>
          <w:sz w:val="32"/>
          <w:szCs w:val="32"/>
          <w:highlight w:val="none"/>
          <w:lang w:val="en-US" w:eastAsia="zh-CN"/>
        </w:rPr>
        <w:t>质保期</w:t>
      </w:r>
      <w:r>
        <w:rPr>
          <w:rFonts w:hint="default" w:ascii="仿宋_GB2312" w:hAnsi="仿宋_GB2312" w:eastAsia="仿宋_GB2312" w:cs="仿宋_GB2312"/>
          <w:bCs/>
          <w:color w:val="000000"/>
          <w:sz w:val="32"/>
          <w:szCs w:val="32"/>
          <w:highlight w:val="none"/>
          <w:lang w:val="en-US" w:eastAsia="zh-CN"/>
        </w:rPr>
        <w:t>内，中标人必须保证设备的开机率&gt;95%；若不能达到此开机率，将作以下处理：①90%＜开机率≤95%按一赔二延长质保期；②85%＜开机率≤90%按一赔五延长质保期；③开机率低于85%，供应商须无条件更换新机，并重新计算质保期，以及赔偿用户的直接经济损失和间接经济损失。</w:t>
      </w:r>
    </w:p>
    <w:p w14:paraId="6ADD804F">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highlight w:val="none"/>
          <w:lang w:val="en-US" w:eastAsia="zh-CN"/>
        </w:rPr>
      </w:pPr>
      <w:r>
        <w:rPr>
          <w:rFonts w:hint="eastAsia" w:ascii="仿宋_GB2312" w:hAnsi="仿宋_GB2312" w:eastAsia="仿宋_GB2312" w:cs="仿宋_GB2312"/>
          <w:bCs/>
          <w:color w:val="000000"/>
          <w:sz w:val="32"/>
          <w:szCs w:val="32"/>
          <w:highlight w:val="none"/>
          <w:lang w:val="en-US" w:eastAsia="zh-CN"/>
        </w:rPr>
        <w:t>（七）</w:t>
      </w:r>
      <w:r>
        <w:rPr>
          <w:rFonts w:hint="eastAsia" w:ascii="黑体" w:hAnsi="黑体" w:eastAsia="黑体" w:cs="黑体"/>
          <w:b/>
          <w:bCs w:val="0"/>
          <w:color w:val="000000"/>
          <w:sz w:val="32"/>
          <w:szCs w:val="32"/>
          <w:lang w:val="en-US" w:eastAsia="zh-CN"/>
        </w:rPr>
        <w:t>★</w:t>
      </w:r>
      <w:r>
        <w:rPr>
          <w:rFonts w:hint="eastAsia" w:ascii="仿宋_GB2312" w:hAnsi="仿宋_GB2312" w:eastAsia="仿宋_GB2312" w:cs="仿宋_GB2312"/>
          <w:bCs/>
          <w:color w:val="000000"/>
          <w:sz w:val="32"/>
          <w:szCs w:val="32"/>
          <w:highlight w:val="none"/>
          <w:lang w:val="en-US" w:eastAsia="zh-CN"/>
        </w:rPr>
        <w:t>免费保修期外售后服务要求</w:t>
      </w:r>
    </w:p>
    <w:p w14:paraId="18BF78E0">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default"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highlight w:val="none"/>
          <w:lang w:val="en-US" w:eastAsia="zh-CN"/>
        </w:rPr>
        <w:t>1.由设备制造商提供售后服务，2小时内响应，12小时维修工程师到位，并在24小时内消除故障（不可抗力情况除外）。消耗品和零配件供应及时，特殊情况下可提供备用机</w:t>
      </w:r>
      <w:r>
        <w:rPr>
          <w:rFonts w:hint="default" w:ascii="仿宋_GB2312" w:hAnsi="仿宋_GB2312" w:eastAsia="仿宋_GB2312" w:cs="仿宋_GB2312"/>
          <w:bCs/>
          <w:color w:val="000000"/>
          <w:sz w:val="32"/>
          <w:szCs w:val="32"/>
          <w:lang w:val="en-US" w:eastAsia="zh-CN"/>
        </w:rPr>
        <w:t>。</w:t>
      </w:r>
    </w:p>
    <w:p w14:paraId="25C846C5">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2.投标时，供应商承诺保修期外，能及时为采购人提供备品备件、专用试剂及耗材。</w:t>
      </w:r>
    </w:p>
    <w:p w14:paraId="19FBE200">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3.质保期满之日起3年内免费提供软件升级、终身软件备份。</w:t>
      </w:r>
    </w:p>
    <w:p w14:paraId="6FE4CD41">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（八）</w:t>
      </w:r>
      <w:r>
        <w:rPr>
          <w:rFonts w:hint="eastAsia" w:ascii="黑体" w:hAnsi="黑体" w:eastAsia="黑体" w:cs="黑体"/>
          <w:b/>
          <w:bCs w:val="0"/>
          <w:color w:val="000000"/>
          <w:sz w:val="32"/>
          <w:szCs w:val="32"/>
          <w:lang w:val="en-US" w:eastAsia="zh-CN"/>
        </w:rPr>
        <w:t>★</w:t>
      </w:r>
      <w:r>
        <w:rPr>
          <w:rFonts w:hint="eastAsia" w:ascii="仿宋_GB2312" w:hAnsi="仿宋_GB2312" w:eastAsia="仿宋_GB2312" w:cs="仿宋_GB2312"/>
          <w:bCs/>
          <w:color w:val="000000"/>
          <w:sz w:val="32"/>
          <w:szCs w:val="32"/>
          <w:lang w:val="en-US" w:eastAsia="zh-CN"/>
        </w:rPr>
        <w:t>其他服务要求</w:t>
      </w:r>
    </w:p>
    <w:p w14:paraId="1A5D56BE">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1.投标人须在签订合同之日起3天内向采购人提供设备的运行、安装、使用环境要求。</w:t>
      </w:r>
    </w:p>
    <w:p w14:paraId="7961C87C">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2.运输、安装按照仪器说明书要求。</w:t>
      </w:r>
    </w:p>
    <w:p w14:paraId="0E7F6954">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3.投标人应派专业技术人员免费对采购单位指定人员进行定期培训及指导，直至其完全掌握设备的基本故障处理技术。</w:t>
      </w:r>
    </w:p>
    <w:p w14:paraId="03F724E9">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4.现场培训：投标人应提供现场技术培训，保证使用人员正常操作设备的各种功能。</w:t>
      </w:r>
    </w:p>
    <w:p w14:paraId="22DFBEC9">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 xml:space="preserve">5.投标人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投标供应商承担全部责任。 </w:t>
      </w:r>
    </w:p>
    <w:p w14:paraId="66C91BBD">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6.采购人购买产品后，有权对该产品与其他设备进行配套、整合或适当改进，而免受侵犯专利权的起诉。</w:t>
      </w:r>
    </w:p>
    <w:p w14:paraId="7A7DFDCE">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（九）★交货时，设备出厂时间：≤1年（以合同签订日期为准）。</w:t>
      </w:r>
    </w:p>
    <w:p w14:paraId="6499C4E0">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（十）★配齐满足以上性能且正常使用所需要的所有附件，与医院数据传输系统的接口等，负责系统接口费，保证数据安全，无需另外购置即可满足临床需求。</w:t>
      </w:r>
    </w:p>
    <w:p w14:paraId="4F84240F">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十一）网络安全：所提供产品或服务满足国家网络安全管理要求，遵守医疗行业和医院网络安全管理规范，保护医院和患者信息安全。医疗设备自带软件（如有）具备合格的软件功能及安全测评报告、源代码安全审计报告和网络及数据接口说明等。（提供承诺函，格式自拟）</w:t>
      </w:r>
    </w:p>
    <w:p w14:paraId="5B2C322A">
      <w:pPr>
        <w:pStyle w:val="14"/>
        <w:keepNext w:val="0"/>
        <w:keepLines w:val="0"/>
        <w:pageBreakBefore w:val="0"/>
        <w:widowControl w:val="0"/>
        <w:kinsoku/>
        <w:wordWrap/>
        <w:overflowPunct/>
        <w:topLinePunct w:val="0"/>
        <w:bidi w:val="0"/>
        <w:snapToGrid/>
        <w:ind w:firstLine="643" w:firstLineChars="200"/>
        <w:textAlignment w:val="auto"/>
        <w:rPr>
          <w:rFonts w:hint="eastAsia" w:ascii="楷体_GB2312" w:hAnsi="楷体_GB2312" w:eastAsia="楷体_GB2312" w:cs="楷体_GB2312"/>
          <w:b/>
          <w:bCs w:val="0"/>
          <w:color w:val="000000"/>
          <w:sz w:val="32"/>
          <w:szCs w:val="32"/>
          <w:lang w:val="en-US" w:eastAsia="zh-CN"/>
        </w:rPr>
      </w:pPr>
      <w:bookmarkStart w:id="0" w:name="_Toc99727042"/>
      <w:r>
        <w:rPr>
          <w:rFonts w:hint="eastAsia" w:ascii="楷体_GB2312" w:hAnsi="楷体_GB2312" w:eastAsia="楷体_GB2312" w:cs="楷体_GB2312"/>
          <w:b/>
          <w:bCs w:val="0"/>
          <w:color w:val="000000"/>
          <w:sz w:val="32"/>
          <w:szCs w:val="32"/>
          <w:lang w:val="en-US" w:eastAsia="zh-CN"/>
        </w:rPr>
        <w:t>五、综合评分表</w:t>
      </w:r>
      <w:bookmarkEnd w:id="0"/>
      <w:r>
        <w:rPr>
          <w:rFonts w:hint="eastAsia" w:ascii="楷体_GB2312" w:hAnsi="楷体_GB2312" w:eastAsia="楷体_GB2312" w:cs="楷体_GB2312"/>
          <w:b/>
          <w:bCs w:val="0"/>
          <w:color w:val="000000"/>
          <w:sz w:val="32"/>
          <w:szCs w:val="32"/>
          <w:highlight w:val="red"/>
          <w:lang w:val="en-US" w:eastAsia="zh-CN"/>
        </w:rPr>
        <w:t>（综合得分60分以下的视为投标无效）</w:t>
      </w:r>
    </w:p>
    <w:tbl>
      <w:tblPr>
        <w:tblStyle w:val="8"/>
        <w:tblW w:w="8448" w:type="dxa"/>
        <w:tblInd w:w="93"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680"/>
        <w:gridCol w:w="1147"/>
        <w:gridCol w:w="5843"/>
        <w:gridCol w:w="778"/>
      </w:tblGrid>
      <w:tr w14:paraId="4E19976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83" w:hRule="atLeast"/>
        </w:trPr>
        <w:tc>
          <w:tcPr>
            <w:tcW w:w="680" w:type="dxa"/>
            <w:noWrap w:val="0"/>
            <w:vAlign w:val="center"/>
          </w:tcPr>
          <w:p w14:paraId="3024E07F">
            <w:pPr>
              <w:jc w:val="center"/>
              <w:rPr>
                <w:rFonts w:hint="eastAsia" w:ascii="宋体" w:hAnsi="宋体" w:cs="宋体"/>
                <w:b/>
                <w:szCs w:val="21"/>
              </w:rPr>
            </w:pPr>
            <w:r>
              <w:rPr>
                <w:rFonts w:hint="eastAsia" w:ascii="宋体" w:hAnsi="宋体" w:cs="宋体"/>
                <w:b/>
                <w:szCs w:val="21"/>
              </w:rPr>
              <w:t>评审部分</w:t>
            </w:r>
          </w:p>
        </w:tc>
        <w:tc>
          <w:tcPr>
            <w:tcW w:w="1147" w:type="dxa"/>
            <w:noWrap w:val="0"/>
            <w:vAlign w:val="center"/>
          </w:tcPr>
          <w:p w14:paraId="158155F3">
            <w:pPr>
              <w:jc w:val="center"/>
              <w:rPr>
                <w:rFonts w:hint="eastAsia" w:ascii="宋体" w:hAnsi="宋体" w:cs="宋体"/>
                <w:b/>
                <w:szCs w:val="21"/>
              </w:rPr>
            </w:pPr>
            <w:r>
              <w:rPr>
                <w:rFonts w:hint="eastAsia" w:ascii="宋体" w:hAnsi="宋体" w:cs="宋体"/>
                <w:b/>
                <w:szCs w:val="21"/>
              </w:rPr>
              <w:t>评审因素</w:t>
            </w:r>
          </w:p>
        </w:tc>
        <w:tc>
          <w:tcPr>
            <w:tcW w:w="5843" w:type="dxa"/>
            <w:noWrap w:val="0"/>
            <w:vAlign w:val="center"/>
          </w:tcPr>
          <w:p w14:paraId="2BA21319">
            <w:pPr>
              <w:jc w:val="center"/>
              <w:rPr>
                <w:rFonts w:hint="eastAsia" w:ascii="宋体" w:hAnsi="宋体" w:cs="宋体"/>
                <w:b/>
                <w:szCs w:val="21"/>
              </w:rPr>
            </w:pPr>
            <w:r>
              <w:rPr>
                <w:rFonts w:hint="eastAsia" w:ascii="宋体" w:hAnsi="宋体" w:cs="宋体"/>
                <w:b/>
                <w:szCs w:val="21"/>
              </w:rPr>
              <w:t>评分细则</w:t>
            </w:r>
          </w:p>
        </w:tc>
        <w:tc>
          <w:tcPr>
            <w:tcW w:w="778" w:type="dxa"/>
            <w:tcBorders>
              <w:left w:val="single" w:color="auto" w:sz="4" w:space="0"/>
            </w:tcBorders>
            <w:noWrap w:val="0"/>
            <w:vAlign w:val="center"/>
          </w:tcPr>
          <w:p w14:paraId="0FDF15A1">
            <w:pPr>
              <w:jc w:val="center"/>
              <w:rPr>
                <w:rFonts w:hint="eastAsia" w:ascii="宋体" w:hAnsi="宋体" w:cs="宋体"/>
                <w:b/>
                <w:szCs w:val="21"/>
              </w:rPr>
            </w:pPr>
            <w:r>
              <w:rPr>
                <w:rFonts w:hint="eastAsia" w:ascii="宋体" w:hAnsi="宋体" w:cs="宋体"/>
                <w:b/>
                <w:szCs w:val="21"/>
              </w:rPr>
              <w:t>分值（分）</w:t>
            </w:r>
          </w:p>
        </w:tc>
      </w:tr>
      <w:tr w14:paraId="48D15D2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41" w:hRule="atLeast"/>
        </w:trPr>
        <w:tc>
          <w:tcPr>
            <w:tcW w:w="680" w:type="dxa"/>
            <w:noWrap w:val="0"/>
            <w:vAlign w:val="center"/>
          </w:tcPr>
          <w:p w14:paraId="0A57988C">
            <w:pPr>
              <w:jc w:val="center"/>
              <w:rPr>
                <w:rFonts w:hint="eastAsia" w:ascii="宋体" w:hAnsi="宋体" w:cs="宋体"/>
                <w:b/>
                <w:szCs w:val="21"/>
              </w:rPr>
            </w:pPr>
            <w:r>
              <w:rPr>
                <w:rFonts w:hint="eastAsia" w:ascii="宋体" w:hAnsi="宋体" w:cs="宋体"/>
                <w:b/>
                <w:szCs w:val="21"/>
              </w:rPr>
              <w:t>一</w:t>
            </w:r>
          </w:p>
        </w:tc>
        <w:tc>
          <w:tcPr>
            <w:tcW w:w="7768" w:type="dxa"/>
            <w:gridSpan w:val="3"/>
            <w:noWrap w:val="0"/>
            <w:vAlign w:val="center"/>
          </w:tcPr>
          <w:p w14:paraId="5AD13B9D">
            <w:pPr>
              <w:jc w:val="center"/>
              <w:rPr>
                <w:rFonts w:hint="eastAsia" w:ascii="宋体" w:hAnsi="宋体" w:cs="宋体"/>
                <w:b/>
                <w:szCs w:val="21"/>
              </w:rPr>
            </w:pPr>
            <w:r>
              <w:rPr>
                <w:rFonts w:hint="eastAsia" w:ascii="宋体" w:hAnsi="宋体" w:cs="宋体"/>
                <w:b/>
                <w:szCs w:val="21"/>
              </w:rPr>
              <w:t>技术部分（60分）</w:t>
            </w:r>
          </w:p>
        </w:tc>
      </w:tr>
      <w:tr w14:paraId="6B3F69E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83" w:hRule="atLeast"/>
        </w:trPr>
        <w:tc>
          <w:tcPr>
            <w:tcW w:w="680" w:type="dxa"/>
            <w:tcBorders>
              <w:bottom w:val="single" w:color="auto" w:sz="4" w:space="0"/>
            </w:tcBorders>
            <w:noWrap w:val="0"/>
            <w:vAlign w:val="center"/>
          </w:tcPr>
          <w:p w14:paraId="74A879E4">
            <w:pPr>
              <w:pStyle w:val="21"/>
              <w:numPr>
                <w:ilvl w:val="0"/>
                <w:numId w:val="1"/>
              </w:numPr>
              <w:ind w:left="0" w:firstLine="0" w:firstLineChars="0"/>
              <w:jc w:val="right"/>
              <w:rPr>
                <w:rFonts w:hint="eastAsia" w:ascii="宋体" w:hAnsi="宋体" w:cs="宋体"/>
                <w:szCs w:val="21"/>
              </w:rPr>
            </w:pPr>
          </w:p>
        </w:tc>
        <w:tc>
          <w:tcPr>
            <w:tcW w:w="1147" w:type="dxa"/>
            <w:noWrap w:val="0"/>
            <w:vAlign w:val="center"/>
          </w:tcPr>
          <w:p w14:paraId="54B627A7">
            <w:pPr>
              <w:jc w:val="center"/>
              <w:rPr>
                <w:rFonts w:hint="eastAsia" w:ascii="宋体" w:hAnsi="宋体" w:cs="宋体"/>
                <w:szCs w:val="21"/>
              </w:rPr>
            </w:pPr>
            <w:r>
              <w:rPr>
                <w:rFonts w:hint="eastAsia" w:ascii="宋体" w:hAnsi="宋体" w:cs="宋体"/>
                <w:szCs w:val="21"/>
              </w:rPr>
              <w:t>所投产品技术参数响应情况评价</w:t>
            </w:r>
          </w:p>
        </w:tc>
        <w:tc>
          <w:tcPr>
            <w:tcW w:w="5843" w:type="dxa"/>
            <w:noWrap w:val="0"/>
            <w:vAlign w:val="center"/>
          </w:tcPr>
          <w:p w14:paraId="56C25D21">
            <w:pPr>
              <w:wordWrap w:val="0"/>
              <w:rPr>
                <w:rFonts w:hint="eastAsia" w:ascii="宋体" w:hAnsi="宋体" w:cs="宋体"/>
                <w:b/>
                <w:bCs/>
                <w:szCs w:val="21"/>
              </w:rPr>
            </w:pPr>
            <w:r>
              <w:rPr>
                <w:rFonts w:hint="eastAsia" w:ascii="宋体" w:hAnsi="宋体" w:cs="宋体"/>
                <w:b/>
                <w:bCs/>
                <w:szCs w:val="21"/>
              </w:rPr>
              <w:t>（一）评分内容：</w:t>
            </w:r>
          </w:p>
          <w:p w14:paraId="150F5130">
            <w:pPr>
              <w:wordWrap w:val="0"/>
              <w:rPr>
                <w:rFonts w:hint="eastAsia" w:ascii="宋体" w:hAnsi="宋体" w:cs="宋体"/>
                <w:szCs w:val="21"/>
              </w:rPr>
            </w:pPr>
            <w:r>
              <w:rPr>
                <w:rFonts w:hint="eastAsia" w:ascii="宋体" w:hAnsi="宋体"/>
                <w:szCs w:val="21"/>
              </w:rPr>
              <w:t>“一、主要技术及系统要求”部分</w:t>
            </w:r>
            <w:r>
              <w:rPr>
                <w:rFonts w:hint="eastAsia" w:ascii="宋体" w:hAnsi="宋体" w:cs="宋体"/>
                <w:szCs w:val="21"/>
              </w:rPr>
              <w:t>技术参数全部满足得60分；每负偏离一项扣</w:t>
            </w:r>
            <w:r>
              <w:rPr>
                <w:rFonts w:hint="eastAsia" w:ascii="宋体" w:hAnsi="宋体" w:cs="宋体"/>
                <w:szCs w:val="21"/>
                <w:lang w:val="en-US" w:eastAsia="zh-CN"/>
              </w:rPr>
              <w:t>5.5</w:t>
            </w:r>
            <w:r>
              <w:rPr>
                <w:rFonts w:hint="eastAsia" w:ascii="宋体" w:hAnsi="宋体" w:cs="宋体"/>
                <w:szCs w:val="21"/>
              </w:rPr>
              <w:t>分，最低0分。</w:t>
            </w:r>
          </w:p>
          <w:p w14:paraId="450203C9">
            <w:pPr>
              <w:jc w:val="left"/>
              <w:rPr>
                <w:rFonts w:hint="eastAsia" w:ascii="宋体" w:hAnsi="宋体" w:cs="宋体"/>
                <w:b/>
                <w:bCs/>
                <w:szCs w:val="21"/>
              </w:rPr>
            </w:pPr>
            <w:r>
              <w:rPr>
                <w:rFonts w:hint="eastAsia" w:ascii="宋体" w:hAnsi="宋体" w:cs="宋体"/>
                <w:b/>
                <w:bCs/>
                <w:szCs w:val="21"/>
              </w:rPr>
              <w:t>（二）评审依据：</w:t>
            </w:r>
          </w:p>
          <w:p w14:paraId="0DB1717E">
            <w:pPr>
              <w:jc w:val="left"/>
              <w:rPr>
                <w:rFonts w:hint="eastAsia" w:ascii="宋体" w:hAnsi="宋体" w:cs="宋体"/>
                <w:szCs w:val="21"/>
              </w:rPr>
            </w:pPr>
            <w:r>
              <w:rPr>
                <w:rFonts w:hint="eastAsia" w:ascii="宋体" w:hAnsi="宋体" w:cs="宋体"/>
                <w:szCs w:val="21"/>
              </w:rPr>
              <w:t>《</w:t>
            </w:r>
            <w:r>
              <w:rPr>
                <w:rFonts w:hint="eastAsia" w:ascii="宋体" w:hAnsi="宋体" w:cs="宋体"/>
                <w:kern w:val="0"/>
                <w:szCs w:val="21"/>
              </w:rPr>
              <w:t>用户需求书条款响应一览表</w:t>
            </w:r>
            <w:r>
              <w:rPr>
                <w:rFonts w:hint="eastAsia" w:ascii="宋体" w:hAnsi="宋体" w:cs="宋体"/>
                <w:szCs w:val="21"/>
              </w:rPr>
              <w:t>》。</w:t>
            </w:r>
          </w:p>
        </w:tc>
        <w:tc>
          <w:tcPr>
            <w:tcW w:w="778" w:type="dxa"/>
            <w:tcBorders>
              <w:left w:val="single" w:color="auto" w:sz="4" w:space="0"/>
            </w:tcBorders>
            <w:noWrap w:val="0"/>
            <w:vAlign w:val="center"/>
          </w:tcPr>
          <w:p w14:paraId="43D3ACD2">
            <w:pPr>
              <w:jc w:val="center"/>
              <w:rPr>
                <w:rFonts w:ascii="宋体" w:hAnsi="宋体" w:cs="宋体"/>
                <w:szCs w:val="21"/>
              </w:rPr>
            </w:pPr>
            <w:r>
              <w:rPr>
                <w:rFonts w:hint="eastAsia" w:ascii="宋体" w:hAnsi="宋体" w:cs="宋体"/>
                <w:szCs w:val="21"/>
              </w:rPr>
              <w:t>60</w:t>
            </w:r>
          </w:p>
        </w:tc>
      </w:tr>
      <w:tr w14:paraId="0D115D7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87" w:hRule="atLeast"/>
        </w:trPr>
        <w:tc>
          <w:tcPr>
            <w:tcW w:w="680" w:type="dxa"/>
            <w:tcBorders>
              <w:top w:val="single" w:color="auto" w:sz="4" w:space="0"/>
            </w:tcBorders>
            <w:noWrap w:val="0"/>
            <w:vAlign w:val="center"/>
          </w:tcPr>
          <w:p w14:paraId="10F3D5A1">
            <w:pPr>
              <w:jc w:val="center"/>
              <w:rPr>
                <w:rFonts w:hint="eastAsia" w:ascii="宋体" w:hAnsi="宋体" w:cs="宋体"/>
                <w:b/>
                <w:szCs w:val="21"/>
              </w:rPr>
            </w:pPr>
            <w:r>
              <w:rPr>
                <w:rFonts w:hint="eastAsia" w:ascii="宋体" w:hAnsi="宋体" w:cs="宋体"/>
                <w:b/>
                <w:szCs w:val="21"/>
              </w:rPr>
              <w:t>二</w:t>
            </w:r>
          </w:p>
        </w:tc>
        <w:tc>
          <w:tcPr>
            <w:tcW w:w="7768" w:type="dxa"/>
            <w:gridSpan w:val="3"/>
            <w:noWrap w:val="0"/>
            <w:vAlign w:val="center"/>
          </w:tcPr>
          <w:p w14:paraId="4042CEE6">
            <w:pPr>
              <w:jc w:val="center"/>
              <w:rPr>
                <w:rFonts w:hint="eastAsia" w:ascii="宋体" w:hAnsi="宋体" w:cs="宋体"/>
                <w:b/>
                <w:szCs w:val="21"/>
              </w:rPr>
            </w:pPr>
            <w:r>
              <w:rPr>
                <w:rFonts w:hint="eastAsia" w:ascii="宋体" w:hAnsi="宋体" w:cs="宋体"/>
                <w:b/>
                <w:szCs w:val="21"/>
              </w:rPr>
              <w:t>商务部分（10分）</w:t>
            </w:r>
          </w:p>
        </w:tc>
      </w:tr>
      <w:tr w14:paraId="3549170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83" w:hRule="atLeast"/>
        </w:trPr>
        <w:tc>
          <w:tcPr>
            <w:tcW w:w="680" w:type="dxa"/>
            <w:tcBorders>
              <w:bottom w:val="single" w:color="auto" w:sz="4" w:space="0"/>
            </w:tcBorders>
            <w:noWrap w:val="0"/>
            <w:vAlign w:val="center"/>
          </w:tcPr>
          <w:p w14:paraId="0413AFD2">
            <w:pPr>
              <w:pStyle w:val="21"/>
              <w:numPr>
                <w:ilvl w:val="0"/>
                <w:numId w:val="2"/>
              </w:numPr>
              <w:ind w:left="0" w:firstLine="0" w:firstLineChars="0"/>
              <w:jc w:val="center"/>
              <w:rPr>
                <w:rFonts w:hint="eastAsia" w:ascii="宋体" w:hAnsi="宋体" w:cs="宋体"/>
                <w:szCs w:val="21"/>
              </w:rPr>
            </w:pPr>
          </w:p>
        </w:tc>
        <w:tc>
          <w:tcPr>
            <w:tcW w:w="1147" w:type="dxa"/>
            <w:noWrap w:val="0"/>
            <w:vAlign w:val="center"/>
          </w:tcPr>
          <w:p w14:paraId="1DC239DA">
            <w:pPr>
              <w:jc w:val="center"/>
              <w:rPr>
                <w:rFonts w:hint="eastAsia" w:ascii="宋体" w:hAnsi="宋体" w:cs="宋体"/>
                <w:szCs w:val="21"/>
              </w:rPr>
            </w:pPr>
            <w:r>
              <w:rPr>
                <w:rFonts w:hint="eastAsia" w:ascii="宋体" w:hAnsi="宋体" w:cs="宋体"/>
                <w:szCs w:val="21"/>
                <w:lang w:val="en-US" w:eastAsia="zh-CN"/>
              </w:rPr>
              <w:t>项目实施方案</w:t>
            </w:r>
          </w:p>
        </w:tc>
        <w:tc>
          <w:tcPr>
            <w:tcW w:w="5843" w:type="dxa"/>
            <w:noWrap w:val="0"/>
            <w:vAlign w:val="top"/>
          </w:tcPr>
          <w:p w14:paraId="16BBB46A">
            <w:pPr>
              <w:keepNext w:val="0"/>
              <w:keepLines w:val="0"/>
              <w:pageBreakBefore w:val="0"/>
              <w:kinsoku/>
              <w:wordWrap w:val="0"/>
              <w:overflowPunct/>
              <w:topLinePunct w:val="0"/>
              <w:bidi w:val="0"/>
              <w:adjustRightInd/>
              <w:snapToGrid/>
              <w:spacing w:line="240" w:lineRule="auto"/>
              <w:ind w:left="0" w:leftChars="0" w:right="0" w:rightChars="0" w:firstLine="0" w:firstLineChars="0"/>
              <w:textAlignment w:val="auto"/>
              <w:rPr>
                <w:rFonts w:hint="eastAsia" w:ascii="宋体" w:hAnsi="宋体" w:eastAsia="宋体" w:cs="宋体"/>
                <w:b/>
                <w:bCs/>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（一）评分内容：</w:t>
            </w:r>
          </w:p>
          <w:p w14:paraId="19308606">
            <w:pPr>
              <w:keepNext w:val="0"/>
              <w:keepLines w:val="0"/>
              <w:pageBreakBefore w:val="0"/>
              <w:kinsoku/>
              <w:wordWrap w:val="0"/>
              <w:overflowPunct/>
              <w:topLinePunct w:val="0"/>
              <w:bidi w:val="0"/>
              <w:adjustRightInd/>
              <w:snapToGrid/>
              <w:spacing w:line="240" w:lineRule="auto"/>
              <w:ind w:left="0" w:leftChars="0" w:right="0" w:rightChars="0" w:firstLine="0" w:firstLineChars="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xml:space="preserve">投标人针对本项目提供的项目实施方案，包括但不限于以下内容： </w:t>
            </w:r>
          </w:p>
          <w:p w14:paraId="2130C919">
            <w:pPr>
              <w:keepNext w:val="0"/>
              <w:keepLines w:val="0"/>
              <w:pageBreakBefore w:val="0"/>
              <w:kinsoku/>
              <w:wordWrap w:val="0"/>
              <w:overflowPunct/>
              <w:topLinePunct w:val="0"/>
              <w:bidi w:val="0"/>
              <w:adjustRightInd/>
              <w:snapToGrid/>
              <w:spacing w:line="240" w:lineRule="auto"/>
              <w:ind w:left="0" w:leftChars="0" w:right="0" w:rightChars="0" w:firstLine="0" w:firstLineChars="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xml:space="preserve">1.项目到货计划； </w:t>
            </w:r>
          </w:p>
          <w:p w14:paraId="6D7D6E88">
            <w:pPr>
              <w:keepNext w:val="0"/>
              <w:keepLines w:val="0"/>
              <w:pageBreakBefore w:val="0"/>
              <w:kinsoku/>
              <w:wordWrap w:val="0"/>
              <w:overflowPunct/>
              <w:topLinePunct w:val="0"/>
              <w:bidi w:val="0"/>
              <w:adjustRightInd/>
              <w:snapToGrid/>
              <w:spacing w:line="240" w:lineRule="auto"/>
              <w:ind w:left="0" w:leftChars="0" w:right="0" w:rightChars="0" w:firstLine="0" w:firstLineChars="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xml:space="preserve">2.项目实施计划； </w:t>
            </w:r>
          </w:p>
          <w:p w14:paraId="208BE865">
            <w:pPr>
              <w:keepNext w:val="0"/>
              <w:keepLines w:val="0"/>
              <w:pageBreakBefore w:val="0"/>
              <w:kinsoku/>
              <w:wordWrap w:val="0"/>
              <w:overflowPunct/>
              <w:topLinePunct w:val="0"/>
              <w:bidi w:val="0"/>
              <w:adjustRightInd/>
              <w:snapToGrid/>
              <w:spacing w:line="240" w:lineRule="auto"/>
              <w:ind w:left="0" w:leftChars="0" w:right="0" w:rightChars="0" w:firstLine="0" w:firstLineChars="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xml:space="preserve">3.项目运输保障； </w:t>
            </w:r>
          </w:p>
          <w:p w14:paraId="2FCBFCAA">
            <w:pPr>
              <w:keepNext w:val="0"/>
              <w:keepLines w:val="0"/>
              <w:pageBreakBefore w:val="0"/>
              <w:kinsoku/>
              <w:wordWrap w:val="0"/>
              <w:overflowPunct/>
              <w:topLinePunct w:val="0"/>
              <w:bidi w:val="0"/>
              <w:adjustRightInd/>
              <w:snapToGrid/>
              <w:spacing w:line="240" w:lineRule="auto"/>
              <w:ind w:left="0" w:leftChars="0" w:right="0" w:rightChars="0" w:firstLine="0" w:firstLineChars="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xml:space="preserve">4.安装调试（如计划步骤、人员安排等）。 </w:t>
            </w:r>
          </w:p>
          <w:p w14:paraId="4B1FB296">
            <w:pPr>
              <w:keepNext w:val="0"/>
              <w:keepLines w:val="0"/>
              <w:pageBreakBefore w:val="0"/>
              <w:kinsoku/>
              <w:wordWrap w:val="0"/>
              <w:overflowPunct/>
              <w:topLinePunct w:val="0"/>
              <w:bidi w:val="0"/>
              <w:adjustRightInd/>
              <w:snapToGrid/>
              <w:spacing w:line="240" w:lineRule="auto"/>
              <w:ind w:left="0" w:leftChars="0" w:right="0" w:rightChars="0" w:firstLine="0" w:firstLineChars="0"/>
              <w:textAlignment w:val="auto"/>
              <w:rPr>
                <w:rFonts w:hint="eastAsia" w:ascii="宋体" w:hAnsi="宋体" w:eastAsia="宋体" w:cs="宋体"/>
                <w:b/>
                <w:bCs/>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（二）评分依据：</w:t>
            </w:r>
          </w:p>
          <w:p w14:paraId="63B441F9">
            <w:pPr>
              <w:keepNext w:val="0"/>
              <w:keepLines w:val="0"/>
              <w:pageBreakBefore w:val="0"/>
              <w:kinsoku/>
              <w:wordWrap w:val="0"/>
              <w:overflowPunct/>
              <w:topLinePunct w:val="0"/>
              <w:bidi w:val="0"/>
              <w:adjustRightInd/>
              <w:snapToGrid/>
              <w:spacing w:line="240" w:lineRule="auto"/>
              <w:ind w:left="0" w:leftChars="0" w:right="0" w:rightChars="0" w:firstLine="0" w:firstLineChars="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xml:space="preserve">1.以上内容，每提供一点得1分，最高得4分。 </w:t>
            </w:r>
          </w:p>
          <w:p w14:paraId="0031556C">
            <w:pPr>
              <w:keepNext w:val="0"/>
              <w:keepLines w:val="0"/>
              <w:pageBreakBefore w:val="0"/>
              <w:kinsoku/>
              <w:wordWrap w:val="0"/>
              <w:overflowPunct/>
              <w:topLinePunct w:val="0"/>
              <w:bidi w:val="0"/>
              <w:adjustRightInd/>
              <w:snapToGrid/>
              <w:spacing w:line="240" w:lineRule="auto"/>
              <w:ind w:left="0" w:leftChars="0" w:right="0" w:rightChars="0" w:firstLine="0" w:firstLineChars="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xml:space="preserve">2.在此基础上，专家根据各供应商的具体响应内容按照量化的评审因素指标进一步评审： </w:t>
            </w:r>
          </w:p>
          <w:p w14:paraId="6B12E99F">
            <w:pPr>
              <w:keepNext w:val="0"/>
              <w:keepLines w:val="0"/>
              <w:pageBreakBefore w:val="0"/>
              <w:kinsoku/>
              <w:wordWrap w:val="0"/>
              <w:overflowPunct/>
              <w:topLinePunct w:val="0"/>
              <w:bidi w:val="0"/>
              <w:adjustRightInd/>
              <w:snapToGrid/>
              <w:spacing w:line="240" w:lineRule="auto"/>
              <w:ind w:left="0" w:leftChars="0" w:right="0" w:rightChars="0" w:firstLine="0" w:firstLineChars="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xml:space="preserve">（1）投标文件响应内容全面； </w:t>
            </w:r>
          </w:p>
          <w:p w14:paraId="32ADF6F6">
            <w:pPr>
              <w:keepNext w:val="0"/>
              <w:keepLines w:val="0"/>
              <w:pageBreakBefore w:val="0"/>
              <w:kinsoku/>
              <w:wordWrap w:val="0"/>
              <w:overflowPunct/>
              <w:topLinePunct w:val="0"/>
              <w:bidi w:val="0"/>
              <w:adjustRightInd/>
              <w:snapToGrid/>
              <w:spacing w:line="240" w:lineRule="auto"/>
              <w:ind w:left="0" w:leftChars="0" w:right="0" w:rightChars="0" w:firstLine="0" w:firstLineChars="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xml:space="preserve">（2）投标文件响应内容具体； </w:t>
            </w:r>
          </w:p>
          <w:p w14:paraId="2CCF40E8">
            <w:pPr>
              <w:keepNext w:val="0"/>
              <w:keepLines w:val="0"/>
              <w:pageBreakBefore w:val="0"/>
              <w:kinsoku/>
              <w:wordWrap w:val="0"/>
              <w:overflowPunct/>
              <w:topLinePunct w:val="0"/>
              <w:bidi w:val="0"/>
              <w:adjustRightInd/>
              <w:snapToGrid/>
              <w:spacing w:line="240" w:lineRule="auto"/>
              <w:ind w:left="0" w:leftChars="0" w:right="0" w:rightChars="0" w:firstLine="0" w:firstLineChars="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xml:space="preserve">（3）投标文件响应内容针对性强； </w:t>
            </w:r>
          </w:p>
          <w:p w14:paraId="6CFE8BC6">
            <w:pPr>
              <w:keepNext w:val="0"/>
              <w:keepLines w:val="0"/>
              <w:pageBreakBefore w:val="0"/>
              <w:kinsoku/>
              <w:wordWrap w:val="0"/>
              <w:overflowPunct/>
              <w:topLinePunct w:val="0"/>
              <w:bidi w:val="0"/>
              <w:adjustRightInd/>
              <w:snapToGrid/>
              <w:spacing w:line="240" w:lineRule="auto"/>
              <w:ind w:left="0" w:leftChars="0" w:right="0" w:rightChars="0" w:firstLine="0" w:firstLineChars="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xml:space="preserve">（4）投标文件响应内容科学合理； </w:t>
            </w:r>
          </w:p>
          <w:p w14:paraId="07214B07">
            <w:pPr>
              <w:keepNext w:val="0"/>
              <w:keepLines w:val="0"/>
              <w:pageBreakBefore w:val="0"/>
              <w:kinsoku/>
              <w:wordWrap w:val="0"/>
              <w:overflowPunct/>
              <w:topLinePunct w:val="0"/>
              <w:bidi w:val="0"/>
              <w:adjustRightInd/>
              <w:snapToGrid/>
              <w:spacing w:line="240" w:lineRule="auto"/>
              <w:ind w:left="0" w:leftChars="0" w:right="0" w:rightChars="0" w:firstLine="0" w:firstLineChars="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xml:space="preserve">（5）投标文件响应内容可操作性强。 </w:t>
            </w:r>
          </w:p>
          <w:p w14:paraId="36896582">
            <w:pPr>
              <w:wordWrap w:val="0"/>
              <w:rPr>
                <w:rFonts w:hint="eastAsia" w:ascii="宋体" w:hAnsi="宋体" w:cs="宋体"/>
                <w:szCs w:val="21"/>
              </w:rPr>
            </w:pPr>
            <w:r>
              <w:rPr>
                <w:rFonts w:hint="eastAsia" w:ascii="宋体" w:hAnsi="宋体" w:eastAsia="宋体" w:cs="宋体"/>
                <w:color w:val="auto"/>
                <w:kern w:val="2"/>
                <w:sz w:val="21"/>
                <w:szCs w:val="21"/>
                <w:lang w:val="en-US" w:eastAsia="zh-CN" w:bidi="ar-SA"/>
              </w:rPr>
              <w:t>满足以上五项要求的评价为优,加4分； 满足以上四项要求的评价为良,加2分； 满足以上三项要求的评价为中,加1分； 其他情况评价为差,不加分。</w:t>
            </w:r>
          </w:p>
        </w:tc>
        <w:tc>
          <w:tcPr>
            <w:tcW w:w="778" w:type="dxa"/>
            <w:tcBorders>
              <w:left w:val="single" w:color="auto" w:sz="4" w:space="0"/>
            </w:tcBorders>
            <w:noWrap w:val="0"/>
            <w:vAlign w:val="center"/>
          </w:tcPr>
          <w:p w14:paraId="6B9EACC8">
            <w:pPr>
              <w:wordWrap w:val="0"/>
              <w:jc w:val="center"/>
              <w:rPr>
                <w:rFonts w:hint="eastAsia" w:ascii="宋体" w:hAnsi="宋体" w:cs="宋体" w:eastAsiaTheme="minorEastAsia"/>
                <w:szCs w:val="21"/>
                <w:lang w:val="en-US" w:eastAsia="zh-CN"/>
              </w:rPr>
            </w:pPr>
            <w:r>
              <w:rPr>
                <w:rFonts w:hint="eastAsia" w:ascii="宋体" w:hAnsi="宋体" w:cs="宋体"/>
                <w:szCs w:val="21"/>
                <w:lang w:val="en-US" w:eastAsia="zh-CN"/>
              </w:rPr>
              <w:t>8</w:t>
            </w:r>
          </w:p>
        </w:tc>
      </w:tr>
      <w:tr w14:paraId="4781673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83" w:hRule="atLeast"/>
        </w:trPr>
        <w:tc>
          <w:tcPr>
            <w:tcW w:w="680" w:type="dxa"/>
            <w:tcBorders>
              <w:top w:val="single" w:color="auto" w:sz="4" w:space="0"/>
              <w:bottom w:val="single" w:color="auto" w:sz="4" w:space="0"/>
            </w:tcBorders>
            <w:noWrap w:val="0"/>
            <w:vAlign w:val="center"/>
          </w:tcPr>
          <w:p w14:paraId="0100AA89">
            <w:pPr>
              <w:pStyle w:val="21"/>
              <w:numPr>
                <w:ilvl w:val="0"/>
                <w:numId w:val="2"/>
              </w:numPr>
              <w:ind w:left="0" w:firstLine="0" w:firstLineChars="0"/>
              <w:jc w:val="center"/>
              <w:rPr>
                <w:rFonts w:hint="eastAsia" w:ascii="宋体" w:hAnsi="宋体" w:cs="宋体"/>
                <w:szCs w:val="21"/>
              </w:rPr>
            </w:pPr>
          </w:p>
        </w:tc>
        <w:tc>
          <w:tcPr>
            <w:tcW w:w="1147" w:type="dxa"/>
            <w:noWrap w:val="0"/>
            <w:vAlign w:val="center"/>
          </w:tcPr>
          <w:p w14:paraId="2F908874">
            <w:pPr>
              <w:wordWrap w:val="0"/>
              <w:jc w:val="center"/>
              <w:rPr>
                <w:rFonts w:hint="eastAsia" w:ascii="宋体" w:hAnsi="宋体" w:cs="宋体"/>
                <w:szCs w:val="21"/>
              </w:rPr>
            </w:pPr>
            <w:r>
              <w:rPr>
                <w:rFonts w:hint="eastAsia" w:ascii="宋体" w:hAnsi="宋体" w:cs="宋体"/>
                <w:szCs w:val="21"/>
              </w:rPr>
              <w:t>质保期</w:t>
            </w:r>
          </w:p>
        </w:tc>
        <w:tc>
          <w:tcPr>
            <w:tcW w:w="5843" w:type="dxa"/>
            <w:noWrap w:val="0"/>
            <w:vAlign w:val="top"/>
          </w:tcPr>
          <w:p w14:paraId="147B5924">
            <w:pPr>
              <w:wordWrap w:val="0"/>
              <w:rPr>
                <w:rFonts w:hint="eastAsia" w:ascii="宋体" w:hAnsi="宋体" w:cs="宋体"/>
                <w:b/>
                <w:szCs w:val="21"/>
              </w:rPr>
            </w:pPr>
            <w:r>
              <w:rPr>
                <w:rFonts w:hint="eastAsia" w:ascii="宋体" w:hAnsi="宋体" w:cs="宋体"/>
                <w:b/>
                <w:szCs w:val="21"/>
              </w:rPr>
              <w:t>（一）评分内容：</w:t>
            </w:r>
          </w:p>
          <w:p w14:paraId="0154D4A7">
            <w:pPr>
              <w:wordWrap w:val="0"/>
              <w:rPr>
                <w:rFonts w:hint="eastAsia" w:ascii="宋体" w:hAnsi="宋体" w:cs="宋体"/>
                <w:szCs w:val="21"/>
              </w:rPr>
            </w:pPr>
            <w:r>
              <w:rPr>
                <w:rFonts w:hint="eastAsia" w:ascii="宋体" w:hAnsi="宋体" w:cs="宋体"/>
                <w:szCs w:val="21"/>
              </w:rPr>
              <w:t>必须满足用户质保要求的情况下，质保期每增加一年得0.5分，满分1分。</w:t>
            </w:r>
          </w:p>
          <w:p w14:paraId="14C36987">
            <w:pPr>
              <w:wordWrap w:val="0"/>
              <w:rPr>
                <w:rFonts w:hint="eastAsia" w:ascii="宋体" w:hAnsi="宋体" w:cs="宋体"/>
                <w:szCs w:val="21"/>
              </w:rPr>
            </w:pPr>
            <w:r>
              <w:rPr>
                <w:rFonts w:hint="eastAsia" w:ascii="宋体" w:hAnsi="宋体" w:cs="宋体"/>
                <w:b/>
                <w:szCs w:val="21"/>
              </w:rPr>
              <w:t>（二）评分依据：</w:t>
            </w:r>
          </w:p>
          <w:p w14:paraId="710D357C">
            <w:pPr>
              <w:wordWrap w:val="0"/>
              <w:rPr>
                <w:rFonts w:hint="eastAsia" w:ascii="宋体" w:hAnsi="宋体" w:cs="宋体"/>
                <w:szCs w:val="21"/>
              </w:rPr>
            </w:pPr>
            <w:r>
              <w:rPr>
                <w:rFonts w:hint="eastAsia" w:ascii="宋体" w:hAnsi="宋体" w:cs="宋体"/>
                <w:szCs w:val="21"/>
              </w:rPr>
              <w:t>《</w:t>
            </w:r>
            <w:r>
              <w:rPr>
                <w:rFonts w:hint="eastAsia" w:ascii="宋体" w:hAnsi="宋体" w:cs="宋体"/>
                <w:kern w:val="0"/>
                <w:szCs w:val="21"/>
              </w:rPr>
              <w:t>用户需求书条款响应一览表</w:t>
            </w:r>
            <w:r>
              <w:rPr>
                <w:rFonts w:hint="eastAsia" w:ascii="宋体" w:hAnsi="宋体" w:cs="宋体"/>
                <w:szCs w:val="21"/>
              </w:rPr>
              <w:t>》</w:t>
            </w:r>
          </w:p>
        </w:tc>
        <w:tc>
          <w:tcPr>
            <w:tcW w:w="778" w:type="dxa"/>
            <w:tcBorders>
              <w:left w:val="single" w:color="auto" w:sz="4" w:space="0"/>
            </w:tcBorders>
            <w:noWrap w:val="0"/>
            <w:vAlign w:val="center"/>
          </w:tcPr>
          <w:p w14:paraId="108B0430">
            <w:pPr>
              <w:wordWrap w:val="0"/>
              <w:jc w:val="center"/>
              <w:rPr>
                <w:rFonts w:hint="eastAsia" w:ascii="宋体" w:hAnsi="宋体" w:cs="宋体"/>
                <w:szCs w:val="21"/>
              </w:rPr>
            </w:pPr>
            <w:r>
              <w:rPr>
                <w:rFonts w:hint="eastAsia" w:ascii="宋体" w:hAnsi="宋体" w:cs="宋体"/>
                <w:szCs w:val="21"/>
              </w:rPr>
              <w:t>1</w:t>
            </w:r>
          </w:p>
        </w:tc>
      </w:tr>
      <w:tr w14:paraId="07268BB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95" w:hRule="atLeast"/>
        </w:trPr>
        <w:tc>
          <w:tcPr>
            <w:tcW w:w="680" w:type="dxa"/>
            <w:tcBorders>
              <w:top w:val="single" w:color="auto" w:sz="4" w:space="0"/>
            </w:tcBorders>
            <w:noWrap w:val="0"/>
            <w:vAlign w:val="center"/>
          </w:tcPr>
          <w:p w14:paraId="64CE913C">
            <w:pPr>
              <w:pStyle w:val="21"/>
              <w:numPr>
                <w:ilvl w:val="0"/>
                <w:numId w:val="2"/>
              </w:numPr>
              <w:ind w:left="0" w:firstLine="0" w:firstLineChars="0"/>
              <w:jc w:val="center"/>
              <w:rPr>
                <w:rFonts w:hint="eastAsia" w:ascii="宋体" w:hAnsi="宋体" w:cs="宋体"/>
                <w:szCs w:val="21"/>
              </w:rPr>
            </w:pPr>
          </w:p>
        </w:tc>
        <w:tc>
          <w:tcPr>
            <w:tcW w:w="1147" w:type="dxa"/>
            <w:noWrap w:val="0"/>
            <w:vAlign w:val="center"/>
          </w:tcPr>
          <w:p w14:paraId="48C336A0">
            <w:pPr>
              <w:jc w:val="center"/>
              <w:rPr>
                <w:rFonts w:hint="eastAsia" w:ascii="宋体" w:hAnsi="宋体" w:cs="宋体"/>
                <w:bCs/>
                <w:szCs w:val="21"/>
                <w:highlight w:val="green"/>
              </w:rPr>
            </w:pPr>
            <w:r>
              <w:rPr>
                <w:rFonts w:hint="eastAsia" w:ascii="宋体" w:hAnsi="宋体" w:cs="宋体"/>
                <w:szCs w:val="21"/>
              </w:rPr>
              <w:t>诚信</w:t>
            </w:r>
          </w:p>
        </w:tc>
        <w:tc>
          <w:tcPr>
            <w:tcW w:w="5843" w:type="dxa"/>
            <w:noWrap w:val="0"/>
            <w:vAlign w:val="center"/>
          </w:tcPr>
          <w:p w14:paraId="624CC169">
            <w:pPr>
              <w:jc w:val="left"/>
              <w:rPr>
                <w:rFonts w:hint="eastAsia" w:ascii="宋体" w:hAnsi="宋体" w:cs="宋体"/>
                <w:szCs w:val="21"/>
                <w:highlight w:val="yellow"/>
              </w:rPr>
            </w:pPr>
            <w:r>
              <w:rPr>
                <w:rFonts w:hint="eastAsia" w:ascii="宋体" w:hAnsi="宋体" w:cs="宋体"/>
                <w:szCs w:val="21"/>
              </w:rPr>
              <w:t>投标人在参与政府采购活动中存在诚信相关问题且在主管部门相关处理措施实施期限内的，本项不得分，否则得满分。投标人无需提供任何证明材料，由工作人员查询后向评审委员会提供相关信息。</w:t>
            </w:r>
          </w:p>
        </w:tc>
        <w:tc>
          <w:tcPr>
            <w:tcW w:w="778" w:type="dxa"/>
            <w:tcBorders>
              <w:left w:val="single" w:color="auto" w:sz="4" w:space="0"/>
            </w:tcBorders>
            <w:noWrap w:val="0"/>
            <w:vAlign w:val="center"/>
          </w:tcPr>
          <w:p w14:paraId="24415D10">
            <w:pPr>
              <w:jc w:val="center"/>
              <w:rPr>
                <w:rFonts w:hint="eastAsia" w:ascii="宋体" w:hAnsi="宋体" w:cs="宋体" w:eastAsiaTheme="minorEastAsia"/>
                <w:szCs w:val="21"/>
                <w:lang w:val="en-US" w:eastAsia="zh-CN"/>
              </w:rPr>
            </w:pPr>
            <w:r>
              <w:rPr>
                <w:rFonts w:hint="eastAsia" w:ascii="宋体" w:hAnsi="宋体" w:cs="宋体"/>
                <w:szCs w:val="21"/>
                <w:lang w:val="en-US" w:eastAsia="zh-CN"/>
              </w:rPr>
              <w:t>1</w:t>
            </w:r>
          </w:p>
        </w:tc>
      </w:tr>
      <w:tr w14:paraId="2F38DC3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47" w:hRule="atLeast"/>
        </w:trPr>
        <w:tc>
          <w:tcPr>
            <w:tcW w:w="680" w:type="dxa"/>
            <w:tcBorders>
              <w:top w:val="single" w:color="auto" w:sz="4" w:space="0"/>
            </w:tcBorders>
            <w:noWrap w:val="0"/>
            <w:vAlign w:val="center"/>
          </w:tcPr>
          <w:p w14:paraId="35D6131B">
            <w:pPr>
              <w:jc w:val="center"/>
              <w:rPr>
                <w:rFonts w:hint="eastAsia" w:ascii="宋体" w:hAnsi="宋体" w:cs="宋体"/>
                <w:b/>
                <w:szCs w:val="21"/>
              </w:rPr>
            </w:pPr>
            <w:r>
              <w:rPr>
                <w:rFonts w:hint="eastAsia" w:ascii="宋体" w:hAnsi="宋体" w:cs="宋体"/>
                <w:b/>
                <w:szCs w:val="21"/>
              </w:rPr>
              <w:t>三</w:t>
            </w:r>
          </w:p>
        </w:tc>
        <w:tc>
          <w:tcPr>
            <w:tcW w:w="7768" w:type="dxa"/>
            <w:gridSpan w:val="3"/>
            <w:noWrap w:val="0"/>
            <w:vAlign w:val="center"/>
          </w:tcPr>
          <w:p w14:paraId="4717881E">
            <w:pPr>
              <w:jc w:val="center"/>
              <w:rPr>
                <w:rFonts w:hint="eastAsia" w:ascii="宋体" w:hAnsi="宋体" w:cs="宋体"/>
                <w:b/>
                <w:szCs w:val="21"/>
              </w:rPr>
            </w:pPr>
            <w:r>
              <w:rPr>
                <w:rFonts w:hint="eastAsia" w:ascii="宋体" w:hAnsi="宋体" w:cs="宋体"/>
                <w:b/>
                <w:szCs w:val="21"/>
              </w:rPr>
              <w:t>价格部分（30分）</w:t>
            </w:r>
          </w:p>
        </w:tc>
      </w:tr>
      <w:tr w14:paraId="1F04CE3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20" w:hRule="atLeast"/>
        </w:trPr>
        <w:tc>
          <w:tcPr>
            <w:tcW w:w="680" w:type="dxa"/>
            <w:noWrap w:val="0"/>
            <w:vAlign w:val="center"/>
          </w:tcPr>
          <w:p w14:paraId="28B03B6D">
            <w:pPr>
              <w:jc w:val="center"/>
              <w:rPr>
                <w:rFonts w:hint="eastAsia" w:ascii="宋体" w:hAnsi="宋体" w:cs="宋体"/>
                <w:szCs w:val="21"/>
              </w:rPr>
            </w:pPr>
            <w:r>
              <w:rPr>
                <w:rFonts w:hint="eastAsia" w:ascii="宋体" w:hAnsi="宋体" w:cs="宋体"/>
                <w:szCs w:val="21"/>
              </w:rPr>
              <w:t>1</w:t>
            </w:r>
          </w:p>
        </w:tc>
        <w:tc>
          <w:tcPr>
            <w:tcW w:w="1147" w:type="dxa"/>
            <w:noWrap w:val="0"/>
            <w:vAlign w:val="center"/>
          </w:tcPr>
          <w:p w14:paraId="3CC1BC1D">
            <w:pPr>
              <w:jc w:val="center"/>
              <w:rPr>
                <w:rFonts w:hint="eastAsia" w:ascii="宋体" w:hAnsi="宋体" w:cs="宋体"/>
                <w:szCs w:val="21"/>
              </w:rPr>
            </w:pPr>
            <w:r>
              <w:rPr>
                <w:rFonts w:hint="eastAsia" w:ascii="宋体" w:hAnsi="宋体" w:cs="宋体"/>
                <w:szCs w:val="21"/>
              </w:rPr>
              <w:t>投标报价</w:t>
            </w:r>
          </w:p>
        </w:tc>
        <w:tc>
          <w:tcPr>
            <w:tcW w:w="5843" w:type="dxa"/>
            <w:noWrap w:val="0"/>
            <w:vAlign w:val="center"/>
          </w:tcPr>
          <w:p w14:paraId="7498363C">
            <w:pPr>
              <w:autoSpaceDE w:val="0"/>
              <w:autoSpaceDN w:val="0"/>
              <w:rPr>
                <w:rFonts w:hint="eastAsia" w:ascii="宋体" w:hAnsi="宋体" w:cs="宋体"/>
                <w:kern w:val="0"/>
                <w:szCs w:val="21"/>
              </w:rPr>
            </w:pPr>
            <w:r>
              <w:rPr>
                <w:rFonts w:hint="eastAsia" w:ascii="宋体" w:hAnsi="宋体" w:cs="宋体"/>
                <w:kern w:val="0"/>
                <w:szCs w:val="21"/>
              </w:rPr>
              <w:t>价格分应当采用低价优先法计算，即满足招标文件要求且投标价格最低的投标报价为评标基准价，其价格分为满分。其他投标人的价格分统一按照下列公式计算：</w:t>
            </w:r>
          </w:p>
          <w:p w14:paraId="0269F136">
            <w:pPr>
              <w:widowControl/>
              <w:jc w:val="left"/>
              <w:rPr>
                <w:rFonts w:hint="eastAsia" w:ascii="宋体" w:hAnsi="宋体" w:cs="宋体"/>
                <w:kern w:val="0"/>
                <w:szCs w:val="21"/>
              </w:rPr>
            </w:pPr>
            <w:r>
              <w:rPr>
                <w:rFonts w:hint="eastAsia" w:ascii="宋体" w:hAnsi="宋体" w:cs="宋体"/>
                <w:kern w:val="0"/>
                <w:szCs w:val="21"/>
              </w:rPr>
              <w:t>投标报价得分=(评标基准价／投标报价)×100×权重</w:t>
            </w:r>
          </w:p>
          <w:p w14:paraId="117D26E1">
            <w:pPr>
              <w:widowControl/>
              <w:jc w:val="left"/>
              <w:rPr>
                <w:rFonts w:hint="eastAsia" w:ascii="宋体" w:hAnsi="宋体" w:cs="宋体"/>
                <w:bCs/>
                <w:szCs w:val="21"/>
              </w:rPr>
            </w:pPr>
            <w:r>
              <w:rPr>
                <w:rFonts w:hint="eastAsia" w:ascii="宋体" w:hAnsi="宋体" w:cs="宋体"/>
                <w:bCs/>
                <w:szCs w:val="21"/>
              </w:rPr>
              <w:t>备注：</w:t>
            </w:r>
          </w:p>
          <w:p w14:paraId="27AE4119">
            <w:pPr>
              <w:widowControl/>
              <w:jc w:val="left"/>
              <w:rPr>
                <w:rFonts w:hint="eastAsia" w:ascii="宋体" w:hAnsi="宋体" w:cs="宋体"/>
                <w:bCs/>
                <w:szCs w:val="21"/>
              </w:rPr>
            </w:pPr>
            <w:r>
              <w:rPr>
                <w:rFonts w:hint="eastAsia" w:ascii="宋体" w:hAnsi="宋体" w:cs="宋体"/>
                <w:bCs/>
                <w:szCs w:val="21"/>
              </w:rPr>
              <w:t>1、投标报价得分四舍五入后，</w:t>
            </w:r>
            <w:r>
              <w:rPr>
                <w:rFonts w:hint="eastAsia" w:ascii="宋体" w:hAnsi="宋体" w:cs="宋体"/>
                <w:szCs w:val="21"/>
              </w:rPr>
              <w:t>小数点后保留两位有效数</w:t>
            </w:r>
            <w:r>
              <w:rPr>
                <w:rFonts w:hint="eastAsia" w:ascii="宋体" w:hAnsi="宋体" w:cs="宋体"/>
                <w:bCs/>
                <w:szCs w:val="21"/>
              </w:rPr>
              <w:t>。</w:t>
            </w:r>
          </w:p>
          <w:p w14:paraId="6114E904">
            <w:pPr>
              <w:rPr>
                <w:rStyle w:val="13"/>
                <w:rFonts w:hint="eastAsia" w:ascii="宋体" w:hAnsi="宋体" w:cs="宋体"/>
              </w:rPr>
            </w:pPr>
            <w:r>
              <w:rPr>
                <w:rStyle w:val="13"/>
                <w:rFonts w:hint="eastAsia" w:ascii="宋体" w:hAnsi="宋体" w:cs="宋体"/>
              </w:rPr>
              <w:t>2、因落实政府采购政策进行价格调整的，以调整后的价格计算评标基准价和投标报价,详见《价格扣除》。</w:t>
            </w:r>
          </w:p>
        </w:tc>
        <w:tc>
          <w:tcPr>
            <w:tcW w:w="778" w:type="dxa"/>
            <w:tcBorders>
              <w:left w:val="single" w:color="auto" w:sz="4" w:space="0"/>
            </w:tcBorders>
            <w:noWrap w:val="0"/>
            <w:vAlign w:val="center"/>
          </w:tcPr>
          <w:p w14:paraId="3AD790D9">
            <w:pPr>
              <w:adjustRightInd w:val="0"/>
              <w:snapToGrid w:val="0"/>
              <w:jc w:val="center"/>
              <w:rPr>
                <w:rFonts w:hint="eastAsia" w:ascii="宋体" w:hAnsi="宋体" w:cs="宋体"/>
                <w:szCs w:val="21"/>
              </w:rPr>
            </w:pPr>
            <w:r>
              <w:rPr>
                <w:rFonts w:hint="eastAsia" w:ascii="宋体" w:hAnsi="宋体" w:cs="宋体"/>
                <w:szCs w:val="21"/>
              </w:rPr>
              <w:t>30</w:t>
            </w:r>
          </w:p>
        </w:tc>
      </w:tr>
      <w:tr w14:paraId="28343C5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23" w:hRule="atLeast"/>
        </w:trPr>
        <w:tc>
          <w:tcPr>
            <w:tcW w:w="7670" w:type="dxa"/>
            <w:gridSpan w:val="3"/>
            <w:noWrap w:val="0"/>
            <w:vAlign w:val="center"/>
          </w:tcPr>
          <w:p w14:paraId="73F698CF">
            <w:pPr>
              <w:jc w:val="center"/>
              <w:rPr>
                <w:rFonts w:hint="eastAsia" w:ascii="宋体" w:hAnsi="宋体" w:cs="宋体"/>
                <w:szCs w:val="21"/>
              </w:rPr>
            </w:pPr>
            <w:r>
              <w:rPr>
                <w:rFonts w:hint="eastAsia" w:ascii="宋体" w:hAnsi="宋体" w:cs="宋体"/>
                <w:szCs w:val="21"/>
              </w:rPr>
              <w:t>合计</w:t>
            </w:r>
          </w:p>
        </w:tc>
        <w:tc>
          <w:tcPr>
            <w:tcW w:w="778" w:type="dxa"/>
            <w:tcBorders>
              <w:left w:val="single" w:color="auto" w:sz="4" w:space="0"/>
            </w:tcBorders>
            <w:noWrap w:val="0"/>
            <w:vAlign w:val="center"/>
          </w:tcPr>
          <w:p w14:paraId="3EE79001">
            <w:pPr>
              <w:jc w:val="center"/>
              <w:rPr>
                <w:rFonts w:hint="eastAsia" w:ascii="宋体" w:hAnsi="宋体" w:cs="宋体"/>
                <w:szCs w:val="21"/>
              </w:rPr>
            </w:pPr>
            <w:r>
              <w:rPr>
                <w:rFonts w:hint="eastAsia" w:ascii="宋体" w:hAnsi="宋体" w:cs="宋体"/>
                <w:szCs w:val="21"/>
              </w:rPr>
              <w:t>100</w:t>
            </w:r>
          </w:p>
        </w:tc>
      </w:tr>
    </w:tbl>
    <w:p w14:paraId="0719C833">
      <w:pPr>
        <w:keepNext w:val="0"/>
        <w:keepLines w:val="0"/>
        <w:pageBreakBefore w:val="0"/>
        <w:widowControl w:val="0"/>
        <w:kinsoku/>
        <w:wordWrap/>
        <w:overflowPunct/>
        <w:topLinePunct w:val="0"/>
        <w:autoSpaceDE/>
        <w:autoSpaceDN/>
        <w:bidi w:val="0"/>
        <w:adjustRightInd/>
        <w:snapToGrid/>
        <w:jc w:val="center"/>
        <w:textAlignment w:val="auto"/>
        <w:rPr>
          <w:rFonts w:hint="default" w:ascii="仿宋_GB2312" w:hAnsi="仿宋_GB2312" w:eastAsia="仿宋_GB2312" w:cs="仿宋_GB2312"/>
          <w:b w:val="0"/>
          <w:bCs/>
          <w:color w:val="000000"/>
          <w:sz w:val="32"/>
          <w:szCs w:val="32"/>
          <w:lang w:val="en-US" w:eastAsia="zh-CN"/>
        </w:rPr>
      </w:pPr>
      <w:r>
        <w:rPr>
          <w:rFonts w:hint="eastAsia" w:ascii="仿宋_GB2312" w:hAnsi="仿宋_GB2312" w:eastAsia="仿宋_GB2312" w:cs="仿宋_GB2312"/>
          <w:bCs/>
          <w:color w:val="000000"/>
          <w:sz w:val="32"/>
          <w:szCs w:val="32"/>
          <w:lang w:val="en-US" w:eastAsia="zh-CN"/>
        </w:rPr>
        <w:br w:type="page"/>
      </w:r>
      <w:r>
        <w:rPr>
          <w:rFonts w:hint="eastAsia" w:ascii="宋体" w:hAnsi="宋体" w:eastAsia="宋体" w:cs="宋体"/>
          <w:sz w:val="44"/>
          <w:szCs w:val="44"/>
          <w:lang w:val="en-US" w:eastAsia="zh-CN"/>
        </w:rPr>
        <w:t>电动妇科诊疗床</w:t>
      </w:r>
    </w:p>
    <w:p w14:paraId="2DF8C8F4">
      <w:pPr>
        <w:keepNext w:val="0"/>
        <w:keepLines w:val="0"/>
        <w:pageBreakBefore w:val="0"/>
        <w:widowControl w:val="0"/>
        <w:kinsoku/>
        <w:wordWrap/>
        <w:overflowPunct/>
        <w:topLinePunct w:val="0"/>
        <w:bidi w:val="0"/>
        <w:snapToGrid/>
        <w:ind w:firstLine="643" w:firstLineChars="200"/>
        <w:textAlignment w:val="auto"/>
        <w:rPr>
          <w:rFonts w:hint="eastAsia" w:ascii="楷体_GB2312" w:hAnsi="楷体_GB2312" w:eastAsia="楷体_GB2312" w:cs="楷体_GB2312"/>
          <w:b/>
          <w:bCs w:val="0"/>
          <w:color w:val="000000"/>
          <w:sz w:val="32"/>
          <w:szCs w:val="32"/>
          <w:lang w:val="en-US" w:eastAsia="zh-CN"/>
        </w:rPr>
      </w:pPr>
    </w:p>
    <w:p w14:paraId="32946E8B">
      <w:pPr>
        <w:keepNext w:val="0"/>
        <w:keepLines w:val="0"/>
        <w:pageBreakBefore w:val="0"/>
        <w:widowControl w:val="0"/>
        <w:kinsoku/>
        <w:wordWrap/>
        <w:overflowPunct/>
        <w:topLinePunct w:val="0"/>
        <w:bidi w:val="0"/>
        <w:snapToGrid/>
        <w:ind w:firstLine="643" w:firstLineChars="200"/>
        <w:textAlignment w:val="auto"/>
        <w:rPr>
          <w:rFonts w:hint="default" w:ascii="楷体_GB2312" w:hAnsi="楷体_GB2312" w:eastAsia="楷体_GB2312" w:cs="楷体_GB2312"/>
          <w:b/>
          <w:bCs w:val="0"/>
          <w:color w:val="000000"/>
          <w:sz w:val="32"/>
          <w:szCs w:val="32"/>
          <w:lang w:val="en-US" w:eastAsia="zh-CN"/>
        </w:rPr>
      </w:pPr>
      <w:r>
        <w:rPr>
          <w:rFonts w:hint="eastAsia" w:ascii="楷体_GB2312" w:hAnsi="楷体_GB2312" w:eastAsia="楷体_GB2312" w:cs="楷体_GB2312"/>
          <w:b/>
          <w:bCs w:val="0"/>
          <w:color w:val="000000"/>
          <w:sz w:val="32"/>
          <w:szCs w:val="32"/>
          <w:lang w:val="en-US" w:eastAsia="zh-CN"/>
        </w:rPr>
        <w:t>一、项目概况</w:t>
      </w:r>
    </w:p>
    <w:p w14:paraId="4BC71762">
      <w:pPr>
        <w:keepNext w:val="0"/>
        <w:keepLines w:val="0"/>
        <w:pageBreakBefore w:val="0"/>
        <w:widowControl w:val="0"/>
        <w:kinsoku/>
        <w:wordWrap/>
        <w:overflowPunct/>
        <w:topLinePunct w:val="0"/>
        <w:bidi w:val="0"/>
        <w:snapToGrid/>
        <w:ind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 w:val="0"/>
          <w:bCs/>
          <w:color w:val="000000"/>
          <w:sz w:val="32"/>
          <w:szCs w:val="32"/>
          <w:lang w:val="en-US" w:eastAsia="zh-CN"/>
        </w:rPr>
        <w:t>1.用途：患者进行诊疗时使用，用于支撑患者身体，形成临床所需体位</w:t>
      </w:r>
      <w:r>
        <w:rPr>
          <w:rFonts w:hint="eastAsia" w:ascii="仿宋_GB2312" w:hAnsi="仿宋_GB2312" w:eastAsia="仿宋_GB2312" w:cs="仿宋_GB2312"/>
          <w:bCs/>
          <w:color w:val="000000"/>
          <w:sz w:val="32"/>
          <w:szCs w:val="32"/>
        </w:rPr>
        <w:t>。</w:t>
      </w:r>
    </w:p>
    <w:p w14:paraId="68A04CFD">
      <w:pPr>
        <w:keepNext w:val="0"/>
        <w:keepLines w:val="0"/>
        <w:pageBreakBefore w:val="0"/>
        <w:widowControl w:val="0"/>
        <w:kinsoku/>
        <w:wordWrap/>
        <w:overflowPunct/>
        <w:topLinePunct w:val="0"/>
        <w:bidi w:val="0"/>
        <w:snapToGrid/>
        <w:ind w:firstLine="640" w:firstLineChars="200"/>
        <w:textAlignment w:val="auto"/>
        <w:rPr>
          <w:rFonts w:hint="eastAsia" w:ascii="仿宋_GB2312" w:hAnsi="仿宋_GB2312" w:eastAsia="仿宋_GB2312" w:cs="仿宋_GB2312"/>
          <w:b w:val="0"/>
          <w:bCs/>
          <w:color w:val="000000"/>
          <w:sz w:val="32"/>
          <w:szCs w:val="32"/>
          <w:lang w:val="en-US" w:eastAsia="zh-CN"/>
        </w:rPr>
      </w:pPr>
      <w:r>
        <w:rPr>
          <w:rFonts w:hint="eastAsia" w:ascii="仿宋_GB2312" w:hAnsi="仿宋_GB2312" w:eastAsia="仿宋_GB2312" w:cs="仿宋_GB2312"/>
          <w:b w:val="0"/>
          <w:bCs/>
          <w:color w:val="000000"/>
          <w:sz w:val="32"/>
          <w:szCs w:val="32"/>
          <w:lang w:val="en-US" w:eastAsia="zh-CN"/>
        </w:rPr>
        <w:t>★2.本项目不接受进口产品投标。</w:t>
      </w:r>
    </w:p>
    <w:p w14:paraId="01D5183E">
      <w:pPr>
        <w:keepNext w:val="0"/>
        <w:keepLines w:val="0"/>
        <w:pageBreakBefore w:val="0"/>
        <w:widowControl w:val="0"/>
        <w:kinsoku/>
        <w:wordWrap/>
        <w:overflowPunct/>
        <w:topLinePunct w:val="0"/>
        <w:bidi w:val="0"/>
        <w:snapToGrid/>
        <w:ind w:firstLine="643" w:firstLineChars="200"/>
        <w:textAlignment w:val="auto"/>
        <w:rPr>
          <w:rFonts w:hint="eastAsia" w:ascii="楷体_GB2312" w:hAnsi="楷体_GB2312" w:eastAsia="楷体_GB2312" w:cs="楷体_GB2312"/>
          <w:b/>
          <w:bCs w:val="0"/>
          <w:color w:val="000000"/>
          <w:sz w:val="32"/>
          <w:szCs w:val="32"/>
          <w:lang w:val="en-US" w:eastAsia="zh-CN"/>
        </w:rPr>
      </w:pPr>
      <w:r>
        <w:rPr>
          <w:rFonts w:hint="eastAsia" w:ascii="楷体_GB2312" w:hAnsi="楷体_GB2312" w:eastAsia="楷体_GB2312" w:cs="楷体_GB2312"/>
          <w:b/>
          <w:bCs w:val="0"/>
          <w:color w:val="000000"/>
          <w:sz w:val="32"/>
          <w:szCs w:val="32"/>
          <w:lang w:val="en-US" w:eastAsia="zh-CN"/>
        </w:rPr>
        <w:t>二、主要技术及系统要求</w:t>
      </w:r>
    </w:p>
    <w:p w14:paraId="19403FF4">
      <w:pPr>
        <w:keepNext w:val="0"/>
        <w:keepLines w:val="0"/>
        <w:pageBreakBefore w:val="0"/>
        <w:widowControl w:val="0"/>
        <w:kinsoku/>
        <w:wordWrap/>
        <w:overflowPunct/>
        <w:topLinePunct w:val="0"/>
        <w:bidi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1.</w:t>
      </w:r>
      <w:r>
        <w:rPr>
          <w:rFonts w:hint="eastAsia" w:ascii="仿宋_GB2312" w:hAnsi="仿宋_GB2312" w:eastAsia="仿宋_GB2312" w:cs="仿宋_GB2312"/>
          <w:bCs/>
          <w:color w:val="000000"/>
          <w:sz w:val="32"/>
          <w:szCs w:val="32"/>
          <w:rtl w:val="0"/>
          <w:lang w:val="en-US" w:eastAsia="zh-CN"/>
        </w:rPr>
        <w:t>1.规格尺寸：</w:t>
      </w:r>
      <w:r>
        <w:rPr>
          <w:rFonts w:hint="eastAsia" w:ascii="仿宋_GB2312" w:hAnsi="仿宋_GB2312" w:eastAsia="仿宋_GB2312" w:cs="仿宋_GB2312"/>
          <w:bCs/>
          <w:color w:val="000000"/>
          <w:sz w:val="32"/>
          <w:szCs w:val="32"/>
          <w:lang w:val="en-US" w:eastAsia="zh-CN"/>
        </w:rPr>
        <w:t>全长：1400±20mm；床面长度：1250±10mm，床面宽度：650±20mm；背板长：850±20mm；</w:t>
      </w:r>
    </w:p>
    <w:p w14:paraId="47ADCCE2">
      <w:pPr>
        <w:keepNext w:val="0"/>
        <w:keepLines w:val="0"/>
        <w:pageBreakBefore w:val="0"/>
        <w:widowControl w:val="0"/>
        <w:kinsoku/>
        <w:wordWrap/>
        <w:overflowPunct/>
        <w:topLinePunct w:val="0"/>
        <w:bidi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2.</w:t>
      </w:r>
      <w:r>
        <w:rPr>
          <w:rFonts w:hint="eastAsia" w:ascii="仿宋_GB2312" w:hAnsi="仿宋_GB2312" w:eastAsia="仿宋_GB2312" w:cs="仿宋_GB2312"/>
          <w:bCs/>
          <w:color w:val="000000"/>
          <w:sz w:val="32"/>
          <w:szCs w:val="32"/>
          <w:rtl w:val="0"/>
          <w:lang w:val="en-US" w:eastAsia="zh-CN"/>
        </w:rPr>
        <w:t>整床电动升降高度：床面离地最低位：</w:t>
      </w:r>
      <w:r>
        <w:rPr>
          <w:rFonts w:hint="eastAsia" w:ascii="仿宋_GB2312" w:hAnsi="仿宋_GB2312" w:eastAsia="仿宋_GB2312" w:cs="仿宋_GB2312"/>
          <w:bCs/>
          <w:color w:val="000000"/>
          <w:sz w:val="32"/>
          <w:szCs w:val="32"/>
          <w:lang w:val="en-US" w:eastAsia="zh-CN"/>
        </w:rPr>
        <w:t>600±10mm</w:t>
      </w:r>
      <w:r>
        <w:rPr>
          <w:rFonts w:hint="eastAsia" w:ascii="仿宋_GB2312" w:hAnsi="仿宋_GB2312" w:eastAsia="仿宋_GB2312" w:cs="仿宋_GB2312"/>
          <w:bCs/>
          <w:color w:val="000000"/>
          <w:sz w:val="32"/>
          <w:szCs w:val="32"/>
          <w:rtl w:val="0"/>
          <w:lang w:val="en-US" w:eastAsia="zh-CN"/>
        </w:rPr>
        <w:t>；最高位：830±10mm。</w:t>
      </w:r>
      <w:r>
        <w:rPr>
          <w:rFonts w:hint="eastAsia" w:ascii="仿宋_GB2312" w:hAnsi="仿宋_GB2312" w:eastAsia="仿宋_GB2312" w:cs="仿宋_GB2312"/>
          <w:b/>
          <w:bCs w:val="0"/>
          <w:color w:val="000000"/>
          <w:sz w:val="32"/>
          <w:szCs w:val="32"/>
          <w:rtl w:val="0"/>
          <w:lang w:val="en-US" w:eastAsia="zh-CN"/>
        </w:rPr>
        <w:t>（提供彩页或说明书证明）</w:t>
      </w:r>
    </w:p>
    <w:p w14:paraId="348E6674">
      <w:pPr>
        <w:keepNext w:val="0"/>
        <w:keepLines w:val="0"/>
        <w:pageBreakBefore w:val="0"/>
        <w:widowControl w:val="0"/>
        <w:kinsoku/>
        <w:wordWrap/>
        <w:overflowPunct/>
        <w:topLinePunct w:val="0"/>
        <w:bidi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3.</w:t>
      </w:r>
      <w:r>
        <w:rPr>
          <w:rFonts w:hint="eastAsia" w:ascii="仿宋_GB2312" w:hAnsi="仿宋_GB2312" w:eastAsia="仿宋_GB2312" w:cs="仿宋_GB2312"/>
          <w:bCs/>
          <w:color w:val="000000"/>
          <w:sz w:val="32"/>
          <w:szCs w:val="32"/>
          <w:rtl w:val="0"/>
          <w:lang w:val="en-US" w:eastAsia="zh-CN"/>
        </w:rPr>
        <w:t>背部电动最大倾斜角度：75°±10°</w:t>
      </w:r>
      <w:r>
        <w:rPr>
          <w:rFonts w:hint="eastAsia" w:ascii="仿宋_GB2312" w:hAnsi="仿宋_GB2312" w:eastAsia="仿宋_GB2312" w:cs="仿宋_GB2312"/>
          <w:b/>
          <w:bCs w:val="0"/>
          <w:color w:val="000000"/>
          <w:sz w:val="32"/>
          <w:szCs w:val="32"/>
          <w:rtl w:val="0"/>
          <w:lang w:val="en-US" w:eastAsia="zh-CN"/>
        </w:rPr>
        <w:t>（提供彩页或说明书证明）；</w:t>
      </w:r>
    </w:p>
    <w:p w14:paraId="3449B12B">
      <w:pPr>
        <w:keepNext w:val="0"/>
        <w:keepLines w:val="0"/>
        <w:pageBreakBefore w:val="0"/>
        <w:widowControl w:val="0"/>
        <w:kinsoku/>
        <w:wordWrap/>
        <w:overflowPunct/>
        <w:topLinePunct w:val="0"/>
        <w:bidi w:val="0"/>
        <w:snapToGrid/>
        <w:ind w:firstLine="640" w:firstLineChars="200"/>
        <w:textAlignment w:val="auto"/>
        <w:rPr>
          <w:rFonts w:hint="default"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4.</w:t>
      </w:r>
      <w:r>
        <w:rPr>
          <w:rFonts w:hint="eastAsia" w:ascii="仿宋_GB2312" w:hAnsi="仿宋_GB2312" w:eastAsia="仿宋_GB2312" w:cs="仿宋_GB2312"/>
          <w:bCs/>
          <w:color w:val="000000"/>
          <w:sz w:val="32"/>
          <w:szCs w:val="32"/>
          <w:rtl w:val="0"/>
          <w:lang w:val="en-US" w:eastAsia="zh-CN"/>
        </w:rPr>
        <w:t>截石位设计，配备脚托，3空位设计可调节脚托高低和内旋外展角度方向，固定时牢固；</w:t>
      </w:r>
    </w:p>
    <w:p w14:paraId="55A9FCA0">
      <w:pPr>
        <w:keepNext w:val="0"/>
        <w:keepLines w:val="0"/>
        <w:pageBreakBefore w:val="0"/>
        <w:widowControl w:val="0"/>
        <w:kinsoku/>
        <w:wordWrap/>
        <w:overflowPunct/>
        <w:topLinePunct w:val="0"/>
        <w:bidi w:val="0"/>
        <w:snapToGrid/>
        <w:ind w:firstLine="640" w:firstLineChars="200"/>
        <w:textAlignment w:val="auto"/>
        <w:rPr>
          <w:rFonts w:hint="default" w:ascii="仿宋_GB2312" w:hAnsi="仿宋_GB2312" w:eastAsia="仿宋_GB2312" w:cs="仿宋_GB2312"/>
          <w:bCs/>
          <w:color w:val="000000"/>
          <w:sz w:val="32"/>
          <w:szCs w:val="32"/>
          <w:rtl w:val="0"/>
          <w:lang w:val="en-US" w:eastAsia="zh-CN"/>
        </w:rPr>
      </w:pPr>
      <w:r>
        <w:rPr>
          <w:rFonts w:hint="eastAsia" w:ascii="仿宋_GB2312" w:hAnsi="仿宋_GB2312" w:eastAsia="仿宋_GB2312" w:cs="仿宋_GB2312"/>
          <w:bCs/>
          <w:color w:val="000000"/>
          <w:sz w:val="32"/>
          <w:szCs w:val="32"/>
          <w:lang w:val="en-US" w:eastAsia="zh-CN"/>
        </w:rPr>
        <w:t>5.</w:t>
      </w:r>
      <w:r>
        <w:rPr>
          <w:rFonts w:hint="eastAsia" w:ascii="仿宋_GB2312" w:hAnsi="仿宋_GB2312" w:eastAsia="仿宋_GB2312" w:cs="仿宋_GB2312"/>
          <w:bCs/>
          <w:color w:val="000000"/>
          <w:sz w:val="32"/>
          <w:szCs w:val="32"/>
          <w:rtl w:val="0"/>
          <w:lang w:val="en-US" w:eastAsia="zh-CN"/>
        </w:rPr>
        <w:t>具备全自动更换检查垫装置，更加有效的减少医院内的交叉感染；</w:t>
      </w:r>
    </w:p>
    <w:p w14:paraId="025EDED4">
      <w:pPr>
        <w:keepNext w:val="0"/>
        <w:keepLines w:val="0"/>
        <w:pageBreakBefore w:val="0"/>
        <w:widowControl w:val="0"/>
        <w:kinsoku/>
        <w:wordWrap/>
        <w:overflowPunct/>
        <w:topLinePunct w:val="0"/>
        <w:bidi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6.</w:t>
      </w:r>
      <w:r>
        <w:rPr>
          <w:rFonts w:hint="eastAsia" w:ascii="仿宋_GB2312" w:hAnsi="仿宋_GB2312" w:eastAsia="仿宋_GB2312" w:cs="仿宋_GB2312"/>
          <w:bCs/>
          <w:color w:val="000000"/>
          <w:sz w:val="32"/>
          <w:szCs w:val="32"/>
          <w:rtl w:val="0"/>
          <w:lang w:val="en-US" w:eastAsia="zh-CN"/>
        </w:rPr>
        <w:t>具有≥2套控制系统，至少包含：（1）脚踏控器；（2）床体上控制按键系统；2套系统均可使用。</w:t>
      </w:r>
      <w:r>
        <w:rPr>
          <w:rFonts w:hint="eastAsia" w:ascii="仿宋_GB2312" w:hAnsi="仿宋_GB2312" w:eastAsia="仿宋_GB2312" w:cs="仿宋_GB2312"/>
          <w:b/>
          <w:bCs w:val="0"/>
          <w:color w:val="000000"/>
          <w:sz w:val="32"/>
          <w:szCs w:val="32"/>
          <w:rtl w:val="0"/>
          <w:lang w:val="en-US" w:eastAsia="zh-CN"/>
        </w:rPr>
        <w:t>（提供彩页或说明书证明）</w:t>
      </w:r>
      <w:r>
        <w:rPr>
          <w:rFonts w:hint="eastAsia" w:ascii="仿宋_GB2312" w:hAnsi="仿宋_GB2312" w:eastAsia="仿宋_GB2312" w:cs="仿宋_GB2312"/>
          <w:bCs/>
          <w:color w:val="000000"/>
          <w:sz w:val="32"/>
          <w:szCs w:val="32"/>
          <w:lang w:val="en-US" w:eastAsia="zh-CN"/>
        </w:rPr>
        <w:t>；</w:t>
      </w:r>
    </w:p>
    <w:p w14:paraId="45F41EB1">
      <w:pPr>
        <w:keepNext w:val="0"/>
        <w:keepLines w:val="0"/>
        <w:pageBreakBefore w:val="0"/>
        <w:widowControl w:val="0"/>
        <w:kinsoku/>
        <w:wordWrap/>
        <w:overflowPunct/>
        <w:topLinePunct w:val="0"/>
        <w:bidi w:val="0"/>
        <w:snapToGrid/>
        <w:ind w:firstLine="640" w:firstLineChars="200"/>
        <w:textAlignment w:val="auto"/>
        <w:rPr>
          <w:rFonts w:hint="default" w:ascii="仿宋_GB2312" w:hAnsi="仿宋_GB2312" w:eastAsia="仿宋_GB2312" w:cs="仿宋_GB2312"/>
          <w:bCs/>
          <w:color w:val="000000"/>
          <w:sz w:val="32"/>
          <w:szCs w:val="32"/>
          <w:rtl w:val="0"/>
          <w:lang w:val="en-US" w:eastAsia="zh-CN"/>
        </w:rPr>
      </w:pPr>
      <w:r>
        <w:rPr>
          <w:rFonts w:hint="eastAsia" w:ascii="仿宋_GB2312" w:hAnsi="仿宋_GB2312" w:eastAsia="仿宋_GB2312" w:cs="仿宋_GB2312"/>
          <w:bCs/>
          <w:color w:val="000000"/>
          <w:sz w:val="32"/>
          <w:szCs w:val="32"/>
          <w:lang w:val="en-US" w:eastAsia="zh-CN"/>
        </w:rPr>
        <w:t>7.</w:t>
      </w:r>
      <w:r>
        <w:rPr>
          <w:rFonts w:hint="eastAsia" w:ascii="仿宋_GB2312" w:hAnsi="仿宋_GB2312" w:eastAsia="仿宋_GB2312" w:cs="仿宋_GB2312"/>
          <w:bCs/>
          <w:color w:val="000000"/>
          <w:sz w:val="32"/>
          <w:szCs w:val="32"/>
          <w:rtl w:val="0"/>
          <w:lang w:val="en-US" w:eastAsia="zh-CN"/>
        </w:rPr>
        <w:t>配备≥5寸医疗专用中控脚轮，一脚踩锁四轮，耐磨耐用，安全性高，推动轻便；</w:t>
      </w:r>
    </w:p>
    <w:p w14:paraId="10B38A66">
      <w:pPr>
        <w:keepNext w:val="0"/>
        <w:keepLines w:val="0"/>
        <w:pageBreakBefore w:val="0"/>
        <w:widowControl w:val="0"/>
        <w:kinsoku/>
        <w:wordWrap/>
        <w:overflowPunct/>
        <w:topLinePunct w:val="0"/>
        <w:bidi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8.</w:t>
      </w:r>
      <w:r>
        <w:rPr>
          <w:rFonts w:hint="eastAsia" w:ascii="仿宋_GB2312" w:hAnsi="仿宋_GB2312" w:eastAsia="仿宋_GB2312" w:cs="仿宋_GB2312"/>
          <w:bCs/>
          <w:color w:val="000000"/>
          <w:sz w:val="32"/>
          <w:szCs w:val="32"/>
          <w:rtl w:val="0"/>
          <w:lang w:val="en-US" w:eastAsia="zh-CN"/>
        </w:rPr>
        <w:t>数字化控制系统，可选择≥2种过床单方式，至少包含整床长度的50%、100%。</w:t>
      </w:r>
      <w:r>
        <w:rPr>
          <w:rFonts w:hint="eastAsia" w:ascii="仿宋_GB2312" w:hAnsi="仿宋_GB2312" w:eastAsia="仿宋_GB2312" w:cs="仿宋_GB2312"/>
          <w:b/>
          <w:bCs w:val="0"/>
          <w:color w:val="000000"/>
          <w:sz w:val="32"/>
          <w:szCs w:val="32"/>
          <w:rtl w:val="0"/>
          <w:lang w:val="en-US" w:eastAsia="zh-CN"/>
        </w:rPr>
        <w:t>（提供彩页或说明书证明）</w:t>
      </w:r>
      <w:r>
        <w:rPr>
          <w:rFonts w:hint="eastAsia" w:ascii="仿宋_GB2312" w:hAnsi="仿宋_GB2312" w:eastAsia="仿宋_GB2312" w:cs="仿宋_GB2312"/>
          <w:bCs/>
          <w:color w:val="000000"/>
          <w:sz w:val="32"/>
          <w:szCs w:val="32"/>
          <w:lang w:val="en-US" w:eastAsia="zh-CN"/>
        </w:rPr>
        <w:t>；</w:t>
      </w:r>
    </w:p>
    <w:p w14:paraId="0A9AA9C3">
      <w:pPr>
        <w:keepNext w:val="0"/>
        <w:keepLines w:val="0"/>
        <w:pageBreakBefore w:val="0"/>
        <w:widowControl w:val="0"/>
        <w:kinsoku/>
        <w:wordWrap/>
        <w:overflowPunct/>
        <w:topLinePunct w:val="0"/>
        <w:bidi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9.</w:t>
      </w:r>
      <w:r>
        <w:rPr>
          <w:rFonts w:hint="eastAsia" w:ascii="仿宋_GB2312" w:hAnsi="仿宋_GB2312" w:eastAsia="仿宋_GB2312" w:cs="仿宋_GB2312"/>
          <w:bCs/>
          <w:color w:val="000000"/>
          <w:sz w:val="32"/>
          <w:szCs w:val="32"/>
          <w:rtl w:val="0"/>
          <w:lang w:val="en-US" w:eastAsia="zh-CN"/>
        </w:rPr>
        <w:t>床单纠偏系统具备探头、主板、步进纠偏电机、卷床单电机，探头时刻监测到床单的变化，配合卷床单电机工作，保持床单整齐</w:t>
      </w:r>
      <w:r>
        <w:rPr>
          <w:rFonts w:hint="eastAsia" w:ascii="仿宋_GB2312" w:hAnsi="仿宋_GB2312" w:eastAsia="仿宋_GB2312" w:cs="仿宋_GB2312"/>
          <w:bCs/>
          <w:color w:val="000000"/>
          <w:sz w:val="32"/>
          <w:szCs w:val="32"/>
          <w:lang w:val="en-US" w:eastAsia="zh-CN"/>
        </w:rPr>
        <w:t>；</w:t>
      </w:r>
    </w:p>
    <w:p w14:paraId="1AF2DB03">
      <w:pPr>
        <w:keepNext w:val="0"/>
        <w:keepLines w:val="0"/>
        <w:pageBreakBefore w:val="0"/>
        <w:widowControl w:val="0"/>
        <w:kinsoku/>
        <w:wordWrap/>
        <w:overflowPunct/>
        <w:topLinePunct w:val="0"/>
        <w:bidi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10.</w:t>
      </w:r>
      <w:r>
        <w:rPr>
          <w:rFonts w:hint="eastAsia" w:ascii="仿宋_GB2312" w:hAnsi="仿宋_GB2312" w:eastAsia="仿宋_GB2312" w:cs="仿宋_GB2312"/>
          <w:bCs/>
          <w:color w:val="000000"/>
          <w:sz w:val="32"/>
          <w:szCs w:val="32"/>
          <w:rtl w:val="0"/>
          <w:lang w:val="en-US" w:eastAsia="zh-CN"/>
        </w:rPr>
        <w:t>带记忆键功能，记忆当前实时体位，实现常用检查体位一键恢复</w:t>
      </w:r>
      <w:r>
        <w:rPr>
          <w:rFonts w:hint="eastAsia" w:ascii="仿宋_GB2312" w:hAnsi="仿宋_GB2312" w:eastAsia="仿宋_GB2312" w:cs="仿宋_GB2312"/>
          <w:bCs/>
          <w:color w:val="000000"/>
          <w:sz w:val="32"/>
          <w:szCs w:val="32"/>
          <w:lang w:val="en-US" w:eastAsia="zh-CN"/>
        </w:rPr>
        <w:t>。</w:t>
      </w:r>
    </w:p>
    <w:p w14:paraId="4DF68262">
      <w:pPr>
        <w:keepNext w:val="0"/>
        <w:keepLines w:val="0"/>
        <w:pageBreakBefore w:val="0"/>
        <w:widowControl w:val="0"/>
        <w:kinsoku/>
        <w:wordWrap/>
        <w:overflowPunct/>
        <w:topLinePunct w:val="0"/>
        <w:bidi w:val="0"/>
        <w:snapToGrid/>
        <w:ind w:firstLine="643" w:firstLineChars="200"/>
        <w:textAlignment w:val="auto"/>
        <w:rPr>
          <w:rFonts w:hint="eastAsia" w:ascii="楷体_GB2312" w:hAnsi="楷体_GB2312" w:eastAsia="楷体_GB2312" w:cs="楷体_GB2312"/>
          <w:b/>
          <w:bCs w:val="0"/>
          <w:color w:val="000000"/>
          <w:sz w:val="32"/>
          <w:szCs w:val="32"/>
          <w:lang w:val="en-US" w:eastAsia="zh-CN"/>
        </w:rPr>
      </w:pPr>
      <w:r>
        <w:rPr>
          <w:rFonts w:hint="eastAsia" w:ascii="黑体" w:hAnsi="黑体" w:eastAsia="黑体" w:cs="黑体"/>
          <w:b/>
          <w:bCs w:val="0"/>
          <w:color w:val="000000"/>
          <w:sz w:val="32"/>
          <w:szCs w:val="32"/>
          <w:lang w:val="en-US" w:eastAsia="zh-CN"/>
        </w:rPr>
        <w:t>★</w:t>
      </w:r>
      <w:r>
        <w:rPr>
          <w:rFonts w:hint="eastAsia" w:ascii="楷体_GB2312" w:hAnsi="楷体_GB2312" w:eastAsia="楷体_GB2312" w:cs="楷体_GB2312"/>
          <w:b/>
          <w:bCs w:val="0"/>
          <w:color w:val="000000"/>
          <w:sz w:val="32"/>
          <w:szCs w:val="32"/>
          <w:lang w:val="en-US" w:eastAsia="zh-CN"/>
        </w:rPr>
        <w:t>三、配置要求</w:t>
      </w:r>
    </w:p>
    <w:p w14:paraId="69E48094">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default"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1.</w:t>
      </w:r>
      <w:r>
        <w:rPr>
          <w:rFonts w:hint="eastAsia" w:ascii="仿宋_GB2312" w:hAnsi="仿宋_GB2312" w:eastAsia="仿宋_GB2312" w:cs="仿宋_GB2312"/>
          <w:bCs/>
          <w:color w:val="000000"/>
          <w:sz w:val="32"/>
          <w:szCs w:val="32"/>
          <w:rtl w:val="0"/>
          <w:lang w:val="en-US" w:eastAsia="zh-CN"/>
        </w:rPr>
        <w:t>床垫</w:t>
      </w:r>
      <w:r>
        <w:rPr>
          <w:rFonts w:hint="eastAsia" w:ascii="仿宋_GB2312" w:hAnsi="仿宋_GB2312" w:eastAsia="仿宋_GB2312" w:cs="仿宋_GB2312"/>
          <w:bCs/>
          <w:color w:val="000000"/>
          <w:sz w:val="32"/>
          <w:szCs w:val="32"/>
          <w:lang w:val="en-US" w:eastAsia="zh-CN"/>
        </w:rPr>
        <w:tab/>
      </w:r>
      <w:r>
        <w:rPr>
          <w:rFonts w:hint="eastAsia" w:ascii="仿宋_GB2312" w:hAnsi="仿宋_GB2312" w:eastAsia="仿宋_GB2312" w:cs="仿宋_GB2312"/>
          <w:bCs/>
          <w:color w:val="000000"/>
          <w:sz w:val="32"/>
          <w:szCs w:val="32"/>
          <w:lang w:val="en-US" w:eastAsia="zh-CN"/>
        </w:rPr>
        <w:t xml:space="preserve">                     1张</w:t>
      </w:r>
    </w:p>
    <w:p w14:paraId="19B74A39">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default"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2.床架</w:t>
      </w:r>
      <w:r>
        <w:rPr>
          <w:rFonts w:hint="eastAsia" w:ascii="仿宋_GB2312" w:hAnsi="仿宋_GB2312" w:eastAsia="仿宋_GB2312" w:cs="仿宋_GB2312"/>
          <w:bCs/>
          <w:color w:val="000000"/>
          <w:sz w:val="32"/>
          <w:szCs w:val="32"/>
          <w:lang w:val="en-US" w:eastAsia="zh-CN"/>
        </w:rPr>
        <w:tab/>
      </w:r>
      <w:r>
        <w:rPr>
          <w:rFonts w:hint="eastAsia" w:ascii="仿宋_GB2312" w:hAnsi="仿宋_GB2312" w:eastAsia="仿宋_GB2312" w:cs="仿宋_GB2312"/>
          <w:bCs/>
          <w:color w:val="000000"/>
          <w:sz w:val="32"/>
          <w:szCs w:val="32"/>
          <w:lang w:val="en-US" w:eastAsia="zh-CN"/>
        </w:rPr>
        <w:t xml:space="preserve">                     1套</w:t>
      </w:r>
    </w:p>
    <w:p w14:paraId="3DF0A3FD">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3.电机</w:t>
      </w:r>
      <w:r>
        <w:rPr>
          <w:rFonts w:hint="eastAsia" w:ascii="仿宋_GB2312" w:hAnsi="仿宋_GB2312" w:eastAsia="仿宋_GB2312" w:cs="仿宋_GB2312"/>
          <w:bCs/>
          <w:color w:val="000000"/>
          <w:sz w:val="32"/>
          <w:szCs w:val="32"/>
          <w:lang w:val="en-US" w:eastAsia="zh-CN"/>
        </w:rPr>
        <w:tab/>
      </w:r>
      <w:r>
        <w:rPr>
          <w:rFonts w:hint="eastAsia" w:ascii="仿宋_GB2312" w:hAnsi="仿宋_GB2312" w:eastAsia="仿宋_GB2312" w:cs="仿宋_GB2312"/>
          <w:bCs/>
          <w:color w:val="000000"/>
          <w:sz w:val="32"/>
          <w:szCs w:val="32"/>
          <w:lang w:val="en-US" w:eastAsia="zh-CN"/>
        </w:rPr>
        <w:t xml:space="preserve">                     4套</w:t>
      </w:r>
    </w:p>
    <w:p w14:paraId="4D6C260C">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default"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4.</w:t>
      </w:r>
      <w:r>
        <w:rPr>
          <w:rFonts w:hint="eastAsia" w:ascii="仿宋_GB2312" w:hAnsi="仿宋_GB2312" w:eastAsia="仿宋_GB2312" w:cs="仿宋_GB2312"/>
          <w:bCs/>
          <w:color w:val="000000"/>
          <w:sz w:val="32"/>
          <w:szCs w:val="32"/>
          <w:rtl w:val="0"/>
          <w:lang w:val="en-US" w:eastAsia="zh-CN"/>
        </w:rPr>
        <w:t>5寸医疗中控脚轮</w:t>
      </w:r>
      <w:r>
        <w:rPr>
          <w:rFonts w:hint="eastAsia" w:ascii="仿宋_GB2312" w:hAnsi="仿宋_GB2312" w:eastAsia="仿宋_GB2312" w:cs="仿宋_GB2312"/>
          <w:bCs/>
          <w:color w:val="000000"/>
          <w:sz w:val="32"/>
          <w:szCs w:val="32"/>
          <w:lang w:val="en-US" w:eastAsia="zh-CN"/>
        </w:rPr>
        <w:tab/>
      </w:r>
      <w:r>
        <w:rPr>
          <w:rFonts w:hint="eastAsia" w:ascii="仿宋_GB2312" w:hAnsi="仿宋_GB2312" w:eastAsia="仿宋_GB2312" w:cs="仿宋_GB2312"/>
          <w:bCs/>
          <w:color w:val="000000"/>
          <w:sz w:val="32"/>
          <w:szCs w:val="32"/>
          <w:lang w:val="en-US" w:eastAsia="zh-CN"/>
        </w:rPr>
        <w:t xml:space="preserve">        4只</w:t>
      </w:r>
    </w:p>
    <w:p w14:paraId="10F31242">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5.</w:t>
      </w:r>
      <w:r>
        <w:rPr>
          <w:rFonts w:hint="eastAsia" w:ascii="仿宋_GB2312" w:hAnsi="仿宋_GB2312" w:eastAsia="仿宋_GB2312" w:cs="仿宋_GB2312"/>
          <w:bCs/>
          <w:color w:val="000000"/>
          <w:sz w:val="32"/>
          <w:szCs w:val="32"/>
          <w:rtl w:val="0"/>
          <w:lang w:val="en-US" w:eastAsia="zh-CN"/>
        </w:rPr>
        <w:t>脚踏控制器</w:t>
      </w:r>
      <w:r>
        <w:rPr>
          <w:rFonts w:hint="eastAsia" w:ascii="仿宋_GB2312" w:hAnsi="仿宋_GB2312" w:eastAsia="仿宋_GB2312" w:cs="仿宋_GB2312"/>
          <w:bCs/>
          <w:color w:val="000000"/>
          <w:sz w:val="32"/>
          <w:szCs w:val="32"/>
          <w:lang w:val="en-US" w:eastAsia="zh-CN"/>
        </w:rPr>
        <w:tab/>
      </w:r>
      <w:r>
        <w:rPr>
          <w:rFonts w:hint="eastAsia" w:ascii="仿宋_GB2312" w:hAnsi="仿宋_GB2312" w:eastAsia="仿宋_GB2312" w:cs="仿宋_GB2312"/>
          <w:bCs/>
          <w:color w:val="000000"/>
          <w:sz w:val="32"/>
          <w:szCs w:val="32"/>
          <w:lang w:val="en-US" w:eastAsia="zh-CN"/>
        </w:rPr>
        <w:t xml:space="preserve">              1个</w:t>
      </w:r>
    </w:p>
    <w:p w14:paraId="2FA9E6E3">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6.中文说明书                1套（另电子版1份）</w:t>
      </w:r>
    </w:p>
    <w:p w14:paraId="2EDF4451">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7.中文操作流程卡(过塑)      1套</w:t>
      </w:r>
    </w:p>
    <w:p w14:paraId="2EB38E91">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8.中文维修手册              1套（另电子版1份）</w:t>
      </w:r>
    </w:p>
    <w:p w14:paraId="1EDB3B97">
      <w:pPr>
        <w:pStyle w:val="14"/>
        <w:keepNext w:val="0"/>
        <w:keepLines w:val="0"/>
        <w:pageBreakBefore w:val="0"/>
        <w:widowControl w:val="0"/>
        <w:kinsoku/>
        <w:wordWrap/>
        <w:overflowPunct/>
        <w:topLinePunct w:val="0"/>
        <w:bidi w:val="0"/>
        <w:snapToGrid/>
        <w:ind w:firstLine="643" w:firstLineChars="200"/>
        <w:textAlignment w:val="auto"/>
        <w:rPr>
          <w:rFonts w:hint="eastAsia" w:ascii="楷体_GB2312" w:hAnsi="楷体_GB2312" w:eastAsia="楷体_GB2312" w:cs="楷体_GB2312"/>
          <w:b/>
          <w:bCs w:val="0"/>
          <w:color w:val="000000"/>
          <w:sz w:val="32"/>
          <w:szCs w:val="32"/>
          <w:lang w:val="en-US" w:eastAsia="zh-CN"/>
        </w:rPr>
      </w:pPr>
      <w:r>
        <w:rPr>
          <w:rFonts w:hint="eastAsia" w:ascii="楷体_GB2312" w:hAnsi="楷体_GB2312" w:eastAsia="楷体_GB2312" w:cs="楷体_GB2312"/>
          <w:b/>
          <w:bCs w:val="0"/>
          <w:color w:val="000000"/>
          <w:sz w:val="32"/>
          <w:szCs w:val="32"/>
          <w:lang w:val="en-US" w:eastAsia="zh-CN"/>
        </w:rPr>
        <w:t>四、商务条款及其他要求</w:t>
      </w:r>
    </w:p>
    <w:p w14:paraId="0981ECBB">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default"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（一）</w:t>
      </w:r>
      <w:r>
        <w:rPr>
          <w:rFonts w:hint="eastAsia" w:ascii="黑体" w:hAnsi="黑体" w:eastAsia="黑体" w:cs="黑体"/>
          <w:b/>
          <w:bCs w:val="0"/>
          <w:color w:val="000000"/>
          <w:sz w:val="32"/>
          <w:szCs w:val="32"/>
          <w:lang w:val="en-US" w:eastAsia="zh-CN"/>
        </w:rPr>
        <w:t>★</w:t>
      </w:r>
      <w:r>
        <w:rPr>
          <w:rFonts w:hint="default" w:ascii="仿宋_GB2312" w:hAnsi="仿宋_GB2312" w:eastAsia="仿宋_GB2312" w:cs="仿宋_GB2312"/>
          <w:bCs/>
          <w:color w:val="000000"/>
          <w:sz w:val="32"/>
          <w:szCs w:val="32"/>
          <w:lang w:val="en-US" w:eastAsia="zh-CN"/>
        </w:rPr>
        <w:t>交货日期：签订合同后</w:t>
      </w:r>
      <w:r>
        <w:rPr>
          <w:rFonts w:hint="eastAsia" w:ascii="仿宋_GB2312" w:hAnsi="仿宋_GB2312" w:eastAsia="仿宋_GB2312" w:cs="仿宋_GB2312"/>
          <w:bCs/>
          <w:color w:val="000000"/>
          <w:sz w:val="32"/>
          <w:szCs w:val="32"/>
          <w:lang w:val="en-US" w:eastAsia="zh-CN"/>
        </w:rPr>
        <w:t>，经采购人通知后30</w:t>
      </w:r>
      <w:r>
        <w:rPr>
          <w:rFonts w:hint="default" w:ascii="仿宋_GB2312" w:hAnsi="仿宋_GB2312" w:eastAsia="仿宋_GB2312" w:cs="仿宋_GB2312"/>
          <w:bCs/>
          <w:color w:val="000000"/>
          <w:sz w:val="32"/>
          <w:szCs w:val="32"/>
          <w:lang w:val="en-US" w:eastAsia="zh-CN"/>
        </w:rPr>
        <w:t>（天）日历日内。</w:t>
      </w:r>
    </w:p>
    <w:p w14:paraId="34118E31">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default"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（二）</w:t>
      </w:r>
      <w:r>
        <w:rPr>
          <w:rFonts w:hint="default" w:ascii="仿宋_GB2312" w:hAnsi="仿宋_GB2312" w:eastAsia="仿宋_GB2312" w:cs="仿宋_GB2312"/>
          <w:bCs/>
          <w:color w:val="000000"/>
          <w:sz w:val="32"/>
          <w:szCs w:val="32"/>
          <w:lang w:val="en-US" w:eastAsia="zh-CN"/>
        </w:rPr>
        <w:t>交货地点：采购人指定地点。</w:t>
      </w:r>
    </w:p>
    <w:p w14:paraId="430B3AAD">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default"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（三）</w:t>
      </w:r>
      <w:r>
        <w:rPr>
          <w:rFonts w:hint="default" w:ascii="仿宋_GB2312" w:hAnsi="仿宋_GB2312" w:eastAsia="仿宋_GB2312" w:cs="仿宋_GB2312"/>
          <w:bCs/>
          <w:color w:val="000000"/>
          <w:sz w:val="32"/>
          <w:szCs w:val="32"/>
          <w:lang w:val="en-US" w:eastAsia="zh-CN"/>
        </w:rPr>
        <w:t>报价：人民币报价。</w:t>
      </w:r>
    </w:p>
    <w:p w14:paraId="770E6E3E">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（四）</w:t>
      </w:r>
      <w:r>
        <w:rPr>
          <w:rFonts w:hint="default" w:ascii="仿宋_GB2312" w:hAnsi="仿宋_GB2312" w:eastAsia="仿宋_GB2312" w:cs="仿宋_GB2312"/>
          <w:bCs/>
          <w:color w:val="000000"/>
          <w:sz w:val="32"/>
          <w:szCs w:val="32"/>
          <w:lang w:val="en-US" w:eastAsia="zh-CN"/>
        </w:rPr>
        <w:t>付款条件：签订合同两年内，中标人根据采购人需求数量分批送货，数量不超过合同总数，每批次货物到货且验收合格后，采购人根据货物单价据实支付货物款项。</w:t>
      </w:r>
    </w:p>
    <w:p w14:paraId="55A3E1A0">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default"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（五）如有备品备件、消耗品、零配件，提供备品备件清单，提供消耗品优惠价格，提供零配件优惠价格。</w:t>
      </w:r>
    </w:p>
    <w:p w14:paraId="59FC54BC">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（六）★免费保修期内售后服务要求</w:t>
      </w:r>
    </w:p>
    <w:p w14:paraId="5F7D6458">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default"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1.在免费保修期内，一旦发生质量问题，投标人保证在接到通知12小时内赶到现场进行修理或更换</w:t>
      </w:r>
      <w:r>
        <w:rPr>
          <w:rFonts w:hint="default" w:ascii="仿宋_GB2312" w:hAnsi="仿宋_GB2312" w:eastAsia="仿宋_GB2312" w:cs="仿宋_GB2312"/>
          <w:bCs/>
          <w:color w:val="000000"/>
          <w:sz w:val="32"/>
          <w:szCs w:val="32"/>
          <w:lang w:val="en-US" w:eastAsia="zh-CN"/>
        </w:rPr>
        <w:t>。</w:t>
      </w:r>
    </w:p>
    <w:p w14:paraId="17F7D544">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default" w:ascii="仿宋_GB2312" w:hAnsi="仿宋_GB2312" w:eastAsia="仿宋_GB2312" w:cs="仿宋_GB2312"/>
          <w:bCs/>
          <w:color w:val="000000"/>
          <w:sz w:val="32"/>
          <w:szCs w:val="32"/>
          <w:highlight w:val="none"/>
          <w:lang w:val="en-US" w:eastAsia="zh-CN"/>
        </w:rPr>
      </w:pPr>
      <w:r>
        <w:rPr>
          <w:rFonts w:hint="eastAsia" w:ascii="仿宋_GB2312" w:hAnsi="仿宋_GB2312" w:eastAsia="仿宋_GB2312" w:cs="仿宋_GB2312"/>
          <w:bCs/>
          <w:color w:val="000000"/>
          <w:sz w:val="32"/>
          <w:szCs w:val="32"/>
          <w:lang w:val="en-US" w:eastAsia="zh-CN"/>
        </w:rPr>
        <w:t>2.对所提供的设备整机质保期（整机全保）：≥5年，保修期3年。质保期时间自最终验收合格并交付使用之日起计算，保修期自质保期满起计算</w:t>
      </w:r>
      <w:r>
        <w:rPr>
          <w:rFonts w:hint="default" w:ascii="仿宋_GB2312" w:hAnsi="仿宋_GB2312" w:eastAsia="仿宋_GB2312" w:cs="仿宋_GB2312"/>
          <w:bCs/>
          <w:color w:val="000000"/>
          <w:sz w:val="32"/>
          <w:szCs w:val="32"/>
          <w:highlight w:val="none"/>
          <w:lang w:val="en-US" w:eastAsia="zh-CN"/>
        </w:rPr>
        <w:t>。</w:t>
      </w:r>
    </w:p>
    <w:p w14:paraId="740AE302">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default" w:ascii="仿宋_GB2312" w:hAnsi="仿宋_GB2312" w:eastAsia="仿宋_GB2312" w:cs="仿宋_GB2312"/>
          <w:bCs/>
          <w:color w:val="000000"/>
          <w:sz w:val="32"/>
          <w:szCs w:val="32"/>
          <w:highlight w:val="none"/>
          <w:lang w:val="en-US" w:eastAsia="zh-CN"/>
        </w:rPr>
      </w:pPr>
      <w:r>
        <w:rPr>
          <w:rFonts w:hint="eastAsia" w:ascii="仿宋_GB2312" w:hAnsi="仿宋_GB2312" w:eastAsia="仿宋_GB2312" w:cs="仿宋_GB2312"/>
          <w:bCs/>
          <w:color w:val="000000"/>
          <w:sz w:val="32"/>
          <w:szCs w:val="32"/>
          <w:highlight w:val="none"/>
          <w:lang w:val="en-US" w:eastAsia="zh-CN"/>
        </w:rPr>
        <w:t>3.免费保修期（质保期）内，所有服务及配件全部免费。</w:t>
      </w:r>
    </w:p>
    <w:p w14:paraId="64F2F675">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highlight w:val="none"/>
          <w:lang w:val="en-US" w:eastAsia="zh-CN"/>
        </w:rPr>
      </w:pPr>
      <w:r>
        <w:rPr>
          <w:rFonts w:hint="eastAsia" w:ascii="仿宋_GB2312" w:hAnsi="仿宋_GB2312" w:eastAsia="仿宋_GB2312" w:cs="仿宋_GB2312"/>
          <w:bCs/>
          <w:color w:val="000000"/>
          <w:sz w:val="32"/>
          <w:szCs w:val="32"/>
          <w:highlight w:val="none"/>
          <w:lang w:val="en-US" w:eastAsia="zh-CN"/>
        </w:rPr>
        <w:t>4.保修期内，免费维修，用户只承担更换零备件的费用。</w:t>
      </w:r>
    </w:p>
    <w:p w14:paraId="420EC267">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default" w:ascii="仿宋_GB2312" w:hAnsi="仿宋_GB2312" w:eastAsia="仿宋_GB2312" w:cs="仿宋_GB2312"/>
          <w:bCs/>
          <w:color w:val="000000"/>
          <w:sz w:val="32"/>
          <w:szCs w:val="32"/>
          <w:highlight w:val="none"/>
          <w:lang w:val="en-US" w:eastAsia="zh-CN"/>
        </w:rPr>
      </w:pPr>
      <w:r>
        <w:rPr>
          <w:rFonts w:hint="eastAsia" w:ascii="仿宋_GB2312" w:hAnsi="仿宋_GB2312" w:eastAsia="仿宋_GB2312" w:cs="仿宋_GB2312"/>
          <w:bCs/>
          <w:color w:val="000000"/>
          <w:sz w:val="32"/>
          <w:szCs w:val="32"/>
          <w:highlight w:val="none"/>
          <w:lang w:val="en-US" w:eastAsia="zh-CN"/>
        </w:rPr>
        <w:t>5.</w:t>
      </w:r>
      <w:r>
        <w:rPr>
          <w:rFonts w:hint="default" w:ascii="仿宋_GB2312" w:hAnsi="仿宋_GB2312" w:eastAsia="仿宋_GB2312" w:cs="仿宋_GB2312"/>
          <w:bCs/>
          <w:color w:val="000000"/>
          <w:sz w:val="32"/>
          <w:szCs w:val="32"/>
          <w:highlight w:val="none"/>
          <w:lang w:val="en-US" w:eastAsia="zh-CN"/>
        </w:rPr>
        <w:t>投标人应提供全套、完整的书面技术资料，包括仪器说明书、操作手册、简单维修说明、图纸等。</w:t>
      </w:r>
    </w:p>
    <w:p w14:paraId="6159AC2E">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default" w:ascii="仿宋_GB2312" w:hAnsi="仿宋_GB2312" w:eastAsia="仿宋_GB2312" w:cs="仿宋_GB2312"/>
          <w:bCs/>
          <w:color w:val="000000"/>
          <w:sz w:val="32"/>
          <w:szCs w:val="32"/>
          <w:highlight w:val="none"/>
          <w:lang w:val="en-US" w:eastAsia="zh-CN"/>
        </w:rPr>
      </w:pPr>
      <w:r>
        <w:rPr>
          <w:rFonts w:hint="eastAsia" w:ascii="仿宋_GB2312" w:hAnsi="仿宋_GB2312" w:eastAsia="仿宋_GB2312" w:cs="仿宋_GB2312"/>
          <w:bCs/>
          <w:color w:val="000000"/>
          <w:sz w:val="32"/>
          <w:szCs w:val="32"/>
          <w:highlight w:val="none"/>
          <w:lang w:val="en-US" w:eastAsia="zh-CN"/>
        </w:rPr>
        <w:t>6.</w:t>
      </w:r>
      <w:r>
        <w:rPr>
          <w:rFonts w:hint="default" w:ascii="仿宋_GB2312" w:hAnsi="仿宋_GB2312" w:eastAsia="仿宋_GB2312" w:cs="仿宋_GB2312"/>
          <w:bCs/>
          <w:color w:val="000000"/>
          <w:sz w:val="32"/>
          <w:szCs w:val="32"/>
          <w:highlight w:val="none"/>
          <w:lang w:val="en-US" w:eastAsia="zh-CN"/>
        </w:rPr>
        <w:t>在</w:t>
      </w:r>
      <w:r>
        <w:rPr>
          <w:rFonts w:hint="eastAsia" w:ascii="仿宋_GB2312" w:hAnsi="仿宋_GB2312" w:eastAsia="仿宋_GB2312" w:cs="仿宋_GB2312"/>
          <w:bCs/>
          <w:color w:val="000000"/>
          <w:sz w:val="32"/>
          <w:szCs w:val="32"/>
          <w:highlight w:val="none"/>
          <w:lang w:val="en-US" w:eastAsia="zh-CN"/>
        </w:rPr>
        <w:t>质保期</w:t>
      </w:r>
      <w:r>
        <w:rPr>
          <w:rFonts w:hint="default" w:ascii="仿宋_GB2312" w:hAnsi="仿宋_GB2312" w:eastAsia="仿宋_GB2312" w:cs="仿宋_GB2312"/>
          <w:bCs/>
          <w:color w:val="000000"/>
          <w:sz w:val="32"/>
          <w:szCs w:val="32"/>
          <w:highlight w:val="none"/>
          <w:lang w:val="en-US" w:eastAsia="zh-CN"/>
        </w:rPr>
        <w:t>内，中标人必须保证设备的开机率&gt;95%；若不能达到此开机率，将作以下处理：①90%＜开机率≤95%按一赔二延长质保期；②85%＜开机率≤90%按一赔五延长质保期；③开机率低于85%，供应商须无条件更换新机，并重新计算质保期，以及赔偿用户的直接经济损失和间接经济损失。</w:t>
      </w:r>
    </w:p>
    <w:p w14:paraId="2F2ACD66">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highlight w:val="none"/>
          <w:lang w:val="en-US" w:eastAsia="zh-CN"/>
        </w:rPr>
      </w:pPr>
      <w:r>
        <w:rPr>
          <w:rFonts w:hint="eastAsia" w:ascii="仿宋_GB2312" w:hAnsi="仿宋_GB2312" w:eastAsia="仿宋_GB2312" w:cs="仿宋_GB2312"/>
          <w:bCs/>
          <w:color w:val="000000"/>
          <w:sz w:val="32"/>
          <w:szCs w:val="32"/>
          <w:highlight w:val="none"/>
          <w:lang w:val="en-US" w:eastAsia="zh-CN"/>
        </w:rPr>
        <w:t>（七）</w:t>
      </w:r>
      <w:r>
        <w:rPr>
          <w:rFonts w:hint="eastAsia" w:ascii="黑体" w:hAnsi="黑体" w:eastAsia="黑体" w:cs="黑体"/>
          <w:b/>
          <w:bCs w:val="0"/>
          <w:color w:val="000000"/>
          <w:sz w:val="32"/>
          <w:szCs w:val="32"/>
          <w:lang w:val="en-US" w:eastAsia="zh-CN"/>
        </w:rPr>
        <w:t>★</w:t>
      </w:r>
      <w:r>
        <w:rPr>
          <w:rFonts w:hint="eastAsia" w:ascii="仿宋_GB2312" w:hAnsi="仿宋_GB2312" w:eastAsia="仿宋_GB2312" w:cs="仿宋_GB2312"/>
          <w:bCs/>
          <w:color w:val="000000"/>
          <w:sz w:val="32"/>
          <w:szCs w:val="32"/>
          <w:highlight w:val="none"/>
          <w:lang w:val="en-US" w:eastAsia="zh-CN"/>
        </w:rPr>
        <w:t>免费保修期外售后服务要求</w:t>
      </w:r>
    </w:p>
    <w:p w14:paraId="1A496EEE">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default"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highlight w:val="none"/>
          <w:lang w:val="en-US" w:eastAsia="zh-CN"/>
        </w:rPr>
        <w:t>1.由设备制造商提供售后服务，2小时内响应，12小时维修工程师到位，并在24小时内消除故障（不可抗力情况除外）。消耗品和零配件供应及时，特殊情况下可提供备用机</w:t>
      </w:r>
      <w:r>
        <w:rPr>
          <w:rFonts w:hint="default" w:ascii="仿宋_GB2312" w:hAnsi="仿宋_GB2312" w:eastAsia="仿宋_GB2312" w:cs="仿宋_GB2312"/>
          <w:bCs/>
          <w:color w:val="000000"/>
          <w:sz w:val="32"/>
          <w:szCs w:val="32"/>
          <w:lang w:val="en-US" w:eastAsia="zh-CN"/>
        </w:rPr>
        <w:t>。</w:t>
      </w:r>
    </w:p>
    <w:p w14:paraId="31CFEA38">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2.投标时，供应商承诺保修期外，能及时为采购人提供备品备件、专用试剂及耗材。</w:t>
      </w:r>
    </w:p>
    <w:p w14:paraId="50EFC927">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3.</w:t>
      </w:r>
      <w:r>
        <w:rPr>
          <w:rFonts w:hint="eastAsia" w:ascii="仿宋_GB2312" w:hAnsi="仿宋_GB2312" w:eastAsia="仿宋_GB2312" w:cs="仿宋_GB2312"/>
          <w:bCs/>
          <w:color w:val="000000"/>
          <w:sz w:val="32"/>
          <w:szCs w:val="32"/>
          <w:highlight w:val="none"/>
          <w:lang w:val="en-US" w:eastAsia="zh-CN"/>
        </w:rPr>
        <w:t>质保期满之日起3年内</w:t>
      </w:r>
      <w:r>
        <w:rPr>
          <w:rFonts w:hint="eastAsia" w:ascii="仿宋_GB2312" w:hAnsi="仿宋_GB2312" w:eastAsia="仿宋_GB2312" w:cs="仿宋_GB2312"/>
          <w:bCs/>
          <w:color w:val="000000"/>
          <w:sz w:val="32"/>
          <w:szCs w:val="32"/>
          <w:lang w:val="en-US" w:eastAsia="zh-CN"/>
        </w:rPr>
        <w:t>免费提供软件升级、终身软件备份。</w:t>
      </w:r>
    </w:p>
    <w:p w14:paraId="4CEA8426">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（八）</w:t>
      </w:r>
      <w:r>
        <w:rPr>
          <w:rFonts w:hint="eastAsia" w:ascii="黑体" w:hAnsi="黑体" w:eastAsia="黑体" w:cs="黑体"/>
          <w:b/>
          <w:bCs w:val="0"/>
          <w:color w:val="000000"/>
          <w:sz w:val="32"/>
          <w:szCs w:val="32"/>
          <w:lang w:val="en-US" w:eastAsia="zh-CN"/>
        </w:rPr>
        <w:t>★</w:t>
      </w:r>
      <w:r>
        <w:rPr>
          <w:rFonts w:hint="eastAsia" w:ascii="仿宋_GB2312" w:hAnsi="仿宋_GB2312" w:eastAsia="仿宋_GB2312" w:cs="仿宋_GB2312"/>
          <w:bCs/>
          <w:color w:val="000000"/>
          <w:sz w:val="32"/>
          <w:szCs w:val="32"/>
          <w:lang w:val="en-US" w:eastAsia="zh-CN"/>
        </w:rPr>
        <w:t>其他服务要求</w:t>
      </w:r>
    </w:p>
    <w:p w14:paraId="4C765B9D">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1.投标人须在签订合同之日起3天内向采购人提供设备的运行、安装、使用环境要求。</w:t>
      </w:r>
    </w:p>
    <w:p w14:paraId="6FAF7857">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2.运输、安装按照仪器说明书要求。</w:t>
      </w:r>
    </w:p>
    <w:p w14:paraId="411E1C84">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3.投标人应派专业技术人员免费对采购单位指定人员进行定期培训及指导，直至其完全掌握设备的基本故障处理技术。</w:t>
      </w:r>
    </w:p>
    <w:p w14:paraId="420404CF">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4.现场培训：投标人应提供现场技术培训，保证使用人员正常操作设备的各种功能。</w:t>
      </w:r>
    </w:p>
    <w:p w14:paraId="2C3BB0C4">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 xml:space="preserve">5.投标人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投标供应商承担全部责任。 </w:t>
      </w:r>
    </w:p>
    <w:p w14:paraId="0E8F8A9A">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6.采购人购买产品后，有权对该产品与其他设备进行配套、整合或适当改进，而免受侵犯专利权的起诉。</w:t>
      </w:r>
    </w:p>
    <w:p w14:paraId="0403A838">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（九）★交货时，设备出厂时间：≤1年。</w:t>
      </w:r>
    </w:p>
    <w:p w14:paraId="786256B7">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（十）★配齐满足以上性能且正常使用所需要的所有附件，与医院数据传输系统的接口等，负责系统接口费，保证数据安全，无需另外购置即可满足临床需求。</w:t>
      </w:r>
    </w:p>
    <w:p w14:paraId="2F8EA8D9">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十一）网络安全：所提供产品或服务满足国家网络安全管理要求，遵守医疗行业和医院网络安全管理规范，保护医院和患者信息安全。医疗设备自带软件（如有）具备合格的软件功能及安全测评报告、源代码安全审计报告和网络及数据接口说明等。（提供承诺函，格式自拟）</w:t>
      </w:r>
    </w:p>
    <w:p w14:paraId="05773B0D">
      <w:pPr>
        <w:pStyle w:val="14"/>
        <w:keepNext w:val="0"/>
        <w:keepLines w:val="0"/>
        <w:pageBreakBefore w:val="0"/>
        <w:widowControl w:val="0"/>
        <w:kinsoku/>
        <w:wordWrap/>
        <w:overflowPunct/>
        <w:topLinePunct w:val="0"/>
        <w:bidi w:val="0"/>
        <w:snapToGrid/>
        <w:ind w:firstLine="643" w:firstLineChars="200"/>
        <w:textAlignment w:val="auto"/>
        <w:rPr>
          <w:rFonts w:hint="eastAsia" w:ascii="楷体_GB2312" w:hAnsi="楷体_GB2312" w:eastAsia="楷体_GB2312" w:cs="楷体_GB2312"/>
          <w:b/>
          <w:bCs w:val="0"/>
          <w:color w:val="000000"/>
          <w:sz w:val="32"/>
          <w:szCs w:val="32"/>
          <w:lang w:val="en-US" w:eastAsia="zh-CN"/>
        </w:rPr>
      </w:pPr>
      <w:r>
        <w:rPr>
          <w:rFonts w:hint="eastAsia" w:ascii="楷体_GB2312" w:hAnsi="楷体_GB2312" w:eastAsia="楷体_GB2312" w:cs="楷体_GB2312"/>
          <w:b/>
          <w:bCs w:val="0"/>
          <w:color w:val="000000"/>
          <w:sz w:val="32"/>
          <w:szCs w:val="32"/>
          <w:lang w:val="en-US" w:eastAsia="zh-CN"/>
        </w:rPr>
        <w:t>五、综合评分表</w:t>
      </w:r>
      <w:r>
        <w:rPr>
          <w:rFonts w:hint="eastAsia" w:ascii="楷体_GB2312" w:hAnsi="楷体_GB2312" w:eastAsia="楷体_GB2312" w:cs="楷体_GB2312"/>
          <w:b/>
          <w:bCs w:val="0"/>
          <w:color w:val="000000"/>
          <w:sz w:val="32"/>
          <w:szCs w:val="32"/>
          <w:highlight w:val="red"/>
          <w:lang w:val="en-US" w:eastAsia="zh-CN"/>
        </w:rPr>
        <w:t>（综合得分60分以下的视为投标无效）</w:t>
      </w:r>
    </w:p>
    <w:tbl>
      <w:tblPr>
        <w:tblStyle w:val="8"/>
        <w:tblW w:w="8448" w:type="dxa"/>
        <w:tblInd w:w="93"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680"/>
        <w:gridCol w:w="1147"/>
        <w:gridCol w:w="5843"/>
        <w:gridCol w:w="778"/>
      </w:tblGrid>
      <w:tr w14:paraId="7F34939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83" w:hRule="atLeast"/>
        </w:trPr>
        <w:tc>
          <w:tcPr>
            <w:tcW w:w="680" w:type="dxa"/>
            <w:noWrap w:val="0"/>
            <w:vAlign w:val="center"/>
          </w:tcPr>
          <w:p w14:paraId="2F32DB1A">
            <w:pPr>
              <w:keepNext w:val="0"/>
              <w:keepLines w:val="0"/>
              <w:pageBreakBefore w:val="0"/>
              <w:kinsoku/>
              <w:overflowPunct/>
              <w:topLinePunct w:val="0"/>
              <w:bidi w:val="0"/>
              <w:adjustRightInd/>
              <w:snapToGrid/>
              <w:spacing w:line="240" w:lineRule="auto"/>
              <w:ind w:left="0" w:leftChars="0" w:right="0" w:rightChars="0" w:firstLine="0" w:firstLineChars="0"/>
              <w:jc w:val="center"/>
              <w:textAlignment w:val="auto"/>
              <w:rPr>
                <w:rFonts w:hint="eastAsia" w:ascii="宋体" w:hAnsi="宋体" w:eastAsia="宋体" w:cs="宋体"/>
                <w:b/>
                <w:color w:val="auto"/>
                <w:sz w:val="21"/>
                <w:szCs w:val="21"/>
              </w:rPr>
            </w:pPr>
            <w:r>
              <w:rPr>
                <w:rFonts w:hint="eastAsia" w:ascii="宋体" w:hAnsi="宋体" w:eastAsia="宋体" w:cs="宋体"/>
                <w:b/>
                <w:color w:val="auto"/>
                <w:sz w:val="21"/>
                <w:szCs w:val="21"/>
              </w:rPr>
              <w:t>评审部分</w:t>
            </w:r>
          </w:p>
        </w:tc>
        <w:tc>
          <w:tcPr>
            <w:tcW w:w="1147" w:type="dxa"/>
            <w:noWrap w:val="0"/>
            <w:vAlign w:val="center"/>
          </w:tcPr>
          <w:p w14:paraId="4059A002">
            <w:pPr>
              <w:keepNext w:val="0"/>
              <w:keepLines w:val="0"/>
              <w:pageBreakBefore w:val="0"/>
              <w:kinsoku/>
              <w:overflowPunct/>
              <w:topLinePunct w:val="0"/>
              <w:bidi w:val="0"/>
              <w:adjustRightInd/>
              <w:snapToGrid/>
              <w:spacing w:line="240" w:lineRule="auto"/>
              <w:ind w:left="0" w:leftChars="0" w:right="0" w:rightChars="0" w:firstLine="0" w:firstLineChars="0"/>
              <w:jc w:val="center"/>
              <w:textAlignment w:val="auto"/>
              <w:rPr>
                <w:rFonts w:hint="eastAsia" w:ascii="宋体" w:hAnsi="宋体" w:eastAsia="宋体" w:cs="宋体"/>
                <w:b/>
                <w:color w:val="auto"/>
                <w:sz w:val="21"/>
                <w:szCs w:val="21"/>
              </w:rPr>
            </w:pPr>
            <w:r>
              <w:rPr>
                <w:rFonts w:hint="eastAsia" w:ascii="宋体" w:hAnsi="宋体" w:eastAsia="宋体" w:cs="宋体"/>
                <w:b/>
                <w:color w:val="auto"/>
                <w:sz w:val="21"/>
                <w:szCs w:val="21"/>
              </w:rPr>
              <w:t>评审因素</w:t>
            </w:r>
          </w:p>
        </w:tc>
        <w:tc>
          <w:tcPr>
            <w:tcW w:w="5843" w:type="dxa"/>
            <w:noWrap w:val="0"/>
            <w:vAlign w:val="center"/>
          </w:tcPr>
          <w:p w14:paraId="3CB481EC">
            <w:pPr>
              <w:keepNext w:val="0"/>
              <w:keepLines w:val="0"/>
              <w:pageBreakBefore w:val="0"/>
              <w:kinsoku/>
              <w:overflowPunct/>
              <w:topLinePunct w:val="0"/>
              <w:bidi w:val="0"/>
              <w:adjustRightInd/>
              <w:snapToGrid/>
              <w:spacing w:line="240" w:lineRule="auto"/>
              <w:ind w:left="0" w:leftChars="0" w:right="0" w:rightChars="0" w:firstLine="0" w:firstLineChars="0"/>
              <w:jc w:val="center"/>
              <w:textAlignment w:val="auto"/>
              <w:rPr>
                <w:rFonts w:hint="eastAsia" w:ascii="宋体" w:hAnsi="宋体" w:eastAsia="宋体" w:cs="宋体"/>
                <w:b/>
                <w:color w:val="auto"/>
                <w:sz w:val="21"/>
                <w:szCs w:val="21"/>
              </w:rPr>
            </w:pPr>
            <w:r>
              <w:rPr>
                <w:rFonts w:hint="eastAsia" w:ascii="宋体" w:hAnsi="宋体" w:eastAsia="宋体" w:cs="宋体"/>
                <w:b/>
                <w:color w:val="auto"/>
                <w:sz w:val="21"/>
                <w:szCs w:val="21"/>
              </w:rPr>
              <w:t>评分细则</w:t>
            </w:r>
          </w:p>
        </w:tc>
        <w:tc>
          <w:tcPr>
            <w:tcW w:w="778" w:type="dxa"/>
            <w:tcBorders>
              <w:left w:val="single" w:color="auto" w:sz="4" w:space="0"/>
            </w:tcBorders>
            <w:noWrap w:val="0"/>
            <w:vAlign w:val="center"/>
          </w:tcPr>
          <w:p w14:paraId="4E3A88C0">
            <w:pPr>
              <w:keepNext w:val="0"/>
              <w:keepLines w:val="0"/>
              <w:pageBreakBefore w:val="0"/>
              <w:kinsoku/>
              <w:overflowPunct/>
              <w:topLinePunct w:val="0"/>
              <w:bidi w:val="0"/>
              <w:adjustRightInd/>
              <w:snapToGrid/>
              <w:spacing w:line="240" w:lineRule="auto"/>
              <w:ind w:left="0" w:leftChars="0" w:right="0" w:rightChars="0" w:firstLine="0" w:firstLineChars="0"/>
              <w:jc w:val="center"/>
              <w:textAlignment w:val="auto"/>
              <w:rPr>
                <w:rFonts w:hint="eastAsia" w:ascii="宋体" w:hAnsi="宋体" w:eastAsia="宋体" w:cs="宋体"/>
                <w:b/>
                <w:color w:val="auto"/>
                <w:sz w:val="21"/>
                <w:szCs w:val="21"/>
              </w:rPr>
            </w:pPr>
            <w:r>
              <w:rPr>
                <w:rFonts w:hint="eastAsia" w:ascii="宋体" w:hAnsi="宋体" w:eastAsia="宋体" w:cs="宋体"/>
                <w:b/>
                <w:color w:val="auto"/>
                <w:sz w:val="21"/>
                <w:szCs w:val="21"/>
              </w:rPr>
              <w:t>分值（分）</w:t>
            </w:r>
          </w:p>
        </w:tc>
      </w:tr>
      <w:tr w14:paraId="0A64810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41" w:hRule="atLeast"/>
        </w:trPr>
        <w:tc>
          <w:tcPr>
            <w:tcW w:w="680" w:type="dxa"/>
            <w:noWrap w:val="0"/>
            <w:vAlign w:val="center"/>
          </w:tcPr>
          <w:p w14:paraId="1A1BED1F">
            <w:pPr>
              <w:keepNext w:val="0"/>
              <w:keepLines w:val="0"/>
              <w:pageBreakBefore w:val="0"/>
              <w:kinsoku/>
              <w:overflowPunct/>
              <w:topLinePunct w:val="0"/>
              <w:bidi w:val="0"/>
              <w:adjustRightInd/>
              <w:snapToGrid/>
              <w:spacing w:line="240" w:lineRule="auto"/>
              <w:ind w:left="0" w:leftChars="0" w:right="0" w:rightChars="0" w:firstLine="0" w:firstLineChars="0"/>
              <w:jc w:val="center"/>
              <w:textAlignment w:val="auto"/>
              <w:rPr>
                <w:rFonts w:hint="eastAsia" w:ascii="宋体" w:hAnsi="宋体" w:eastAsia="宋体" w:cs="宋体"/>
                <w:b/>
                <w:color w:val="auto"/>
                <w:sz w:val="21"/>
                <w:szCs w:val="21"/>
              </w:rPr>
            </w:pPr>
            <w:r>
              <w:rPr>
                <w:rFonts w:hint="eastAsia" w:ascii="宋体" w:hAnsi="宋体" w:eastAsia="宋体" w:cs="宋体"/>
                <w:b/>
                <w:color w:val="auto"/>
                <w:sz w:val="21"/>
                <w:szCs w:val="21"/>
              </w:rPr>
              <w:t>一</w:t>
            </w:r>
          </w:p>
        </w:tc>
        <w:tc>
          <w:tcPr>
            <w:tcW w:w="7768" w:type="dxa"/>
            <w:gridSpan w:val="3"/>
            <w:noWrap w:val="0"/>
            <w:vAlign w:val="center"/>
          </w:tcPr>
          <w:p w14:paraId="6CB0BC6F">
            <w:pPr>
              <w:keepNext w:val="0"/>
              <w:keepLines w:val="0"/>
              <w:pageBreakBefore w:val="0"/>
              <w:kinsoku/>
              <w:overflowPunct/>
              <w:topLinePunct w:val="0"/>
              <w:bidi w:val="0"/>
              <w:adjustRightInd/>
              <w:snapToGrid/>
              <w:spacing w:line="240" w:lineRule="auto"/>
              <w:ind w:left="0" w:leftChars="0" w:right="0" w:rightChars="0" w:firstLine="0" w:firstLineChars="0"/>
              <w:jc w:val="center"/>
              <w:textAlignment w:val="auto"/>
              <w:rPr>
                <w:rFonts w:hint="eastAsia" w:ascii="宋体" w:hAnsi="宋体" w:eastAsia="宋体" w:cs="宋体"/>
                <w:b/>
                <w:color w:val="auto"/>
                <w:sz w:val="21"/>
                <w:szCs w:val="21"/>
              </w:rPr>
            </w:pPr>
            <w:r>
              <w:rPr>
                <w:rFonts w:hint="eastAsia" w:ascii="宋体" w:hAnsi="宋体" w:eastAsia="宋体" w:cs="宋体"/>
                <w:b/>
                <w:color w:val="auto"/>
                <w:sz w:val="21"/>
                <w:szCs w:val="21"/>
              </w:rPr>
              <w:t>技术部分（</w:t>
            </w:r>
            <w:r>
              <w:rPr>
                <w:rFonts w:hint="eastAsia" w:ascii="宋体" w:hAnsi="宋体" w:cs="宋体"/>
                <w:b/>
                <w:color w:val="auto"/>
                <w:sz w:val="21"/>
                <w:szCs w:val="21"/>
                <w:lang w:val="en-US" w:eastAsia="zh-CN"/>
              </w:rPr>
              <w:t>60</w:t>
            </w:r>
            <w:r>
              <w:rPr>
                <w:rFonts w:hint="eastAsia" w:ascii="宋体" w:hAnsi="宋体" w:eastAsia="宋体" w:cs="宋体"/>
                <w:b/>
                <w:color w:val="auto"/>
                <w:sz w:val="21"/>
                <w:szCs w:val="21"/>
              </w:rPr>
              <w:t>分）</w:t>
            </w:r>
          </w:p>
        </w:tc>
      </w:tr>
      <w:tr w14:paraId="53BE6F4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83" w:hRule="atLeast"/>
        </w:trPr>
        <w:tc>
          <w:tcPr>
            <w:tcW w:w="680" w:type="dxa"/>
            <w:tcBorders>
              <w:bottom w:val="single" w:color="auto" w:sz="4" w:space="0"/>
            </w:tcBorders>
            <w:noWrap w:val="0"/>
            <w:vAlign w:val="center"/>
          </w:tcPr>
          <w:p w14:paraId="280A5A14">
            <w:pPr>
              <w:pStyle w:val="21"/>
              <w:keepNext w:val="0"/>
              <w:keepLines w:val="0"/>
              <w:pageBreakBefore w:val="0"/>
              <w:numPr>
                <w:ilvl w:val="0"/>
                <w:numId w:val="0"/>
              </w:numPr>
              <w:kinsoku/>
              <w:overflowPunct/>
              <w:topLinePunct w:val="0"/>
              <w:bidi w:val="0"/>
              <w:adjustRightInd/>
              <w:snapToGrid/>
              <w:spacing w:line="240" w:lineRule="auto"/>
              <w:ind w:leftChars="0" w:right="0" w:rightChars="0"/>
              <w:jc w:val="right"/>
              <w:textAlignment w:val="auto"/>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p>
        </w:tc>
        <w:tc>
          <w:tcPr>
            <w:tcW w:w="1147" w:type="dxa"/>
            <w:noWrap w:val="0"/>
            <w:vAlign w:val="center"/>
          </w:tcPr>
          <w:p w14:paraId="53C216D7">
            <w:pPr>
              <w:keepNext w:val="0"/>
              <w:keepLines w:val="0"/>
              <w:pageBreakBefore w:val="0"/>
              <w:kinsoku/>
              <w:overflowPunct/>
              <w:topLinePunct w:val="0"/>
              <w:bidi w:val="0"/>
              <w:adjustRightInd/>
              <w:snapToGrid/>
              <w:spacing w:line="240" w:lineRule="auto"/>
              <w:ind w:left="0" w:leftChars="0" w:right="0" w:rightChars="0" w:firstLine="0" w:firstLine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所投产品技术参数响应情况评价</w:t>
            </w:r>
          </w:p>
        </w:tc>
        <w:tc>
          <w:tcPr>
            <w:tcW w:w="5843" w:type="dxa"/>
            <w:noWrap w:val="0"/>
            <w:vAlign w:val="center"/>
          </w:tcPr>
          <w:p w14:paraId="2735B9DB">
            <w:pPr>
              <w:keepNext w:val="0"/>
              <w:keepLines w:val="0"/>
              <w:pageBreakBefore w:val="0"/>
              <w:kinsoku/>
              <w:wordWrap w:val="0"/>
              <w:overflowPunct/>
              <w:topLinePunct w:val="0"/>
              <w:bidi w:val="0"/>
              <w:adjustRightInd/>
              <w:snapToGrid/>
              <w:spacing w:line="240" w:lineRule="auto"/>
              <w:ind w:left="0" w:leftChars="0" w:right="0" w:rightChars="0" w:firstLine="0" w:firstLineChars="0"/>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（一）评分内容：</w:t>
            </w:r>
          </w:p>
          <w:p w14:paraId="36051BF3">
            <w:pPr>
              <w:keepNext w:val="0"/>
              <w:keepLines w:val="0"/>
              <w:pageBreakBefore w:val="0"/>
              <w:kinsoku/>
              <w:wordWrap w:val="0"/>
              <w:overflowPunct/>
              <w:topLinePunct w:val="0"/>
              <w:bidi w:val="0"/>
              <w:adjustRightInd/>
              <w:snapToGrid/>
              <w:spacing w:line="240" w:lineRule="auto"/>
              <w:ind w:left="0" w:leftChars="0" w:right="0" w:rightChars="0" w:firstLine="0" w:firstLineChars="0"/>
              <w:textAlignment w:val="auto"/>
              <w:rPr>
                <w:rFonts w:hint="eastAsia" w:ascii="宋体" w:hAnsi="宋体" w:eastAsia="宋体" w:cs="宋体"/>
                <w:color w:val="auto"/>
                <w:sz w:val="21"/>
                <w:szCs w:val="21"/>
              </w:rPr>
            </w:pPr>
            <w:r>
              <w:rPr>
                <w:rFonts w:hint="eastAsia" w:ascii="宋体" w:hAnsi="宋体"/>
                <w:szCs w:val="21"/>
                <w:lang w:eastAsia="zh-CN"/>
              </w:rPr>
              <w:t>“</w:t>
            </w:r>
            <w:r>
              <w:rPr>
                <w:rFonts w:hint="eastAsia" w:ascii="宋体" w:hAnsi="宋体"/>
                <w:szCs w:val="21"/>
              </w:rPr>
              <w:t>一、主要技术及系统要求</w:t>
            </w:r>
            <w:r>
              <w:rPr>
                <w:rFonts w:hint="eastAsia" w:ascii="宋体" w:hAnsi="宋体"/>
                <w:szCs w:val="21"/>
                <w:lang w:eastAsia="zh-CN"/>
              </w:rPr>
              <w:t>”</w:t>
            </w:r>
            <w:r>
              <w:rPr>
                <w:rFonts w:hint="eastAsia" w:ascii="宋体" w:hAnsi="宋体"/>
                <w:szCs w:val="21"/>
                <w:lang w:val="en-US" w:eastAsia="zh-CN"/>
              </w:rPr>
              <w:t>部分</w:t>
            </w:r>
            <w:r>
              <w:rPr>
                <w:rFonts w:hint="eastAsia" w:ascii="宋体" w:hAnsi="宋体" w:eastAsia="宋体" w:cs="宋体"/>
                <w:color w:val="auto"/>
                <w:sz w:val="21"/>
                <w:szCs w:val="21"/>
              </w:rPr>
              <w:t>技术参数全部满足得</w:t>
            </w:r>
            <w:r>
              <w:rPr>
                <w:rFonts w:hint="eastAsia" w:ascii="宋体" w:hAnsi="宋体" w:eastAsia="宋体" w:cs="宋体"/>
                <w:color w:val="auto"/>
                <w:sz w:val="21"/>
                <w:szCs w:val="21"/>
                <w:lang w:val="en-US" w:eastAsia="zh-CN"/>
              </w:rPr>
              <w:t>60</w:t>
            </w:r>
            <w:r>
              <w:rPr>
                <w:rFonts w:hint="eastAsia" w:ascii="宋体" w:hAnsi="宋体" w:eastAsia="宋体" w:cs="宋体"/>
                <w:color w:val="auto"/>
                <w:sz w:val="21"/>
                <w:szCs w:val="21"/>
              </w:rPr>
              <w:t>分；每负偏离一项扣</w:t>
            </w:r>
            <w:r>
              <w:rPr>
                <w:rFonts w:hint="eastAsia" w:ascii="宋体" w:hAnsi="宋体" w:eastAsia="宋体" w:cs="宋体"/>
                <w:color w:val="auto"/>
                <w:sz w:val="21"/>
                <w:szCs w:val="21"/>
                <w:lang w:val="en-US" w:eastAsia="zh-CN"/>
              </w:rPr>
              <w:t>6</w:t>
            </w:r>
            <w:r>
              <w:rPr>
                <w:rFonts w:hint="eastAsia" w:ascii="宋体" w:hAnsi="宋体" w:eastAsia="宋体" w:cs="宋体"/>
                <w:color w:val="auto"/>
                <w:sz w:val="21"/>
                <w:szCs w:val="21"/>
              </w:rPr>
              <w:t>分</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最低0分</w:t>
            </w:r>
            <w:r>
              <w:rPr>
                <w:rFonts w:hint="eastAsia" w:ascii="宋体" w:hAnsi="宋体" w:eastAsia="宋体" w:cs="宋体"/>
                <w:color w:val="auto"/>
                <w:sz w:val="21"/>
                <w:szCs w:val="21"/>
              </w:rPr>
              <w:t>。</w:t>
            </w:r>
          </w:p>
          <w:p w14:paraId="3A4BB11B">
            <w:pPr>
              <w:keepNext w:val="0"/>
              <w:keepLines w:val="0"/>
              <w:pageBreakBefore w:val="0"/>
              <w:kinsoku/>
              <w:overflowPunct/>
              <w:topLinePunct w:val="0"/>
              <w:bidi w:val="0"/>
              <w:adjustRightInd/>
              <w:snapToGrid/>
              <w:spacing w:line="240" w:lineRule="auto"/>
              <w:ind w:left="0" w:leftChars="0" w:right="0" w:rightChars="0" w:firstLine="0" w:firstLineChars="0"/>
              <w:jc w:val="left"/>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（二）评审依据：</w:t>
            </w:r>
          </w:p>
          <w:p w14:paraId="6222AFB6">
            <w:pPr>
              <w:keepNext w:val="0"/>
              <w:keepLines w:val="0"/>
              <w:pageBreakBefore w:val="0"/>
              <w:kinsoku/>
              <w:overflowPunct/>
              <w:topLinePunct w:val="0"/>
              <w:bidi w:val="0"/>
              <w:adjustRightInd/>
              <w:snapToGrid/>
              <w:spacing w:line="240" w:lineRule="auto"/>
              <w:ind w:left="0" w:leftChars="0" w:right="0" w:rightChars="0" w:firstLine="0" w:firstLineChars="0"/>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eastAsia="宋体" w:cs="宋体"/>
                <w:color w:val="auto"/>
                <w:kern w:val="0"/>
                <w:sz w:val="21"/>
                <w:szCs w:val="21"/>
                <w:lang w:val="en-US" w:eastAsia="zh-CN" w:bidi="ar-SA"/>
              </w:rPr>
              <w:t>用户需求书条款响应一览表</w:t>
            </w:r>
            <w:r>
              <w:rPr>
                <w:rFonts w:hint="eastAsia" w:ascii="宋体" w:hAnsi="宋体" w:eastAsia="宋体" w:cs="宋体"/>
                <w:color w:val="auto"/>
                <w:sz w:val="21"/>
                <w:szCs w:val="21"/>
              </w:rPr>
              <w:t>》。</w:t>
            </w:r>
          </w:p>
        </w:tc>
        <w:tc>
          <w:tcPr>
            <w:tcW w:w="778" w:type="dxa"/>
            <w:tcBorders>
              <w:left w:val="single" w:color="auto" w:sz="4" w:space="0"/>
            </w:tcBorders>
            <w:noWrap w:val="0"/>
            <w:vAlign w:val="center"/>
          </w:tcPr>
          <w:p w14:paraId="0AE21E71">
            <w:pPr>
              <w:keepNext w:val="0"/>
              <w:keepLines w:val="0"/>
              <w:pageBreakBefore w:val="0"/>
              <w:kinsoku/>
              <w:overflowPunct/>
              <w:topLinePunct w:val="0"/>
              <w:bidi w:val="0"/>
              <w:adjustRightInd/>
              <w:snapToGrid/>
              <w:spacing w:line="240" w:lineRule="auto"/>
              <w:ind w:left="0" w:leftChars="0" w:right="0" w:rightChars="0" w:firstLine="0" w:firstLineChars="0"/>
              <w:jc w:val="center"/>
              <w:textAlignment w:val="auto"/>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60</w:t>
            </w:r>
          </w:p>
        </w:tc>
      </w:tr>
      <w:tr w14:paraId="7FE3CF5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87" w:hRule="atLeast"/>
        </w:trPr>
        <w:tc>
          <w:tcPr>
            <w:tcW w:w="680" w:type="dxa"/>
            <w:tcBorders>
              <w:top w:val="single" w:color="auto" w:sz="4" w:space="0"/>
            </w:tcBorders>
            <w:noWrap w:val="0"/>
            <w:vAlign w:val="center"/>
          </w:tcPr>
          <w:p w14:paraId="03232438">
            <w:pPr>
              <w:keepNext w:val="0"/>
              <w:keepLines w:val="0"/>
              <w:pageBreakBefore w:val="0"/>
              <w:kinsoku/>
              <w:overflowPunct/>
              <w:topLinePunct w:val="0"/>
              <w:bidi w:val="0"/>
              <w:adjustRightInd/>
              <w:snapToGrid/>
              <w:spacing w:line="240" w:lineRule="auto"/>
              <w:ind w:left="0" w:leftChars="0" w:right="0" w:rightChars="0" w:firstLine="0" w:firstLineChars="0"/>
              <w:jc w:val="center"/>
              <w:textAlignment w:val="auto"/>
              <w:rPr>
                <w:rFonts w:hint="eastAsia" w:ascii="宋体" w:hAnsi="宋体" w:eastAsia="宋体" w:cs="宋体"/>
                <w:b/>
                <w:color w:val="auto"/>
                <w:sz w:val="21"/>
                <w:szCs w:val="21"/>
              </w:rPr>
            </w:pPr>
            <w:r>
              <w:rPr>
                <w:rFonts w:hint="eastAsia" w:ascii="宋体" w:hAnsi="宋体" w:eastAsia="宋体" w:cs="宋体"/>
                <w:b/>
                <w:color w:val="auto"/>
                <w:sz w:val="21"/>
                <w:szCs w:val="21"/>
              </w:rPr>
              <w:t>二</w:t>
            </w:r>
          </w:p>
        </w:tc>
        <w:tc>
          <w:tcPr>
            <w:tcW w:w="7768" w:type="dxa"/>
            <w:gridSpan w:val="3"/>
            <w:noWrap w:val="0"/>
            <w:vAlign w:val="center"/>
          </w:tcPr>
          <w:p w14:paraId="5323BFAD">
            <w:pPr>
              <w:keepNext w:val="0"/>
              <w:keepLines w:val="0"/>
              <w:pageBreakBefore w:val="0"/>
              <w:kinsoku/>
              <w:overflowPunct/>
              <w:topLinePunct w:val="0"/>
              <w:bidi w:val="0"/>
              <w:adjustRightInd/>
              <w:snapToGrid/>
              <w:spacing w:line="240" w:lineRule="auto"/>
              <w:ind w:left="0" w:leftChars="0" w:right="0" w:rightChars="0" w:firstLine="0" w:firstLineChars="0"/>
              <w:jc w:val="center"/>
              <w:textAlignment w:val="auto"/>
              <w:rPr>
                <w:rFonts w:hint="eastAsia" w:ascii="宋体" w:hAnsi="宋体" w:eastAsia="宋体" w:cs="宋体"/>
                <w:b/>
                <w:color w:val="auto"/>
                <w:sz w:val="21"/>
                <w:szCs w:val="21"/>
              </w:rPr>
            </w:pPr>
            <w:r>
              <w:rPr>
                <w:rFonts w:hint="eastAsia" w:ascii="宋体" w:hAnsi="宋体" w:eastAsia="宋体" w:cs="宋体"/>
                <w:b/>
                <w:color w:val="auto"/>
                <w:sz w:val="21"/>
                <w:szCs w:val="21"/>
              </w:rPr>
              <w:t>商务部分（</w:t>
            </w:r>
            <w:r>
              <w:rPr>
                <w:rFonts w:hint="eastAsia" w:ascii="宋体" w:hAnsi="宋体" w:cs="宋体"/>
                <w:b/>
                <w:color w:val="auto"/>
                <w:sz w:val="21"/>
                <w:szCs w:val="21"/>
                <w:lang w:val="en-US" w:eastAsia="zh-CN"/>
              </w:rPr>
              <w:t>10</w:t>
            </w:r>
            <w:r>
              <w:rPr>
                <w:rFonts w:hint="eastAsia" w:ascii="宋体" w:hAnsi="宋体" w:eastAsia="宋体" w:cs="宋体"/>
                <w:b/>
                <w:color w:val="auto"/>
                <w:sz w:val="21"/>
                <w:szCs w:val="21"/>
              </w:rPr>
              <w:t>分）</w:t>
            </w:r>
          </w:p>
        </w:tc>
      </w:tr>
      <w:tr w14:paraId="6D846A3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83" w:hRule="atLeast"/>
        </w:trPr>
        <w:tc>
          <w:tcPr>
            <w:tcW w:w="680" w:type="dxa"/>
            <w:tcBorders>
              <w:top w:val="single" w:color="auto" w:sz="4" w:space="0"/>
              <w:bottom w:val="single" w:color="auto" w:sz="4" w:space="0"/>
            </w:tcBorders>
            <w:noWrap w:val="0"/>
            <w:vAlign w:val="center"/>
          </w:tcPr>
          <w:p w14:paraId="228D46EC">
            <w:pPr>
              <w:pStyle w:val="21"/>
              <w:keepNext w:val="0"/>
              <w:keepLines w:val="0"/>
              <w:pageBreakBefore w:val="0"/>
              <w:numPr>
                <w:ilvl w:val="0"/>
                <w:numId w:val="0"/>
              </w:numPr>
              <w:kinsoku/>
              <w:overflowPunct/>
              <w:topLinePunct w:val="0"/>
              <w:bidi w:val="0"/>
              <w:adjustRightInd/>
              <w:snapToGrid/>
              <w:spacing w:line="240" w:lineRule="auto"/>
              <w:ind w:leftChars="0" w:right="0" w:rightChars="0" w:firstLine="210" w:firstLineChars="100"/>
              <w:jc w:val="both"/>
              <w:textAlignment w:val="auto"/>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p>
        </w:tc>
        <w:tc>
          <w:tcPr>
            <w:tcW w:w="1147" w:type="dxa"/>
            <w:noWrap w:val="0"/>
            <w:vAlign w:val="center"/>
          </w:tcPr>
          <w:p w14:paraId="0DCA7A11">
            <w:pPr>
              <w:keepNext w:val="0"/>
              <w:keepLines w:val="0"/>
              <w:pageBreakBefore w:val="0"/>
              <w:kinsoku/>
              <w:wordWrap w:val="0"/>
              <w:overflowPunct/>
              <w:topLinePunct w:val="0"/>
              <w:bidi w:val="0"/>
              <w:adjustRightInd/>
              <w:snapToGrid/>
              <w:spacing w:line="240" w:lineRule="auto"/>
              <w:ind w:left="0" w:leftChars="0" w:right="0" w:rightChars="0" w:firstLine="0" w:firstLineChars="0"/>
              <w:jc w:val="center"/>
              <w:textAlignment w:val="auto"/>
              <w:rPr>
                <w:rFonts w:hint="eastAsia" w:ascii="宋体" w:hAnsi="宋体" w:eastAsia="宋体" w:cs="宋体"/>
                <w:color w:val="auto"/>
                <w:sz w:val="21"/>
                <w:szCs w:val="21"/>
                <w:lang w:eastAsia="zh-CN"/>
              </w:rPr>
            </w:pPr>
            <w:r>
              <w:rPr>
                <w:rFonts w:hint="eastAsia" w:ascii="宋体" w:hAnsi="宋体" w:cs="宋体"/>
                <w:szCs w:val="21"/>
              </w:rPr>
              <w:t>项目实施方案</w:t>
            </w:r>
          </w:p>
        </w:tc>
        <w:tc>
          <w:tcPr>
            <w:tcW w:w="5843" w:type="dxa"/>
            <w:noWrap w:val="0"/>
            <w:vAlign w:val="top"/>
          </w:tcPr>
          <w:p w14:paraId="572C2FA9">
            <w:pPr>
              <w:numPr>
                <w:ilvl w:val="0"/>
                <w:numId w:val="3"/>
              </w:numPr>
              <w:wordWrap w:val="0"/>
              <w:rPr>
                <w:rFonts w:hint="eastAsia" w:ascii="宋体" w:hAnsi="宋体" w:cs="宋体"/>
                <w:b/>
                <w:bCs/>
                <w:szCs w:val="21"/>
              </w:rPr>
            </w:pPr>
            <w:r>
              <w:rPr>
                <w:rFonts w:hint="eastAsia" w:ascii="宋体" w:hAnsi="宋体" w:cs="宋体"/>
                <w:b/>
                <w:bCs/>
                <w:szCs w:val="21"/>
              </w:rPr>
              <w:t>评分内容：</w:t>
            </w:r>
          </w:p>
          <w:p w14:paraId="4F3D3385">
            <w:pPr>
              <w:numPr>
                <w:ilvl w:val="0"/>
                <w:numId w:val="0"/>
              </w:numPr>
              <w:wordWrap w:val="0"/>
              <w:rPr>
                <w:rFonts w:hint="eastAsia" w:ascii="宋体" w:hAnsi="宋体" w:cs="宋体"/>
                <w:szCs w:val="21"/>
              </w:rPr>
            </w:pPr>
            <w:r>
              <w:rPr>
                <w:rFonts w:hint="eastAsia" w:ascii="宋体" w:hAnsi="宋体" w:cs="宋体"/>
                <w:szCs w:val="21"/>
              </w:rPr>
              <w:t xml:space="preserve">投标人针对本项目提供的项目实施方案，包括但不限于以下内容： </w:t>
            </w:r>
          </w:p>
          <w:p w14:paraId="1531CDF5">
            <w:pPr>
              <w:numPr>
                <w:ilvl w:val="0"/>
                <w:numId w:val="0"/>
              </w:numPr>
              <w:wordWrap w:val="0"/>
              <w:rPr>
                <w:rFonts w:hint="eastAsia" w:ascii="宋体" w:hAnsi="宋体" w:cs="宋体"/>
                <w:szCs w:val="21"/>
              </w:rPr>
            </w:pPr>
            <w:r>
              <w:rPr>
                <w:rFonts w:hint="eastAsia" w:ascii="宋体" w:hAnsi="宋体" w:cs="宋体"/>
                <w:szCs w:val="21"/>
                <w:lang w:val="en-US" w:eastAsia="zh-CN"/>
              </w:rPr>
              <w:t>1.</w:t>
            </w:r>
            <w:r>
              <w:rPr>
                <w:rFonts w:hint="eastAsia" w:ascii="宋体" w:hAnsi="宋体" w:cs="宋体"/>
                <w:szCs w:val="21"/>
              </w:rPr>
              <w:t xml:space="preserve">项目到货计划； </w:t>
            </w:r>
          </w:p>
          <w:p w14:paraId="0D0D15B8">
            <w:pPr>
              <w:numPr>
                <w:ilvl w:val="0"/>
                <w:numId w:val="0"/>
              </w:numPr>
              <w:wordWrap w:val="0"/>
              <w:rPr>
                <w:rFonts w:hint="eastAsia" w:ascii="宋体" w:hAnsi="宋体" w:cs="宋体"/>
                <w:szCs w:val="21"/>
              </w:rPr>
            </w:pPr>
            <w:r>
              <w:rPr>
                <w:rFonts w:hint="eastAsia" w:ascii="宋体" w:hAnsi="宋体" w:cs="宋体"/>
                <w:szCs w:val="21"/>
                <w:lang w:val="en-US" w:eastAsia="zh-CN"/>
              </w:rPr>
              <w:t>2.</w:t>
            </w:r>
            <w:r>
              <w:rPr>
                <w:rFonts w:hint="eastAsia" w:ascii="宋体" w:hAnsi="宋体" w:cs="宋体"/>
                <w:szCs w:val="21"/>
              </w:rPr>
              <w:t xml:space="preserve">项目实施计划； </w:t>
            </w:r>
          </w:p>
          <w:p w14:paraId="5D64AF76">
            <w:pPr>
              <w:numPr>
                <w:ilvl w:val="0"/>
                <w:numId w:val="0"/>
              </w:numPr>
              <w:wordWrap w:val="0"/>
              <w:rPr>
                <w:rFonts w:hint="eastAsia" w:ascii="宋体" w:hAnsi="宋体" w:cs="宋体"/>
                <w:szCs w:val="21"/>
              </w:rPr>
            </w:pPr>
            <w:r>
              <w:rPr>
                <w:rFonts w:hint="eastAsia" w:ascii="宋体" w:hAnsi="宋体" w:cs="宋体"/>
                <w:szCs w:val="21"/>
                <w:lang w:val="en-US" w:eastAsia="zh-CN"/>
              </w:rPr>
              <w:t>3.</w:t>
            </w:r>
            <w:r>
              <w:rPr>
                <w:rFonts w:hint="eastAsia" w:ascii="宋体" w:hAnsi="宋体" w:cs="宋体"/>
                <w:szCs w:val="21"/>
              </w:rPr>
              <w:t xml:space="preserve">项目运输保障； </w:t>
            </w:r>
          </w:p>
          <w:p w14:paraId="596B8DF9">
            <w:pPr>
              <w:numPr>
                <w:ilvl w:val="0"/>
                <w:numId w:val="0"/>
              </w:numPr>
              <w:wordWrap w:val="0"/>
              <w:rPr>
                <w:rFonts w:hint="eastAsia" w:ascii="宋体" w:hAnsi="宋体" w:cs="宋体"/>
                <w:szCs w:val="21"/>
              </w:rPr>
            </w:pPr>
            <w:r>
              <w:rPr>
                <w:rFonts w:hint="eastAsia" w:ascii="宋体" w:hAnsi="宋体" w:cs="宋体"/>
                <w:szCs w:val="21"/>
                <w:lang w:val="en-US" w:eastAsia="zh-CN"/>
              </w:rPr>
              <w:t>4.</w:t>
            </w:r>
            <w:r>
              <w:rPr>
                <w:rFonts w:hint="eastAsia" w:ascii="宋体" w:hAnsi="宋体" w:cs="宋体"/>
                <w:szCs w:val="21"/>
              </w:rPr>
              <w:t xml:space="preserve">安装调试（如计划步骤、人员安排等）。 </w:t>
            </w:r>
          </w:p>
          <w:p w14:paraId="3719FF9C">
            <w:pPr>
              <w:numPr>
                <w:ilvl w:val="0"/>
                <w:numId w:val="3"/>
              </w:numPr>
              <w:wordWrap w:val="0"/>
              <w:ind w:left="0" w:leftChars="0" w:firstLine="0" w:firstLineChars="0"/>
              <w:rPr>
                <w:rFonts w:hint="eastAsia" w:ascii="宋体" w:hAnsi="宋体" w:cs="宋体"/>
                <w:b/>
                <w:bCs/>
                <w:szCs w:val="21"/>
              </w:rPr>
            </w:pPr>
            <w:r>
              <w:rPr>
                <w:rFonts w:hint="eastAsia" w:ascii="宋体" w:hAnsi="宋体" w:cs="宋体"/>
                <w:b/>
                <w:bCs/>
                <w:szCs w:val="21"/>
              </w:rPr>
              <w:t xml:space="preserve">评分依据： </w:t>
            </w:r>
          </w:p>
          <w:p w14:paraId="76BCF82E">
            <w:pPr>
              <w:numPr>
                <w:ilvl w:val="0"/>
                <w:numId w:val="0"/>
              </w:numPr>
              <w:wordWrap w:val="0"/>
              <w:rPr>
                <w:rFonts w:hint="eastAsia" w:ascii="宋体" w:hAnsi="宋体" w:cs="宋体"/>
                <w:szCs w:val="21"/>
              </w:rPr>
            </w:pPr>
            <w:r>
              <w:rPr>
                <w:rFonts w:hint="eastAsia" w:ascii="宋体" w:hAnsi="宋体" w:cs="宋体"/>
                <w:szCs w:val="21"/>
                <w:lang w:val="en-US" w:eastAsia="zh-CN"/>
              </w:rPr>
              <w:t>1.</w:t>
            </w:r>
            <w:r>
              <w:rPr>
                <w:rFonts w:hint="eastAsia" w:ascii="宋体" w:hAnsi="宋体" w:cs="宋体"/>
                <w:szCs w:val="21"/>
              </w:rPr>
              <w:t xml:space="preserve">以上内容，每提供一点得1分，最高得4分。 </w:t>
            </w:r>
          </w:p>
          <w:p w14:paraId="769698D0">
            <w:pPr>
              <w:numPr>
                <w:ilvl w:val="0"/>
                <w:numId w:val="0"/>
              </w:numPr>
              <w:wordWrap w:val="0"/>
              <w:rPr>
                <w:rFonts w:hint="eastAsia" w:ascii="宋体" w:hAnsi="宋体" w:cs="宋体"/>
                <w:szCs w:val="21"/>
              </w:rPr>
            </w:pPr>
            <w:r>
              <w:rPr>
                <w:rFonts w:hint="eastAsia" w:ascii="宋体" w:hAnsi="宋体" w:cs="宋体"/>
                <w:szCs w:val="21"/>
                <w:lang w:val="en-US" w:eastAsia="zh-CN"/>
              </w:rPr>
              <w:t>2.</w:t>
            </w:r>
            <w:r>
              <w:rPr>
                <w:rFonts w:hint="eastAsia" w:ascii="宋体" w:hAnsi="宋体" w:cs="宋体"/>
                <w:szCs w:val="21"/>
              </w:rPr>
              <w:t xml:space="preserve">在此基础上，专家根据各供应商的具体响应内容按照量化的评审因素指标进一步评审： </w:t>
            </w:r>
          </w:p>
          <w:p w14:paraId="083631B4">
            <w:pPr>
              <w:numPr>
                <w:ilvl w:val="0"/>
                <w:numId w:val="0"/>
              </w:numPr>
              <w:wordWrap w:val="0"/>
              <w:rPr>
                <w:rFonts w:hint="eastAsia" w:ascii="宋体" w:hAnsi="宋体" w:cs="宋体"/>
                <w:szCs w:val="21"/>
              </w:rPr>
            </w:pPr>
            <w:r>
              <w:rPr>
                <w:rFonts w:hint="eastAsia" w:ascii="宋体" w:hAnsi="宋体" w:cs="宋体"/>
                <w:szCs w:val="21"/>
                <w:lang w:eastAsia="zh-CN"/>
              </w:rPr>
              <w:t>（</w:t>
            </w:r>
            <w:r>
              <w:rPr>
                <w:rFonts w:hint="eastAsia" w:ascii="宋体" w:hAnsi="宋体" w:cs="宋体"/>
                <w:szCs w:val="21"/>
                <w:lang w:val="en-US" w:eastAsia="zh-CN"/>
              </w:rPr>
              <w:t>1</w:t>
            </w:r>
            <w:r>
              <w:rPr>
                <w:rFonts w:hint="eastAsia" w:ascii="宋体" w:hAnsi="宋体" w:cs="宋体"/>
                <w:szCs w:val="21"/>
                <w:lang w:eastAsia="zh-CN"/>
              </w:rPr>
              <w:t>）</w:t>
            </w:r>
            <w:r>
              <w:rPr>
                <w:rFonts w:hint="eastAsia" w:ascii="宋体" w:hAnsi="宋体" w:cs="宋体"/>
                <w:szCs w:val="21"/>
              </w:rPr>
              <w:t xml:space="preserve">投标文件响应内容全面； </w:t>
            </w:r>
          </w:p>
          <w:p w14:paraId="3521FF25">
            <w:pPr>
              <w:numPr>
                <w:ilvl w:val="0"/>
                <w:numId w:val="0"/>
              </w:numPr>
              <w:wordWrap w:val="0"/>
              <w:rPr>
                <w:rFonts w:hint="eastAsia" w:ascii="宋体" w:hAnsi="宋体" w:cs="宋体"/>
                <w:szCs w:val="21"/>
              </w:rPr>
            </w:pPr>
            <w:r>
              <w:rPr>
                <w:rFonts w:hint="eastAsia" w:ascii="宋体" w:hAnsi="宋体" w:cs="宋体"/>
                <w:szCs w:val="21"/>
                <w:lang w:eastAsia="zh-CN"/>
              </w:rPr>
              <w:t>（</w:t>
            </w:r>
            <w:r>
              <w:rPr>
                <w:rFonts w:hint="eastAsia" w:ascii="宋体" w:hAnsi="宋体" w:cs="宋体"/>
                <w:szCs w:val="21"/>
                <w:lang w:val="en-US" w:eastAsia="zh-CN"/>
              </w:rPr>
              <w:t>2</w:t>
            </w:r>
            <w:r>
              <w:rPr>
                <w:rFonts w:hint="eastAsia" w:ascii="宋体" w:hAnsi="宋体" w:cs="宋体"/>
                <w:szCs w:val="21"/>
                <w:lang w:eastAsia="zh-CN"/>
              </w:rPr>
              <w:t>）</w:t>
            </w:r>
            <w:r>
              <w:rPr>
                <w:rFonts w:hint="eastAsia" w:ascii="宋体" w:hAnsi="宋体" w:cs="宋体"/>
                <w:szCs w:val="21"/>
              </w:rPr>
              <w:t xml:space="preserve">投标文件响应内容具体； </w:t>
            </w:r>
          </w:p>
          <w:p w14:paraId="2ECE323A">
            <w:pPr>
              <w:numPr>
                <w:ilvl w:val="0"/>
                <w:numId w:val="0"/>
              </w:numPr>
              <w:wordWrap w:val="0"/>
              <w:rPr>
                <w:rFonts w:hint="eastAsia" w:ascii="宋体" w:hAnsi="宋体" w:cs="宋体"/>
                <w:szCs w:val="21"/>
              </w:rPr>
            </w:pPr>
            <w:r>
              <w:rPr>
                <w:rFonts w:hint="eastAsia" w:ascii="宋体" w:hAnsi="宋体" w:cs="宋体"/>
                <w:szCs w:val="21"/>
                <w:lang w:eastAsia="zh-CN"/>
              </w:rPr>
              <w:t>（</w:t>
            </w:r>
            <w:r>
              <w:rPr>
                <w:rFonts w:hint="eastAsia" w:ascii="宋体" w:hAnsi="宋体" w:cs="宋体"/>
                <w:szCs w:val="21"/>
                <w:lang w:val="en-US" w:eastAsia="zh-CN"/>
              </w:rPr>
              <w:t>3</w:t>
            </w:r>
            <w:r>
              <w:rPr>
                <w:rFonts w:hint="eastAsia" w:ascii="宋体" w:hAnsi="宋体" w:cs="宋体"/>
                <w:szCs w:val="21"/>
                <w:lang w:eastAsia="zh-CN"/>
              </w:rPr>
              <w:t>）</w:t>
            </w:r>
            <w:r>
              <w:rPr>
                <w:rFonts w:hint="eastAsia" w:ascii="宋体" w:hAnsi="宋体" w:cs="宋体"/>
                <w:szCs w:val="21"/>
              </w:rPr>
              <w:t xml:space="preserve">投标文件响应内容针对性强； </w:t>
            </w:r>
          </w:p>
          <w:p w14:paraId="18EFD89F">
            <w:pPr>
              <w:numPr>
                <w:ilvl w:val="0"/>
                <w:numId w:val="0"/>
              </w:numPr>
              <w:wordWrap w:val="0"/>
              <w:rPr>
                <w:rFonts w:hint="eastAsia" w:ascii="宋体" w:hAnsi="宋体" w:cs="宋体"/>
                <w:szCs w:val="21"/>
              </w:rPr>
            </w:pPr>
            <w:r>
              <w:rPr>
                <w:rFonts w:hint="eastAsia" w:ascii="宋体" w:hAnsi="宋体" w:cs="宋体"/>
                <w:szCs w:val="21"/>
                <w:lang w:eastAsia="zh-CN"/>
              </w:rPr>
              <w:t>（</w:t>
            </w:r>
            <w:r>
              <w:rPr>
                <w:rFonts w:hint="eastAsia" w:ascii="宋体" w:hAnsi="宋体" w:cs="宋体"/>
                <w:szCs w:val="21"/>
                <w:lang w:val="en-US" w:eastAsia="zh-CN"/>
              </w:rPr>
              <w:t>4</w:t>
            </w:r>
            <w:r>
              <w:rPr>
                <w:rFonts w:hint="eastAsia" w:ascii="宋体" w:hAnsi="宋体" w:cs="宋体"/>
                <w:szCs w:val="21"/>
                <w:lang w:eastAsia="zh-CN"/>
              </w:rPr>
              <w:t>）</w:t>
            </w:r>
            <w:r>
              <w:rPr>
                <w:rFonts w:hint="eastAsia" w:ascii="宋体" w:hAnsi="宋体" w:cs="宋体"/>
                <w:szCs w:val="21"/>
              </w:rPr>
              <w:t xml:space="preserve">投标文件响应内容科学合理； </w:t>
            </w:r>
          </w:p>
          <w:p w14:paraId="3BEE7005">
            <w:pPr>
              <w:numPr>
                <w:ilvl w:val="0"/>
                <w:numId w:val="0"/>
              </w:numPr>
              <w:wordWrap w:val="0"/>
              <w:rPr>
                <w:rFonts w:hint="eastAsia" w:ascii="宋体" w:hAnsi="宋体" w:cs="宋体"/>
                <w:szCs w:val="21"/>
              </w:rPr>
            </w:pPr>
            <w:r>
              <w:rPr>
                <w:rFonts w:hint="eastAsia" w:ascii="宋体" w:hAnsi="宋体" w:cs="宋体"/>
                <w:szCs w:val="21"/>
                <w:lang w:eastAsia="zh-CN"/>
              </w:rPr>
              <w:t>（</w:t>
            </w:r>
            <w:r>
              <w:rPr>
                <w:rFonts w:hint="eastAsia" w:ascii="宋体" w:hAnsi="宋体" w:cs="宋体"/>
                <w:szCs w:val="21"/>
                <w:lang w:val="en-US" w:eastAsia="zh-CN"/>
              </w:rPr>
              <w:t>5</w:t>
            </w:r>
            <w:r>
              <w:rPr>
                <w:rFonts w:hint="eastAsia" w:ascii="宋体" w:hAnsi="宋体" w:cs="宋体"/>
                <w:szCs w:val="21"/>
                <w:lang w:eastAsia="zh-CN"/>
              </w:rPr>
              <w:t>）</w:t>
            </w:r>
            <w:r>
              <w:rPr>
                <w:rFonts w:hint="eastAsia" w:ascii="宋体" w:hAnsi="宋体" w:cs="宋体"/>
                <w:szCs w:val="21"/>
              </w:rPr>
              <w:t xml:space="preserve">投标文件响应内容可操作性强。 </w:t>
            </w:r>
          </w:p>
          <w:p w14:paraId="6F42B3BB">
            <w:pPr>
              <w:keepNext w:val="0"/>
              <w:keepLines w:val="0"/>
              <w:pageBreakBefore w:val="0"/>
              <w:kinsoku/>
              <w:wordWrap w:val="0"/>
              <w:overflowPunct/>
              <w:topLinePunct w:val="0"/>
              <w:bidi w:val="0"/>
              <w:adjustRightInd/>
              <w:snapToGrid/>
              <w:spacing w:line="240" w:lineRule="auto"/>
              <w:ind w:left="0" w:leftChars="0" w:right="0" w:rightChars="0" w:firstLine="0" w:firstLineChars="0"/>
              <w:textAlignment w:val="auto"/>
              <w:rPr>
                <w:rFonts w:hint="eastAsia" w:ascii="宋体" w:hAnsi="宋体" w:eastAsia="宋体" w:cs="宋体"/>
                <w:color w:val="auto"/>
                <w:sz w:val="21"/>
                <w:szCs w:val="21"/>
              </w:rPr>
            </w:pPr>
            <w:r>
              <w:rPr>
                <w:rFonts w:hint="eastAsia" w:ascii="宋体" w:hAnsi="宋体" w:cs="宋体"/>
                <w:szCs w:val="21"/>
              </w:rPr>
              <w:t>满足以上五项要求的评价为优,加4分； 满足以上四项要求的评价为良,加2分； 满足以上三项要求的评价为中,加1分； 其他情况评价为差,不加分。</w:t>
            </w:r>
          </w:p>
        </w:tc>
        <w:tc>
          <w:tcPr>
            <w:tcW w:w="778" w:type="dxa"/>
            <w:tcBorders>
              <w:left w:val="single" w:color="auto" w:sz="4" w:space="0"/>
            </w:tcBorders>
            <w:noWrap w:val="0"/>
            <w:vAlign w:val="center"/>
          </w:tcPr>
          <w:p w14:paraId="46D48926">
            <w:pPr>
              <w:keepNext w:val="0"/>
              <w:keepLines w:val="0"/>
              <w:pageBreakBefore w:val="0"/>
              <w:kinsoku/>
              <w:wordWrap w:val="0"/>
              <w:overflowPunct/>
              <w:topLinePunct w:val="0"/>
              <w:bidi w:val="0"/>
              <w:adjustRightInd/>
              <w:snapToGrid/>
              <w:spacing w:line="240" w:lineRule="auto"/>
              <w:ind w:left="0" w:leftChars="0" w:right="0" w:rightChars="0" w:firstLine="0" w:firstLineChars="0"/>
              <w:jc w:val="center"/>
              <w:textAlignment w:val="auto"/>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8</w:t>
            </w:r>
          </w:p>
        </w:tc>
      </w:tr>
      <w:tr w14:paraId="397E66B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95" w:hRule="atLeast"/>
        </w:trPr>
        <w:tc>
          <w:tcPr>
            <w:tcW w:w="680" w:type="dxa"/>
            <w:tcBorders>
              <w:top w:val="single" w:color="auto" w:sz="4" w:space="0"/>
            </w:tcBorders>
            <w:noWrap w:val="0"/>
            <w:vAlign w:val="center"/>
          </w:tcPr>
          <w:p w14:paraId="6A652018">
            <w:pPr>
              <w:pStyle w:val="21"/>
              <w:keepNext w:val="0"/>
              <w:keepLines w:val="0"/>
              <w:pageBreakBefore w:val="0"/>
              <w:numPr>
                <w:ilvl w:val="0"/>
                <w:numId w:val="2"/>
              </w:numPr>
              <w:kinsoku/>
              <w:overflowPunct/>
              <w:topLinePunct w:val="0"/>
              <w:bidi w:val="0"/>
              <w:adjustRightInd/>
              <w:snapToGrid/>
              <w:spacing w:line="240" w:lineRule="auto"/>
              <w:ind w:left="0" w:leftChars="0" w:right="0" w:rightChars="0" w:firstLine="0" w:firstLineChars="0"/>
              <w:jc w:val="center"/>
              <w:textAlignment w:val="auto"/>
              <w:rPr>
                <w:rFonts w:hint="eastAsia" w:ascii="宋体" w:hAnsi="宋体" w:eastAsia="宋体" w:cs="宋体"/>
                <w:color w:val="auto"/>
                <w:sz w:val="21"/>
                <w:szCs w:val="21"/>
              </w:rPr>
            </w:pPr>
          </w:p>
        </w:tc>
        <w:tc>
          <w:tcPr>
            <w:tcW w:w="1147" w:type="dxa"/>
            <w:noWrap w:val="0"/>
            <w:vAlign w:val="center"/>
          </w:tcPr>
          <w:p w14:paraId="252AF627">
            <w:pPr>
              <w:keepNext w:val="0"/>
              <w:keepLines w:val="0"/>
              <w:pageBreakBefore w:val="0"/>
              <w:kinsoku/>
              <w:overflowPunct/>
              <w:topLinePunct w:val="0"/>
              <w:bidi w:val="0"/>
              <w:adjustRightInd/>
              <w:snapToGrid/>
              <w:spacing w:line="240" w:lineRule="auto"/>
              <w:ind w:left="0" w:leftChars="0" w:right="0" w:rightChars="0" w:firstLine="0" w:firstLineChars="0"/>
              <w:jc w:val="center"/>
              <w:textAlignment w:val="auto"/>
              <w:rPr>
                <w:rFonts w:hint="eastAsia" w:ascii="宋体" w:hAnsi="宋体" w:eastAsia="宋体" w:cs="宋体"/>
                <w:bCs/>
                <w:color w:val="auto"/>
                <w:sz w:val="21"/>
                <w:szCs w:val="21"/>
                <w:highlight w:val="green"/>
              </w:rPr>
            </w:pPr>
            <w:r>
              <w:rPr>
                <w:rFonts w:hint="eastAsia" w:ascii="宋体" w:hAnsi="宋体" w:eastAsia="宋体" w:cs="宋体"/>
                <w:color w:val="auto"/>
                <w:sz w:val="21"/>
                <w:szCs w:val="21"/>
              </w:rPr>
              <w:t>诚信</w:t>
            </w:r>
          </w:p>
        </w:tc>
        <w:tc>
          <w:tcPr>
            <w:tcW w:w="5843" w:type="dxa"/>
            <w:noWrap w:val="0"/>
            <w:vAlign w:val="center"/>
          </w:tcPr>
          <w:p w14:paraId="676BC166">
            <w:pPr>
              <w:keepNext w:val="0"/>
              <w:keepLines w:val="0"/>
              <w:pageBreakBefore w:val="0"/>
              <w:kinsoku/>
              <w:overflowPunct/>
              <w:topLinePunct w:val="0"/>
              <w:bidi w:val="0"/>
              <w:adjustRightInd/>
              <w:snapToGrid/>
              <w:spacing w:line="240" w:lineRule="auto"/>
              <w:ind w:left="0" w:leftChars="0" w:right="0" w:rightChars="0" w:firstLine="0" w:firstLineChars="0"/>
              <w:jc w:val="left"/>
              <w:textAlignment w:val="auto"/>
              <w:rPr>
                <w:rFonts w:hint="eastAsia" w:ascii="宋体" w:hAnsi="宋体" w:eastAsia="宋体" w:cs="宋体"/>
                <w:color w:val="auto"/>
                <w:sz w:val="21"/>
                <w:szCs w:val="21"/>
                <w:highlight w:val="yellow"/>
              </w:rPr>
            </w:pPr>
            <w:r>
              <w:rPr>
                <w:rFonts w:hint="eastAsia" w:ascii="宋体" w:hAnsi="宋体" w:eastAsia="宋体" w:cs="宋体"/>
                <w:color w:val="auto"/>
                <w:sz w:val="21"/>
                <w:szCs w:val="21"/>
              </w:rPr>
              <w:t>投标人在参与政府采购活动中存在诚信相关问题且在主管部门相关处理措施实施期限内的，本项不得分，否则得满分。投标人无需提供任何证明材料，由工作人员查询后向评审委员会提供相关信息。</w:t>
            </w:r>
          </w:p>
        </w:tc>
        <w:tc>
          <w:tcPr>
            <w:tcW w:w="778" w:type="dxa"/>
            <w:tcBorders>
              <w:left w:val="single" w:color="auto" w:sz="4" w:space="0"/>
            </w:tcBorders>
            <w:noWrap w:val="0"/>
            <w:vAlign w:val="center"/>
          </w:tcPr>
          <w:p w14:paraId="61944F98">
            <w:pPr>
              <w:keepNext w:val="0"/>
              <w:keepLines w:val="0"/>
              <w:pageBreakBefore w:val="0"/>
              <w:kinsoku/>
              <w:overflowPunct/>
              <w:topLinePunct w:val="0"/>
              <w:bidi w:val="0"/>
              <w:adjustRightInd/>
              <w:snapToGrid/>
              <w:spacing w:line="240" w:lineRule="auto"/>
              <w:ind w:left="0" w:leftChars="0" w:right="0" w:rightChars="0" w:firstLine="0" w:firstLineChars="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w:t>
            </w:r>
          </w:p>
        </w:tc>
      </w:tr>
      <w:tr w14:paraId="547777A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47" w:hRule="atLeast"/>
        </w:trPr>
        <w:tc>
          <w:tcPr>
            <w:tcW w:w="680" w:type="dxa"/>
            <w:tcBorders>
              <w:top w:val="single" w:color="auto" w:sz="4" w:space="0"/>
            </w:tcBorders>
            <w:noWrap w:val="0"/>
            <w:vAlign w:val="center"/>
          </w:tcPr>
          <w:p w14:paraId="3430EA11">
            <w:pPr>
              <w:keepNext w:val="0"/>
              <w:keepLines w:val="0"/>
              <w:pageBreakBefore w:val="0"/>
              <w:kinsoku/>
              <w:overflowPunct/>
              <w:topLinePunct w:val="0"/>
              <w:bidi w:val="0"/>
              <w:adjustRightInd/>
              <w:snapToGrid/>
              <w:spacing w:line="240" w:lineRule="auto"/>
              <w:ind w:left="0" w:leftChars="0" w:right="0" w:rightChars="0" w:firstLine="0" w:firstLineChars="0"/>
              <w:jc w:val="center"/>
              <w:textAlignment w:val="auto"/>
              <w:rPr>
                <w:rFonts w:hint="eastAsia" w:ascii="宋体" w:hAnsi="宋体" w:eastAsia="宋体" w:cs="宋体"/>
                <w:b/>
                <w:color w:val="auto"/>
                <w:sz w:val="21"/>
                <w:szCs w:val="21"/>
              </w:rPr>
            </w:pPr>
            <w:r>
              <w:rPr>
                <w:rFonts w:hint="eastAsia" w:ascii="宋体" w:hAnsi="宋体" w:eastAsia="宋体" w:cs="宋体"/>
                <w:b/>
                <w:color w:val="auto"/>
                <w:sz w:val="21"/>
                <w:szCs w:val="21"/>
              </w:rPr>
              <w:t>三</w:t>
            </w:r>
          </w:p>
        </w:tc>
        <w:tc>
          <w:tcPr>
            <w:tcW w:w="7768" w:type="dxa"/>
            <w:gridSpan w:val="3"/>
            <w:noWrap w:val="0"/>
            <w:vAlign w:val="center"/>
          </w:tcPr>
          <w:p w14:paraId="2B0A3B51">
            <w:pPr>
              <w:keepNext w:val="0"/>
              <w:keepLines w:val="0"/>
              <w:pageBreakBefore w:val="0"/>
              <w:kinsoku/>
              <w:overflowPunct/>
              <w:topLinePunct w:val="0"/>
              <w:bidi w:val="0"/>
              <w:adjustRightInd/>
              <w:snapToGrid/>
              <w:spacing w:line="240" w:lineRule="auto"/>
              <w:ind w:left="0" w:leftChars="0" w:right="0" w:rightChars="0" w:firstLine="0" w:firstLineChars="0"/>
              <w:jc w:val="center"/>
              <w:textAlignment w:val="auto"/>
              <w:rPr>
                <w:rFonts w:hint="eastAsia" w:ascii="宋体" w:hAnsi="宋体" w:eastAsia="宋体" w:cs="宋体"/>
                <w:b/>
                <w:color w:val="auto"/>
                <w:sz w:val="21"/>
                <w:szCs w:val="21"/>
              </w:rPr>
            </w:pPr>
            <w:r>
              <w:rPr>
                <w:rFonts w:hint="eastAsia" w:ascii="宋体" w:hAnsi="宋体" w:eastAsia="宋体" w:cs="宋体"/>
                <w:b/>
                <w:color w:val="auto"/>
                <w:sz w:val="21"/>
                <w:szCs w:val="21"/>
              </w:rPr>
              <w:t>价格部分（</w:t>
            </w:r>
            <w:r>
              <w:rPr>
                <w:rFonts w:hint="eastAsia" w:ascii="宋体" w:hAnsi="宋体" w:cs="宋体"/>
                <w:b/>
                <w:color w:val="auto"/>
                <w:sz w:val="21"/>
                <w:szCs w:val="21"/>
                <w:lang w:val="en-US" w:eastAsia="zh-CN"/>
              </w:rPr>
              <w:t>30</w:t>
            </w:r>
            <w:r>
              <w:rPr>
                <w:rFonts w:hint="eastAsia" w:ascii="宋体" w:hAnsi="宋体" w:eastAsia="宋体" w:cs="宋体"/>
                <w:b/>
                <w:color w:val="auto"/>
                <w:sz w:val="21"/>
                <w:szCs w:val="21"/>
              </w:rPr>
              <w:t>分）</w:t>
            </w:r>
          </w:p>
        </w:tc>
      </w:tr>
      <w:tr w14:paraId="1EBE47C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20" w:hRule="atLeast"/>
        </w:trPr>
        <w:tc>
          <w:tcPr>
            <w:tcW w:w="680" w:type="dxa"/>
            <w:noWrap w:val="0"/>
            <w:vAlign w:val="center"/>
          </w:tcPr>
          <w:p w14:paraId="59BD2543">
            <w:pPr>
              <w:keepNext w:val="0"/>
              <w:keepLines w:val="0"/>
              <w:pageBreakBefore w:val="0"/>
              <w:kinsoku/>
              <w:overflowPunct/>
              <w:topLinePunct w:val="0"/>
              <w:bidi w:val="0"/>
              <w:adjustRightInd/>
              <w:snapToGrid/>
              <w:spacing w:line="240" w:lineRule="auto"/>
              <w:ind w:left="0" w:leftChars="0" w:right="0" w:rightChars="0" w:firstLine="0" w:firstLine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w:t>
            </w:r>
          </w:p>
        </w:tc>
        <w:tc>
          <w:tcPr>
            <w:tcW w:w="1147" w:type="dxa"/>
            <w:noWrap w:val="0"/>
            <w:vAlign w:val="center"/>
          </w:tcPr>
          <w:p w14:paraId="366784FC">
            <w:pPr>
              <w:keepNext w:val="0"/>
              <w:keepLines w:val="0"/>
              <w:pageBreakBefore w:val="0"/>
              <w:kinsoku/>
              <w:overflowPunct/>
              <w:topLinePunct w:val="0"/>
              <w:bidi w:val="0"/>
              <w:adjustRightInd/>
              <w:snapToGrid/>
              <w:spacing w:line="240" w:lineRule="auto"/>
              <w:ind w:left="0" w:leftChars="0" w:right="0" w:rightChars="0" w:firstLine="0" w:firstLine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投标报价</w:t>
            </w:r>
          </w:p>
        </w:tc>
        <w:tc>
          <w:tcPr>
            <w:tcW w:w="5843" w:type="dxa"/>
            <w:noWrap w:val="0"/>
            <w:vAlign w:val="center"/>
          </w:tcPr>
          <w:p w14:paraId="4BEBF026">
            <w:pPr>
              <w:keepNext w:val="0"/>
              <w:keepLines w:val="0"/>
              <w:pageBreakBefore w:val="0"/>
              <w:kinsoku/>
              <w:overflowPunct/>
              <w:topLinePunct w:val="0"/>
              <w:autoSpaceDE w:val="0"/>
              <w:autoSpaceDN w:val="0"/>
              <w:bidi w:val="0"/>
              <w:adjustRightInd/>
              <w:snapToGrid/>
              <w:spacing w:line="240" w:lineRule="auto"/>
              <w:ind w:left="0" w:leftChars="0" w:right="0" w:rightChars="0" w:firstLine="0" w:firstLineChars="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价格分应当采用低价优先法计算，即满足招标文件要求且投标价格最低的投标报价为评标基准价，其价格分为满分。其他投标人的价格分统一按照下列公式计算：</w:t>
            </w:r>
          </w:p>
          <w:p w14:paraId="5F178A55">
            <w:pPr>
              <w:keepNext w:val="0"/>
              <w:keepLines w:val="0"/>
              <w:pageBreakBefore w:val="0"/>
              <w:widowControl/>
              <w:kinsoku/>
              <w:overflowPunct/>
              <w:topLinePunct w:val="0"/>
              <w:bidi w:val="0"/>
              <w:adjustRightInd/>
              <w:snapToGrid/>
              <w:spacing w:line="240" w:lineRule="auto"/>
              <w:ind w:left="0" w:leftChars="0" w:right="0" w:rightChars="0" w:firstLine="0" w:firstLineChars="0"/>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投标报价得分=(评标基准价／投标报价)×100×权重</w:t>
            </w:r>
          </w:p>
          <w:p w14:paraId="3496037B">
            <w:pPr>
              <w:keepNext w:val="0"/>
              <w:keepLines w:val="0"/>
              <w:pageBreakBefore w:val="0"/>
              <w:widowControl/>
              <w:kinsoku/>
              <w:overflowPunct/>
              <w:topLinePunct w:val="0"/>
              <w:bidi w:val="0"/>
              <w:adjustRightInd/>
              <w:snapToGrid/>
              <w:spacing w:line="240" w:lineRule="auto"/>
              <w:ind w:left="0" w:leftChars="0" w:right="0" w:rightChars="0" w:firstLine="0" w:firstLineChars="0"/>
              <w:jc w:val="left"/>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备注：</w:t>
            </w:r>
          </w:p>
          <w:p w14:paraId="1A3193F7">
            <w:pPr>
              <w:keepNext w:val="0"/>
              <w:keepLines w:val="0"/>
              <w:pageBreakBefore w:val="0"/>
              <w:widowControl/>
              <w:kinsoku/>
              <w:overflowPunct/>
              <w:topLinePunct w:val="0"/>
              <w:bidi w:val="0"/>
              <w:adjustRightInd/>
              <w:snapToGrid/>
              <w:spacing w:line="240" w:lineRule="auto"/>
              <w:ind w:left="0" w:leftChars="0" w:right="0" w:rightChars="0" w:firstLine="0" w:firstLineChars="0"/>
              <w:jc w:val="left"/>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1、投标报价得分四舍五入后，</w:t>
            </w:r>
            <w:r>
              <w:rPr>
                <w:rFonts w:hint="eastAsia" w:ascii="宋体" w:hAnsi="宋体" w:eastAsia="宋体" w:cs="宋体"/>
                <w:color w:val="auto"/>
                <w:sz w:val="21"/>
                <w:szCs w:val="21"/>
              </w:rPr>
              <w:t>小数点后保留两位有效数</w:t>
            </w:r>
            <w:r>
              <w:rPr>
                <w:rFonts w:hint="eastAsia" w:ascii="宋体" w:hAnsi="宋体" w:eastAsia="宋体" w:cs="宋体"/>
                <w:bCs/>
                <w:color w:val="auto"/>
                <w:sz w:val="21"/>
                <w:szCs w:val="21"/>
              </w:rPr>
              <w:t>。</w:t>
            </w:r>
          </w:p>
          <w:p w14:paraId="5C20D9F7">
            <w:pPr>
              <w:keepNext w:val="0"/>
              <w:keepLines w:val="0"/>
              <w:pageBreakBefore w:val="0"/>
              <w:kinsoku/>
              <w:overflowPunct/>
              <w:topLinePunct w:val="0"/>
              <w:bidi w:val="0"/>
              <w:adjustRightInd/>
              <w:snapToGrid/>
              <w:spacing w:line="240" w:lineRule="auto"/>
              <w:ind w:left="0" w:leftChars="0" w:right="0" w:rightChars="0" w:firstLine="0" w:firstLineChars="0"/>
              <w:textAlignment w:val="auto"/>
              <w:rPr>
                <w:rStyle w:val="13"/>
                <w:rFonts w:hint="eastAsia" w:ascii="宋体" w:hAnsi="宋体" w:eastAsia="宋体" w:cs="宋体"/>
                <w:color w:val="auto"/>
                <w:sz w:val="21"/>
                <w:szCs w:val="21"/>
              </w:rPr>
            </w:pPr>
            <w:r>
              <w:rPr>
                <w:rStyle w:val="13"/>
                <w:rFonts w:hint="eastAsia" w:ascii="宋体" w:hAnsi="宋体" w:eastAsia="宋体" w:cs="宋体"/>
                <w:color w:val="auto"/>
                <w:sz w:val="21"/>
                <w:szCs w:val="21"/>
                <w:lang w:val="en-US" w:eastAsia="zh-CN"/>
              </w:rPr>
              <w:t>2</w:t>
            </w:r>
            <w:r>
              <w:rPr>
                <w:rStyle w:val="13"/>
                <w:rFonts w:hint="eastAsia" w:ascii="宋体" w:hAnsi="宋体" w:eastAsia="宋体" w:cs="宋体"/>
                <w:color w:val="auto"/>
                <w:sz w:val="21"/>
                <w:szCs w:val="21"/>
              </w:rPr>
              <w:t>、因落实政府采购政策进行价格调整的，以调整后的价格计算评标基准价和投标报价,详见《价格扣除》。</w:t>
            </w:r>
          </w:p>
        </w:tc>
        <w:tc>
          <w:tcPr>
            <w:tcW w:w="778" w:type="dxa"/>
            <w:tcBorders>
              <w:left w:val="single" w:color="auto" w:sz="4" w:space="0"/>
            </w:tcBorders>
            <w:noWrap w:val="0"/>
            <w:vAlign w:val="center"/>
          </w:tcPr>
          <w:p w14:paraId="3DA7F14D">
            <w:pPr>
              <w:keepNext w:val="0"/>
              <w:keepLines w:val="0"/>
              <w:pageBreakBefore w:val="0"/>
              <w:kinsoku/>
              <w:overflowPunct/>
              <w:topLinePunct w:val="0"/>
              <w:bidi w:val="0"/>
              <w:adjustRightInd w:val="0"/>
              <w:snapToGrid w:val="0"/>
              <w:spacing w:line="240" w:lineRule="auto"/>
              <w:ind w:left="0" w:leftChars="0" w:right="0" w:rightChars="0" w:firstLine="0" w:firstLineChars="0"/>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30</w:t>
            </w:r>
          </w:p>
        </w:tc>
      </w:tr>
      <w:tr w14:paraId="62456AC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23" w:hRule="atLeast"/>
        </w:trPr>
        <w:tc>
          <w:tcPr>
            <w:tcW w:w="7670" w:type="dxa"/>
            <w:gridSpan w:val="3"/>
            <w:noWrap w:val="0"/>
            <w:vAlign w:val="center"/>
          </w:tcPr>
          <w:p w14:paraId="608BBC74">
            <w:pPr>
              <w:keepNext w:val="0"/>
              <w:keepLines w:val="0"/>
              <w:pageBreakBefore w:val="0"/>
              <w:kinsoku/>
              <w:overflowPunct/>
              <w:topLinePunct w:val="0"/>
              <w:bidi w:val="0"/>
              <w:adjustRightInd/>
              <w:snapToGrid/>
              <w:spacing w:line="240" w:lineRule="auto"/>
              <w:ind w:left="0" w:leftChars="0" w:right="0" w:rightChars="0" w:firstLine="0" w:firstLine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合计</w:t>
            </w:r>
          </w:p>
        </w:tc>
        <w:tc>
          <w:tcPr>
            <w:tcW w:w="778" w:type="dxa"/>
            <w:tcBorders>
              <w:left w:val="single" w:color="auto" w:sz="4" w:space="0"/>
            </w:tcBorders>
            <w:noWrap w:val="0"/>
            <w:vAlign w:val="center"/>
          </w:tcPr>
          <w:p w14:paraId="1D00235A">
            <w:pPr>
              <w:keepNext w:val="0"/>
              <w:keepLines w:val="0"/>
              <w:pageBreakBefore w:val="0"/>
              <w:kinsoku/>
              <w:overflowPunct/>
              <w:topLinePunct w:val="0"/>
              <w:bidi w:val="0"/>
              <w:adjustRightInd/>
              <w:snapToGrid/>
              <w:spacing w:line="240" w:lineRule="auto"/>
              <w:ind w:left="0" w:leftChars="0" w:right="0" w:rightChars="0" w:firstLine="0" w:firstLine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100</w:t>
            </w:r>
          </w:p>
        </w:tc>
      </w:tr>
    </w:tbl>
    <w:p w14:paraId="76D769FA">
      <w:pPr>
        <w:rPr>
          <w:rFonts w:hint="eastAsia" w:ascii="仿宋_GB2312" w:hAnsi="仿宋_GB2312" w:eastAsia="仿宋_GB2312" w:cs="仿宋_GB2312"/>
          <w:bCs/>
          <w:color w:val="000000"/>
          <w:sz w:val="32"/>
          <w:szCs w:val="32"/>
          <w:lang w:val="en-US" w:eastAsia="zh-CN"/>
        </w:rPr>
      </w:pPr>
    </w:p>
    <w:p w14:paraId="26C89C37">
      <w:pPr>
        <w:rPr>
          <w:rFonts w:hint="eastAsia" w:ascii="仿宋_GB2312" w:hAnsi="仿宋_GB2312" w:eastAsia="仿宋_GB2312" w:cs="仿宋_GB2312"/>
          <w:bCs/>
          <w:color w:val="000000"/>
          <w:sz w:val="32"/>
          <w:szCs w:val="32"/>
          <w:lang w:val="en-US" w:eastAsia="zh-CN"/>
        </w:rPr>
      </w:pPr>
    </w:p>
    <w:p w14:paraId="6E07D347">
      <w:pPr>
        <w:rPr>
          <w:rFonts w:hint="eastAsia" w:ascii="仿宋_GB2312" w:hAnsi="仿宋_GB2312" w:eastAsia="仿宋_GB2312" w:cs="仿宋_GB2312"/>
          <w:bCs/>
          <w:color w:val="000000"/>
          <w:sz w:val="32"/>
          <w:szCs w:val="32"/>
          <w:lang w:val="en-US" w:eastAsia="zh-CN"/>
        </w:rPr>
      </w:pPr>
    </w:p>
    <w:p w14:paraId="38769A55">
      <w:pPr>
        <w:rPr>
          <w:rFonts w:hint="eastAsia" w:ascii="仿宋_GB2312" w:hAnsi="仿宋_GB2312" w:eastAsia="仿宋_GB2312" w:cs="仿宋_GB2312"/>
          <w:bCs/>
          <w:color w:val="000000"/>
          <w:sz w:val="32"/>
          <w:szCs w:val="32"/>
          <w:lang w:val="en-US" w:eastAsia="zh-CN"/>
        </w:rPr>
      </w:pPr>
    </w:p>
    <w:p w14:paraId="321BE663">
      <w:pPr>
        <w:rPr>
          <w:rFonts w:hint="eastAsia" w:ascii="仿宋_GB2312" w:hAnsi="仿宋_GB2312" w:eastAsia="仿宋_GB2312" w:cs="仿宋_GB2312"/>
          <w:bCs/>
          <w:color w:val="000000"/>
          <w:sz w:val="32"/>
          <w:szCs w:val="32"/>
          <w:lang w:val="en-US" w:eastAsia="zh-CN"/>
        </w:rPr>
      </w:pPr>
    </w:p>
    <w:p w14:paraId="0B83A1F5">
      <w:pPr>
        <w:rPr>
          <w:rFonts w:hint="eastAsia" w:ascii="仿宋_GB2312" w:hAnsi="仿宋_GB2312" w:eastAsia="仿宋_GB2312" w:cs="仿宋_GB2312"/>
          <w:bCs/>
          <w:color w:val="000000"/>
          <w:sz w:val="32"/>
          <w:szCs w:val="32"/>
          <w:lang w:val="en-US" w:eastAsia="zh-CN"/>
        </w:rPr>
      </w:pPr>
    </w:p>
    <w:p w14:paraId="2868BE1C">
      <w:pPr>
        <w:rPr>
          <w:rFonts w:hint="eastAsia" w:ascii="仿宋_GB2312" w:hAnsi="仿宋_GB2312" w:eastAsia="仿宋_GB2312" w:cs="仿宋_GB2312"/>
          <w:bCs/>
          <w:color w:val="000000"/>
          <w:sz w:val="32"/>
          <w:szCs w:val="32"/>
          <w:lang w:val="en-US" w:eastAsia="zh-CN"/>
        </w:rPr>
      </w:pPr>
    </w:p>
    <w:p w14:paraId="4D32362B">
      <w:pPr>
        <w:rPr>
          <w:rFonts w:hint="eastAsia" w:ascii="仿宋_GB2312" w:hAnsi="仿宋_GB2312" w:eastAsia="仿宋_GB2312" w:cs="仿宋_GB2312"/>
          <w:bCs/>
          <w:color w:val="000000"/>
          <w:sz w:val="32"/>
          <w:szCs w:val="32"/>
          <w:lang w:val="en-US" w:eastAsia="zh-CN"/>
        </w:rPr>
      </w:pPr>
    </w:p>
    <w:p w14:paraId="6CEF5906">
      <w:pPr>
        <w:rPr>
          <w:rFonts w:hint="eastAsia" w:ascii="仿宋_GB2312" w:hAnsi="仿宋_GB2312" w:eastAsia="仿宋_GB2312" w:cs="仿宋_GB2312"/>
          <w:bCs/>
          <w:color w:val="000000"/>
          <w:sz w:val="32"/>
          <w:szCs w:val="32"/>
          <w:lang w:val="en-US" w:eastAsia="zh-CN"/>
        </w:rPr>
      </w:pPr>
    </w:p>
    <w:p w14:paraId="20D9E1A9">
      <w:pPr>
        <w:rPr>
          <w:rFonts w:hint="eastAsia" w:ascii="仿宋_GB2312" w:hAnsi="仿宋_GB2312" w:eastAsia="仿宋_GB2312" w:cs="仿宋_GB2312"/>
          <w:bCs/>
          <w:color w:val="000000"/>
          <w:sz w:val="32"/>
          <w:szCs w:val="32"/>
          <w:lang w:val="en-US" w:eastAsia="zh-CN"/>
        </w:rPr>
      </w:pPr>
    </w:p>
    <w:p w14:paraId="4F3400E2">
      <w:pPr>
        <w:rPr>
          <w:rFonts w:hint="eastAsia" w:ascii="仿宋_GB2312" w:hAnsi="仿宋_GB2312" w:eastAsia="仿宋_GB2312" w:cs="仿宋_GB2312"/>
          <w:bCs/>
          <w:color w:val="000000"/>
          <w:sz w:val="32"/>
          <w:szCs w:val="32"/>
          <w:lang w:val="en-US" w:eastAsia="zh-CN"/>
        </w:rPr>
      </w:pPr>
    </w:p>
    <w:p w14:paraId="08B73B60">
      <w:pPr>
        <w:keepNext w:val="0"/>
        <w:keepLines w:val="0"/>
        <w:pageBreakBefore w:val="0"/>
        <w:widowControl w:val="0"/>
        <w:kinsoku/>
        <w:wordWrap/>
        <w:overflowPunct/>
        <w:topLinePunct w:val="0"/>
        <w:autoSpaceDE/>
        <w:autoSpaceDN/>
        <w:bidi w:val="0"/>
        <w:adjustRightInd/>
        <w:snapToGrid/>
        <w:jc w:val="center"/>
        <w:textAlignment w:val="auto"/>
        <w:rPr>
          <w:rFonts w:hint="default" w:ascii="仿宋_GB2312" w:hAnsi="仿宋_GB2312" w:eastAsia="仿宋_GB2312" w:cs="仿宋_GB2312"/>
          <w:b w:val="0"/>
          <w:bCs/>
          <w:color w:val="000000"/>
          <w:sz w:val="32"/>
          <w:szCs w:val="32"/>
          <w:lang w:val="en-US" w:eastAsia="zh-CN"/>
        </w:rPr>
      </w:pPr>
      <w:r>
        <w:rPr>
          <w:rFonts w:hint="eastAsia" w:ascii="宋体" w:hAnsi="宋体" w:eastAsia="宋体" w:cs="宋体"/>
          <w:sz w:val="44"/>
          <w:szCs w:val="44"/>
          <w:lang w:val="en-US" w:eastAsia="zh-CN"/>
        </w:rPr>
        <w:t>超净工作台</w:t>
      </w:r>
    </w:p>
    <w:p w14:paraId="31FA909A">
      <w:pPr>
        <w:keepNext w:val="0"/>
        <w:keepLines w:val="0"/>
        <w:pageBreakBefore w:val="0"/>
        <w:widowControl w:val="0"/>
        <w:kinsoku/>
        <w:wordWrap/>
        <w:overflowPunct/>
        <w:topLinePunct w:val="0"/>
        <w:bidi w:val="0"/>
        <w:snapToGrid/>
        <w:ind w:firstLine="643" w:firstLineChars="200"/>
        <w:textAlignment w:val="auto"/>
        <w:rPr>
          <w:rFonts w:hint="eastAsia" w:ascii="楷体_GB2312" w:hAnsi="楷体_GB2312" w:eastAsia="楷体_GB2312" w:cs="楷体_GB2312"/>
          <w:b/>
          <w:bCs w:val="0"/>
          <w:color w:val="000000"/>
          <w:sz w:val="32"/>
          <w:szCs w:val="32"/>
          <w:lang w:val="en-US" w:eastAsia="zh-CN"/>
        </w:rPr>
      </w:pPr>
    </w:p>
    <w:p w14:paraId="20346B7B">
      <w:pPr>
        <w:keepNext w:val="0"/>
        <w:keepLines w:val="0"/>
        <w:pageBreakBefore w:val="0"/>
        <w:widowControl w:val="0"/>
        <w:kinsoku/>
        <w:wordWrap/>
        <w:overflowPunct/>
        <w:topLinePunct w:val="0"/>
        <w:bidi w:val="0"/>
        <w:snapToGrid/>
        <w:ind w:firstLine="643" w:firstLineChars="200"/>
        <w:textAlignment w:val="auto"/>
        <w:rPr>
          <w:rFonts w:hint="default" w:ascii="楷体_GB2312" w:hAnsi="楷体_GB2312" w:eastAsia="楷体_GB2312" w:cs="楷体_GB2312"/>
          <w:b/>
          <w:bCs w:val="0"/>
          <w:color w:val="000000"/>
          <w:sz w:val="32"/>
          <w:szCs w:val="32"/>
          <w:lang w:val="en-US" w:eastAsia="zh-CN"/>
        </w:rPr>
      </w:pPr>
      <w:r>
        <w:rPr>
          <w:rFonts w:hint="eastAsia" w:ascii="楷体_GB2312" w:hAnsi="楷体_GB2312" w:eastAsia="楷体_GB2312" w:cs="楷体_GB2312"/>
          <w:b/>
          <w:bCs w:val="0"/>
          <w:color w:val="000000"/>
          <w:sz w:val="32"/>
          <w:szCs w:val="32"/>
          <w:lang w:val="en-US" w:eastAsia="zh-CN"/>
        </w:rPr>
        <w:t>一、项目概况</w:t>
      </w:r>
    </w:p>
    <w:p w14:paraId="19F1A9B3">
      <w:pPr>
        <w:keepNext w:val="0"/>
        <w:keepLines w:val="0"/>
        <w:pageBreakBefore w:val="0"/>
        <w:widowControl w:val="0"/>
        <w:kinsoku/>
        <w:wordWrap/>
        <w:overflowPunct/>
        <w:topLinePunct w:val="0"/>
        <w:bidi w:val="0"/>
        <w:snapToGrid/>
        <w:ind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 w:val="0"/>
          <w:bCs/>
          <w:color w:val="000000"/>
          <w:sz w:val="32"/>
          <w:szCs w:val="32"/>
          <w:lang w:val="en-US" w:eastAsia="zh-CN"/>
        </w:rPr>
        <w:t>1.用途：专业局部空气净化设备，为配药、医疗卫生、实验室等提供局部洁净空间。</w:t>
      </w:r>
    </w:p>
    <w:p w14:paraId="63004EE5">
      <w:pPr>
        <w:keepNext w:val="0"/>
        <w:keepLines w:val="0"/>
        <w:pageBreakBefore w:val="0"/>
        <w:widowControl w:val="0"/>
        <w:kinsoku/>
        <w:wordWrap/>
        <w:overflowPunct/>
        <w:topLinePunct w:val="0"/>
        <w:bidi w:val="0"/>
        <w:snapToGrid/>
        <w:ind w:firstLine="640" w:firstLineChars="200"/>
        <w:textAlignment w:val="auto"/>
        <w:rPr>
          <w:rFonts w:hint="eastAsia" w:ascii="仿宋_GB2312" w:hAnsi="仿宋_GB2312" w:eastAsia="仿宋_GB2312" w:cs="仿宋_GB2312"/>
          <w:b w:val="0"/>
          <w:bCs/>
          <w:color w:val="000000"/>
          <w:sz w:val="32"/>
          <w:szCs w:val="32"/>
          <w:lang w:val="en-US" w:eastAsia="zh-CN"/>
        </w:rPr>
      </w:pPr>
      <w:r>
        <w:rPr>
          <w:rFonts w:hint="eastAsia" w:ascii="仿宋_GB2312" w:hAnsi="仿宋_GB2312" w:eastAsia="仿宋_GB2312" w:cs="仿宋_GB2312"/>
          <w:b w:val="0"/>
          <w:bCs/>
          <w:color w:val="000000"/>
          <w:sz w:val="32"/>
          <w:szCs w:val="32"/>
          <w:lang w:val="en-US" w:eastAsia="zh-CN"/>
        </w:rPr>
        <w:t>★2.本项目不接受进口产品投标。</w:t>
      </w:r>
    </w:p>
    <w:p w14:paraId="05C67010">
      <w:pPr>
        <w:keepNext w:val="0"/>
        <w:keepLines w:val="0"/>
        <w:pageBreakBefore w:val="0"/>
        <w:widowControl w:val="0"/>
        <w:kinsoku/>
        <w:wordWrap/>
        <w:overflowPunct/>
        <w:topLinePunct w:val="0"/>
        <w:bidi w:val="0"/>
        <w:snapToGrid/>
        <w:ind w:firstLine="643" w:firstLineChars="200"/>
        <w:textAlignment w:val="auto"/>
        <w:rPr>
          <w:rFonts w:hint="eastAsia" w:ascii="楷体_GB2312" w:hAnsi="楷体_GB2312" w:eastAsia="楷体_GB2312" w:cs="楷体_GB2312"/>
          <w:b/>
          <w:bCs w:val="0"/>
          <w:color w:val="000000"/>
          <w:sz w:val="32"/>
          <w:szCs w:val="32"/>
          <w:lang w:val="en-US" w:eastAsia="zh-CN"/>
        </w:rPr>
      </w:pPr>
      <w:r>
        <w:rPr>
          <w:rFonts w:hint="eastAsia" w:ascii="楷体_GB2312" w:hAnsi="楷体_GB2312" w:eastAsia="楷体_GB2312" w:cs="楷体_GB2312"/>
          <w:b/>
          <w:bCs w:val="0"/>
          <w:color w:val="000000"/>
          <w:sz w:val="32"/>
          <w:szCs w:val="32"/>
          <w:lang w:val="en-US" w:eastAsia="zh-CN"/>
        </w:rPr>
        <w:t>二、主要技术及系统要求</w:t>
      </w:r>
    </w:p>
    <w:p w14:paraId="14CB2459">
      <w:pPr>
        <w:keepNext w:val="0"/>
        <w:keepLines w:val="0"/>
        <w:pageBreakBefore w:val="0"/>
        <w:widowControl w:val="0"/>
        <w:kinsoku/>
        <w:wordWrap/>
        <w:overflowPunct/>
        <w:topLinePunct w:val="0"/>
        <w:bidi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 xml:space="preserve">1.提供单人、双人两种尺寸型号的洁净工作台，垂直层流，操作台面平均菌落数≤0.5CFU，工作区风速：0.2-0.4m/s三挡可调，总数量9台，单人与双人型号具体构成数量以临床实际需求为准； </w:t>
      </w:r>
    </w:p>
    <w:p w14:paraId="49BE7441">
      <w:pPr>
        <w:keepNext w:val="0"/>
        <w:keepLines w:val="0"/>
        <w:pageBreakBefore w:val="0"/>
        <w:widowControl w:val="0"/>
        <w:kinsoku/>
        <w:wordWrap/>
        <w:overflowPunct/>
        <w:topLinePunct w:val="0"/>
        <w:bidi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2.单人洁净工作台外形尺寸：≤970mm*630mm*1730mm（长宽高），工作区尺寸：≥900mm*530mm*520mm（长宽高）；双人洁净工作台外形尺寸：≤1370mm*630mm*1730mm（长宽高），工作区尺寸：≥1300mm*530mm*520mm（长宽高）</w:t>
      </w:r>
      <w:r>
        <w:rPr>
          <w:rFonts w:hint="eastAsia" w:ascii="仿宋_GB2312" w:hAnsi="仿宋_GB2312" w:eastAsia="仿宋_GB2312" w:cs="仿宋_GB2312"/>
          <w:b/>
          <w:bCs w:val="0"/>
          <w:color w:val="000000"/>
          <w:sz w:val="32"/>
          <w:szCs w:val="32"/>
          <w:lang w:val="en-US" w:eastAsia="zh-CN"/>
        </w:rPr>
        <w:t>（提供产品铭牌或技术白皮书或彩页证明）</w:t>
      </w:r>
      <w:r>
        <w:rPr>
          <w:rFonts w:hint="eastAsia" w:ascii="仿宋_GB2312" w:hAnsi="仿宋_GB2312" w:eastAsia="仿宋_GB2312" w:cs="仿宋_GB2312"/>
          <w:bCs/>
          <w:color w:val="000000"/>
          <w:sz w:val="32"/>
          <w:szCs w:val="32"/>
          <w:lang w:val="en-US" w:eastAsia="zh-CN"/>
        </w:rPr>
        <w:t xml:space="preserve">； </w:t>
      </w:r>
    </w:p>
    <w:p w14:paraId="17452AE5">
      <w:pPr>
        <w:keepNext w:val="0"/>
        <w:keepLines w:val="0"/>
        <w:pageBreakBefore w:val="0"/>
        <w:widowControl w:val="0"/>
        <w:kinsoku/>
        <w:wordWrap/>
        <w:overflowPunct/>
        <w:topLinePunct w:val="0"/>
        <w:bidi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3.工作台面高度：800±10mm</w:t>
      </w:r>
      <w:r>
        <w:rPr>
          <w:rFonts w:hint="eastAsia" w:ascii="仿宋_GB2312" w:hAnsi="仿宋_GB2312" w:eastAsia="仿宋_GB2312" w:cs="仿宋_GB2312"/>
          <w:b/>
          <w:bCs w:val="0"/>
          <w:color w:val="000000"/>
          <w:sz w:val="32"/>
          <w:szCs w:val="32"/>
          <w:lang w:val="en-US" w:eastAsia="zh-CN"/>
        </w:rPr>
        <w:t>（提供产品铭牌或技术白皮书或彩页证明）</w:t>
      </w:r>
      <w:r>
        <w:rPr>
          <w:rFonts w:hint="eastAsia" w:ascii="仿宋_GB2312" w:hAnsi="仿宋_GB2312" w:eastAsia="仿宋_GB2312" w:cs="仿宋_GB2312"/>
          <w:bCs/>
          <w:color w:val="000000"/>
          <w:sz w:val="32"/>
          <w:szCs w:val="32"/>
          <w:lang w:val="en-US" w:eastAsia="zh-CN"/>
        </w:rPr>
        <w:t xml:space="preserve">； </w:t>
      </w:r>
    </w:p>
    <w:p w14:paraId="141A9A4C">
      <w:pPr>
        <w:keepNext w:val="0"/>
        <w:keepLines w:val="0"/>
        <w:pageBreakBefore w:val="0"/>
        <w:widowControl w:val="0"/>
        <w:kinsoku/>
        <w:wordWrap/>
        <w:overflowPunct/>
        <w:topLinePunct w:val="0"/>
        <w:bidi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4.采用HEAP过滤器，标配初效预过滤器，不使用工具即可更换。过滤器功率1200VA±100</w:t>
      </w:r>
      <w:r>
        <w:rPr>
          <w:rFonts w:hint="eastAsia" w:ascii="仿宋_GB2312" w:hAnsi="仿宋_GB2312" w:eastAsia="仿宋_GB2312" w:cs="仿宋_GB2312"/>
          <w:b/>
          <w:bCs w:val="0"/>
          <w:color w:val="000000"/>
          <w:sz w:val="32"/>
          <w:szCs w:val="32"/>
          <w:lang w:val="en-US" w:eastAsia="zh-CN"/>
        </w:rPr>
        <w:t>（提供产品铭牌或技术白皮书或彩页证明）</w:t>
      </w:r>
      <w:r>
        <w:rPr>
          <w:rFonts w:hint="eastAsia" w:ascii="仿宋_GB2312" w:hAnsi="仿宋_GB2312" w:eastAsia="仿宋_GB2312" w:cs="仿宋_GB2312"/>
          <w:bCs/>
          <w:color w:val="000000"/>
          <w:sz w:val="32"/>
          <w:szCs w:val="32"/>
          <w:lang w:val="en-US" w:eastAsia="zh-CN"/>
        </w:rPr>
        <w:t xml:space="preserve">； </w:t>
      </w:r>
    </w:p>
    <w:p w14:paraId="196A8528">
      <w:pPr>
        <w:keepNext w:val="0"/>
        <w:keepLines w:val="0"/>
        <w:pageBreakBefore w:val="0"/>
        <w:widowControl w:val="0"/>
        <w:kinsoku/>
        <w:wordWrap/>
        <w:overflowPunct/>
        <w:topLinePunct w:val="0"/>
        <w:bidi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 xml:space="preserve">5.前窗钢化玻璃材质，厚度≥6mm，≥2个电源插座，具有防溅功能，防水防尘等级不低于IP44； </w:t>
      </w:r>
    </w:p>
    <w:p w14:paraId="192F2AB0">
      <w:pPr>
        <w:keepNext w:val="0"/>
        <w:keepLines w:val="0"/>
        <w:pageBreakBefore w:val="0"/>
        <w:widowControl w:val="0"/>
        <w:kinsoku/>
        <w:wordWrap/>
        <w:overflowPunct/>
        <w:topLinePunct w:val="0"/>
        <w:bidi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 xml:space="preserve">6.三位互锁，紫外灯与照明灯、前窗三位互锁功能，屏蔽误操作风险，具有联动功能，开门后自动开启荧光灯，方便实验准备工作；关门后风机自动关闭，防止风机空转不对外做功而产生过热现象，具有紫外杀菌延时启动功能，可预设紫外灯自动点亮时间； </w:t>
      </w:r>
    </w:p>
    <w:p w14:paraId="7CDDC9EE">
      <w:pPr>
        <w:keepNext w:val="0"/>
        <w:keepLines w:val="0"/>
        <w:pageBreakBefore w:val="0"/>
        <w:widowControl w:val="0"/>
        <w:kinsoku/>
        <w:wordWrap/>
        <w:overflowPunct/>
        <w:topLinePunct w:val="0"/>
        <w:bidi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 xml:space="preserve">7.底架与柜体分体式结构，配置万向轮和可调节高度底脚； </w:t>
      </w:r>
    </w:p>
    <w:p w14:paraId="0A450CAB">
      <w:pPr>
        <w:keepNext w:val="0"/>
        <w:keepLines w:val="0"/>
        <w:pageBreakBefore w:val="0"/>
        <w:widowControl w:val="0"/>
        <w:kinsoku/>
        <w:wordWrap/>
        <w:overflowPunct/>
        <w:topLinePunct w:val="0"/>
        <w:bidi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8.净重≤145KG</w:t>
      </w:r>
      <w:r>
        <w:rPr>
          <w:rFonts w:hint="eastAsia" w:ascii="仿宋_GB2312" w:hAnsi="仿宋_GB2312" w:eastAsia="仿宋_GB2312" w:cs="仿宋_GB2312"/>
          <w:b/>
          <w:bCs w:val="0"/>
          <w:color w:val="000000"/>
          <w:sz w:val="32"/>
          <w:szCs w:val="32"/>
          <w:lang w:val="en-US" w:eastAsia="zh-CN"/>
        </w:rPr>
        <w:t>（提供产品铭牌或技术白皮书或彩页证明）</w:t>
      </w:r>
      <w:r>
        <w:rPr>
          <w:rFonts w:hint="eastAsia" w:ascii="仿宋_GB2312" w:hAnsi="仿宋_GB2312" w:eastAsia="仿宋_GB2312" w:cs="仿宋_GB2312"/>
          <w:b w:val="0"/>
          <w:bCs/>
          <w:color w:val="000000"/>
          <w:sz w:val="32"/>
          <w:szCs w:val="32"/>
          <w:lang w:val="en-US" w:eastAsia="zh-CN"/>
        </w:rPr>
        <w:t>。</w:t>
      </w:r>
      <w:r>
        <w:rPr>
          <w:rFonts w:hint="eastAsia" w:ascii="仿宋_GB2312" w:hAnsi="仿宋_GB2312" w:eastAsia="仿宋_GB2312" w:cs="仿宋_GB2312"/>
          <w:bCs/>
          <w:color w:val="000000"/>
          <w:sz w:val="32"/>
          <w:szCs w:val="32"/>
          <w:lang w:val="en-US" w:eastAsia="zh-CN"/>
        </w:rPr>
        <w:t xml:space="preserve"> </w:t>
      </w:r>
    </w:p>
    <w:p w14:paraId="2DAF94B8">
      <w:pPr>
        <w:keepNext w:val="0"/>
        <w:keepLines w:val="0"/>
        <w:pageBreakBefore w:val="0"/>
        <w:widowControl w:val="0"/>
        <w:kinsoku/>
        <w:wordWrap/>
        <w:overflowPunct/>
        <w:topLinePunct w:val="0"/>
        <w:bidi w:val="0"/>
        <w:snapToGrid/>
        <w:ind w:firstLine="643" w:firstLineChars="200"/>
        <w:textAlignment w:val="auto"/>
        <w:rPr>
          <w:rFonts w:hint="eastAsia" w:ascii="楷体_GB2312" w:hAnsi="楷体_GB2312" w:eastAsia="楷体_GB2312" w:cs="楷体_GB2312"/>
          <w:b/>
          <w:bCs w:val="0"/>
          <w:color w:val="000000"/>
          <w:sz w:val="32"/>
          <w:szCs w:val="32"/>
          <w:lang w:val="en-US" w:eastAsia="zh-CN"/>
        </w:rPr>
      </w:pPr>
      <w:r>
        <w:rPr>
          <w:rFonts w:hint="eastAsia" w:ascii="黑体" w:hAnsi="黑体" w:eastAsia="黑体" w:cs="黑体"/>
          <w:b/>
          <w:bCs w:val="0"/>
          <w:color w:val="000000"/>
          <w:sz w:val="32"/>
          <w:szCs w:val="32"/>
          <w:lang w:val="en-US" w:eastAsia="zh-CN"/>
        </w:rPr>
        <w:t>★</w:t>
      </w:r>
      <w:r>
        <w:rPr>
          <w:rFonts w:hint="eastAsia" w:ascii="楷体_GB2312" w:hAnsi="楷体_GB2312" w:eastAsia="楷体_GB2312" w:cs="楷体_GB2312"/>
          <w:b/>
          <w:bCs w:val="0"/>
          <w:color w:val="000000"/>
          <w:sz w:val="32"/>
          <w:szCs w:val="32"/>
          <w:lang w:val="en-US" w:eastAsia="zh-CN"/>
        </w:rPr>
        <w:t>三、单套配置要求</w:t>
      </w:r>
    </w:p>
    <w:p w14:paraId="7A7B6999">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 xml:space="preserve">1.主机                  9 台 </w:t>
      </w:r>
    </w:p>
    <w:p w14:paraId="3DC964B6">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2.中文说明书            9 套（另电子版1份）</w:t>
      </w:r>
    </w:p>
    <w:p w14:paraId="4CDEAFA5">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default"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9.中文操作流程卡(过塑)  9 套</w:t>
      </w:r>
    </w:p>
    <w:p w14:paraId="0227F285">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10.中文维修手册         9 套（另电子版1份）</w:t>
      </w:r>
    </w:p>
    <w:p w14:paraId="5532498A">
      <w:pPr>
        <w:pStyle w:val="14"/>
        <w:keepNext w:val="0"/>
        <w:keepLines w:val="0"/>
        <w:pageBreakBefore w:val="0"/>
        <w:widowControl w:val="0"/>
        <w:kinsoku/>
        <w:wordWrap/>
        <w:overflowPunct/>
        <w:topLinePunct w:val="0"/>
        <w:bidi w:val="0"/>
        <w:snapToGrid/>
        <w:ind w:firstLine="643" w:firstLineChars="200"/>
        <w:textAlignment w:val="auto"/>
        <w:rPr>
          <w:rFonts w:hint="eastAsia" w:ascii="楷体_GB2312" w:hAnsi="楷体_GB2312" w:eastAsia="楷体_GB2312" w:cs="楷体_GB2312"/>
          <w:b/>
          <w:bCs w:val="0"/>
          <w:color w:val="000000"/>
          <w:sz w:val="32"/>
          <w:szCs w:val="32"/>
          <w:lang w:val="en-US" w:eastAsia="zh-CN"/>
        </w:rPr>
      </w:pPr>
      <w:r>
        <w:rPr>
          <w:rFonts w:hint="eastAsia" w:ascii="楷体_GB2312" w:hAnsi="楷体_GB2312" w:eastAsia="楷体_GB2312" w:cs="楷体_GB2312"/>
          <w:b/>
          <w:bCs w:val="0"/>
          <w:color w:val="000000"/>
          <w:sz w:val="32"/>
          <w:szCs w:val="32"/>
          <w:lang w:val="en-US" w:eastAsia="zh-CN"/>
        </w:rPr>
        <w:t>四、商务条款及其他要求</w:t>
      </w:r>
    </w:p>
    <w:p w14:paraId="5054A666">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default"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（一）</w:t>
      </w:r>
      <w:r>
        <w:rPr>
          <w:rFonts w:hint="eastAsia" w:ascii="黑体" w:hAnsi="黑体" w:eastAsia="黑体" w:cs="黑体"/>
          <w:b/>
          <w:bCs w:val="0"/>
          <w:color w:val="000000"/>
          <w:sz w:val="32"/>
          <w:szCs w:val="32"/>
          <w:lang w:val="en-US" w:eastAsia="zh-CN"/>
        </w:rPr>
        <w:t>★</w:t>
      </w:r>
      <w:r>
        <w:rPr>
          <w:rFonts w:hint="default" w:ascii="仿宋_GB2312" w:hAnsi="仿宋_GB2312" w:eastAsia="仿宋_GB2312" w:cs="仿宋_GB2312"/>
          <w:bCs/>
          <w:color w:val="000000"/>
          <w:sz w:val="32"/>
          <w:szCs w:val="32"/>
          <w:lang w:val="en-US" w:eastAsia="zh-CN"/>
        </w:rPr>
        <w:t>交货日期：签订合同后两年内，根据采购人需求数量分批送货，不超过合同总数，经采购人通知后30（天）日历日内。</w:t>
      </w:r>
    </w:p>
    <w:p w14:paraId="6E20EB9A">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default"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（二）</w:t>
      </w:r>
      <w:r>
        <w:rPr>
          <w:rFonts w:hint="default" w:ascii="仿宋_GB2312" w:hAnsi="仿宋_GB2312" w:eastAsia="仿宋_GB2312" w:cs="仿宋_GB2312"/>
          <w:bCs/>
          <w:color w:val="000000"/>
          <w:sz w:val="32"/>
          <w:szCs w:val="32"/>
          <w:lang w:val="en-US" w:eastAsia="zh-CN"/>
        </w:rPr>
        <w:t>交货地点：采购人指定地点。</w:t>
      </w:r>
    </w:p>
    <w:p w14:paraId="501DBEB3">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default"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（三）</w:t>
      </w:r>
      <w:r>
        <w:rPr>
          <w:rFonts w:hint="default" w:ascii="仿宋_GB2312" w:hAnsi="仿宋_GB2312" w:eastAsia="仿宋_GB2312" w:cs="仿宋_GB2312"/>
          <w:bCs/>
          <w:color w:val="000000"/>
          <w:sz w:val="32"/>
          <w:szCs w:val="32"/>
          <w:lang w:val="en-US" w:eastAsia="zh-CN"/>
        </w:rPr>
        <w:t>报价：人民币报价。</w:t>
      </w:r>
    </w:p>
    <w:p w14:paraId="7EF752FF">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（四）</w:t>
      </w:r>
      <w:r>
        <w:rPr>
          <w:rFonts w:hint="default" w:ascii="仿宋_GB2312" w:hAnsi="仿宋_GB2312" w:eastAsia="仿宋_GB2312" w:cs="仿宋_GB2312"/>
          <w:bCs/>
          <w:color w:val="000000"/>
          <w:sz w:val="32"/>
          <w:szCs w:val="32"/>
          <w:lang w:val="en-US" w:eastAsia="zh-CN"/>
        </w:rPr>
        <w:t>付款条件：（1）签订合同和财政资金到位后，采购人支付中标人不超过合同金额70%的预付款；（2）财政资金到位后，设备送货至采购人指定地点后，可支付不超过合同总额95%的设备款；（3）财政资金到位后，设备验收合格后可支付剩余验收款（若资金不足以支付尾款，可据实支付部分款项，待资金到位后支付余款）；（4）若资金到位后且设备验收合格，可一次性支付100%验收款。当采购人2026年的资金预算不足以支付项目款项时，则需顺延至2027年支付</w:t>
      </w:r>
      <w:r>
        <w:rPr>
          <w:rFonts w:hint="eastAsia" w:ascii="仿宋_GB2312" w:hAnsi="仿宋_GB2312" w:eastAsia="仿宋_GB2312" w:cs="仿宋_GB2312"/>
          <w:bCs/>
          <w:color w:val="000000"/>
          <w:sz w:val="32"/>
          <w:szCs w:val="32"/>
          <w:lang w:val="en-US" w:eastAsia="zh-CN"/>
        </w:rPr>
        <w:t>。</w:t>
      </w:r>
    </w:p>
    <w:p w14:paraId="38DC4620">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default"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（五）如有备品备件、消耗品、零配件，提供备品备件清单，提供消耗品优惠价格，提供零配件优惠价格。</w:t>
      </w:r>
    </w:p>
    <w:p w14:paraId="3C5D225E">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（六）★免费保修期内售后服务要求</w:t>
      </w:r>
    </w:p>
    <w:p w14:paraId="5F5776E8">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default"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1.在免费保修期内，一旦发生质量问题，投标人保证在接到通知12小时内赶到现场进行修理或更换</w:t>
      </w:r>
      <w:r>
        <w:rPr>
          <w:rFonts w:hint="default" w:ascii="仿宋_GB2312" w:hAnsi="仿宋_GB2312" w:eastAsia="仿宋_GB2312" w:cs="仿宋_GB2312"/>
          <w:bCs/>
          <w:color w:val="000000"/>
          <w:sz w:val="32"/>
          <w:szCs w:val="32"/>
          <w:lang w:val="en-US" w:eastAsia="zh-CN"/>
        </w:rPr>
        <w:t>。</w:t>
      </w:r>
    </w:p>
    <w:p w14:paraId="0CBA2E4E">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default" w:ascii="仿宋_GB2312" w:hAnsi="仿宋_GB2312" w:eastAsia="仿宋_GB2312" w:cs="仿宋_GB2312"/>
          <w:bCs/>
          <w:color w:val="000000"/>
          <w:sz w:val="32"/>
          <w:szCs w:val="32"/>
          <w:highlight w:val="none"/>
          <w:lang w:val="en-US" w:eastAsia="zh-CN"/>
        </w:rPr>
      </w:pPr>
      <w:r>
        <w:rPr>
          <w:rFonts w:hint="eastAsia" w:ascii="仿宋_GB2312" w:hAnsi="仿宋_GB2312" w:eastAsia="仿宋_GB2312" w:cs="仿宋_GB2312"/>
          <w:bCs/>
          <w:color w:val="000000"/>
          <w:sz w:val="32"/>
          <w:szCs w:val="32"/>
          <w:lang w:val="en-US" w:eastAsia="zh-CN"/>
        </w:rPr>
        <w:t>2.对所提供的设备整机质保期（整机全保）：≥3年，保修期3年。质保期时间自最终验收合格并交付使用之日起计算，保修期自质保期满起计算</w:t>
      </w:r>
      <w:r>
        <w:rPr>
          <w:rFonts w:hint="default" w:ascii="仿宋_GB2312" w:hAnsi="仿宋_GB2312" w:eastAsia="仿宋_GB2312" w:cs="仿宋_GB2312"/>
          <w:bCs/>
          <w:color w:val="000000"/>
          <w:sz w:val="32"/>
          <w:szCs w:val="32"/>
          <w:highlight w:val="none"/>
          <w:lang w:val="en-US" w:eastAsia="zh-CN"/>
        </w:rPr>
        <w:t>。</w:t>
      </w:r>
    </w:p>
    <w:p w14:paraId="5824A7DE">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default" w:ascii="仿宋_GB2312" w:hAnsi="仿宋_GB2312" w:eastAsia="仿宋_GB2312" w:cs="仿宋_GB2312"/>
          <w:bCs/>
          <w:color w:val="000000"/>
          <w:sz w:val="32"/>
          <w:szCs w:val="32"/>
          <w:highlight w:val="none"/>
          <w:lang w:val="en-US" w:eastAsia="zh-CN"/>
        </w:rPr>
      </w:pPr>
      <w:r>
        <w:rPr>
          <w:rFonts w:hint="eastAsia" w:ascii="仿宋_GB2312" w:hAnsi="仿宋_GB2312" w:eastAsia="仿宋_GB2312" w:cs="仿宋_GB2312"/>
          <w:bCs/>
          <w:color w:val="000000"/>
          <w:sz w:val="32"/>
          <w:szCs w:val="32"/>
          <w:highlight w:val="none"/>
          <w:lang w:val="en-US" w:eastAsia="zh-CN"/>
        </w:rPr>
        <w:t>3.免费保修期（质保期）内，所有服务及配件全部免费。</w:t>
      </w:r>
    </w:p>
    <w:p w14:paraId="6FB8701B">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highlight w:val="none"/>
          <w:lang w:val="en-US" w:eastAsia="zh-CN"/>
        </w:rPr>
      </w:pPr>
      <w:r>
        <w:rPr>
          <w:rFonts w:hint="eastAsia" w:ascii="仿宋_GB2312" w:hAnsi="仿宋_GB2312" w:eastAsia="仿宋_GB2312" w:cs="仿宋_GB2312"/>
          <w:bCs/>
          <w:color w:val="000000"/>
          <w:sz w:val="32"/>
          <w:szCs w:val="32"/>
          <w:highlight w:val="none"/>
          <w:lang w:val="en-US" w:eastAsia="zh-CN"/>
        </w:rPr>
        <w:t>4.保修期内，免费维修，用户只承担更换零备件的费用。</w:t>
      </w:r>
    </w:p>
    <w:p w14:paraId="22FE42E3">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default" w:ascii="仿宋_GB2312" w:hAnsi="仿宋_GB2312" w:eastAsia="仿宋_GB2312" w:cs="仿宋_GB2312"/>
          <w:bCs/>
          <w:color w:val="000000"/>
          <w:sz w:val="32"/>
          <w:szCs w:val="32"/>
          <w:highlight w:val="none"/>
          <w:lang w:val="en-US" w:eastAsia="zh-CN"/>
        </w:rPr>
      </w:pPr>
      <w:r>
        <w:rPr>
          <w:rFonts w:hint="eastAsia" w:ascii="仿宋_GB2312" w:hAnsi="仿宋_GB2312" w:eastAsia="仿宋_GB2312" w:cs="仿宋_GB2312"/>
          <w:bCs/>
          <w:color w:val="000000"/>
          <w:sz w:val="32"/>
          <w:szCs w:val="32"/>
          <w:highlight w:val="none"/>
          <w:lang w:val="en-US" w:eastAsia="zh-CN"/>
        </w:rPr>
        <w:t>5.</w:t>
      </w:r>
      <w:r>
        <w:rPr>
          <w:rFonts w:hint="default" w:ascii="仿宋_GB2312" w:hAnsi="仿宋_GB2312" w:eastAsia="仿宋_GB2312" w:cs="仿宋_GB2312"/>
          <w:bCs/>
          <w:color w:val="000000"/>
          <w:sz w:val="32"/>
          <w:szCs w:val="32"/>
          <w:highlight w:val="none"/>
          <w:lang w:val="en-US" w:eastAsia="zh-CN"/>
        </w:rPr>
        <w:t>投标人应提供全套、完整的书面技术资料，包括仪器说明书、操作手册、简单维修说明、图纸等。</w:t>
      </w:r>
    </w:p>
    <w:p w14:paraId="3C80D147">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default" w:ascii="仿宋_GB2312" w:hAnsi="仿宋_GB2312" w:eastAsia="仿宋_GB2312" w:cs="仿宋_GB2312"/>
          <w:bCs/>
          <w:color w:val="000000"/>
          <w:sz w:val="32"/>
          <w:szCs w:val="32"/>
          <w:highlight w:val="none"/>
          <w:lang w:val="en-US" w:eastAsia="zh-CN"/>
        </w:rPr>
      </w:pPr>
      <w:r>
        <w:rPr>
          <w:rFonts w:hint="eastAsia" w:ascii="仿宋_GB2312" w:hAnsi="仿宋_GB2312" w:eastAsia="仿宋_GB2312" w:cs="仿宋_GB2312"/>
          <w:bCs/>
          <w:color w:val="000000"/>
          <w:sz w:val="32"/>
          <w:szCs w:val="32"/>
          <w:highlight w:val="none"/>
          <w:lang w:val="en-US" w:eastAsia="zh-CN"/>
        </w:rPr>
        <w:t>6.</w:t>
      </w:r>
      <w:r>
        <w:rPr>
          <w:rFonts w:hint="default" w:ascii="仿宋_GB2312" w:hAnsi="仿宋_GB2312" w:eastAsia="仿宋_GB2312" w:cs="仿宋_GB2312"/>
          <w:bCs/>
          <w:color w:val="000000"/>
          <w:sz w:val="32"/>
          <w:szCs w:val="32"/>
          <w:highlight w:val="none"/>
          <w:lang w:val="en-US" w:eastAsia="zh-CN"/>
        </w:rPr>
        <w:t>在</w:t>
      </w:r>
      <w:r>
        <w:rPr>
          <w:rFonts w:hint="eastAsia" w:ascii="仿宋_GB2312" w:hAnsi="仿宋_GB2312" w:eastAsia="仿宋_GB2312" w:cs="仿宋_GB2312"/>
          <w:bCs/>
          <w:color w:val="000000"/>
          <w:sz w:val="32"/>
          <w:szCs w:val="32"/>
          <w:highlight w:val="none"/>
          <w:lang w:val="en-US" w:eastAsia="zh-CN"/>
        </w:rPr>
        <w:t>质保期</w:t>
      </w:r>
      <w:r>
        <w:rPr>
          <w:rFonts w:hint="default" w:ascii="仿宋_GB2312" w:hAnsi="仿宋_GB2312" w:eastAsia="仿宋_GB2312" w:cs="仿宋_GB2312"/>
          <w:bCs/>
          <w:color w:val="000000"/>
          <w:sz w:val="32"/>
          <w:szCs w:val="32"/>
          <w:highlight w:val="none"/>
          <w:lang w:val="en-US" w:eastAsia="zh-CN"/>
        </w:rPr>
        <w:t>内，中标人必须保证设备的开机率&gt;95%；若不能达到此开机率，将作以下处理：①90%＜开机率≤95%按一赔二延长质保期；②85%＜开机率≤90%按一赔五延长质保期；③开机率低于85%，供应商须无条件更换新机，并重新计算质保期，以及赔偿用户的直接经济损失和间接经济损失。</w:t>
      </w:r>
    </w:p>
    <w:p w14:paraId="53F50F3B">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highlight w:val="none"/>
          <w:lang w:val="en-US" w:eastAsia="zh-CN"/>
        </w:rPr>
      </w:pPr>
      <w:r>
        <w:rPr>
          <w:rFonts w:hint="eastAsia" w:ascii="仿宋_GB2312" w:hAnsi="仿宋_GB2312" w:eastAsia="仿宋_GB2312" w:cs="仿宋_GB2312"/>
          <w:bCs/>
          <w:color w:val="000000"/>
          <w:sz w:val="32"/>
          <w:szCs w:val="32"/>
          <w:highlight w:val="none"/>
          <w:lang w:val="en-US" w:eastAsia="zh-CN"/>
        </w:rPr>
        <w:t>（七）</w:t>
      </w:r>
      <w:r>
        <w:rPr>
          <w:rFonts w:hint="eastAsia" w:ascii="黑体" w:hAnsi="黑体" w:eastAsia="黑体" w:cs="黑体"/>
          <w:b/>
          <w:bCs w:val="0"/>
          <w:color w:val="000000"/>
          <w:sz w:val="32"/>
          <w:szCs w:val="32"/>
          <w:lang w:val="en-US" w:eastAsia="zh-CN"/>
        </w:rPr>
        <w:t>★</w:t>
      </w:r>
      <w:r>
        <w:rPr>
          <w:rFonts w:hint="eastAsia" w:ascii="仿宋_GB2312" w:hAnsi="仿宋_GB2312" w:eastAsia="仿宋_GB2312" w:cs="仿宋_GB2312"/>
          <w:bCs/>
          <w:color w:val="000000"/>
          <w:sz w:val="32"/>
          <w:szCs w:val="32"/>
          <w:highlight w:val="none"/>
          <w:lang w:val="en-US" w:eastAsia="zh-CN"/>
        </w:rPr>
        <w:t>免费保修期外售后服务要求</w:t>
      </w:r>
    </w:p>
    <w:p w14:paraId="07A56658">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default"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highlight w:val="none"/>
          <w:lang w:val="en-US" w:eastAsia="zh-CN"/>
        </w:rPr>
        <w:t>1.由设备制造商提供售后服务，2小时内响应，12小时维修工程师到位，并在24小时内消除故障（不可抗力情况除外）。消耗品和零配件供应及时，特殊情况下可提供备用机</w:t>
      </w:r>
      <w:r>
        <w:rPr>
          <w:rFonts w:hint="default" w:ascii="仿宋_GB2312" w:hAnsi="仿宋_GB2312" w:eastAsia="仿宋_GB2312" w:cs="仿宋_GB2312"/>
          <w:bCs/>
          <w:color w:val="000000"/>
          <w:sz w:val="32"/>
          <w:szCs w:val="32"/>
          <w:lang w:val="en-US" w:eastAsia="zh-CN"/>
        </w:rPr>
        <w:t>。</w:t>
      </w:r>
    </w:p>
    <w:p w14:paraId="25E58F8A">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2.投标时，供应商承诺保修期外，能及时为采购人提供备品备件、专用试剂及耗材。</w:t>
      </w:r>
    </w:p>
    <w:p w14:paraId="5994C063">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3.质保期满之日起3年内免费提供软件升级、终身软件备份。</w:t>
      </w:r>
    </w:p>
    <w:p w14:paraId="32ED0FAE">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（八）</w:t>
      </w:r>
      <w:r>
        <w:rPr>
          <w:rFonts w:hint="eastAsia" w:ascii="黑体" w:hAnsi="黑体" w:eastAsia="黑体" w:cs="黑体"/>
          <w:b/>
          <w:bCs w:val="0"/>
          <w:color w:val="000000"/>
          <w:sz w:val="32"/>
          <w:szCs w:val="32"/>
          <w:lang w:val="en-US" w:eastAsia="zh-CN"/>
        </w:rPr>
        <w:t>★</w:t>
      </w:r>
      <w:r>
        <w:rPr>
          <w:rFonts w:hint="eastAsia" w:ascii="仿宋_GB2312" w:hAnsi="仿宋_GB2312" w:eastAsia="仿宋_GB2312" w:cs="仿宋_GB2312"/>
          <w:bCs/>
          <w:color w:val="000000"/>
          <w:sz w:val="32"/>
          <w:szCs w:val="32"/>
          <w:lang w:val="en-US" w:eastAsia="zh-CN"/>
        </w:rPr>
        <w:t>其他服务要求</w:t>
      </w:r>
    </w:p>
    <w:p w14:paraId="35C16D35">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1.投标人须在签订合同之日起3天内向采购人提供设备的运行、安装、使用环境要求。</w:t>
      </w:r>
    </w:p>
    <w:p w14:paraId="11F8E0DD">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2.运输、安装按照仪器说明书要求。</w:t>
      </w:r>
    </w:p>
    <w:p w14:paraId="16F95768">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3.投标人应派专业技术人员免费对采购单位指定人员进行定期培训及指导，直至其完全掌握设备的基本故障处理技术。</w:t>
      </w:r>
    </w:p>
    <w:p w14:paraId="29252A6F">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4.现场培训：投标人应提供现场技术培训，保证使用人员正常操作设备的各种功能。</w:t>
      </w:r>
    </w:p>
    <w:p w14:paraId="133D6681">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 xml:space="preserve">5.投标人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投标供应商承担全部责任。 </w:t>
      </w:r>
    </w:p>
    <w:p w14:paraId="1CE05CB6">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6.采购人购买产品后，有权对该产品与其他设备进行配套、整合或适当改进，而免受侵犯专利权的起诉。</w:t>
      </w:r>
    </w:p>
    <w:p w14:paraId="4CCD23CB">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（九）★交货时，设备出厂时间：≤1年（以合同签订日期为准）。</w:t>
      </w:r>
    </w:p>
    <w:p w14:paraId="0CB1D02D">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（十）★配齐满足以上性能且正常使用所需要的所有附件，与医院数据传输系统的接口等，负责系统接口费，保证数据安全，无需另外购置即可满足临床需求。</w:t>
      </w:r>
    </w:p>
    <w:p w14:paraId="60682F20">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（十一</w:t>
      </w:r>
      <w:bookmarkStart w:id="1" w:name="_GoBack"/>
      <w:bookmarkEnd w:id="1"/>
      <w:r>
        <w:rPr>
          <w:rFonts w:hint="eastAsia" w:ascii="仿宋_GB2312" w:hAnsi="仿宋_GB2312" w:eastAsia="仿宋_GB2312" w:cs="仿宋_GB2312"/>
          <w:bCs/>
          <w:color w:val="000000"/>
          <w:sz w:val="32"/>
          <w:szCs w:val="32"/>
          <w:lang w:val="en-US" w:eastAsia="zh-CN"/>
        </w:rPr>
        <w:t>）网络安全：所提供产品或服务满足国家网络安全管理要求，遵守医疗行业和医院网络安全管理规范，保护医院和患者信息安全。医疗设备自带软件（如有）具备合格的软件功能及安全测评报告、源代码安全审计报告和网络及数据接口说明等。（提供承诺函，格式自拟）</w:t>
      </w:r>
    </w:p>
    <w:p w14:paraId="51CB44E7">
      <w:pPr>
        <w:pStyle w:val="14"/>
        <w:keepNext w:val="0"/>
        <w:keepLines w:val="0"/>
        <w:pageBreakBefore w:val="0"/>
        <w:widowControl w:val="0"/>
        <w:kinsoku/>
        <w:wordWrap/>
        <w:overflowPunct/>
        <w:topLinePunct w:val="0"/>
        <w:bidi w:val="0"/>
        <w:snapToGrid/>
        <w:ind w:firstLine="643" w:firstLineChars="200"/>
        <w:textAlignment w:val="auto"/>
        <w:rPr>
          <w:rFonts w:hint="eastAsia" w:ascii="楷体_GB2312" w:hAnsi="楷体_GB2312" w:eastAsia="楷体_GB2312" w:cs="楷体_GB2312"/>
          <w:b/>
          <w:bCs w:val="0"/>
          <w:color w:val="000000"/>
          <w:sz w:val="32"/>
          <w:szCs w:val="32"/>
          <w:lang w:val="en-US" w:eastAsia="zh-CN"/>
        </w:rPr>
      </w:pPr>
      <w:r>
        <w:rPr>
          <w:rFonts w:hint="eastAsia" w:ascii="楷体_GB2312" w:hAnsi="楷体_GB2312" w:eastAsia="楷体_GB2312" w:cs="楷体_GB2312"/>
          <w:b/>
          <w:bCs w:val="0"/>
          <w:color w:val="000000"/>
          <w:sz w:val="32"/>
          <w:szCs w:val="32"/>
          <w:lang w:val="en-US" w:eastAsia="zh-CN"/>
        </w:rPr>
        <w:t>五、综合评分表</w:t>
      </w:r>
      <w:r>
        <w:rPr>
          <w:rFonts w:hint="eastAsia" w:ascii="楷体_GB2312" w:hAnsi="楷体_GB2312" w:eastAsia="楷体_GB2312" w:cs="楷体_GB2312"/>
          <w:b/>
          <w:bCs w:val="0"/>
          <w:color w:val="000000"/>
          <w:sz w:val="32"/>
          <w:szCs w:val="32"/>
          <w:highlight w:val="red"/>
          <w:lang w:val="en-US" w:eastAsia="zh-CN"/>
        </w:rPr>
        <w:t>（综合得分60分以下的视为投标无效）</w:t>
      </w:r>
    </w:p>
    <w:tbl>
      <w:tblPr>
        <w:tblStyle w:val="8"/>
        <w:tblW w:w="8448" w:type="dxa"/>
        <w:tblInd w:w="93"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680"/>
        <w:gridCol w:w="1147"/>
        <w:gridCol w:w="5843"/>
        <w:gridCol w:w="778"/>
      </w:tblGrid>
      <w:tr w14:paraId="63E043A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83" w:hRule="atLeast"/>
        </w:trPr>
        <w:tc>
          <w:tcPr>
            <w:tcW w:w="680" w:type="dxa"/>
            <w:noWrap w:val="0"/>
            <w:vAlign w:val="center"/>
          </w:tcPr>
          <w:p w14:paraId="7AC5C344">
            <w:pPr>
              <w:jc w:val="center"/>
              <w:rPr>
                <w:rFonts w:hint="eastAsia" w:ascii="宋体" w:hAnsi="宋体" w:cs="宋体"/>
                <w:b/>
                <w:szCs w:val="21"/>
              </w:rPr>
            </w:pPr>
            <w:r>
              <w:rPr>
                <w:rFonts w:hint="eastAsia" w:ascii="宋体" w:hAnsi="宋体" w:cs="宋体"/>
                <w:b/>
                <w:szCs w:val="21"/>
              </w:rPr>
              <w:t>评审部分</w:t>
            </w:r>
          </w:p>
        </w:tc>
        <w:tc>
          <w:tcPr>
            <w:tcW w:w="1147" w:type="dxa"/>
            <w:noWrap w:val="0"/>
            <w:vAlign w:val="center"/>
          </w:tcPr>
          <w:p w14:paraId="5BFA3C26">
            <w:pPr>
              <w:jc w:val="center"/>
              <w:rPr>
                <w:rFonts w:hint="eastAsia" w:ascii="宋体" w:hAnsi="宋体" w:cs="宋体"/>
                <w:b/>
                <w:szCs w:val="21"/>
              </w:rPr>
            </w:pPr>
            <w:r>
              <w:rPr>
                <w:rFonts w:hint="eastAsia" w:ascii="宋体" w:hAnsi="宋体" w:cs="宋体"/>
                <w:b/>
                <w:szCs w:val="21"/>
              </w:rPr>
              <w:t>评审因素</w:t>
            </w:r>
          </w:p>
        </w:tc>
        <w:tc>
          <w:tcPr>
            <w:tcW w:w="5843" w:type="dxa"/>
            <w:noWrap w:val="0"/>
            <w:vAlign w:val="center"/>
          </w:tcPr>
          <w:p w14:paraId="1561CBEA">
            <w:pPr>
              <w:jc w:val="center"/>
              <w:rPr>
                <w:rFonts w:hint="eastAsia" w:ascii="宋体" w:hAnsi="宋体" w:cs="宋体"/>
                <w:b/>
                <w:szCs w:val="21"/>
              </w:rPr>
            </w:pPr>
            <w:r>
              <w:rPr>
                <w:rFonts w:hint="eastAsia" w:ascii="宋体" w:hAnsi="宋体" w:cs="宋体"/>
                <w:b/>
                <w:szCs w:val="21"/>
              </w:rPr>
              <w:t>评分细则</w:t>
            </w:r>
          </w:p>
        </w:tc>
        <w:tc>
          <w:tcPr>
            <w:tcW w:w="778" w:type="dxa"/>
            <w:tcBorders>
              <w:left w:val="single" w:color="auto" w:sz="4" w:space="0"/>
            </w:tcBorders>
            <w:noWrap w:val="0"/>
            <w:vAlign w:val="center"/>
          </w:tcPr>
          <w:p w14:paraId="6B006880">
            <w:pPr>
              <w:jc w:val="center"/>
              <w:rPr>
                <w:rFonts w:hint="eastAsia" w:ascii="宋体" w:hAnsi="宋体" w:cs="宋体"/>
                <w:b/>
                <w:szCs w:val="21"/>
              </w:rPr>
            </w:pPr>
            <w:r>
              <w:rPr>
                <w:rFonts w:hint="eastAsia" w:ascii="宋体" w:hAnsi="宋体" w:cs="宋体"/>
                <w:b/>
                <w:szCs w:val="21"/>
              </w:rPr>
              <w:t>分值（分）</w:t>
            </w:r>
          </w:p>
        </w:tc>
      </w:tr>
      <w:tr w14:paraId="024A5FE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41" w:hRule="atLeast"/>
        </w:trPr>
        <w:tc>
          <w:tcPr>
            <w:tcW w:w="680" w:type="dxa"/>
            <w:noWrap w:val="0"/>
            <w:vAlign w:val="center"/>
          </w:tcPr>
          <w:p w14:paraId="1628CD5B">
            <w:pPr>
              <w:jc w:val="center"/>
              <w:rPr>
                <w:rFonts w:hint="eastAsia" w:ascii="宋体" w:hAnsi="宋体" w:cs="宋体"/>
                <w:b/>
                <w:szCs w:val="21"/>
              </w:rPr>
            </w:pPr>
            <w:r>
              <w:rPr>
                <w:rFonts w:hint="eastAsia" w:ascii="宋体" w:hAnsi="宋体" w:cs="宋体"/>
                <w:b/>
                <w:szCs w:val="21"/>
              </w:rPr>
              <w:t>一</w:t>
            </w:r>
          </w:p>
        </w:tc>
        <w:tc>
          <w:tcPr>
            <w:tcW w:w="7768" w:type="dxa"/>
            <w:gridSpan w:val="3"/>
            <w:noWrap w:val="0"/>
            <w:vAlign w:val="center"/>
          </w:tcPr>
          <w:p w14:paraId="328EFFE0">
            <w:pPr>
              <w:jc w:val="center"/>
              <w:rPr>
                <w:rFonts w:hint="eastAsia" w:ascii="宋体" w:hAnsi="宋体" w:cs="宋体"/>
                <w:b/>
                <w:szCs w:val="21"/>
              </w:rPr>
            </w:pPr>
            <w:r>
              <w:rPr>
                <w:rFonts w:hint="eastAsia" w:ascii="宋体" w:hAnsi="宋体" w:cs="宋体"/>
                <w:b/>
                <w:szCs w:val="21"/>
              </w:rPr>
              <w:t>技术部分（60分）</w:t>
            </w:r>
          </w:p>
        </w:tc>
      </w:tr>
      <w:tr w14:paraId="6840C4E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83" w:hRule="atLeast"/>
        </w:trPr>
        <w:tc>
          <w:tcPr>
            <w:tcW w:w="680" w:type="dxa"/>
            <w:tcBorders>
              <w:bottom w:val="single" w:color="auto" w:sz="4" w:space="0"/>
            </w:tcBorders>
            <w:noWrap w:val="0"/>
            <w:vAlign w:val="center"/>
          </w:tcPr>
          <w:p w14:paraId="437308AA">
            <w:pPr>
              <w:pStyle w:val="21"/>
              <w:numPr>
                <w:ilvl w:val="0"/>
                <w:numId w:val="1"/>
              </w:numPr>
              <w:ind w:left="0" w:firstLine="0" w:firstLineChars="0"/>
              <w:jc w:val="right"/>
              <w:rPr>
                <w:rFonts w:hint="eastAsia" w:ascii="宋体" w:hAnsi="宋体" w:cs="宋体"/>
                <w:szCs w:val="21"/>
              </w:rPr>
            </w:pPr>
          </w:p>
        </w:tc>
        <w:tc>
          <w:tcPr>
            <w:tcW w:w="1147" w:type="dxa"/>
            <w:noWrap w:val="0"/>
            <w:vAlign w:val="center"/>
          </w:tcPr>
          <w:p w14:paraId="2D5A6E06">
            <w:pPr>
              <w:jc w:val="center"/>
              <w:rPr>
                <w:rFonts w:hint="eastAsia" w:ascii="宋体" w:hAnsi="宋体" w:cs="宋体"/>
                <w:szCs w:val="21"/>
              </w:rPr>
            </w:pPr>
            <w:r>
              <w:rPr>
                <w:rFonts w:hint="eastAsia" w:ascii="宋体" w:hAnsi="宋体" w:cs="宋体"/>
                <w:szCs w:val="21"/>
              </w:rPr>
              <w:t>所投产品技术参数响应情况评价</w:t>
            </w:r>
          </w:p>
        </w:tc>
        <w:tc>
          <w:tcPr>
            <w:tcW w:w="5843" w:type="dxa"/>
            <w:noWrap w:val="0"/>
            <w:vAlign w:val="center"/>
          </w:tcPr>
          <w:p w14:paraId="6967B2AF">
            <w:pPr>
              <w:wordWrap w:val="0"/>
              <w:rPr>
                <w:rFonts w:hint="eastAsia" w:ascii="宋体" w:hAnsi="宋体" w:cs="宋体"/>
                <w:b/>
                <w:bCs/>
                <w:szCs w:val="21"/>
              </w:rPr>
            </w:pPr>
            <w:r>
              <w:rPr>
                <w:rFonts w:hint="eastAsia" w:ascii="宋体" w:hAnsi="宋体" w:cs="宋体"/>
                <w:b/>
                <w:bCs/>
                <w:szCs w:val="21"/>
              </w:rPr>
              <w:t>（一）评分内容：</w:t>
            </w:r>
          </w:p>
          <w:p w14:paraId="0D9C1CB8">
            <w:pPr>
              <w:wordWrap w:val="0"/>
              <w:rPr>
                <w:rFonts w:hint="eastAsia" w:ascii="宋体" w:hAnsi="宋体" w:cs="宋体"/>
                <w:szCs w:val="21"/>
              </w:rPr>
            </w:pPr>
            <w:r>
              <w:rPr>
                <w:rFonts w:hint="eastAsia" w:ascii="宋体" w:hAnsi="宋体"/>
                <w:szCs w:val="21"/>
              </w:rPr>
              <w:t>“一、主要技术及系统要求”部分</w:t>
            </w:r>
            <w:r>
              <w:rPr>
                <w:rFonts w:hint="eastAsia" w:ascii="宋体" w:hAnsi="宋体" w:cs="宋体"/>
                <w:szCs w:val="21"/>
              </w:rPr>
              <w:t>技术参数全部满足得60分；每负偏离一项扣</w:t>
            </w:r>
            <w:r>
              <w:rPr>
                <w:rFonts w:hint="eastAsia" w:ascii="宋体" w:hAnsi="宋体" w:cs="宋体"/>
                <w:szCs w:val="21"/>
                <w:lang w:val="en-US" w:eastAsia="zh-CN"/>
              </w:rPr>
              <w:t>7.5</w:t>
            </w:r>
            <w:r>
              <w:rPr>
                <w:rFonts w:hint="eastAsia" w:ascii="宋体" w:hAnsi="宋体" w:cs="宋体"/>
                <w:szCs w:val="21"/>
              </w:rPr>
              <w:t>分，最低0分。</w:t>
            </w:r>
          </w:p>
          <w:p w14:paraId="5D72B71E">
            <w:pPr>
              <w:jc w:val="left"/>
              <w:rPr>
                <w:rFonts w:hint="eastAsia" w:ascii="宋体" w:hAnsi="宋体" w:cs="宋体"/>
                <w:b/>
                <w:bCs/>
                <w:szCs w:val="21"/>
              </w:rPr>
            </w:pPr>
            <w:r>
              <w:rPr>
                <w:rFonts w:hint="eastAsia" w:ascii="宋体" w:hAnsi="宋体" w:cs="宋体"/>
                <w:b/>
                <w:bCs/>
                <w:szCs w:val="21"/>
              </w:rPr>
              <w:t>（二）评审依据：</w:t>
            </w:r>
          </w:p>
          <w:p w14:paraId="72D49EC5">
            <w:pPr>
              <w:jc w:val="left"/>
              <w:rPr>
                <w:rFonts w:hint="eastAsia" w:ascii="宋体" w:hAnsi="宋体" w:cs="宋体"/>
                <w:szCs w:val="21"/>
              </w:rPr>
            </w:pPr>
            <w:r>
              <w:rPr>
                <w:rFonts w:hint="eastAsia" w:ascii="宋体" w:hAnsi="宋体" w:cs="宋体"/>
                <w:szCs w:val="21"/>
              </w:rPr>
              <w:t>《</w:t>
            </w:r>
            <w:r>
              <w:rPr>
                <w:rFonts w:hint="eastAsia" w:ascii="宋体" w:hAnsi="宋体" w:cs="宋体"/>
                <w:kern w:val="0"/>
                <w:szCs w:val="21"/>
              </w:rPr>
              <w:t>用户需求书条款响应一览表</w:t>
            </w:r>
            <w:r>
              <w:rPr>
                <w:rFonts w:hint="eastAsia" w:ascii="宋体" w:hAnsi="宋体" w:cs="宋体"/>
                <w:szCs w:val="21"/>
              </w:rPr>
              <w:t>》。</w:t>
            </w:r>
          </w:p>
        </w:tc>
        <w:tc>
          <w:tcPr>
            <w:tcW w:w="778" w:type="dxa"/>
            <w:tcBorders>
              <w:left w:val="single" w:color="auto" w:sz="4" w:space="0"/>
            </w:tcBorders>
            <w:noWrap w:val="0"/>
            <w:vAlign w:val="center"/>
          </w:tcPr>
          <w:p w14:paraId="0DF5D354">
            <w:pPr>
              <w:jc w:val="center"/>
              <w:rPr>
                <w:rFonts w:ascii="宋体" w:hAnsi="宋体" w:cs="宋体"/>
                <w:szCs w:val="21"/>
              </w:rPr>
            </w:pPr>
            <w:r>
              <w:rPr>
                <w:rFonts w:hint="eastAsia" w:ascii="宋体" w:hAnsi="宋体" w:cs="宋体"/>
                <w:szCs w:val="21"/>
              </w:rPr>
              <w:t>60</w:t>
            </w:r>
          </w:p>
        </w:tc>
      </w:tr>
      <w:tr w14:paraId="0C91574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87" w:hRule="atLeast"/>
        </w:trPr>
        <w:tc>
          <w:tcPr>
            <w:tcW w:w="680" w:type="dxa"/>
            <w:tcBorders>
              <w:top w:val="single" w:color="auto" w:sz="4" w:space="0"/>
            </w:tcBorders>
            <w:noWrap w:val="0"/>
            <w:vAlign w:val="center"/>
          </w:tcPr>
          <w:p w14:paraId="4475F6A2">
            <w:pPr>
              <w:jc w:val="center"/>
              <w:rPr>
                <w:rFonts w:hint="eastAsia" w:ascii="宋体" w:hAnsi="宋体" w:cs="宋体"/>
                <w:b/>
                <w:szCs w:val="21"/>
              </w:rPr>
            </w:pPr>
            <w:r>
              <w:rPr>
                <w:rFonts w:hint="eastAsia" w:ascii="宋体" w:hAnsi="宋体" w:cs="宋体"/>
                <w:b/>
                <w:szCs w:val="21"/>
              </w:rPr>
              <w:t>二</w:t>
            </w:r>
          </w:p>
        </w:tc>
        <w:tc>
          <w:tcPr>
            <w:tcW w:w="7768" w:type="dxa"/>
            <w:gridSpan w:val="3"/>
            <w:noWrap w:val="0"/>
            <w:vAlign w:val="center"/>
          </w:tcPr>
          <w:p w14:paraId="72E4D2A5">
            <w:pPr>
              <w:jc w:val="center"/>
              <w:rPr>
                <w:rFonts w:hint="eastAsia" w:ascii="宋体" w:hAnsi="宋体" w:cs="宋体"/>
                <w:b/>
                <w:szCs w:val="21"/>
              </w:rPr>
            </w:pPr>
            <w:r>
              <w:rPr>
                <w:rFonts w:hint="eastAsia" w:ascii="宋体" w:hAnsi="宋体" w:cs="宋体"/>
                <w:b/>
                <w:szCs w:val="21"/>
              </w:rPr>
              <w:t>商务部分（10分）</w:t>
            </w:r>
          </w:p>
        </w:tc>
      </w:tr>
      <w:tr w14:paraId="2E2020C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83" w:hRule="atLeast"/>
        </w:trPr>
        <w:tc>
          <w:tcPr>
            <w:tcW w:w="680" w:type="dxa"/>
            <w:tcBorders>
              <w:bottom w:val="single" w:color="auto" w:sz="4" w:space="0"/>
            </w:tcBorders>
            <w:noWrap w:val="0"/>
            <w:vAlign w:val="center"/>
          </w:tcPr>
          <w:p w14:paraId="493AF9AF">
            <w:pPr>
              <w:pStyle w:val="21"/>
              <w:numPr>
                <w:ilvl w:val="0"/>
                <w:numId w:val="2"/>
              </w:numPr>
              <w:ind w:left="0" w:firstLine="0" w:firstLineChars="0"/>
              <w:jc w:val="center"/>
              <w:rPr>
                <w:rFonts w:hint="eastAsia" w:ascii="宋体" w:hAnsi="宋体" w:cs="宋体"/>
                <w:szCs w:val="21"/>
              </w:rPr>
            </w:pPr>
          </w:p>
        </w:tc>
        <w:tc>
          <w:tcPr>
            <w:tcW w:w="1147" w:type="dxa"/>
            <w:noWrap w:val="0"/>
            <w:vAlign w:val="center"/>
          </w:tcPr>
          <w:p w14:paraId="166E270A">
            <w:pPr>
              <w:jc w:val="center"/>
              <w:rPr>
                <w:rFonts w:hint="eastAsia" w:ascii="宋体" w:hAnsi="宋体" w:cs="宋体"/>
                <w:szCs w:val="21"/>
              </w:rPr>
            </w:pPr>
            <w:r>
              <w:rPr>
                <w:rFonts w:hint="eastAsia" w:ascii="宋体" w:hAnsi="宋体" w:eastAsia="宋体" w:cs="宋体"/>
                <w:color w:val="auto"/>
                <w:sz w:val="21"/>
                <w:szCs w:val="21"/>
                <w:lang w:val="en-US" w:eastAsia="zh-CN"/>
              </w:rPr>
              <w:t>项目实施方案</w:t>
            </w:r>
          </w:p>
        </w:tc>
        <w:tc>
          <w:tcPr>
            <w:tcW w:w="5843" w:type="dxa"/>
            <w:noWrap w:val="0"/>
            <w:vAlign w:val="top"/>
          </w:tcPr>
          <w:p w14:paraId="0F582EBF">
            <w:pPr>
              <w:keepNext w:val="0"/>
              <w:keepLines w:val="0"/>
              <w:pageBreakBefore w:val="0"/>
              <w:kinsoku/>
              <w:wordWrap w:val="0"/>
              <w:overflowPunct/>
              <w:topLinePunct w:val="0"/>
              <w:bidi w:val="0"/>
              <w:adjustRightInd/>
              <w:snapToGrid/>
              <w:spacing w:line="240" w:lineRule="auto"/>
              <w:ind w:left="0" w:leftChars="0" w:right="0" w:rightChars="0" w:firstLine="0" w:firstLineChars="0"/>
              <w:textAlignment w:val="auto"/>
              <w:rPr>
                <w:rFonts w:hint="eastAsia" w:ascii="宋体" w:hAnsi="宋体" w:eastAsia="宋体" w:cs="宋体"/>
                <w:b/>
                <w:bCs/>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（一）评分内容：</w:t>
            </w:r>
          </w:p>
          <w:p w14:paraId="476C8358">
            <w:pPr>
              <w:keepNext w:val="0"/>
              <w:keepLines w:val="0"/>
              <w:pageBreakBefore w:val="0"/>
              <w:kinsoku/>
              <w:wordWrap w:val="0"/>
              <w:overflowPunct/>
              <w:topLinePunct w:val="0"/>
              <w:bidi w:val="0"/>
              <w:adjustRightInd/>
              <w:snapToGrid/>
              <w:spacing w:line="240" w:lineRule="auto"/>
              <w:ind w:left="0" w:leftChars="0" w:right="0" w:rightChars="0" w:firstLine="0" w:firstLineChars="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xml:space="preserve">投标人针对本项目提供的项目实施方案，包括但不限于以下内容： </w:t>
            </w:r>
          </w:p>
          <w:p w14:paraId="351E8FB8">
            <w:pPr>
              <w:keepNext w:val="0"/>
              <w:keepLines w:val="0"/>
              <w:pageBreakBefore w:val="0"/>
              <w:kinsoku/>
              <w:wordWrap w:val="0"/>
              <w:overflowPunct/>
              <w:topLinePunct w:val="0"/>
              <w:bidi w:val="0"/>
              <w:adjustRightInd/>
              <w:snapToGrid/>
              <w:spacing w:line="240" w:lineRule="auto"/>
              <w:ind w:left="0" w:leftChars="0" w:right="0" w:rightChars="0" w:firstLine="0" w:firstLineChars="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xml:space="preserve">1.项目到货计划； </w:t>
            </w:r>
          </w:p>
          <w:p w14:paraId="35E6C4EA">
            <w:pPr>
              <w:keepNext w:val="0"/>
              <w:keepLines w:val="0"/>
              <w:pageBreakBefore w:val="0"/>
              <w:kinsoku/>
              <w:wordWrap w:val="0"/>
              <w:overflowPunct/>
              <w:topLinePunct w:val="0"/>
              <w:bidi w:val="0"/>
              <w:adjustRightInd/>
              <w:snapToGrid/>
              <w:spacing w:line="240" w:lineRule="auto"/>
              <w:ind w:left="0" w:leftChars="0" w:right="0" w:rightChars="0" w:firstLine="0" w:firstLineChars="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xml:space="preserve">2.项目实施计划； </w:t>
            </w:r>
          </w:p>
          <w:p w14:paraId="4CA1EBA1">
            <w:pPr>
              <w:keepNext w:val="0"/>
              <w:keepLines w:val="0"/>
              <w:pageBreakBefore w:val="0"/>
              <w:kinsoku/>
              <w:wordWrap w:val="0"/>
              <w:overflowPunct/>
              <w:topLinePunct w:val="0"/>
              <w:bidi w:val="0"/>
              <w:adjustRightInd/>
              <w:snapToGrid/>
              <w:spacing w:line="240" w:lineRule="auto"/>
              <w:ind w:left="0" w:leftChars="0" w:right="0" w:rightChars="0" w:firstLine="0" w:firstLineChars="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xml:space="preserve">3.项目运输保障； </w:t>
            </w:r>
          </w:p>
          <w:p w14:paraId="6CCB8329">
            <w:pPr>
              <w:keepNext w:val="0"/>
              <w:keepLines w:val="0"/>
              <w:pageBreakBefore w:val="0"/>
              <w:kinsoku/>
              <w:wordWrap w:val="0"/>
              <w:overflowPunct/>
              <w:topLinePunct w:val="0"/>
              <w:bidi w:val="0"/>
              <w:adjustRightInd/>
              <w:snapToGrid/>
              <w:spacing w:line="240" w:lineRule="auto"/>
              <w:ind w:left="0" w:leftChars="0" w:right="0" w:rightChars="0" w:firstLine="0" w:firstLineChars="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xml:space="preserve">4.安装调试（如计划步骤、人员安排等）。 </w:t>
            </w:r>
          </w:p>
          <w:p w14:paraId="764B5B8A">
            <w:pPr>
              <w:keepNext w:val="0"/>
              <w:keepLines w:val="0"/>
              <w:pageBreakBefore w:val="0"/>
              <w:kinsoku/>
              <w:wordWrap w:val="0"/>
              <w:overflowPunct/>
              <w:topLinePunct w:val="0"/>
              <w:bidi w:val="0"/>
              <w:adjustRightInd/>
              <w:snapToGrid/>
              <w:spacing w:line="240" w:lineRule="auto"/>
              <w:ind w:left="0" w:leftChars="0" w:right="0" w:rightChars="0" w:firstLine="0" w:firstLineChars="0"/>
              <w:textAlignment w:val="auto"/>
              <w:rPr>
                <w:rFonts w:hint="eastAsia" w:ascii="宋体" w:hAnsi="宋体" w:eastAsia="宋体" w:cs="宋体"/>
                <w:b/>
                <w:bCs/>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（二）评分依据：</w:t>
            </w:r>
          </w:p>
          <w:p w14:paraId="019B5D9E">
            <w:pPr>
              <w:keepNext w:val="0"/>
              <w:keepLines w:val="0"/>
              <w:pageBreakBefore w:val="0"/>
              <w:kinsoku/>
              <w:wordWrap w:val="0"/>
              <w:overflowPunct/>
              <w:topLinePunct w:val="0"/>
              <w:bidi w:val="0"/>
              <w:adjustRightInd/>
              <w:snapToGrid/>
              <w:spacing w:line="240" w:lineRule="auto"/>
              <w:ind w:left="0" w:leftChars="0" w:right="0" w:rightChars="0" w:firstLine="0" w:firstLineChars="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xml:space="preserve">1.以上内容，每提供一点得1分，最高得4分。 </w:t>
            </w:r>
          </w:p>
          <w:p w14:paraId="6FD860CA">
            <w:pPr>
              <w:keepNext w:val="0"/>
              <w:keepLines w:val="0"/>
              <w:pageBreakBefore w:val="0"/>
              <w:kinsoku/>
              <w:wordWrap w:val="0"/>
              <w:overflowPunct/>
              <w:topLinePunct w:val="0"/>
              <w:bidi w:val="0"/>
              <w:adjustRightInd/>
              <w:snapToGrid/>
              <w:spacing w:line="240" w:lineRule="auto"/>
              <w:ind w:left="0" w:leftChars="0" w:right="0" w:rightChars="0" w:firstLine="0" w:firstLineChars="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xml:space="preserve">2.在此基础上，专家根据各供应商的具体响应内容按照量化的评审因素指标进一步评审： </w:t>
            </w:r>
          </w:p>
          <w:p w14:paraId="590FA5E6">
            <w:pPr>
              <w:keepNext w:val="0"/>
              <w:keepLines w:val="0"/>
              <w:pageBreakBefore w:val="0"/>
              <w:kinsoku/>
              <w:wordWrap w:val="0"/>
              <w:overflowPunct/>
              <w:topLinePunct w:val="0"/>
              <w:bidi w:val="0"/>
              <w:adjustRightInd/>
              <w:snapToGrid/>
              <w:spacing w:line="240" w:lineRule="auto"/>
              <w:ind w:left="0" w:leftChars="0" w:right="0" w:rightChars="0" w:firstLine="0" w:firstLineChars="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xml:space="preserve">（1）投标文件响应内容全面； </w:t>
            </w:r>
          </w:p>
          <w:p w14:paraId="61DBF473">
            <w:pPr>
              <w:keepNext w:val="0"/>
              <w:keepLines w:val="0"/>
              <w:pageBreakBefore w:val="0"/>
              <w:kinsoku/>
              <w:wordWrap w:val="0"/>
              <w:overflowPunct/>
              <w:topLinePunct w:val="0"/>
              <w:bidi w:val="0"/>
              <w:adjustRightInd/>
              <w:snapToGrid/>
              <w:spacing w:line="240" w:lineRule="auto"/>
              <w:ind w:left="0" w:leftChars="0" w:right="0" w:rightChars="0" w:firstLine="0" w:firstLineChars="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xml:space="preserve">（2）投标文件响应内容具体； </w:t>
            </w:r>
          </w:p>
          <w:p w14:paraId="3BC1AFEA">
            <w:pPr>
              <w:keepNext w:val="0"/>
              <w:keepLines w:val="0"/>
              <w:pageBreakBefore w:val="0"/>
              <w:kinsoku/>
              <w:wordWrap w:val="0"/>
              <w:overflowPunct/>
              <w:topLinePunct w:val="0"/>
              <w:bidi w:val="0"/>
              <w:adjustRightInd/>
              <w:snapToGrid/>
              <w:spacing w:line="240" w:lineRule="auto"/>
              <w:ind w:left="0" w:leftChars="0" w:right="0" w:rightChars="0" w:firstLine="0" w:firstLineChars="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xml:space="preserve">（3）投标文件响应内容针对性强； </w:t>
            </w:r>
          </w:p>
          <w:p w14:paraId="4F62339A">
            <w:pPr>
              <w:keepNext w:val="0"/>
              <w:keepLines w:val="0"/>
              <w:pageBreakBefore w:val="0"/>
              <w:kinsoku/>
              <w:wordWrap w:val="0"/>
              <w:overflowPunct/>
              <w:topLinePunct w:val="0"/>
              <w:bidi w:val="0"/>
              <w:adjustRightInd/>
              <w:snapToGrid/>
              <w:spacing w:line="240" w:lineRule="auto"/>
              <w:ind w:left="0" w:leftChars="0" w:right="0" w:rightChars="0" w:firstLine="0" w:firstLineChars="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xml:space="preserve">（4）投标文件响应内容科学合理； </w:t>
            </w:r>
          </w:p>
          <w:p w14:paraId="6A3E447F">
            <w:pPr>
              <w:keepNext w:val="0"/>
              <w:keepLines w:val="0"/>
              <w:pageBreakBefore w:val="0"/>
              <w:kinsoku/>
              <w:wordWrap w:val="0"/>
              <w:overflowPunct/>
              <w:topLinePunct w:val="0"/>
              <w:bidi w:val="0"/>
              <w:adjustRightInd/>
              <w:snapToGrid/>
              <w:spacing w:line="240" w:lineRule="auto"/>
              <w:ind w:left="0" w:leftChars="0" w:right="0" w:rightChars="0" w:firstLine="0" w:firstLineChars="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xml:space="preserve">（5）投标文件响应内容可操作性强。 </w:t>
            </w:r>
          </w:p>
          <w:p w14:paraId="363F99D3">
            <w:pPr>
              <w:wordWrap w:val="0"/>
              <w:rPr>
                <w:rFonts w:hint="eastAsia" w:ascii="宋体" w:hAnsi="宋体" w:cs="宋体"/>
                <w:szCs w:val="21"/>
              </w:rPr>
            </w:pPr>
            <w:r>
              <w:rPr>
                <w:rFonts w:hint="eastAsia" w:ascii="宋体" w:hAnsi="宋体" w:eastAsia="宋体" w:cs="宋体"/>
                <w:color w:val="auto"/>
                <w:kern w:val="2"/>
                <w:sz w:val="21"/>
                <w:szCs w:val="21"/>
                <w:lang w:val="en-US" w:eastAsia="zh-CN" w:bidi="ar-SA"/>
              </w:rPr>
              <w:t>满足以上五项要求的评价为优,加4分； 满足以上四项要求的评价为良,加2分； 满足以上三项要求的评价为中,加1分； 其他情况评价为差,不加分。</w:t>
            </w:r>
          </w:p>
        </w:tc>
        <w:tc>
          <w:tcPr>
            <w:tcW w:w="778" w:type="dxa"/>
            <w:tcBorders>
              <w:left w:val="single" w:color="auto" w:sz="4" w:space="0"/>
            </w:tcBorders>
            <w:noWrap w:val="0"/>
            <w:vAlign w:val="center"/>
          </w:tcPr>
          <w:p w14:paraId="2C6DEB20">
            <w:pPr>
              <w:wordWrap w:val="0"/>
              <w:jc w:val="center"/>
              <w:rPr>
                <w:rFonts w:hint="eastAsia" w:ascii="宋体" w:hAnsi="宋体" w:cs="宋体" w:eastAsiaTheme="minorEastAsia"/>
                <w:szCs w:val="21"/>
                <w:lang w:eastAsia="zh-CN"/>
              </w:rPr>
            </w:pPr>
            <w:r>
              <w:rPr>
                <w:rFonts w:hint="eastAsia" w:ascii="宋体" w:hAnsi="宋体" w:cs="宋体"/>
                <w:szCs w:val="21"/>
                <w:lang w:val="en-US" w:eastAsia="zh-CN"/>
              </w:rPr>
              <w:t>8</w:t>
            </w:r>
          </w:p>
        </w:tc>
      </w:tr>
      <w:tr w14:paraId="69335EE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83" w:hRule="atLeast"/>
        </w:trPr>
        <w:tc>
          <w:tcPr>
            <w:tcW w:w="680" w:type="dxa"/>
            <w:tcBorders>
              <w:top w:val="single" w:color="auto" w:sz="4" w:space="0"/>
              <w:bottom w:val="single" w:color="auto" w:sz="4" w:space="0"/>
            </w:tcBorders>
            <w:noWrap w:val="0"/>
            <w:vAlign w:val="center"/>
          </w:tcPr>
          <w:p w14:paraId="52B0D4D0">
            <w:pPr>
              <w:pStyle w:val="21"/>
              <w:numPr>
                <w:ilvl w:val="0"/>
                <w:numId w:val="2"/>
              </w:numPr>
              <w:ind w:left="0" w:firstLine="0" w:firstLineChars="0"/>
              <w:jc w:val="center"/>
              <w:rPr>
                <w:rFonts w:hint="eastAsia" w:ascii="宋体" w:hAnsi="宋体" w:cs="宋体"/>
                <w:szCs w:val="21"/>
              </w:rPr>
            </w:pPr>
          </w:p>
        </w:tc>
        <w:tc>
          <w:tcPr>
            <w:tcW w:w="1147" w:type="dxa"/>
            <w:noWrap w:val="0"/>
            <w:vAlign w:val="center"/>
          </w:tcPr>
          <w:p w14:paraId="2FD67D27">
            <w:pPr>
              <w:wordWrap w:val="0"/>
              <w:jc w:val="center"/>
              <w:rPr>
                <w:rFonts w:hint="eastAsia" w:ascii="宋体" w:hAnsi="宋体" w:cs="宋体"/>
                <w:szCs w:val="21"/>
              </w:rPr>
            </w:pPr>
            <w:r>
              <w:rPr>
                <w:rFonts w:hint="eastAsia" w:ascii="宋体" w:hAnsi="宋体" w:cs="宋体"/>
                <w:szCs w:val="21"/>
              </w:rPr>
              <w:t>质保期</w:t>
            </w:r>
          </w:p>
        </w:tc>
        <w:tc>
          <w:tcPr>
            <w:tcW w:w="5843" w:type="dxa"/>
            <w:noWrap w:val="0"/>
            <w:vAlign w:val="top"/>
          </w:tcPr>
          <w:p w14:paraId="7574AFCE">
            <w:pPr>
              <w:wordWrap w:val="0"/>
              <w:rPr>
                <w:rFonts w:hint="eastAsia" w:ascii="宋体" w:hAnsi="宋体" w:cs="宋体"/>
                <w:b/>
                <w:szCs w:val="21"/>
              </w:rPr>
            </w:pPr>
            <w:r>
              <w:rPr>
                <w:rFonts w:hint="eastAsia" w:ascii="宋体" w:hAnsi="宋体" w:cs="宋体"/>
                <w:b/>
                <w:szCs w:val="21"/>
              </w:rPr>
              <w:t>（一）评分内容：</w:t>
            </w:r>
          </w:p>
          <w:p w14:paraId="52D663C7">
            <w:pPr>
              <w:wordWrap w:val="0"/>
              <w:rPr>
                <w:rFonts w:hint="eastAsia" w:ascii="宋体" w:hAnsi="宋体" w:cs="宋体"/>
                <w:szCs w:val="21"/>
              </w:rPr>
            </w:pPr>
            <w:r>
              <w:rPr>
                <w:rFonts w:hint="eastAsia" w:ascii="宋体" w:hAnsi="宋体" w:cs="宋体"/>
                <w:szCs w:val="21"/>
              </w:rPr>
              <w:t>必须满足用户质保要求的情况下，质保期每增加一年得0.5分，满分1分。</w:t>
            </w:r>
          </w:p>
          <w:p w14:paraId="504607A3">
            <w:pPr>
              <w:wordWrap w:val="0"/>
              <w:rPr>
                <w:rFonts w:hint="eastAsia" w:ascii="宋体" w:hAnsi="宋体" w:cs="宋体"/>
                <w:szCs w:val="21"/>
              </w:rPr>
            </w:pPr>
            <w:r>
              <w:rPr>
                <w:rFonts w:hint="eastAsia" w:ascii="宋体" w:hAnsi="宋体" w:cs="宋体"/>
                <w:b/>
                <w:szCs w:val="21"/>
              </w:rPr>
              <w:t>（二）评分依据：</w:t>
            </w:r>
          </w:p>
          <w:p w14:paraId="3418CA36">
            <w:pPr>
              <w:wordWrap w:val="0"/>
              <w:rPr>
                <w:rFonts w:hint="eastAsia" w:ascii="宋体" w:hAnsi="宋体" w:cs="宋体"/>
                <w:szCs w:val="21"/>
              </w:rPr>
            </w:pPr>
            <w:r>
              <w:rPr>
                <w:rFonts w:hint="eastAsia" w:ascii="宋体" w:hAnsi="宋体" w:cs="宋体"/>
                <w:szCs w:val="21"/>
              </w:rPr>
              <w:t>《</w:t>
            </w:r>
            <w:r>
              <w:rPr>
                <w:rFonts w:hint="eastAsia" w:ascii="宋体" w:hAnsi="宋体" w:cs="宋体"/>
                <w:kern w:val="0"/>
                <w:szCs w:val="21"/>
              </w:rPr>
              <w:t>用户需求书条款响应一览表</w:t>
            </w:r>
            <w:r>
              <w:rPr>
                <w:rFonts w:hint="eastAsia" w:ascii="宋体" w:hAnsi="宋体" w:cs="宋体"/>
                <w:szCs w:val="21"/>
              </w:rPr>
              <w:t>》</w:t>
            </w:r>
          </w:p>
        </w:tc>
        <w:tc>
          <w:tcPr>
            <w:tcW w:w="778" w:type="dxa"/>
            <w:tcBorders>
              <w:left w:val="single" w:color="auto" w:sz="4" w:space="0"/>
            </w:tcBorders>
            <w:noWrap w:val="0"/>
            <w:vAlign w:val="center"/>
          </w:tcPr>
          <w:p w14:paraId="27326163">
            <w:pPr>
              <w:wordWrap w:val="0"/>
              <w:jc w:val="center"/>
              <w:rPr>
                <w:rFonts w:hint="eastAsia" w:ascii="宋体" w:hAnsi="宋体" w:cs="宋体"/>
                <w:szCs w:val="21"/>
              </w:rPr>
            </w:pPr>
            <w:r>
              <w:rPr>
                <w:rFonts w:hint="eastAsia" w:ascii="宋体" w:hAnsi="宋体" w:cs="宋体"/>
                <w:szCs w:val="21"/>
              </w:rPr>
              <w:t>1</w:t>
            </w:r>
          </w:p>
        </w:tc>
      </w:tr>
      <w:tr w14:paraId="6E379C8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95" w:hRule="atLeast"/>
        </w:trPr>
        <w:tc>
          <w:tcPr>
            <w:tcW w:w="680" w:type="dxa"/>
            <w:tcBorders>
              <w:top w:val="single" w:color="auto" w:sz="4" w:space="0"/>
            </w:tcBorders>
            <w:noWrap w:val="0"/>
            <w:vAlign w:val="center"/>
          </w:tcPr>
          <w:p w14:paraId="2307AB2E">
            <w:pPr>
              <w:pStyle w:val="21"/>
              <w:numPr>
                <w:ilvl w:val="0"/>
                <w:numId w:val="2"/>
              </w:numPr>
              <w:ind w:left="0" w:firstLine="0" w:firstLineChars="0"/>
              <w:jc w:val="center"/>
              <w:rPr>
                <w:rFonts w:hint="eastAsia" w:ascii="宋体" w:hAnsi="宋体" w:cs="宋体"/>
                <w:szCs w:val="21"/>
              </w:rPr>
            </w:pPr>
          </w:p>
        </w:tc>
        <w:tc>
          <w:tcPr>
            <w:tcW w:w="1147" w:type="dxa"/>
            <w:noWrap w:val="0"/>
            <w:vAlign w:val="center"/>
          </w:tcPr>
          <w:p w14:paraId="0E64D814">
            <w:pPr>
              <w:jc w:val="center"/>
              <w:rPr>
                <w:rFonts w:hint="eastAsia" w:ascii="宋体" w:hAnsi="宋体" w:cs="宋体"/>
                <w:bCs/>
                <w:szCs w:val="21"/>
                <w:highlight w:val="green"/>
              </w:rPr>
            </w:pPr>
            <w:r>
              <w:rPr>
                <w:rFonts w:hint="eastAsia" w:ascii="宋体" w:hAnsi="宋体" w:cs="宋体"/>
                <w:szCs w:val="21"/>
              </w:rPr>
              <w:t>诚信</w:t>
            </w:r>
          </w:p>
        </w:tc>
        <w:tc>
          <w:tcPr>
            <w:tcW w:w="5843" w:type="dxa"/>
            <w:noWrap w:val="0"/>
            <w:vAlign w:val="center"/>
          </w:tcPr>
          <w:p w14:paraId="6EADC70C">
            <w:pPr>
              <w:jc w:val="left"/>
              <w:rPr>
                <w:rFonts w:hint="eastAsia" w:ascii="宋体" w:hAnsi="宋体" w:cs="宋体"/>
                <w:szCs w:val="21"/>
                <w:highlight w:val="yellow"/>
              </w:rPr>
            </w:pPr>
            <w:r>
              <w:rPr>
                <w:rFonts w:hint="eastAsia" w:ascii="宋体" w:hAnsi="宋体" w:cs="宋体"/>
                <w:szCs w:val="21"/>
              </w:rPr>
              <w:t>投标人在参与政府采购活动中存在诚信相关问题且在主管部门相关处理措施实施期限内的，本项不得分，否则得满分。投标人无需提供任何证明材料，由工作人员查询后向评审委员会提供相关信息。</w:t>
            </w:r>
          </w:p>
        </w:tc>
        <w:tc>
          <w:tcPr>
            <w:tcW w:w="778" w:type="dxa"/>
            <w:tcBorders>
              <w:left w:val="single" w:color="auto" w:sz="4" w:space="0"/>
            </w:tcBorders>
            <w:noWrap w:val="0"/>
            <w:vAlign w:val="center"/>
          </w:tcPr>
          <w:p w14:paraId="7EF39F6A">
            <w:pPr>
              <w:jc w:val="center"/>
              <w:rPr>
                <w:rFonts w:hint="eastAsia" w:ascii="宋体" w:hAnsi="宋体" w:cs="宋体" w:eastAsiaTheme="minorEastAsia"/>
                <w:szCs w:val="21"/>
                <w:lang w:val="en-US" w:eastAsia="zh-CN"/>
              </w:rPr>
            </w:pPr>
            <w:r>
              <w:rPr>
                <w:rFonts w:hint="eastAsia" w:ascii="宋体" w:hAnsi="宋体" w:cs="宋体"/>
                <w:szCs w:val="21"/>
                <w:lang w:val="en-US" w:eastAsia="zh-CN"/>
              </w:rPr>
              <w:t>1</w:t>
            </w:r>
          </w:p>
        </w:tc>
      </w:tr>
      <w:tr w14:paraId="7821C01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47" w:hRule="atLeast"/>
        </w:trPr>
        <w:tc>
          <w:tcPr>
            <w:tcW w:w="680" w:type="dxa"/>
            <w:tcBorders>
              <w:top w:val="single" w:color="auto" w:sz="4" w:space="0"/>
            </w:tcBorders>
            <w:noWrap w:val="0"/>
            <w:vAlign w:val="center"/>
          </w:tcPr>
          <w:p w14:paraId="41152C4A">
            <w:pPr>
              <w:jc w:val="center"/>
              <w:rPr>
                <w:rFonts w:hint="eastAsia" w:ascii="宋体" w:hAnsi="宋体" w:cs="宋体"/>
                <w:b/>
                <w:szCs w:val="21"/>
              </w:rPr>
            </w:pPr>
            <w:r>
              <w:rPr>
                <w:rFonts w:hint="eastAsia" w:ascii="宋体" w:hAnsi="宋体" w:cs="宋体"/>
                <w:b/>
                <w:szCs w:val="21"/>
              </w:rPr>
              <w:t>三</w:t>
            </w:r>
          </w:p>
        </w:tc>
        <w:tc>
          <w:tcPr>
            <w:tcW w:w="7768" w:type="dxa"/>
            <w:gridSpan w:val="3"/>
            <w:noWrap w:val="0"/>
            <w:vAlign w:val="center"/>
          </w:tcPr>
          <w:p w14:paraId="3514AC36">
            <w:pPr>
              <w:jc w:val="center"/>
              <w:rPr>
                <w:rFonts w:hint="eastAsia" w:ascii="宋体" w:hAnsi="宋体" w:cs="宋体"/>
                <w:b/>
                <w:szCs w:val="21"/>
              </w:rPr>
            </w:pPr>
            <w:r>
              <w:rPr>
                <w:rFonts w:hint="eastAsia" w:ascii="宋体" w:hAnsi="宋体" w:cs="宋体"/>
                <w:b/>
                <w:szCs w:val="21"/>
              </w:rPr>
              <w:t>价格部分（30分）</w:t>
            </w:r>
          </w:p>
        </w:tc>
      </w:tr>
      <w:tr w14:paraId="7E27DB9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20" w:hRule="atLeast"/>
        </w:trPr>
        <w:tc>
          <w:tcPr>
            <w:tcW w:w="680" w:type="dxa"/>
            <w:noWrap w:val="0"/>
            <w:vAlign w:val="center"/>
          </w:tcPr>
          <w:p w14:paraId="557650A0">
            <w:pPr>
              <w:jc w:val="center"/>
              <w:rPr>
                <w:rFonts w:hint="eastAsia" w:ascii="宋体" w:hAnsi="宋体" w:cs="宋体"/>
                <w:szCs w:val="21"/>
              </w:rPr>
            </w:pPr>
            <w:r>
              <w:rPr>
                <w:rFonts w:hint="eastAsia" w:ascii="宋体" w:hAnsi="宋体" w:cs="宋体"/>
                <w:szCs w:val="21"/>
              </w:rPr>
              <w:t>1</w:t>
            </w:r>
          </w:p>
        </w:tc>
        <w:tc>
          <w:tcPr>
            <w:tcW w:w="1147" w:type="dxa"/>
            <w:noWrap w:val="0"/>
            <w:vAlign w:val="center"/>
          </w:tcPr>
          <w:p w14:paraId="1E51331A">
            <w:pPr>
              <w:jc w:val="center"/>
              <w:rPr>
                <w:rFonts w:hint="eastAsia" w:ascii="宋体" w:hAnsi="宋体" w:cs="宋体"/>
                <w:szCs w:val="21"/>
              </w:rPr>
            </w:pPr>
            <w:r>
              <w:rPr>
                <w:rFonts w:hint="eastAsia" w:ascii="宋体" w:hAnsi="宋体" w:cs="宋体"/>
                <w:szCs w:val="21"/>
              </w:rPr>
              <w:t>投标报价</w:t>
            </w:r>
          </w:p>
        </w:tc>
        <w:tc>
          <w:tcPr>
            <w:tcW w:w="5843" w:type="dxa"/>
            <w:noWrap w:val="0"/>
            <w:vAlign w:val="center"/>
          </w:tcPr>
          <w:p w14:paraId="058CCAD2">
            <w:pPr>
              <w:autoSpaceDE w:val="0"/>
              <w:autoSpaceDN w:val="0"/>
              <w:rPr>
                <w:rFonts w:hint="eastAsia" w:ascii="宋体" w:hAnsi="宋体" w:cs="宋体"/>
                <w:kern w:val="0"/>
                <w:szCs w:val="21"/>
              </w:rPr>
            </w:pPr>
            <w:r>
              <w:rPr>
                <w:rFonts w:hint="eastAsia" w:ascii="宋体" w:hAnsi="宋体" w:cs="宋体"/>
                <w:kern w:val="0"/>
                <w:szCs w:val="21"/>
              </w:rPr>
              <w:t>价格分应当采用低价优先法计算，即满足招标文件要求且投标价格最低的投标报价为评标基准价，其价格分为满分。其他投标人的价格分统一按照下列公式计算：</w:t>
            </w:r>
          </w:p>
          <w:p w14:paraId="710E8821">
            <w:pPr>
              <w:widowControl/>
              <w:jc w:val="left"/>
              <w:rPr>
                <w:rFonts w:hint="eastAsia" w:ascii="宋体" w:hAnsi="宋体" w:cs="宋体"/>
                <w:kern w:val="0"/>
                <w:szCs w:val="21"/>
              </w:rPr>
            </w:pPr>
            <w:r>
              <w:rPr>
                <w:rFonts w:hint="eastAsia" w:ascii="宋体" w:hAnsi="宋体" w:cs="宋体"/>
                <w:kern w:val="0"/>
                <w:szCs w:val="21"/>
              </w:rPr>
              <w:t>投标报价得分=(评标基准价／投标报价)×100×权重</w:t>
            </w:r>
          </w:p>
          <w:p w14:paraId="56A94058">
            <w:pPr>
              <w:widowControl/>
              <w:jc w:val="left"/>
              <w:rPr>
                <w:rFonts w:hint="eastAsia" w:ascii="宋体" w:hAnsi="宋体" w:cs="宋体"/>
                <w:bCs/>
                <w:szCs w:val="21"/>
              </w:rPr>
            </w:pPr>
            <w:r>
              <w:rPr>
                <w:rFonts w:hint="eastAsia" w:ascii="宋体" w:hAnsi="宋体" w:cs="宋体"/>
                <w:bCs/>
                <w:szCs w:val="21"/>
              </w:rPr>
              <w:t>备注：</w:t>
            </w:r>
          </w:p>
          <w:p w14:paraId="7712D308">
            <w:pPr>
              <w:widowControl/>
              <w:jc w:val="left"/>
              <w:rPr>
                <w:rFonts w:hint="eastAsia" w:ascii="宋体" w:hAnsi="宋体" w:cs="宋体"/>
                <w:bCs/>
                <w:szCs w:val="21"/>
              </w:rPr>
            </w:pPr>
            <w:r>
              <w:rPr>
                <w:rFonts w:hint="eastAsia" w:ascii="宋体" w:hAnsi="宋体" w:cs="宋体"/>
                <w:bCs/>
                <w:szCs w:val="21"/>
              </w:rPr>
              <w:t>1、投标报价得分四舍五入后，</w:t>
            </w:r>
            <w:r>
              <w:rPr>
                <w:rFonts w:hint="eastAsia" w:ascii="宋体" w:hAnsi="宋体" w:cs="宋体"/>
                <w:szCs w:val="21"/>
              </w:rPr>
              <w:t>小数点后保留两位有效数</w:t>
            </w:r>
            <w:r>
              <w:rPr>
                <w:rFonts w:hint="eastAsia" w:ascii="宋体" w:hAnsi="宋体" w:cs="宋体"/>
                <w:bCs/>
                <w:szCs w:val="21"/>
              </w:rPr>
              <w:t>。</w:t>
            </w:r>
          </w:p>
          <w:p w14:paraId="4A564935">
            <w:pPr>
              <w:rPr>
                <w:rStyle w:val="13"/>
                <w:rFonts w:hint="eastAsia" w:ascii="宋体" w:hAnsi="宋体" w:cs="宋体"/>
              </w:rPr>
            </w:pPr>
            <w:r>
              <w:rPr>
                <w:rStyle w:val="13"/>
                <w:rFonts w:hint="eastAsia" w:ascii="宋体" w:hAnsi="宋体" w:cs="宋体"/>
              </w:rPr>
              <w:t>2、因落实政府采购政策进行价格调整的，以调整后的价格计算评标基准价和投标报价,详见《价格扣除》。</w:t>
            </w:r>
          </w:p>
        </w:tc>
        <w:tc>
          <w:tcPr>
            <w:tcW w:w="778" w:type="dxa"/>
            <w:tcBorders>
              <w:left w:val="single" w:color="auto" w:sz="4" w:space="0"/>
            </w:tcBorders>
            <w:noWrap w:val="0"/>
            <w:vAlign w:val="center"/>
          </w:tcPr>
          <w:p w14:paraId="265E2F4B">
            <w:pPr>
              <w:adjustRightInd w:val="0"/>
              <w:snapToGrid w:val="0"/>
              <w:jc w:val="center"/>
              <w:rPr>
                <w:rFonts w:hint="eastAsia" w:ascii="宋体" w:hAnsi="宋体" w:cs="宋体"/>
                <w:szCs w:val="21"/>
              </w:rPr>
            </w:pPr>
            <w:r>
              <w:rPr>
                <w:rFonts w:hint="eastAsia" w:ascii="宋体" w:hAnsi="宋体" w:cs="宋体"/>
                <w:szCs w:val="21"/>
              </w:rPr>
              <w:t>30</w:t>
            </w:r>
          </w:p>
        </w:tc>
      </w:tr>
      <w:tr w14:paraId="184527F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23" w:hRule="atLeast"/>
        </w:trPr>
        <w:tc>
          <w:tcPr>
            <w:tcW w:w="7670" w:type="dxa"/>
            <w:gridSpan w:val="3"/>
            <w:noWrap w:val="0"/>
            <w:vAlign w:val="center"/>
          </w:tcPr>
          <w:p w14:paraId="1564B66E">
            <w:pPr>
              <w:jc w:val="center"/>
              <w:rPr>
                <w:rFonts w:hint="eastAsia" w:ascii="宋体" w:hAnsi="宋体" w:cs="宋体"/>
                <w:szCs w:val="21"/>
              </w:rPr>
            </w:pPr>
            <w:r>
              <w:rPr>
                <w:rFonts w:hint="eastAsia" w:ascii="宋体" w:hAnsi="宋体" w:cs="宋体"/>
                <w:szCs w:val="21"/>
              </w:rPr>
              <w:t>合计</w:t>
            </w:r>
          </w:p>
        </w:tc>
        <w:tc>
          <w:tcPr>
            <w:tcW w:w="778" w:type="dxa"/>
            <w:tcBorders>
              <w:left w:val="single" w:color="auto" w:sz="4" w:space="0"/>
            </w:tcBorders>
            <w:noWrap w:val="0"/>
            <w:vAlign w:val="center"/>
          </w:tcPr>
          <w:p w14:paraId="6DA56F57">
            <w:pPr>
              <w:jc w:val="center"/>
              <w:rPr>
                <w:rFonts w:hint="eastAsia" w:ascii="宋体" w:hAnsi="宋体" w:cs="宋体"/>
                <w:szCs w:val="21"/>
              </w:rPr>
            </w:pPr>
            <w:r>
              <w:rPr>
                <w:rFonts w:hint="eastAsia" w:ascii="宋体" w:hAnsi="宋体" w:cs="宋体"/>
                <w:szCs w:val="21"/>
              </w:rPr>
              <w:t>100</w:t>
            </w:r>
          </w:p>
        </w:tc>
      </w:tr>
    </w:tbl>
    <w:p w14:paraId="7ECA0BE0">
      <w:pPr>
        <w:rPr>
          <w:rFonts w:hint="eastAsia" w:ascii="仿宋_GB2312" w:hAnsi="仿宋_GB2312" w:eastAsia="仿宋_GB2312" w:cs="仿宋_GB2312"/>
          <w:bCs/>
          <w:color w:val="000000"/>
          <w:sz w:val="32"/>
          <w:szCs w:val="32"/>
          <w:lang w:val="en-US" w:eastAsia="zh-CN"/>
        </w:rPr>
      </w:pPr>
    </w:p>
    <w:sectPr>
      <w:pgSz w:w="11906" w:h="16838"/>
      <w:pgMar w:top="1440" w:right="1803" w:bottom="1440" w:left="1803"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0"/>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4714A5A"/>
    <w:multiLevelType w:val="multilevel"/>
    <w:tmpl w:val="24714A5A"/>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C61AA2F"/>
    <w:multiLevelType w:val="singleLevel"/>
    <w:tmpl w:val="3C61AA2F"/>
    <w:lvl w:ilvl="0" w:tentative="0">
      <w:start w:val="1"/>
      <w:numFmt w:val="chineseCounting"/>
      <w:suff w:val="nothing"/>
      <w:lvlText w:val="（%1）"/>
      <w:lvlJc w:val="left"/>
      <w:rPr>
        <w:rFonts w:hint="eastAsia"/>
      </w:rPr>
    </w:lvl>
  </w:abstractNum>
  <w:abstractNum w:abstractNumId="2">
    <w:nsid w:val="7C2D25F0"/>
    <w:multiLevelType w:val="multilevel"/>
    <w:tmpl w:val="7C2D25F0"/>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I3MjcxZDViYjgyMzVhMmYxZmUyOGViZWI2ZmIyMWEifQ=="/>
  </w:docVars>
  <w:rsids>
    <w:rsidRoot w:val="00000000"/>
    <w:rsid w:val="003D4FC9"/>
    <w:rsid w:val="007F6C6F"/>
    <w:rsid w:val="00D638EE"/>
    <w:rsid w:val="00E77D93"/>
    <w:rsid w:val="00F27441"/>
    <w:rsid w:val="00F37DEA"/>
    <w:rsid w:val="01115B19"/>
    <w:rsid w:val="01CC7C92"/>
    <w:rsid w:val="025142C8"/>
    <w:rsid w:val="0273635F"/>
    <w:rsid w:val="029638CF"/>
    <w:rsid w:val="02F92D08"/>
    <w:rsid w:val="032F6F45"/>
    <w:rsid w:val="04185410"/>
    <w:rsid w:val="04265F2E"/>
    <w:rsid w:val="046E3282"/>
    <w:rsid w:val="05313B1A"/>
    <w:rsid w:val="05E77D3B"/>
    <w:rsid w:val="06113578"/>
    <w:rsid w:val="0627193B"/>
    <w:rsid w:val="0633208D"/>
    <w:rsid w:val="07261BF2"/>
    <w:rsid w:val="07972754"/>
    <w:rsid w:val="079E79DA"/>
    <w:rsid w:val="08BA3290"/>
    <w:rsid w:val="08BA4CE8"/>
    <w:rsid w:val="08C452ED"/>
    <w:rsid w:val="08C77405"/>
    <w:rsid w:val="08D4742C"/>
    <w:rsid w:val="08E66B26"/>
    <w:rsid w:val="09573E9A"/>
    <w:rsid w:val="09677D59"/>
    <w:rsid w:val="096E162E"/>
    <w:rsid w:val="09972933"/>
    <w:rsid w:val="09A45050"/>
    <w:rsid w:val="09FC4E8C"/>
    <w:rsid w:val="0A3208AE"/>
    <w:rsid w:val="0A913826"/>
    <w:rsid w:val="0A9A6B7F"/>
    <w:rsid w:val="0AB539B9"/>
    <w:rsid w:val="0AE465EC"/>
    <w:rsid w:val="0B23477F"/>
    <w:rsid w:val="0B9A481D"/>
    <w:rsid w:val="0BAD28E2"/>
    <w:rsid w:val="0C37664F"/>
    <w:rsid w:val="0C796C68"/>
    <w:rsid w:val="0CB52383"/>
    <w:rsid w:val="0D22141A"/>
    <w:rsid w:val="0D7F5F30"/>
    <w:rsid w:val="0D8628FC"/>
    <w:rsid w:val="0DBF4B4E"/>
    <w:rsid w:val="0E19425F"/>
    <w:rsid w:val="0E2A13FA"/>
    <w:rsid w:val="0F954423"/>
    <w:rsid w:val="0FAC491B"/>
    <w:rsid w:val="0FE80FB7"/>
    <w:rsid w:val="0FEF171B"/>
    <w:rsid w:val="1002041D"/>
    <w:rsid w:val="108654B0"/>
    <w:rsid w:val="10F36FE9"/>
    <w:rsid w:val="112F0C3F"/>
    <w:rsid w:val="11E10EBE"/>
    <w:rsid w:val="126971CF"/>
    <w:rsid w:val="13E363E1"/>
    <w:rsid w:val="141717F9"/>
    <w:rsid w:val="143B16C4"/>
    <w:rsid w:val="15123D9E"/>
    <w:rsid w:val="15724254"/>
    <w:rsid w:val="158C2D9C"/>
    <w:rsid w:val="159233F2"/>
    <w:rsid w:val="163C4F8E"/>
    <w:rsid w:val="163F4A7E"/>
    <w:rsid w:val="1653052A"/>
    <w:rsid w:val="16D43419"/>
    <w:rsid w:val="16DD6825"/>
    <w:rsid w:val="173B6FF4"/>
    <w:rsid w:val="17996410"/>
    <w:rsid w:val="17BD3EAD"/>
    <w:rsid w:val="182F6239"/>
    <w:rsid w:val="186662F2"/>
    <w:rsid w:val="18B74E5C"/>
    <w:rsid w:val="192621C4"/>
    <w:rsid w:val="19F62B74"/>
    <w:rsid w:val="1B087C4B"/>
    <w:rsid w:val="1B950C9D"/>
    <w:rsid w:val="1B966EEF"/>
    <w:rsid w:val="1BC11A92"/>
    <w:rsid w:val="1BCA6B98"/>
    <w:rsid w:val="1C2C7853"/>
    <w:rsid w:val="1C965990"/>
    <w:rsid w:val="1CF245F9"/>
    <w:rsid w:val="1D0122B7"/>
    <w:rsid w:val="1D8C5449"/>
    <w:rsid w:val="1F132604"/>
    <w:rsid w:val="1F5F3A9B"/>
    <w:rsid w:val="1F745799"/>
    <w:rsid w:val="1FD75D28"/>
    <w:rsid w:val="206550E2"/>
    <w:rsid w:val="20D03689"/>
    <w:rsid w:val="20DF30E6"/>
    <w:rsid w:val="215058A1"/>
    <w:rsid w:val="21696E53"/>
    <w:rsid w:val="220A5F40"/>
    <w:rsid w:val="2210107D"/>
    <w:rsid w:val="22244B28"/>
    <w:rsid w:val="23337719"/>
    <w:rsid w:val="247F6D7D"/>
    <w:rsid w:val="24D91964"/>
    <w:rsid w:val="24EA1BB2"/>
    <w:rsid w:val="25A052FA"/>
    <w:rsid w:val="26133E87"/>
    <w:rsid w:val="26296BB1"/>
    <w:rsid w:val="26A34050"/>
    <w:rsid w:val="26B7240F"/>
    <w:rsid w:val="270C275B"/>
    <w:rsid w:val="270E5883"/>
    <w:rsid w:val="27C83FC7"/>
    <w:rsid w:val="27C923FA"/>
    <w:rsid w:val="283C0E1E"/>
    <w:rsid w:val="283F26BC"/>
    <w:rsid w:val="28B9093F"/>
    <w:rsid w:val="28F45255"/>
    <w:rsid w:val="290217FA"/>
    <w:rsid w:val="29C25D11"/>
    <w:rsid w:val="29DA21BB"/>
    <w:rsid w:val="29F13DA9"/>
    <w:rsid w:val="29F3375E"/>
    <w:rsid w:val="2A141E18"/>
    <w:rsid w:val="2A5306A1"/>
    <w:rsid w:val="2AFE685E"/>
    <w:rsid w:val="2B8853B7"/>
    <w:rsid w:val="2C693825"/>
    <w:rsid w:val="2C8E59C0"/>
    <w:rsid w:val="2CA70830"/>
    <w:rsid w:val="2CE40EE6"/>
    <w:rsid w:val="2D5E3AFE"/>
    <w:rsid w:val="2DBD030B"/>
    <w:rsid w:val="2DC84F02"/>
    <w:rsid w:val="2DF67CC1"/>
    <w:rsid w:val="2E2A44CC"/>
    <w:rsid w:val="2E444588"/>
    <w:rsid w:val="2E7D5CEC"/>
    <w:rsid w:val="2EC4434D"/>
    <w:rsid w:val="2EDF2CF6"/>
    <w:rsid w:val="2F25260C"/>
    <w:rsid w:val="30744ECD"/>
    <w:rsid w:val="309A0DD7"/>
    <w:rsid w:val="310F3573"/>
    <w:rsid w:val="31336B36"/>
    <w:rsid w:val="31611710"/>
    <w:rsid w:val="318A0E4C"/>
    <w:rsid w:val="31A0241D"/>
    <w:rsid w:val="320E5F2E"/>
    <w:rsid w:val="3269445D"/>
    <w:rsid w:val="33353039"/>
    <w:rsid w:val="33BC72B7"/>
    <w:rsid w:val="33C85C5B"/>
    <w:rsid w:val="33E800AC"/>
    <w:rsid w:val="343432F1"/>
    <w:rsid w:val="346C2A8B"/>
    <w:rsid w:val="34781C01"/>
    <w:rsid w:val="34806536"/>
    <w:rsid w:val="348F0527"/>
    <w:rsid w:val="34C04B85"/>
    <w:rsid w:val="351729F7"/>
    <w:rsid w:val="35675000"/>
    <w:rsid w:val="3578720D"/>
    <w:rsid w:val="358341DF"/>
    <w:rsid w:val="359A3628"/>
    <w:rsid w:val="35AB6B9C"/>
    <w:rsid w:val="36363350"/>
    <w:rsid w:val="36BD137C"/>
    <w:rsid w:val="380534F8"/>
    <w:rsid w:val="39072D1B"/>
    <w:rsid w:val="39567866"/>
    <w:rsid w:val="3A030B80"/>
    <w:rsid w:val="3A1F234D"/>
    <w:rsid w:val="3A3951BD"/>
    <w:rsid w:val="3A96260F"/>
    <w:rsid w:val="3AD44EE6"/>
    <w:rsid w:val="3B2C6AD0"/>
    <w:rsid w:val="3B90705F"/>
    <w:rsid w:val="3CDC4526"/>
    <w:rsid w:val="3D0F2205"/>
    <w:rsid w:val="3D515C28"/>
    <w:rsid w:val="3D5B3C99"/>
    <w:rsid w:val="3DA52B6A"/>
    <w:rsid w:val="3DBB413B"/>
    <w:rsid w:val="3DCE0312"/>
    <w:rsid w:val="3DFC60C1"/>
    <w:rsid w:val="3E4203B8"/>
    <w:rsid w:val="3EB92FAC"/>
    <w:rsid w:val="3EE54071"/>
    <w:rsid w:val="3F0B2EA0"/>
    <w:rsid w:val="3F595FFD"/>
    <w:rsid w:val="3FF676AC"/>
    <w:rsid w:val="40232EE2"/>
    <w:rsid w:val="405A40DF"/>
    <w:rsid w:val="40B11C99"/>
    <w:rsid w:val="40EA138C"/>
    <w:rsid w:val="41872CB2"/>
    <w:rsid w:val="4191768D"/>
    <w:rsid w:val="41967399"/>
    <w:rsid w:val="41A01FC6"/>
    <w:rsid w:val="4281117C"/>
    <w:rsid w:val="42BD2703"/>
    <w:rsid w:val="42BD668F"/>
    <w:rsid w:val="42D068DB"/>
    <w:rsid w:val="43093EE9"/>
    <w:rsid w:val="435C016E"/>
    <w:rsid w:val="438A4CDB"/>
    <w:rsid w:val="43CF6E8A"/>
    <w:rsid w:val="43DF5027"/>
    <w:rsid w:val="44231643"/>
    <w:rsid w:val="44B738AE"/>
    <w:rsid w:val="44E83FF6"/>
    <w:rsid w:val="454D5FC1"/>
    <w:rsid w:val="45652D44"/>
    <w:rsid w:val="457C65AF"/>
    <w:rsid w:val="459C0CF6"/>
    <w:rsid w:val="45DE4351"/>
    <w:rsid w:val="46190610"/>
    <w:rsid w:val="463902F3"/>
    <w:rsid w:val="46A75BA4"/>
    <w:rsid w:val="46B143CD"/>
    <w:rsid w:val="47282607"/>
    <w:rsid w:val="47490A0A"/>
    <w:rsid w:val="4791488A"/>
    <w:rsid w:val="47E86474"/>
    <w:rsid w:val="48C97EF9"/>
    <w:rsid w:val="48F7696F"/>
    <w:rsid w:val="49263F6F"/>
    <w:rsid w:val="493B1131"/>
    <w:rsid w:val="496540B6"/>
    <w:rsid w:val="497612C2"/>
    <w:rsid w:val="49AE1470"/>
    <w:rsid w:val="4A3B6D2F"/>
    <w:rsid w:val="4AE24779"/>
    <w:rsid w:val="4AFC15E2"/>
    <w:rsid w:val="4B0C7002"/>
    <w:rsid w:val="4B383175"/>
    <w:rsid w:val="4B4F0B9C"/>
    <w:rsid w:val="4BD5286C"/>
    <w:rsid w:val="4C2832E3"/>
    <w:rsid w:val="4C540200"/>
    <w:rsid w:val="4CE52F83"/>
    <w:rsid w:val="4D7E765F"/>
    <w:rsid w:val="4DC91F90"/>
    <w:rsid w:val="4E651F3E"/>
    <w:rsid w:val="4EC45545"/>
    <w:rsid w:val="4ECA68D4"/>
    <w:rsid w:val="4ECC264C"/>
    <w:rsid w:val="4F0E4A13"/>
    <w:rsid w:val="4F381A8F"/>
    <w:rsid w:val="4F562B56"/>
    <w:rsid w:val="50FE2865"/>
    <w:rsid w:val="51181B78"/>
    <w:rsid w:val="512978E2"/>
    <w:rsid w:val="517F33F6"/>
    <w:rsid w:val="51BB18B5"/>
    <w:rsid w:val="5288688A"/>
    <w:rsid w:val="52CD0741"/>
    <w:rsid w:val="52D25D57"/>
    <w:rsid w:val="52F32C2E"/>
    <w:rsid w:val="53254F3F"/>
    <w:rsid w:val="533D6E69"/>
    <w:rsid w:val="53890B0C"/>
    <w:rsid w:val="53A21BCD"/>
    <w:rsid w:val="53A2397B"/>
    <w:rsid w:val="53D77AC9"/>
    <w:rsid w:val="53D911DB"/>
    <w:rsid w:val="53DF697E"/>
    <w:rsid w:val="5400226A"/>
    <w:rsid w:val="5455279C"/>
    <w:rsid w:val="548C4F43"/>
    <w:rsid w:val="55410F72"/>
    <w:rsid w:val="55452810"/>
    <w:rsid w:val="554E6B03"/>
    <w:rsid w:val="55777604"/>
    <w:rsid w:val="56892BD1"/>
    <w:rsid w:val="56BD287A"/>
    <w:rsid w:val="56D93B58"/>
    <w:rsid w:val="57007337"/>
    <w:rsid w:val="5717791D"/>
    <w:rsid w:val="57315742"/>
    <w:rsid w:val="5737087F"/>
    <w:rsid w:val="573E7E5F"/>
    <w:rsid w:val="57E00F16"/>
    <w:rsid w:val="58160210"/>
    <w:rsid w:val="58712EA8"/>
    <w:rsid w:val="58FF0405"/>
    <w:rsid w:val="59103CAB"/>
    <w:rsid w:val="5A44753A"/>
    <w:rsid w:val="5B215ACE"/>
    <w:rsid w:val="5B2C0A30"/>
    <w:rsid w:val="5B2D7FCE"/>
    <w:rsid w:val="5B9444F1"/>
    <w:rsid w:val="5C2A09B2"/>
    <w:rsid w:val="5C8E7D50"/>
    <w:rsid w:val="5D177188"/>
    <w:rsid w:val="5D2E6280"/>
    <w:rsid w:val="5D342504"/>
    <w:rsid w:val="5D83037A"/>
    <w:rsid w:val="5DCC30C8"/>
    <w:rsid w:val="5DD96B38"/>
    <w:rsid w:val="5E4C10B3"/>
    <w:rsid w:val="5EE74938"/>
    <w:rsid w:val="5F2142EE"/>
    <w:rsid w:val="5F797E33"/>
    <w:rsid w:val="5FB962D5"/>
    <w:rsid w:val="5FC30F01"/>
    <w:rsid w:val="5FF11EAE"/>
    <w:rsid w:val="601479AF"/>
    <w:rsid w:val="601B50B8"/>
    <w:rsid w:val="614E0C9F"/>
    <w:rsid w:val="61EA4E6B"/>
    <w:rsid w:val="624F2E59"/>
    <w:rsid w:val="62C92CD3"/>
    <w:rsid w:val="62DD677E"/>
    <w:rsid w:val="62EA2C49"/>
    <w:rsid w:val="63017740"/>
    <w:rsid w:val="63770981"/>
    <w:rsid w:val="64412728"/>
    <w:rsid w:val="64740A1C"/>
    <w:rsid w:val="648768D4"/>
    <w:rsid w:val="657302CB"/>
    <w:rsid w:val="661F70AE"/>
    <w:rsid w:val="664F1741"/>
    <w:rsid w:val="665E1984"/>
    <w:rsid w:val="665E7BD6"/>
    <w:rsid w:val="666F1DE3"/>
    <w:rsid w:val="667473F9"/>
    <w:rsid w:val="66A870A3"/>
    <w:rsid w:val="67203EB0"/>
    <w:rsid w:val="680F2684"/>
    <w:rsid w:val="68264723"/>
    <w:rsid w:val="683669EA"/>
    <w:rsid w:val="68844214"/>
    <w:rsid w:val="689F6284"/>
    <w:rsid w:val="691D5B26"/>
    <w:rsid w:val="694A61CA"/>
    <w:rsid w:val="69696A7E"/>
    <w:rsid w:val="697214D7"/>
    <w:rsid w:val="69990F25"/>
    <w:rsid w:val="69A07FDC"/>
    <w:rsid w:val="69C07DA6"/>
    <w:rsid w:val="69E5460A"/>
    <w:rsid w:val="69E64411"/>
    <w:rsid w:val="6A184540"/>
    <w:rsid w:val="6A65441C"/>
    <w:rsid w:val="6AE54422"/>
    <w:rsid w:val="6B637A3C"/>
    <w:rsid w:val="6B95409A"/>
    <w:rsid w:val="6BC8789F"/>
    <w:rsid w:val="6C111246"/>
    <w:rsid w:val="6C6E4708"/>
    <w:rsid w:val="6CA7753E"/>
    <w:rsid w:val="6CB542D7"/>
    <w:rsid w:val="6CCB17B2"/>
    <w:rsid w:val="6CCC2977"/>
    <w:rsid w:val="6D2B458A"/>
    <w:rsid w:val="6D733121"/>
    <w:rsid w:val="6E0E1EE1"/>
    <w:rsid w:val="6E861B75"/>
    <w:rsid w:val="6ECE1332"/>
    <w:rsid w:val="6F2F26C3"/>
    <w:rsid w:val="6F3516F0"/>
    <w:rsid w:val="6F6124E5"/>
    <w:rsid w:val="6FA50623"/>
    <w:rsid w:val="6FDF5799"/>
    <w:rsid w:val="70335C2F"/>
    <w:rsid w:val="7075422F"/>
    <w:rsid w:val="70AB4EF0"/>
    <w:rsid w:val="70DF1913"/>
    <w:rsid w:val="70ED4030"/>
    <w:rsid w:val="70F94D0A"/>
    <w:rsid w:val="71956476"/>
    <w:rsid w:val="71AC0BC7"/>
    <w:rsid w:val="71BA7C8A"/>
    <w:rsid w:val="71EA67C2"/>
    <w:rsid w:val="727177C1"/>
    <w:rsid w:val="72A801AB"/>
    <w:rsid w:val="72BF4312"/>
    <w:rsid w:val="731B600A"/>
    <w:rsid w:val="733345EA"/>
    <w:rsid w:val="735F6D3B"/>
    <w:rsid w:val="736B3932"/>
    <w:rsid w:val="73E3796C"/>
    <w:rsid w:val="74257F85"/>
    <w:rsid w:val="74463A57"/>
    <w:rsid w:val="747619DF"/>
    <w:rsid w:val="74980757"/>
    <w:rsid w:val="74F92AB7"/>
    <w:rsid w:val="75410DEE"/>
    <w:rsid w:val="75944076"/>
    <w:rsid w:val="75956A44"/>
    <w:rsid w:val="764F3097"/>
    <w:rsid w:val="767D654E"/>
    <w:rsid w:val="76C7558D"/>
    <w:rsid w:val="76D161A2"/>
    <w:rsid w:val="76E063E5"/>
    <w:rsid w:val="77040325"/>
    <w:rsid w:val="77570615"/>
    <w:rsid w:val="78454752"/>
    <w:rsid w:val="787D5FEB"/>
    <w:rsid w:val="78986F77"/>
    <w:rsid w:val="78AC2A23"/>
    <w:rsid w:val="78AF64EE"/>
    <w:rsid w:val="79206F6D"/>
    <w:rsid w:val="792D0AE3"/>
    <w:rsid w:val="795A5FDB"/>
    <w:rsid w:val="79880773"/>
    <w:rsid w:val="79C42B56"/>
    <w:rsid w:val="7A1F3A82"/>
    <w:rsid w:val="7A320D06"/>
    <w:rsid w:val="7AAF05A8"/>
    <w:rsid w:val="7CDC13FD"/>
    <w:rsid w:val="7D1C27B8"/>
    <w:rsid w:val="7D544344"/>
    <w:rsid w:val="7D767238"/>
    <w:rsid w:val="7DD935F2"/>
    <w:rsid w:val="7DEB5981"/>
    <w:rsid w:val="7E102A72"/>
    <w:rsid w:val="7E176B90"/>
    <w:rsid w:val="7E590F57"/>
    <w:rsid w:val="7E5F22E5"/>
    <w:rsid w:val="7E9520BA"/>
    <w:rsid w:val="7EA67F14"/>
    <w:rsid w:val="7EE54599"/>
    <w:rsid w:val="7F066EF6"/>
    <w:rsid w:val="7F2344FC"/>
    <w:rsid w:val="7F623D8C"/>
    <w:rsid w:val="7FD50AB1"/>
    <w:rsid w:val="7FFC4290"/>
    <w:rsid w:val="7FFC5B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qFormat/>
    <w:uiPriority w:val="0"/>
    <w:pPr>
      <w:widowControl w:val="0"/>
      <w:spacing w:before="0" w:after="120"/>
      <w:ind w:left="0" w:right="0"/>
      <w:jc w:val="both"/>
    </w:pPr>
    <w:rPr>
      <w:rFonts w:ascii="宋体" w:hAnsi="Times New Roman" w:eastAsia="Times New Roman" w:cs="Times New Roman"/>
      <w:kern w:val="0"/>
      <w:sz w:val="34"/>
      <w:szCs w:val="22"/>
      <w:lang w:bidi="ar-SA"/>
    </w:rPr>
  </w:style>
  <w:style w:type="paragraph" w:styleId="5">
    <w:name w:val="List 2"/>
    <w:basedOn w:val="1"/>
    <w:next w:val="6"/>
    <w:qFormat/>
    <w:uiPriority w:val="0"/>
    <w:pPr>
      <w:adjustRightInd w:val="0"/>
      <w:spacing w:line="312" w:lineRule="atLeast"/>
      <w:ind w:left="100" w:leftChars="200" w:hanging="200" w:hangingChars="200"/>
      <w:textAlignment w:val="baseline"/>
    </w:pPr>
    <w:rPr>
      <w:rFonts w:ascii="Calibri" w:hAnsi="Calibri" w:eastAsia="仿宋" w:cs="Times New Roman"/>
      <w:kern w:val="0"/>
      <w:sz w:val="32"/>
      <w:szCs w:val="20"/>
    </w:rPr>
  </w:style>
  <w:style w:type="paragraph" w:styleId="6">
    <w:name w:val="Plain Text"/>
    <w:basedOn w:val="1"/>
    <w:qFormat/>
    <w:uiPriority w:val="99"/>
    <w:pPr>
      <w:widowControl w:val="0"/>
      <w:adjustRightInd/>
      <w:snapToGrid/>
      <w:spacing w:after="0"/>
      <w:jc w:val="both"/>
    </w:pPr>
    <w:rPr>
      <w:rFonts w:ascii="宋体" w:hAnsi="Courier New"/>
      <w:sz w:val="21"/>
      <w:szCs w:val="21"/>
    </w:rPr>
  </w:style>
  <w:style w:type="paragraph" w:styleId="7">
    <w:name w:val="Normal (Web)"/>
    <w:basedOn w:val="1"/>
    <w:qFormat/>
    <w:uiPriority w:val="99"/>
    <w:pPr>
      <w:spacing w:beforeAutospacing="1" w:afterAutospacing="1"/>
      <w:jc w:val="left"/>
    </w:pPr>
    <w:rPr>
      <w:kern w:val="0"/>
      <w:sz w:val="24"/>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FollowedHyperlink"/>
    <w:basedOn w:val="10"/>
    <w:qFormat/>
    <w:uiPriority w:val="0"/>
    <w:rPr>
      <w:color w:val="223399"/>
      <w:u w:val="none"/>
    </w:rPr>
  </w:style>
  <w:style w:type="character" w:styleId="12">
    <w:name w:val="Hyperlink"/>
    <w:basedOn w:val="10"/>
    <w:qFormat/>
    <w:uiPriority w:val="0"/>
    <w:rPr>
      <w:color w:val="223399"/>
      <w:u w:val="none"/>
    </w:rPr>
  </w:style>
  <w:style w:type="character" w:styleId="13">
    <w:name w:val="annotation reference"/>
    <w:qFormat/>
    <w:uiPriority w:val="0"/>
    <w:rPr>
      <w:sz w:val="21"/>
      <w:szCs w:val="21"/>
    </w:rPr>
  </w:style>
  <w:style w:type="paragraph" w:customStyle="1" w:styleId="14">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
    <w:name w:val="BodyText"/>
    <w:basedOn w:val="1"/>
    <w:next w:val="1"/>
    <w:qFormat/>
    <w:uiPriority w:val="0"/>
    <w:pPr>
      <w:spacing w:after="120"/>
      <w:jc w:val="both"/>
      <w:textAlignment w:val="baseline"/>
    </w:pPr>
    <w:rPr>
      <w:rFonts w:ascii="Times New Roman" w:hAnsi="Times New Roman" w:eastAsia="宋体"/>
      <w:kern w:val="2"/>
      <w:sz w:val="21"/>
      <w:szCs w:val="24"/>
      <w:lang w:val="en-US" w:eastAsia="zh-CN" w:bidi="ar-SA"/>
    </w:rPr>
  </w:style>
  <w:style w:type="paragraph" w:customStyle="1" w:styleId="16">
    <w:name w:val="表格文字"/>
    <w:basedOn w:val="1"/>
    <w:qFormat/>
    <w:uiPriority w:val="0"/>
    <w:pPr>
      <w:spacing w:before="25" w:after="25" w:line="240" w:lineRule="auto"/>
      <w:ind w:firstLine="0"/>
      <w:jc w:val="left"/>
    </w:pPr>
    <w:rPr>
      <w:bCs/>
      <w:spacing w:val="10"/>
      <w:kern w:val="0"/>
      <w:sz w:val="24"/>
    </w:rPr>
  </w:style>
  <w:style w:type="paragraph" w:styleId="17">
    <w:name w:val="List Paragraph"/>
    <w:basedOn w:val="1"/>
    <w:qFormat/>
    <w:uiPriority w:val="34"/>
    <w:pPr>
      <w:ind w:firstLine="420" w:firstLineChars="200"/>
    </w:pPr>
    <w:rPr>
      <w:rFonts w:ascii="Calibri" w:hAnsi="Calibri"/>
      <w:szCs w:val="22"/>
    </w:rPr>
  </w:style>
  <w:style w:type="character" w:customStyle="1" w:styleId="18">
    <w:name w:val="NormalCharacter"/>
    <w:qFormat/>
    <w:uiPriority w:val="0"/>
    <w:rPr>
      <w:kern w:val="2"/>
      <w:sz w:val="21"/>
      <w:szCs w:val="24"/>
      <w:lang w:val="en-US" w:eastAsia="zh-CN" w:bidi="ar-SA"/>
    </w:rPr>
  </w:style>
  <w:style w:type="paragraph" w:customStyle="1" w:styleId="19">
    <w:name w:val="UserStyle_0"/>
    <w:qFormat/>
    <w:uiPriority w:val="0"/>
    <w:pPr>
      <w:jc w:val="both"/>
      <w:textAlignment w:val="baseline"/>
    </w:pPr>
    <w:rPr>
      <w:rFonts w:ascii="宋体" w:hAnsi="宋体" w:eastAsia="宋体" w:cs="Times New Roman"/>
      <w:kern w:val="2"/>
      <w:sz w:val="21"/>
      <w:szCs w:val="21"/>
      <w:lang w:val="en-US" w:eastAsia="zh-CN" w:bidi="ar-SA"/>
    </w:rPr>
  </w:style>
  <w:style w:type="character" w:customStyle="1" w:styleId="20">
    <w:name w:val="trans"/>
    <w:basedOn w:val="10"/>
    <w:qFormat/>
    <w:uiPriority w:val="0"/>
  </w:style>
  <w:style w:type="paragraph" w:customStyle="1" w:styleId="21">
    <w:name w:val="列出段落1"/>
    <w:basedOn w:val="1"/>
    <w:qFormat/>
    <w:uiPriority w:val="34"/>
    <w:pPr>
      <w:ind w:firstLine="420" w:firstLineChars="200"/>
    </w:pPr>
  </w:style>
  <w:style w:type="paragraph" w:customStyle="1" w:styleId="22">
    <w:name w:val="_Style 2"/>
    <w:qFormat/>
    <w:uiPriority w:val="1"/>
    <w:pPr>
      <w:adjustRightInd w:val="0"/>
      <w:snapToGrid w:val="0"/>
    </w:pPr>
    <w:rPr>
      <w:rFonts w:ascii="Tahoma" w:hAnsi="Tahoma" w:eastAsia="宋体" w:cs="Times New Roman"/>
      <w:sz w:val="22"/>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Pages>
  <Words>8598</Words>
  <Characters>9035</Characters>
  <Lines>0</Lines>
  <Paragraphs>0</Paragraphs>
  <TotalTime>20</TotalTime>
  <ScaleCrop>false</ScaleCrop>
  <LinksUpToDate>false</LinksUpToDate>
  <CharactersWithSpaces>9357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Administrator.DESKTOP-KKTAIDL</dc:creator>
  <cp:lastModifiedBy>如意</cp:lastModifiedBy>
  <dcterms:modified xsi:type="dcterms:W3CDTF">2026-07-29T01:51:35Z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7329EC7C712B453F85FCEC16DA64ED4A</vt:lpwstr>
  </property>
  <property fmtid="{D5CDD505-2E9C-101B-9397-08002B2CF9AE}" pid="4" name="KSOTemplateDocerSaveRecord">
    <vt:lpwstr>eyJoZGlkIjoiODg4YmUyZjVkMTRhYjZhNTA5MTQ0YjE5NThhODEwNjUiLCJ1c2VySWQiOiIxMDE4NjkxMTQ2In0=</vt:lpwstr>
  </property>
</Properties>
</file>