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kinsoku/>
        <w:wordWrap/>
        <w:overflowPunct/>
        <w:topLinePunct w:val="0"/>
        <w:bidi w:val="0"/>
        <w:spacing w:line="560" w:lineRule="exact"/>
        <w:rPr>
          <w:color w:val="auto"/>
          <w:sz w:val="18"/>
          <w:szCs w:val="18"/>
          <w:highlight w:val="none"/>
        </w:rPr>
      </w:pP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pPr>
        <w:keepLines w:val="0"/>
        <w:pageBreakBefore w:val="0"/>
        <w:kinsoku/>
        <w:wordWrap/>
        <w:overflowPunct/>
        <w:topLinePunct w:val="0"/>
        <w:bidi w:val="0"/>
        <w:spacing w:line="560" w:lineRule="exact"/>
        <w:jc w:val="center"/>
        <w:rPr>
          <w:rFonts w:ascii="宋体" w:hAnsi="宋体"/>
          <w:b/>
          <w:bCs/>
          <w:color w:val="auto"/>
          <w:sz w:val="44"/>
          <w:highlight w:val="none"/>
        </w:rPr>
      </w:pPr>
    </w:p>
    <w:p>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pPr>
        <w:keepLines w:val="0"/>
        <w:pageBreakBefore w:val="0"/>
        <w:kinsoku/>
        <w:wordWrap/>
        <w:overflowPunct/>
        <w:topLinePunct w:val="0"/>
        <w:bidi w:val="0"/>
        <w:spacing w:line="560" w:lineRule="exact"/>
        <w:jc w:val="center"/>
        <w:rPr>
          <w:rFonts w:ascii="宋体" w:hAnsi="宋体"/>
          <w:b/>
          <w:bCs/>
          <w:color w:val="auto"/>
          <w:sz w:val="44"/>
          <w:highlight w:val="none"/>
        </w:rPr>
      </w:pPr>
    </w:p>
    <w:p>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深圳市龙岗区第七人民医院消化内镜能量平台（氩气高频电刀）及内镜注水泵采购项目（第二次采购）</w:t>
      </w:r>
    </w:p>
    <w:p>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kern w:val="2"/>
          <w:sz w:val="36"/>
          <w:szCs w:val="36"/>
          <w:highlight w:val="none"/>
          <w:lang w:val="en-US" w:eastAsia="zh-CN" w:bidi="ar-SA"/>
        </w:rPr>
        <w:t>深龙七医采[LGQY2026SB006-1]</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货物</w:t>
      </w:r>
      <w:r>
        <w:rPr>
          <w:rFonts w:hint="eastAsia" w:ascii="仿宋_GB2312" w:hAnsi="仿宋_GB2312" w:eastAsia="仿宋_GB2312" w:cs="仿宋_GB2312"/>
          <w:color w:val="auto"/>
          <w:sz w:val="36"/>
          <w:szCs w:val="36"/>
          <w:highlight w:val="none"/>
        </w:rPr>
        <w:t>类</w:t>
      </w:r>
    </w:p>
    <w:p>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15.98万元</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pPr>
        <w:pStyle w:val="10"/>
        <w:keepLines w:val="0"/>
        <w:pageBreakBefore w:val="0"/>
        <w:kinsoku/>
        <w:wordWrap/>
        <w:overflowPunct/>
        <w:topLinePunct w:val="0"/>
        <w:bidi w:val="0"/>
        <w:spacing w:line="560" w:lineRule="exact"/>
        <w:rPr>
          <w:rFonts w:hint="default"/>
          <w:color w:val="auto"/>
          <w:highlight w:val="none"/>
        </w:rPr>
      </w:pPr>
    </w:p>
    <w:p>
      <w:pPr>
        <w:pStyle w:val="10"/>
        <w:keepLines w:val="0"/>
        <w:pageBreakBefore w:val="0"/>
        <w:kinsoku/>
        <w:wordWrap/>
        <w:overflowPunct/>
        <w:topLinePunct w:val="0"/>
        <w:bidi w:val="0"/>
        <w:spacing w:line="560" w:lineRule="exact"/>
        <w:rPr>
          <w:rFonts w:hint="default"/>
          <w:color w:val="auto"/>
          <w:szCs w:val="20"/>
          <w:highlight w:val="none"/>
        </w:rPr>
      </w:pPr>
    </w:p>
    <w:p>
      <w:pPr>
        <w:pStyle w:val="5"/>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3"/>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3"/>
        <w:keepLines w:val="0"/>
        <w:pageBreakBefore w:val="0"/>
        <w:kinsoku/>
        <w:wordWrap/>
        <w:overflowPunct/>
        <w:topLinePunct w:val="0"/>
        <w:bidi w:val="0"/>
        <w:spacing w:line="560" w:lineRule="exact"/>
        <w:ind w:firstLine="1920" w:firstLineChars="600"/>
        <w:rPr>
          <w:rFonts w:cs="宋体"/>
          <w:sz w:val="40"/>
          <w:szCs w:val="40"/>
          <w:highlight w:val="none"/>
        </w:rPr>
      </w:pPr>
      <w:r>
        <w:rPr>
          <w:rFonts w:ascii="仿宋_GB2312" w:hAnsi="仿宋_GB2312" w:eastAsia="仿宋_GB2312" w:cs="仿宋_GB2312"/>
          <w:sz w:val="32"/>
          <w:szCs w:val="32"/>
          <w:highlight w:val="none"/>
        </w:rPr>
        <w:t>日期：</w:t>
      </w:r>
      <w:r>
        <w:rPr>
          <w:rFonts w:hint="eastAsia" w:ascii="仿宋_GB2312" w:hAnsi="仿宋_GB2312" w:eastAsia="仿宋_GB2312" w:cs="仿宋_GB2312"/>
          <w:sz w:val="32"/>
          <w:szCs w:val="32"/>
          <w:highlight w:val="none"/>
          <w:lang w:val="en-US" w:eastAsia="zh-CN"/>
        </w:rPr>
        <w:t>2026</w:t>
      </w:r>
      <w:r>
        <w:rPr>
          <w:rFonts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ascii="仿宋_GB2312" w:hAnsi="仿宋_GB2312" w:eastAsia="仿宋_GB2312" w:cs="仿宋_GB2312"/>
          <w:sz w:val="32"/>
          <w:szCs w:val="32"/>
          <w:highlight w:val="none"/>
        </w:rPr>
        <w:t>日</w:t>
      </w:r>
    </w:p>
    <w:p>
      <w:pPr>
        <w:spacing w:line="560" w:lineRule="exact"/>
        <w:rPr>
          <w:color w:val="auto"/>
          <w:highlight w:val="none"/>
        </w:rPr>
      </w:pPr>
      <w:r>
        <w:rPr>
          <w:color w:val="auto"/>
          <w:highlight w:val="none"/>
        </w:rPr>
        <w:br w:type="page"/>
      </w:r>
    </w:p>
    <w:p>
      <w:pPr>
        <w:pStyle w:val="2"/>
        <w:bidi w:val="0"/>
        <w:spacing w:line="560" w:lineRule="exact"/>
        <w:jc w:val="center"/>
        <w:rPr>
          <w:color w:val="auto"/>
          <w:sz w:val="40"/>
          <w:szCs w:val="22"/>
          <w:highlight w:val="none"/>
        </w:rPr>
      </w:pPr>
      <w:r>
        <w:rPr>
          <w:rFonts w:hint="eastAsia"/>
          <w:color w:val="auto"/>
          <w:sz w:val="40"/>
          <w:szCs w:val="22"/>
          <w:highlight w:val="none"/>
        </w:rPr>
        <w:t>第一章</w:t>
      </w:r>
    </w:p>
    <w:p>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深圳市龙岗区第七人民医院消化内镜能量平台（氩气高频电刀）及内镜注水泵采购项目</w:t>
      </w:r>
    </w:p>
    <w:p>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（第二次采购）</w:t>
      </w:r>
      <w:r>
        <w:rPr>
          <w:rFonts w:hint="eastAsia" w:ascii="方正小标宋简体" w:hAnsi="方正小标宋简体" w:eastAsia="方正小标宋简体" w:cs="方正小标宋简体"/>
          <w:color w:val="auto"/>
          <w:sz w:val="44"/>
          <w:szCs w:val="44"/>
          <w:highlight w:val="none"/>
        </w:rPr>
        <w:t>院内公开采购的公告</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_GB2312" w:hAnsi="宋体" w:eastAsia="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深龙七医采[LGQY2026SB006-1]</w:t>
      </w:r>
    </w:p>
    <w:p>
      <w:pPr>
        <w:keepNext w:val="0"/>
        <w:keepLines w:val="0"/>
        <w:pageBreakBefore w:val="0"/>
        <w:kinsoku/>
        <w:wordWrap/>
        <w:overflowPunct/>
        <w:topLinePunct w:val="0"/>
        <w:autoSpaceDE/>
        <w:autoSpaceDN/>
        <w:bidi w:val="0"/>
        <w:adjustRightInd/>
        <w:snapToGrid/>
        <w:spacing w:line="540" w:lineRule="exact"/>
        <w:ind w:left="839" w:leftChars="266" w:hanging="280" w:hangingChars="100"/>
        <w:textAlignment w:val="auto"/>
        <w:rPr>
          <w:rFonts w:hint="eastAsia"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宋体" w:eastAsia="仿宋_GB2312"/>
          <w:color w:val="auto"/>
          <w:sz w:val="28"/>
          <w:szCs w:val="28"/>
          <w:highlight w:val="none"/>
          <w:lang w:val="en-US" w:eastAsia="zh-CN"/>
        </w:rPr>
        <w:t>深圳市龙岗区第七人民医院消化内镜能量平台（氩</w:t>
      </w: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宋体" w:eastAsia="仿宋_GB2312"/>
          <w:color w:val="auto"/>
          <w:sz w:val="28"/>
          <w:szCs w:val="28"/>
          <w:highlight w:val="none"/>
          <w:lang w:val="en-US" w:eastAsia="zh-CN"/>
        </w:rPr>
        <w:t>气高频电刀）及内镜注水泵</w:t>
      </w:r>
      <w:r>
        <w:rPr>
          <w:rFonts w:hint="eastAsia" w:ascii="仿宋_GB2312" w:hAnsi="仿宋_GB2312" w:eastAsia="仿宋_GB2312" w:cs="仿宋_GB2312"/>
          <w:color w:val="auto"/>
          <w:sz w:val="32"/>
          <w:szCs w:val="32"/>
          <w:highlight w:val="none"/>
          <w:lang w:val="en-US" w:eastAsia="zh-CN"/>
        </w:rPr>
        <w:t>采购项目</w:t>
      </w:r>
      <w:r>
        <w:rPr>
          <w:rFonts w:hint="eastAsia" w:ascii="仿宋_GB2312" w:hAnsi="仿宋_GB2312" w:eastAsia="仿宋_GB2312" w:cs="仿宋_GB2312"/>
          <w:sz w:val="32"/>
          <w:szCs w:val="32"/>
          <w:highlight w:val="none"/>
          <w:lang w:val="en-US" w:eastAsia="zh-CN"/>
        </w:rPr>
        <w:t>（第二次采购）</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15.98万元</w:t>
      </w:r>
    </w:p>
    <w:p>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pPr>
        <w:pStyle w:val="27"/>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投标人若为生产企业：所投产品为第二、三类医疗器械的，提供药品监督管理部门签发的涵盖所投报医疗器械的《医疗器械生产许可证》（有效期内）扫描件，原件备查；投标人若为经营企业：所投产品为第二类医疗器械的，提供药品监督管理部门签发的涵盖所投报医疗器械的《医疗器械经营备案凭证》（有效期内）扫描件，原件备查；所投产品为第三类医疗器械的，提供药品监督管理部门签发的涵盖所投报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九）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2026年7月31日17:00，布吉街道吉华路175号综合楼810招采办。</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2026年7月31日15:00，深圳市龙岗区布吉街道吉华路175号龙岭院区综合楼1002会议室（如有变动，另行通知）。</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color w:val="auto"/>
          <w:sz w:val="28"/>
          <w:szCs w:val="28"/>
        </w:rPr>
        <w:t>监督部门</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医院纪审科监督联系电话:李女士，0755-28740471。</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rPr>
        <w:t>项目所属一级预算单位监督联系电话:0755-89551103。</w:t>
      </w:r>
    </w:p>
    <w:p>
      <w:pPr>
        <w:pStyle w:val="27"/>
        <w:keepNext w:val="0"/>
        <w:keepLines w:val="0"/>
        <w:pageBreakBefore w:val="0"/>
        <w:numPr>
          <w:ilvl w:val="0"/>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w:t>
      </w:r>
      <w:r>
        <w:rPr>
          <w:rFonts w:hint="eastAsia" w:ascii="黑体" w:hAnsi="黑体" w:eastAsia="黑体" w:cs="黑体"/>
          <w:color w:val="auto"/>
          <w:kern w:val="2"/>
          <w:sz w:val="28"/>
          <w:szCs w:val="28"/>
          <w:highlight w:val="none"/>
          <w:lang w:val="en-US" w:eastAsia="zh-CN" w:bidi="ar-SA"/>
        </w:rPr>
        <w:t>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pPr>
        <w:pStyle w:val="27"/>
        <w:keepNext w:val="0"/>
        <w:keepLines w:val="0"/>
        <w:pageBreakBefore w:val="0"/>
        <w:numPr>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黑体" w:hAnsi="黑体" w:eastAsia="黑体" w:cs="黑体"/>
          <w:color w:val="auto"/>
          <w:sz w:val="28"/>
          <w:szCs w:val="28"/>
          <w:highlight w:val="none"/>
        </w:rPr>
      </w:pPr>
    </w:p>
    <w:p>
      <w:pPr>
        <w:pStyle w:val="27"/>
        <w:keepNext w:val="0"/>
        <w:keepLines w:val="0"/>
        <w:pageBreakBefore w:val="0"/>
        <w:numPr>
          <w:numId w:val="0"/>
        </w:numPr>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黑体" w:hAnsi="黑体" w:eastAsia="黑体" w:cs="黑体"/>
          <w:color w:val="auto"/>
          <w:sz w:val="28"/>
          <w:szCs w:val="28"/>
          <w:highlight w:val="none"/>
        </w:rPr>
        <w:t>附件：</w:t>
      </w:r>
      <w:r>
        <w:rPr>
          <w:rFonts w:hint="eastAsia" w:ascii="仿宋_GB2312" w:hAnsi="仿宋_GB2312" w:eastAsia="仿宋_GB2312" w:cs="仿宋_GB2312"/>
          <w:color w:val="auto"/>
          <w:sz w:val="28"/>
          <w:szCs w:val="28"/>
          <w:highlight w:val="none"/>
        </w:rPr>
        <w:t>1.深圳市龙岗区第七人民医院院内公开采购报名表</w:t>
      </w:r>
    </w:p>
    <w:p>
      <w:pPr>
        <w:keepNext w:val="0"/>
        <w:keepLines w:val="0"/>
        <w:pageBreakBefore w:val="0"/>
        <w:kinsoku/>
        <w:wordWrap/>
        <w:overflowPunct/>
        <w:topLinePunct w:val="0"/>
        <w:autoSpaceDE/>
        <w:autoSpaceDN/>
        <w:bidi w:val="0"/>
        <w:adjustRightInd/>
        <w:snapToGrid/>
        <w:spacing w:line="540" w:lineRule="exact"/>
        <w:ind w:left="1676" w:leftChars="665"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深圳市龙岗区第七人民医院消化内镜能量平台（氩气高频电刀）及内镜注水泵采购项目（第二次采购）</w:t>
      </w:r>
      <w:r>
        <w:rPr>
          <w:rFonts w:hint="eastAsia" w:ascii="仿宋_GB2312" w:hAnsi="仿宋_GB2312" w:eastAsia="仿宋_GB2312" w:cs="仿宋_GB2312"/>
          <w:color w:val="auto"/>
          <w:kern w:val="2"/>
          <w:sz w:val="28"/>
          <w:szCs w:val="28"/>
          <w:highlight w:val="none"/>
          <w:lang w:val="en-US" w:eastAsia="zh-CN" w:bidi="ar-SA"/>
        </w:rPr>
        <w:t>招标文件</w:t>
      </w:r>
      <w:bookmarkStart w:id="17" w:name="_GoBack"/>
      <w:bookmarkEnd w:id="17"/>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pPr>
        <w:pStyle w:val="27"/>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pPr>
        <w:pStyle w:val="27"/>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2026年7月24日</w:t>
      </w:r>
    </w:p>
    <w:p>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pPr>
        <w:pStyle w:val="25"/>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2"/>
          <w:sz w:val="28"/>
          <w:szCs w:val="28"/>
          <w:highlight w:val="none"/>
          <w:lang w:val="en-US" w:eastAsia="zh-CN" w:bidi="ar-SA"/>
        </w:rPr>
        <w:t>龙岭院区于2026年4月3日正式复业开科，目前门诊、住院业务有序开展，诊疗服务持续扩容，消化内科就诊量稳步增长。受居民饮食及生活习惯改变影响，辖区胃肠道疾病患者日益增多，群众在基础胃肠疾病诊疗基础上，对内镜下微创切除、止血、病灶消融等精细化、微创化专科医疗服务需求持续提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目前我院消化内科缺乏专业的内镜微创治疗及配套设备，仅可开展基础胃肠镜筛查、问诊及药物保守治疗，无法开展氩气高频电刀微创治疗、内镜下病灶处理等特色项目，存在诊疗项目单一、微创诊疗能力不足、专科服务薄弱等问题，难以满足群众多元化就医需求，制约了科室专科建设与业务发展。为补齐设备短板、完善内镜诊疗体系、提升微创诊疗水平，结合院区学科发展规划，我院拟采购消化内镜能量平台（氩气高频电刀）及内镜注水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次采购设备为消化内科临床刚需核心设备，是开展内镜微创诊疗的关键配套设施。设备投入使用后，可有效填补院区消化内镜微创诊疗业务空白，丰富诊疗项目、提升微创诊疗质量与安全性，优化患者就医体验。同时助力科室规范化开展微创诊疗业务，强化专科服务能力，夯实院区综合医疗服务水平，为辖区居民提供优质、高效的消化疾病诊疗服务。</w:t>
      </w:r>
    </w:p>
    <w:p>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15.98万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pPr>
        <w:pStyle w:val="25"/>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pPr>
        <w:pStyle w:val="25"/>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10.本项目不接受进口产品投标（进口产品是指通过中国海关报关验放进入中国境内且产自关境外的产品）；</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若为生产企业：所投产品为第二、三类医疗器械的，提供药品监督管理部门颁发的涵盖所投医疗器械的《医疗器械生产许可证》（有效期内）扫描件，原件备查；投标人若为经营企业，所投产品为第二类医疗器械的，提供药品监督管理部门颁发的涵盖所投医疗器械的《医疗器械经营备案凭证》（有效期内）扫描件，原件备查；所投产品为第三类医疗器械的，提供药品监督管理部门颁发的涵盖所投医疗器械的《医疗器械经营许可证》（有效期内）扫描件，原件备查；</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产品具备相关主管部门要求的认证资料：所投产品为第一类医疗器械的，提供药品监督管理部门签发的有效的《医疗器械备案凭证》或《医疗器械备案编号告知书》扫描件，原件备查；所投产品为第二、三类医疗器械的，提供药品监督管理部门签发的涵盖所投产品的《医疗器械注册证》（有效期内）扫描件，原件备查。</w:t>
      </w:r>
    </w:p>
    <w:p>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六、采购内容及要求</w:t>
      </w:r>
    </w:p>
    <w:p>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一</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采购总清单</w:t>
      </w:r>
    </w:p>
    <w:tbl>
      <w:tblPr>
        <w:tblStyle w:val="19"/>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342"/>
        <w:gridCol w:w="420"/>
        <w:gridCol w:w="825"/>
        <w:gridCol w:w="1500"/>
        <w:gridCol w:w="1305"/>
        <w:gridCol w:w="120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524"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序号</w:t>
            </w:r>
          </w:p>
        </w:tc>
        <w:tc>
          <w:tcPr>
            <w:tcW w:w="23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货物名称</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（标的名称）</w:t>
            </w:r>
          </w:p>
        </w:tc>
        <w:tc>
          <w:tcPr>
            <w:tcW w:w="42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kern w:val="0"/>
                <w:sz w:val="22"/>
                <w:szCs w:val="22"/>
                <w:highlight w:val="none"/>
                <w:lang w:bidi="ar"/>
              </w:rPr>
              <w:t>数量</w:t>
            </w:r>
          </w:p>
        </w:tc>
        <w:tc>
          <w:tcPr>
            <w:tcW w:w="8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bCs/>
                <w:color w:val="auto"/>
                <w:kern w:val="0"/>
                <w:sz w:val="22"/>
                <w:szCs w:val="22"/>
                <w:highlight w:val="none"/>
                <w:lang w:bidi="ar"/>
              </w:rPr>
              <w:t>单位</w:t>
            </w:r>
          </w:p>
        </w:tc>
        <w:tc>
          <w:tcPr>
            <w:tcW w:w="15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rPr>
            </w:pPr>
            <w:r>
              <w:rPr>
                <w:rFonts w:hint="default" w:ascii="Times New Roman" w:hAnsi="Times New Roman" w:eastAsia="宋体" w:cs="Times New Roman"/>
                <w:b/>
                <w:bCs/>
                <w:color w:val="auto"/>
                <w:sz w:val="22"/>
                <w:szCs w:val="22"/>
                <w:highlight w:val="none"/>
              </w:rPr>
              <w:t>单项限价</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default" w:ascii="Times New Roman" w:hAnsi="Times New Roman" w:eastAsia="宋体" w:cs="Times New Roman"/>
                <w:b/>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color w:val="auto"/>
                <w:sz w:val="22"/>
                <w:szCs w:val="22"/>
                <w:highlight w:val="none"/>
              </w:rPr>
              <w:t>元）</w:t>
            </w:r>
          </w:p>
        </w:tc>
        <w:tc>
          <w:tcPr>
            <w:tcW w:w="130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kern w:val="0"/>
                <w:sz w:val="22"/>
                <w:szCs w:val="22"/>
                <w:highlight w:val="none"/>
                <w:lang w:bidi="ar"/>
              </w:rPr>
            </w:pPr>
            <w:r>
              <w:rPr>
                <w:rFonts w:hint="eastAsia" w:ascii="Times New Roman" w:hAnsi="Times New Roman" w:eastAsia="宋体" w:cs="Times New Roman"/>
                <w:b/>
                <w:bCs/>
                <w:color w:val="auto"/>
                <w:sz w:val="22"/>
                <w:szCs w:val="22"/>
                <w:highlight w:val="none"/>
                <w:lang w:val="en-US" w:eastAsia="zh-CN"/>
              </w:rPr>
              <w:t>总</w:t>
            </w:r>
            <w:r>
              <w:rPr>
                <w:rFonts w:hint="default" w:ascii="Times New Roman" w:hAnsi="Times New Roman" w:eastAsia="宋体" w:cs="Times New Roman"/>
                <w:b/>
                <w:bCs/>
                <w:color w:val="auto"/>
                <w:sz w:val="22"/>
                <w:szCs w:val="22"/>
                <w:highlight w:val="none"/>
              </w:rPr>
              <w:t>预算</w:t>
            </w:r>
            <w:r>
              <w:rPr>
                <w:rFonts w:hint="eastAsia" w:ascii="Times New Roman" w:hAnsi="Times New Roman" w:eastAsia="宋体" w:cs="Times New Roman"/>
                <w:b/>
                <w:bCs/>
                <w:color w:val="auto"/>
                <w:sz w:val="22"/>
                <w:szCs w:val="22"/>
                <w:highlight w:val="none"/>
                <w:lang w:val="en-US" w:eastAsia="zh-CN"/>
              </w:rPr>
              <w:t>限价</w:t>
            </w:r>
            <w:r>
              <w:rPr>
                <w:rFonts w:hint="default" w:ascii="Times New Roman" w:hAnsi="Times New Roman" w:eastAsia="宋体" w:cs="Times New Roman"/>
                <w:b/>
                <w:bCs/>
                <w:color w:val="auto"/>
                <w:sz w:val="22"/>
                <w:szCs w:val="22"/>
                <w:highlight w:val="none"/>
              </w:rPr>
              <w:t>（</w:t>
            </w:r>
            <w:r>
              <w:rPr>
                <w:rFonts w:hint="eastAsia" w:ascii="Times New Roman" w:hAnsi="Times New Roman" w:eastAsia="宋体" w:cs="Times New Roman"/>
                <w:b/>
                <w:color w:val="auto"/>
                <w:sz w:val="22"/>
                <w:szCs w:val="22"/>
                <w:highlight w:val="none"/>
                <w:lang w:val="en-US" w:eastAsia="zh-CN"/>
              </w:rPr>
              <w:t>万</w:t>
            </w:r>
            <w:r>
              <w:rPr>
                <w:rFonts w:hint="default" w:ascii="Times New Roman" w:hAnsi="Times New Roman" w:eastAsia="宋体" w:cs="Times New Roman"/>
                <w:b/>
                <w:bCs/>
                <w:color w:val="auto"/>
                <w:sz w:val="22"/>
                <w:szCs w:val="22"/>
                <w:highlight w:val="none"/>
              </w:rPr>
              <w:t>元）</w:t>
            </w:r>
          </w:p>
        </w:tc>
        <w:tc>
          <w:tcPr>
            <w:tcW w:w="12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color w:val="auto"/>
                <w:sz w:val="22"/>
                <w:szCs w:val="22"/>
                <w:highlight w:val="none"/>
                <w:lang w:val="en-US" w:eastAsia="zh-CN"/>
              </w:rPr>
            </w:pPr>
            <w:r>
              <w:rPr>
                <w:rFonts w:hint="eastAsia" w:ascii="Times New Roman" w:hAnsi="Times New Roman" w:eastAsia="宋体" w:cs="Times New Roman"/>
                <w:b/>
                <w:bCs/>
                <w:color w:val="auto"/>
                <w:sz w:val="22"/>
                <w:szCs w:val="22"/>
                <w:highlight w:val="none"/>
                <w:lang w:val="en-US" w:eastAsia="zh-CN"/>
              </w:rPr>
              <w:t>进口/国产</w:t>
            </w:r>
          </w:p>
        </w:tc>
        <w:tc>
          <w:tcPr>
            <w:tcW w:w="1035" w:type="dxa"/>
            <w:vAlign w:val="center"/>
          </w:tcPr>
          <w:p>
            <w:pPr>
              <w:widowControl/>
              <w:snapToGrid w:val="0"/>
              <w:ind w:left="0" w:leftChars="0" w:right="0" w:rightChars="0" w:firstLine="0" w:firstLineChars="0"/>
              <w:jc w:val="center"/>
              <w:rPr>
                <w:rFonts w:hint="default" w:ascii="Times New Roman" w:hAnsi="Times New Roman" w:eastAsia="宋体" w:cs="Times New Roman"/>
                <w:b/>
                <w:bCs/>
                <w:color w:val="auto"/>
                <w:kern w:val="0"/>
                <w:sz w:val="22"/>
                <w:szCs w:val="22"/>
                <w:highlight w:val="none"/>
                <w:lang w:bidi="ar"/>
              </w:rPr>
            </w:pPr>
            <w:r>
              <w:rPr>
                <w:rFonts w:hint="eastAsia" w:ascii="宋体" w:hAnsi="宋体" w:cs="宋体"/>
                <w:b/>
                <w:color w:val="auto"/>
                <w:kern w:val="0"/>
                <w:szCs w:val="21"/>
                <w:highlight w:val="none"/>
              </w:rPr>
              <w:t>证件要求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2342"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tc>
        <w:tc>
          <w:tcPr>
            <w:tcW w:w="42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1</w:t>
            </w:r>
          </w:p>
        </w:tc>
        <w:tc>
          <w:tcPr>
            <w:tcW w:w="82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套</w:t>
            </w:r>
          </w:p>
        </w:tc>
        <w:tc>
          <w:tcPr>
            <w:tcW w:w="150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w:t>
            </w:r>
          </w:p>
        </w:tc>
        <w:tc>
          <w:tcPr>
            <w:tcW w:w="1305"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rPr>
            </w:pPr>
            <w:r>
              <w:rPr>
                <w:rFonts w:hint="eastAsia" w:cs="Times New Roman"/>
                <w:bCs/>
                <w:color w:val="auto"/>
                <w:sz w:val="22"/>
                <w:szCs w:val="22"/>
                <w:highlight w:val="none"/>
                <w:lang w:val="en-US" w:eastAsia="zh-CN"/>
              </w:rPr>
              <w:t>15.98</w:t>
            </w:r>
          </w:p>
        </w:tc>
        <w:tc>
          <w:tcPr>
            <w:tcW w:w="1200"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拒绝进口</w:t>
            </w:r>
          </w:p>
        </w:tc>
        <w:tc>
          <w:tcPr>
            <w:tcW w:w="1035" w:type="dxa"/>
            <w:vMerge w:val="restart"/>
            <w:shd w:val="clear" w:color="000000" w:fill="FFFFFF"/>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ascii="宋体" w:hAnsi="宋体" w:eastAsia="宋体" w:cs="宋体"/>
                <w:color w:val="auto"/>
                <w:kern w:val="0"/>
                <w:sz w:val="21"/>
                <w:szCs w:val="21"/>
                <w:highlight w:val="none"/>
                <w:lang w:val="en-US" w:eastAsia="zh-CN"/>
              </w:rPr>
              <w:t>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24"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2</w:t>
            </w:r>
          </w:p>
        </w:tc>
        <w:tc>
          <w:tcPr>
            <w:tcW w:w="2342"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内镜注水泵</w:t>
            </w:r>
          </w:p>
        </w:tc>
        <w:tc>
          <w:tcPr>
            <w:tcW w:w="42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eastAsia" w:cs="Times New Roman"/>
                <w:bCs/>
                <w:color w:val="auto"/>
                <w:sz w:val="22"/>
                <w:szCs w:val="22"/>
                <w:highlight w:val="none"/>
                <w:lang w:val="en-US" w:eastAsia="zh-CN"/>
              </w:rPr>
              <w:t>1</w:t>
            </w:r>
          </w:p>
        </w:tc>
        <w:tc>
          <w:tcPr>
            <w:tcW w:w="82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r>
              <w:rPr>
                <w:rFonts w:hint="default" w:ascii="Times New Roman" w:hAnsi="Times New Roman" w:eastAsia="宋体" w:cs="Times New Roman"/>
                <w:bCs/>
                <w:color w:val="auto"/>
                <w:sz w:val="22"/>
                <w:szCs w:val="22"/>
                <w:highlight w:val="none"/>
              </w:rPr>
              <w:t>台</w:t>
            </w:r>
          </w:p>
        </w:tc>
        <w:tc>
          <w:tcPr>
            <w:tcW w:w="1500"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r>
              <w:rPr>
                <w:rFonts w:hint="eastAsia" w:cs="Times New Roman"/>
                <w:bCs/>
                <w:color w:val="auto"/>
                <w:sz w:val="22"/>
                <w:szCs w:val="22"/>
                <w:highlight w:val="none"/>
                <w:lang w:val="en-US" w:eastAsia="zh-CN"/>
              </w:rPr>
              <w:t>0.98</w:t>
            </w:r>
          </w:p>
        </w:tc>
        <w:tc>
          <w:tcPr>
            <w:tcW w:w="1305"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cs="Times New Roman"/>
                <w:bCs/>
                <w:color w:val="auto"/>
                <w:sz w:val="22"/>
                <w:szCs w:val="22"/>
                <w:highlight w:val="none"/>
                <w:lang w:val="en-US" w:eastAsia="zh-CN"/>
              </w:rPr>
            </w:pPr>
          </w:p>
        </w:tc>
        <w:tc>
          <w:tcPr>
            <w:tcW w:w="1200"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rPr>
            </w:pPr>
          </w:p>
        </w:tc>
        <w:tc>
          <w:tcPr>
            <w:tcW w:w="1035" w:type="dxa"/>
            <w:vMerge w:val="continue"/>
            <w:shd w:val="clear" w:color="000000" w:fill="FFFFFF"/>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kern w:val="0"/>
                <w:sz w:val="21"/>
                <w:szCs w:val="21"/>
                <w:highlight w:val="none"/>
                <w:lang w:val="en-US" w:eastAsia="zh-CN"/>
              </w:rPr>
            </w:pPr>
          </w:p>
        </w:tc>
      </w:tr>
    </w:tbl>
    <w:p>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color w:val="auto"/>
          <w:kern w:val="2"/>
          <w:sz w:val="28"/>
          <w:szCs w:val="28"/>
          <w:highlight w:val="none"/>
          <w:lang w:val="en-US" w:eastAsia="zh-CN" w:bidi="ar-SA"/>
        </w:rPr>
        <w:t>所投产品</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须无缝兼容设备为奥林巴斯规格型号:CV-260SL的内镜。</w:t>
      </w:r>
    </w:p>
    <w:p>
      <w:pPr>
        <w:keepNext w:val="0"/>
        <w:keepLines w:val="0"/>
        <w:pageBreakBefore w:val="0"/>
        <w:widowControl/>
        <w:numPr>
          <w:ilvl w:val="-1"/>
          <w:numId w:val="0"/>
        </w:numPr>
        <w:kinsoku/>
        <w:wordWrap/>
        <w:overflowPunct/>
        <w:topLinePunct w:val="0"/>
        <w:autoSpaceDE/>
        <w:autoSpaceDN/>
        <w:bidi w:val="0"/>
        <w:adjustRightInd/>
        <w:snapToGrid/>
        <w:spacing w:line="540" w:lineRule="exact"/>
        <w:ind w:leftChars="0" w:firstLine="562" w:firstLineChars="200"/>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注：1.投标人的投标报价超出预算金额、单项限价及单项总限价的，将按照符合性审查要求作投标无效处理。</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2.备注栏注明“拒绝进口”的产品不接受投标人选用进口产品参与投标；注明“接受进口”的产品允许投标人选用进口产品参与投标，但不排斥国内产品。</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4.本项目核心产品为：</w:t>
      </w:r>
      <w:r>
        <w:rPr>
          <w:rFonts w:hint="eastAsia" w:ascii="仿宋_GB2312" w:hAnsi="仿宋_GB2312" w:eastAsia="仿宋_GB2312" w:cs="仿宋_GB2312"/>
          <w:b/>
          <w:bCs/>
          <w:color w:val="auto"/>
          <w:kern w:val="2"/>
          <w:sz w:val="28"/>
          <w:szCs w:val="28"/>
          <w:highlight w:val="none"/>
          <w:lang w:val="en-US" w:eastAsia="zh-CN" w:bidi="ar-SA"/>
        </w:rPr>
        <w:t>（序号1、</w:t>
      </w:r>
      <w:r>
        <w:rPr>
          <w:rFonts w:hint="default" w:ascii="仿宋_GB2312" w:hAnsi="仿宋_GB2312" w:eastAsia="仿宋_GB2312" w:cs="仿宋_GB2312"/>
          <w:b/>
          <w:bCs/>
          <w:color w:val="auto"/>
          <w:kern w:val="2"/>
          <w:sz w:val="28"/>
          <w:szCs w:val="28"/>
          <w:highlight w:val="none"/>
          <w:lang w:val="en-US" w:eastAsia="zh-CN" w:bidi="ar-SA"/>
        </w:rPr>
        <w:t>消化内镜能量平台（氩气高频电刀）</w:t>
      </w:r>
      <w:r>
        <w:rPr>
          <w:rFonts w:hint="eastAsia" w:ascii="仿宋_GB2312" w:hAnsi="仿宋_GB2312" w:eastAsia="仿宋_GB2312" w:cs="仿宋_GB2312"/>
          <w:b/>
          <w:bCs/>
          <w:color w:val="auto"/>
          <w:kern w:val="2"/>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5.本项目</w:t>
      </w:r>
      <w:r>
        <w:rPr>
          <w:rFonts w:hint="default" w:ascii="仿宋_GB2312" w:hAnsi="仿宋_GB2312" w:eastAsia="仿宋_GB2312" w:cs="仿宋_GB2312"/>
          <w:color w:val="auto"/>
          <w:kern w:val="2"/>
          <w:sz w:val="28"/>
          <w:szCs w:val="28"/>
          <w:highlight w:val="none"/>
          <w:lang w:val="en-US" w:eastAsia="zh-CN" w:bidi="ar-SA"/>
        </w:rPr>
        <w:t>消化内镜能量平台（氩气高频电刀）</w:t>
      </w:r>
      <w:r>
        <w:rPr>
          <w:rFonts w:hint="eastAsia" w:ascii="仿宋_GB2312" w:hAnsi="仿宋_GB2312" w:eastAsia="仿宋_GB2312" w:cs="仿宋_GB2312"/>
          <w:color w:val="auto"/>
          <w:kern w:val="2"/>
          <w:sz w:val="28"/>
          <w:szCs w:val="28"/>
          <w:highlight w:val="none"/>
          <w:lang w:val="en-US" w:eastAsia="zh-CN" w:bidi="ar-SA"/>
        </w:rPr>
        <w:t>是第三类医疗器械，</w:t>
      </w:r>
      <w:r>
        <w:rPr>
          <w:rFonts w:hint="default" w:ascii="仿宋_GB2312" w:hAnsi="仿宋_GB2312" w:eastAsia="仿宋_GB2312" w:cs="仿宋_GB2312"/>
          <w:color w:val="auto"/>
          <w:kern w:val="2"/>
          <w:sz w:val="28"/>
          <w:szCs w:val="28"/>
          <w:highlight w:val="none"/>
          <w:lang w:val="en-US" w:eastAsia="zh-CN" w:bidi="ar-SA"/>
        </w:rPr>
        <w:t>内镜注水泵</w:t>
      </w:r>
      <w:r>
        <w:rPr>
          <w:rFonts w:hint="eastAsia" w:ascii="仿宋_GB2312" w:hAnsi="仿宋_GB2312" w:eastAsia="仿宋_GB2312" w:cs="仿宋_GB2312"/>
          <w:color w:val="auto"/>
          <w:kern w:val="2"/>
          <w:sz w:val="28"/>
          <w:szCs w:val="28"/>
          <w:highlight w:val="none"/>
          <w:lang w:val="en-US" w:eastAsia="zh-CN" w:bidi="ar-SA"/>
        </w:rPr>
        <w:t>是第二类医疗器械。</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消化内镜能量平台（氩气高频电刀）、内镜注水泵为行业通用称谓，投标产品医疗器械注册证所载法定名称如与本文件称谓不一致的，投标人只需完整响应采购文件所列设备参数及配套配置清单，名称差异不影响投标评审。</w:t>
      </w:r>
    </w:p>
    <w:p>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二</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采购配置清单</w:t>
      </w:r>
    </w:p>
    <w:tbl>
      <w:tblPr>
        <w:tblStyle w:val="20"/>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2605"/>
        <w:gridCol w:w="4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82"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序列</w:t>
            </w:r>
          </w:p>
        </w:tc>
        <w:tc>
          <w:tcPr>
            <w:tcW w:w="260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设备名称</w:t>
            </w:r>
          </w:p>
        </w:tc>
        <w:tc>
          <w:tcPr>
            <w:tcW w:w="438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楷体_GB2312" w:hAnsi="楷体_GB2312" w:eastAsia="楷体_GB2312" w:cs="楷体_GB2312"/>
                <w:b/>
                <w:bCs w:val="0"/>
                <w:color w:val="auto"/>
                <w:kern w:val="0"/>
                <w:sz w:val="28"/>
                <w:szCs w:val="28"/>
                <w:highlight w:val="none"/>
                <w:vertAlign w:val="baseline"/>
                <w:lang w:val="en-US" w:eastAsia="zh-CN" w:bidi="ar-SA"/>
              </w:rPr>
            </w:pPr>
            <w:r>
              <w:rPr>
                <w:rFonts w:hint="eastAsia" w:ascii="楷体_GB2312" w:hAnsi="楷体_GB2312" w:eastAsia="楷体_GB2312" w:cs="楷体_GB2312"/>
                <w:b/>
                <w:bCs w:val="0"/>
                <w:color w:val="auto"/>
                <w:kern w:val="0"/>
                <w:sz w:val="28"/>
                <w:szCs w:val="28"/>
                <w:highlight w:val="none"/>
                <w:vertAlign w:val="baseline"/>
                <w:lang w:val="en-US" w:eastAsia="zh-CN" w:bidi="ar-SA"/>
              </w:rPr>
              <w:t>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2"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Times New Roman" w:eastAsia="仿宋" w:cs="Times New Roman"/>
                <w:bCs/>
                <w:color w:val="auto"/>
                <w:sz w:val="24"/>
                <w:szCs w:val="22"/>
                <w:highlight w:val="none"/>
                <w:lang w:val="en-US" w:eastAsia="zh-CN"/>
              </w:rPr>
            </w:pPr>
            <w:r>
              <w:rPr>
                <w:rFonts w:hint="eastAsia" w:ascii="仿宋" w:hAnsi="Times New Roman" w:eastAsia="仿宋" w:cs="Times New Roman"/>
                <w:bCs/>
                <w:color w:val="auto"/>
                <w:sz w:val="24"/>
                <w:szCs w:val="22"/>
                <w:highlight w:val="none"/>
                <w:lang w:val="en-US" w:eastAsia="zh-CN"/>
              </w:rPr>
              <w:t>1</w:t>
            </w:r>
          </w:p>
        </w:tc>
        <w:tc>
          <w:tcPr>
            <w:tcW w:w="2605" w:type="dxa"/>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43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2"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605" w:type="dxa"/>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43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r>
    </w:tbl>
    <w:p>
      <w:pPr>
        <w:keepLines w:val="0"/>
        <w:pageBreakBefore w:val="0"/>
        <w:widowControl/>
        <w:numPr>
          <w:ilvl w:val="-1"/>
          <w:numId w:val="0"/>
        </w:numPr>
        <w:kinsoku/>
        <w:wordWrap/>
        <w:overflowPunct/>
        <w:topLinePunct w:val="0"/>
        <w:bidi w:val="0"/>
        <w:spacing w:line="560" w:lineRule="exact"/>
        <w:rPr>
          <w:rFonts w:hint="default" w:ascii="楷体_GB2312" w:hAnsi="楷体_GB2312" w:eastAsia="楷体_GB2312" w:cs="楷体_GB2312"/>
          <w:b w:val="0"/>
          <w:bCs w:val="0"/>
          <w:color w:val="auto"/>
          <w:sz w:val="28"/>
          <w:szCs w:val="28"/>
          <w:highlight w:val="none"/>
          <w:lang w:val="en-US" w:eastAsia="zh-CN"/>
        </w:rPr>
      </w:pPr>
    </w:p>
    <w:p>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（三）技术要求</w:t>
      </w:r>
    </w:p>
    <w:tbl>
      <w:tblPr>
        <w:tblStyle w:val="19"/>
        <w:tblpPr w:leftFromText="180" w:rightFromText="180" w:vertAnchor="text" w:tblpXSpec="center" w:tblpY="1"/>
        <w:tblOverlap w:val="never"/>
        <w:tblW w:w="4666"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7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2" w:type="pct"/>
            <w:shd w:val="clear" w:color="auto" w:fill="F2F2F2"/>
            <w:noWrap w:val="0"/>
            <w:vAlign w:val="top"/>
          </w:tcPr>
          <w:p>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名称</w:t>
            </w:r>
          </w:p>
        </w:tc>
        <w:tc>
          <w:tcPr>
            <w:tcW w:w="4187" w:type="pct"/>
            <w:shd w:val="clear" w:color="auto" w:fill="F2F2F2"/>
            <w:noWrap w:val="0"/>
            <w:vAlign w:val="center"/>
          </w:tcPr>
          <w:p>
            <w:pPr>
              <w:keepNext w:val="0"/>
              <w:keepLines w:val="0"/>
              <w:pageBreakBefore w:val="0"/>
              <w:widowControl/>
              <w:kinsoku/>
              <w:overflowPunct/>
              <w:topLinePunct w:val="0"/>
              <w:autoSpaceDE/>
              <w:autoSpaceDN/>
              <w:bidi w:val="0"/>
              <w:spacing w:line="56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技术规格及具体参数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12"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消化内镜能量平台</w:t>
            </w: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（氩气高频电刀）</w:t>
            </w: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消化内镜能量平台</w:t>
            </w: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（氩气高频电刀）</w:t>
            </w: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default" w:ascii="Times New Roman" w:hAnsi="Times New Roman" w:eastAsia="宋体" w:cs="Times New Roman"/>
                <w:b/>
                <w:bCs w:val="0"/>
                <w:color w:val="auto"/>
                <w:sz w:val="22"/>
                <w:szCs w:val="22"/>
                <w:highlight w:val="none"/>
                <w:lang w:val="en-US" w:eastAsia="zh-CN"/>
              </w:rPr>
            </w:pPr>
          </w:p>
          <w:p>
            <w:pPr>
              <w:snapToGrid w:val="0"/>
              <w:spacing w:line="560" w:lineRule="exact"/>
              <w:ind w:left="0" w:leftChars="0" w:right="0" w:rightChars="0" w:firstLine="0" w:firstLineChars="0"/>
              <w:jc w:val="center"/>
              <w:rPr>
                <w:rFonts w:hint="eastAsia" w:ascii="Times New Roman" w:hAnsi="Times New Roman" w:eastAsia="宋体" w:cs="Times New Roman"/>
                <w:b/>
                <w:bCs w:val="0"/>
                <w:color w:val="auto"/>
                <w:sz w:val="22"/>
                <w:szCs w:val="22"/>
                <w:highlight w:val="none"/>
                <w:lang w:val="en-US" w:eastAsia="zh-CN"/>
              </w:rPr>
            </w:pPr>
          </w:p>
        </w:tc>
        <w:tc>
          <w:tcPr>
            <w:tcW w:w="4187" w:type="pct"/>
            <w:noWrap w:val="0"/>
            <w:vAlign w:val="center"/>
          </w:tcPr>
          <w:p>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1"/>
                <w:szCs w:val="21"/>
                <w:highlight w:val="none"/>
              </w:rPr>
              <w:t>1.额定电压：220V，电源频率：50Hz</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bidi="ar-SA"/>
              </w:rPr>
              <w:t>最大输入功率：≥850VA，工作频率：≥350KHz。</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color w:val="auto"/>
                <w:spacing w:val="-10"/>
                <w:sz w:val="21"/>
                <w:szCs w:val="21"/>
                <w:highlight w:val="none"/>
              </w:rPr>
              <w:t>整机一体化设计</w:t>
            </w:r>
            <w:r>
              <w:rPr>
                <w:rFonts w:hint="eastAsia" w:ascii="宋体" w:hAnsi="宋体" w:eastAsia="宋体" w:cs="宋体"/>
                <w:b w:val="0"/>
                <w:bCs w:val="0"/>
                <w:color w:val="auto"/>
                <w:kern w:val="2"/>
                <w:sz w:val="21"/>
                <w:szCs w:val="21"/>
                <w:highlight w:val="none"/>
                <w:lang w:val="en-US" w:eastAsia="zh-CN" w:bidi="ar-SA"/>
              </w:rPr>
              <w:t>，不占用空间</w:t>
            </w:r>
            <w:r>
              <w:rPr>
                <w:rFonts w:hint="eastAsia" w:ascii="宋体" w:hAnsi="宋体" w:eastAsia="宋体" w:cs="宋体"/>
                <w:color w:val="auto"/>
                <w:spacing w:val="-10"/>
                <w:sz w:val="21"/>
                <w:szCs w:val="21"/>
                <w:highlight w:val="none"/>
              </w:rPr>
              <w:t>。具有氩离子电凝止血</w:t>
            </w:r>
            <w:r>
              <w:rPr>
                <w:rFonts w:hint="eastAsia" w:ascii="宋体" w:hAnsi="宋体" w:eastAsia="宋体" w:cs="宋体"/>
                <w:color w:val="auto"/>
                <w:spacing w:val="-10"/>
                <w:sz w:val="21"/>
                <w:szCs w:val="21"/>
                <w:highlight w:val="none"/>
                <w:lang w:val="en-US" w:eastAsia="zh-CN"/>
              </w:rPr>
              <w:t>功能</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适用于</w:t>
            </w:r>
            <w:r>
              <w:rPr>
                <w:rFonts w:hint="eastAsia" w:ascii="宋体" w:hAnsi="宋体" w:eastAsia="宋体" w:cs="宋体"/>
                <w:color w:val="auto"/>
                <w:spacing w:val="-10"/>
                <w:sz w:val="21"/>
                <w:szCs w:val="21"/>
                <w:highlight w:val="none"/>
              </w:rPr>
              <w:t>术中止血和组织</w:t>
            </w:r>
            <w:r>
              <w:rPr>
                <w:rFonts w:hint="eastAsia" w:ascii="宋体" w:hAnsi="宋体" w:eastAsia="宋体" w:cs="宋体"/>
                <w:color w:val="auto"/>
                <w:spacing w:val="-10"/>
                <w:sz w:val="21"/>
                <w:szCs w:val="21"/>
                <w:highlight w:val="none"/>
                <w:lang w:val="en-US" w:eastAsia="zh-CN"/>
              </w:rPr>
              <w:t>灭火处理</w:t>
            </w:r>
            <w:r>
              <w:rPr>
                <w:rFonts w:hint="eastAsia" w:ascii="宋体" w:hAnsi="宋体" w:cs="宋体"/>
                <w:color w:val="auto"/>
                <w:spacing w:val="-10"/>
                <w:sz w:val="21"/>
                <w:szCs w:val="21"/>
                <w:highlight w:val="none"/>
                <w:lang w:eastAsia="zh-CN"/>
              </w:rPr>
              <w:t>。</w:t>
            </w:r>
          </w:p>
          <w:p>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3.支持</w:t>
            </w:r>
            <w:r>
              <w:rPr>
                <w:rFonts w:hint="eastAsia" w:ascii="宋体" w:hAnsi="宋体" w:cs="宋体"/>
                <w:bCs/>
                <w:color w:val="auto"/>
                <w:sz w:val="21"/>
                <w:szCs w:val="21"/>
                <w:highlight w:val="none"/>
                <w:lang w:val="en-US" w:eastAsia="zh-CN"/>
              </w:rPr>
              <w:t>标准</w:t>
            </w:r>
            <w:r>
              <w:rPr>
                <w:rFonts w:hint="eastAsia" w:ascii="宋体" w:hAnsi="宋体" w:eastAsia="宋体" w:cs="宋体"/>
                <w:bCs/>
                <w:color w:val="auto"/>
                <w:sz w:val="21"/>
                <w:szCs w:val="21"/>
                <w:highlight w:val="none"/>
              </w:rPr>
              <w:t>单极、氩气单极</w:t>
            </w:r>
            <w:r>
              <w:rPr>
                <w:rFonts w:hint="eastAsia" w:ascii="宋体" w:hAnsi="宋体" w:cs="宋体"/>
                <w:bCs/>
                <w:color w:val="auto"/>
                <w:sz w:val="21"/>
                <w:szCs w:val="21"/>
                <w:highlight w:val="none"/>
                <w:lang w:val="en-US" w:eastAsia="zh-CN"/>
              </w:rPr>
              <w:t>两种</w:t>
            </w:r>
            <w:r>
              <w:rPr>
                <w:rFonts w:hint="eastAsia" w:ascii="宋体" w:hAnsi="宋体" w:eastAsia="宋体" w:cs="宋体"/>
                <w:bCs/>
                <w:color w:val="auto"/>
                <w:sz w:val="21"/>
                <w:szCs w:val="21"/>
                <w:highlight w:val="none"/>
              </w:rPr>
              <w:t>输出</w:t>
            </w:r>
            <w:r>
              <w:rPr>
                <w:rFonts w:hint="eastAsia" w:ascii="宋体" w:hAnsi="宋体" w:cs="宋体"/>
                <w:bCs/>
                <w:color w:val="auto"/>
                <w:sz w:val="21"/>
                <w:szCs w:val="21"/>
                <w:highlight w:val="none"/>
                <w:lang w:val="en-US" w:eastAsia="zh-CN"/>
              </w:rPr>
              <w:t>模式</w:t>
            </w:r>
            <w:r>
              <w:rPr>
                <w:rFonts w:hint="eastAsia" w:ascii="宋体" w:hAnsi="宋体" w:eastAsia="宋体" w:cs="宋体"/>
                <w:bCs/>
                <w:color w:val="auto"/>
                <w:sz w:val="21"/>
                <w:szCs w:val="21"/>
                <w:highlight w:val="none"/>
              </w:rPr>
              <w:t>，匹配各类镜下手术。</w:t>
            </w:r>
          </w:p>
          <w:p>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cs="宋体"/>
                <w:color w:val="auto"/>
                <w:spacing w:val="-10"/>
                <w:sz w:val="21"/>
                <w:szCs w:val="21"/>
                <w:highlight w:val="none"/>
                <w:lang w:val="en-US" w:eastAsia="zh-CN"/>
              </w:rPr>
              <w:t>需配备</w:t>
            </w:r>
            <w:r>
              <w:rPr>
                <w:rFonts w:hint="eastAsia" w:ascii="宋体" w:hAnsi="宋体" w:eastAsia="宋体" w:cs="宋体"/>
                <w:color w:val="auto"/>
                <w:highlight w:val="none"/>
                <w:lang w:val="en-US" w:eastAsia="zh-CN"/>
              </w:rPr>
              <w:t>≥</w:t>
            </w:r>
            <w:r>
              <w:rPr>
                <w:rFonts w:hint="eastAsia" w:ascii="宋体" w:hAnsi="宋体" w:eastAsia="宋体" w:cs="宋体"/>
                <w:color w:val="auto"/>
                <w:spacing w:val="-10"/>
                <w:sz w:val="21"/>
                <w:szCs w:val="21"/>
                <w:highlight w:val="none"/>
              </w:rPr>
              <w:t>7</w:t>
            </w:r>
            <w:r>
              <w:rPr>
                <w:rFonts w:hint="eastAsia" w:ascii="宋体" w:hAnsi="宋体" w:cs="宋体"/>
                <w:color w:val="auto"/>
                <w:spacing w:val="-10"/>
                <w:sz w:val="21"/>
                <w:szCs w:val="21"/>
                <w:highlight w:val="none"/>
                <w:lang w:val="en-US" w:eastAsia="zh-CN"/>
              </w:rPr>
              <w:t>寸</w:t>
            </w:r>
            <w:r>
              <w:rPr>
                <w:rFonts w:hint="eastAsia" w:ascii="宋体" w:hAnsi="宋体" w:eastAsia="宋体" w:cs="宋体"/>
                <w:color w:val="auto"/>
                <w:spacing w:val="-10"/>
                <w:sz w:val="21"/>
                <w:szCs w:val="21"/>
                <w:highlight w:val="none"/>
              </w:rPr>
              <w:t>液晶彩色显示</w:t>
            </w:r>
            <w:r>
              <w:rPr>
                <w:rFonts w:hint="eastAsia" w:ascii="宋体" w:hAnsi="宋体" w:cs="宋体"/>
                <w:color w:val="auto"/>
                <w:spacing w:val="-10"/>
                <w:sz w:val="21"/>
                <w:szCs w:val="21"/>
                <w:highlight w:val="none"/>
                <w:lang w:val="en-US" w:eastAsia="zh-CN"/>
              </w:rPr>
              <w:t>屏</w:t>
            </w:r>
            <w:r>
              <w:rPr>
                <w:rFonts w:hint="eastAsia" w:ascii="宋体" w:hAnsi="宋体" w:eastAsia="宋体" w:cs="宋体"/>
                <w:color w:val="auto"/>
                <w:spacing w:val="-10"/>
                <w:sz w:val="21"/>
                <w:szCs w:val="21"/>
                <w:highlight w:val="none"/>
              </w:rPr>
              <w:t>、集中显示功能，灵活的操作界面，功率和参数可通过按键</w:t>
            </w:r>
            <w:r>
              <w:rPr>
                <w:rFonts w:hint="eastAsia" w:ascii="宋体" w:hAnsi="宋体" w:cs="宋体"/>
                <w:color w:val="auto"/>
                <w:spacing w:val="-10"/>
                <w:sz w:val="21"/>
                <w:szCs w:val="21"/>
                <w:highlight w:val="none"/>
                <w:lang w:val="en-US" w:eastAsia="zh-CN"/>
              </w:rPr>
              <w:t>快速</w:t>
            </w:r>
            <w:r>
              <w:rPr>
                <w:rFonts w:hint="eastAsia" w:ascii="宋体" w:hAnsi="宋体" w:eastAsia="宋体" w:cs="宋体"/>
                <w:color w:val="auto"/>
                <w:spacing w:val="-10"/>
                <w:sz w:val="21"/>
                <w:szCs w:val="21"/>
                <w:highlight w:val="none"/>
              </w:rPr>
              <w:t>调节，可存储≥</w:t>
            </w:r>
            <w:r>
              <w:rPr>
                <w:rFonts w:hint="eastAsia" w:ascii="宋体" w:hAnsi="宋体" w:cs="宋体"/>
                <w:color w:val="auto"/>
                <w:spacing w:val="-10"/>
                <w:sz w:val="21"/>
                <w:szCs w:val="21"/>
                <w:highlight w:val="none"/>
                <w:lang w:val="en-US" w:eastAsia="zh-CN"/>
              </w:rPr>
              <w:t>10</w:t>
            </w:r>
            <w:r>
              <w:rPr>
                <w:rFonts w:hint="eastAsia" w:ascii="宋体" w:hAnsi="宋体" w:eastAsia="宋体" w:cs="宋体"/>
                <w:color w:val="auto"/>
                <w:spacing w:val="-10"/>
                <w:sz w:val="21"/>
                <w:szCs w:val="21"/>
                <w:highlight w:val="none"/>
              </w:rPr>
              <w:t>组临床经验设置。</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pPr>
              <w:numPr>
                <w:ilvl w:val="0"/>
                <w:numId w:val="0"/>
              </w:numPr>
              <w:spacing w:line="360" w:lineRule="auto"/>
              <w:jc w:val="left"/>
              <w:rPr>
                <w:rFonts w:hint="eastAsia" w:ascii="宋体" w:hAnsi="宋体" w:cs="宋体"/>
                <w:color w:val="auto"/>
                <w:spacing w:val="-10"/>
                <w:sz w:val="21"/>
                <w:szCs w:val="21"/>
                <w:highlight w:val="none"/>
                <w:lang w:val="en-US" w:eastAsia="zh-CN"/>
              </w:rPr>
            </w:pPr>
            <w:r>
              <w:rPr>
                <w:rFonts w:hint="eastAsia" w:ascii="宋体" w:hAnsi="宋体" w:cs="宋体"/>
                <w:bCs/>
                <w:color w:val="auto"/>
                <w:sz w:val="21"/>
                <w:szCs w:val="21"/>
                <w:highlight w:val="none"/>
                <w:lang w:val="en-US" w:eastAsia="zh-CN"/>
              </w:rPr>
              <w:t>5.具备多类手术输出模式，包括</w:t>
            </w:r>
            <w:r>
              <w:rPr>
                <w:rFonts w:hint="eastAsia"/>
                <w:lang w:val="en-US" w:eastAsia="zh-CN"/>
              </w:rPr>
              <w:t>包括但不限于</w:t>
            </w:r>
            <w:r>
              <w:rPr>
                <w:rFonts w:hint="eastAsia" w:ascii="宋体" w:hAnsi="宋体" w:eastAsia="宋体" w:cs="宋体"/>
                <w:bCs/>
                <w:color w:val="auto"/>
                <w:sz w:val="21"/>
                <w:szCs w:val="21"/>
                <w:highlight w:val="none"/>
              </w:rPr>
              <w:t>纯切、</w:t>
            </w:r>
            <w:r>
              <w:rPr>
                <w:rFonts w:hint="eastAsia" w:ascii="宋体" w:hAnsi="宋体" w:eastAsia="宋体" w:cs="宋体"/>
                <w:color w:val="auto"/>
                <w:spacing w:val="-10"/>
                <w:sz w:val="21"/>
                <w:szCs w:val="21"/>
                <w:highlight w:val="none"/>
              </w:rPr>
              <w:t>混切、内镜电切I、内镜电切Q、柔和电凝、强力电凝、喷凝、喷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II</w:t>
            </w:r>
            <w:r>
              <w:rPr>
                <w:rFonts w:hint="eastAsia" w:ascii="宋体" w:hAnsi="宋体" w:cs="宋体"/>
                <w:color w:val="auto"/>
                <w:spacing w:val="-10"/>
                <w:sz w:val="21"/>
                <w:szCs w:val="21"/>
                <w:highlight w:val="none"/>
                <w:lang w:val="en-US" w:eastAsia="zh-CN"/>
              </w:rPr>
              <w:t>等多种工作模式，满足各类内镜手术需求；</w:t>
            </w:r>
          </w:p>
          <w:p>
            <w:pPr>
              <w:numPr>
                <w:ilvl w:val="0"/>
                <w:numId w:val="0"/>
              </w:numPr>
              <w:spacing w:line="360" w:lineRule="auto"/>
              <w:jc w:val="left"/>
              <w:rPr>
                <w:rFonts w:hint="eastAsia" w:ascii="宋体" w:hAnsi="宋体" w:eastAsia="宋体" w:cs="宋体"/>
                <w:color w:val="auto"/>
                <w:highlight w:val="none"/>
                <w:lang w:val="en-US" w:eastAsia="zh-CN"/>
              </w:rPr>
            </w:pPr>
            <w:r>
              <w:rPr>
                <w:rFonts w:hint="eastAsia" w:ascii="宋体" w:hAnsi="宋体" w:eastAsia="宋体" w:cs="宋体"/>
                <w:bCs/>
                <w:color w:val="auto"/>
                <w:sz w:val="21"/>
                <w:szCs w:val="21"/>
                <w:highlight w:val="none"/>
              </w:rPr>
              <w:t>▲6.各工作模式能量效果≥5 档可调，烧灼宽度≥5 档可调，脉冲输出时间间隔≥8 档可调。</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pPr>
              <w:spacing w:line="36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7.最大电切功率</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00W，</w:t>
            </w:r>
            <w:r>
              <w:rPr>
                <w:rFonts w:hint="eastAsia" w:ascii="宋体" w:hAnsi="宋体" w:eastAsia="宋体" w:cs="宋体"/>
                <w:b w:val="0"/>
                <w:bCs w:val="0"/>
                <w:color w:val="auto"/>
                <w:sz w:val="21"/>
                <w:szCs w:val="21"/>
                <w:highlight w:val="none"/>
                <w:lang w:val="en-US" w:eastAsia="zh-CN"/>
              </w:rPr>
              <w:t>最大</w:t>
            </w:r>
            <w:r>
              <w:rPr>
                <w:rFonts w:hint="eastAsia" w:ascii="宋体" w:hAnsi="宋体" w:eastAsia="宋体" w:cs="宋体"/>
                <w:b w:val="0"/>
                <w:bCs w:val="0"/>
                <w:color w:val="auto"/>
                <w:sz w:val="21"/>
                <w:szCs w:val="21"/>
                <w:highlight w:val="none"/>
                <w:lang w:eastAsia="zh-CN"/>
              </w:rPr>
              <w:t>电凝功能</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0W</w:t>
            </w:r>
            <w:r>
              <w:rPr>
                <w:rFonts w:hint="eastAsia" w:ascii="宋体" w:hAnsi="宋体" w:cs="宋体"/>
                <w:b w:val="0"/>
                <w:bCs w:val="0"/>
                <w:color w:val="auto"/>
                <w:sz w:val="21"/>
                <w:szCs w:val="21"/>
                <w:highlight w:val="none"/>
                <w:lang w:eastAsia="zh-CN"/>
              </w:rPr>
              <w:t>。</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配置</w:t>
            </w:r>
            <w:r>
              <w:rPr>
                <w:rFonts w:hint="eastAsia" w:ascii="宋体" w:hAnsi="宋体" w:eastAsia="宋体" w:cs="宋体"/>
                <w:color w:val="auto"/>
                <w:spacing w:val="-10"/>
                <w:sz w:val="21"/>
                <w:szCs w:val="21"/>
                <w:highlight w:val="none"/>
              </w:rPr>
              <w:t>内镜手术，内镜切I、内镜切Q，可根据阻抗变化自动调节功率。</w:t>
            </w:r>
          </w:p>
          <w:p>
            <w:pPr>
              <w:spacing w:line="360" w:lineRule="auto"/>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常用手术工作模式，内置ESD、EMR、APC、POME等常用术式参数，且参数选择</w:t>
            </w:r>
            <w:r>
              <w:rPr>
                <w:rFonts w:hint="eastAsia" w:ascii="宋体" w:hAnsi="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lang w:eastAsia="zh-CN"/>
              </w:rPr>
              <w:t>支持一键切换。</w:t>
            </w:r>
          </w:p>
          <w:p>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应</w:t>
            </w:r>
            <w:r>
              <w:rPr>
                <w:rFonts w:hint="eastAsia" w:ascii="宋体" w:hAnsi="宋体" w:eastAsia="宋体" w:cs="宋体"/>
                <w:bCs/>
                <w:color w:val="auto"/>
                <w:sz w:val="21"/>
                <w:szCs w:val="21"/>
                <w:highlight w:val="none"/>
              </w:rPr>
              <w:t>具有氩气流量恒定输出监测系统及末端压力自动</w:t>
            </w:r>
            <w:r>
              <w:rPr>
                <w:rFonts w:hint="eastAsia" w:ascii="宋体" w:hAnsi="宋体" w:eastAsia="宋体" w:cs="宋体"/>
                <w:bCs/>
                <w:color w:val="auto"/>
                <w:sz w:val="21"/>
                <w:szCs w:val="21"/>
                <w:highlight w:val="none"/>
                <w:lang w:val="en-US" w:eastAsia="zh-CN"/>
              </w:rPr>
              <w:t>监测</w:t>
            </w:r>
            <w:r>
              <w:rPr>
                <w:rFonts w:hint="eastAsia" w:ascii="宋体" w:hAnsi="宋体" w:eastAsia="宋体" w:cs="宋体"/>
                <w:bCs/>
                <w:color w:val="auto"/>
                <w:sz w:val="21"/>
                <w:szCs w:val="21"/>
                <w:highlight w:val="none"/>
              </w:rPr>
              <w:t>系统</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氩气</w:t>
            </w:r>
            <w:r>
              <w:rPr>
                <w:rFonts w:hint="eastAsia" w:ascii="宋体" w:hAnsi="宋体" w:eastAsia="宋体" w:cs="宋体"/>
                <w:b w:val="0"/>
                <w:bCs w:val="0"/>
                <w:color w:val="auto"/>
                <w:sz w:val="21"/>
                <w:szCs w:val="21"/>
                <w:highlight w:val="none"/>
                <w:lang w:eastAsia="zh-CN"/>
              </w:rPr>
              <w:t>流量实时动态显示</w:t>
            </w:r>
            <w:r>
              <w:rPr>
                <w:rFonts w:hint="eastAsia" w:ascii="宋体" w:hAnsi="宋体" w:eastAsia="宋体" w:cs="宋体"/>
                <w:bCs/>
                <w:color w:val="auto"/>
                <w:sz w:val="21"/>
                <w:szCs w:val="21"/>
                <w:highlight w:val="none"/>
              </w:rPr>
              <w:t>。</w:t>
            </w:r>
          </w:p>
          <w:p>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pacing w:val="-10"/>
                <w:sz w:val="21"/>
                <w:szCs w:val="21"/>
                <w:highlight w:val="none"/>
              </w:rPr>
              <w:t>氩离子喷射电凝模式,功率调节范围：1-100W，可实现浅层凝血，减少深部组织热损伤风险</w:t>
            </w:r>
            <w:r>
              <w:rPr>
                <w:rFonts w:hint="eastAsia" w:ascii="宋体" w:hAnsi="宋体" w:eastAsia="宋体" w:cs="宋体"/>
                <w:color w:val="auto"/>
                <w:spacing w:val="-10"/>
                <w:sz w:val="21"/>
                <w:szCs w:val="21"/>
                <w:highlight w:val="none"/>
                <w:lang w:val="en-US" w:eastAsia="zh-CN"/>
              </w:rPr>
              <w:t>。</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12.</w:t>
            </w:r>
            <w:r>
              <w:rPr>
                <w:rFonts w:hint="eastAsia" w:ascii="宋体" w:hAnsi="宋体" w:eastAsia="宋体" w:cs="宋体"/>
                <w:color w:val="auto"/>
                <w:spacing w:val="-10"/>
                <w:sz w:val="21"/>
                <w:szCs w:val="21"/>
                <w:highlight w:val="none"/>
              </w:rPr>
              <w:t>氩气输出流量</w:t>
            </w:r>
            <w:r>
              <w:rPr>
                <w:rFonts w:hint="eastAsia" w:ascii="宋体" w:hAnsi="宋体" w:eastAsia="宋体" w:cs="宋体"/>
                <w:color w:val="auto"/>
                <w:spacing w:val="-10"/>
                <w:sz w:val="21"/>
                <w:szCs w:val="21"/>
                <w:highlight w:val="none"/>
                <w:lang w:eastAsia="zh-CN"/>
              </w:rPr>
              <w:t>0.1L/min-9.0L/min（步幅0.1L/min）</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3.</w:t>
            </w:r>
            <w:r>
              <w:rPr>
                <w:rFonts w:hint="eastAsia" w:ascii="宋体" w:hAnsi="宋体" w:eastAsia="宋体" w:cs="宋体"/>
                <w:color w:val="auto"/>
                <w:spacing w:val="-10"/>
                <w:sz w:val="21"/>
                <w:szCs w:val="21"/>
                <w:highlight w:val="none"/>
              </w:rPr>
              <w:t>氩气电极配置</w:t>
            </w:r>
            <w:r>
              <w:rPr>
                <w:rFonts w:hint="eastAsia" w:ascii="宋体" w:hAnsi="宋体" w:cs="宋体"/>
                <w:color w:val="auto"/>
                <w:spacing w:val="-10"/>
                <w:sz w:val="21"/>
                <w:szCs w:val="21"/>
                <w:highlight w:val="none"/>
                <w:lang w:val="en-US" w:eastAsia="zh-CN"/>
              </w:rPr>
              <w:t>需</w:t>
            </w:r>
            <w:r>
              <w:rPr>
                <w:rFonts w:hint="eastAsia" w:ascii="宋体" w:hAnsi="宋体" w:eastAsia="宋体" w:cs="宋体"/>
                <w:color w:val="auto"/>
                <w:spacing w:val="-10"/>
                <w:sz w:val="21"/>
                <w:szCs w:val="21"/>
                <w:highlight w:val="none"/>
              </w:rPr>
              <w:t>区分标识，并有多种喷口方向的软管可供选择。</w:t>
            </w:r>
          </w:p>
          <w:p>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lang w:val="en-US" w:eastAsia="zh-CN"/>
              </w:rPr>
              <w:t>14</w:t>
            </w:r>
            <w:r>
              <w:rPr>
                <w:rFonts w:hint="eastAsia" w:ascii="宋体" w:hAnsi="宋体" w:eastAsia="宋体" w:cs="宋体"/>
                <w:color w:val="auto"/>
                <w:spacing w:val="-10"/>
                <w:sz w:val="21"/>
                <w:szCs w:val="21"/>
                <w:highlight w:val="none"/>
              </w:rPr>
              <w:t>.</w:t>
            </w:r>
            <w:r>
              <w:rPr>
                <w:rFonts w:hint="eastAsia" w:ascii="宋体" w:hAnsi="宋体" w:cs="宋体"/>
                <w:color w:val="auto"/>
                <w:spacing w:val="-10"/>
                <w:sz w:val="21"/>
                <w:szCs w:val="21"/>
                <w:highlight w:val="none"/>
                <w:lang w:val="en-US" w:eastAsia="zh-CN"/>
              </w:rPr>
              <w:t>应</w:t>
            </w:r>
            <w:r>
              <w:rPr>
                <w:rFonts w:hint="eastAsia" w:ascii="宋体" w:hAnsi="宋体" w:eastAsia="宋体" w:cs="宋体"/>
                <w:color w:val="auto"/>
                <w:spacing w:val="-10"/>
                <w:sz w:val="21"/>
                <w:szCs w:val="21"/>
                <w:highlight w:val="none"/>
              </w:rPr>
              <w:t>具有</w:t>
            </w:r>
            <w:r>
              <w:rPr>
                <w:rFonts w:hint="eastAsia" w:ascii="宋体" w:hAnsi="宋体" w:cs="宋体"/>
                <w:color w:val="auto"/>
                <w:spacing w:val="-10"/>
                <w:sz w:val="21"/>
                <w:szCs w:val="21"/>
                <w:highlight w:val="none"/>
                <w:lang w:val="en-US" w:eastAsia="zh-CN"/>
              </w:rPr>
              <w:t>输出</w:t>
            </w:r>
            <w:r>
              <w:rPr>
                <w:rFonts w:hint="eastAsia" w:ascii="宋体" w:hAnsi="宋体" w:eastAsia="宋体" w:cs="宋体"/>
                <w:color w:val="auto"/>
                <w:spacing w:val="-10"/>
                <w:sz w:val="21"/>
                <w:szCs w:val="21"/>
                <w:highlight w:val="none"/>
              </w:rPr>
              <w:t>功率</w:t>
            </w:r>
            <w:r>
              <w:rPr>
                <w:rFonts w:hint="eastAsia" w:ascii="宋体" w:hAnsi="宋体" w:cs="宋体"/>
                <w:color w:val="auto"/>
                <w:spacing w:val="-10"/>
                <w:sz w:val="21"/>
                <w:szCs w:val="21"/>
                <w:highlight w:val="none"/>
                <w:lang w:val="en-US" w:eastAsia="zh-CN"/>
              </w:rPr>
              <w:t>动态</w:t>
            </w:r>
            <w:r>
              <w:rPr>
                <w:rFonts w:hint="eastAsia" w:ascii="宋体" w:hAnsi="宋体" w:eastAsia="宋体" w:cs="宋体"/>
                <w:color w:val="auto"/>
                <w:spacing w:val="-10"/>
                <w:sz w:val="21"/>
                <w:szCs w:val="21"/>
                <w:highlight w:val="none"/>
              </w:rPr>
              <w:t>补偿系统</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可通过探测组织阻抗</w:t>
            </w:r>
            <w:r>
              <w:rPr>
                <w:rFonts w:hint="eastAsia" w:ascii="宋体" w:hAnsi="宋体" w:cs="宋体"/>
                <w:color w:val="auto"/>
                <w:spacing w:val="-10"/>
                <w:sz w:val="21"/>
                <w:szCs w:val="21"/>
                <w:highlight w:val="none"/>
                <w:lang w:val="en-US" w:eastAsia="zh-CN"/>
              </w:rPr>
              <w:t>并</w:t>
            </w:r>
            <w:r>
              <w:rPr>
                <w:rFonts w:hint="eastAsia" w:ascii="宋体" w:hAnsi="宋体" w:eastAsia="宋体" w:cs="宋体"/>
                <w:color w:val="auto"/>
                <w:spacing w:val="-10"/>
                <w:sz w:val="21"/>
                <w:szCs w:val="21"/>
                <w:highlight w:val="none"/>
                <w:lang w:val="en-US" w:eastAsia="zh-CN"/>
              </w:rPr>
              <w:t>自动调节输出能量，保障切割操作流畅稳定。</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color w:val="auto"/>
                <w:spacing w:val="-10"/>
                <w:sz w:val="21"/>
                <w:szCs w:val="21"/>
                <w:highlight w:val="none"/>
                <w:lang w:val="en-US" w:eastAsia="zh-CN"/>
              </w:rPr>
              <w:t>15</w:t>
            </w:r>
            <w:r>
              <w:rPr>
                <w:rFonts w:hint="eastAsia" w:ascii="宋体" w:hAnsi="宋体" w:eastAsia="宋体" w:cs="宋体"/>
                <w:color w:val="auto"/>
                <w:spacing w:val="-10"/>
                <w:sz w:val="21"/>
                <w:szCs w:val="21"/>
                <w:highlight w:val="none"/>
              </w:rPr>
              <w:t>.具备组织阻抗实时监测、动态反馈调节输出功率功能。</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16.</w:t>
            </w:r>
            <w:r>
              <w:rPr>
                <w:rFonts w:hint="eastAsia" w:ascii="宋体" w:hAnsi="宋体" w:eastAsia="宋体" w:cs="宋体"/>
                <w:color w:val="auto"/>
                <w:spacing w:val="-10"/>
                <w:sz w:val="21"/>
                <w:szCs w:val="21"/>
                <w:highlight w:val="none"/>
                <w:lang w:eastAsia="zh-CN"/>
              </w:rPr>
              <w:t>支持单、双极中性电极使用，且都具有接触质量提示功能。</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.配备负极板接触质量数字化实时检测显示功能。</w:t>
            </w:r>
          </w:p>
          <w:p>
            <w:pPr>
              <w:spacing w:line="360" w:lineRule="auto"/>
              <w:jc w:val="left"/>
              <w:rPr>
                <w:rFonts w:hint="eastAsia" w:ascii="宋体" w:hAnsi="宋体" w:eastAsia="宋体" w:cs="宋体"/>
                <w:color w:val="auto"/>
                <w:spacing w:val="-10"/>
                <w:sz w:val="21"/>
                <w:szCs w:val="21"/>
                <w:highlight w:val="none"/>
                <w:lang w:val="en-US" w:eastAsia="zh-CN"/>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8</w:t>
            </w:r>
            <w:r>
              <w:rPr>
                <w:rFonts w:hint="eastAsia" w:ascii="宋体" w:hAnsi="宋体" w:eastAsia="宋体" w:cs="宋体"/>
                <w:color w:val="auto"/>
                <w:spacing w:val="-10"/>
                <w:sz w:val="21"/>
                <w:szCs w:val="21"/>
                <w:highlight w:val="none"/>
              </w:rPr>
              <w:t>.多处理器协同控制架构，独立处理器负责整机故障监测；设备出现故障时可快速切断能量输出，提升使用安全性。</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19.开机自动整机检测，内置漏电安全检测功能。 </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20.操作界面支持中文、英文双语切换。</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21.设备故障、异常状态具备语音提示报警功能。 </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22.具备参数断电记忆功能，设备重启后可自动恢复断电前设置参数。 </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23.</w:t>
            </w:r>
            <w:r>
              <w:rPr>
                <w:rFonts w:hint="eastAsia" w:ascii="宋体" w:hAnsi="宋体" w:eastAsia="宋体" w:cs="宋体"/>
                <w:color w:val="auto"/>
                <w:spacing w:val="-10"/>
                <w:sz w:val="21"/>
                <w:szCs w:val="21"/>
                <w:highlight w:val="none"/>
                <w:lang w:val="en-US" w:eastAsia="zh-CN"/>
              </w:rPr>
              <w:t>内置防尘散热装置</w:t>
            </w:r>
            <w:r>
              <w:rPr>
                <w:rFonts w:hint="eastAsia" w:ascii="宋体" w:hAnsi="宋体" w:eastAsia="宋体" w:cs="宋体"/>
                <w:color w:val="auto"/>
                <w:spacing w:val="-10"/>
                <w:sz w:val="21"/>
                <w:szCs w:val="21"/>
                <w:highlight w:val="none"/>
              </w:rPr>
              <w:t xml:space="preserve">，降低粉尘进入主机内部概率，延长设备使用寿命。 </w:t>
            </w:r>
          </w:p>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▲24. 投标产品设计使用年限不少于 10 年。</w:t>
            </w:r>
            <w:r>
              <w:rPr>
                <w:rFonts w:hint="eastAsia" w:ascii="宋体" w:hAnsi="宋体" w:eastAsia="宋体" w:cs="宋体"/>
                <w:b/>
                <w:bCs/>
                <w:color w:val="auto"/>
                <w:spacing w:val="-10"/>
                <w:sz w:val="21"/>
                <w:szCs w:val="21"/>
                <w:highlight w:val="none"/>
                <w:lang w:val="zh-CN" w:eastAsia="zh-CN"/>
              </w:rPr>
              <w:t>（投标时需提供产品说明书扫描件或产品彩页，注：对应参数在证明材料中进行标注，</w:t>
            </w:r>
            <w:r>
              <w:rPr>
                <w:rFonts w:hint="eastAsia" w:ascii="宋体" w:hAnsi="宋体" w:eastAsia="宋体" w:cs="宋体"/>
                <w:b/>
                <w:bCs/>
                <w:color w:val="auto"/>
                <w:spacing w:val="-10"/>
                <w:sz w:val="21"/>
                <w:szCs w:val="21"/>
                <w:highlight w:val="none"/>
                <w:lang w:val="en-US" w:eastAsia="zh-CN"/>
              </w:rPr>
              <w:t>中标后</w:t>
            </w:r>
            <w:r>
              <w:rPr>
                <w:rFonts w:hint="eastAsia" w:ascii="宋体" w:hAnsi="宋体" w:eastAsia="宋体" w:cs="宋体"/>
                <w:b/>
                <w:bCs/>
                <w:color w:val="auto"/>
                <w:spacing w:val="-10"/>
                <w:sz w:val="21"/>
                <w:szCs w:val="21"/>
                <w:highlight w:val="none"/>
                <w:lang w:val="zh-CN" w:eastAsia="zh-CN"/>
              </w:rPr>
              <w:t>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812" w:type="pct"/>
            <w:shd w:val="clear" w:color="auto" w:fill="auto"/>
            <w:noWrap w:val="0"/>
            <w:vAlign w:val="center"/>
          </w:tcPr>
          <w:p>
            <w:pPr>
              <w:snapToGrid w:val="0"/>
              <w:spacing w:line="56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default" w:ascii="Times New Roman" w:hAnsi="Times New Roman" w:eastAsia="宋体" w:cs="Times New Roman"/>
                <w:b/>
                <w:bCs w:val="0"/>
                <w:color w:val="auto"/>
                <w:sz w:val="22"/>
                <w:szCs w:val="22"/>
                <w:highlight w:val="none"/>
                <w:lang w:val="en-US" w:eastAsia="zh-CN"/>
              </w:rPr>
              <w:t>内镜注水泵</w:t>
            </w:r>
          </w:p>
        </w:tc>
        <w:tc>
          <w:tcPr>
            <w:tcW w:w="4187" w:type="pct"/>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一、技术指标</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1.基本参数</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1.1主机尺寸：约140mm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×220mm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×385mm</w:t>
            </w:r>
            <w:r>
              <w:rPr>
                <w:rFonts w:hint="eastAsia" w:ascii="宋体" w:hAnsi="宋体" w:cs="宋体"/>
                <w:b w:val="0"/>
                <w:bCs w:val="0"/>
                <w:color w:val="auto"/>
                <w:kern w:val="2"/>
                <w:sz w:val="22"/>
                <w:szCs w:val="22"/>
                <w:highlight w:val="none"/>
                <w:lang w:val="en-US" w:eastAsia="zh-CN" w:bidi="ar-SA"/>
              </w:rPr>
              <w:t>（</w:t>
            </w:r>
            <w:r>
              <w:rPr>
                <w:rFonts w:hint="eastAsia" w:ascii="微软雅黑" w:hAnsi="微软雅黑" w:eastAsia="微软雅黑" w:cs="微软雅黑"/>
                <w:b w:val="0"/>
                <w:bCs w:val="0"/>
                <w:color w:val="auto"/>
                <w:kern w:val="2"/>
                <w:sz w:val="22"/>
                <w:szCs w:val="22"/>
                <w:highlight w:val="none"/>
                <w:lang w:val="en-US" w:eastAsia="zh-CN" w:bidi="ar-SA"/>
              </w:rPr>
              <w:t>±</w:t>
            </w:r>
            <w:r>
              <w:rPr>
                <w:rFonts w:hint="eastAsia" w:ascii="宋体" w:hAnsi="宋体" w:cs="宋体"/>
                <w:b w:val="0"/>
                <w:bCs w:val="0"/>
                <w:color w:val="auto"/>
                <w:kern w:val="2"/>
                <w:sz w:val="22"/>
                <w:szCs w:val="22"/>
                <w:highlight w:val="none"/>
                <w:lang w:val="en-US" w:eastAsia="zh-CN" w:bidi="ar-SA"/>
              </w:rPr>
              <w:t>2mm）</w:t>
            </w:r>
            <w:r>
              <w:rPr>
                <w:rFonts w:hint="eastAsia" w:ascii="宋体" w:hAnsi="宋体" w:eastAsia="宋体" w:cs="宋体"/>
                <w:b w:val="0"/>
                <w:bCs w:val="0"/>
                <w:color w:val="auto"/>
                <w:kern w:val="2"/>
                <w:sz w:val="22"/>
                <w:szCs w:val="22"/>
                <w:highlight w:val="none"/>
                <w:lang w:val="en-US" w:eastAsia="zh-CN" w:bidi="ar-SA"/>
              </w:rPr>
              <w:t>（宽×高×深），不含脚踏开关</w:t>
            </w:r>
            <w:r>
              <w:rPr>
                <w:rFonts w:hint="eastAsia" w:ascii="宋体" w:hAnsi="宋体" w:eastAsia="宋体" w:cs="宋体"/>
                <w:color w:val="auto"/>
                <w:spacing w:val="-1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1.4送水管尺寸：管径可适配本院内镜管路对接要求。本院内镜管路内径约￠5.20mm，外径约￠7.60mm。</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2.性能参数</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3.送水装置电源输入</w:t>
            </w:r>
            <w:r>
              <w:rPr>
                <w:rFonts w:hint="eastAsia" w:ascii="宋体" w:hAnsi="宋体" w:cs="宋体"/>
                <w:b w:val="0"/>
                <w:bCs w:val="0"/>
                <w:color w:val="auto"/>
                <w:kern w:val="2"/>
                <w:sz w:val="22"/>
                <w:szCs w:val="22"/>
                <w:highlight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4.脚踏开关</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5.正常工作条件</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6.运输和存储条件</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7.设备功能</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val="0"/>
                <w:bCs w:val="0"/>
                <w:color w:val="auto"/>
                <w:kern w:val="2"/>
                <w:sz w:val="22"/>
                <w:szCs w:val="22"/>
                <w:highlight w:val="none"/>
                <w:lang w:val="zh-CN" w:eastAsia="zh-CN" w:bidi="ar-SA"/>
              </w:rPr>
              <w:t>）</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r>
    </w:tbl>
    <w:p>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b w:val="0"/>
          <w:bCs w:val="0"/>
          <w:color w:val="auto"/>
          <w:sz w:val="28"/>
          <w:szCs w:val="28"/>
          <w:highlight w:val="none"/>
          <w:lang w:val="en-US" w:eastAsia="zh-CN"/>
        </w:rPr>
      </w:pPr>
      <w:r>
        <w:rPr>
          <w:rFonts w:hint="eastAsia" w:ascii="楷体_GB2312" w:hAnsi="楷体_GB2312" w:eastAsia="楷体_GB2312" w:cs="楷体_GB2312"/>
          <w:b w:val="0"/>
          <w:bCs w:val="0"/>
          <w:color w:val="auto"/>
          <w:kern w:val="0"/>
          <w:sz w:val="28"/>
          <w:szCs w:val="28"/>
          <w:highlight w:val="none"/>
          <w:lang w:val="en-US" w:eastAsia="zh-CN" w:bidi="ar-SA"/>
        </w:rPr>
        <w:t>（四）商务要求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交货期：自合同签订之日起</w:t>
      </w:r>
      <w:r>
        <w:rPr>
          <w:rFonts w:hint="eastAsia" w:ascii="仿宋_GB2312" w:hAnsi="仿宋_GB2312" w:eastAsia="仿宋_GB2312" w:cs="仿宋_GB2312"/>
          <w:b w:val="0"/>
          <w:bCs w:val="0"/>
          <w:color w:val="auto"/>
          <w:sz w:val="28"/>
          <w:szCs w:val="28"/>
          <w:highlight w:val="none"/>
        </w:rPr>
        <w:t>15</w:t>
      </w:r>
      <w:r>
        <w:rPr>
          <w:rFonts w:hint="eastAsia" w:ascii="仿宋_GB2312" w:hAnsi="仿宋_GB2312" w:eastAsia="仿宋_GB2312" w:cs="仿宋_GB2312"/>
          <w:b w:val="0"/>
          <w:bCs w:val="0"/>
          <w:color w:val="auto"/>
          <w:sz w:val="28"/>
          <w:szCs w:val="28"/>
          <w:highlight w:val="none"/>
          <w:lang w:eastAsia="zh-CN"/>
        </w:rPr>
        <w:t>日（</w:t>
      </w:r>
      <w:r>
        <w:rPr>
          <w:rFonts w:hint="eastAsia" w:ascii="仿宋_GB2312" w:hAnsi="仿宋_GB2312" w:eastAsia="仿宋_GB2312" w:cs="仿宋_GB2312"/>
          <w:b w:val="0"/>
          <w:bCs w:val="0"/>
          <w:color w:val="auto"/>
          <w:sz w:val="28"/>
          <w:szCs w:val="28"/>
          <w:highlight w:val="none"/>
        </w:rPr>
        <w:t>日历日</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内完成交货</w:t>
      </w:r>
      <w:r>
        <w:rPr>
          <w:rFonts w:hint="eastAsia" w:ascii="仿宋_GB2312" w:hAnsi="仿宋_GB2312" w:eastAsia="仿宋_GB2312" w:cs="仿宋_GB2312"/>
          <w:b w:val="0"/>
          <w:bCs w:val="0"/>
          <w:color w:val="auto"/>
          <w:sz w:val="28"/>
          <w:szCs w:val="28"/>
          <w:highlight w:val="none"/>
          <w:lang w:eastAsia="zh-CN"/>
        </w:rPr>
        <w:t>，并安装调试完成。（</w:t>
      </w:r>
      <w:r>
        <w:rPr>
          <w:rFonts w:hint="eastAsia" w:ascii="仿宋_GB2312" w:hAnsi="仿宋_GB2312" w:eastAsia="仿宋_GB2312" w:cs="仿宋_GB2312"/>
          <w:b w:val="0"/>
          <w:bCs w:val="0"/>
          <w:color w:val="auto"/>
          <w:sz w:val="28"/>
          <w:szCs w:val="28"/>
          <w:highlight w:val="none"/>
        </w:rPr>
        <w:t>日历日为自然天，包括双休日及法定节假日，不等同于工作日；投标文件中的交货期条款为不可负偏离条款，若投标文件中响应的交货期超过招标文件规定期限时，其投标文件按投标无效处理。）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w:t>
      </w:r>
      <w:r>
        <w:rPr>
          <w:rFonts w:hint="eastAsia" w:ascii="仿宋_GB2312" w:hAnsi="仿宋_GB2312" w:eastAsia="仿宋_GB2312" w:cs="仿宋_GB2312"/>
          <w:b w:val="0"/>
          <w:bCs w:val="0"/>
          <w:color w:val="auto"/>
          <w:sz w:val="28"/>
          <w:szCs w:val="28"/>
          <w:highlight w:val="none"/>
          <w:lang w:val="en-US" w:eastAsia="zh-CN"/>
        </w:rPr>
        <w:t>市</w:t>
      </w:r>
      <w:r>
        <w:rPr>
          <w:rFonts w:hint="eastAsia" w:ascii="仿宋_GB2312" w:hAnsi="仿宋_GB2312" w:eastAsia="仿宋_GB2312" w:cs="仿宋_GB2312"/>
          <w:b w:val="0"/>
          <w:bCs w:val="0"/>
          <w:color w:val="auto"/>
          <w:sz w:val="28"/>
          <w:szCs w:val="28"/>
          <w:highlight w:val="none"/>
        </w:rPr>
        <w:t>龙岗区</w:t>
      </w:r>
      <w:r>
        <w:rPr>
          <w:rFonts w:hint="eastAsia" w:ascii="仿宋_GB2312" w:hAnsi="仿宋_GB2312" w:eastAsia="仿宋_GB2312" w:cs="仿宋_GB2312"/>
          <w:b w:val="0"/>
          <w:bCs w:val="0"/>
          <w:color w:val="auto"/>
          <w:sz w:val="28"/>
          <w:szCs w:val="28"/>
          <w:highlight w:val="none"/>
          <w:lang w:val="en-US" w:eastAsia="zh-CN"/>
        </w:rPr>
        <w:t>第七</w:t>
      </w:r>
      <w:r>
        <w:rPr>
          <w:rFonts w:hint="eastAsia" w:ascii="仿宋_GB2312" w:hAnsi="仿宋_GB2312" w:eastAsia="仿宋_GB2312" w:cs="仿宋_GB2312"/>
          <w:b w:val="0"/>
          <w:bCs w:val="0"/>
          <w:color w:val="auto"/>
          <w:sz w:val="28"/>
          <w:szCs w:val="28"/>
          <w:highlight w:val="none"/>
        </w:rPr>
        <w:t>人民医院。</w:t>
      </w:r>
    </w:p>
    <w:p>
      <w:pPr>
        <w:snapToGrid w:val="0"/>
        <w:spacing w:line="560" w:lineRule="exact"/>
        <w:ind w:firstLine="560" w:firstLineChars="200"/>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eastAsia="zh-CN"/>
        </w:rPr>
        <w:t>货物经采购人</w:t>
      </w:r>
      <w:r>
        <w:rPr>
          <w:rFonts w:hint="eastAsia" w:ascii="仿宋_GB2312" w:hAnsi="仿宋_GB2312" w:eastAsia="仿宋_GB2312" w:cs="仿宋_GB2312"/>
          <w:b w:val="0"/>
          <w:bCs w:val="0"/>
          <w:color w:val="auto"/>
          <w:sz w:val="28"/>
          <w:szCs w:val="28"/>
          <w:highlight w:val="none"/>
        </w:rPr>
        <w:t>验收合格并收到</w:t>
      </w:r>
      <w:r>
        <w:rPr>
          <w:rFonts w:hint="eastAsia" w:ascii="仿宋_GB2312" w:hAnsi="仿宋_GB2312" w:eastAsia="仿宋_GB2312" w:cs="仿宋_GB2312"/>
          <w:b w:val="0"/>
          <w:bCs w:val="0"/>
          <w:color w:val="auto"/>
          <w:sz w:val="28"/>
          <w:szCs w:val="28"/>
          <w:highlight w:val="none"/>
          <w:lang w:eastAsia="zh-CN"/>
        </w:rPr>
        <w:t>中标人</w:t>
      </w:r>
      <w:r>
        <w:rPr>
          <w:rFonts w:hint="eastAsia" w:ascii="仿宋_GB2312" w:hAnsi="仿宋_GB2312" w:eastAsia="仿宋_GB2312" w:cs="仿宋_GB2312"/>
          <w:b w:val="0"/>
          <w:bCs w:val="0"/>
          <w:color w:val="auto"/>
          <w:sz w:val="28"/>
          <w:szCs w:val="28"/>
          <w:highlight w:val="none"/>
          <w:lang w:val="en-US" w:eastAsia="zh-CN"/>
        </w:rPr>
        <w:t>合规的</w:t>
      </w:r>
      <w:r>
        <w:rPr>
          <w:rFonts w:hint="eastAsia" w:ascii="仿宋_GB2312" w:hAnsi="仿宋_GB2312" w:eastAsia="仿宋_GB2312" w:cs="仿宋_GB2312"/>
          <w:b w:val="0"/>
          <w:bCs w:val="0"/>
          <w:color w:val="auto"/>
          <w:sz w:val="28"/>
          <w:szCs w:val="28"/>
          <w:highlight w:val="none"/>
        </w:rPr>
        <w:t>发票10</w:t>
      </w:r>
      <w:r>
        <w:rPr>
          <w:rFonts w:hint="eastAsia" w:ascii="仿宋_GB2312" w:hAnsi="仿宋_GB2312" w:eastAsia="仿宋_GB2312" w:cs="仿宋_GB2312"/>
          <w:b w:val="0"/>
          <w:bCs w:val="0"/>
          <w:color w:val="auto"/>
          <w:sz w:val="28"/>
          <w:szCs w:val="28"/>
          <w:highlight w:val="none"/>
          <w:lang w:eastAsia="zh-CN"/>
        </w:rPr>
        <w:t>个工作日</w:t>
      </w:r>
      <w:r>
        <w:rPr>
          <w:rFonts w:hint="eastAsia" w:ascii="仿宋_GB2312" w:hAnsi="仿宋_GB2312" w:eastAsia="仿宋_GB2312" w:cs="仿宋_GB2312"/>
          <w:b w:val="0"/>
          <w:bCs w:val="0"/>
          <w:color w:val="auto"/>
          <w:sz w:val="28"/>
          <w:szCs w:val="28"/>
          <w:highlight w:val="none"/>
        </w:rPr>
        <w:t>内</w:t>
      </w:r>
      <w:r>
        <w:rPr>
          <w:rFonts w:hint="eastAsia" w:ascii="仿宋_GB2312" w:hAnsi="仿宋_GB2312" w:eastAsia="仿宋_GB2312" w:cs="仿宋_GB2312"/>
          <w:b w:val="0"/>
          <w:bCs w:val="0"/>
          <w:color w:val="auto"/>
          <w:sz w:val="28"/>
          <w:szCs w:val="28"/>
          <w:highlight w:val="none"/>
          <w:lang w:eastAsia="zh-CN"/>
        </w:rPr>
        <w:t>支付</w:t>
      </w:r>
      <w:r>
        <w:rPr>
          <w:rFonts w:hint="eastAsia" w:ascii="仿宋_GB2312" w:hAnsi="仿宋_GB2312" w:eastAsia="仿宋_GB2312" w:cs="仿宋_GB2312"/>
          <w:b w:val="0"/>
          <w:bCs w:val="0"/>
          <w:color w:val="auto"/>
          <w:sz w:val="28"/>
          <w:szCs w:val="28"/>
          <w:highlight w:val="none"/>
          <w:lang w:val="en-US" w:eastAsia="zh-CN"/>
        </w:rPr>
        <w:t>100%款项</w:t>
      </w:r>
      <w:r>
        <w:rPr>
          <w:rFonts w:hint="eastAsia" w:ascii="仿宋_GB2312" w:hAnsi="仿宋_GB2312" w:eastAsia="仿宋_GB2312" w:cs="仿宋_GB2312"/>
          <w:b w:val="0"/>
          <w:bCs w:val="0"/>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因数量变更除外</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val="en-US" w:eastAsia="zh-CN"/>
        </w:rPr>
        <w:t>6.</w:t>
      </w:r>
      <w:r>
        <w:rPr>
          <w:rFonts w:hint="eastAsia" w:ascii="黑体" w:hAnsi="黑体" w:eastAsia="黑体" w:cs="黑体"/>
          <w:b w:val="0"/>
          <w:bCs w:val="0"/>
          <w:color w:val="auto"/>
          <w:sz w:val="28"/>
          <w:szCs w:val="28"/>
          <w:highlight w:val="none"/>
          <w:lang w:eastAsia="zh-CN"/>
        </w:rPr>
        <w:t>验收</w:t>
      </w:r>
      <w:r>
        <w:rPr>
          <w:rFonts w:hint="eastAsia" w:ascii="黑体" w:hAnsi="黑体" w:eastAsia="黑体" w:cs="黑体"/>
          <w:b w:val="0"/>
          <w:bCs w:val="0"/>
          <w:color w:val="auto"/>
          <w:sz w:val="28"/>
          <w:szCs w:val="28"/>
          <w:highlight w:val="none"/>
          <w:lang w:val="en-US" w:eastAsia="zh-CN"/>
        </w:rPr>
        <w:t>工作</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（6）当满足以下条件时，采购人才向中标人签发货物验收报告：</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a.中标人已按照合同规定提供了全部产品及完整的技术资料。</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b.货物符合招标文件的要求，性能满足要求。</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c.货物具备产品合格证。</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d.提供维修手册、售后服务承诺书、中文操作手册。</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pStyle w:val="25"/>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kern w:val="2"/>
          <w:sz w:val="28"/>
          <w:szCs w:val="28"/>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.1验收时提供产品中文说明书、操作手册、维修手册、设备操作流程卡及一切和本项目有关的资料及说明。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.2对所提供的设备整机免费质保期：</w:t>
      </w:r>
      <w:r>
        <w:rPr>
          <w:rFonts w:hint="eastAsia" w:ascii="仿宋_GB2312" w:hAnsi="仿宋_GB2312" w:eastAsia="仿宋_GB2312" w:cs="仿宋_GB2312"/>
          <w:b/>
          <w:bCs/>
          <w:color w:val="auto"/>
          <w:sz w:val="28"/>
          <w:szCs w:val="28"/>
          <w:highlight w:val="none"/>
          <w:lang w:eastAsia="zh-CN"/>
        </w:rPr>
        <w:t>至少3年</w:t>
      </w:r>
      <w:r>
        <w:rPr>
          <w:rFonts w:hint="eastAsia" w:ascii="仿宋_GB2312" w:hAnsi="仿宋_GB2312" w:eastAsia="仿宋_GB2312" w:cs="仿宋_GB2312"/>
          <w:color w:val="auto"/>
          <w:sz w:val="28"/>
          <w:szCs w:val="28"/>
          <w:highlight w:val="none"/>
          <w:lang w:eastAsia="zh-CN"/>
        </w:rPr>
        <w:t>（以验收合格之日起计算）。质保期内，所有服务及配件全部免费。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7.3</w:t>
      </w:r>
      <w:r>
        <w:rPr>
          <w:rFonts w:hint="eastAsia" w:ascii="仿宋_GB2312" w:hAnsi="仿宋_GB2312" w:eastAsia="仿宋_GB2312" w:cs="仿宋_GB2312"/>
          <w:color w:val="auto"/>
          <w:sz w:val="28"/>
          <w:szCs w:val="28"/>
          <w:highlight w:val="none"/>
          <w:lang w:eastAsia="zh-CN"/>
        </w:rPr>
        <w:t>保修期：免费质保期结束后，中标人</w:t>
      </w: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不少于3年</w:t>
      </w:r>
      <w:r>
        <w:rPr>
          <w:rFonts w:hint="eastAsia" w:ascii="仿宋_GB2312" w:hAnsi="仿宋_GB2312" w:eastAsia="仿宋_GB2312" w:cs="仿宋_GB2312"/>
          <w:color w:val="auto"/>
          <w:sz w:val="28"/>
          <w:szCs w:val="28"/>
          <w:highlight w:val="none"/>
          <w:lang w:val="en-US" w:eastAsia="zh-CN"/>
        </w:rPr>
        <w:t>的保修期，</w:t>
      </w:r>
      <w:r>
        <w:rPr>
          <w:rFonts w:hint="eastAsia" w:ascii="仿宋_GB2312" w:hAnsi="仿宋_GB2312" w:eastAsia="仿宋_GB2312" w:cs="仿宋_GB2312"/>
          <w:color w:val="auto"/>
          <w:sz w:val="28"/>
          <w:szCs w:val="28"/>
          <w:highlight w:val="none"/>
          <w:lang w:eastAsia="zh-CN"/>
        </w:rPr>
        <w:t>提供持续的技术支持与售后服务。维护、升级、备份均不额外收费。若设备在</w:t>
      </w:r>
      <w:r>
        <w:rPr>
          <w:rFonts w:hint="eastAsia" w:ascii="仿宋_GB2312" w:hAnsi="仿宋_GB2312" w:eastAsia="仿宋_GB2312" w:cs="仿宋_GB2312"/>
          <w:color w:val="auto"/>
          <w:sz w:val="28"/>
          <w:szCs w:val="28"/>
          <w:highlight w:val="none"/>
          <w:lang w:val="en-US" w:eastAsia="zh-CN"/>
        </w:rPr>
        <w:t>保修期内</w:t>
      </w:r>
      <w:r>
        <w:rPr>
          <w:rFonts w:hint="eastAsia" w:ascii="仿宋_GB2312" w:hAnsi="仿宋_GB2312" w:eastAsia="仿宋_GB2312" w:cs="仿宋_GB2312"/>
          <w:color w:val="auto"/>
          <w:sz w:val="28"/>
          <w:szCs w:val="28"/>
          <w:highlight w:val="none"/>
          <w:lang w:eastAsia="zh-CN"/>
        </w:rPr>
        <w:t>出现故障，中标人应按照采购人的需求提供维修或更换服务，相关费用仅按维修材料成本及合理人工费用收取，不得附加额外利润，且中标人应确保备品备件的长期供应。（由投标人提供承诺书，格式自拟）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eastAsia="宋体"/>
          <w:color w:val="auto"/>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eastAsia="zh-CN"/>
        </w:rPr>
        <w:t>提供备品备件清单，提供消耗品优惠价格，提供零配件优惠价格。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质保期内保证每年有</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次或以上预防性维护保养。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投标时，供应商承诺保修期外，能及时为用户提供备品备件、专用试剂及耗材。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lang w:eastAsia="zh-CN"/>
        </w:rPr>
        <w:t>投标人在投标文件所承诺的仪器功能，所需的硬件和软件必须配置齐全。</w:t>
      </w:r>
    </w:p>
    <w:p>
      <w:pPr>
        <w:pStyle w:val="36"/>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8.知识产权</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9.违约责任</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p>
      <w:pPr>
        <w:pStyle w:val="37"/>
        <w:numPr>
          <w:ilvl w:val="0"/>
          <w:numId w:val="0"/>
        </w:numPr>
        <w:spacing w:line="360" w:lineRule="auto"/>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10.培训</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10.1投标人应派专业技术人员免费对采购单位指定人员进行定期培训及指导，直至其完全掌握设备的基本故障处理技术。</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10.2现场培训：投标人应提供现场技术培训，保证使用人员正常操作设备的各种功能。</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10.3集中培训：根据设备技术要求，可向投标人提供使用和维修技术人员培训。</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10.4计算机辅助培训：针对该机型的多媒体互动操作教学软件，方便学习掌握基本操作和各项高级功能。</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11.其他要求</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11.1交货时，设备出厂时间≤1年。</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★11.2免费开放预留与院内信息系统及集成平台（如PACS系统、HIS系统等）医疗设备数据实现互联互通的端口。 </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11.3签订合同时，提供厂家售后服务承诺书，含免费保修期。</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11.4设备使用期间，发生产品召回事件，供应商提供替代或赔偿方案。</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12.签订合同</w:t>
      </w:r>
    </w:p>
    <w:p>
      <w:pPr>
        <w:pStyle w:val="37"/>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pPr>
        <w:pStyle w:val="25"/>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pPr>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一、</w:t>
      </w:r>
      <w:r>
        <w:rPr>
          <w:rFonts w:hint="eastAsia" w:ascii="宋体" w:hAnsi="宋体" w:cs="宋体"/>
          <w:b/>
          <w:bCs/>
          <w:color w:val="auto"/>
          <w:sz w:val="22"/>
          <w:highlight w:val="none"/>
        </w:rPr>
        <w:t>评标方法：综合评分法。按照招标文件中规定的各项因素进行量化打分，以评标总得分的平均分最高的投标人为中标候选供应商；采购人根据评标委员会评审结果确定中标候选供应商为中标人。</w:t>
      </w:r>
    </w:p>
    <w:p>
      <w:pPr>
        <w:spacing w:line="360" w:lineRule="exact"/>
        <w:ind w:firstLine="442"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综合评分法中的价格分统一采用低价优先法计算,即满足采购文件要求且投标价格最低的投标报价为评标基准价,其价格分为满分。其他投标人的价格分统一按照下列公式计算：投标报价得分=(评标基准价/投标报价</w:t>
      </w:r>
      <w:r>
        <w:rPr>
          <w:rFonts w:hint="eastAsia" w:ascii="宋体" w:hAnsi="宋体" w:eastAsia="宋体" w:cs="宋体"/>
          <w:b/>
          <w:bCs/>
          <w:color w:val="auto"/>
          <w:sz w:val="22"/>
          <w:highlight w:val="none"/>
        </w:rPr>
        <w:t>)×权重</w:t>
      </w:r>
    </w:p>
    <w:p>
      <w:pPr>
        <w:keepLines w:val="0"/>
        <w:pageBreakBefore w:val="0"/>
        <w:numPr>
          <w:ilvl w:val="0"/>
          <w:numId w:val="2"/>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pPr>
              <w:pStyle w:val="10"/>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技术条款偏离情况</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40</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sz w:val="22"/>
              </w:rPr>
            </w:pPr>
            <w:r>
              <w:rPr>
                <w:b/>
                <w:bCs/>
                <w:sz w:val="22"/>
              </w:rPr>
              <w:t>评分内容：</w:t>
            </w:r>
          </w:p>
          <w:p>
            <w:pPr>
              <w:spacing w:line="360" w:lineRule="exact"/>
              <w:rPr>
                <w:sz w:val="22"/>
              </w:rPr>
            </w:pPr>
            <w:r>
              <w:rPr>
                <w:sz w:val="22"/>
              </w:rPr>
              <w:t>投标人应如实填写《技术规格偏离表》，评审委员会根据技术需求参数响应情况进行打分；各项技术参数指标及要求全部满足的得满分，所有标注“▲”的重要参数</w:t>
            </w:r>
            <w:r>
              <w:rPr>
                <w:rFonts w:hint="eastAsia"/>
                <w:sz w:val="22"/>
                <w:lang w:val="en-US" w:eastAsia="zh-CN"/>
              </w:rPr>
              <w:t>11个，</w:t>
            </w:r>
            <w:r>
              <w:rPr>
                <w:sz w:val="22"/>
              </w:rPr>
              <w:t>每负偏离一项扣</w:t>
            </w:r>
            <w:r>
              <w:rPr>
                <w:rFonts w:hint="eastAsia"/>
                <w:sz w:val="22"/>
                <w:lang w:val="en-US" w:eastAsia="zh-CN"/>
              </w:rPr>
              <w:t>2</w:t>
            </w:r>
            <w:r>
              <w:rPr>
                <w:sz w:val="22"/>
              </w:rPr>
              <w:t>分</w:t>
            </w:r>
            <w:r>
              <w:rPr>
                <w:rFonts w:hint="eastAsia"/>
                <w:sz w:val="22"/>
                <w:lang w:eastAsia="zh-CN"/>
              </w:rPr>
              <w:t>；</w:t>
            </w:r>
            <w:r>
              <w:rPr>
                <w:sz w:val="22"/>
              </w:rPr>
              <w:t>一般参数</w:t>
            </w:r>
            <w:r>
              <w:rPr>
                <w:rFonts w:hint="eastAsia"/>
                <w:sz w:val="22"/>
                <w:lang w:val="en-US" w:eastAsia="zh-CN"/>
              </w:rPr>
              <w:t>47个，</w:t>
            </w:r>
            <w:r>
              <w:rPr>
                <w:sz w:val="22"/>
              </w:rPr>
              <w:t>每负偏离一项扣</w:t>
            </w:r>
            <w:r>
              <w:rPr>
                <w:rFonts w:hint="eastAsia"/>
                <w:sz w:val="22"/>
                <w:lang w:val="en-US" w:eastAsia="zh-CN"/>
              </w:rPr>
              <w:t>0.383</w:t>
            </w:r>
            <w:r>
              <w:rPr>
                <w:sz w:val="22"/>
              </w:rPr>
              <w:t>分，扣完为止。</w:t>
            </w:r>
          </w:p>
          <w:p>
            <w:pPr>
              <w:spacing w:line="360" w:lineRule="exact"/>
              <w:rPr>
                <w:sz w:val="22"/>
              </w:rPr>
            </w:pPr>
            <w:r>
              <w:rPr>
                <w:b/>
                <w:bCs/>
                <w:sz w:val="22"/>
              </w:rPr>
              <w:t>评分依据：</w:t>
            </w:r>
          </w:p>
          <w:p>
            <w:pPr>
              <w:pStyle w:val="18"/>
              <w:spacing w:after="0" w:line="360" w:lineRule="exact"/>
              <w:ind w:left="0" w:leftChars="0" w:firstLine="0" w:firstLineChars="0"/>
              <w:rPr>
                <w:rFonts w:ascii="Times New Roman" w:hAnsi="Times New Roman"/>
                <w:sz w:val="22"/>
                <w:szCs w:val="22"/>
              </w:rPr>
            </w:pPr>
            <w:r>
              <w:rPr>
                <w:rFonts w:ascii="Times New Roman" w:hAnsi="Times New Roman"/>
                <w:sz w:val="22"/>
                <w:szCs w:val="22"/>
              </w:rPr>
              <w:t>1.技术参数中如有参数写明需要提供检测报告、证书、截图等相关证明材料的，须提供相关证明材料并在投标文件中注明证明材料在投标文件中的具体位置，未按要求提供或提供不清晰导致专家无法判断的视为负偏离。</w:t>
            </w:r>
          </w:p>
          <w:p>
            <w:pPr>
              <w:pStyle w:val="18"/>
              <w:spacing w:after="0" w:line="360" w:lineRule="exact"/>
              <w:ind w:left="0" w:leftChars="0" w:firstLine="0" w:firstLineChars="0"/>
              <w:rPr>
                <w:rFonts w:ascii="Times New Roman" w:hAnsi="Times New Roman"/>
                <w:color w:val="auto"/>
                <w:sz w:val="22"/>
                <w:szCs w:val="22"/>
                <w:highlight w:val="none"/>
              </w:rPr>
            </w:pPr>
            <w:r>
              <w:rPr>
                <w:rFonts w:ascii="Times New Roman" w:hAnsi="Times New Roman"/>
                <w:b/>
                <w:bCs/>
                <w:sz w:val="22"/>
                <w:szCs w:val="22"/>
              </w:rPr>
              <w:t>2.投标人提供的《技术规格偏离表》必须与客观实际保持一致，响应不实且情节严重的，经查实，将依法记入供应商诚信档案或受到行政处罚。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 w:val="22"/>
                <w:highlight w:val="none"/>
              </w:rPr>
            </w:pPr>
            <w:r>
              <w:rPr>
                <w:color w:val="auto"/>
                <w:sz w:val="22"/>
                <w:highlight w:val="none"/>
              </w:rPr>
              <w:t>质量保障措施及应急响应方案</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color w:val="auto"/>
                <w:sz w:val="22"/>
                <w:highlight w:val="none"/>
              </w:rPr>
            </w:pPr>
            <w:r>
              <w:rPr>
                <w:b/>
                <w:bCs/>
                <w:color w:val="auto"/>
                <w:sz w:val="22"/>
                <w:highlight w:val="none"/>
              </w:rPr>
              <w:t>评分内容：</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考察投标人提供的质量保障措施及应急响应方案，内容需包含：</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①质量保障措施；</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②应急保障方案；</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③响应时间。</w:t>
            </w:r>
          </w:p>
          <w:p>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1</w:t>
            </w:r>
            <w:r>
              <w:rPr>
                <w:color w:val="auto"/>
                <w:sz w:val="22"/>
                <w:highlight w:val="none"/>
                <w:lang w:bidi="ar"/>
              </w:rPr>
              <w:t>分，最高得</w:t>
            </w:r>
            <w:r>
              <w:rPr>
                <w:rFonts w:hint="eastAsia"/>
                <w:color w:val="auto"/>
                <w:sz w:val="22"/>
                <w:highlight w:val="none"/>
                <w:lang w:val="en-US" w:eastAsia="zh-CN" w:bidi="ar"/>
              </w:rPr>
              <w:t>3</w:t>
            </w:r>
            <w:r>
              <w:rPr>
                <w:color w:val="auto"/>
                <w:sz w:val="22"/>
                <w:highlight w:val="none"/>
                <w:lang w:bidi="ar"/>
              </w:rPr>
              <w:t>分，其它情况不得分。</w:t>
            </w:r>
          </w:p>
          <w:p>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5</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3</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pPr>
              <w:spacing w:line="360" w:lineRule="exact"/>
              <w:rPr>
                <w:color w:val="auto"/>
                <w:sz w:val="22"/>
                <w:highlight w:val="none"/>
              </w:rPr>
            </w:pPr>
            <w:r>
              <w:rPr>
                <w:color w:val="auto"/>
                <w:sz w:val="22"/>
                <w:highlight w:val="none"/>
                <w:lang w:bidi="ar"/>
              </w:rPr>
              <w:t>差评分标准：方案不完整、不规范，思路不清晰，内容合理性较差或未提供，评价为差不加分。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 w:val="22"/>
                <w:highlight w:val="none"/>
              </w:rPr>
            </w:pPr>
            <w:r>
              <w:rPr>
                <w:color w:val="auto"/>
                <w:sz w:val="22"/>
                <w:highlight w:val="none"/>
              </w:rPr>
              <w:t>售后服务方案</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color w:val="auto"/>
                <w:sz w:val="22"/>
                <w:highlight w:val="none"/>
                <w:lang w:val="en-US" w:eastAsia="zh-CN"/>
              </w:rPr>
            </w:pPr>
            <w:r>
              <w:rPr>
                <w:rFonts w:hint="eastAsia"/>
                <w:color w:val="auto"/>
                <w:sz w:val="22"/>
                <w:highlight w:val="none"/>
                <w:lang w:val="en-US" w:eastAsia="zh-CN"/>
              </w:rPr>
              <w:t>12</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rPr>
                <w:b/>
                <w:bCs/>
                <w:color w:val="auto"/>
                <w:sz w:val="22"/>
                <w:highlight w:val="none"/>
              </w:rPr>
            </w:pPr>
            <w:r>
              <w:rPr>
                <w:b/>
                <w:bCs/>
                <w:color w:val="auto"/>
                <w:sz w:val="22"/>
                <w:highlight w:val="none"/>
              </w:rPr>
              <w:t>评分内容：</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考察投标人提供的售后服务方案，内容需包含：</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①售后服务团队成员情况（包括资质、售后服务团队所在地）；</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②响应时间；</w:t>
            </w:r>
          </w:p>
          <w:p>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color w:val="auto"/>
                <w:sz w:val="22"/>
                <w:highlight w:val="none"/>
              </w:rPr>
            </w:pPr>
            <w:r>
              <w:rPr>
                <w:color w:val="auto"/>
                <w:sz w:val="22"/>
                <w:highlight w:val="none"/>
              </w:rPr>
              <w:t>③服务方案。</w:t>
            </w:r>
          </w:p>
          <w:p>
            <w:pPr>
              <w:keepLines/>
              <w:widowControl/>
              <w:wordWrap w:val="0"/>
              <w:spacing w:line="360" w:lineRule="exact"/>
              <w:jc w:val="left"/>
              <w:textAlignment w:val="top"/>
              <w:rPr>
                <w:b/>
                <w:bCs/>
                <w:color w:val="auto"/>
                <w:sz w:val="22"/>
                <w:highlight w:val="none"/>
              </w:rPr>
            </w:pPr>
            <w:r>
              <w:rPr>
                <w:b/>
                <w:bCs/>
                <w:color w:val="auto"/>
                <w:sz w:val="22"/>
                <w:highlight w:val="none"/>
              </w:rPr>
              <w:t>评分依据：</w:t>
            </w:r>
          </w:p>
          <w:p>
            <w:pPr>
              <w:tabs>
                <w:tab w:val="left" w:pos="426"/>
              </w:tabs>
              <w:spacing w:line="360" w:lineRule="exact"/>
              <w:rPr>
                <w:color w:val="auto"/>
                <w:sz w:val="22"/>
                <w:highlight w:val="none"/>
                <w:lang w:bidi="ar"/>
              </w:rPr>
            </w:pPr>
            <w:r>
              <w:rPr>
                <w:color w:val="auto"/>
                <w:sz w:val="22"/>
                <w:highlight w:val="none"/>
                <w:lang w:bidi="ar"/>
              </w:rPr>
              <w:t>以上内容每提供一项得</w:t>
            </w:r>
            <w:r>
              <w:rPr>
                <w:rFonts w:hint="eastAsia"/>
                <w:color w:val="auto"/>
                <w:sz w:val="22"/>
                <w:highlight w:val="none"/>
                <w:lang w:val="en-US" w:eastAsia="zh-CN" w:bidi="ar"/>
              </w:rPr>
              <w:t>2</w:t>
            </w:r>
            <w:r>
              <w:rPr>
                <w:color w:val="auto"/>
                <w:sz w:val="22"/>
                <w:highlight w:val="none"/>
                <w:lang w:bidi="ar"/>
              </w:rPr>
              <w:t>分，最高得</w:t>
            </w:r>
            <w:r>
              <w:rPr>
                <w:rFonts w:hint="eastAsia"/>
                <w:color w:val="auto"/>
                <w:sz w:val="22"/>
                <w:highlight w:val="none"/>
                <w:lang w:val="en-US" w:eastAsia="zh-CN" w:bidi="ar"/>
              </w:rPr>
              <w:t>6</w:t>
            </w:r>
            <w:r>
              <w:rPr>
                <w:color w:val="auto"/>
                <w:sz w:val="22"/>
                <w:highlight w:val="none"/>
                <w:lang w:bidi="ar"/>
              </w:rPr>
              <w:t>分，其它情况不得分。</w:t>
            </w:r>
          </w:p>
          <w:p>
            <w:pPr>
              <w:tabs>
                <w:tab w:val="left" w:pos="426"/>
              </w:tabs>
              <w:spacing w:line="360" w:lineRule="exact"/>
              <w:rPr>
                <w:color w:val="auto"/>
                <w:sz w:val="22"/>
                <w:highlight w:val="none"/>
              </w:rPr>
            </w:pPr>
            <w:r>
              <w:rPr>
                <w:color w:val="auto"/>
                <w:sz w:val="22"/>
                <w:highlight w:val="none"/>
                <w:lang w:bidi="ar"/>
              </w:rPr>
              <w:t>在此基础上，根据各供应商的具体响应内容按照量化的评审因素指标进一步评审：</w:t>
            </w:r>
          </w:p>
          <w:p>
            <w:pPr>
              <w:tabs>
                <w:tab w:val="left" w:pos="426"/>
              </w:tabs>
              <w:spacing w:line="360" w:lineRule="exact"/>
              <w:rPr>
                <w:color w:val="auto"/>
                <w:sz w:val="22"/>
                <w:highlight w:val="none"/>
              </w:rPr>
            </w:pPr>
            <w:r>
              <w:rPr>
                <w:color w:val="auto"/>
                <w:sz w:val="22"/>
                <w:highlight w:val="none"/>
                <w:lang w:bidi="ar"/>
              </w:rPr>
              <w:t>优评分标准：方案符合实际、完整、规范、思路清晰，内容合理性强，加</w:t>
            </w:r>
            <w:r>
              <w:rPr>
                <w:rFonts w:hint="eastAsia"/>
                <w:color w:val="auto"/>
                <w:sz w:val="22"/>
                <w:highlight w:val="none"/>
                <w:lang w:val="en-US" w:eastAsia="zh-CN" w:bidi="ar"/>
              </w:rPr>
              <w:t>6</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良评分标准：方案较符合实际、较完整规范、思路较清晰，内容合理性较强，加</w:t>
            </w:r>
            <w:r>
              <w:rPr>
                <w:rFonts w:hint="eastAsia"/>
                <w:color w:val="auto"/>
                <w:sz w:val="22"/>
                <w:highlight w:val="none"/>
                <w:lang w:val="en-US" w:eastAsia="zh-CN" w:bidi="ar"/>
              </w:rPr>
              <w:t>4</w:t>
            </w:r>
            <w:r>
              <w:rPr>
                <w:color w:val="auto"/>
                <w:sz w:val="22"/>
                <w:highlight w:val="none"/>
                <w:lang w:bidi="ar"/>
              </w:rPr>
              <w:t xml:space="preserve">分。 </w:t>
            </w:r>
          </w:p>
          <w:p>
            <w:pPr>
              <w:tabs>
                <w:tab w:val="left" w:pos="426"/>
              </w:tabs>
              <w:spacing w:line="360" w:lineRule="exact"/>
              <w:rPr>
                <w:color w:val="auto"/>
                <w:sz w:val="22"/>
                <w:highlight w:val="none"/>
              </w:rPr>
            </w:pPr>
            <w:r>
              <w:rPr>
                <w:color w:val="auto"/>
                <w:sz w:val="22"/>
                <w:highlight w:val="none"/>
                <w:lang w:bidi="ar"/>
              </w:rPr>
              <w:t>中评分标准：方案较普通、完整性、规范性一般，思路不够清晰，内容合理性一般，加</w:t>
            </w:r>
            <w:r>
              <w:rPr>
                <w:rFonts w:hint="eastAsia"/>
                <w:color w:val="auto"/>
                <w:sz w:val="22"/>
                <w:highlight w:val="none"/>
                <w:lang w:val="en-US" w:eastAsia="zh-CN" w:bidi="ar"/>
              </w:rPr>
              <w:t>2</w:t>
            </w:r>
            <w:r>
              <w:rPr>
                <w:color w:val="auto"/>
                <w:sz w:val="22"/>
                <w:highlight w:val="none"/>
                <w:lang w:bidi="ar"/>
              </w:rPr>
              <w:t xml:space="preserve">分。 </w:t>
            </w:r>
          </w:p>
          <w:p>
            <w:pPr>
              <w:spacing w:line="360" w:lineRule="exact"/>
              <w:rPr>
                <w:color w:val="auto"/>
                <w:sz w:val="22"/>
                <w:highlight w:val="none"/>
                <w:lang w:bidi="ar"/>
              </w:rPr>
            </w:pPr>
            <w:r>
              <w:rPr>
                <w:color w:val="auto"/>
                <w:sz w:val="22"/>
                <w:highlight w:val="none"/>
                <w:lang w:bidi="ar"/>
              </w:rPr>
              <w:t>差评分标准：方案不完整、不规范，思路不清晰，内容合理性较差或未提供，评价为差不加分。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pPr>
              <w:spacing w:line="360" w:lineRule="exact"/>
              <w:jc w:val="center"/>
              <w:rPr>
                <w:color w:val="auto"/>
                <w:sz w:val="22"/>
                <w:highlight w:val="none"/>
              </w:rPr>
            </w:pPr>
            <w:r>
              <w:rPr>
                <w:color w:val="auto"/>
                <w:sz w:val="22"/>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同类业绩</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5</w:t>
            </w:r>
          </w:p>
        </w:tc>
        <w:tc>
          <w:tcPr>
            <w:tcW w:w="5097" w:type="dxa"/>
            <w:tcBorders>
              <w:top w:val="single" w:color="auto" w:sz="4" w:space="0"/>
              <w:left w:val="single" w:color="auto" w:sz="4" w:space="0"/>
              <w:bottom w:val="single" w:color="auto" w:sz="4" w:space="0"/>
              <w:right w:val="single" w:color="auto" w:sz="4" w:space="0"/>
            </w:tcBorders>
          </w:tcPr>
          <w:p>
            <w:pPr>
              <w:spacing w:line="360" w:lineRule="exact"/>
              <w:rPr>
                <w:b/>
                <w:bCs/>
                <w:color w:val="auto"/>
                <w:sz w:val="22"/>
                <w:highlight w:val="none"/>
              </w:rPr>
            </w:pPr>
            <w:r>
              <w:rPr>
                <w:b/>
                <w:bCs/>
                <w:color w:val="auto"/>
                <w:sz w:val="22"/>
                <w:highlight w:val="none"/>
              </w:rPr>
              <w:t>评分内容：</w:t>
            </w:r>
          </w:p>
          <w:p>
            <w:pPr>
              <w:wordWrap w:val="0"/>
              <w:spacing w:line="36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投标人提供自2023年</w:t>
            </w:r>
            <w:r>
              <w:rPr>
                <w:rFonts w:hint="eastAsia" w:ascii="宋体" w:hAnsi="宋体" w:cs="宋体"/>
                <w:color w:val="auto"/>
                <w:sz w:val="22"/>
                <w:highlight w:val="none"/>
                <w:lang w:val="en-US" w:eastAsia="zh-CN"/>
              </w:rPr>
              <w:t>6</w:t>
            </w:r>
            <w:r>
              <w:rPr>
                <w:rFonts w:hint="eastAsia" w:ascii="宋体" w:hAnsi="宋体" w:eastAsia="宋体" w:cs="宋体"/>
                <w:color w:val="auto"/>
                <w:sz w:val="22"/>
                <w:highlight w:val="none"/>
              </w:rPr>
              <w:t>月1日至本项目截标之日（以合同签订日期为准），</w:t>
            </w:r>
            <w:r>
              <w:rPr>
                <w:rFonts w:hint="eastAsia" w:ascii="宋体" w:hAnsi="宋体" w:eastAsia="宋体" w:cs="宋体"/>
                <w:color w:val="auto"/>
                <w:sz w:val="22"/>
                <w:highlight w:val="none"/>
                <w:lang w:val="en-US" w:eastAsia="zh-CN"/>
              </w:rPr>
              <w:t>需包含</w:t>
            </w:r>
            <w:r>
              <w:rPr>
                <w:rFonts w:hint="eastAsia" w:ascii="宋体" w:hAnsi="宋体" w:eastAsia="宋体" w:cs="宋体"/>
                <w:color w:val="auto"/>
                <w:sz w:val="22"/>
                <w:highlight w:val="none"/>
              </w:rPr>
              <w:t>所投产品（核心产品）的销售业绩，每提供1份得1分，最高得5分。</w:t>
            </w:r>
          </w:p>
          <w:p>
            <w:pPr>
              <w:keepLines/>
              <w:widowControl/>
              <w:wordWrap w:val="0"/>
              <w:spacing w:line="360" w:lineRule="exact"/>
              <w:jc w:val="left"/>
              <w:textAlignment w:val="top"/>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评分依据：</w:t>
            </w:r>
          </w:p>
          <w:p>
            <w:pPr>
              <w:spacing w:line="360" w:lineRule="exact"/>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1.提供所投产品（需</w:t>
            </w:r>
            <w:r>
              <w:rPr>
                <w:rFonts w:hint="eastAsia" w:ascii="宋体" w:hAnsi="宋体" w:eastAsia="宋体" w:cs="宋体"/>
                <w:color w:val="auto"/>
                <w:sz w:val="22"/>
                <w:highlight w:val="none"/>
                <w:lang w:val="en-US" w:eastAsia="zh-CN"/>
              </w:rPr>
              <w:t>包含</w:t>
            </w:r>
            <w:r>
              <w:rPr>
                <w:rFonts w:hint="eastAsia" w:ascii="宋体" w:hAnsi="宋体" w:eastAsia="宋体" w:cs="宋体"/>
                <w:color w:val="auto"/>
                <w:sz w:val="22"/>
                <w:highlight w:val="none"/>
              </w:rPr>
              <w:t>与投标产品（核心产品）同品牌规格型号）的销售合同关键页（包括但不限于合同双方的单位名称、合同项目名称、项目内容、合同双方的签字盖章页、签订日期等）或发票复印件（需体现品牌规格型号，否则不得分）；</w:t>
            </w:r>
          </w:p>
          <w:p>
            <w:pPr>
              <w:pStyle w:val="7"/>
              <w:spacing w:line="360" w:lineRule="exact"/>
              <w:rPr>
                <w:color w:val="auto"/>
                <w:sz w:val="22"/>
                <w:szCs w:val="22"/>
                <w:highlight w:val="none"/>
              </w:rPr>
            </w:pPr>
            <w:r>
              <w:rPr>
                <w:rFonts w:hint="eastAsia" w:ascii="宋体" w:hAnsi="宋体" w:eastAsia="宋体" w:cs="宋体"/>
                <w:color w:val="auto"/>
                <w:sz w:val="22"/>
                <w:szCs w:val="22"/>
                <w:highlight w:val="none"/>
              </w:rPr>
              <w:t>2.未按要求提供或提供不清晰导致专家无法判断的不得分。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 w:val="22"/>
                <w:highlight w:val="none"/>
              </w:rPr>
            </w:pPr>
            <w:r>
              <w:rPr>
                <w:color w:val="auto"/>
                <w:sz w:val="22"/>
                <w:highlight w:val="none"/>
              </w:rPr>
              <w:t>诚信</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pPr>
              <w:pStyle w:val="7"/>
              <w:spacing w:line="360" w:lineRule="exact"/>
              <w:rPr>
                <w:color w:val="auto"/>
                <w:sz w:val="22"/>
                <w:szCs w:val="22"/>
                <w:highlight w:val="none"/>
              </w:rPr>
            </w:pPr>
            <w:r>
              <w:rPr>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color w:val="auto"/>
                <w:sz w:val="22"/>
                <w:szCs w:val="22"/>
                <w:highlight w:val="none"/>
                <w:lang w:val="en-US" w:eastAsia="zh-CN"/>
              </w:rPr>
              <w:t>5</w:t>
            </w:r>
            <w:r>
              <w:rPr>
                <w:color w:val="auto"/>
                <w:sz w:val="22"/>
                <w:szCs w:val="22"/>
                <w:highlight w:val="none"/>
              </w:rPr>
              <w:t>分。（采购代理机构通过“信用中国”、“中国政府采购网”、“深圳市政府采购监管网”以及市、区财政部门认定的其他渠道查询供应商信用信息，投标人无需提供证明材料。）</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备注：1.价格、技术、商务部分累加分为100分。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pPr>
        <w:pStyle w:val="25"/>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hint="eastAsia" w:ascii="仿宋_GB2312" w:hAnsi="仿宋_GB2312" w:eastAsia="仿宋_GB2312" w:cs="仿宋_GB2312"/>
          <w:b/>
          <w:bCs w:val="0"/>
          <w:color w:val="auto"/>
          <w:kern w:val="0"/>
          <w:sz w:val="28"/>
          <w:szCs w:val="28"/>
          <w:highlight w:val="none"/>
          <w:u w:val="single"/>
          <w:lang w:val="en-US" w:eastAsia="zh-CN"/>
        </w:rPr>
        <w:t>工业</w:t>
      </w:r>
      <w:r>
        <w:rPr>
          <w:rFonts w:hint="eastAsia" w:ascii="仿宋_GB2312" w:hAnsi="仿宋_GB2312" w:eastAsia="仿宋_GB2312" w:cs="仿宋_GB2312"/>
          <w:bCs/>
          <w:color w:val="auto"/>
          <w:kern w:val="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0" w:name="_Toc20472"/>
      <w:r>
        <w:rPr>
          <w:rFonts w:hint="eastAsia" w:asciiTheme="minorEastAsia" w:hAnsiTheme="minorEastAsia" w:eastAsiaTheme="minorEastAsia"/>
          <w:b/>
          <w:bCs/>
          <w:color w:val="auto"/>
          <w:sz w:val="44"/>
          <w:szCs w:val="44"/>
          <w:highlight w:val="none"/>
        </w:rPr>
        <w:t>特别警示条款</w:t>
      </w:r>
      <w:bookmarkEnd w:id="0"/>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1" w:name="_Toc28128"/>
      <w:bookmarkStart w:id="2" w:name="_Toc4719"/>
      <w:bookmarkStart w:id="3" w:name="_Toc16742"/>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1"/>
      <w:bookmarkEnd w:id="2"/>
      <w:bookmarkEnd w:id="3"/>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4" w:name="_Toc17680"/>
      <w:bookmarkStart w:id="5" w:name="_Toc6288"/>
      <w:bookmarkStart w:id="6" w:name="_Toc4026"/>
      <w:r>
        <w:rPr>
          <w:rFonts w:hint="eastAsia" w:ascii="仿宋" w:hAnsi="仿宋" w:eastAsia="仿宋" w:cs="仿宋"/>
          <w:color w:val="auto"/>
          <w:sz w:val="28"/>
          <w:szCs w:val="28"/>
          <w:highlight w:val="none"/>
        </w:rPr>
        <w:t>二、《深圳经济特区政府采购条例实施细则》</w:t>
      </w:r>
      <w:bookmarkEnd w:id="4"/>
      <w:bookmarkEnd w:id="5"/>
      <w:bookmarkEnd w:id="6"/>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7" w:name="_Toc5544"/>
      <w:bookmarkStart w:id="8" w:name="_Toc13409"/>
      <w:bookmarkStart w:id="9" w:name="_Toc12769"/>
      <w:r>
        <w:rPr>
          <w:rFonts w:hint="eastAsia" w:ascii="仿宋" w:hAnsi="仿宋" w:eastAsia="仿宋" w:cs="仿宋"/>
          <w:color w:val="auto"/>
          <w:sz w:val="28"/>
          <w:szCs w:val="28"/>
          <w:highlight w:val="none"/>
        </w:rPr>
        <w:t>三、《中华人民共和国政府采购法实施条例》</w:t>
      </w:r>
      <w:bookmarkEnd w:id="7"/>
      <w:bookmarkEnd w:id="8"/>
      <w:bookmarkEnd w:id="9"/>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0" w:name="_Toc15975"/>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0"/>
    </w:tbl>
    <w:p>
      <w:pPr>
        <w:pStyle w:val="3"/>
        <w:spacing w:line="240" w:lineRule="atLeast"/>
        <w:rPr>
          <w:color w:val="auto"/>
          <w:highlight w:val="none"/>
        </w:rPr>
      </w:pP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pPr>
        <w:pStyle w:val="3"/>
        <w:spacing w:line="400" w:lineRule="exact"/>
        <w:jc w:val="center"/>
        <w:rPr>
          <w:rFonts w:ascii="宋体" w:hAnsi="宋体" w:cs="宋体"/>
          <w:b/>
          <w:bCs/>
          <w:color w:val="auto"/>
          <w:sz w:val="32"/>
          <w:szCs w:val="32"/>
          <w:highlight w:val="none"/>
        </w:rPr>
      </w:pPr>
      <w:bookmarkStart w:id="11" w:name="_Toc417"/>
      <w:bookmarkStart w:id="12" w:name="_Toc24877"/>
      <w:bookmarkStart w:id="13" w:name="_Toc20190"/>
      <w:r>
        <w:rPr>
          <w:rFonts w:hint="eastAsia" w:ascii="宋体" w:hAnsi="宋体" w:cs="宋体"/>
          <w:b/>
          <w:bCs/>
          <w:color w:val="auto"/>
          <w:sz w:val="28"/>
          <w:szCs w:val="28"/>
          <w:highlight w:val="none"/>
        </w:rPr>
        <w:t>（三）供应商自查表</w:t>
      </w:r>
      <w:bookmarkEnd w:id="11"/>
      <w:bookmarkEnd w:id="12"/>
      <w:bookmarkEnd w:id="13"/>
    </w:p>
    <w:p>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pPr>
              <w:spacing w:line="360" w:lineRule="exact"/>
              <w:jc w:val="center"/>
              <w:rPr>
                <w:rFonts w:ascii="宋体" w:hAnsi="宋体"/>
                <w:b/>
                <w:color w:val="auto"/>
                <w:szCs w:val="21"/>
                <w:highlight w:val="none"/>
              </w:rPr>
            </w:pPr>
          </w:p>
        </w:tc>
        <w:tc>
          <w:tcPr>
            <w:tcW w:w="780" w:type="dxa"/>
            <w:vAlign w:val="center"/>
          </w:tcPr>
          <w:p>
            <w:pPr>
              <w:spacing w:line="360" w:lineRule="exact"/>
              <w:jc w:val="center"/>
              <w:rPr>
                <w:rFonts w:ascii="宋体" w:hAnsi="宋体"/>
                <w:b/>
                <w:color w:val="auto"/>
                <w:szCs w:val="21"/>
                <w:highlight w:val="none"/>
              </w:rPr>
            </w:pPr>
          </w:p>
        </w:tc>
      </w:tr>
    </w:tbl>
    <w:p>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pPr>
              <w:pStyle w:val="25"/>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深圳市龙岗区第七人民医院消化内镜能量平台（氩气高频电刀）及内镜注水泵采购项目（第二次采购）</w:t>
            </w:r>
          </w:p>
          <w:p>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kern w:val="2"/>
                <w:sz w:val="36"/>
                <w:szCs w:val="36"/>
                <w:highlight w:val="none"/>
                <w:lang w:val="en-US" w:eastAsia="zh-CN" w:bidi="ar-SA"/>
              </w:rPr>
              <w:t>深龙七医采[LGQY2026SB006-1]</w:t>
            </w:r>
            <w:r>
              <w:rPr>
                <w:rFonts w:hint="eastAsia" w:ascii="仿宋_GB2312" w:hAnsi="仿宋_GB2312" w:eastAsia="仿宋_GB2312" w:cs="仿宋_GB2312"/>
                <w:color w:val="auto"/>
                <w:sz w:val="44"/>
                <w:szCs w:val="44"/>
                <w:highlight w:val="none"/>
              </w:rPr>
              <w:t>）</w:t>
            </w:r>
          </w:p>
          <w:p>
            <w:pPr>
              <w:pStyle w:val="30"/>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5.独立承担民事责任能力的法人或其他组织或个体工商户的营业执照或法人证书等证明材料复印件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6.投标人若为生产企业：所投产品为第二、三类医疗器械的，提供药品监督管理部门签发的涵盖所投报医疗器械的《医疗器械生产许可证》（有效期内）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或扫描件；投标人若为经营企业：所投产品为第二类医疗器械的，提供药品监督管理部门签发的涵盖所投报医疗器械的《医疗器械经营备案凭证》（有效期内）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或扫描件；所投产品为第三类医疗器械的，提供药品监督管理部门签发的涵盖所投报医疗器械的《医疗器械经营许可证》（有效期内）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7.产品具备相关主管部门要求的认证资料：所投产品为第一类医疗器械的，提供药品监督管理部门签发的有效的《医疗器械备案凭证》或《医疗器械备案编号告知书》</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或扫描件；所投产品为第二、三类医疗器械的，提供药品监督管理部门签发的涵盖所投产品的《医疗器械注册证》（有效期内）</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val="en-US" w:eastAsia="zh-CN"/>
        </w:rPr>
        <w:t>或扫描件</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.投标文件初审表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.供应商自查表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.投标函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rPr>
        <w:t>.投标及履约承诺函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12</w:t>
      </w:r>
      <w:r>
        <w:rPr>
          <w:rFonts w:hint="eastAsia" w:ascii="仿宋_GB2312" w:hAnsi="仿宋_GB2312" w:eastAsia="仿宋_GB2312" w:cs="仿宋_GB2312"/>
          <w:color w:val="auto"/>
          <w:sz w:val="28"/>
          <w:szCs w:val="28"/>
          <w:highlight w:val="none"/>
          <w:lang w:val="zh-CN"/>
        </w:rPr>
        <w:t>.供应商基本情况表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.社会保险证明</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.开标一览表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lang w:val="zh-CN"/>
        </w:rPr>
        <w:t>分</w:t>
      </w:r>
      <w:r>
        <w:rPr>
          <w:rFonts w:hint="eastAsia" w:ascii="仿宋_GB2312" w:hAnsi="仿宋_GB2312" w:eastAsia="仿宋_GB2312" w:cs="仿宋_GB2312"/>
          <w:color w:val="auto"/>
          <w:sz w:val="28"/>
          <w:szCs w:val="28"/>
          <w:highlight w:val="none"/>
          <w:lang w:val="en-US" w:eastAsia="zh-CN"/>
        </w:rPr>
        <w:t>项</w:t>
      </w:r>
      <w:r>
        <w:rPr>
          <w:rFonts w:hint="eastAsia" w:ascii="仿宋_GB2312" w:hAnsi="仿宋_GB2312" w:eastAsia="仿宋_GB2312" w:cs="仿宋_GB2312"/>
          <w:color w:val="auto"/>
          <w:sz w:val="28"/>
          <w:szCs w:val="28"/>
          <w:highlight w:val="none"/>
          <w:lang w:val="zh-CN"/>
        </w:rPr>
        <w:t>报价表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lang w:val="zh-CN"/>
        </w:rPr>
        <w:t>实质性条款响应情况表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.商务条款偏离表</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val="zh-CN"/>
        </w:rPr>
        <w:t>.技术条款偏离情况</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19.配置清单偏离情况</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lang w:val="zh-CN"/>
        </w:rPr>
        <w:t>.质量保障措施及应急响应方案</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lang w:val="zh-CN"/>
        </w:rPr>
        <w:t>.售后服务方案</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lang w:val="zh-CN"/>
        </w:rPr>
        <w:t>.同类业绩</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val="zh-CN"/>
        </w:rPr>
        <w:t>.企业诚信</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中小企业声明函</w:t>
      </w:r>
    </w:p>
    <w:p>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.其他证明材料</w:t>
      </w: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项目的招标文件，完全同意招标文件中的所有条款，愿意按招标文件要求，决定以投标报价：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元参与投标并按招标文件要求承包上述项目，并许以如下承诺：</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4" w:name="_Toc24111"/>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pPr>
              <w:keepLines w:val="0"/>
              <w:pageBreakBefore w:val="0"/>
              <w:kinsoku/>
              <w:wordWrap/>
              <w:overflowPunct/>
              <w:topLinePunct w:val="0"/>
              <w:bidi w:val="0"/>
              <w:spacing w:line="560" w:lineRule="exact"/>
              <w:rPr>
                <w:color w:val="auto"/>
                <w:highlight w:val="none"/>
              </w:rPr>
            </w:pPr>
          </w:p>
          <w:p>
            <w:pPr>
              <w:keepLines w:val="0"/>
              <w:pageBreakBefore w:val="0"/>
              <w:kinsoku/>
              <w:wordWrap/>
              <w:overflowPunct/>
              <w:topLinePunct w:val="0"/>
              <w:bidi w:val="0"/>
              <w:spacing w:line="560" w:lineRule="exact"/>
              <w:rPr>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4"/>
    </w:p>
    <w:p>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5" w:name="_Toc17532"/>
      <w:bookmarkStart w:id="16" w:name="_Toc14311"/>
      <w:r>
        <w:rPr>
          <w:rFonts w:hint="eastAsia" w:ascii="宋体" w:hAnsi="宋体" w:cs="宋体"/>
          <w:color w:val="auto"/>
          <w:kern w:val="0"/>
          <w:sz w:val="44"/>
          <w:szCs w:val="44"/>
          <w:highlight w:val="none"/>
          <w:lang w:bidi="ar"/>
        </w:rPr>
        <w:t>提供社会保险证明</w:t>
      </w:r>
      <w:bookmarkEnd w:id="15"/>
      <w:bookmarkEnd w:id="16"/>
    </w:p>
    <w:p>
      <w:pPr>
        <w:pStyle w:val="24"/>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pPr>
        <w:pStyle w:val="8"/>
        <w:keepLines w:val="0"/>
        <w:pageBreakBefore w:val="0"/>
        <w:kinsoku/>
        <w:wordWrap/>
        <w:overflowPunct/>
        <w:topLinePunct w:val="0"/>
        <w:bidi w:val="0"/>
        <w:spacing w:line="560" w:lineRule="exact"/>
        <w:rPr>
          <w:rFonts w:hint="eastAsia"/>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pStyle w:val="8"/>
        <w:keepLines w:val="0"/>
        <w:pageBreakBefore w:val="0"/>
        <w:kinsoku/>
        <w:wordWrap/>
        <w:overflowPunct/>
        <w:topLinePunct w:val="0"/>
        <w:bidi w:val="0"/>
        <w:spacing w:line="560" w:lineRule="exact"/>
        <w:rPr>
          <w:rFonts w:hint="eastAsia"/>
          <w:color w:val="auto"/>
          <w:highlight w:val="none"/>
        </w:rPr>
      </w:pPr>
    </w:p>
    <w:p>
      <w:pPr>
        <w:spacing w:line="560" w:lineRule="exact"/>
        <w:rPr>
          <w:rFonts w:hint="eastAsia"/>
          <w:color w:val="auto"/>
          <w:highlight w:val="none"/>
        </w:rPr>
      </w:pPr>
    </w:p>
    <w:p>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pPr>
        <w:keepLines w:val="0"/>
        <w:pageBreakBefore w:val="0"/>
        <w:kinsoku/>
        <w:wordWrap/>
        <w:overflowPunct/>
        <w:topLinePunct w:val="0"/>
        <w:bidi w:val="0"/>
        <w:spacing w:line="560" w:lineRule="exact"/>
        <w:rPr>
          <w:color w:val="auto"/>
          <w:sz w:val="28"/>
          <w:szCs w:val="28"/>
          <w:highlight w:val="none"/>
        </w:rPr>
      </w:pPr>
    </w:p>
    <w:p>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pPr>
        <w:pStyle w:val="3"/>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pStyle w:val="3"/>
        <w:spacing w:line="560" w:lineRule="exact"/>
        <w:rPr>
          <w:rFonts w:hint="eastAsia"/>
          <w:color w:val="auto"/>
          <w:highlight w:val="none"/>
        </w:rPr>
      </w:pPr>
    </w:p>
    <w:p>
      <w:pPr>
        <w:keepLines w:val="0"/>
        <w:pageBreakBefore w:val="0"/>
        <w:numPr>
          <w:ilvl w:val="0"/>
          <w:numId w:val="4"/>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pPr>
        <w:pStyle w:val="8"/>
        <w:keepLines w:val="0"/>
        <w:pageBreakBefore w:val="0"/>
        <w:kinsoku/>
        <w:wordWrap/>
        <w:overflowPunct/>
        <w:topLinePunct w:val="0"/>
        <w:bidi w:val="0"/>
        <w:spacing w:line="560" w:lineRule="exact"/>
        <w:rPr>
          <w:rFonts w:hint="eastAsia"/>
          <w:color w:val="auto"/>
          <w:highlight w:val="none"/>
        </w:rPr>
      </w:pP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pPr>
        <w:pStyle w:val="8"/>
        <w:keepLines w:val="0"/>
        <w:pageBreakBefore w:val="0"/>
        <w:kinsoku/>
        <w:wordWrap/>
        <w:overflowPunct/>
        <w:topLinePunct w:val="0"/>
        <w:bidi w:val="0"/>
        <w:spacing w:line="560" w:lineRule="exact"/>
        <w:rPr>
          <w:rFonts w:hint="eastAsia"/>
          <w:color w:val="auto"/>
          <w:sz w:val="28"/>
          <w:szCs w:val="28"/>
          <w:highlight w:val="none"/>
        </w:rPr>
      </w:pPr>
    </w:p>
    <w:p>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tblPrEx>
          <w:tblCellMar>
            <w:top w:w="15" w:type="dxa"/>
            <w:left w:w="15" w:type="dxa"/>
            <w:bottom w:w="15" w:type="dxa"/>
            <w:right w:w="15" w:type="dxa"/>
          </w:tblCellMar>
        </w:tblPrEx>
        <w:trPr>
          <w:trHeight w:val="705" w:hRule="atLeast"/>
        </w:trPr>
        <w:tc>
          <w:tcPr>
            <w:tcW w:w="13061" w:type="dxa"/>
            <w:gridSpan w:val="2"/>
            <w:noWrap/>
            <w:vAlign w:val="center"/>
          </w:tcPr>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深龙七医采[LGQY2026SB006-1]</w:t>
            </w:r>
          </w:p>
        </w:tc>
      </w:tr>
      <w:tr>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投标报价（元）</w:t>
            </w:r>
          </w:p>
        </w:tc>
      </w:tr>
      <w:tr>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pPr>
              <w:pStyle w:val="25"/>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深圳市龙岗区第七人民医院消化内镜能量平台（氩气高频电刀）及内镜注水泵采购项目（第二次采购）</w:t>
            </w:r>
          </w:p>
        </w:tc>
        <w:tc>
          <w:tcPr>
            <w:tcW w:w="5546" w:type="dxa"/>
            <w:tcBorders>
              <w:top w:val="single" w:color="000000" w:sz="4" w:space="0"/>
              <w:left w:val="single" w:color="000000" w:sz="4" w:space="0"/>
              <w:bottom w:val="single" w:color="000000" w:sz="4" w:space="0"/>
              <w:right w:val="single" w:color="000000" w:sz="4" w:space="0"/>
            </w:tcBorders>
            <w:noWrap/>
            <w:vAlign w:val="center"/>
          </w:tcPr>
          <w:p>
            <w:pPr>
              <w:spacing w:line="560" w:lineRule="exact"/>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大写：</w:t>
            </w:r>
          </w:p>
          <w:p>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2"/>
                <w:sz w:val="32"/>
                <w:szCs w:val="32"/>
                <w:highlight w:val="none"/>
                <w:lang w:val="en-US" w:eastAsia="zh-CN" w:bidi="ar-SA"/>
              </w:rPr>
              <w:t>小写：</w:t>
            </w:r>
          </w:p>
        </w:tc>
      </w:tr>
    </w:tbl>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pPr>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auto"/>
          <w:sz w:val="21"/>
          <w:szCs w:val="21"/>
          <w:highlight w:val="none"/>
          <w:lang w:val="zh-CN"/>
        </w:rPr>
      </w:pPr>
      <w:r>
        <w:rPr>
          <w:rFonts w:hint="eastAsia" w:ascii="仿宋" w:hAnsi="仿宋" w:eastAsia="仿宋" w:cs="仿宋"/>
          <w:b/>
          <w:color w:val="auto"/>
          <w:kern w:val="0"/>
          <w:sz w:val="44"/>
          <w:szCs w:val="44"/>
          <w:highlight w:val="none"/>
          <w:lang w:val="zh-CN"/>
        </w:rPr>
        <w:t>分类报价明细表</w:t>
      </w:r>
    </w:p>
    <w:p>
      <w:pPr>
        <w:pStyle w:val="25"/>
        <w:keepNext w:val="0"/>
        <w:keepLines w:val="0"/>
        <w:pageBreakBefore w:val="0"/>
        <w:widowControl/>
        <w:numPr>
          <w:ilvl w:val="0"/>
          <w:numId w:val="0"/>
        </w:numPr>
        <w:kinsoku/>
        <w:wordWrap/>
        <w:overflowPunct/>
        <w:topLinePunct w:val="0"/>
        <w:autoSpaceDE/>
        <w:autoSpaceDN/>
        <w:bidi w:val="0"/>
        <w:adjustRightInd/>
        <w:snapToGrid w:val="0"/>
        <w:spacing w:line="240" w:lineRule="atLeast"/>
        <w:jc w:val="both"/>
        <w:textAlignment w:val="auto"/>
        <w:rPr>
          <w:rFonts w:hint="eastAsia" w:ascii="仿宋" w:hAnsi="仿宋" w:eastAsia="仿宋" w:cs="仿宋"/>
          <w:color w:val="auto"/>
          <w:kern w:val="2"/>
          <w:sz w:val="28"/>
          <w:szCs w:val="28"/>
          <w:highlight w:val="none"/>
          <w:lang w:val="zh-CN" w:eastAsia="zh-CN" w:bidi="ar-SA"/>
        </w:rPr>
      </w:pPr>
      <w:r>
        <w:rPr>
          <w:rFonts w:hint="eastAsia" w:ascii="仿宋" w:hAnsi="仿宋" w:eastAsia="仿宋" w:cs="仿宋"/>
          <w:color w:val="auto"/>
          <w:kern w:val="2"/>
          <w:sz w:val="28"/>
          <w:szCs w:val="28"/>
          <w:highlight w:val="none"/>
          <w:lang w:val="zh-CN" w:eastAsia="zh-CN" w:bidi="ar-SA"/>
        </w:rPr>
        <w:t>项目名称：</w:t>
      </w:r>
      <w:r>
        <w:rPr>
          <w:rFonts w:hint="eastAsia" w:ascii="仿宋" w:hAnsi="仿宋" w:eastAsia="仿宋" w:cs="仿宋"/>
          <w:color w:val="auto"/>
          <w:kern w:val="2"/>
          <w:sz w:val="28"/>
          <w:szCs w:val="28"/>
          <w:highlight w:val="none"/>
          <w:lang w:val="en-US" w:eastAsia="zh-CN" w:bidi="ar-SA"/>
        </w:rPr>
        <w:t>深圳市龙岗区第七人民医院消化内镜能量平台（氩气高频电刀）及内镜注水泵采购项目（第二次采购）</w:t>
      </w:r>
    </w:p>
    <w:p>
      <w:pPr>
        <w:pStyle w:val="11"/>
        <w:keepNext w:val="0"/>
        <w:keepLines w:val="0"/>
        <w:pageBreakBefore w:val="0"/>
        <w:kinsoku/>
        <w:wordWrap/>
        <w:overflowPunct/>
        <w:topLinePunct w:val="0"/>
        <w:bidi w:val="0"/>
        <w:spacing w:line="240" w:lineRule="atLeas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项目编号：深龙七医采[LGQY2026SB006-1]</w:t>
      </w:r>
    </w:p>
    <w:tbl>
      <w:tblPr>
        <w:tblStyle w:val="1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1892"/>
        <w:gridCol w:w="1334"/>
        <w:gridCol w:w="1285"/>
        <w:gridCol w:w="1988"/>
        <w:gridCol w:w="1214"/>
        <w:gridCol w:w="999"/>
        <w:gridCol w:w="1092"/>
        <w:gridCol w:w="20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序号</w:t>
            </w:r>
          </w:p>
        </w:tc>
        <w:tc>
          <w:tcPr>
            <w:tcW w:w="729"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货物名称</w:t>
            </w:r>
          </w:p>
        </w:tc>
        <w:tc>
          <w:tcPr>
            <w:tcW w:w="514"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规格及型号</w:t>
            </w:r>
          </w:p>
        </w:tc>
        <w:tc>
          <w:tcPr>
            <w:tcW w:w="49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原产地</w:t>
            </w:r>
          </w:p>
        </w:tc>
        <w:tc>
          <w:tcPr>
            <w:tcW w:w="766"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rFonts w:hint="eastAsia"/>
                <w:b w:val="0"/>
                <w:bCs w:val="0"/>
                <w:color w:val="auto"/>
                <w:sz w:val="22"/>
                <w:highlight w:val="none"/>
              </w:rPr>
              <w:t>制造商名称</w:t>
            </w:r>
          </w:p>
        </w:tc>
        <w:tc>
          <w:tcPr>
            <w:tcW w:w="468"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品牌</w:t>
            </w:r>
          </w:p>
        </w:tc>
        <w:tc>
          <w:tcPr>
            <w:tcW w:w="38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数量</w:t>
            </w:r>
          </w:p>
        </w:tc>
        <w:tc>
          <w:tcPr>
            <w:tcW w:w="421"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r>
              <w:rPr>
                <w:b w:val="0"/>
                <w:bCs w:val="0"/>
                <w:color w:val="auto"/>
                <w:sz w:val="22"/>
                <w:highlight w:val="none"/>
              </w:rPr>
              <w:t>单位</w:t>
            </w:r>
          </w:p>
        </w:tc>
        <w:tc>
          <w:tcPr>
            <w:tcW w:w="774" w:type="pct"/>
            <w:vAlign w:val="center"/>
          </w:tcPr>
          <w:p>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r>
              <w:rPr>
                <w:rFonts w:hint="eastAsia"/>
                <w:b w:val="0"/>
                <w:bCs w:val="0"/>
                <w:color w:val="auto"/>
                <w:sz w:val="22"/>
                <w:highlight w:val="none"/>
                <w:lang w:eastAsia="zh-CN"/>
              </w:rPr>
              <w:t>投标</w:t>
            </w:r>
            <w:r>
              <w:rPr>
                <w:rFonts w:hint="eastAsia"/>
                <w:b w:val="0"/>
                <w:bCs w:val="0"/>
                <w:color w:val="auto"/>
                <w:sz w:val="22"/>
                <w:highlight w:val="none"/>
                <w:lang w:val="en-US" w:eastAsia="zh-CN"/>
              </w:rPr>
              <w:t>报</w:t>
            </w:r>
            <w:r>
              <w:rPr>
                <w:b w:val="0"/>
                <w:bCs w:val="0"/>
                <w:color w:val="auto"/>
                <w:sz w:val="22"/>
                <w:highlight w:val="none"/>
              </w:rPr>
              <w:t>价</w:t>
            </w:r>
            <w:r>
              <w:rPr>
                <w:rFonts w:hint="eastAsia"/>
                <w:b w:val="0"/>
                <w:bCs w:val="0"/>
                <w:color w:val="auto"/>
                <w:sz w:val="22"/>
                <w:highlight w:val="none"/>
                <w:lang w:eastAsia="zh-CN"/>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5" w:type="pct"/>
            <w:vAlign w:val="center"/>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29"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514"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95"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766"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68" w:type="pct"/>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385"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rPr>
            </w:pPr>
          </w:p>
        </w:tc>
        <w:tc>
          <w:tcPr>
            <w:tcW w:w="421" w:type="pct"/>
            <w:vAlign w:val="top"/>
          </w:tcPr>
          <w:p>
            <w:pPr>
              <w:keepNext w:val="0"/>
              <w:keepLines w:val="0"/>
              <w:pageBreakBefore w:val="0"/>
              <w:kinsoku/>
              <w:wordWrap/>
              <w:overflowPunct/>
              <w:topLinePunct w:val="0"/>
              <w:bidi w:val="0"/>
              <w:spacing w:line="240" w:lineRule="atLeast"/>
              <w:jc w:val="center"/>
              <w:textAlignment w:val="auto"/>
              <w:rPr>
                <w:rFonts w:hint="eastAsia"/>
                <w:b w:val="0"/>
                <w:bCs w:val="0"/>
                <w:color w:val="auto"/>
                <w:sz w:val="22"/>
                <w:highlight w:val="none"/>
                <w:lang w:val="en-US" w:eastAsia="zh-CN"/>
              </w:rPr>
            </w:pPr>
          </w:p>
        </w:tc>
        <w:tc>
          <w:tcPr>
            <w:tcW w:w="774" w:type="pct"/>
            <w:vAlign w:val="top"/>
          </w:tcPr>
          <w:p>
            <w:pPr>
              <w:keepNext w:val="0"/>
              <w:keepLines w:val="0"/>
              <w:pageBreakBefore w:val="0"/>
              <w:kinsoku/>
              <w:wordWrap/>
              <w:overflowPunct/>
              <w:topLinePunct w:val="0"/>
              <w:bidi w:val="0"/>
              <w:spacing w:line="240" w:lineRule="atLeast"/>
              <w:jc w:val="center"/>
              <w:textAlignment w:val="auto"/>
              <w:rPr>
                <w:b w:val="0"/>
                <w:bCs w:val="0"/>
                <w:color w:val="auto"/>
                <w:sz w:val="22"/>
                <w:highlight w:val="none"/>
                <w:lang w:val="en-US" w:eastAsia="zh-CN"/>
              </w:rPr>
            </w:pPr>
          </w:p>
        </w:tc>
      </w:tr>
    </w:tbl>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2. “规格/品牌/型号”一栏填写全部或任一信息即可，若为定制类，应填写为“定制”。未填写或填写错误的，在技术要求偏离情</w:t>
      </w:r>
      <w:r>
        <w:rPr>
          <w:rFonts w:hint="eastAsia" w:ascii="Times New Roman" w:hAnsi="Times New Roman" w:cs="Times New Roman"/>
          <w:color w:val="auto"/>
          <w:sz w:val="22"/>
          <w:szCs w:val="22"/>
          <w:highlight w:val="none"/>
          <w:lang w:val="zh-CN"/>
        </w:rPr>
        <w:t>况下</w:t>
      </w:r>
      <w:r>
        <w:rPr>
          <w:rFonts w:hint="default" w:ascii="Times New Roman" w:hAnsi="Times New Roman" w:eastAsia="宋体" w:cs="Times New Roman"/>
          <w:color w:val="auto"/>
          <w:sz w:val="22"/>
          <w:szCs w:val="22"/>
          <w:highlight w:val="none"/>
          <w:lang w:val="zh-CN"/>
        </w:rPr>
        <w:t>按一般参数负偏离一项扣分处理。</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货物的价款、包装、运输、装卸、安装、调试、技术指导、培训、咨询、服务、保险、税费、检测、验收合格交付使用之前以及技术和售后服务等其他各项有关费用。（若招标文件商务要求中对于报价有要求的以商务要求中的条款为准）</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eastAsia" w:ascii="Times New Roman" w:hAnsi="Times New Roman"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cs="Times New Roman"/>
          <w:color w:val="auto"/>
          <w:sz w:val="22"/>
          <w:szCs w:val="22"/>
          <w:highlight w:val="none"/>
          <w:lang w:val="zh-CN"/>
        </w:rPr>
        <w:t>。</w:t>
      </w:r>
    </w:p>
    <w:p>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b/>
          <w:bCs/>
          <w:color w:val="auto"/>
          <w:sz w:val="22"/>
          <w:szCs w:val="22"/>
          <w:highlight w:val="none"/>
        </w:rPr>
      </w:pPr>
      <w:r>
        <w:rPr>
          <w:rFonts w:hint="eastAsia" w:ascii="Times New Roman" w:hAnsi="Times New Roman" w:cs="Times New Roman"/>
          <w:color w:val="auto"/>
          <w:sz w:val="22"/>
          <w:szCs w:val="22"/>
          <w:highlight w:val="none"/>
          <w:lang w:val="en-US" w:eastAsia="zh-CN"/>
        </w:rPr>
        <w:t>8.</w:t>
      </w:r>
      <w:r>
        <w:rPr>
          <w:rFonts w:hint="default" w:ascii="Times New Roman" w:hAnsi="Times New Roman" w:eastAsia="宋体" w:cs="Times New Roman"/>
          <w:b/>
          <w:bCs/>
          <w:color w:val="auto"/>
          <w:sz w:val="22"/>
          <w:szCs w:val="22"/>
          <w:highlight w:val="none"/>
        </w:rPr>
        <w:t>本项目预算金额为人民币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元，最高限价为人民币</w:t>
      </w:r>
      <w:r>
        <w:rPr>
          <w:rFonts w:hint="eastAsia" w:ascii="Times New Roman" w:hAnsi="Times New Roman" w:cs="Times New Roman"/>
          <w:b/>
          <w:bCs/>
          <w:color w:val="auto"/>
          <w:sz w:val="22"/>
          <w:szCs w:val="22"/>
          <w:highlight w:val="none"/>
          <w:lang w:val="en-US" w:eastAsia="zh-CN"/>
        </w:rPr>
        <w:t>159800</w:t>
      </w:r>
      <w:r>
        <w:rPr>
          <w:rFonts w:hint="default" w:ascii="Times New Roman" w:hAnsi="Times New Roman" w:eastAsia="宋体" w:cs="Times New Roman"/>
          <w:b/>
          <w:bCs/>
          <w:color w:val="auto"/>
          <w:sz w:val="22"/>
          <w:szCs w:val="22"/>
          <w:highlight w:val="none"/>
        </w:rPr>
        <w:t>.00</w:t>
      </w:r>
      <w:r>
        <w:rPr>
          <w:rFonts w:hint="default" w:ascii="Times New Roman" w:hAnsi="Times New Roman" w:eastAsia="宋体" w:cs="Times New Roman"/>
          <w:b/>
          <w:bCs/>
          <w:color w:val="auto"/>
          <w:sz w:val="22"/>
          <w:szCs w:val="22"/>
          <w:highlight w:val="none"/>
          <w:lang w:eastAsia="zh-CN"/>
        </w:rPr>
        <w:t>元</w:t>
      </w:r>
      <w:r>
        <w:rPr>
          <w:rFonts w:hint="default" w:ascii="Times New Roman" w:hAnsi="Times New Roman" w:eastAsia="宋体" w:cs="Times New Roman"/>
          <w:b/>
          <w:bCs/>
          <w:color w:val="auto"/>
          <w:sz w:val="22"/>
          <w:szCs w:val="22"/>
          <w:highlight w:val="none"/>
        </w:rPr>
        <w:t>，超出最高限价</w:t>
      </w:r>
      <w:r>
        <w:rPr>
          <w:rFonts w:hint="default" w:ascii="Times New Roman" w:hAnsi="Times New Roman" w:eastAsia="宋体" w:cs="Times New Roman"/>
          <w:b/>
          <w:bCs/>
          <w:color w:val="auto"/>
          <w:sz w:val="22"/>
          <w:szCs w:val="22"/>
          <w:highlight w:val="none"/>
          <w:lang w:eastAsia="zh-CN"/>
        </w:rPr>
        <w:t>、单价限价</w:t>
      </w:r>
      <w:r>
        <w:rPr>
          <w:rFonts w:hint="default" w:ascii="Times New Roman" w:hAnsi="Times New Roman" w:eastAsia="宋体" w:cs="Times New Roman"/>
          <w:b/>
          <w:bCs/>
          <w:color w:val="auto"/>
          <w:sz w:val="22"/>
          <w:szCs w:val="22"/>
          <w:highlight w:val="none"/>
        </w:rPr>
        <w:t>的投标将导致投标无效。</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lang w:val="zh-CN"/>
        </w:rPr>
        <w:t>法定代表人（</w:t>
      </w:r>
      <w:r>
        <w:rPr>
          <w:rFonts w:hint="default" w:ascii="Times New Roman" w:hAnsi="Times New Roman" w:eastAsia="宋体" w:cs="Times New Roman"/>
          <w:snapToGrid w:val="0"/>
          <w:color w:val="auto"/>
          <w:kern w:val="0"/>
          <w:sz w:val="22"/>
          <w:szCs w:val="22"/>
          <w:highlight w:val="none"/>
        </w:rPr>
        <w:t>单位负责人</w:t>
      </w:r>
      <w:r>
        <w:rPr>
          <w:rFonts w:hint="default" w:ascii="Times New Roman" w:hAnsi="Times New Roman" w:eastAsia="宋体" w:cs="Times New Roman"/>
          <w:snapToGrid w:val="0"/>
          <w:color w:val="auto"/>
          <w:kern w:val="0"/>
          <w:sz w:val="22"/>
          <w:szCs w:val="22"/>
          <w:highlight w:val="none"/>
          <w:lang w:val="zh-CN"/>
        </w:rPr>
        <w:t>）或其授权代表（签字</w:t>
      </w:r>
      <w:r>
        <w:rPr>
          <w:rFonts w:hint="default" w:ascii="Times New Roman" w:hAnsi="Times New Roman" w:eastAsia="宋体" w:cs="Times New Roman"/>
          <w:snapToGrid w:val="0"/>
          <w:color w:val="auto"/>
          <w:kern w:val="0"/>
          <w:sz w:val="22"/>
          <w:szCs w:val="22"/>
          <w:highlight w:val="none"/>
        </w:rPr>
        <w:t>或盖章</w:t>
      </w:r>
      <w:r>
        <w:rPr>
          <w:rFonts w:hint="default" w:ascii="Times New Roman" w:hAnsi="Times New Roman" w:eastAsia="宋体" w:cs="Times New Roman"/>
          <w:snapToGrid w:val="0"/>
          <w:color w:val="auto"/>
          <w:kern w:val="0"/>
          <w:sz w:val="22"/>
          <w:szCs w:val="22"/>
          <w:highlight w:val="none"/>
          <w:lang w:val="zh-CN"/>
        </w:rPr>
        <w:t>）</w:t>
      </w:r>
      <w:r>
        <w:rPr>
          <w:rFonts w:hint="default" w:ascii="Times New Roman" w:hAnsi="Times New Roman" w:eastAsia="宋体" w:cs="Times New Roman"/>
          <w:snapToGrid w:val="0"/>
          <w:color w:val="auto"/>
          <w:kern w:val="0"/>
          <w:sz w:val="22"/>
          <w:szCs w:val="22"/>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 xml:space="preserve">投标人名称（盖章）：                        </w:t>
      </w:r>
    </w:p>
    <w:p>
      <w:pPr>
        <w:keepNext w:val="0"/>
        <w:keepLines w:val="0"/>
        <w:pageBreakBefore w:val="0"/>
        <w:widowControl w:val="0"/>
        <w:kinsoku/>
        <w:wordWrap/>
        <w:overflowPunct/>
        <w:topLinePunct w:val="0"/>
        <w:autoSpaceDE/>
        <w:autoSpaceDN/>
        <w:bidi w:val="0"/>
        <w:adjustRightInd/>
        <w:snapToGrid/>
        <w:spacing w:line="240" w:lineRule="atLeast"/>
        <w:ind w:right="2100" w:rightChars="1000"/>
        <w:jc w:val="left"/>
        <w:textAlignment w:val="auto"/>
        <w:rPr>
          <w:rFonts w:ascii="Arial" w:hAnsi="Arial"/>
          <w:b/>
          <w:color w:val="auto"/>
          <w:kern w:val="0"/>
          <w:sz w:val="24"/>
          <w:szCs w:val="20"/>
          <w:highlight w:val="none"/>
        </w:rPr>
      </w:pPr>
      <w:r>
        <w:rPr>
          <w:rFonts w:hint="default" w:ascii="Times New Roman" w:hAnsi="Times New Roman" w:eastAsia="宋体" w:cs="Times New Roman"/>
          <w:snapToGrid w:val="0"/>
          <w:color w:val="auto"/>
          <w:kern w:val="0"/>
          <w:sz w:val="22"/>
          <w:szCs w:val="22"/>
          <w:highlight w:val="none"/>
        </w:rPr>
        <w:t>日期：   年   月   日</w:t>
      </w:r>
    </w:p>
    <w:p>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pPr>
        <w:numPr>
          <w:ilvl w:val="0"/>
          <w:numId w:val="0"/>
        </w:numPr>
        <w:tabs>
          <w:tab w:val="left" w:pos="0"/>
        </w:tabs>
        <w:spacing w:line="560" w:lineRule="exact"/>
        <w:ind w:left="0" w:leftChars="0" w:firstLine="420" w:firstLineChars="0"/>
        <w:jc w:val="center"/>
        <w:outlineLvl w:val="2"/>
        <w:rPr>
          <w:rFonts w:ascii="Arial" w:hAnsi="Arial"/>
          <w:b/>
          <w:color w:val="auto"/>
          <w:kern w:val="0"/>
          <w:sz w:val="22"/>
          <w:highlight w:val="none"/>
        </w:rPr>
      </w:pPr>
      <w:r>
        <w:rPr>
          <w:rFonts w:hint="eastAsia" w:ascii="Arial" w:hAnsi="Arial" w:eastAsia="宋体" w:cs="黑体"/>
          <w:b/>
          <w:bCs/>
          <w:color w:val="auto"/>
          <w:kern w:val="0"/>
          <w:sz w:val="22"/>
          <w:szCs w:val="24"/>
          <w:highlight w:val="none"/>
          <w:lang w:val="en-US" w:eastAsia="zh-CN" w:bidi="ar-SA"/>
        </w:rPr>
        <w:t>（一）</w:t>
      </w:r>
      <w:r>
        <w:rPr>
          <w:rFonts w:hint="eastAsia" w:ascii="Arial" w:hAnsi="Arial"/>
          <w:b/>
          <w:color w:val="auto"/>
          <w:kern w:val="0"/>
          <w:sz w:val="22"/>
          <w:highlight w:val="none"/>
        </w:rPr>
        <w:t>核心产品的品牌情况</w:t>
      </w:r>
    </w:p>
    <w:p>
      <w:pPr>
        <w:spacing w:line="560" w:lineRule="exact"/>
        <w:ind w:firstLine="422" w:firstLineChars="200"/>
        <w:rPr>
          <w:rFonts w:ascii="宋体"/>
          <w:b/>
          <w:color w:val="auto"/>
          <w:highlight w:val="none"/>
        </w:rPr>
      </w:pPr>
    </w:p>
    <w:p>
      <w:pPr>
        <w:spacing w:line="560" w:lineRule="exact"/>
        <w:ind w:firstLine="663" w:firstLineChars="300"/>
        <w:rPr>
          <w:rFonts w:ascii="宋体"/>
          <w:b/>
          <w:color w:val="auto"/>
          <w:sz w:val="22"/>
          <w:highlight w:val="none"/>
        </w:rPr>
      </w:pPr>
      <w:r>
        <w:rPr>
          <w:rFonts w:hint="eastAsia"/>
          <w:b/>
          <w:color w:val="auto"/>
          <w:sz w:val="22"/>
          <w:highlight w:val="none"/>
        </w:rPr>
        <w:t>我公司所投核心产品的品牌为：</w:t>
      </w:r>
      <w:r>
        <w:rPr>
          <w:rFonts w:hint="eastAsia"/>
          <w:b/>
          <w:color w:val="auto"/>
          <w:sz w:val="22"/>
          <w:highlight w:val="none"/>
          <w:u w:val="single"/>
        </w:rPr>
        <w:t xml:space="preserve">    </w:t>
      </w:r>
      <w:r>
        <w:rPr>
          <w:rFonts w:hint="eastAsia"/>
          <w:b/>
          <w:color w:val="auto"/>
          <w:sz w:val="22"/>
          <w:highlight w:val="none"/>
          <w:u w:val="single"/>
          <w:lang w:val="en-US" w:eastAsia="zh-CN"/>
        </w:rPr>
        <w:t xml:space="preserve">   </w:t>
      </w:r>
      <w:r>
        <w:rPr>
          <w:rFonts w:hint="eastAsia"/>
          <w:b/>
          <w:color w:val="auto"/>
          <w:sz w:val="22"/>
          <w:highlight w:val="none"/>
          <w:u w:val="single"/>
        </w:rPr>
        <w:t xml:space="preserve">   </w:t>
      </w:r>
      <w:r>
        <w:rPr>
          <w:rFonts w:hint="eastAsia"/>
          <w:b/>
          <w:color w:val="auto"/>
          <w:sz w:val="22"/>
          <w:highlight w:val="none"/>
        </w:rPr>
        <w:t xml:space="preserve"> 。</w:t>
      </w:r>
    </w:p>
    <w:p>
      <w:pPr>
        <w:spacing w:line="560" w:lineRule="exact"/>
        <w:ind w:firstLine="663" w:firstLineChars="300"/>
        <w:rPr>
          <w:rFonts w:hint="default"/>
          <w:b/>
          <w:color w:val="auto"/>
          <w:sz w:val="22"/>
          <w:highlight w:val="none"/>
          <w:lang w:val="en-US"/>
        </w:rPr>
      </w:pPr>
      <w:r>
        <w:rPr>
          <w:rFonts w:hint="eastAsia"/>
          <w:b/>
          <w:color w:val="auto"/>
          <w:sz w:val="22"/>
          <w:highlight w:val="none"/>
        </w:rPr>
        <w:t>本项目核心</w:t>
      </w:r>
      <w:r>
        <w:rPr>
          <w:rFonts w:hint="eastAsia"/>
          <w:b/>
          <w:color w:val="auto"/>
          <w:sz w:val="22"/>
          <w:highlight w:val="none"/>
          <w:lang w:val="en-US" w:eastAsia="zh-CN"/>
        </w:rPr>
        <w:t>产品为：XXXXXXX</w:t>
      </w:r>
    </w:p>
    <w:p>
      <w:pPr>
        <w:spacing w:line="560" w:lineRule="exact"/>
        <w:ind w:firstLine="442" w:firstLineChars="200"/>
        <w:rPr>
          <w:rFonts w:ascii="宋体"/>
          <w:b/>
          <w:color w:val="auto"/>
          <w:sz w:val="22"/>
          <w:highlight w:val="none"/>
        </w:rPr>
      </w:pPr>
    </w:p>
    <w:p>
      <w:pPr>
        <w:spacing w:line="560" w:lineRule="exact"/>
        <w:ind w:firstLine="660" w:firstLineChars="300"/>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备注：招标文件未列明核心产品的，无需填写该项。</w:t>
      </w:r>
    </w:p>
    <w:p>
      <w:pPr>
        <w:numPr>
          <w:ilvl w:val="0"/>
          <w:numId w:val="0"/>
        </w:numPr>
        <w:tabs>
          <w:tab w:val="left" w:pos="0"/>
        </w:tabs>
        <w:spacing w:line="560" w:lineRule="exact"/>
        <w:ind w:left="0" w:leftChars="0" w:firstLine="420" w:firstLineChars="0"/>
        <w:jc w:val="center"/>
        <w:outlineLvl w:val="2"/>
        <w:rPr>
          <w:color w:val="auto"/>
          <w:highlight w:val="none"/>
        </w:rPr>
      </w:pPr>
      <w:r>
        <w:rPr>
          <w:rFonts w:hint="eastAsia" w:ascii="Calibri" w:hAnsi="Calibri" w:eastAsia="宋体" w:cs="黑体"/>
          <w:b/>
          <w:bCs/>
          <w:color w:val="auto"/>
          <w:kern w:val="2"/>
          <w:sz w:val="21"/>
          <w:szCs w:val="24"/>
          <w:highlight w:val="none"/>
          <w:lang w:val="en-US" w:eastAsia="zh-CN" w:bidi="ar-SA"/>
        </w:rPr>
        <w:t>（二）</w:t>
      </w:r>
      <w:r>
        <w:rPr>
          <w:rFonts w:hint="eastAsia" w:ascii="Arial" w:hAnsi="Arial"/>
          <w:b/>
          <w:color w:val="auto"/>
          <w:kern w:val="0"/>
          <w:sz w:val="22"/>
          <w:highlight w:val="none"/>
        </w:rPr>
        <w:t>可选配件报价清单（不包括在总报价内）</w:t>
      </w:r>
    </w:p>
    <w:p>
      <w:pPr>
        <w:pStyle w:val="11"/>
        <w:keepLines w:val="0"/>
        <w:pageBreakBefore w:val="0"/>
        <w:kinsoku/>
        <w:wordWrap/>
        <w:overflowPunct/>
        <w:topLinePunct w:val="0"/>
        <w:bidi w:val="0"/>
        <w:spacing w:line="560" w:lineRule="exact"/>
        <w:rPr>
          <w:rFonts w:hint="eastAsia" w:ascii="Times New Roman" w:hAnsi="Times New Roman" w:eastAsia="宋体" w:cs="Times New Roman"/>
          <w:color w:val="auto"/>
          <w:kern w:val="2"/>
          <w:sz w:val="22"/>
          <w:szCs w:val="22"/>
          <w:highlight w:val="none"/>
          <w:lang w:val="en-US" w:eastAsia="zh-CN" w:bidi="ar-SA"/>
        </w:rPr>
      </w:pPr>
      <w:r>
        <w:rPr>
          <w:rFonts w:hint="eastAsia" w:ascii="Times New Roman" w:hAnsi="Times New Roman" w:eastAsia="宋体" w:cs="Times New Roman"/>
          <w:color w:val="auto"/>
          <w:kern w:val="2"/>
          <w:sz w:val="22"/>
          <w:szCs w:val="22"/>
          <w:highlight w:val="none"/>
          <w:lang w:val="en-US" w:eastAsia="zh-CN" w:bidi="ar-SA"/>
        </w:rPr>
        <w:t>注：格式可以参照《分项报价表》表格，并提供相应的品牌/规格/型号、原产地、制造商信息（没有品牌、型号的，用“定制”描述即可）、单价等详细信息</w:t>
      </w: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p>
    <w:p>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031"/>
        <w:gridCol w:w="2565"/>
        <w:gridCol w:w="2402"/>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325"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89"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926"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eastAsia="宋体" w:cs="仿宋_GB2312"/>
                <w:color w:val="auto"/>
                <w:kern w:val="2"/>
                <w:sz w:val="24"/>
                <w:szCs w:val="32"/>
                <w:highlight w:val="none"/>
                <w:vertAlign w:val="baseline"/>
                <w:lang w:val="en-US" w:eastAsia="zh-CN" w:bidi="ar-SA"/>
              </w:rPr>
              <w:t>1</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所投产品</w:t>
            </w:r>
            <w:r>
              <w:rPr>
                <w:rFonts w:hint="default"/>
                <w:color w:val="auto"/>
                <w:sz w:val="22"/>
                <w:highlight w:val="none"/>
                <w:lang w:val="en-US" w:eastAsia="zh-CN"/>
              </w:rPr>
              <w:t>内镜注水泵</w:t>
            </w:r>
            <w:r>
              <w:rPr>
                <w:rFonts w:hint="eastAsia"/>
                <w:color w:val="auto"/>
                <w:sz w:val="22"/>
                <w:highlight w:val="none"/>
                <w:lang w:val="en-US" w:eastAsia="zh-CN"/>
              </w:rPr>
              <w:t>须无缝兼容设备为奥林巴斯规格型号:CV-260SL的内镜。</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55" w:type="dxa"/>
            <w:vAlign w:val="center"/>
          </w:tcPr>
          <w:p>
            <w:pPr>
              <w:widowControl/>
              <w:spacing w:line="560" w:lineRule="exact"/>
              <w:jc w:val="center"/>
              <w:textAlignment w:val="center"/>
              <w:rPr>
                <w:rFonts w:hint="eastAsia"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2</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rPr>
              <w:t>★</w:t>
            </w:r>
            <w:r>
              <w:rPr>
                <w:rFonts w:hint="eastAsia"/>
                <w:color w:val="auto"/>
                <w:sz w:val="22"/>
                <w:highlight w:val="none"/>
                <w:lang w:val="en-US" w:eastAsia="zh-CN"/>
              </w:rPr>
              <w:t>1.</w:t>
            </w:r>
            <w:r>
              <w:rPr>
                <w:rFonts w:hint="eastAsia"/>
                <w:color w:val="auto"/>
                <w:sz w:val="22"/>
                <w:highlight w:val="none"/>
                <w:lang w:eastAsia="zh-CN"/>
              </w:rPr>
              <w:t>交货期：自合同签订之日起</w:t>
            </w:r>
            <w:r>
              <w:rPr>
                <w:rFonts w:hint="eastAsia"/>
                <w:color w:val="auto"/>
                <w:sz w:val="22"/>
                <w:highlight w:val="none"/>
              </w:rPr>
              <w:t>15</w:t>
            </w:r>
            <w:r>
              <w:rPr>
                <w:rFonts w:hint="eastAsia"/>
                <w:color w:val="auto"/>
                <w:sz w:val="22"/>
                <w:highlight w:val="none"/>
                <w:lang w:eastAsia="zh-CN"/>
              </w:rPr>
              <w:t>日（</w:t>
            </w:r>
            <w:r>
              <w:rPr>
                <w:rFonts w:hint="eastAsia"/>
                <w:color w:val="auto"/>
                <w:sz w:val="22"/>
                <w:highlight w:val="none"/>
              </w:rPr>
              <w:t>日历日</w:t>
            </w:r>
            <w:r>
              <w:rPr>
                <w:rFonts w:hint="eastAsia"/>
                <w:color w:val="auto"/>
                <w:sz w:val="22"/>
                <w:highlight w:val="none"/>
                <w:lang w:eastAsia="zh-CN"/>
              </w:rPr>
              <w:t>）</w:t>
            </w:r>
            <w:r>
              <w:rPr>
                <w:rFonts w:hint="eastAsia"/>
                <w:color w:val="auto"/>
                <w:sz w:val="22"/>
                <w:highlight w:val="none"/>
              </w:rPr>
              <w:t>内完成交货</w:t>
            </w:r>
            <w:r>
              <w:rPr>
                <w:rFonts w:hint="eastAsia"/>
                <w:color w:val="auto"/>
                <w:sz w:val="22"/>
                <w:highlight w:val="none"/>
                <w:lang w:eastAsia="zh-CN"/>
              </w:rPr>
              <w:t>。</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3</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5.报价要求：人民币报价。投标报价包括了运至用户指定安装地点的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4</w:t>
            </w:r>
          </w:p>
        </w:tc>
        <w:tc>
          <w:tcPr>
            <w:tcW w:w="2325" w:type="pct"/>
            <w:vAlign w:val="center"/>
          </w:tcPr>
          <w:p>
            <w:pPr>
              <w:keepLines w:val="0"/>
              <w:pageBreakBefore w:val="0"/>
              <w:kinsoku/>
              <w:wordWrap/>
              <w:overflowPunct/>
              <w:topLinePunct w:val="0"/>
              <w:bidi w:val="0"/>
              <w:spacing w:line="560" w:lineRule="exact"/>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eastAsia="zh-CN"/>
              </w:rPr>
              <w:t>★</w:t>
            </w:r>
            <w:r>
              <w:rPr>
                <w:rFonts w:hint="eastAsia"/>
                <w:color w:val="auto"/>
                <w:sz w:val="22"/>
                <w:highlight w:val="none"/>
                <w:lang w:val="en-US" w:eastAsia="zh-CN"/>
              </w:rPr>
              <w:t>7</w:t>
            </w:r>
            <w:r>
              <w:rPr>
                <w:rFonts w:hint="eastAsia"/>
                <w:color w:val="auto"/>
                <w:sz w:val="22"/>
                <w:highlight w:val="none"/>
                <w:lang w:eastAsia="zh-CN"/>
              </w:rPr>
              <w:t>.2对所提供的设备整机免费质保期：至少3年（以验收合格之日起计算）。</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5</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2"/>
                <w:highlight w:val="none"/>
                <w:lang w:val="en-US" w:eastAsia="zh-CN"/>
              </w:rPr>
              <w:t>★</w:t>
            </w:r>
            <w:r>
              <w:rPr>
                <w:rFonts w:hint="eastAsia"/>
                <w:color w:val="auto"/>
                <w:sz w:val="22"/>
                <w:highlight w:val="none"/>
                <w:lang w:val="en-US" w:eastAsia="zh-CN"/>
              </w:rPr>
              <w:t>7.3保修期：免费质保期结束后，中标人提供不少于3年的保修期，提供持续的技术支持与售后服务。维护、升级、备份均不额外收费。若设备在保修期内出现故障，中标人应按照采购人的需求提供维修或更换服务，相关费用仅按维修材料成本及合理人工费用收取，不得附加额外利润，且中标人应确保备品备件的长期供应。（由投标人提供承诺书，格式自拟）</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6</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7.4在质保期和保修期内，若发生质量问题，投标人承诺在接到通知后1小时内响应，24小时内维修到位，并于48小时内消除故障（不可抗力情况除外）。消耗品及零配件供应及时，特殊情况下可提供备用机。质保期内，若非因用户人为原因导致质量问题，由投标人负责包修、包换或包退，并承担修理、调换或退换的实际费用。若投标人无法修理或调换，将按不能交货处理。</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5" w:type="dxa"/>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7</w:t>
            </w:r>
          </w:p>
        </w:tc>
        <w:tc>
          <w:tcPr>
            <w:tcW w:w="2325" w:type="pct"/>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color w:val="auto"/>
                <w:sz w:val="22"/>
                <w:highlight w:val="none"/>
                <w:lang w:eastAsia="zh-CN"/>
              </w:rPr>
            </w:pPr>
            <w:r>
              <w:rPr>
                <w:rFonts w:hint="eastAsia" w:eastAsia="宋体"/>
                <w:color w:val="auto"/>
                <w:sz w:val="21"/>
                <w:szCs w:val="21"/>
                <w:highlight w:val="none"/>
                <w:lang w:val="en-US" w:eastAsia="zh-CN"/>
              </w:rPr>
              <w:t>★7.7质保期内保证每年有2次或以上预防性维护保养。</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1" w:type="pct"/>
            <w:vAlign w:val="center"/>
          </w:tcPr>
          <w:p>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8</w:t>
            </w:r>
          </w:p>
        </w:tc>
        <w:tc>
          <w:tcPr>
            <w:tcW w:w="2325" w:type="pct"/>
            <w:vAlign w:val="center"/>
          </w:tcPr>
          <w:p>
            <w:pPr>
              <w:keepLines w:val="0"/>
              <w:pageBreakBefore w:val="0"/>
              <w:kinsoku/>
              <w:wordWrap/>
              <w:overflowPunct/>
              <w:topLinePunct w:val="0"/>
              <w:bidi w:val="0"/>
              <w:spacing w:line="560" w:lineRule="exact"/>
              <w:rPr>
                <w:rFonts w:hint="eastAsia"/>
                <w:color w:val="auto"/>
                <w:sz w:val="22"/>
                <w:highlight w:val="none"/>
                <w:lang w:eastAsia="zh-CN"/>
              </w:rPr>
            </w:pPr>
            <w:r>
              <w:rPr>
                <w:rFonts w:hint="eastAsia" w:eastAsia="宋体"/>
                <w:color w:val="auto"/>
                <w:sz w:val="21"/>
                <w:szCs w:val="21"/>
                <w:highlight w:val="none"/>
                <w:lang w:val="en-US" w:eastAsia="zh-CN"/>
              </w:rPr>
              <w:t>★11.2免费开放预留与院内信息系统及集成平台（如PACS系统、HIS系统等）医疗设备数据实现互联互通的端口。</w:t>
            </w:r>
          </w:p>
        </w:tc>
        <w:tc>
          <w:tcPr>
            <w:tcW w:w="989"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926"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技术规格偏离表</w:t>
      </w:r>
    </w:p>
    <w:p>
      <w:pPr>
        <w:pStyle w:val="11"/>
        <w:keepLines w:val="0"/>
        <w:pageBreakBefore w:val="0"/>
        <w:kinsoku/>
        <w:wordWrap/>
        <w:overflowPunct/>
        <w:topLinePunct w:val="0"/>
        <w:bidi w:val="0"/>
        <w:spacing w:line="560" w:lineRule="exact"/>
        <w:rPr>
          <w:rFonts w:hint="eastAsia"/>
          <w:b/>
          <w:bCs/>
          <w:color w:val="auto"/>
          <w:highlight w:val="none"/>
        </w:rPr>
      </w:pPr>
      <w:r>
        <w:rPr>
          <w:rFonts w:hint="eastAsia"/>
          <w:b/>
          <w:bCs/>
          <w:color w:val="auto"/>
          <w:highlight w:val="none"/>
        </w:rPr>
        <w:t>注：投标人的“投标响应”“偏离情况”等必须与客观实际保持一致，响应不实且情节严重的，经查实，将依法记入供应商诚信档案或受到行政处罚。</w:t>
      </w:r>
    </w:p>
    <w:tbl>
      <w:tblPr>
        <w:tblStyle w:val="19"/>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432"/>
        <w:gridCol w:w="4378"/>
        <w:gridCol w:w="3615"/>
        <w:gridCol w:w="2097"/>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5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default" w:ascii="宋体" w:hAnsi="宋体" w:cs="宋体"/>
                <w:b/>
                <w:bCs/>
                <w:color w:val="auto"/>
                <w:kern w:val="0"/>
                <w:szCs w:val="21"/>
                <w:highlight w:val="none"/>
                <w:lang w:val="en-US" w:eastAsia="zh-CN" w:bidi="ar"/>
              </w:rPr>
            </w:pPr>
            <w:r>
              <w:rPr>
                <w:rFonts w:hint="eastAsia" w:ascii="宋体" w:hAnsi="宋体" w:cs="宋体"/>
                <w:b/>
                <w:bCs/>
                <w:color w:val="auto"/>
                <w:kern w:val="0"/>
                <w:szCs w:val="21"/>
                <w:highlight w:val="none"/>
                <w:lang w:val="en-US" w:eastAsia="zh-CN" w:bidi="ar"/>
              </w:rPr>
              <w:t>货物名称</w:t>
            </w:r>
          </w:p>
        </w:tc>
        <w:tc>
          <w:tcPr>
            <w:tcW w:w="16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招标技术要求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投标技术响应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top w:val="single" w:color="auto" w:sz="4" w:space="0"/>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553" w:type="pct"/>
            <w:vMerge w:val="restart"/>
            <w:tcBorders>
              <w:top w:val="single" w:color="auto" w:sz="4" w:space="0"/>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（氩气高频电刀）</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Cs/>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Cs/>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1.额定电压：220V，电源频率：50Hz</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bidi="ar-SA"/>
              </w:rPr>
              <w:t>最大输入功率：≥850VA，工作频率：≥350KHz。</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2.</w:t>
            </w:r>
            <w:r>
              <w:rPr>
                <w:rFonts w:hint="eastAsia" w:ascii="宋体" w:hAnsi="宋体" w:eastAsia="宋体" w:cs="宋体"/>
                <w:color w:val="auto"/>
                <w:spacing w:val="-10"/>
                <w:sz w:val="21"/>
                <w:szCs w:val="21"/>
                <w:highlight w:val="none"/>
              </w:rPr>
              <w:t>整机一体化设计</w:t>
            </w:r>
            <w:r>
              <w:rPr>
                <w:rFonts w:hint="eastAsia" w:ascii="宋体" w:hAnsi="宋体" w:eastAsia="宋体" w:cs="宋体"/>
                <w:b w:val="0"/>
                <w:bCs w:val="0"/>
                <w:color w:val="auto"/>
                <w:kern w:val="2"/>
                <w:sz w:val="21"/>
                <w:szCs w:val="21"/>
                <w:highlight w:val="none"/>
                <w:lang w:val="en-US" w:eastAsia="zh-CN" w:bidi="ar-SA"/>
              </w:rPr>
              <w:t>，不占用空间</w:t>
            </w:r>
            <w:r>
              <w:rPr>
                <w:rFonts w:hint="eastAsia" w:ascii="宋体" w:hAnsi="宋体" w:eastAsia="宋体" w:cs="宋体"/>
                <w:color w:val="auto"/>
                <w:spacing w:val="-10"/>
                <w:sz w:val="21"/>
                <w:szCs w:val="21"/>
                <w:highlight w:val="none"/>
              </w:rPr>
              <w:t>。具有氩离子电凝止血</w:t>
            </w:r>
            <w:r>
              <w:rPr>
                <w:rFonts w:hint="eastAsia" w:ascii="宋体" w:hAnsi="宋体" w:eastAsia="宋体" w:cs="宋体"/>
                <w:color w:val="auto"/>
                <w:spacing w:val="-10"/>
                <w:sz w:val="21"/>
                <w:szCs w:val="21"/>
                <w:highlight w:val="none"/>
                <w:lang w:val="en-US" w:eastAsia="zh-CN"/>
              </w:rPr>
              <w:t>功能</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适用于</w:t>
            </w:r>
            <w:r>
              <w:rPr>
                <w:rFonts w:hint="eastAsia" w:ascii="宋体" w:hAnsi="宋体" w:eastAsia="宋体" w:cs="宋体"/>
                <w:color w:val="auto"/>
                <w:spacing w:val="-10"/>
                <w:sz w:val="21"/>
                <w:szCs w:val="21"/>
                <w:highlight w:val="none"/>
              </w:rPr>
              <w:t>术中止血和组织</w:t>
            </w:r>
            <w:r>
              <w:rPr>
                <w:rFonts w:hint="eastAsia" w:ascii="宋体" w:hAnsi="宋体" w:eastAsia="宋体" w:cs="宋体"/>
                <w:color w:val="auto"/>
                <w:spacing w:val="-10"/>
                <w:sz w:val="21"/>
                <w:szCs w:val="21"/>
                <w:highlight w:val="none"/>
                <w:lang w:val="en-US" w:eastAsia="zh-CN"/>
              </w:rPr>
              <w:t>灭火处理</w:t>
            </w:r>
            <w:r>
              <w:rPr>
                <w:rFonts w:hint="eastAsia" w:ascii="宋体" w:hAnsi="宋体" w:cs="宋体"/>
                <w:color w:val="auto"/>
                <w:spacing w:val="-10"/>
                <w:sz w:val="21"/>
                <w:szCs w:val="21"/>
                <w:highlight w:val="none"/>
                <w:lang w:eastAsia="zh-CN"/>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3.支持</w:t>
            </w:r>
            <w:r>
              <w:rPr>
                <w:rFonts w:hint="eastAsia" w:ascii="宋体" w:hAnsi="宋体" w:cs="宋体"/>
                <w:bCs/>
                <w:color w:val="auto"/>
                <w:sz w:val="21"/>
                <w:szCs w:val="21"/>
                <w:highlight w:val="none"/>
                <w:lang w:val="en-US" w:eastAsia="zh-CN"/>
              </w:rPr>
              <w:t>标准</w:t>
            </w:r>
            <w:r>
              <w:rPr>
                <w:rFonts w:hint="eastAsia" w:ascii="宋体" w:hAnsi="宋体" w:eastAsia="宋体" w:cs="宋体"/>
                <w:bCs/>
                <w:color w:val="auto"/>
                <w:sz w:val="21"/>
                <w:szCs w:val="21"/>
                <w:highlight w:val="none"/>
              </w:rPr>
              <w:t>单极、氩气单极</w:t>
            </w:r>
            <w:r>
              <w:rPr>
                <w:rFonts w:hint="eastAsia" w:ascii="宋体" w:hAnsi="宋体" w:cs="宋体"/>
                <w:bCs/>
                <w:color w:val="auto"/>
                <w:sz w:val="21"/>
                <w:szCs w:val="21"/>
                <w:highlight w:val="none"/>
                <w:lang w:val="en-US" w:eastAsia="zh-CN"/>
              </w:rPr>
              <w:t>两种</w:t>
            </w:r>
            <w:r>
              <w:rPr>
                <w:rFonts w:hint="eastAsia" w:ascii="宋体" w:hAnsi="宋体" w:eastAsia="宋体" w:cs="宋体"/>
                <w:bCs/>
                <w:color w:val="auto"/>
                <w:sz w:val="21"/>
                <w:szCs w:val="21"/>
                <w:highlight w:val="none"/>
              </w:rPr>
              <w:t>输出</w:t>
            </w:r>
            <w:r>
              <w:rPr>
                <w:rFonts w:hint="eastAsia" w:ascii="宋体" w:hAnsi="宋体" w:cs="宋体"/>
                <w:bCs/>
                <w:color w:val="auto"/>
                <w:sz w:val="21"/>
                <w:szCs w:val="21"/>
                <w:highlight w:val="none"/>
                <w:lang w:val="en-US" w:eastAsia="zh-CN"/>
              </w:rPr>
              <w:t>模式</w:t>
            </w:r>
            <w:r>
              <w:rPr>
                <w:rFonts w:hint="eastAsia" w:ascii="宋体" w:hAnsi="宋体" w:eastAsia="宋体" w:cs="宋体"/>
                <w:bCs/>
                <w:color w:val="auto"/>
                <w:sz w:val="21"/>
                <w:szCs w:val="21"/>
                <w:highlight w:val="none"/>
              </w:rPr>
              <w:t>，匹配各类镜下手术。</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▲4.</w:t>
            </w:r>
            <w:r>
              <w:rPr>
                <w:rFonts w:hint="eastAsia" w:ascii="宋体" w:hAnsi="宋体" w:cs="宋体"/>
                <w:color w:val="auto"/>
                <w:spacing w:val="-10"/>
                <w:sz w:val="21"/>
                <w:szCs w:val="21"/>
                <w:highlight w:val="none"/>
                <w:lang w:val="en-US" w:eastAsia="zh-CN"/>
              </w:rPr>
              <w:t>需配备</w:t>
            </w:r>
            <w:r>
              <w:rPr>
                <w:rFonts w:hint="eastAsia" w:ascii="宋体" w:hAnsi="宋体" w:eastAsia="宋体" w:cs="宋体"/>
                <w:color w:val="auto"/>
                <w:highlight w:val="none"/>
                <w:lang w:val="en-US" w:eastAsia="zh-CN"/>
              </w:rPr>
              <w:t>≥</w:t>
            </w:r>
            <w:r>
              <w:rPr>
                <w:rFonts w:hint="eastAsia" w:ascii="宋体" w:hAnsi="宋体" w:eastAsia="宋体" w:cs="宋体"/>
                <w:color w:val="auto"/>
                <w:spacing w:val="-10"/>
                <w:sz w:val="21"/>
                <w:szCs w:val="21"/>
                <w:highlight w:val="none"/>
              </w:rPr>
              <w:t>7</w:t>
            </w:r>
            <w:r>
              <w:rPr>
                <w:rFonts w:hint="eastAsia" w:ascii="宋体" w:hAnsi="宋体" w:cs="宋体"/>
                <w:color w:val="auto"/>
                <w:spacing w:val="-10"/>
                <w:sz w:val="21"/>
                <w:szCs w:val="21"/>
                <w:highlight w:val="none"/>
                <w:lang w:val="en-US" w:eastAsia="zh-CN"/>
              </w:rPr>
              <w:t>寸</w:t>
            </w:r>
            <w:r>
              <w:rPr>
                <w:rFonts w:hint="eastAsia" w:ascii="宋体" w:hAnsi="宋体" w:eastAsia="宋体" w:cs="宋体"/>
                <w:color w:val="auto"/>
                <w:spacing w:val="-10"/>
                <w:sz w:val="21"/>
                <w:szCs w:val="21"/>
                <w:highlight w:val="none"/>
              </w:rPr>
              <w:t>液晶彩色显示</w:t>
            </w:r>
            <w:r>
              <w:rPr>
                <w:rFonts w:hint="eastAsia" w:ascii="宋体" w:hAnsi="宋体" w:cs="宋体"/>
                <w:color w:val="auto"/>
                <w:spacing w:val="-10"/>
                <w:sz w:val="21"/>
                <w:szCs w:val="21"/>
                <w:highlight w:val="none"/>
                <w:lang w:val="en-US" w:eastAsia="zh-CN"/>
              </w:rPr>
              <w:t>屏</w:t>
            </w:r>
            <w:r>
              <w:rPr>
                <w:rFonts w:hint="eastAsia" w:ascii="宋体" w:hAnsi="宋体" w:eastAsia="宋体" w:cs="宋体"/>
                <w:color w:val="auto"/>
                <w:spacing w:val="-10"/>
                <w:sz w:val="21"/>
                <w:szCs w:val="21"/>
                <w:highlight w:val="none"/>
              </w:rPr>
              <w:t>、集中显示功能，灵活的操作界面，功率和参数可通过按键</w:t>
            </w:r>
            <w:r>
              <w:rPr>
                <w:rFonts w:hint="eastAsia" w:ascii="宋体" w:hAnsi="宋体" w:cs="宋体"/>
                <w:color w:val="auto"/>
                <w:spacing w:val="-10"/>
                <w:sz w:val="21"/>
                <w:szCs w:val="21"/>
                <w:highlight w:val="none"/>
                <w:lang w:val="en-US" w:eastAsia="zh-CN"/>
              </w:rPr>
              <w:t>快速</w:t>
            </w:r>
            <w:r>
              <w:rPr>
                <w:rFonts w:hint="eastAsia" w:ascii="宋体" w:hAnsi="宋体" w:eastAsia="宋体" w:cs="宋体"/>
                <w:color w:val="auto"/>
                <w:spacing w:val="-10"/>
                <w:sz w:val="21"/>
                <w:szCs w:val="21"/>
                <w:highlight w:val="none"/>
              </w:rPr>
              <w:t>调节，可存储≥</w:t>
            </w:r>
            <w:r>
              <w:rPr>
                <w:rFonts w:hint="eastAsia" w:ascii="宋体" w:hAnsi="宋体" w:cs="宋体"/>
                <w:color w:val="auto"/>
                <w:spacing w:val="-10"/>
                <w:sz w:val="21"/>
                <w:szCs w:val="21"/>
                <w:highlight w:val="none"/>
                <w:lang w:val="en-US" w:eastAsia="zh-CN"/>
              </w:rPr>
              <w:t>10</w:t>
            </w:r>
            <w:r>
              <w:rPr>
                <w:rFonts w:hint="eastAsia" w:ascii="宋体" w:hAnsi="宋体" w:eastAsia="宋体" w:cs="宋体"/>
                <w:color w:val="auto"/>
                <w:spacing w:val="-10"/>
                <w:sz w:val="21"/>
                <w:szCs w:val="21"/>
                <w:highlight w:val="none"/>
              </w:rPr>
              <w:t>组临床经验设置。</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numPr>
                <w:ilvl w:val="0"/>
                <w:numId w:val="0"/>
              </w:num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cs="宋体"/>
                <w:bCs/>
                <w:color w:val="auto"/>
                <w:sz w:val="21"/>
                <w:szCs w:val="21"/>
                <w:highlight w:val="none"/>
                <w:lang w:val="en-US" w:eastAsia="zh-CN"/>
              </w:rPr>
              <w:t>5.具备多类手术输出模式，包括</w:t>
            </w:r>
            <w:r>
              <w:rPr>
                <w:rFonts w:hint="eastAsia"/>
                <w:lang w:val="en-US" w:eastAsia="zh-CN"/>
              </w:rPr>
              <w:t>包括但不限于</w:t>
            </w:r>
            <w:r>
              <w:rPr>
                <w:rFonts w:hint="eastAsia" w:ascii="宋体" w:hAnsi="宋体" w:eastAsia="宋体" w:cs="宋体"/>
                <w:bCs/>
                <w:color w:val="auto"/>
                <w:sz w:val="21"/>
                <w:szCs w:val="21"/>
                <w:highlight w:val="none"/>
              </w:rPr>
              <w:t>纯切、</w:t>
            </w:r>
            <w:r>
              <w:rPr>
                <w:rFonts w:hint="eastAsia" w:ascii="宋体" w:hAnsi="宋体" w:eastAsia="宋体" w:cs="宋体"/>
                <w:color w:val="auto"/>
                <w:spacing w:val="-10"/>
                <w:sz w:val="21"/>
                <w:szCs w:val="21"/>
                <w:highlight w:val="none"/>
              </w:rPr>
              <w:t>混切、内镜电切I、内镜电切Q、柔和电凝、强力电凝、喷凝、喷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I、喷</w:t>
            </w:r>
            <w:r>
              <w:rPr>
                <w:rFonts w:hint="eastAsia" w:ascii="宋体" w:hAnsi="宋体" w:cs="宋体"/>
                <w:color w:val="auto"/>
                <w:spacing w:val="-10"/>
                <w:sz w:val="21"/>
                <w:szCs w:val="21"/>
                <w:highlight w:val="none"/>
                <w:lang w:val="en-US" w:eastAsia="zh-CN"/>
              </w:rPr>
              <w:t>射电凝</w:t>
            </w:r>
            <w:r>
              <w:rPr>
                <w:rFonts w:hint="eastAsia" w:ascii="宋体" w:hAnsi="宋体" w:eastAsia="宋体" w:cs="宋体"/>
                <w:color w:val="auto"/>
                <w:spacing w:val="-10"/>
                <w:sz w:val="21"/>
                <w:szCs w:val="21"/>
                <w:highlight w:val="none"/>
              </w:rPr>
              <w:t>II</w:t>
            </w:r>
            <w:r>
              <w:rPr>
                <w:rFonts w:hint="eastAsia" w:ascii="宋体" w:hAnsi="宋体" w:cs="宋体"/>
                <w:color w:val="auto"/>
                <w:spacing w:val="-10"/>
                <w:sz w:val="21"/>
                <w:szCs w:val="21"/>
                <w:highlight w:val="none"/>
                <w:lang w:val="en-US" w:eastAsia="zh-CN"/>
              </w:rPr>
              <w:t>等多种工作模式，满足各类内镜手术需求；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numPr>
                <w:ilvl w:val="0"/>
                <w:numId w:val="0"/>
              </w:num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▲6.各工作模式能量效果≥5 档可调，烧灼宽度≥5 档可调，脉冲输出时间间隔≥8 档可调。</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 w:val="0"/>
                <w:bCs w:val="0"/>
                <w:color w:val="auto"/>
                <w:sz w:val="21"/>
                <w:szCs w:val="21"/>
                <w:highlight w:val="none"/>
                <w:lang w:eastAsia="zh-CN"/>
              </w:rPr>
              <w:t>7.最大电切功率</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00W，</w:t>
            </w:r>
            <w:r>
              <w:rPr>
                <w:rFonts w:hint="eastAsia" w:ascii="宋体" w:hAnsi="宋体" w:eastAsia="宋体" w:cs="宋体"/>
                <w:b w:val="0"/>
                <w:bCs w:val="0"/>
                <w:color w:val="auto"/>
                <w:sz w:val="21"/>
                <w:szCs w:val="21"/>
                <w:highlight w:val="none"/>
                <w:lang w:val="en-US" w:eastAsia="zh-CN"/>
              </w:rPr>
              <w:t>最大</w:t>
            </w:r>
            <w:r>
              <w:rPr>
                <w:rFonts w:hint="eastAsia" w:ascii="宋体" w:hAnsi="宋体" w:eastAsia="宋体" w:cs="宋体"/>
                <w:b w:val="0"/>
                <w:bCs w:val="0"/>
                <w:color w:val="auto"/>
                <w:sz w:val="21"/>
                <w:szCs w:val="21"/>
                <w:highlight w:val="none"/>
                <w:lang w:eastAsia="zh-CN"/>
              </w:rPr>
              <w:t>电凝功能</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0W</w:t>
            </w:r>
            <w:r>
              <w:rPr>
                <w:rFonts w:hint="eastAsia" w:ascii="宋体" w:hAnsi="宋体" w:cs="宋体"/>
                <w:b w:val="0"/>
                <w:bCs w:val="0"/>
                <w:color w:val="auto"/>
                <w:sz w:val="21"/>
                <w:szCs w:val="21"/>
                <w:highlight w:val="none"/>
                <w:lang w:eastAsia="zh-CN"/>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配置</w:t>
            </w:r>
            <w:r>
              <w:rPr>
                <w:rFonts w:hint="eastAsia" w:ascii="宋体" w:hAnsi="宋体" w:eastAsia="宋体" w:cs="宋体"/>
                <w:color w:val="auto"/>
                <w:spacing w:val="-10"/>
                <w:sz w:val="21"/>
                <w:szCs w:val="21"/>
                <w:highlight w:val="none"/>
              </w:rPr>
              <w:t>内镜手术，内镜切I、内镜切Q，可根据阻抗变化自动调节功率。</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常用手术工作模式，内置ESD、EMR、APC、POME等常用术式参数，且参数选择</w:t>
            </w:r>
            <w:r>
              <w:rPr>
                <w:rFonts w:hint="eastAsia" w:ascii="宋体" w:hAnsi="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lang w:eastAsia="zh-CN"/>
              </w:rPr>
              <w:t>支持一键切换。</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eastAsia" w:ascii="宋体" w:hAnsi="宋体" w:eastAsia="宋体" w:cs="仿宋"/>
                <w:color w:val="auto"/>
                <w:kern w:val="0"/>
                <w:szCs w:val="21"/>
                <w:highlight w:val="none"/>
                <w:lang w:val="en-US" w:eastAsia="zh-CN"/>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应</w:t>
            </w:r>
            <w:r>
              <w:rPr>
                <w:rFonts w:hint="eastAsia" w:ascii="宋体" w:hAnsi="宋体" w:eastAsia="宋体" w:cs="宋体"/>
                <w:bCs/>
                <w:color w:val="auto"/>
                <w:sz w:val="21"/>
                <w:szCs w:val="21"/>
                <w:highlight w:val="none"/>
              </w:rPr>
              <w:t>具有氩气流量恒定输出监测系统及末端压力自动</w:t>
            </w:r>
            <w:r>
              <w:rPr>
                <w:rFonts w:hint="eastAsia" w:ascii="宋体" w:hAnsi="宋体" w:eastAsia="宋体" w:cs="宋体"/>
                <w:bCs/>
                <w:color w:val="auto"/>
                <w:sz w:val="21"/>
                <w:szCs w:val="21"/>
                <w:highlight w:val="none"/>
                <w:lang w:val="en-US" w:eastAsia="zh-CN"/>
              </w:rPr>
              <w:t>监测</w:t>
            </w:r>
            <w:r>
              <w:rPr>
                <w:rFonts w:hint="eastAsia" w:ascii="宋体" w:hAnsi="宋体" w:eastAsia="宋体" w:cs="宋体"/>
                <w:bCs/>
                <w:color w:val="auto"/>
                <w:sz w:val="21"/>
                <w:szCs w:val="21"/>
                <w:highlight w:val="none"/>
              </w:rPr>
              <w:t>系统</w:t>
            </w:r>
            <w:r>
              <w:rPr>
                <w:rFonts w:hint="eastAsia" w:ascii="宋体" w:hAnsi="宋体" w:eastAsia="宋体" w:cs="宋体"/>
                <w:bCs/>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氩气</w:t>
            </w:r>
            <w:r>
              <w:rPr>
                <w:rFonts w:hint="eastAsia" w:ascii="宋体" w:hAnsi="宋体" w:eastAsia="宋体" w:cs="宋体"/>
                <w:b w:val="0"/>
                <w:bCs w:val="0"/>
                <w:color w:val="auto"/>
                <w:sz w:val="21"/>
                <w:szCs w:val="21"/>
                <w:highlight w:val="none"/>
                <w:lang w:eastAsia="zh-CN"/>
              </w:rPr>
              <w:t>流量实时动态显示</w:t>
            </w:r>
            <w:r>
              <w:rPr>
                <w:rFonts w:hint="eastAsia" w:ascii="宋体" w:hAnsi="宋体" w:eastAsia="宋体" w:cs="宋体"/>
                <w:bCs/>
                <w:color w:val="auto"/>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pacing w:val="-10"/>
                <w:sz w:val="21"/>
                <w:szCs w:val="21"/>
                <w:highlight w:val="none"/>
              </w:rPr>
              <w:t>氩离子喷射电凝模式,功率调节范围：1-100W，可实现浅层凝血，减少深部组织热损伤风险</w:t>
            </w:r>
            <w:r>
              <w:rPr>
                <w:rFonts w:hint="eastAsia" w:ascii="宋体" w:hAnsi="宋体" w:eastAsia="宋体" w:cs="宋体"/>
                <w:color w:val="auto"/>
                <w:spacing w:val="-10"/>
                <w:sz w:val="21"/>
                <w:szCs w:val="21"/>
                <w:highlight w:val="none"/>
                <w:lang w:val="en-US" w:eastAsia="zh-CN"/>
              </w:rPr>
              <w:t>。</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12.</w:t>
            </w:r>
            <w:r>
              <w:rPr>
                <w:rFonts w:hint="eastAsia" w:ascii="宋体" w:hAnsi="宋体" w:eastAsia="宋体" w:cs="宋体"/>
                <w:color w:val="auto"/>
                <w:spacing w:val="-10"/>
                <w:sz w:val="21"/>
                <w:szCs w:val="21"/>
                <w:highlight w:val="none"/>
              </w:rPr>
              <w:t>氩气输出流量</w:t>
            </w:r>
            <w:r>
              <w:rPr>
                <w:rFonts w:hint="eastAsia" w:ascii="宋体" w:hAnsi="宋体" w:eastAsia="宋体" w:cs="宋体"/>
                <w:color w:val="auto"/>
                <w:spacing w:val="-10"/>
                <w:sz w:val="21"/>
                <w:szCs w:val="21"/>
                <w:highlight w:val="none"/>
                <w:lang w:eastAsia="zh-CN"/>
              </w:rPr>
              <w:t>0.1L/min-9.0L/min（步幅0.1L/min）</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restart"/>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3.</w:t>
            </w:r>
            <w:r>
              <w:rPr>
                <w:rFonts w:hint="eastAsia" w:ascii="宋体" w:hAnsi="宋体" w:eastAsia="宋体" w:cs="宋体"/>
                <w:color w:val="auto"/>
                <w:spacing w:val="-10"/>
                <w:sz w:val="21"/>
                <w:szCs w:val="21"/>
                <w:highlight w:val="none"/>
              </w:rPr>
              <w:t>氩气电极配置</w:t>
            </w:r>
            <w:r>
              <w:rPr>
                <w:rFonts w:hint="eastAsia" w:ascii="宋体" w:hAnsi="宋体" w:cs="宋体"/>
                <w:color w:val="auto"/>
                <w:spacing w:val="-10"/>
                <w:sz w:val="21"/>
                <w:szCs w:val="21"/>
                <w:highlight w:val="none"/>
                <w:lang w:val="en-US" w:eastAsia="zh-CN"/>
              </w:rPr>
              <w:t>需</w:t>
            </w:r>
            <w:r>
              <w:rPr>
                <w:rFonts w:hint="eastAsia" w:ascii="宋体" w:hAnsi="宋体" w:eastAsia="宋体" w:cs="宋体"/>
                <w:color w:val="auto"/>
                <w:spacing w:val="-10"/>
                <w:sz w:val="21"/>
                <w:szCs w:val="21"/>
                <w:highlight w:val="none"/>
              </w:rPr>
              <w:t>区分标识，并有多种喷口方向的软管可供选择。</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14</w:t>
            </w:r>
            <w:r>
              <w:rPr>
                <w:rFonts w:hint="eastAsia" w:ascii="宋体" w:hAnsi="宋体" w:eastAsia="宋体" w:cs="宋体"/>
                <w:color w:val="auto"/>
                <w:spacing w:val="-10"/>
                <w:sz w:val="21"/>
                <w:szCs w:val="21"/>
                <w:highlight w:val="none"/>
              </w:rPr>
              <w:t>.</w:t>
            </w:r>
            <w:r>
              <w:rPr>
                <w:rFonts w:hint="eastAsia" w:ascii="宋体" w:hAnsi="宋体" w:cs="宋体"/>
                <w:color w:val="auto"/>
                <w:spacing w:val="-10"/>
                <w:sz w:val="21"/>
                <w:szCs w:val="21"/>
                <w:highlight w:val="none"/>
                <w:lang w:val="en-US" w:eastAsia="zh-CN"/>
              </w:rPr>
              <w:t>应</w:t>
            </w:r>
            <w:r>
              <w:rPr>
                <w:rFonts w:hint="eastAsia" w:ascii="宋体" w:hAnsi="宋体" w:eastAsia="宋体" w:cs="宋体"/>
                <w:color w:val="auto"/>
                <w:spacing w:val="-10"/>
                <w:sz w:val="21"/>
                <w:szCs w:val="21"/>
                <w:highlight w:val="none"/>
              </w:rPr>
              <w:t>具有</w:t>
            </w:r>
            <w:r>
              <w:rPr>
                <w:rFonts w:hint="eastAsia" w:ascii="宋体" w:hAnsi="宋体" w:cs="宋体"/>
                <w:color w:val="auto"/>
                <w:spacing w:val="-10"/>
                <w:sz w:val="21"/>
                <w:szCs w:val="21"/>
                <w:highlight w:val="none"/>
                <w:lang w:val="en-US" w:eastAsia="zh-CN"/>
              </w:rPr>
              <w:t>输出</w:t>
            </w:r>
            <w:r>
              <w:rPr>
                <w:rFonts w:hint="eastAsia" w:ascii="宋体" w:hAnsi="宋体" w:eastAsia="宋体" w:cs="宋体"/>
                <w:color w:val="auto"/>
                <w:spacing w:val="-10"/>
                <w:sz w:val="21"/>
                <w:szCs w:val="21"/>
                <w:highlight w:val="none"/>
              </w:rPr>
              <w:t>功率</w:t>
            </w:r>
            <w:r>
              <w:rPr>
                <w:rFonts w:hint="eastAsia" w:ascii="宋体" w:hAnsi="宋体" w:cs="宋体"/>
                <w:color w:val="auto"/>
                <w:spacing w:val="-10"/>
                <w:sz w:val="21"/>
                <w:szCs w:val="21"/>
                <w:highlight w:val="none"/>
                <w:lang w:val="en-US" w:eastAsia="zh-CN"/>
              </w:rPr>
              <w:t>动态</w:t>
            </w:r>
            <w:r>
              <w:rPr>
                <w:rFonts w:hint="eastAsia" w:ascii="宋体" w:hAnsi="宋体" w:eastAsia="宋体" w:cs="宋体"/>
                <w:color w:val="auto"/>
                <w:spacing w:val="-10"/>
                <w:sz w:val="21"/>
                <w:szCs w:val="21"/>
                <w:highlight w:val="none"/>
              </w:rPr>
              <w:t>补偿系统</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lang w:val="en-US" w:eastAsia="zh-CN"/>
              </w:rPr>
              <w:t>可通过探测组织阻抗</w:t>
            </w:r>
            <w:r>
              <w:rPr>
                <w:rFonts w:hint="eastAsia" w:ascii="宋体" w:hAnsi="宋体" w:cs="宋体"/>
                <w:color w:val="auto"/>
                <w:spacing w:val="-10"/>
                <w:sz w:val="21"/>
                <w:szCs w:val="21"/>
                <w:highlight w:val="none"/>
                <w:lang w:val="en-US" w:eastAsia="zh-CN"/>
              </w:rPr>
              <w:t>并</w:t>
            </w:r>
            <w:r>
              <w:rPr>
                <w:rFonts w:hint="eastAsia" w:ascii="宋体" w:hAnsi="宋体" w:eastAsia="宋体" w:cs="宋体"/>
                <w:color w:val="auto"/>
                <w:spacing w:val="-10"/>
                <w:sz w:val="21"/>
                <w:szCs w:val="21"/>
                <w:highlight w:val="none"/>
                <w:lang w:val="en-US" w:eastAsia="zh-CN"/>
              </w:rPr>
              <w:t>自动调节输出能量，保障切割操作流畅稳定。</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b w:val="0"/>
                <w:bCs w:val="0"/>
                <w:color w:val="auto"/>
                <w:kern w:val="2"/>
                <w:sz w:val="22"/>
                <w:szCs w:val="22"/>
                <w:highlight w:val="none"/>
                <w:lang w:val="en-US" w:eastAsia="zh-CN" w:bidi="ar-SA"/>
              </w:rPr>
              <w:t>▲</w:t>
            </w:r>
            <w:r>
              <w:rPr>
                <w:rFonts w:hint="eastAsia" w:ascii="宋体" w:hAnsi="宋体" w:eastAsia="宋体" w:cs="宋体"/>
                <w:color w:val="auto"/>
                <w:spacing w:val="-10"/>
                <w:sz w:val="21"/>
                <w:szCs w:val="21"/>
                <w:highlight w:val="none"/>
                <w:lang w:val="en-US" w:eastAsia="zh-CN"/>
              </w:rPr>
              <w:t>15</w:t>
            </w:r>
            <w:r>
              <w:rPr>
                <w:rFonts w:hint="eastAsia" w:ascii="宋体" w:hAnsi="宋体" w:eastAsia="宋体" w:cs="宋体"/>
                <w:color w:val="auto"/>
                <w:spacing w:val="-10"/>
                <w:sz w:val="21"/>
                <w:szCs w:val="21"/>
                <w:highlight w:val="none"/>
              </w:rPr>
              <w:t>.具备组织阻抗实时监测、动态反馈调节输出功率功能。</w:t>
            </w:r>
            <w:r>
              <w:rPr>
                <w:rFonts w:hint="eastAsia" w:ascii="宋体" w:hAnsi="宋体" w:eastAsia="宋体" w:cs="宋体"/>
                <w:b/>
                <w:bCs/>
                <w:i w:val="0"/>
                <w:iCs w:val="0"/>
                <w:color w:val="auto"/>
                <w:kern w:val="2"/>
                <w:sz w:val="21"/>
                <w:szCs w:val="24"/>
                <w:highlight w:val="none"/>
                <w:u w:val="none"/>
                <w:lang w:val="zh-CN" w:eastAsia="zh-CN" w:bidi="ar"/>
              </w:rPr>
              <w:t>（投标时需提供产品说明书扫描件或产品彩页，注：对应参数在证明材料中进行标注，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16.</w:t>
            </w:r>
            <w:r>
              <w:rPr>
                <w:rFonts w:hint="eastAsia" w:ascii="宋体" w:hAnsi="宋体" w:eastAsia="宋体" w:cs="宋体"/>
                <w:color w:val="auto"/>
                <w:spacing w:val="-10"/>
                <w:sz w:val="21"/>
                <w:szCs w:val="21"/>
                <w:highlight w:val="none"/>
                <w:lang w:eastAsia="zh-CN"/>
              </w:rPr>
              <w:t>支持单、双极中性电极使用，且都具有接触质量提示功能。</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.配备负极板接触质量数字化实时检测显示功能。</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10"/>
                <w:sz w:val="21"/>
                <w:szCs w:val="21"/>
                <w:highlight w:val="none"/>
                <w:lang w:val="en-US" w:eastAsia="zh-CN"/>
              </w:rPr>
              <w:t>8</w:t>
            </w:r>
            <w:r>
              <w:rPr>
                <w:rFonts w:hint="eastAsia" w:ascii="宋体" w:hAnsi="宋体" w:eastAsia="宋体" w:cs="宋体"/>
                <w:color w:val="auto"/>
                <w:spacing w:val="-10"/>
                <w:sz w:val="21"/>
                <w:szCs w:val="21"/>
                <w:highlight w:val="none"/>
              </w:rPr>
              <w:t>.多处理器协同控制架构，独立处理器负责整机故障监测；设备出现故障时可快速切断能量输出，提升使用安全性。</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19.开机自动整机检测，内置漏电安全检测功能。 </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20.操作界面支持中文、英文双语切换。</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21.设备故障、异常状态具备语音提示报警功能。 </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 xml:space="preserve">22.具备参数断电记忆功能，设备重启后可自动恢复断电前设置参数。 </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23.</w:t>
            </w:r>
            <w:r>
              <w:rPr>
                <w:rFonts w:hint="eastAsia" w:ascii="宋体" w:hAnsi="宋体" w:eastAsia="宋体" w:cs="宋体"/>
                <w:color w:val="auto"/>
                <w:spacing w:val="-10"/>
                <w:sz w:val="21"/>
                <w:szCs w:val="21"/>
                <w:highlight w:val="none"/>
                <w:lang w:val="en-US" w:eastAsia="zh-CN"/>
              </w:rPr>
              <w:t>内置防尘散热装置</w:t>
            </w:r>
            <w:r>
              <w:rPr>
                <w:rFonts w:hint="eastAsia" w:ascii="宋体" w:hAnsi="宋体" w:eastAsia="宋体" w:cs="宋体"/>
                <w:color w:val="auto"/>
                <w:spacing w:val="-10"/>
                <w:sz w:val="21"/>
                <w:szCs w:val="21"/>
                <w:highlight w:val="none"/>
              </w:rPr>
              <w:t xml:space="preserve">，降低粉尘进入主机内部概率，延长设备使用寿命。 </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▲24. 投标产品设计使用年限不少于 10 年。</w:t>
            </w:r>
            <w:r>
              <w:rPr>
                <w:rFonts w:hint="eastAsia" w:ascii="宋体" w:hAnsi="宋体" w:eastAsia="宋体" w:cs="宋体"/>
                <w:b/>
                <w:bCs/>
                <w:color w:val="auto"/>
                <w:spacing w:val="-10"/>
                <w:sz w:val="21"/>
                <w:szCs w:val="21"/>
                <w:highlight w:val="none"/>
                <w:lang w:val="zh-CN" w:eastAsia="zh-CN"/>
              </w:rPr>
              <w:t>（投标时需提供产品说明书扫描件或产品彩页，注：对应参数在证明材料中进行标注，</w:t>
            </w:r>
            <w:r>
              <w:rPr>
                <w:rFonts w:hint="eastAsia" w:ascii="宋体" w:hAnsi="宋体" w:eastAsia="宋体" w:cs="宋体"/>
                <w:b/>
                <w:bCs/>
                <w:color w:val="auto"/>
                <w:spacing w:val="-10"/>
                <w:sz w:val="21"/>
                <w:szCs w:val="21"/>
                <w:highlight w:val="none"/>
                <w:lang w:val="en-US" w:eastAsia="zh-CN"/>
              </w:rPr>
              <w:t>中标后</w:t>
            </w:r>
            <w:r>
              <w:rPr>
                <w:rFonts w:hint="eastAsia" w:ascii="宋体" w:hAnsi="宋体" w:eastAsia="宋体" w:cs="宋体"/>
                <w:b/>
                <w:bCs/>
                <w:color w:val="auto"/>
                <w:spacing w:val="-10"/>
                <w:sz w:val="21"/>
                <w:szCs w:val="21"/>
                <w:highlight w:val="none"/>
                <w:lang w:val="zh-CN" w:eastAsia="zh-CN"/>
              </w:rPr>
              <w:t>原件备查。）</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restart"/>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w:t>
            </w:r>
          </w:p>
        </w:tc>
        <w:tc>
          <w:tcPr>
            <w:tcW w:w="553" w:type="pct"/>
            <w:vMerge w:val="restart"/>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r>
              <w:rPr>
                <w:rFonts w:hint="default" w:ascii="Times New Roman" w:hAnsi="Times New Roman" w:eastAsia="宋体" w:cs="Times New Roman"/>
                <w:b/>
                <w:bCs w:val="0"/>
                <w:color w:val="auto"/>
                <w:sz w:val="22"/>
                <w:szCs w:val="22"/>
                <w:highlight w:val="none"/>
                <w:lang w:val="en-US" w:eastAsia="zh-CN"/>
              </w:rPr>
              <w:t>内镜注水泵</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宋体" w:cs="Times New Roman"/>
                <w:b/>
                <w:bCs w:val="0"/>
                <w:color w:val="auto"/>
                <w:sz w:val="22"/>
                <w:szCs w:val="22"/>
                <w:highlight w:val="none"/>
                <w:lang w:val="en-US" w:eastAsia="zh-CN"/>
              </w:rPr>
            </w:pPr>
          </w:p>
          <w:p>
            <w:pPr>
              <w:pStyle w:val="30"/>
              <w:keepNext w:val="0"/>
              <w:keepLines w:val="0"/>
              <w:pageBreakBefore w:val="0"/>
              <w:kinsoku/>
              <w:wordWrap/>
              <w:overflowPunct/>
              <w:topLinePunct w:val="0"/>
              <w:autoSpaceDE/>
              <w:autoSpaceDN/>
              <w:bidi w:val="0"/>
              <w:adjustRightInd/>
              <w:snapToGrid/>
              <w:spacing w:line="560" w:lineRule="exact"/>
              <w:ind w:firstLine="0" w:firstLineChars="0"/>
              <w:jc w:val="both"/>
              <w:rPr>
                <w:rFonts w:hint="default" w:ascii="Times New Roman" w:hAnsi="Times New Roman" w:eastAsia="宋体" w:cs="Times New Roman"/>
                <w:b/>
                <w:bCs w:val="0"/>
                <w:color w:val="auto"/>
                <w:sz w:val="22"/>
                <w:szCs w:val="22"/>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rPr>
                <w:rFonts w:hint="default" w:ascii="宋体" w:hAnsi="宋体" w:eastAsia="宋体" w:cs="宋体"/>
                <w:b w:val="0"/>
                <w:bCs w:val="0"/>
                <w:color w:val="auto"/>
                <w:kern w:val="2"/>
                <w:sz w:val="22"/>
                <w:szCs w:val="22"/>
                <w:highlight w:val="none"/>
                <w:lang w:val="en-US" w:eastAsia="zh-CN" w:bidi="ar-SA"/>
              </w:rPr>
            </w:pPr>
            <w:r>
              <w:rPr>
                <w:rFonts w:hint="default" w:ascii="宋体" w:hAnsi="宋体" w:eastAsia="宋体" w:cs="宋体"/>
                <w:b w:val="0"/>
                <w:bCs w:val="0"/>
                <w:color w:val="auto"/>
                <w:kern w:val="2"/>
                <w:sz w:val="22"/>
                <w:szCs w:val="22"/>
                <w:highlight w:val="none"/>
                <w:lang w:val="en-US" w:eastAsia="zh-CN" w:bidi="ar-SA"/>
              </w:rPr>
              <w:t>1.1主机尺寸：约140mm（±2mm）×220mm（±2mm）×385mm（±2mm）（宽×高×深），不含脚踏开关。</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1.2主机重量：≤6kg，</w:t>
            </w:r>
            <w:r>
              <w:rPr>
                <w:rFonts w:hint="eastAsia" w:ascii="宋体" w:hAnsi="宋体" w:eastAsia="宋体" w:cs="宋体"/>
                <w:color w:val="auto"/>
                <w:kern w:val="0"/>
                <w:sz w:val="22"/>
                <w:szCs w:val="22"/>
                <w:highlight w:val="none"/>
                <w:lang w:val="en-US" w:eastAsia="zh-CN" w:bidi="ar"/>
              </w:rPr>
              <w:t>机身轻便，便于设备搬运、移位及现场布置。</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1.3送水袋挂件的安全工作载荷：≥2kg，</w:t>
            </w:r>
            <w:r>
              <w:rPr>
                <w:rFonts w:hint="eastAsia" w:ascii="宋体" w:hAnsi="宋体" w:eastAsia="宋体" w:cs="宋体"/>
                <w:color w:val="auto"/>
                <w:kern w:val="0"/>
                <w:sz w:val="22"/>
                <w:szCs w:val="22"/>
                <w:highlight w:val="none"/>
                <w:lang w:val="en-US" w:eastAsia="zh-CN" w:bidi="ar"/>
              </w:rPr>
              <w:t>承载稳定、安全可靠。</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1.4送水管尺寸：管径可适配本院内镜管路对接要求。本院内镜管路内径约￠5.20mm，外径约￠7.60mm。</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▲2.1送水量可调范围：0ml/min～600ml/min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default"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2.2最大送水量：600 ml/min±50ml/min。</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2.3默认单次最长输出时间：20s±2s，</w:t>
            </w:r>
            <w:r>
              <w:rPr>
                <w:rFonts w:hint="eastAsia" w:ascii="宋体" w:hAnsi="宋体" w:eastAsia="宋体" w:cs="宋体"/>
                <w:color w:val="auto"/>
                <w:kern w:val="0"/>
                <w:sz w:val="22"/>
                <w:szCs w:val="22"/>
                <w:highlight w:val="none"/>
                <w:lang w:val="en-US" w:eastAsia="zh-CN" w:bidi="ar"/>
              </w:rPr>
              <w:t>具备标准化时长管控能力。</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2.4最大传输压强：≤400kPa，</w:t>
            </w:r>
            <w:r>
              <w:rPr>
                <w:rFonts w:hint="eastAsia" w:ascii="宋体" w:hAnsi="宋体" w:eastAsia="宋体" w:cs="宋体"/>
                <w:color w:val="auto"/>
                <w:kern w:val="0"/>
                <w:sz w:val="22"/>
                <w:szCs w:val="22"/>
                <w:highlight w:val="none"/>
                <w:lang w:val="en-US" w:eastAsia="zh-CN" w:bidi="ar"/>
              </w:rPr>
              <w:t>压力输出平稳，满足常规作业压强要求。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2.5工作噪声：≤60dB(A)，</w:t>
            </w:r>
            <w:r>
              <w:rPr>
                <w:rFonts w:hint="eastAsia" w:ascii="宋体" w:hAnsi="宋体" w:eastAsia="宋体" w:cs="宋体"/>
                <w:color w:val="auto"/>
                <w:kern w:val="0"/>
                <w:sz w:val="22"/>
                <w:szCs w:val="22"/>
                <w:highlight w:val="none"/>
                <w:lang w:val="en-US" w:eastAsia="zh-CN" w:bidi="ar"/>
              </w:rPr>
              <w:t>运行低噪，符合室内作业环境噪音标准。</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3.1额定电压：</w:t>
            </w:r>
            <w:r>
              <w:rPr>
                <w:rFonts w:hint="eastAsia" w:ascii="宋体" w:hAnsi="宋体" w:eastAsia="宋体" w:cs="宋体"/>
                <w:color w:val="auto"/>
                <w:kern w:val="0"/>
                <w:sz w:val="22"/>
                <w:szCs w:val="22"/>
                <w:highlight w:val="none"/>
                <w:lang w:val="en-US" w:eastAsia="zh-CN" w:bidi="ar"/>
              </w:rPr>
              <w:t>适配标准交流220V民用及医用供电电压。</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3.2电源频率：</w:t>
            </w:r>
            <w:r>
              <w:rPr>
                <w:rFonts w:hint="eastAsia" w:ascii="宋体" w:hAnsi="宋体" w:eastAsia="宋体" w:cs="宋体"/>
                <w:color w:val="auto"/>
                <w:kern w:val="0"/>
                <w:sz w:val="22"/>
                <w:szCs w:val="22"/>
                <w:highlight w:val="none"/>
                <w:lang w:val="en-US" w:eastAsia="zh-CN" w:bidi="ar"/>
              </w:rPr>
              <w:t>适配50Hz标准工频电源</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3.3最大功率：</w:t>
            </w:r>
            <w:r>
              <w:rPr>
                <w:rFonts w:hint="eastAsia" w:ascii="宋体" w:hAnsi="宋体" w:eastAsia="宋体" w:cs="宋体"/>
                <w:color w:val="auto"/>
                <w:kern w:val="0"/>
                <w:sz w:val="22"/>
                <w:szCs w:val="22"/>
                <w:highlight w:val="none"/>
                <w:lang w:val="en-US" w:eastAsia="zh-CN" w:bidi="ar"/>
              </w:rPr>
              <w:t>≤</w:t>
            </w:r>
            <w:r>
              <w:rPr>
                <w:rFonts w:hint="eastAsia" w:ascii="宋体" w:hAnsi="宋体" w:eastAsia="宋体" w:cs="宋体"/>
                <w:b w:val="0"/>
                <w:bCs w:val="0"/>
                <w:color w:val="auto"/>
                <w:kern w:val="2"/>
                <w:sz w:val="22"/>
                <w:szCs w:val="22"/>
                <w:highlight w:val="none"/>
                <w:lang w:val="en-US" w:eastAsia="zh-CN" w:bidi="ar-SA"/>
              </w:rPr>
              <w:t>120VA，</w:t>
            </w:r>
            <w:r>
              <w:rPr>
                <w:rFonts w:hint="eastAsia" w:ascii="宋体" w:hAnsi="宋体" w:eastAsia="宋体" w:cs="宋体"/>
                <w:color w:val="auto"/>
                <w:kern w:val="0"/>
                <w:sz w:val="22"/>
                <w:szCs w:val="22"/>
                <w:highlight w:val="none"/>
                <w:lang w:val="en-US" w:eastAsia="zh-CN" w:bidi="ar"/>
              </w:rPr>
              <w:t>能耗低、节能环保。</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3.4熔断器：F4AH250V（2只），</w:t>
            </w:r>
            <w:r>
              <w:rPr>
                <w:rFonts w:hint="eastAsia" w:ascii="宋体" w:hAnsi="宋体" w:eastAsia="宋体" w:cs="宋体"/>
                <w:color w:val="auto"/>
                <w:kern w:val="0"/>
                <w:sz w:val="22"/>
                <w:szCs w:val="22"/>
                <w:highlight w:val="none"/>
                <w:lang w:val="en-US" w:eastAsia="zh-CN" w:bidi="ar"/>
              </w:rPr>
              <w:t>具备过载、短路保护功能，保障设备用电安全。</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4.1启动力：10N～50N，</w:t>
            </w:r>
            <w:r>
              <w:rPr>
                <w:rFonts w:hint="eastAsia" w:ascii="宋体" w:hAnsi="宋体" w:eastAsia="宋体" w:cs="宋体"/>
                <w:color w:val="auto"/>
                <w:kern w:val="0"/>
                <w:sz w:val="22"/>
                <w:szCs w:val="22"/>
                <w:highlight w:val="none"/>
                <w:lang w:val="en-US" w:eastAsia="zh-CN" w:bidi="ar"/>
              </w:rPr>
              <w:t>踩踏力度适中，操作舒适便捷。</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4.2机械部分承受力：1350 N，历时1 min，无明显弯曲和破裂损伤</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4.3寿命：≥25000次</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4.4动作灵活：无卡位、阻塞现象，结构牢固</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4.5坠落安全：从高度1m处自由坠落不少于3次需可正常使用。</w:t>
            </w:r>
            <w:r>
              <w:rPr>
                <w:rFonts w:hint="eastAsia" w:ascii="宋体" w:hAnsi="宋体" w:eastAsia="宋体" w:cs="宋体"/>
                <w:color w:val="auto"/>
                <w:kern w:val="0"/>
                <w:sz w:val="22"/>
                <w:szCs w:val="22"/>
                <w:highlight w:val="none"/>
                <w:lang w:val="en-US" w:eastAsia="zh-CN" w:bidi="ar"/>
              </w:rPr>
              <w:t>抗损性能优异。</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4.6电气安全：无任何带电部件变成可触及的，并能通过耐压试验</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4.7能平稳放置在平坦地面上</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5.1工作温度：＋10℃～＋40℃</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5.2工作湿度：30%～75%</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5.3工作电压：～220V，50Hz</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5.4大气压强：700hPa～1060hPa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en-US" w:eastAsia="zh-CN" w:bidi="ar-SA"/>
              </w:rPr>
              <w:t>6.1温度：－20℃～＋50℃，</w:t>
            </w:r>
            <w:r>
              <w:rPr>
                <w:rFonts w:hint="eastAsia" w:ascii="宋体" w:hAnsi="宋体" w:eastAsia="宋体" w:cs="宋体"/>
                <w:color w:val="auto"/>
                <w:kern w:val="0"/>
                <w:sz w:val="22"/>
                <w:szCs w:val="22"/>
                <w:highlight w:val="none"/>
                <w:lang w:val="en-US" w:eastAsia="zh-CN" w:bidi="ar"/>
              </w:rPr>
              <w:t>耐高低温环境，储运适应性强。</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6.2湿度：≤95％，</w:t>
            </w:r>
            <w:r>
              <w:rPr>
                <w:rFonts w:hint="eastAsia" w:ascii="宋体" w:hAnsi="宋体" w:eastAsia="宋体" w:cs="宋体"/>
                <w:color w:val="auto"/>
                <w:kern w:val="0"/>
                <w:sz w:val="22"/>
                <w:szCs w:val="22"/>
                <w:highlight w:val="none"/>
                <w:lang w:val="en-US" w:eastAsia="zh-CN" w:bidi="ar"/>
              </w:rPr>
              <w:t>可有效避免设备受潮损坏。</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6.3大气压强：700hPa～1060hPa</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6.4无腐蚀性气体和通风良好的清洁室内</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7.1无缝兼容Olympus、Pentax、Fujifilm品牌内镜</w:t>
            </w:r>
            <w:r>
              <w:rPr>
                <w:rFonts w:hint="eastAsia" w:ascii="宋体" w:hAnsi="宋体" w:eastAsia="宋体" w:cs="宋体"/>
                <w:color w:val="auto"/>
                <w:spacing w:val="-10"/>
                <w:sz w:val="21"/>
                <w:szCs w:val="21"/>
                <w:highlight w:val="none"/>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▲7.2流量可调：具有十段流量指示和灵活的流量调节，可轻松进行输出流量的选择，流量调节范围：0-600ml/min</w:t>
            </w:r>
            <w:r>
              <w:rPr>
                <w:rFonts w:hint="eastAsia" w:ascii="宋体" w:hAnsi="宋体" w:eastAsia="宋体" w:cs="宋体"/>
                <w:color w:val="auto"/>
                <w:spacing w:val="-10"/>
                <w:sz w:val="21"/>
                <w:szCs w:val="21"/>
                <w:highlight w:val="none"/>
              </w:rPr>
              <w:t>。</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▲7.3安全提示：具有泵头松脱监测，确保输出流量准确和产品安全；具有产品故障监测，确保产品及使用安全</w:t>
            </w:r>
            <w:r>
              <w:rPr>
                <w:rFonts w:hint="eastAsia" w:ascii="宋体" w:hAnsi="宋体" w:eastAsia="宋体" w:cs="宋体"/>
                <w:color w:val="auto"/>
                <w:spacing w:val="-10"/>
                <w:sz w:val="21"/>
                <w:szCs w:val="21"/>
                <w:highlight w:val="none"/>
              </w:rPr>
              <w:t>。</w:t>
            </w:r>
            <w:r>
              <w:rPr>
                <w:rFonts w:hint="eastAsia" w:ascii="宋体" w:hAnsi="宋体" w:eastAsia="宋体" w:cs="宋体"/>
                <w:b w:val="0"/>
                <w:bCs w:val="0"/>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val="0"/>
                <w:bCs w:val="0"/>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▲7.4智能控制：开启最长送水时间：20±2s。具有输出定时保护，避免忘记关闭输出的浪费或安全保护。</w:t>
            </w:r>
            <w:r>
              <w:rPr>
                <w:rFonts w:hint="eastAsia" w:ascii="宋体" w:hAnsi="宋体" w:eastAsia="宋体" w:cs="宋体"/>
                <w:b/>
                <w:bCs/>
                <w:color w:val="auto"/>
                <w:kern w:val="2"/>
                <w:sz w:val="22"/>
                <w:szCs w:val="22"/>
                <w:highlight w:val="none"/>
                <w:lang w:val="zh-CN" w:eastAsia="zh-CN" w:bidi="ar-SA"/>
              </w:rPr>
              <w:t>（</w:t>
            </w:r>
            <w:r>
              <w:rPr>
                <w:rFonts w:hint="eastAsia" w:ascii="宋体" w:hAnsi="宋体" w:eastAsia="宋体" w:cs="宋体"/>
                <w:b/>
                <w:bCs/>
                <w:i w:val="0"/>
                <w:iCs w:val="0"/>
                <w:color w:val="auto"/>
                <w:kern w:val="2"/>
                <w:sz w:val="21"/>
                <w:szCs w:val="24"/>
                <w:highlight w:val="none"/>
                <w:u w:val="none"/>
                <w:lang w:val="zh-CN" w:eastAsia="zh-CN" w:bidi="ar"/>
              </w:rPr>
              <w:t>投标时需提供</w:t>
            </w:r>
            <w:r>
              <w:rPr>
                <w:rFonts w:hint="eastAsia" w:ascii="宋体" w:hAnsi="宋体" w:cs="宋体"/>
                <w:b/>
                <w:bCs/>
                <w:i w:val="0"/>
                <w:iCs w:val="0"/>
                <w:color w:val="auto"/>
                <w:kern w:val="2"/>
                <w:sz w:val="21"/>
                <w:szCs w:val="24"/>
                <w:highlight w:val="none"/>
                <w:u w:val="none"/>
                <w:lang w:val="en-US" w:eastAsia="zh-CN" w:bidi="ar"/>
              </w:rPr>
              <w:t>产品</w:t>
            </w:r>
            <w:r>
              <w:rPr>
                <w:rFonts w:hint="eastAsia" w:ascii="宋体" w:hAnsi="宋体" w:eastAsia="宋体" w:cs="宋体"/>
                <w:b/>
                <w:bCs/>
                <w:i w:val="0"/>
                <w:iCs w:val="0"/>
                <w:color w:val="auto"/>
                <w:kern w:val="2"/>
                <w:sz w:val="21"/>
                <w:szCs w:val="24"/>
                <w:highlight w:val="none"/>
                <w:u w:val="none"/>
                <w:lang w:val="zh-CN" w:eastAsia="zh-CN" w:bidi="ar"/>
              </w:rPr>
              <w:t>说明书扫描件或产品彩页，注：对应参数在证明材料中进行标注，</w:t>
            </w:r>
            <w:r>
              <w:rPr>
                <w:rFonts w:hint="eastAsia" w:ascii="宋体" w:hAnsi="宋体" w:cs="宋体"/>
                <w:b/>
                <w:bCs/>
                <w:i w:val="0"/>
                <w:iCs w:val="0"/>
                <w:color w:val="auto"/>
                <w:kern w:val="2"/>
                <w:sz w:val="21"/>
                <w:szCs w:val="24"/>
                <w:highlight w:val="none"/>
                <w:u w:val="none"/>
                <w:lang w:val="en-US" w:eastAsia="zh-CN" w:bidi="ar"/>
              </w:rPr>
              <w:t>中标后</w:t>
            </w:r>
            <w:r>
              <w:rPr>
                <w:rFonts w:hint="eastAsia" w:ascii="宋体" w:hAnsi="宋体" w:eastAsia="宋体" w:cs="宋体"/>
                <w:b/>
                <w:bCs/>
                <w:i w:val="0"/>
                <w:iCs w:val="0"/>
                <w:color w:val="auto"/>
                <w:kern w:val="2"/>
                <w:sz w:val="21"/>
                <w:szCs w:val="24"/>
                <w:highlight w:val="none"/>
                <w:u w:val="none"/>
                <w:lang w:val="zh-CN" w:eastAsia="zh-CN" w:bidi="ar"/>
              </w:rPr>
              <w:t>原件备查。</w:t>
            </w:r>
            <w:r>
              <w:rPr>
                <w:rFonts w:hint="eastAsia" w:ascii="宋体" w:hAnsi="宋体" w:eastAsia="宋体" w:cs="宋体"/>
                <w:b/>
                <w:bCs/>
                <w:color w:val="auto"/>
                <w:kern w:val="2"/>
                <w:sz w:val="22"/>
                <w:szCs w:val="22"/>
                <w:highlight w:val="none"/>
                <w:lang w:val="zh-CN" w:eastAsia="zh-CN" w:bidi="ar-SA"/>
              </w:rPr>
              <w:t>）</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7.5</w:t>
            </w:r>
            <w:r>
              <w:rPr>
                <w:rFonts w:hint="eastAsia" w:ascii="宋体" w:hAnsi="宋体" w:eastAsia="宋体" w:cs="宋体"/>
                <w:color w:val="auto"/>
                <w:kern w:val="0"/>
                <w:sz w:val="22"/>
                <w:szCs w:val="22"/>
                <w:highlight w:val="none"/>
                <w:lang w:val="en-US" w:eastAsia="zh-CN" w:bidi="ar"/>
              </w:rPr>
              <w:t>设备最大传输压强可达400kPa，压力输出稳定均匀，保障作业流程平稳顺畅。</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331" w:type="pct"/>
            <w:vMerge w:val="continue"/>
            <w:tcBorders>
              <w:left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eastAsia" w:ascii="宋体" w:hAnsi="宋体" w:cs="仿宋"/>
                <w:color w:val="auto"/>
                <w:kern w:val="0"/>
                <w:szCs w:val="21"/>
                <w:highlight w:val="none"/>
                <w:lang w:val="en-US" w:eastAsia="zh-CN"/>
              </w:rPr>
            </w:pPr>
          </w:p>
        </w:tc>
        <w:tc>
          <w:tcPr>
            <w:tcW w:w="553" w:type="pct"/>
            <w:vMerge w:val="continue"/>
            <w:tcBorders>
              <w:left w:val="single" w:color="auto" w:sz="4" w:space="0"/>
              <w:right w:val="single" w:color="auto" w:sz="4" w:space="0"/>
            </w:tcBorders>
            <w:shd w:val="clear" w:color="auto" w:fill="auto"/>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default" w:ascii="宋体" w:hAnsi="宋体" w:eastAsia="宋体" w:cs="仿宋"/>
                <w:color w:val="auto"/>
                <w:kern w:val="0"/>
                <w:szCs w:val="21"/>
                <w:highlight w:val="none"/>
                <w:lang w:val="en-US" w:eastAsia="zh-CN"/>
              </w:rPr>
            </w:pPr>
          </w:p>
        </w:tc>
        <w:tc>
          <w:tcPr>
            <w:tcW w:w="1691"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7.6操作简易；可通过气囊式脚踏开关或按键启动安全控制液体输送的启动、停止。</w:t>
            </w:r>
          </w:p>
        </w:tc>
        <w:tc>
          <w:tcPr>
            <w:tcW w:w="139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《技术规格偏离表》编制指引：</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1</w:t>
      </w:r>
      <w:r>
        <w:rPr>
          <w:rFonts w:hint="eastAsia" w:ascii="宋体" w:cs="宋体"/>
          <w:color w:val="auto"/>
          <w:szCs w:val="21"/>
          <w:highlight w:val="none"/>
          <w:lang w:val="en-US" w:eastAsia="zh-CN"/>
        </w:rPr>
        <w:t>.</w:t>
      </w:r>
      <w:r>
        <w:rPr>
          <w:rFonts w:hint="eastAsia" w:ascii="宋体" w:cs="宋体"/>
          <w:color w:val="auto"/>
          <w:szCs w:val="21"/>
          <w:highlight w:val="none"/>
        </w:rPr>
        <w:t>《技术规格偏离表》的“招标技术要求”等栏目对应“招标项目需求”中的“技术要求”章节相关内容。</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2</w:t>
      </w:r>
      <w:r>
        <w:rPr>
          <w:rFonts w:hint="eastAsia" w:ascii="宋体" w:cs="宋体"/>
          <w:color w:val="auto"/>
          <w:szCs w:val="21"/>
          <w:highlight w:val="none"/>
          <w:lang w:val="en-US" w:eastAsia="zh-CN"/>
        </w:rPr>
        <w:t>.</w:t>
      </w:r>
      <w:r>
        <w:rPr>
          <w:rFonts w:hint="eastAsia" w:ascii="宋体" w:cs="宋体"/>
          <w:color w:val="auto"/>
          <w:szCs w:val="21"/>
          <w:highlight w:val="none"/>
        </w:rPr>
        <w:t>“投标技术响应”一栏必须一一对照“招标技术要求”，详细填写投标人自身投标标的具体参数，以体现具体响应情况。</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auto"/>
          <w:szCs w:val="21"/>
          <w:highlight w:val="none"/>
        </w:rPr>
      </w:pPr>
      <w:r>
        <w:rPr>
          <w:rFonts w:hint="eastAsia" w:ascii="宋体" w:cs="宋体"/>
          <w:color w:val="auto"/>
          <w:szCs w:val="21"/>
          <w:highlight w:val="none"/>
        </w:rPr>
        <w:t>3</w:t>
      </w:r>
      <w:r>
        <w:rPr>
          <w:rFonts w:hint="eastAsia" w:ascii="宋体" w:cs="宋体"/>
          <w:color w:val="auto"/>
          <w:szCs w:val="21"/>
          <w:highlight w:val="none"/>
          <w:lang w:val="en-US" w:eastAsia="zh-CN"/>
        </w:rPr>
        <w:t>.</w:t>
      </w:r>
      <w:r>
        <w:rPr>
          <w:rFonts w:hint="eastAsia" w:ascii="宋体" w:cs="宋体"/>
          <w:color w:val="auto"/>
          <w:szCs w:val="21"/>
          <w:highlight w:val="none"/>
        </w:rPr>
        <w:t>“偏离情况”一栏如实填写“正偏离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无偏离”或“负偏离”，其中：“正偏离”表示“投标技术响应优于招标技术要求”，“负偏离”表示“投标技术响应不满足招标技术要求”，“无偏离”表示“投标技术响应与招标技术要求一致”。</w:t>
      </w:r>
    </w:p>
    <w:p>
      <w:pPr>
        <w:keepNext w:val="0"/>
        <w:keepLines w:val="0"/>
        <w:pageBreakBefore w:val="0"/>
        <w:widowControl/>
        <w:kinsoku/>
        <w:wordWrap/>
        <w:overflowPunct/>
        <w:topLinePunct w:val="0"/>
        <w:autoSpaceDE/>
        <w:autoSpaceDN/>
        <w:bidi w:val="0"/>
        <w:adjustRightInd/>
        <w:snapToGrid/>
        <w:spacing w:line="500" w:lineRule="exact"/>
        <w:ind w:firstLine="422" w:firstLineChars="200"/>
        <w:jc w:val="left"/>
        <w:textAlignment w:val="auto"/>
        <w:rPr>
          <w:rFonts w:ascii="宋体" w:cs="宋体"/>
          <w:b w:val="0"/>
          <w:bCs w:val="0"/>
          <w:color w:val="auto"/>
          <w:szCs w:val="21"/>
          <w:highlight w:val="none"/>
        </w:rPr>
      </w:pPr>
      <w:r>
        <w:rPr>
          <w:rFonts w:hint="eastAsia" w:ascii="宋体" w:cs="宋体"/>
          <w:b/>
          <w:bCs/>
          <w:color w:val="auto"/>
          <w:szCs w:val="21"/>
          <w:highlight w:val="none"/>
        </w:rPr>
        <w:t>“投标技术响应”对比“招标技术要求”存在响应不全（包括未响应整项招标技术要求或者未响应一项招标技术要求的部分内容），均视为“负偏离”。</w:t>
      </w:r>
      <w:r>
        <w:rPr>
          <w:rFonts w:hint="eastAsia" w:ascii="宋体" w:cs="宋体"/>
          <w:b w:val="0"/>
          <w:bCs w:val="0"/>
          <w:color w:val="auto"/>
          <w:szCs w:val="21"/>
          <w:highlight w:val="none"/>
        </w:rPr>
        <w:t>带★号条款为不可负偏离条款，不作为评分准则中的评分内容，如未响应或出现负偏离的，将</w:t>
      </w:r>
      <w:r>
        <w:rPr>
          <w:rFonts w:hint="eastAsia" w:ascii="宋体" w:cs="宋体"/>
          <w:b w:val="0"/>
          <w:bCs w:val="0"/>
          <w:color w:val="auto"/>
          <w:szCs w:val="21"/>
          <w:highlight w:val="none"/>
          <w:lang w:eastAsia="zh-CN"/>
        </w:rPr>
        <w:t>作</w:t>
      </w:r>
      <w:r>
        <w:rPr>
          <w:rFonts w:hint="eastAsia" w:ascii="宋体" w:cs="宋体"/>
          <w:b w:val="0"/>
          <w:bCs w:val="0"/>
          <w:color w:val="auto"/>
          <w:szCs w:val="21"/>
          <w:highlight w:val="none"/>
        </w:rPr>
        <w:t>投标无效处理。“偏离情况”必须与所投产品客观实际保持一致，响应不实且情节严重的，经查实，将依法记入供应商诚信档案或受到行政处罚。</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cs="宋体"/>
          <w:b w:val="0"/>
          <w:bCs w:val="0"/>
          <w:color w:val="auto"/>
          <w:szCs w:val="21"/>
          <w:highlight w:val="none"/>
        </w:rPr>
      </w:pPr>
      <w:r>
        <w:rPr>
          <w:rFonts w:hint="eastAsia" w:ascii="宋体" w:cs="宋体"/>
          <w:b w:val="0"/>
          <w:bCs w:val="0"/>
          <w:color w:val="auto"/>
          <w:szCs w:val="21"/>
          <w:highlight w:val="none"/>
        </w:rPr>
        <w:t>4</w:t>
      </w:r>
      <w:r>
        <w:rPr>
          <w:rFonts w:hint="eastAsia" w:ascii="宋体" w:cs="宋体"/>
          <w:b w:val="0"/>
          <w:bCs w:val="0"/>
          <w:color w:val="auto"/>
          <w:szCs w:val="21"/>
          <w:highlight w:val="none"/>
          <w:lang w:val="en-US" w:eastAsia="zh-CN"/>
        </w:rPr>
        <w:t>.</w:t>
      </w:r>
      <w:r>
        <w:rPr>
          <w:rFonts w:hint="eastAsia" w:ascii="宋体" w:cs="宋体"/>
          <w:b w:val="0"/>
          <w:bCs w:val="0"/>
          <w:color w:val="auto"/>
          <w:szCs w:val="21"/>
          <w:highlight w:val="none"/>
        </w:rPr>
        <w:t>未要求提供证明资料的招标技术要求，可以不提供证明资料（如实响应即可），但如果投标人提供的证明资料中属于同一内容，与“投标技术响应”存在明显冲突或矛盾，以证明资料为准，认定是否偏离。</w:t>
      </w:r>
    </w:p>
    <w:p>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b/>
          <w:bCs/>
          <w:color w:val="auto"/>
          <w:highlight w:val="none"/>
        </w:rPr>
      </w:pPr>
      <w:r>
        <w:rPr>
          <w:rFonts w:hint="eastAsia" w:ascii="宋体" w:cs="宋体"/>
          <w:color w:val="auto"/>
          <w:szCs w:val="21"/>
          <w:highlight w:val="none"/>
        </w:rPr>
        <w:t>5</w:t>
      </w:r>
      <w:r>
        <w:rPr>
          <w:rFonts w:hint="eastAsia" w:ascii="宋体" w:cs="宋体"/>
          <w:color w:val="auto"/>
          <w:szCs w:val="21"/>
          <w:highlight w:val="none"/>
          <w:lang w:val="en-US" w:eastAsia="zh-CN"/>
        </w:rPr>
        <w:t>.</w:t>
      </w:r>
      <w:r>
        <w:rPr>
          <w:rFonts w:hint="eastAsia" w:ascii="宋体" w:cs="宋体"/>
          <w:color w:val="auto"/>
          <w:szCs w:val="21"/>
          <w:highlight w:val="none"/>
        </w:rPr>
        <w:t>证明资料条款响应要求：要求提供证明资料（且已对证明资料的形式、内容作出明确要求）进行响应的条款，可在“说明”一栏中列明是否提供了符合要求的证明资料；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967"/>
        <w:gridCol w:w="2290"/>
        <w:gridCol w:w="2096"/>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5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交货地点：深圳</w:t>
            </w:r>
            <w:r>
              <w:rPr>
                <w:rFonts w:hint="eastAsia" w:ascii="宋体" w:hAnsi="宋体" w:eastAsia="宋体" w:cs="宋体"/>
                <w:b w:val="0"/>
                <w:bCs w:val="0"/>
                <w:color w:val="auto"/>
                <w:sz w:val="24"/>
                <w:szCs w:val="24"/>
                <w:highlight w:val="none"/>
                <w:lang w:val="en-US" w:eastAsia="zh-CN"/>
              </w:rPr>
              <w:t>市</w:t>
            </w:r>
            <w:r>
              <w:rPr>
                <w:rFonts w:hint="eastAsia" w:ascii="宋体" w:hAnsi="宋体" w:eastAsia="宋体" w:cs="宋体"/>
                <w:b w:val="0"/>
                <w:bCs w:val="0"/>
                <w:color w:val="auto"/>
                <w:sz w:val="24"/>
                <w:szCs w:val="24"/>
                <w:highlight w:val="none"/>
              </w:rPr>
              <w:t>龙岗区</w:t>
            </w:r>
            <w:r>
              <w:rPr>
                <w:rFonts w:hint="eastAsia" w:ascii="宋体" w:hAnsi="宋体" w:eastAsia="宋体" w:cs="宋体"/>
                <w:b w:val="0"/>
                <w:bCs w:val="0"/>
                <w:color w:val="auto"/>
                <w:sz w:val="24"/>
                <w:szCs w:val="24"/>
                <w:highlight w:val="none"/>
                <w:lang w:val="en-US" w:eastAsia="zh-CN"/>
              </w:rPr>
              <w:t>第七</w:t>
            </w:r>
            <w:r>
              <w:rPr>
                <w:rFonts w:hint="eastAsia" w:ascii="宋体" w:hAnsi="宋体" w:eastAsia="宋体" w:cs="宋体"/>
                <w:b w:val="0"/>
                <w:bCs w:val="0"/>
                <w:color w:val="auto"/>
                <w:sz w:val="24"/>
                <w:szCs w:val="24"/>
                <w:highlight w:val="none"/>
              </w:rPr>
              <w:t>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2</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val="0"/>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付款方式：</w:t>
            </w:r>
            <w:r>
              <w:rPr>
                <w:rFonts w:hint="eastAsia" w:ascii="宋体" w:hAnsi="宋体" w:eastAsia="宋体" w:cs="宋体"/>
                <w:b w:val="0"/>
                <w:bCs w:val="0"/>
                <w:color w:val="auto"/>
                <w:sz w:val="24"/>
                <w:szCs w:val="24"/>
                <w:highlight w:val="none"/>
                <w:lang w:eastAsia="zh-CN"/>
              </w:rPr>
              <w:t>货物经采购人</w:t>
            </w:r>
            <w:r>
              <w:rPr>
                <w:rFonts w:hint="eastAsia" w:ascii="宋体" w:hAnsi="宋体" w:eastAsia="宋体" w:cs="宋体"/>
                <w:b w:val="0"/>
                <w:bCs w:val="0"/>
                <w:color w:val="auto"/>
                <w:sz w:val="24"/>
                <w:szCs w:val="24"/>
                <w:highlight w:val="none"/>
              </w:rPr>
              <w:t>验收合格并收到</w:t>
            </w:r>
            <w:r>
              <w:rPr>
                <w:rFonts w:hint="eastAsia" w:ascii="宋体" w:hAnsi="宋体" w:eastAsia="宋体" w:cs="宋体"/>
                <w:b w:val="0"/>
                <w:bCs w:val="0"/>
                <w:color w:val="auto"/>
                <w:sz w:val="24"/>
                <w:szCs w:val="24"/>
                <w:highlight w:val="none"/>
                <w:lang w:eastAsia="zh-CN"/>
              </w:rPr>
              <w:t>中标人</w:t>
            </w:r>
            <w:r>
              <w:rPr>
                <w:rFonts w:hint="eastAsia" w:ascii="宋体" w:hAnsi="宋体" w:eastAsia="宋体" w:cs="宋体"/>
                <w:b w:val="0"/>
                <w:bCs w:val="0"/>
                <w:color w:val="auto"/>
                <w:sz w:val="24"/>
                <w:szCs w:val="24"/>
                <w:highlight w:val="none"/>
                <w:lang w:val="en-US" w:eastAsia="zh-CN"/>
              </w:rPr>
              <w:t>合规的</w:t>
            </w:r>
            <w:r>
              <w:rPr>
                <w:rFonts w:hint="eastAsia" w:ascii="宋体" w:hAnsi="宋体" w:eastAsia="宋体" w:cs="宋体"/>
                <w:b w:val="0"/>
                <w:bCs w:val="0"/>
                <w:color w:val="auto"/>
                <w:sz w:val="24"/>
                <w:szCs w:val="24"/>
                <w:highlight w:val="none"/>
              </w:rPr>
              <w:t>发票10</w:t>
            </w:r>
            <w:r>
              <w:rPr>
                <w:rFonts w:hint="eastAsia" w:ascii="宋体" w:hAnsi="宋体" w:eastAsia="宋体" w:cs="宋体"/>
                <w:b w:val="0"/>
                <w:bCs w:val="0"/>
                <w:color w:val="auto"/>
                <w:sz w:val="24"/>
                <w:szCs w:val="24"/>
                <w:highlight w:val="none"/>
                <w:lang w:eastAsia="zh-CN"/>
              </w:rPr>
              <w:t>个工作日</w:t>
            </w:r>
            <w:r>
              <w:rPr>
                <w:rFonts w:hint="eastAsia" w:ascii="宋体" w:hAnsi="宋体" w:eastAsia="宋体" w:cs="宋体"/>
                <w:b w:val="0"/>
                <w:bCs w:val="0"/>
                <w:color w:val="auto"/>
                <w:sz w:val="24"/>
                <w:szCs w:val="24"/>
                <w:highlight w:val="none"/>
              </w:rPr>
              <w:t>内</w:t>
            </w:r>
            <w:r>
              <w:rPr>
                <w:rFonts w:hint="eastAsia" w:ascii="宋体" w:hAnsi="宋体" w:eastAsia="宋体" w:cs="宋体"/>
                <w:b w:val="0"/>
                <w:bCs w:val="0"/>
                <w:color w:val="auto"/>
                <w:sz w:val="24"/>
                <w:szCs w:val="24"/>
                <w:highlight w:val="none"/>
                <w:lang w:eastAsia="zh-CN"/>
              </w:rPr>
              <w:t>支付</w:t>
            </w:r>
            <w:r>
              <w:rPr>
                <w:rFonts w:hint="eastAsia" w:ascii="宋体" w:hAnsi="宋体" w:eastAsia="宋体" w:cs="宋体"/>
                <w:b w:val="0"/>
                <w:bCs w:val="0"/>
                <w:color w:val="auto"/>
                <w:sz w:val="24"/>
                <w:szCs w:val="24"/>
                <w:highlight w:val="none"/>
                <w:lang w:val="en-US" w:eastAsia="zh-CN"/>
              </w:rPr>
              <w:t>100%款项</w:t>
            </w:r>
            <w:r>
              <w:rPr>
                <w:rFonts w:hint="eastAsia" w:ascii="宋体" w:hAnsi="宋体" w:eastAsia="宋体" w:cs="宋体"/>
                <w:b w:val="0"/>
                <w:bCs w:val="0"/>
                <w:color w:val="auto"/>
                <w:sz w:val="24"/>
                <w:szCs w:val="24"/>
                <w:highlight w:val="none"/>
              </w:rPr>
              <w:t>。</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3</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包装运输：除合同另有规定外，中标供应商提供的全部设备均应按标准保护措施进行包装。该包装应适应于远距离运输、防潮、防震、防锈和防野蛮装卸，以确保设备安全无损运抵指定地点。由于包装不善所引起的设备损失均由中标供应商承担。中标供应商负责货物运输，运输费由中标供应商负责。</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eastAsia="zh-CN"/>
              </w:rPr>
              <w:t>验收</w:t>
            </w:r>
            <w:r>
              <w:rPr>
                <w:rFonts w:hint="eastAsia" w:ascii="宋体" w:hAnsi="宋体" w:eastAsia="宋体" w:cs="宋体"/>
                <w:b w:val="0"/>
                <w:bCs w:val="0"/>
                <w:color w:val="auto"/>
                <w:sz w:val="24"/>
                <w:szCs w:val="24"/>
                <w:highlight w:val="none"/>
                <w:lang w:val="en-US" w:eastAsia="zh-CN"/>
              </w:rPr>
              <w:t>工作</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中标人交付的货物应当完全符合招投标文件所规定、订单约定的货物、数量、质量和规格要求。中标人提供的货物不符合招投标文件和订单规定的，采购人有权拒收货物，由此引起的损失及责任，由中标人承担。</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（2）必须是达到国家标准或行业标准，具备出厂合格证的无表面划损、无任何缺陷的全新原装产品且无任何侵权行为。提供的产品是否完整无损，是否符合要求。如有损坏、缺件等情况，中标人自行负责。</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（3）采购人在中国使用该货物或货物的任何一部分时，免受第三方提出的侵犯其专利权、商标权或工业设计权等知识产权的起诉或司法干预。如果发生上诉起诉或干预，则其法律责任均由中标人负责。</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（4）货到安装。中标人应派有经验的技术人员到现场进行安装、调试，直到设备正常使用。设备安装调试正常使用后30个工作日内进行验收，由使用科室、设备科、中标人等代表在场进行验收。</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（6）当满足以下条件时，采购人才向中标人签发货物验收报告：</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a.中标人已按照合同规定提供了全部产品及完整的技术资料。</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b.货物符合招标文件的要求，性能满足要求。</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c.货物具备产品合格证。</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d.提供维修手册、售后服务承诺书、中文操作手册。</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pStyle w:val="25"/>
              <w:keepNext w:val="0"/>
              <w:keepLines w:val="0"/>
              <w:pageBreakBefore w:val="0"/>
              <w:numPr>
                <w:ilvl w:val="-1"/>
                <w:numId w:val="0"/>
              </w:numPr>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产品应符合货物采购合同的技术要求，如没有提及适用标准，则应符合中华人民共和国国家标准或行业标准，如果中华人民共和国没有相关标准的，则采用货物来源国适用的官方标准。这些标准必须是有关机构发布的最新版本的标准。</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5</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7.售后服务要求</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.1验收时提供产品中文说明书、操作手册、维修手册、设备操作流程卡及一切和本项目有关的资料及说明。</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提供备品备件清单，提供消耗品优惠价格，提供零配件优惠价格。</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安排专业人员在现场对采购单位临床操作人员进行专业的培训，并对维修工程师进行维护、维修培训。保证使用人员能够熟练掌握各种设备和软件等常规使用方法，以及小故障的判断与解决。</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投标时，供应商承诺保修期外，能及时为用户提供备品备件、专用试剂及耗材。</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签订合同时，为保证设备正常运行由生产厂家或中国总代理出具承诺书，保证该设备购置后至少5年供应的备品备件、专用试剂及耗材是在注册证有效期内生产的，并加盖生产厂家或中国总代理公章。（作为备品备件供应的考核项。）</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投标人在投标文件所承诺的仪器功能，所需的硬件和软件必须配置齐全。</w:t>
            </w:r>
          </w:p>
          <w:p>
            <w:pPr>
              <w:pStyle w:val="36"/>
              <w:keepNext w:val="0"/>
              <w:keepLines w:val="0"/>
              <w:pageBreakBefore w:val="0"/>
              <w:kinsoku/>
              <w:wordWrap/>
              <w:overflowPunct/>
              <w:topLinePunct w:val="0"/>
              <w:autoSpaceDE/>
              <w:autoSpaceDN/>
              <w:bidi w:val="0"/>
              <w:adjustRightInd/>
              <w:snapToGrid/>
              <w:spacing w:line="240" w:lineRule="atLeast"/>
              <w:ind w:left="0" w:leftChars="0"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7.11本项目设备如需办理计量检定或计量校准，投标人中标后须向采购人提供设备有效期内、真实有效的计量检定证书或校准证书完整资料，并加盖投标单位公章交付采购人存档留存。采购人有权随时核查证书原件，中标人须无条件配合。</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6</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tLeas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8.知识产权</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8.1.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8.2采购人购买产品后，有权对该产品与其他设备进行配套、整合或适当改进，而免受侵犯专利权的起诉。若因为知识产权纠纷造成的一切损害赔偿及损失由投标人承担，包括但不限于实际损失、预期损失和对方要求赔偿损失及支出的律师费、交通费和差旅费等。</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7</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9.违约责任</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未按照约定时间交付货物的，每逾期一天，采购人有权要求中标人延长两天的维保服务期限；逾期超过90日历日的，采购人有权单方解除合同并要求中标人承担合同总金额20%的违约金。如违约金不足以赔偿因交货延迟给采购人造成的损失，中标人还应继续承担相应的赔偿责任。</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8</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numPr>
                <w:ilvl w:val="0"/>
                <w:numId w:val="0"/>
              </w:numPr>
              <w:kinsoku/>
              <w:wordWrap/>
              <w:overflowPunct/>
              <w:topLinePunct w:val="0"/>
              <w:autoSpaceDE/>
              <w:autoSpaceDN/>
              <w:bidi w:val="0"/>
              <w:adjustRightInd/>
              <w:spacing w:line="240" w:lineRule="atLeas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10.培训</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10.1投标人应派专业技术人员免费对采购单位指定人员进行定期培训及指导，直至其完全掌握设备的基本故障处理技术。</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10.2现场培训：投标人应提供现场技术培训，保证使用人员正常操作设备的各种功能。</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10.3集中培训：根据设备技术要求，可向投标人提供使用和维修技术人员培训。</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10.4计算机辅助培训：针对该机型的多媒体互动操作教学软件，方便学习掌握基本操作和各项高级功能。</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9</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11.其他要求</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11.1交货时，设备出厂时间≤1年。</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11.3签订合同时，提供厂家售后服务承诺书，含免费保修期。</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11.4设备使用期间，发生产品召回事件，供应商提供替代或赔偿方案。</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Lines w:val="0"/>
              <w:pageBreakBefore w:val="0"/>
              <w:widowControl/>
              <w:kinsoku/>
              <w:wordWrap/>
              <w:overflowPunct/>
              <w:topLinePunct w:val="0"/>
              <w:autoSpaceDE/>
              <w:autoSpaceDN/>
              <w:bidi w:val="0"/>
              <w:adjustRightInd/>
              <w:spacing w:line="560" w:lineRule="exact"/>
              <w:jc w:val="center"/>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10</w:t>
            </w:r>
          </w:p>
        </w:tc>
        <w:tc>
          <w:tcPr>
            <w:tcW w:w="27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12.签订合同</w:t>
            </w:r>
          </w:p>
          <w:p>
            <w:pPr>
              <w:pStyle w:val="37"/>
              <w:keepNext w:val="0"/>
              <w:keepLines w:val="0"/>
              <w:pageBreakBefore w:val="0"/>
              <w:kinsoku/>
              <w:wordWrap/>
              <w:overflowPunct/>
              <w:topLinePunct w:val="0"/>
              <w:autoSpaceDE/>
              <w:autoSpaceDN/>
              <w:bidi w:val="0"/>
              <w:adjustRightInd/>
              <w:spacing w:line="240" w:lineRule="atLeas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商务条款偏离表的“招标商务要求”等栏目对应“第二章 招标项目需求”中的“商务要求”章节相关内容。</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如本表内容与具体商务方案承诺内容有矛盾，以本表为准。</w:t>
      </w:r>
    </w:p>
    <w:p>
      <w:pPr>
        <w:keepLines w:val="0"/>
        <w:pageBreakBefore w:val="0"/>
        <w:tabs>
          <w:tab w:val="left" w:pos="0"/>
        </w:tabs>
        <w:kinsoku/>
        <w:wordWrap/>
        <w:overflowPunct/>
        <w:topLinePunct w:val="0"/>
        <w:bidi w:val="0"/>
        <w:snapToGrid w:val="0"/>
        <w:spacing w:line="500" w:lineRule="exact"/>
        <w:rPr>
          <w:rFonts w:hint="eastAsia" w:ascii="仿宋" w:hAnsi="仿宋" w:eastAsia="仿宋" w:cs="仿宋"/>
          <w:b/>
          <w:bCs/>
          <w:color w:val="auto"/>
          <w:sz w:val="32"/>
          <w:szCs w:val="32"/>
          <w:highlight w:val="none"/>
        </w:rPr>
        <w:sectPr>
          <w:headerReference r:id="rId5" w:type="default"/>
          <w:footerReference r:id="rId6" w:type="default"/>
          <w:pgSz w:w="16838" w:h="11906" w:orient="landscape"/>
          <w:pgMar w:top="1304" w:right="2098" w:bottom="1474" w:left="1984" w:header="851" w:footer="1417" w:gutter="0"/>
          <w:pgNumType w:fmt="numberInDash"/>
          <w:cols w:space="0" w:num="1"/>
          <w:rtlGutter w:val="0"/>
          <w:docGrid w:type="lines" w:linePitch="338" w:charSpace="0"/>
        </w:sectPr>
      </w:pP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en-US" w:eastAsia="zh-CN"/>
        </w:rPr>
        <w:t>配置清单</w:t>
      </w:r>
      <w:r>
        <w:rPr>
          <w:rFonts w:hint="eastAsia" w:ascii="仿宋" w:hAnsi="仿宋" w:eastAsia="仿宋" w:cs="仿宋"/>
          <w:b/>
          <w:color w:val="auto"/>
          <w:kern w:val="0"/>
          <w:sz w:val="44"/>
          <w:szCs w:val="44"/>
          <w:highlight w:val="none"/>
          <w:lang w:val="zh-CN"/>
        </w:rPr>
        <w:t>偏离表</w:t>
      </w:r>
    </w:p>
    <w:tbl>
      <w:tblPr>
        <w:tblStyle w:val="19"/>
        <w:tblW w:w="46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4971"/>
        <w:gridCol w:w="3616"/>
        <w:gridCol w:w="2097"/>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0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149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pPr>
              <w:pStyle w:val="30"/>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Times New Roman" w:eastAsia="仿宋" w:cs="Times New Roman"/>
                <w:bCs/>
                <w:color w:val="auto"/>
                <w:kern w:val="2"/>
                <w:sz w:val="24"/>
                <w:szCs w:val="22"/>
                <w:highlight w:val="none"/>
                <w:lang w:val="en-US" w:eastAsia="zh-CN" w:bidi="ar-SA"/>
              </w:rPr>
            </w:pPr>
            <w:r>
              <w:rPr>
                <w:rFonts w:hint="eastAsia" w:ascii="仿宋" w:hAnsi="Times New Roman" w:eastAsia="仿宋" w:cs="Times New Roman"/>
                <w:bCs/>
                <w:color w:val="auto"/>
                <w:sz w:val="24"/>
                <w:szCs w:val="22"/>
                <w:highlight w:val="none"/>
                <w:lang w:val="en-US" w:eastAsia="zh-CN"/>
              </w:rPr>
              <w:t>1</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宋体" w:cs="Times New Roman"/>
                <w:bCs/>
                <w:color w:val="auto"/>
                <w:sz w:val="22"/>
                <w:szCs w:val="22"/>
                <w:highlight w:val="none"/>
                <w:lang w:val="en-US" w:eastAsia="zh-CN"/>
              </w:rPr>
            </w:pPr>
            <w:r>
              <w:rPr>
                <w:rFonts w:hint="default" w:ascii="Times New Roman" w:hAnsi="Times New Roman" w:eastAsia="宋体" w:cs="Times New Roman"/>
                <w:bCs/>
                <w:color w:val="auto"/>
                <w:sz w:val="22"/>
                <w:szCs w:val="22"/>
                <w:highlight w:val="none"/>
                <w:lang w:val="en-US" w:eastAsia="zh-CN"/>
              </w:rPr>
              <w:t>消化内镜能量平台</w:t>
            </w:r>
          </w:p>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（氩气高频电刀）</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1.氩气高频电刀主机系统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2.智能内镜切割软件(内置)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3.仪器车固定件 1套</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4.负极片连线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5.减压阀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6.APC消化软管(直喷)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7.单极脚踏开关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8.仪器车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9.杂物筐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10.氩气瓶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11.高频连接线 1条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12.负极片 10片</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13.台车1台</w:t>
            </w:r>
          </w:p>
        </w:tc>
        <w:tc>
          <w:tcPr>
            <w:tcW w:w="867"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default" w:ascii="Times New Roman" w:hAnsi="Times New Roman" w:eastAsia="宋体" w:cs="Times New Roman"/>
                <w:bCs/>
                <w:color w:val="auto"/>
                <w:sz w:val="22"/>
                <w:szCs w:val="22"/>
                <w:highlight w:val="none"/>
                <w:lang w:val="en-US" w:eastAsia="zh-CN"/>
              </w:rPr>
              <w:t>内镜注水泵</w:t>
            </w:r>
          </w:p>
        </w:tc>
        <w:tc>
          <w:tcPr>
            <w:tcW w:w="149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1.内镜用送水装置主机 1台</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2.两相三芯电线组件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3.脚踏气囊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4.内镜用送水装置说明书 1本</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5.内镜用送水装置快速操作指南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6.奥林巴斯副送水管组件 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7.富士能副送水管组件 11根</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8.快速熔断保险管 1只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9.水瓶组件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10.水瓶挂架 1个</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11.产品保修卡 1张</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楷体_GB2312" w:eastAsia="仿宋" w:cs="楷体_GB2312"/>
                <w:b w:val="0"/>
                <w:bCs w:val="0"/>
                <w:color w:val="auto"/>
                <w:kern w:val="0"/>
                <w:sz w:val="24"/>
                <w:szCs w:val="28"/>
                <w:highlight w:val="none"/>
                <w:vertAlign w:val="baseline"/>
                <w:lang w:val="en-US" w:eastAsia="zh-CN" w:bidi="ar-SA"/>
              </w:rPr>
            </w:pPr>
            <w:r>
              <w:rPr>
                <w:rFonts w:hint="eastAsia" w:ascii="仿宋" w:hAnsi="楷体_GB2312" w:eastAsia="仿宋" w:cs="楷体_GB2312"/>
                <w:b w:val="0"/>
                <w:bCs w:val="0"/>
                <w:color w:val="auto"/>
                <w:kern w:val="0"/>
                <w:sz w:val="24"/>
                <w:szCs w:val="28"/>
                <w:highlight w:val="none"/>
                <w:vertAlign w:val="baseline"/>
                <w:lang w:val="en-US" w:eastAsia="zh-CN" w:bidi="ar-SA"/>
              </w:rPr>
              <w:t>12.合格证 1张</w:t>
            </w:r>
          </w:p>
        </w:tc>
        <w:tc>
          <w:tcPr>
            <w:tcW w:w="867" w:type="pct"/>
            <w:tcBorders>
              <w:top w:val="single" w:color="auto" w:sz="4" w:space="0"/>
              <w:left w:val="single" w:color="auto" w:sz="4" w:space="0"/>
              <w:bottom w:val="single" w:color="auto" w:sz="4" w:space="0"/>
              <w:right w:val="single" w:color="auto" w:sz="4" w:space="0"/>
            </w:tcBorders>
            <w:noWrap w:val="0"/>
            <w:vAlign w:val="center"/>
          </w:tcPr>
          <w:p>
            <w:pPr>
              <w:pStyle w:val="30"/>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cs="宋体"/>
          <w:color w:val="auto"/>
          <w:szCs w:val="21"/>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sectPr>
          <w:headerReference r:id="rId7" w:type="default"/>
          <w:footerReference r:id="rId8" w:type="default"/>
          <w:pgSz w:w="16838" w:h="11906" w:orient="landscape"/>
          <w:pgMar w:top="1304" w:right="2098" w:bottom="1474" w:left="1984" w:header="851" w:footer="1417" w:gutter="0"/>
          <w:pgNumType w:fmt="numberInDash"/>
          <w:cols w:space="0" w:num="1"/>
          <w:rtlGutter w:val="0"/>
          <w:docGrid w:type="lines" w:linePitch="338" w:charSpace="0"/>
        </w:sectPr>
      </w:pPr>
    </w:p>
    <w:p>
      <w:pPr>
        <w:keepLines w:val="0"/>
        <w:pageBreakBefore w:val="0"/>
        <w:tabs>
          <w:tab w:val="left" w:pos="0"/>
        </w:tabs>
        <w:kinsoku/>
        <w:wordWrap/>
        <w:overflowPunct/>
        <w:topLinePunct w:val="0"/>
        <w:bidi w:val="0"/>
        <w:snapToGrid w:val="0"/>
        <w:spacing w:line="560" w:lineRule="exact"/>
        <w:rPr>
          <w:rFonts w:hint="eastAsia" w:ascii="仿宋" w:hAnsi="仿宋" w:eastAsia="仿宋" w:cs="仿宋"/>
          <w:b/>
          <w:bCs/>
          <w:color w:val="auto"/>
          <w:sz w:val="32"/>
          <w:szCs w:val="32"/>
          <w:highlight w:val="none"/>
        </w:rPr>
      </w:pPr>
    </w:p>
    <w:p>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pPr>
        <w:keepLines w:val="0"/>
        <w:pageBreakBefore w:val="0"/>
        <w:kinsoku/>
        <w:wordWrap/>
        <w:overflowPunct/>
        <w:topLinePunct w:val="0"/>
        <w:bidi w:val="0"/>
        <w:spacing w:line="560" w:lineRule="exact"/>
        <w:rPr>
          <w:color w:val="auto"/>
          <w:highlight w:val="none"/>
        </w:rPr>
      </w:pPr>
    </w:p>
    <w:p>
      <w:pPr>
        <w:keepLines w:val="0"/>
        <w:pageBreakBefore w:val="0"/>
        <w:widowControl/>
        <w:kinsoku/>
        <w:wordWrap/>
        <w:overflowPunct/>
        <w:topLinePunct w:val="0"/>
        <w:bidi w:val="0"/>
        <w:spacing w:line="560" w:lineRule="exact"/>
        <w:jc w:val="center"/>
        <w:textAlignment w:val="center"/>
        <w:rPr>
          <w:color w:val="auto"/>
          <w:highlight w:val="none"/>
        </w:rPr>
      </w:pPr>
      <w:r>
        <w:rPr>
          <w:rFonts w:hint="eastAsia" w:ascii="宋体" w:hAnsi="宋体" w:cs="宋体"/>
          <w:color w:val="auto"/>
          <w:kern w:val="0"/>
          <w:sz w:val="44"/>
          <w:szCs w:val="44"/>
          <w:highlight w:val="none"/>
          <w:lang w:bidi="ar"/>
        </w:rPr>
        <w:t>龙岗区第七人民医院采购合同</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p>
    <w:p>
      <w:pPr>
        <w:keepLines w:val="0"/>
        <w:pageBreakBefore w:val="0"/>
        <w:kinsoku/>
        <w:wordWrap/>
        <w:overflowPunct/>
        <w:topLinePunct w:val="0"/>
        <w:bidi w:val="0"/>
        <w:spacing w:line="560" w:lineRule="exact"/>
        <w:ind w:left="1959" w:leftChars="266" w:hanging="1400" w:hangingChars="500"/>
        <w:jc w:val="left"/>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_GB2312" w:hAnsi="仿宋_GB2312" w:eastAsia="仿宋_GB2312" w:cs="仿宋_GB2312"/>
          <w:color w:val="auto"/>
          <w:sz w:val="32"/>
          <w:szCs w:val="32"/>
          <w:highlight w:val="none"/>
          <w:lang w:val="en-US" w:eastAsia="zh-CN"/>
        </w:rPr>
        <w:t>深圳市龙岗区第七人民医院XXXXXX采购项目</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_GB2312"/>
          <w:color w:val="auto"/>
          <w:sz w:val="28"/>
          <w:szCs w:val="28"/>
          <w:highlight w:val="none"/>
          <w:u w:val="single"/>
        </w:rPr>
        <w:t>深龙七医采【】号</w:t>
      </w:r>
    </w:p>
    <w:p>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项目类型：</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货物</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采购单位（甲方）：</w:t>
      </w:r>
      <w:r>
        <w:rPr>
          <w:rFonts w:hint="eastAsia" w:ascii="仿宋" w:hAnsi="仿宋" w:eastAsia="仿宋"/>
          <w:color w:val="auto"/>
          <w:sz w:val="28"/>
          <w:szCs w:val="28"/>
          <w:highlight w:val="none"/>
          <w:u w:val="single"/>
        </w:rPr>
        <w:t>深圳市龙岗区第七人民医院</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 应 商（乙方）：</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根据《中华人民共和国政府采购法》《中华人民共和国民法典》《深圳经济特区政府采购条例实施细则》《深圳经济特区政府采购条例》等法律法规的规定，甲乙双方按照</w:t>
      </w:r>
      <w:r>
        <w:rPr>
          <w:rFonts w:hint="eastAsia" w:ascii="仿宋" w:hAnsi="仿宋" w:eastAsia="仿宋" w:cs="仿宋"/>
          <w:color w:val="auto"/>
          <w:sz w:val="28"/>
          <w:szCs w:val="28"/>
          <w:highlight w:val="none"/>
          <w:u w:val="single"/>
        </w:rPr>
        <w:t>龙岗区第七人民医院</w:t>
      </w:r>
      <w:r>
        <w:rPr>
          <w:rFonts w:hint="eastAsia" w:ascii="仿宋" w:hAnsi="仿宋" w:eastAsia="仿宋" w:cs="仿宋"/>
          <w:color w:val="auto"/>
          <w:sz w:val="28"/>
          <w:szCs w:val="28"/>
          <w:highlight w:val="none"/>
        </w:rPr>
        <w:t>的招标结果并经双方协商签订本合同。</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合同标的</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乙方根据甲方需求提供下列货物：</w:t>
      </w:r>
    </w:p>
    <w:p>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货物名称、规格及单价</w:t>
      </w:r>
      <w:r>
        <w:rPr>
          <w:rFonts w:hint="eastAsia" w:ascii="仿宋" w:hAnsi="仿宋" w:eastAsia="仿宋" w:cs="宋体"/>
          <w:color w:val="auto"/>
          <w:sz w:val="28"/>
          <w:szCs w:val="28"/>
          <w:highlight w:val="none"/>
          <w:u w:val="single"/>
        </w:rPr>
        <w:t>见附件 “供货一览表”</w:t>
      </w:r>
      <w:r>
        <w:rPr>
          <w:rFonts w:hint="eastAsia" w:ascii="仿宋" w:hAnsi="仿宋" w:eastAsia="仿宋" w:cs="宋体"/>
          <w:color w:val="auto"/>
          <w:sz w:val="28"/>
          <w:szCs w:val="28"/>
          <w:highlight w:val="none"/>
        </w:rPr>
        <w:t>。</w:t>
      </w:r>
    </w:p>
    <w:p>
      <w:pPr>
        <w:keepLines w:val="0"/>
        <w:pageBreakBefore w:val="0"/>
        <w:widowControl/>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第二条  合同总价款</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1.本合同总金额为（大写）人民币</w:t>
      </w:r>
      <w:r>
        <w:rPr>
          <w:rFonts w:hint="eastAsia" w:ascii="仿宋" w:hAnsi="仿宋" w:eastAsia="仿宋" w:cs="宋体"/>
          <w:b/>
          <w:color w:val="auto"/>
          <w:sz w:val="28"/>
          <w:szCs w:val="28"/>
          <w:highlight w:val="none"/>
          <w:u w:val="single"/>
        </w:rPr>
        <w:t xml:space="preserve">     元整</w:t>
      </w:r>
      <w:r>
        <w:rPr>
          <w:rFonts w:hint="eastAsia" w:ascii="仿宋" w:hAnsi="仿宋" w:eastAsia="仿宋" w:cs="仿宋"/>
          <w:color w:val="auto"/>
          <w:sz w:val="28"/>
          <w:szCs w:val="28"/>
          <w:highlight w:val="none"/>
        </w:rPr>
        <w:t>（）。</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 本合同金额</w:t>
      </w:r>
      <w:r>
        <w:rPr>
          <w:rFonts w:hint="eastAsia" w:ascii="仿宋" w:hAnsi="仿宋" w:eastAsia="仿宋" w:cs="仿宋_GB2312"/>
          <w:color w:val="auto"/>
          <w:sz w:val="28"/>
          <w:szCs w:val="28"/>
          <w:highlight w:val="none"/>
        </w:rPr>
        <w:t>包含货物价格及货物的包装费、运输费、保修费、保险费、伴随服务费及货物验收之前的所有含税金额。</w:t>
      </w:r>
    </w:p>
    <w:p>
      <w:pPr>
        <w:pStyle w:val="25"/>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第三条  组成本合同的有关文件</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下列关于采购（项目编号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的招投标文件或与本次采购活动方式相适应的文件及有关附件是本合同不可分割的组成部分，与本合同具有同等法律效力，这些文件包括但不限于：</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（1）乙方提供的投标文件（含澄清文件）和投标报价表；</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（2）供货一览表；　　    （3）交货地点一览表；</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（4）技术规格响应表；　　（5）投标承诺；</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（6）服务承诺；　　      （7）中标或成交通知书；</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（8）招标文件（含招标文件补充通知）；</w:t>
      </w:r>
    </w:p>
    <w:p>
      <w:pPr>
        <w:pStyle w:val="25"/>
        <w:keepLines w:val="0"/>
        <w:pageBreakBefore w:val="0"/>
        <w:widowControl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（9）甲乙双方商定的其他合同补充条款或协议。 </w:t>
      </w:r>
    </w:p>
    <w:p>
      <w:pPr>
        <w:keepLines w:val="0"/>
        <w:pageBreakBefore w:val="0"/>
        <w:kinsoku/>
        <w:wordWrap/>
        <w:overflowPunct/>
        <w:topLinePunct w:val="0"/>
        <w:bidi w:val="0"/>
        <w:spacing w:line="560" w:lineRule="exact"/>
        <w:ind w:firstLine="562" w:firstLineChars="200"/>
        <w:rPr>
          <w:rFonts w:ascii="仿宋" w:hAnsi="仿宋" w:eastAsia="仿宋" w:cs="宋体"/>
          <w:b/>
          <w:color w:val="auto"/>
          <w:sz w:val="28"/>
          <w:szCs w:val="28"/>
          <w:highlight w:val="none"/>
        </w:rPr>
      </w:pPr>
      <w:r>
        <w:rPr>
          <w:rFonts w:hint="eastAsia" w:ascii="仿宋" w:hAnsi="仿宋" w:eastAsia="仿宋" w:cs="宋体"/>
          <w:b/>
          <w:color w:val="auto"/>
          <w:sz w:val="28"/>
          <w:szCs w:val="28"/>
          <w:highlight w:val="none"/>
        </w:rPr>
        <w:t>第四条  权利保证</w:t>
      </w:r>
    </w:p>
    <w:p>
      <w:pPr>
        <w:keepLines w:val="0"/>
        <w:pageBreakBefore w:val="0"/>
        <w:kinsoku/>
        <w:wordWrap/>
        <w:overflowPunct/>
        <w:topLinePunct w:val="0"/>
        <w:bidi w:val="0"/>
        <w:spacing w:line="560" w:lineRule="exact"/>
        <w:ind w:firstLine="560" w:firstLineChars="200"/>
        <w:rPr>
          <w:rFonts w:ascii="仿宋" w:hAnsi="仿宋" w:eastAsia="仿宋" w:cs="仿宋"/>
          <w:b/>
          <w:color w:val="auto"/>
          <w:sz w:val="28"/>
          <w:szCs w:val="28"/>
          <w:highlight w:val="none"/>
        </w:rPr>
      </w:pPr>
      <w:r>
        <w:rPr>
          <w:rFonts w:hint="eastAsia" w:ascii="仿宋" w:hAnsi="仿宋" w:eastAsia="仿宋" w:cs="宋体"/>
          <w:color w:val="auto"/>
          <w:sz w:val="28"/>
          <w:szCs w:val="28"/>
          <w:highlight w:val="none"/>
        </w:rPr>
        <w:t>乙方应保证甲方在使用、接受本合同货物和服务或其任何一部分时不受第三方提出侵犯其专利权、版权、商标权和工业设计权等知识产权以及所有权、使用权等物权方面的起诉。</w:t>
      </w:r>
      <w:r>
        <w:rPr>
          <w:rFonts w:hint="eastAsia" w:ascii="仿宋" w:hAnsi="仿宋" w:eastAsia="仿宋" w:cs="仿宋"/>
          <w:color w:val="auto"/>
          <w:sz w:val="28"/>
          <w:szCs w:val="28"/>
          <w:highlight w:val="none"/>
        </w:rPr>
        <w:t>一旦出现侵权相关纠纷</w:t>
      </w:r>
      <w:r>
        <w:rPr>
          <w:rFonts w:hint="eastAsia" w:ascii="仿宋" w:hAnsi="仿宋" w:eastAsia="仿宋" w:cs="宋体"/>
          <w:color w:val="auto"/>
          <w:sz w:val="28"/>
          <w:szCs w:val="28"/>
          <w:highlight w:val="none"/>
        </w:rPr>
        <w:t>，</w:t>
      </w:r>
      <w:r>
        <w:rPr>
          <w:rFonts w:hint="eastAsia" w:ascii="仿宋" w:hAnsi="仿宋" w:eastAsia="仿宋" w:cs="仿宋"/>
          <w:color w:val="auto"/>
          <w:sz w:val="28"/>
          <w:szCs w:val="28"/>
          <w:highlight w:val="none"/>
        </w:rPr>
        <w:t>由乙方负全部责任包含因此纠纷甲方支付的全部赔偿和费用。</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第五条  质量保证  </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1.乙方所提供的货物的技术规格符合招标文件规定的技术规格，货物符合中华人民共和国的设计和制造生产标准或行业标准。</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2.乙方应保证货物是全新、未使用过的原装合格正品（包括零部件），并完全符合甲方要求的质量、规格和性能的要求。如货物安装或配置了软件的，乙方保证相关软件均为正版软件。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3.乙方保证交货时一并提供货物的质量合格凭证或文件。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4.乙方应保证其提供的货物在正确安装、正常使用和保养</w:t>
      </w:r>
      <w:r>
        <w:rPr>
          <w:rFonts w:hint="eastAsia" w:ascii="仿宋" w:hAnsi="仿宋" w:eastAsia="仿宋" w:cs="仿宋"/>
          <w:color w:val="auto"/>
          <w:sz w:val="28"/>
          <w:szCs w:val="28"/>
          <w:highlight w:val="none"/>
          <w:u w:val="none"/>
        </w:rPr>
        <w:t>条件</w:t>
      </w:r>
      <w:r>
        <w:rPr>
          <w:rFonts w:hint="eastAsia" w:ascii="仿宋" w:hAnsi="仿宋" w:eastAsia="仿宋" w:cs="仿宋"/>
          <w:color w:val="auto"/>
          <w:sz w:val="28"/>
          <w:szCs w:val="28"/>
          <w:highlight w:val="none"/>
        </w:rPr>
        <w:t>下，在其使用寿命内具有良好的性能。</w:t>
      </w:r>
    </w:p>
    <w:p>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5.在质量保证期内，乙方应对由于设计、工艺、材料的缺陷或不足发生的质量问题检测、检定等所产生的一切费用负责。</w:t>
      </w:r>
    </w:p>
    <w:p>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第六条包装和运输</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1.包装要求除双方另有约定外，按照乙方公司或生产厂家包装规范予以包装。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2.乙方供货的包装标准，应满足运输要求并能有效保护货物，乙方应确保运抵甲方处货物的完好性，包装费用由乙方承担。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3.乙方负责送货上门，乙方应确保产品运输的安全性。乙方将货物运至双方约定的交付地点，卸载、摆放至甲方指定的位置，并办理相关交货手续，运费由乙方承担。</w:t>
      </w:r>
    </w:p>
    <w:p>
      <w:pPr>
        <w:keepLines w:val="0"/>
        <w:pageBreakBefore w:val="0"/>
        <w:kinsoku/>
        <w:wordWrap/>
        <w:overflowPunct/>
        <w:topLinePunct w:val="0"/>
        <w:bidi w:val="0"/>
        <w:spacing w:line="560" w:lineRule="exact"/>
        <w:ind w:firstLine="562" w:firstLineChars="200"/>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第七条 交付和验收 </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1.交货时间：合同签订之日起个日历日内。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2.交货地点：深圳市龙岗区第七人民医院或指定的其他地点。</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3.交货方式：乙方按合同或招投标文件规定供货的品种、规格、数量、质量、时间等</w:t>
      </w:r>
      <w:r>
        <w:rPr>
          <w:rFonts w:hint="eastAsia" w:ascii="仿宋" w:hAnsi="仿宋" w:eastAsia="仿宋" w:cs="仿宋_GB2312"/>
          <w:color w:val="auto"/>
          <w:sz w:val="28"/>
          <w:szCs w:val="28"/>
          <w:highlight w:val="none"/>
        </w:rPr>
        <w:t>（具体以合同及采购订单的要求为准）</w:t>
      </w:r>
      <w:r>
        <w:rPr>
          <w:rFonts w:hint="eastAsia" w:ascii="仿宋" w:hAnsi="仿宋" w:eastAsia="仿宋" w:cs="仿宋"/>
          <w:color w:val="auto"/>
          <w:sz w:val="28"/>
          <w:szCs w:val="28"/>
          <w:highlight w:val="none"/>
        </w:rPr>
        <w:t>将所需货物运送到甲方指定地点，所产生的一切费用由乙方负责。</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（1）乙方交付的货物应当完全符合招投标文件所规定的货物、数量、质量和规格要求。乙方提供的货物不符合招投标文件和合同规定的，甲方有权拒收货物，由此引起的风险，由乙方承担。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（3）由甲、乙双方及使用科室代表对货物进行验收，需要乙方对货物或系统进行安装调试的，双方应在货物安装调试完毕后的（）个工作日内进行质量验收，在甲方现场验收和培训发生的一切费用由乙方承担。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（4）货物的到货验收包括：型号、规格、数量、外观、质量及货物包装是否符合招标、投标文件以及合同等规定的标准。</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验收时以乙方投标文件中的技术规格偏离表为准；产品配置如《合同》中约定的标准与招投标文件不符时，适用标准应以对甲方有利的标准优先适用，甲方有权选择决定适用何种标准，乙方应予以配合。如招投标文件的内容与《合同书》不一致时，甲方有权选择对其有利的约定来要求乙方履行，乙方须予以配合，否则甲方有权解除合同。</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（6）其他约定：</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伴随服务/售后服务</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1.乙方可能被要求提供下列服务中的一项或全部服务。</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（1）产品的现场搬运或入库；</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（2）提供产品开箱或分装的用具；</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（3）对开箱时发现的破损、近效期产品或其他不合格包装产品无条件及时更换；</w:t>
      </w:r>
    </w:p>
    <w:p>
      <w:pPr>
        <w:pStyle w:val="25"/>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（4）其他乙方应提供的相关服务项目。</w:t>
      </w:r>
    </w:p>
    <w:p>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2.乙方应保证提供的货物质保期为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，应按照国家有关 “三包”规定和招标文件要求及乙方投标文件的相关承诺提供保修及其他服务。</w:t>
      </w:r>
    </w:p>
    <w:p>
      <w:pPr>
        <w:keepLines w:val="0"/>
        <w:pageBreakBefore w:val="0"/>
        <w:kinsoku/>
        <w:wordWrap/>
        <w:overflowPunct/>
        <w:topLinePunct w:val="0"/>
        <w:bidi w:val="0"/>
        <w:snapToGrid w:val="0"/>
        <w:spacing w:line="56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3.保修期为</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rPr>
        <w:t>。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第九条  付款方式</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以转账方式付款，以实收货物的数量为准，验收合格后，收到供应商合法发票后（）日内一次性付款，或按深圳市龙岗区财政局有关规定执行。</w:t>
      </w:r>
    </w:p>
    <w:p>
      <w:pPr>
        <w:keepLines w:val="0"/>
        <w:pageBreakBefore w:val="0"/>
        <w:kinsoku/>
        <w:wordWrap/>
        <w:overflowPunct/>
        <w:topLinePunct w:val="0"/>
        <w:bidi w:val="0"/>
        <w:spacing w:line="560" w:lineRule="exact"/>
        <w:ind w:firstLine="562" w:firstLineChars="200"/>
        <w:rPr>
          <w:rFonts w:ascii="仿宋" w:hAnsi="仿宋" w:eastAsia="仿宋" w:cs="宋体"/>
          <w:color w:val="auto"/>
          <w:sz w:val="28"/>
          <w:szCs w:val="28"/>
          <w:highlight w:val="none"/>
        </w:rPr>
      </w:pPr>
      <w:r>
        <w:rPr>
          <w:rFonts w:hint="eastAsia" w:ascii="仿宋" w:hAnsi="仿宋" w:eastAsia="仿宋" w:cs="宋体"/>
          <w:b/>
          <w:color w:val="auto"/>
          <w:sz w:val="28"/>
          <w:szCs w:val="28"/>
          <w:highlight w:val="none"/>
        </w:rPr>
        <w:t>第十条  合同的变更、终止与转让</w:t>
      </w:r>
    </w:p>
    <w:p>
      <w:pPr>
        <w:keepLines w:val="0"/>
        <w:pageBreakBefore w:val="0"/>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1.除《</w:t>
      </w:r>
      <w:r>
        <w:rPr>
          <w:rFonts w:hint="eastAsia" w:ascii="仿宋" w:hAnsi="仿宋" w:eastAsia="仿宋" w:cs="仿宋"/>
          <w:color w:val="auto"/>
          <w:sz w:val="28"/>
          <w:szCs w:val="28"/>
          <w:highlight w:val="none"/>
        </w:rPr>
        <w:t>中华人民共和国政府采购法</w:t>
      </w:r>
      <w:r>
        <w:rPr>
          <w:rFonts w:hint="eastAsia" w:ascii="仿宋" w:hAnsi="仿宋" w:eastAsia="仿宋" w:cs="宋体"/>
          <w:color w:val="auto"/>
          <w:sz w:val="28"/>
          <w:szCs w:val="28"/>
          <w:highlight w:val="none"/>
        </w:rPr>
        <w:t xml:space="preserve">》第49条、第50条第二款规定的情形外，本合同一经签订，甲乙双方不得擅自变更、中止或终止合同。  </w:t>
      </w:r>
    </w:p>
    <w:p>
      <w:pPr>
        <w:keepLines w:val="0"/>
        <w:pageBreakBefore w:val="0"/>
        <w:kinsoku/>
        <w:wordWrap/>
        <w:overflowPunct/>
        <w:topLinePunct w:val="0"/>
        <w:bidi w:val="0"/>
        <w:spacing w:line="560" w:lineRule="exact"/>
        <w:ind w:firstLine="560" w:firstLineChars="200"/>
        <w:rPr>
          <w:rFonts w:ascii="仿宋" w:hAnsi="仿宋" w:eastAsia="仿宋" w:cs="仿宋"/>
          <w:color w:val="auto"/>
          <w:kern w:val="0"/>
          <w:sz w:val="28"/>
          <w:szCs w:val="28"/>
          <w:highlight w:val="none"/>
        </w:rPr>
      </w:pPr>
      <w:r>
        <w:rPr>
          <w:rFonts w:hint="eastAsia" w:ascii="仿宋" w:hAnsi="仿宋" w:eastAsia="仿宋" w:cs="宋体"/>
          <w:color w:val="auto"/>
          <w:sz w:val="28"/>
          <w:szCs w:val="28"/>
          <w:highlight w:val="none"/>
        </w:rPr>
        <w:t>2.乙方不得擅自部分或全部转让其应履行的</w:t>
      </w:r>
      <w:r>
        <w:rPr>
          <w:rFonts w:hint="eastAsia" w:ascii="仿宋" w:hAnsi="仿宋" w:eastAsia="仿宋" w:cs="宋体"/>
          <w:color w:val="auto"/>
          <w:sz w:val="28"/>
          <w:szCs w:val="28"/>
          <w:highlight w:val="none"/>
          <w:u w:val="none"/>
        </w:rPr>
        <w:t>合同义务</w:t>
      </w:r>
      <w:r>
        <w:rPr>
          <w:rFonts w:hint="eastAsia" w:ascii="仿宋" w:hAnsi="仿宋" w:eastAsia="仿宋" w:cs="宋体"/>
          <w:color w:val="auto"/>
          <w:sz w:val="28"/>
          <w:szCs w:val="28"/>
          <w:highlight w:val="none"/>
        </w:rPr>
        <w:t>，否则甲方有权终止合同，并有权要求乙方支付违约金，违约金按本合同总金额的（）%计算。</w:t>
      </w:r>
    </w:p>
    <w:p>
      <w:pPr>
        <w:keepLines w:val="0"/>
        <w:pageBreakBefore w:val="0"/>
        <w:kinsoku/>
        <w:wordWrap/>
        <w:overflowPunct/>
        <w:topLinePunct w:val="0"/>
        <w:bidi w:val="0"/>
        <w:spacing w:line="56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第十一条  违约责任</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1.甲方无正当理由拒收货物、拒付货物款的，由甲方向乙方偿付拒收货物总价的（）%违约金。</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2.甲方未按合同规定的期限向乙方支付货款的，每逾期1天甲方向乙方偿付欠款总额的（）%滞纳金，但累计滞纳金总额不超过欠款总额的（）%。</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3.乙方逾期交付货物的，每逾期1天，乙方向甲方偿付逾期交货部分货款总额的（）%的滞纳金。如超过供货期30天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甲方有权终止合同，同时乙方应向甲方支付合同总价（</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%的违约金。给甲方造成损失的将通过法律程序向乙方进行索赔。</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4.乙方所交付的货物品种、型号、规格不符合合同规定的，甲方有权拒收。甲方拒收的，乙方应向甲方支付货款总额（）%的违约金。</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5.在乙方承诺的或国家规定的质量保证期内（取两者中最长的期限），如经乙方两次更换，货物仍不能达到合同约定的质量标准，甲方有权退货，乙方应退回全部货款。并解除合同</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6.乙方未按本合同的规定和“服务承诺”提供伴随服务/售后服务的，应按合同总价款的（）%向甲方承担违约责任。</w:t>
      </w:r>
    </w:p>
    <w:p>
      <w:pPr>
        <w:keepLines w:val="0"/>
        <w:pageBreakBefore w:val="0"/>
        <w:widowControl/>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7.</w:t>
      </w:r>
      <w:r>
        <w:rPr>
          <w:rFonts w:hint="eastAsia" w:ascii="仿宋" w:hAnsi="仿宋" w:eastAsia="仿宋" w:cs="仿宋"/>
          <w:color w:val="auto"/>
          <w:sz w:val="28"/>
          <w:szCs w:val="28"/>
          <w:highlight w:val="none"/>
        </w:rPr>
        <w:t>乙方在承担上述3-6款一项或多项违约责任后，仍应继续履行合同规定的义务（甲方解除合同的除外）。甲方未能及时追究乙方的任何一项违约责任并不表明甲方放弃追究乙方该项或其他违约责任。</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8.未列入以上条款的其他违规事项，则按照《中华人民共和国招标投标法》法律责任条款处理。</w:t>
      </w:r>
    </w:p>
    <w:p>
      <w:pPr>
        <w:keepLines w:val="0"/>
        <w:pageBreakBefore w:val="0"/>
        <w:widowControl/>
        <w:kinsoku/>
        <w:wordWrap/>
        <w:overflowPunct/>
        <w:topLinePunct w:val="0"/>
        <w:bidi w:val="0"/>
        <w:spacing w:line="560" w:lineRule="exact"/>
        <w:ind w:firstLine="560" w:firstLineChars="200"/>
        <w:rPr>
          <w:rFonts w:ascii="仿宋" w:hAnsi="仿宋" w:eastAsia="仿宋" w:cs="宋体"/>
          <w:color w:val="auto"/>
          <w:sz w:val="28"/>
          <w:szCs w:val="28"/>
          <w:highlight w:val="none"/>
        </w:rPr>
      </w:pPr>
      <w:r>
        <w:rPr>
          <w:rFonts w:hint="eastAsia" w:ascii="仿宋" w:hAnsi="仿宋" w:eastAsia="仿宋" w:cs="仿宋"/>
          <w:color w:val="auto"/>
          <w:sz w:val="28"/>
          <w:szCs w:val="28"/>
          <w:highlight w:val="none"/>
        </w:rPr>
        <w:t>11.其他。</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免责条款</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第十三条  合同争议解决</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1.因货物质量问题发生争议的，应邀请国家认可的质量检测机构对货物质量进行鉴定。货物符合标准的，鉴定费由甲方承担；货物不符合标准的，鉴定费由乙方承担。</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2.因履行本合同引起的或与本合同有关的争议，甲乙双方应首先通过友好协商解决。如果协商不能解决，向甲方所在地人民法院提起诉讼。</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本合同附件</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以下附件及乙方投标时提供的投标文件和其他相关资料作为本合同的补充内容，具有同等法律效力。</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附件1：供货一览表（加盖公章）；</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附件2：产品销售廉洁协议书</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附件3：龙岗区进一步规范政商交往行为告知书；</w:t>
      </w:r>
    </w:p>
    <w:p>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附件4：售后服务承诺（加盖公章）。</w:t>
      </w:r>
    </w:p>
    <w:p>
      <w:pPr>
        <w:keepLines w:val="0"/>
        <w:pageBreakBefore w:val="0"/>
        <w:kinsoku/>
        <w:wordWrap/>
        <w:overflowPunct/>
        <w:topLinePunct w:val="0"/>
        <w:bidi w:val="0"/>
        <w:spacing w:line="56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第十五条  合同生效及其他</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1.合同经双方法定代表人或授权代表人签字并加盖单位公章或合同专用章后生效。</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2.其他约定条款：</w:t>
      </w:r>
    </w:p>
    <w:p>
      <w:pPr>
        <w:keepLines w:val="0"/>
        <w:pageBreakBefore w:val="0"/>
        <w:kinsoku/>
        <w:wordWrap/>
        <w:overflowPunct/>
        <w:topLinePunct w:val="0"/>
        <w:bidi w:val="0"/>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3.本合同未尽事宜，遵照《中华人民共和国民法典》有关条文执行。</w:t>
      </w:r>
    </w:p>
    <w:p>
      <w:pPr>
        <w:keepLines w:val="0"/>
        <w:pageBreakBefore w:val="0"/>
        <w:kinsoku/>
        <w:wordWrap/>
        <w:overflowPunct/>
        <w:topLinePunct w:val="0"/>
        <w:bidi w:val="0"/>
        <w:spacing w:line="560" w:lineRule="exact"/>
        <w:ind w:firstLine="560" w:firstLineChars="200"/>
        <w:rPr>
          <w:color w:val="auto"/>
          <w:highlight w:val="none"/>
        </w:rPr>
      </w:pPr>
      <w:r>
        <w:rPr>
          <w:rFonts w:hint="eastAsia" w:ascii="仿宋" w:hAnsi="仿宋" w:eastAsia="仿宋" w:cs="仿宋"/>
          <w:color w:val="auto"/>
          <w:sz w:val="28"/>
          <w:szCs w:val="28"/>
          <w:highlight w:val="none"/>
        </w:rPr>
        <w:t>4.本合同正本一式</w:t>
      </w:r>
      <w:r>
        <w:rPr>
          <w:rFonts w:hint="eastAsia" w:ascii="仿宋" w:hAnsi="仿宋" w:eastAsia="仿宋" w:cs="仿宋"/>
          <w:color w:val="auto"/>
          <w:sz w:val="28"/>
          <w:szCs w:val="28"/>
          <w:highlight w:val="none"/>
          <w:u w:val="single"/>
        </w:rPr>
        <w:t>肆</w:t>
      </w:r>
      <w:r>
        <w:rPr>
          <w:rFonts w:hint="eastAsia" w:ascii="仿宋" w:hAnsi="仿宋" w:eastAsia="仿宋" w:cs="仿宋"/>
          <w:color w:val="auto"/>
          <w:sz w:val="28"/>
          <w:szCs w:val="28"/>
          <w:highlight w:val="none"/>
        </w:rPr>
        <w:t>份，具有同等法律效力，甲方执</w:t>
      </w:r>
      <w:r>
        <w:rPr>
          <w:rFonts w:hint="eastAsia" w:ascii="仿宋" w:hAnsi="仿宋" w:eastAsia="仿宋" w:cs="仿宋"/>
          <w:color w:val="auto"/>
          <w:sz w:val="28"/>
          <w:szCs w:val="28"/>
          <w:highlight w:val="none"/>
          <w:u w:val="single"/>
        </w:rPr>
        <w:t>叁</w:t>
      </w:r>
      <w:r>
        <w:rPr>
          <w:rFonts w:hint="eastAsia" w:ascii="仿宋" w:hAnsi="仿宋" w:eastAsia="仿宋" w:cs="仿宋"/>
          <w:color w:val="auto"/>
          <w:sz w:val="28"/>
          <w:szCs w:val="28"/>
          <w:highlight w:val="none"/>
        </w:rPr>
        <w:t>份；乙方执</w:t>
      </w:r>
      <w:r>
        <w:rPr>
          <w:rFonts w:hint="eastAsia" w:ascii="仿宋" w:hAnsi="仿宋" w:eastAsia="仿宋" w:cs="仿宋"/>
          <w:color w:val="auto"/>
          <w:sz w:val="28"/>
          <w:szCs w:val="28"/>
          <w:highlight w:val="none"/>
          <w:u w:val="single"/>
        </w:rPr>
        <w:t>壹</w:t>
      </w:r>
      <w:r>
        <w:rPr>
          <w:rFonts w:hint="eastAsia" w:ascii="仿宋" w:hAnsi="仿宋" w:eastAsia="仿宋" w:cs="仿宋"/>
          <w:color w:val="auto"/>
          <w:sz w:val="28"/>
          <w:szCs w:val="28"/>
          <w:highlight w:val="none"/>
        </w:rPr>
        <w:t>份。</w:t>
      </w:r>
    </w:p>
    <w:tbl>
      <w:tblPr>
        <w:tblStyle w:val="20"/>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4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甲方：深圳市龙岗区第七人民医院</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纳税人识别号</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12440307G34813567P</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开户银行：</w:t>
            </w:r>
          </w:p>
        </w:tc>
        <w:tc>
          <w:tcPr>
            <w:tcW w:w="4314" w:type="dxa"/>
            <w:noWrap/>
          </w:tcPr>
          <w:p>
            <w:pPr>
              <w:keepLines w:val="0"/>
              <w:pageBreakBefore w:val="0"/>
              <w:kinsoku/>
              <w:wordWrap/>
              <w:overflowPunct/>
              <w:topLinePunct w:val="0"/>
              <w:bidi w:val="0"/>
              <w:spacing w:line="560" w:lineRule="exact"/>
              <w:rPr>
                <w:rFonts w:ascii="仿宋" w:hAnsi="仿宋" w:eastAsia="仿宋" w:cs="仿宋"/>
                <w:color w:val="auto"/>
                <w:sz w:val="24"/>
                <w:highlight w:val="none"/>
              </w:rPr>
            </w:pPr>
            <w:r>
              <w:rPr>
                <w:rFonts w:hint="eastAsia" w:ascii="仿宋" w:hAnsi="仿宋" w:eastAsia="仿宋" w:cs="仿宋"/>
                <w:b/>
                <w:bCs/>
                <w:color w:val="auto"/>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00" w:type="dxa"/>
            <w:noWrap/>
          </w:tcPr>
          <w:p>
            <w:pPr>
              <w:keepLines w:val="0"/>
              <w:pageBreakBefore w:val="0"/>
              <w:kinsoku/>
              <w:wordWrap/>
              <w:overflowPunct/>
              <w:topLinePunct w:val="0"/>
              <w:bidi w:val="0"/>
              <w:spacing w:line="560" w:lineRule="exact"/>
              <w:rPr>
                <w:rFonts w:ascii="仿宋" w:hAnsi="仿宋" w:eastAsia="仿宋" w:cs="仿宋"/>
                <w:color w:val="auto"/>
                <w:kern w:val="0"/>
                <w:sz w:val="24"/>
                <w:highlight w:val="none"/>
              </w:rPr>
            </w:pPr>
            <w:r>
              <w:rPr>
                <w:rFonts w:hint="eastAsia" w:ascii="仿宋" w:hAnsi="仿宋" w:eastAsia="仿宋" w:cs="仿宋"/>
                <w:b/>
                <w:bCs/>
                <w:color w:val="auto"/>
                <w:sz w:val="24"/>
                <w:highlight w:val="none"/>
              </w:rPr>
              <w:t>账    号：</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sz w:val="24"/>
                <w:highlight w:val="none"/>
              </w:rPr>
              <w:t>电话：</w:t>
            </w:r>
          </w:p>
        </w:tc>
        <w:tc>
          <w:tcPr>
            <w:tcW w:w="4314" w:type="dxa"/>
            <w:noWrap/>
          </w:tcPr>
          <w:p>
            <w:pPr>
              <w:keepLines w:val="0"/>
              <w:pageBreakBefore w:val="0"/>
              <w:kinsoku/>
              <w:wordWrap/>
              <w:overflowPunct/>
              <w:topLinePunct w:val="0"/>
              <w:bidi w:val="0"/>
              <w:spacing w:line="56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4900" w:type="dxa"/>
            <w:noWrap/>
          </w:tcPr>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甲方法定代表人（签字）：</w:t>
            </w:r>
          </w:p>
          <w:p>
            <w:pPr>
              <w:pStyle w:val="6"/>
              <w:keepLines w:val="0"/>
              <w:pageBreakBefore w:val="0"/>
              <w:kinsoku/>
              <w:wordWrap/>
              <w:overflowPunct/>
              <w:topLinePunct w:val="0"/>
              <w:bidi w:val="0"/>
              <w:spacing w:line="560" w:lineRule="exact"/>
              <w:ind w:firstLine="0"/>
              <w:rPr>
                <w:color w:val="auto"/>
                <w:highlight w:val="none"/>
              </w:rPr>
            </w:pPr>
          </w:p>
          <w:p>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授权人</w:t>
            </w:r>
          </w:p>
        </w:tc>
        <w:tc>
          <w:tcPr>
            <w:tcW w:w="4314" w:type="dxa"/>
            <w:noWrap/>
          </w:tcPr>
          <w:p>
            <w:pPr>
              <w:keepLines w:val="0"/>
              <w:pageBreakBefore w:val="0"/>
              <w:kinsoku/>
              <w:wordWrap/>
              <w:overflowPunct/>
              <w:topLinePunct w:val="0"/>
              <w:bidi w:val="0"/>
              <w:spacing w:line="560" w:lineRule="exact"/>
              <w:rPr>
                <w:color w:val="auto"/>
                <w:highlight w:val="none"/>
              </w:rPr>
            </w:pPr>
            <w:r>
              <w:rPr>
                <w:rFonts w:hint="eastAsia" w:ascii="仿宋" w:hAnsi="仿宋" w:eastAsia="仿宋" w:cs="仿宋"/>
                <w:b/>
                <w:bCs/>
                <w:color w:val="auto"/>
                <w:kern w:val="0"/>
                <w:sz w:val="24"/>
                <w:highlight w:val="none"/>
              </w:rPr>
              <w:t>乙方法定代表人（签字）：</w:t>
            </w:r>
          </w:p>
          <w:p>
            <w:pPr>
              <w:pStyle w:val="6"/>
              <w:keepLines w:val="0"/>
              <w:pageBreakBefore w:val="0"/>
              <w:kinsoku/>
              <w:wordWrap/>
              <w:overflowPunct/>
              <w:topLinePunct w:val="0"/>
              <w:bidi w:val="0"/>
              <w:spacing w:line="560" w:lineRule="exact"/>
              <w:ind w:firstLine="0"/>
              <w:rPr>
                <w:color w:val="auto"/>
                <w:highlight w:val="none"/>
              </w:rPr>
            </w:pPr>
          </w:p>
          <w:p>
            <w:pPr>
              <w:keepLines w:val="0"/>
              <w:pageBreakBefore w:val="0"/>
              <w:kinsoku/>
              <w:wordWrap/>
              <w:overflowPunct/>
              <w:topLinePunct w:val="0"/>
              <w:bidi w:val="0"/>
              <w:spacing w:line="560" w:lineRule="exact"/>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授权人（签字）：</w:t>
            </w:r>
          </w:p>
          <w:p>
            <w:pPr>
              <w:pStyle w:val="6"/>
              <w:keepLines w:val="0"/>
              <w:pageBreakBefore w:val="0"/>
              <w:kinsoku/>
              <w:wordWrap/>
              <w:overflowPunct/>
              <w:topLinePunct w:val="0"/>
              <w:bidi w:val="0"/>
              <w:spacing w:line="560" w:lineRule="exact"/>
              <w:ind w:firstLine="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214" w:type="dxa"/>
            <w:gridSpan w:val="2"/>
            <w:noWrap/>
            <w:vAlign w:val="center"/>
          </w:tcPr>
          <w:p>
            <w:pPr>
              <w:keepLines w:val="0"/>
              <w:pageBreakBefore w:val="0"/>
              <w:kinsoku/>
              <w:wordWrap/>
              <w:overflowPunct/>
              <w:topLinePunct w:val="0"/>
              <w:bidi w:val="0"/>
              <w:spacing w:line="560" w:lineRule="exact"/>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签约时间：    年   月   日</w:t>
            </w:r>
          </w:p>
          <w:p>
            <w:pPr>
              <w:keepLines w:val="0"/>
              <w:pageBreakBefore w:val="0"/>
              <w:kinsoku/>
              <w:wordWrap/>
              <w:overflowPunct/>
              <w:topLinePunct w:val="0"/>
              <w:bidi w:val="0"/>
              <w:spacing w:line="560" w:lineRule="exact"/>
              <w:jc w:val="center"/>
              <w:rPr>
                <w:rFonts w:ascii="宋体" w:hAnsi="宋体"/>
                <w:color w:val="auto"/>
                <w:kern w:val="0"/>
                <w:sz w:val="24"/>
                <w:highlight w:val="none"/>
              </w:rPr>
            </w:pPr>
            <w:r>
              <w:rPr>
                <w:rFonts w:hint="eastAsia" w:ascii="仿宋" w:hAnsi="仿宋" w:eastAsia="仿宋" w:cs="仿宋"/>
                <w:b/>
                <w:bCs/>
                <w:color w:val="auto"/>
                <w:kern w:val="0"/>
                <w:sz w:val="28"/>
                <w:szCs w:val="28"/>
                <w:highlight w:val="none"/>
              </w:rPr>
              <w:t>签约地址：深圳市龙岗区第七人民医院</w:t>
            </w:r>
          </w:p>
        </w:tc>
      </w:tr>
    </w:tbl>
    <w:p>
      <w:pPr>
        <w:keepLines w:val="0"/>
        <w:pageBreakBefore w:val="0"/>
        <w:tabs>
          <w:tab w:val="left" w:pos="0"/>
        </w:tabs>
        <w:kinsoku/>
        <w:wordWrap/>
        <w:overflowPunct/>
        <w:topLinePunct w:val="0"/>
        <w:bidi w:val="0"/>
        <w:snapToGrid w:val="0"/>
        <w:spacing w:line="560" w:lineRule="exact"/>
        <w:rPr>
          <w:rFonts w:ascii="仿宋" w:hAnsi="仿宋" w:eastAsia="仿宋" w:cs="仿宋"/>
          <w:b/>
          <w:bCs/>
          <w:color w:val="auto"/>
          <w:sz w:val="32"/>
          <w:szCs w:val="32"/>
          <w:highlight w:val="none"/>
        </w:rPr>
        <w:sectPr>
          <w:pgSz w:w="11906" w:h="16838"/>
          <w:pgMar w:top="2098" w:right="1474" w:bottom="1984" w:left="1304" w:header="851" w:footer="1417" w:gutter="0"/>
          <w:pgNumType w:fmt="numberInDash"/>
          <w:cols w:space="0" w:num="1"/>
          <w:rtlGutter w:val="0"/>
          <w:docGrid w:type="lines" w:linePitch="338" w:charSpace="0"/>
        </w:sectPr>
      </w:pPr>
    </w:p>
    <w:p>
      <w:pPr>
        <w:keepLines w:val="0"/>
        <w:pageBreakBefore w:val="0"/>
        <w:widowControl/>
        <w:kinsoku/>
        <w:wordWrap/>
        <w:overflowPunct/>
        <w:topLinePunct w:val="0"/>
        <w:bidi w:val="0"/>
        <w:spacing w:line="56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深圳市龙岗区第七人民医院廉洁购销合同</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p>
    <w:p>
      <w:pPr>
        <w:keepLines w:val="0"/>
        <w:pageBreakBefore w:val="0"/>
        <w:kinsoku/>
        <w:wordWrap/>
        <w:overflowPunct/>
        <w:topLinePunct w:val="0"/>
        <w:bidi w:val="0"/>
        <w:spacing w:line="560" w:lineRule="exact"/>
        <w:rPr>
          <w:rFonts w:ascii="仿宋_GB2312" w:hAnsi="ˎ̥" w:eastAsia="仿宋_GB2312"/>
          <w:color w:val="auto"/>
          <w:sz w:val="32"/>
          <w:szCs w:val="32"/>
          <w:highlight w:val="none"/>
        </w:rPr>
      </w:pPr>
      <w:r>
        <w:rPr>
          <w:rFonts w:hint="eastAsia" w:ascii="楷体_GB2312" w:hAnsi="ˎ̥" w:eastAsia="楷体_GB2312"/>
          <w:b/>
          <w:color w:val="auto"/>
          <w:sz w:val="32"/>
          <w:szCs w:val="32"/>
          <w:highlight w:val="none"/>
        </w:rPr>
        <w:t>甲方</w:t>
      </w:r>
      <w:r>
        <w:rPr>
          <w:rFonts w:hint="eastAsia" w:ascii="仿宋_GB2312" w:hAnsi="ˎ̥" w:eastAsia="仿宋_GB2312"/>
          <w:color w:val="auto"/>
          <w:sz w:val="32"/>
          <w:szCs w:val="32"/>
          <w:highlight w:val="none"/>
        </w:rPr>
        <w:t>：深圳市龙岗区第七人民医院</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乙方</w:t>
      </w:r>
      <w:r>
        <w:rPr>
          <w:rFonts w:hint="eastAsia" w:ascii="仿宋_GB2312" w:hAnsi="ˎ̥" w:eastAsia="仿宋_GB2312"/>
          <w:color w:val="auto"/>
          <w:sz w:val="32"/>
          <w:szCs w:val="32"/>
          <w:highlight w:val="none"/>
        </w:rPr>
        <w:t>：</w:t>
      </w:r>
    </w:p>
    <w:p>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lang w:val="en-US" w:eastAsia="zh-CN"/>
        </w:rPr>
      </w:pPr>
      <w:r>
        <w:rPr>
          <w:rFonts w:hint="eastAsia" w:ascii="楷体_GB2312" w:hAnsi="ˎ̥" w:eastAsia="楷体_GB2312"/>
          <w:b/>
          <w:color w:val="auto"/>
          <w:sz w:val="32"/>
          <w:szCs w:val="32"/>
          <w:highlight w:val="none"/>
        </w:rPr>
        <w:t>项目名称：</w:t>
      </w:r>
    </w:p>
    <w:p>
      <w:pPr>
        <w:keepLines w:val="0"/>
        <w:pageBreakBefore w:val="0"/>
        <w:kinsoku/>
        <w:wordWrap/>
        <w:overflowPunct/>
        <w:topLinePunct w:val="0"/>
        <w:bidi w:val="0"/>
        <w:spacing w:line="560" w:lineRule="exact"/>
        <w:rPr>
          <w:rFonts w:ascii="楷体_GB2312" w:hAnsi="ˎ̥" w:eastAsia="楷体_GB2312"/>
          <w:color w:val="auto"/>
          <w:sz w:val="32"/>
          <w:szCs w:val="32"/>
          <w:highlight w:val="none"/>
        </w:rPr>
      </w:pPr>
      <w:r>
        <w:rPr>
          <w:rFonts w:hint="eastAsia" w:ascii="楷体_GB2312" w:hAnsi="ˎ̥" w:eastAsia="楷体_GB2312"/>
          <w:b/>
          <w:color w:val="auto"/>
          <w:sz w:val="32"/>
          <w:szCs w:val="32"/>
          <w:highlight w:val="none"/>
        </w:rPr>
        <w:t>合同总价</w:t>
      </w:r>
      <w:r>
        <w:rPr>
          <w:rFonts w:hint="eastAsia" w:ascii="楷体_GB2312" w:hAnsi="ˎ̥" w:eastAsia="楷体_GB2312"/>
          <w:color w:val="auto"/>
          <w:sz w:val="32"/>
          <w:szCs w:val="32"/>
          <w:highlight w:val="none"/>
        </w:rPr>
        <w:t>：</w:t>
      </w:r>
    </w:p>
    <w:p>
      <w:pPr>
        <w:keepLines w:val="0"/>
        <w:pageBreakBefore w:val="0"/>
        <w:kinsoku/>
        <w:wordWrap/>
        <w:overflowPunct/>
        <w:topLinePunct w:val="0"/>
        <w:bidi w:val="0"/>
        <w:spacing w:line="560" w:lineRule="exact"/>
        <w:rPr>
          <w:rFonts w:ascii="楷体_GB2312" w:hAnsi="ˎ̥" w:eastAsia="楷体_GB2312"/>
          <w:b/>
          <w:color w:val="auto"/>
          <w:sz w:val="32"/>
          <w:szCs w:val="32"/>
          <w:highlight w:val="none"/>
        </w:rPr>
      </w:pPr>
      <w:r>
        <w:rPr>
          <w:rFonts w:hint="eastAsia" w:ascii="楷体_GB2312" w:hAnsi="ˎ̥" w:eastAsia="楷体_GB2312"/>
          <w:b/>
          <w:color w:val="auto"/>
          <w:sz w:val="32"/>
          <w:szCs w:val="32"/>
          <w:highlight w:val="none"/>
        </w:rPr>
        <w:t>主办科室：</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为进一步加强医疗卫生行风建设，规范购销行为，有效防范商业贿赂，营造公平交易、诚实守信的购销环境，经甲、乙双方协商，同意签订本合同，并共同遵守：</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一、甲乙双方按照《中华人民共和国民法典》及产品购销合同约定实施购销行为。</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二、甲方应当严格执行验收、入库制度，对采购产品及发票进行查验，不得违反有关规定进行合同外采购、违价采购或从非规定渠道采购。</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四、严禁甲方工作人员利用任何途径和方式，非法为乙方统计医师个人及临床科室有关医药产品用量信息，或为乙方统方提供便利。</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五、乙方不得以回扣、宴请等方式影响甲方工作人员采购或使用医药产品的选择权，不得在学术活动中提供旅游、超标准支付食宿费用，以及其他任何形式的利益输送。</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乙方如违反本合同，一经发现，甲方有权终止产品购销合同，并向有关部门报告。如乙方被列入商业贿赂不良记录，则严格按照《国家卫生计生委关于建立医药购销领域商业贿赂不良记录的规定》（国卫法制发〔2013〕50号）相关规定处理。</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八、本合同作为产品购销合同的组成部分，与购销合同一并执行，具有同等的法律效力。</w:t>
      </w:r>
    </w:p>
    <w:p>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九、本合同一式叁份，甲方贰份（一份随购销主合同存档，一份交医院纪检监察部门），乙方壹份，从签订之日起生效。</w:t>
      </w:r>
    </w:p>
    <w:p>
      <w:pPr>
        <w:keepLines w:val="0"/>
        <w:pageBreakBefore w:val="0"/>
        <w:kinsoku/>
        <w:wordWrap/>
        <w:overflowPunct/>
        <w:topLinePunct w:val="0"/>
        <w:bidi w:val="0"/>
        <w:spacing w:line="560" w:lineRule="exact"/>
        <w:rPr>
          <w:rFonts w:ascii="仿宋_GB2312" w:eastAsia="仿宋_GB2312"/>
          <w:color w:val="auto"/>
          <w:sz w:val="32"/>
          <w:szCs w:val="32"/>
          <w:highlight w:val="none"/>
        </w:rPr>
      </w:pPr>
    </w:p>
    <w:p>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甲方（盖章）：                  乙方（盖章）：</w:t>
      </w:r>
    </w:p>
    <w:p>
      <w:pPr>
        <w:keepLines w:val="0"/>
        <w:pageBreakBefore w:val="0"/>
        <w:kinsoku/>
        <w:wordWrap/>
        <w:overflowPunct/>
        <w:topLinePunct w:val="0"/>
        <w:bidi w:val="0"/>
        <w:spacing w:line="560" w:lineRule="exact"/>
        <w:rPr>
          <w:rFonts w:ascii="楷体_GB2312" w:eastAsia="楷体_GB2312"/>
          <w:b/>
          <w:color w:val="auto"/>
          <w:sz w:val="32"/>
          <w:szCs w:val="32"/>
          <w:highlight w:val="none"/>
        </w:rPr>
      </w:pPr>
      <w:r>
        <w:rPr>
          <w:rFonts w:hint="eastAsia" w:ascii="楷体_GB2312" w:eastAsia="楷体_GB2312"/>
          <w:b/>
          <w:color w:val="auto"/>
          <w:sz w:val="32"/>
          <w:szCs w:val="32"/>
          <w:highlight w:val="none"/>
        </w:rPr>
        <w:t>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          法定代表人（</w:t>
      </w:r>
      <w:r>
        <w:rPr>
          <w:rFonts w:ascii="楷体_GB2312" w:eastAsia="楷体_GB2312"/>
          <w:b/>
          <w:color w:val="auto"/>
          <w:sz w:val="32"/>
          <w:szCs w:val="32"/>
          <w:highlight w:val="none"/>
        </w:rPr>
        <w:t>负责人</w:t>
      </w:r>
      <w:r>
        <w:rPr>
          <w:rFonts w:hint="eastAsia" w:ascii="楷体_GB2312" w:eastAsia="楷体_GB2312"/>
          <w:b/>
          <w:color w:val="auto"/>
          <w:sz w:val="32"/>
          <w:szCs w:val="32"/>
          <w:highlight w:val="none"/>
        </w:rPr>
        <w:t>）：</w:t>
      </w:r>
    </w:p>
    <w:p>
      <w:pPr>
        <w:keepLines w:val="0"/>
        <w:pageBreakBefore w:val="0"/>
        <w:kinsoku/>
        <w:wordWrap/>
        <w:overflowPunct/>
        <w:topLinePunct w:val="0"/>
        <w:bidi w:val="0"/>
        <w:spacing w:line="560" w:lineRule="exact"/>
        <w:rPr>
          <w:color w:val="auto"/>
          <w:highlight w:val="none"/>
        </w:rPr>
      </w:pPr>
      <w:r>
        <w:rPr>
          <w:rFonts w:hint="eastAsia" w:ascii="楷体_GB2312" w:eastAsia="楷体_GB2312"/>
          <w:b/>
          <w:color w:val="auto"/>
          <w:sz w:val="32"/>
          <w:szCs w:val="32"/>
          <w:highlight w:val="none"/>
          <w:lang w:val="en-US" w:eastAsia="zh-CN"/>
        </w:rPr>
        <w:t>授权</w:t>
      </w:r>
      <w:r>
        <w:rPr>
          <w:rFonts w:hint="eastAsia" w:ascii="楷体_GB2312" w:eastAsia="楷体_GB2312"/>
          <w:b/>
          <w:color w:val="auto"/>
          <w:sz w:val="32"/>
          <w:szCs w:val="32"/>
          <w:highlight w:val="none"/>
        </w:rPr>
        <w:t>代</w:t>
      </w:r>
      <w:r>
        <w:rPr>
          <w:rFonts w:hint="eastAsia" w:ascii="楷体_GB2312" w:eastAsia="楷体_GB2312"/>
          <w:b/>
          <w:color w:val="auto"/>
          <w:sz w:val="32"/>
          <w:szCs w:val="32"/>
          <w:highlight w:val="none"/>
          <w:lang w:val="en-US" w:eastAsia="zh-CN"/>
        </w:rPr>
        <w:t>表</w:t>
      </w:r>
      <w:r>
        <w:rPr>
          <w:rFonts w:hint="eastAsia" w:ascii="楷体_GB2312" w:eastAsia="楷体_GB2312"/>
          <w:b/>
          <w:color w:val="auto"/>
          <w:sz w:val="32"/>
          <w:szCs w:val="32"/>
          <w:highlight w:val="none"/>
        </w:rPr>
        <w:t>人签名：               经办人签名：</w:t>
      </w:r>
    </w:p>
    <w:p>
      <w:pPr>
        <w:keepLines w:val="0"/>
        <w:pageBreakBefore w:val="0"/>
        <w:kinsoku/>
        <w:wordWrap/>
        <w:overflowPunct/>
        <w:topLinePunct w:val="0"/>
        <w:bidi w:val="0"/>
        <w:spacing w:line="560" w:lineRule="exact"/>
        <w:ind w:firstLine="640" w:firstLineChars="200"/>
        <w:rPr>
          <w:rFonts w:ascii="宋体" w:hAnsi="宋体" w:cs="宋体"/>
          <w:color w:val="auto"/>
          <w:kern w:val="0"/>
          <w:sz w:val="44"/>
          <w:szCs w:val="44"/>
          <w:highlight w:val="none"/>
          <w:lang w:bidi="ar"/>
        </w:rPr>
      </w:pPr>
      <w:r>
        <w:rPr>
          <w:rFonts w:hint="eastAsia" w:ascii="仿宋_GB2312" w:eastAsia="仿宋_GB2312"/>
          <w:color w:val="auto"/>
          <w:sz w:val="32"/>
          <w:szCs w:val="32"/>
          <w:highlight w:val="none"/>
        </w:rPr>
        <w:t>年    月   日                 年    月   日</w:t>
      </w:r>
    </w:p>
    <w:p>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sectPr>
          <w:headerReference r:id="rId9" w:type="default"/>
          <w:footerReference r:id="rId10" w:type="default"/>
          <w:pgSz w:w="11906" w:h="16838"/>
          <w:pgMar w:top="2098" w:right="1474" w:bottom="1984" w:left="1304" w:header="851" w:footer="1417" w:gutter="0"/>
          <w:cols w:space="0" w:num="1"/>
          <w:rtlGutter w:val="0"/>
          <w:docGrid w:type="lines" w:linePitch="338" w:charSpace="0"/>
        </w:sectPr>
      </w:pPr>
    </w:p>
    <w:p>
      <w:pPr>
        <w:keepNext w:val="0"/>
        <w:keepLines w:val="0"/>
        <w:pageBreakBefore w:val="0"/>
        <w:widowControl/>
        <w:kinsoku/>
        <w:wordWrap/>
        <w:overflowPunct/>
        <w:topLinePunct w:val="0"/>
        <w:autoSpaceDE/>
        <w:autoSpaceDN/>
        <w:bidi w:val="0"/>
        <w:adjustRightInd/>
        <w:snapToGrid/>
        <w:spacing w:line="480" w:lineRule="exact"/>
        <w:jc w:val="center"/>
        <w:textAlignment w:val="center"/>
        <w:rPr>
          <w:rFonts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龙岗区进一步规范政商交往行为告知书</w:t>
      </w:r>
    </w:p>
    <w:p>
      <w:pPr>
        <w:keepNext w:val="0"/>
        <w:keepLines w:val="0"/>
        <w:pageBreakBefore w:val="0"/>
        <w:kinsoku/>
        <w:wordWrap/>
        <w:overflowPunct/>
        <w:topLinePunct w:val="0"/>
        <w:autoSpaceDE/>
        <w:autoSpaceDN/>
        <w:bidi w:val="0"/>
        <w:adjustRightInd/>
        <w:snapToGrid/>
        <w:spacing w:line="480" w:lineRule="exact"/>
        <w:rPr>
          <w:rFonts w:ascii="宋体" w:hAnsi="宋体" w:cs="宋体"/>
          <w:color w:val="auto"/>
          <w:sz w:val="28"/>
          <w:szCs w:val="28"/>
          <w:highlight w:val="none"/>
        </w:rPr>
      </w:pP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为深入构建</w:t>
      </w:r>
      <w:r>
        <w:rPr>
          <w:rFonts w:hint="eastAsia" w:ascii="仿宋_GB2312" w:hAnsi="仿宋_GB2312" w:eastAsia="仿宋_GB2312" w:cs="仿宋_GB2312"/>
          <w:color w:val="auto"/>
          <w:sz w:val="28"/>
          <w:szCs w:val="28"/>
          <w:highlight w:val="none"/>
          <w:lang w:eastAsia="zh-CN"/>
        </w:rPr>
        <w:t>亲清政商关系</w:t>
      </w:r>
      <w:r>
        <w:rPr>
          <w:rFonts w:hint="eastAsia" w:ascii="仿宋_GB2312" w:hAnsi="仿宋_GB2312" w:eastAsia="仿宋_GB2312" w:cs="仿宋_GB2312"/>
          <w:color w:val="auto"/>
          <w:sz w:val="28"/>
          <w:szCs w:val="28"/>
          <w:highlight w:val="none"/>
        </w:rPr>
        <w:t>，努力打造尊商、亲商、助商、安商良好营商环境，龙岗</w:t>
      </w:r>
      <w:r>
        <w:rPr>
          <w:rFonts w:hint="eastAsia" w:ascii="仿宋_GB2312" w:hAnsi="仿宋_GB2312" w:eastAsia="仿宋_GB2312" w:cs="仿宋_GB2312"/>
          <w:color w:val="auto"/>
          <w:sz w:val="28"/>
          <w:szCs w:val="28"/>
          <w:highlight w:val="none"/>
          <w:lang w:eastAsia="zh-CN"/>
        </w:rPr>
        <w:t>区委、区政府</w:t>
      </w:r>
      <w:r>
        <w:rPr>
          <w:rFonts w:hint="eastAsia" w:ascii="仿宋_GB2312" w:hAnsi="仿宋_GB2312" w:eastAsia="仿宋_GB2312" w:cs="仿宋_GB2312"/>
          <w:color w:val="auto"/>
          <w:sz w:val="28"/>
          <w:szCs w:val="28"/>
          <w:highlight w:val="none"/>
        </w:rPr>
        <w:t>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一、不得向公职人员赠送礼品、礼金、消费卡等财物。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二、不得违规向公职人员提供宴请、旅游、娱乐等安排。</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三、不得通过打麻将等形式向公职人员输送利益。</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四、不得为公职人员报销应由其个人支付的费用。</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五、不得违规向公职人员及其亲友借贷款。</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六、不得违规将车辆、住房等借给公职人员使用。</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七、不得在招投标中与公职人员搞暗箱操作、围标串标。</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八、不得为利益相关人和公职人员牵线搭桥或者代为传递信息、传递财物。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九、不得让公职人员在企业违规兼职取酬。</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十、不得为公职人员亲友违规承揽业务提供便利。</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上述“十个不得”，请您严格遵守。同时，在政商交往中，</w:t>
      </w:r>
      <w:r>
        <w:rPr>
          <w:rFonts w:hint="eastAsia" w:ascii="仿宋_GB2312" w:hAnsi="仿宋_GB2312" w:eastAsia="仿宋_GB2312" w:cs="仿宋_GB2312"/>
          <w:color w:val="auto"/>
          <w:sz w:val="28"/>
          <w:szCs w:val="28"/>
          <w:highlight w:val="none"/>
          <w:lang w:eastAsia="zh-CN"/>
        </w:rPr>
        <w:t>如</w:t>
      </w:r>
      <w:r>
        <w:rPr>
          <w:rFonts w:hint="eastAsia" w:ascii="仿宋_GB2312" w:hAnsi="仿宋_GB2312" w:eastAsia="仿宋_GB2312" w:cs="仿宋_GB2312"/>
          <w:color w:val="auto"/>
          <w:sz w:val="28"/>
          <w:szCs w:val="28"/>
          <w:highlight w:val="none"/>
        </w:rPr>
        <w:t>发现我区公职人员存在违反“十个不准”的问题，请及时通过网络举报平台或者12388举报电话等方式，向纪检监察机关反映举报，我们将一律严格保密、一律优先处置、一律严肃查处。</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本人已知晓上述告知内容，并愿意遵照执行</w:t>
      </w:r>
      <w:r>
        <w:rPr>
          <w:rFonts w:hint="eastAsia" w:ascii="仿宋_GB2312" w:hAnsi="仿宋_GB2312" w:eastAsia="仿宋_GB2312" w:cs="仿宋_GB2312"/>
          <w:color w:val="auto"/>
          <w:sz w:val="28"/>
          <w:szCs w:val="28"/>
          <w:highlight w:val="none"/>
          <w:lang w:eastAsia="zh-CN"/>
        </w:rPr>
        <w:t>。</w:t>
      </w:r>
    </w:p>
    <w:p>
      <w:pPr>
        <w:keepNext w:val="0"/>
        <w:keepLines w:val="0"/>
        <w:pageBreakBefore w:val="0"/>
        <w:kinsoku/>
        <w:wordWrap/>
        <w:overflowPunct/>
        <w:topLinePunct w:val="0"/>
        <w:autoSpaceDE/>
        <w:autoSpaceDN/>
        <w:bidi w:val="0"/>
        <w:adjustRightInd/>
        <w:snapToGrid/>
        <w:spacing w:line="480" w:lineRule="exact"/>
        <w:ind w:firstLine="5320" w:firstLine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8"/>
          <w:szCs w:val="28"/>
          <w:highlight w:val="none"/>
        </w:rPr>
        <w:t>（签名）</w:t>
      </w:r>
      <w:r>
        <w:rPr>
          <w:rFonts w:hint="eastAsia" w:ascii="仿宋_GB2312" w:hAnsi="仿宋_GB2312" w:eastAsia="仿宋_GB2312" w:cs="仿宋_GB2312"/>
          <w:color w:val="auto"/>
          <w:sz w:val="32"/>
          <w:szCs w:val="32"/>
          <w:highlight w:val="none"/>
        </w:rPr>
        <w:tab/>
      </w:r>
    </w:p>
    <w:p>
      <w:pPr>
        <w:pStyle w:val="10"/>
        <w:keepNext w:val="0"/>
        <w:keepLines w:val="0"/>
        <w:pageBreakBefore w:val="0"/>
        <w:kinsoku/>
        <w:wordWrap/>
        <w:overflowPunct/>
        <w:topLinePunct w:val="0"/>
        <w:autoSpaceDE/>
        <w:autoSpaceDN/>
        <w:bidi w:val="0"/>
        <w:adjustRightInd/>
        <w:snapToGrid/>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kern w:val="2"/>
          <w:sz w:val="28"/>
          <w:szCs w:val="28"/>
          <w:highlight w:val="none"/>
          <w:lang w:val="en-US" w:eastAsia="zh-CN" w:bidi="ar-SA"/>
        </w:rPr>
        <w:t xml:space="preserve">   单位名称（盖章）：</w:t>
      </w:r>
    </w:p>
    <w:p>
      <w:pPr>
        <w:pStyle w:val="10"/>
        <w:keepNext w:val="0"/>
        <w:keepLines w:val="0"/>
        <w:pageBreakBefore w:val="0"/>
        <w:kinsoku/>
        <w:wordWrap/>
        <w:overflowPunct/>
        <w:topLinePunct w:val="0"/>
        <w:autoSpaceDE/>
        <w:autoSpaceDN/>
        <w:bidi w:val="0"/>
        <w:adjustRightInd/>
        <w:snapToGrid/>
        <w:spacing w:line="480" w:lineRule="exact"/>
        <w:jc w:val="center"/>
        <w:rPr>
          <w:rFonts w:hint="eastAsia" w:ascii="宋体" w:cs="宋体"/>
          <w:b/>
          <w:color w:val="auto"/>
          <w:szCs w:val="21"/>
          <w:highlight w:val="none"/>
        </w:rPr>
      </w:pPr>
      <w:r>
        <w:rPr>
          <w:rFonts w:hint="eastAsia" w:ascii="仿宋_GB2312" w:hAnsi="仿宋_GB2312" w:eastAsia="仿宋_GB2312" w:cs="仿宋_GB2312"/>
          <w:color w:val="auto"/>
          <w:kern w:val="2"/>
          <w:sz w:val="28"/>
          <w:szCs w:val="28"/>
          <w:highlight w:val="none"/>
          <w:lang w:val="en-US" w:eastAsia="zh-CN" w:bidi="ar-SA"/>
        </w:rPr>
        <w:t xml:space="preserve">                     年  月  日</w:t>
      </w:r>
    </w:p>
    <w:sectPr>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2D156B-BAA9-4FA9-AADE-BA5EC5418D99}"/>
  </w:font>
  <w:font w:name="黑体">
    <w:panose1 w:val="02010609060101010101"/>
    <w:charset w:val="86"/>
    <w:family w:val="auto"/>
    <w:pitch w:val="default"/>
    <w:sig w:usb0="800002BF" w:usb1="38CF7CFA" w:usb2="00000016" w:usb3="00000000" w:csb0="00040001" w:csb1="00000000"/>
    <w:embedRegular r:id="rId2" w:fontKey="{ED53A94B-9F46-48E6-BF48-526D8B0F72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FA197DB-5DDB-4304-80C9-588F7709DCE3}"/>
  </w:font>
  <w:font w:name="H Yb 2gj">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FE572CC7-614D-40FD-B28D-80AE9E89893E}"/>
  </w:font>
  <w:font w:name="仿宋_GB2312">
    <w:panose1 w:val="02010609030101010101"/>
    <w:charset w:val="86"/>
    <w:family w:val="modern"/>
    <w:pitch w:val="default"/>
    <w:sig w:usb0="00000001" w:usb1="080E0000" w:usb2="00000000" w:usb3="00000000" w:csb0="00040000" w:csb1="00000000"/>
    <w:embedRegular r:id="rId5" w:fontKey="{85683B54-7900-45E6-93DF-4D07F44FF7E7}"/>
  </w:font>
  <w:font w:name="方正小标宋简体">
    <w:panose1 w:val="03000509000000000000"/>
    <w:charset w:val="86"/>
    <w:family w:val="auto"/>
    <w:pitch w:val="default"/>
    <w:sig w:usb0="00000001" w:usb1="080E0000" w:usb2="00000000" w:usb3="00000000" w:csb0="00040000" w:csb1="00000000"/>
    <w:embedRegular r:id="rId6" w:fontKey="{E580E2B8-FD86-4A45-B350-A624C48B7A8B}"/>
  </w:font>
  <w:font w:name="楷体_GB2312">
    <w:panose1 w:val="02010609030101010101"/>
    <w:charset w:val="86"/>
    <w:family w:val="auto"/>
    <w:pitch w:val="default"/>
    <w:sig w:usb0="00000001" w:usb1="080E0000" w:usb2="00000000" w:usb3="00000000" w:csb0="00040000" w:csb1="00000000"/>
    <w:embedRegular r:id="rId7" w:fontKey="{350FBAA2-525D-415D-97E4-483B8AF2384A}"/>
  </w:font>
  <w:font w:name="仿宋">
    <w:panose1 w:val="02010609060101010101"/>
    <w:charset w:val="86"/>
    <w:family w:val="auto"/>
    <w:pitch w:val="default"/>
    <w:sig w:usb0="800002BF" w:usb1="38CF7CFA" w:usb2="00000016" w:usb3="00000000" w:csb0="00040001" w:csb1="00000000"/>
    <w:embedRegular r:id="rId8" w:fontKey="{3D2DA828-B354-4AD8-AC59-45DCEBA93955}"/>
  </w:font>
  <w:font w:name="微软雅黑">
    <w:panose1 w:val="020B0503020204020204"/>
    <w:charset w:val="86"/>
    <w:family w:val="auto"/>
    <w:pitch w:val="default"/>
    <w:sig w:usb0="80000287" w:usb1="2ACF3C50" w:usb2="00000016" w:usb3="00000000" w:csb0="0004001F" w:csb1="00000000"/>
    <w:embedRegular r:id="rId9" w:fontKey="{37F07DE2-B48A-4267-A4A0-8036CF52E164}"/>
  </w:font>
  <w:font w:name="ˎ̥">
    <w:altName w:val="Times New Roman"/>
    <w:panose1 w:val="00000000000000000000"/>
    <w:charset w:val="00"/>
    <w:family w:val="auto"/>
    <w:pitch w:val="default"/>
    <w:sig w:usb0="00000000" w:usb1="00000000" w:usb2="00000000" w:usb3="00000000" w:csb0="00040001" w:csb1="00000000"/>
    <w:embedRegular r:id="rId10" w:fontKey="{98EBBC44-A831-4510-AE1F-4AECF9C6DF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NJrTRPQAQAApQMAAA4AAAAAAAAAAQAgAAAAIgEA&#10;AGRycy9lMm9Eb2MueG1sUEsFBgAAAAAGAAYAWQEAAGQFAAAAAA==&#10;">
              <v:fill on="f" focussize="0,0"/>
              <v:stroke on="f" weight="1.25pt"/>
              <v:imagedata o:title=""/>
              <o:lock v:ext="edit" aspectratio="f"/>
              <v:textbox inset="0mm,0mm,0mm,0mm" style="mso-fit-shape-to-text:t;">
                <w:txbxContent>
                  <w:p>
                    <w:pPr>
                      <w:pStyle w:val="13"/>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0C77917E"/>
    <w:multiLevelType w:val="singleLevel"/>
    <w:tmpl w:val="0C77917E"/>
    <w:lvl w:ilvl="0" w:tentative="0">
      <w:start w:val="4"/>
      <w:numFmt w:val="decimal"/>
      <w:lvlText w:val="%1."/>
      <w:lvlJc w:val="left"/>
      <w:pPr>
        <w:tabs>
          <w:tab w:val="left" w:pos="312"/>
        </w:tabs>
      </w:pPr>
    </w:lvl>
  </w:abstractNum>
  <w:abstractNum w:abstractNumId="2">
    <w:nsid w:val="22B7BE7E"/>
    <w:multiLevelType w:val="singleLevel"/>
    <w:tmpl w:val="22B7BE7E"/>
    <w:lvl w:ilvl="0" w:tentative="0">
      <w:start w:val="3"/>
      <w:numFmt w:val="chineseCounting"/>
      <w:suff w:val="nothing"/>
      <w:lvlText w:val="（%1）"/>
      <w:lvlJc w:val="left"/>
      <w:rPr>
        <w:rFonts w:hint="eastAsia"/>
      </w:rPr>
    </w:lvl>
  </w:abstractNum>
  <w:abstractNum w:abstractNumId="3">
    <w:nsid w:val="37C1C332"/>
    <w:multiLevelType w:val="singleLevel"/>
    <w:tmpl w:val="37C1C332"/>
    <w:lvl w:ilvl="0" w:tentative="0">
      <w:start w:val="2"/>
      <w:numFmt w:val="chineseCounting"/>
      <w:suff w:val="space"/>
      <w:lvlText w:val="第%1章"/>
      <w:lvlJc w:val="left"/>
      <w:rPr>
        <w:rFonts w:hint="eastAsia"/>
      </w:rPr>
    </w:lvl>
  </w:abstractNum>
  <w:abstractNum w:abstractNumId="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3613FF"/>
    <w:rsid w:val="025F4662"/>
    <w:rsid w:val="03083097"/>
    <w:rsid w:val="03127217"/>
    <w:rsid w:val="035166A0"/>
    <w:rsid w:val="036D47D9"/>
    <w:rsid w:val="0433224A"/>
    <w:rsid w:val="049D275A"/>
    <w:rsid w:val="04F71BD7"/>
    <w:rsid w:val="05182245"/>
    <w:rsid w:val="05243941"/>
    <w:rsid w:val="05FE0636"/>
    <w:rsid w:val="060F45F1"/>
    <w:rsid w:val="067F0EA1"/>
    <w:rsid w:val="08375DC9"/>
    <w:rsid w:val="086E0768"/>
    <w:rsid w:val="08EB30F3"/>
    <w:rsid w:val="0A3E1E30"/>
    <w:rsid w:val="0A4A3E4A"/>
    <w:rsid w:val="0AE70551"/>
    <w:rsid w:val="0B837613"/>
    <w:rsid w:val="0C3C77C2"/>
    <w:rsid w:val="0C631449"/>
    <w:rsid w:val="0D1F336B"/>
    <w:rsid w:val="0DCB34F3"/>
    <w:rsid w:val="0E0A5DCA"/>
    <w:rsid w:val="0E880A30"/>
    <w:rsid w:val="0EA24254"/>
    <w:rsid w:val="0ED463D8"/>
    <w:rsid w:val="0F1F3AF7"/>
    <w:rsid w:val="0F4E7F38"/>
    <w:rsid w:val="0F5A67F4"/>
    <w:rsid w:val="0FEE1638"/>
    <w:rsid w:val="10702130"/>
    <w:rsid w:val="10D601E5"/>
    <w:rsid w:val="11072A94"/>
    <w:rsid w:val="111073FE"/>
    <w:rsid w:val="114710E3"/>
    <w:rsid w:val="11C7149D"/>
    <w:rsid w:val="11CC0A24"/>
    <w:rsid w:val="11F443AB"/>
    <w:rsid w:val="128D65FD"/>
    <w:rsid w:val="129C348E"/>
    <w:rsid w:val="130A686C"/>
    <w:rsid w:val="13710699"/>
    <w:rsid w:val="137E6912"/>
    <w:rsid w:val="13CE7899"/>
    <w:rsid w:val="154871D8"/>
    <w:rsid w:val="15F35EDD"/>
    <w:rsid w:val="169F1079"/>
    <w:rsid w:val="16E55626"/>
    <w:rsid w:val="17656B71"/>
    <w:rsid w:val="17BF1CFD"/>
    <w:rsid w:val="18B057C0"/>
    <w:rsid w:val="192341E3"/>
    <w:rsid w:val="19257F5C"/>
    <w:rsid w:val="19891DC1"/>
    <w:rsid w:val="19EF5AF8"/>
    <w:rsid w:val="19F3005A"/>
    <w:rsid w:val="1A6B4094"/>
    <w:rsid w:val="1AA611B2"/>
    <w:rsid w:val="1AEC0313"/>
    <w:rsid w:val="1AF95B35"/>
    <w:rsid w:val="1B157ABC"/>
    <w:rsid w:val="1B1A1616"/>
    <w:rsid w:val="1B59309C"/>
    <w:rsid w:val="1BAA3FC2"/>
    <w:rsid w:val="1C000F80"/>
    <w:rsid w:val="1C7D6144"/>
    <w:rsid w:val="1D3F5364"/>
    <w:rsid w:val="1D850AA2"/>
    <w:rsid w:val="1E197963"/>
    <w:rsid w:val="1E390005"/>
    <w:rsid w:val="1E3B56D4"/>
    <w:rsid w:val="1E693EC0"/>
    <w:rsid w:val="1F3303C2"/>
    <w:rsid w:val="1F372797"/>
    <w:rsid w:val="1F850FAE"/>
    <w:rsid w:val="1FE87F35"/>
    <w:rsid w:val="1FEE1B49"/>
    <w:rsid w:val="20E56222"/>
    <w:rsid w:val="217557F8"/>
    <w:rsid w:val="21E84823"/>
    <w:rsid w:val="22CC25C7"/>
    <w:rsid w:val="230778FE"/>
    <w:rsid w:val="230806C2"/>
    <w:rsid w:val="23E66539"/>
    <w:rsid w:val="241C63FF"/>
    <w:rsid w:val="250524F8"/>
    <w:rsid w:val="257D2ECD"/>
    <w:rsid w:val="25822292"/>
    <w:rsid w:val="258F3E5B"/>
    <w:rsid w:val="269C578A"/>
    <w:rsid w:val="26B47F5C"/>
    <w:rsid w:val="26D62895"/>
    <w:rsid w:val="27750300"/>
    <w:rsid w:val="27952750"/>
    <w:rsid w:val="27F51441"/>
    <w:rsid w:val="28216F3C"/>
    <w:rsid w:val="28610884"/>
    <w:rsid w:val="287C746C"/>
    <w:rsid w:val="28A6273B"/>
    <w:rsid w:val="28CB21A2"/>
    <w:rsid w:val="2984039C"/>
    <w:rsid w:val="29F85218"/>
    <w:rsid w:val="2A614B6C"/>
    <w:rsid w:val="2AAA6513"/>
    <w:rsid w:val="2AF53506"/>
    <w:rsid w:val="2B593A95"/>
    <w:rsid w:val="2B5B780D"/>
    <w:rsid w:val="2B88437A"/>
    <w:rsid w:val="2B9B40AD"/>
    <w:rsid w:val="2BDE3F9A"/>
    <w:rsid w:val="2C3D6F12"/>
    <w:rsid w:val="2C444745"/>
    <w:rsid w:val="2C8E4B7C"/>
    <w:rsid w:val="2CF92803"/>
    <w:rsid w:val="2CFE2B46"/>
    <w:rsid w:val="2D4C45A1"/>
    <w:rsid w:val="2DD5778F"/>
    <w:rsid w:val="2E291833"/>
    <w:rsid w:val="2E6D1C25"/>
    <w:rsid w:val="2E6E5AA9"/>
    <w:rsid w:val="2E7D3F3E"/>
    <w:rsid w:val="2E943223"/>
    <w:rsid w:val="2EB536D8"/>
    <w:rsid w:val="2F3E12DE"/>
    <w:rsid w:val="2F522419"/>
    <w:rsid w:val="2F8337D6"/>
    <w:rsid w:val="2F927575"/>
    <w:rsid w:val="2FFB336C"/>
    <w:rsid w:val="302F5A11"/>
    <w:rsid w:val="30663F74"/>
    <w:rsid w:val="30CC6B49"/>
    <w:rsid w:val="30F027A5"/>
    <w:rsid w:val="31132938"/>
    <w:rsid w:val="31EE221F"/>
    <w:rsid w:val="324E1E79"/>
    <w:rsid w:val="328A2F94"/>
    <w:rsid w:val="32A11A16"/>
    <w:rsid w:val="32DC7485"/>
    <w:rsid w:val="33613E2E"/>
    <w:rsid w:val="342310E4"/>
    <w:rsid w:val="350E769E"/>
    <w:rsid w:val="35205C57"/>
    <w:rsid w:val="353043A7"/>
    <w:rsid w:val="359F2181"/>
    <w:rsid w:val="35D5415D"/>
    <w:rsid w:val="369D517D"/>
    <w:rsid w:val="3726778C"/>
    <w:rsid w:val="37405B09"/>
    <w:rsid w:val="374E2513"/>
    <w:rsid w:val="3A502507"/>
    <w:rsid w:val="3B0B7C37"/>
    <w:rsid w:val="3B253993"/>
    <w:rsid w:val="3BBA2C38"/>
    <w:rsid w:val="3C074E47"/>
    <w:rsid w:val="3C1A001F"/>
    <w:rsid w:val="3C2B43F0"/>
    <w:rsid w:val="3CA64AA0"/>
    <w:rsid w:val="3D000214"/>
    <w:rsid w:val="3D106B23"/>
    <w:rsid w:val="3D5F5CEB"/>
    <w:rsid w:val="3EC07C8A"/>
    <w:rsid w:val="3F4C7741"/>
    <w:rsid w:val="41054FBE"/>
    <w:rsid w:val="4157061F"/>
    <w:rsid w:val="415B2A37"/>
    <w:rsid w:val="4173542A"/>
    <w:rsid w:val="42176969"/>
    <w:rsid w:val="42FD131E"/>
    <w:rsid w:val="435E3EE6"/>
    <w:rsid w:val="43790D20"/>
    <w:rsid w:val="438D20D6"/>
    <w:rsid w:val="43BD0C0D"/>
    <w:rsid w:val="43D16DFB"/>
    <w:rsid w:val="441133CA"/>
    <w:rsid w:val="44150A49"/>
    <w:rsid w:val="44634DEC"/>
    <w:rsid w:val="44A92F3F"/>
    <w:rsid w:val="44AB4F09"/>
    <w:rsid w:val="4510737E"/>
    <w:rsid w:val="45967F9C"/>
    <w:rsid w:val="45EE77A4"/>
    <w:rsid w:val="461B1C1B"/>
    <w:rsid w:val="467F03FC"/>
    <w:rsid w:val="46C200B8"/>
    <w:rsid w:val="478832E0"/>
    <w:rsid w:val="47F37767"/>
    <w:rsid w:val="4971555C"/>
    <w:rsid w:val="49925A7D"/>
    <w:rsid w:val="4A0A0C77"/>
    <w:rsid w:val="4A233794"/>
    <w:rsid w:val="4A2A5330"/>
    <w:rsid w:val="4A431964"/>
    <w:rsid w:val="4A6F4C2B"/>
    <w:rsid w:val="4A800BE6"/>
    <w:rsid w:val="4A951D4C"/>
    <w:rsid w:val="4B2B4033"/>
    <w:rsid w:val="4B7778F3"/>
    <w:rsid w:val="4BB60892"/>
    <w:rsid w:val="4C062E76"/>
    <w:rsid w:val="4CA54934"/>
    <w:rsid w:val="4CA74208"/>
    <w:rsid w:val="4CD00139"/>
    <w:rsid w:val="4CE90CC5"/>
    <w:rsid w:val="4D221AE1"/>
    <w:rsid w:val="4D246133"/>
    <w:rsid w:val="4DC1731C"/>
    <w:rsid w:val="4EB96475"/>
    <w:rsid w:val="4EC2357B"/>
    <w:rsid w:val="4EFB6DE2"/>
    <w:rsid w:val="4F950C90"/>
    <w:rsid w:val="4FBF5D0D"/>
    <w:rsid w:val="4FE60F24"/>
    <w:rsid w:val="50060682"/>
    <w:rsid w:val="50AA47D9"/>
    <w:rsid w:val="50C7131D"/>
    <w:rsid w:val="50D15CF8"/>
    <w:rsid w:val="51857D38"/>
    <w:rsid w:val="51B82A14"/>
    <w:rsid w:val="52173BDE"/>
    <w:rsid w:val="52BA7FE0"/>
    <w:rsid w:val="52C045C2"/>
    <w:rsid w:val="53C102A5"/>
    <w:rsid w:val="53EE45A5"/>
    <w:rsid w:val="54640C31"/>
    <w:rsid w:val="548D7284"/>
    <w:rsid w:val="54911254"/>
    <w:rsid w:val="5495703C"/>
    <w:rsid w:val="54D934F4"/>
    <w:rsid w:val="550C7ACC"/>
    <w:rsid w:val="571050A0"/>
    <w:rsid w:val="58466FCB"/>
    <w:rsid w:val="58A528D5"/>
    <w:rsid w:val="596A0A97"/>
    <w:rsid w:val="598002BB"/>
    <w:rsid w:val="59CC1752"/>
    <w:rsid w:val="59CF1242"/>
    <w:rsid w:val="59EC0C94"/>
    <w:rsid w:val="59F26F59"/>
    <w:rsid w:val="5B0B2544"/>
    <w:rsid w:val="5B7253B2"/>
    <w:rsid w:val="5B751975"/>
    <w:rsid w:val="5BC806C1"/>
    <w:rsid w:val="5BEB1E5A"/>
    <w:rsid w:val="5BEB56DE"/>
    <w:rsid w:val="5C435F5A"/>
    <w:rsid w:val="5C7165E1"/>
    <w:rsid w:val="5D1B4B7A"/>
    <w:rsid w:val="5D514C25"/>
    <w:rsid w:val="5DA86747"/>
    <w:rsid w:val="5E1A6CE7"/>
    <w:rsid w:val="5EA64773"/>
    <w:rsid w:val="5F132D8C"/>
    <w:rsid w:val="5F182D44"/>
    <w:rsid w:val="5F2D4A41"/>
    <w:rsid w:val="5F5244A8"/>
    <w:rsid w:val="5F7A57AC"/>
    <w:rsid w:val="60407D8C"/>
    <w:rsid w:val="60E56871"/>
    <w:rsid w:val="61296C23"/>
    <w:rsid w:val="6175447D"/>
    <w:rsid w:val="62E80C7F"/>
    <w:rsid w:val="63280D60"/>
    <w:rsid w:val="6387310C"/>
    <w:rsid w:val="63C811DC"/>
    <w:rsid w:val="63E7103C"/>
    <w:rsid w:val="63F01D9B"/>
    <w:rsid w:val="645A5BAC"/>
    <w:rsid w:val="64914D1F"/>
    <w:rsid w:val="64FD4FB2"/>
    <w:rsid w:val="65017861"/>
    <w:rsid w:val="650E70C3"/>
    <w:rsid w:val="6562740E"/>
    <w:rsid w:val="660B7819"/>
    <w:rsid w:val="66171FA7"/>
    <w:rsid w:val="661F2C0A"/>
    <w:rsid w:val="667B0788"/>
    <w:rsid w:val="66C13CC1"/>
    <w:rsid w:val="67877971"/>
    <w:rsid w:val="67913794"/>
    <w:rsid w:val="679E072B"/>
    <w:rsid w:val="67C40EBB"/>
    <w:rsid w:val="67CD5355"/>
    <w:rsid w:val="68541290"/>
    <w:rsid w:val="686D2352"/>
    <w:rsid w:val="68B74A09"/>
    <w:rsid w:val="68EA39A3"/>
    <w:rsid w:val="68F309CB"/>
    <w:rsid w:val="695E0300"/>
    <w:rsid w:val="696372B1"/>
    <w:rsid w:val="698E432E"/>
    <w:rsid w:val="699F1794"/>
    <w:rsid w:val="6A59526A"/>
    <w:rsid w:val="6AE52674"/>
    <w:rsid w:val="6BA42C8E"/>
    <w:rsid w:val="6C940230"/>
    <w:rsid w:val="6C9A0567"/>
    <w:rsid w:val="6D165BE9"/>
    <w:rsid w:val="6D8A7502"/>
    <w:rsid w:val="6E1E2833"/>
    <w:rsid w:val="6E341EFF"/>
    <w:rsid w:val="6E3D27C7"/>
    <w:rsid w:val="6E865F1C"/>
    <w:rsid w:val="6EA91C0A"/>
    <w:rsid w:val="6F524050"/>
    <w:rsid w:val="6F5A2F04"/>
    <w:rsid w:val="6F8D5088"/>
    <w:rsid w:val="6FCA62DC"/>
    <w:rsid w:val="705463CD"/>
    <w:rsid w:val="70DF2FD7"/>
    <w:rsid w:val="71522AC9"/>
    <w:rsid w:val="71FC02A3"/>
    <w:rsid w:val="72943F28"/>
    <w:rsid w:val="729F135A"/>
    <w:rsid w:val="730D7B4F"/>
    <w:rsid w:val="73C6500C"/>
    <w:rsid w:val="73D2575F"/>
    <w:rsid w:val="73FD4B26"/>
    <w:rsid w:val="759552F3"/>
    <w:rsid w:val="75F145C2"/>
    <w:rsid w:val="760065B4"/>
    <w:rsid w:val="771263E5"/>
    <w:rsid w:val="771852A8"/>
    <w:rsid w:val="773651D5"/>
    <w:rsid w:val="776112D4"/>
    <w:rsid w:val="778D031B"/>
    <w:rsid w:val="77972419"/>
    <w:rsid w:val="77E912C9"/>
    <w:rsid w:val="786C6182"/>
    <w:rsid w:val="78A0407E"/>
    <w:rsid w:val="78E350FE"/>
    <w:rsid w:val="792702FB"/>
    <w:rsid w:val="79C505D8"/>
    <w:rsid w:val="7A3A41A1"/>
    <w:rsid w:val="7AEA338E"/>
    <w:rsid w:val="7B4118B2"/>
    <w:rsid w:val="7B5B603A"/>
    <w:rsid w:val="7BDF4EBD"/>
    <w:rsid w:val="7C9C1996"/>
    <w:rsid w:val="7CF077D4"/>
    <w:rsid w:val="7D200C7E"/>
    <w:rsid w:val="7D733B0F"/>
    <w:rsid w:val="7D8212F8"/>
    <w:rsid w:val="7DA168CE"/>
    <w:rsid w:val="7DC13ACC"/>
    <w:rsid w:val="7DDA0140"/>
    <w:rsid w:val="7E576F8D"/>
    <w:rsid w:val="7EB50157"/>
    <w:rsid w:val="7F5C0EA0"/>
    <w:rsid w:val="7FB81CAD"/>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autoRedefine/>
    <w:qFormat/>
    <w:uiPriority w:val="0"/>
    <w:pPr>
      <w:autoSpaceDE w:val="0"/>
      <w:autoSpaceDN w:val="0"/>
      <w:jc w:val="left"/>
    </w:pPr>
    <w:rPr>
      <w:rFonts w:ascii="宋体" w:hAnsi="宋体"/>
      <w:kern w:val="0"/>
      <w:sz w:val="32"/>
      <w:szCs w:val="32"/>
    </w:rPr>
  </w:style>
  <w:style w:type="paragraph" w:styleId="9">
    <w:name w:val="Body Text Indent"/>
    <w:basedOn w:val="1"/>
    <w:autoRedefine/>
    <w:qFormat/>
    <w:uiPriority w:val="0"/>
    <w:pPr>
      <w:spacing w:line="360" w:lineRule="auto"/>
      <w:ind w:firstLine="420" w:firstLineChars="200"/>
    </w:pPr>
    <w:rPr>
      <w:kern w:val="0"/>
      <w:sz w:val="20"/>
      <w:szCs w:val="24"/>
    </w:rPr>
  </w:style>
  <w:style w:type="paragraph" w:styleId="10">
    <w:name w:val="Plain Text"/>
    <w:basedOn w:val="1"/>
    <w:next w:val="11"/>
    <w:autoRedefine/>
    <w:qFormat/>
    <w:uiPriority w:val="0"/>
    <w:rPr>
      <w:rFonts w:hint="eastAsia" w:ascii="宋体" w:hAnsi="Courier New"/>
      <w:kern w:val="0"/>
      <w:sz w:val="20"/>
      <w:szCs w:val="21"/>
    </w:rPr>
  </w:style>
  <w:style w:type="paragraph" w:customStyle="1" w:styleId="11">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2">
    <w:name w:val="Balloon Text"/>
    <w:basedOn w:val="1"/>
    <w:autoRedefine/>
    <w:qFormat/>
    <w:uiPriority w:val="0"/>
    <w:rPr>
      <w:rFonts w:ascii="Calibri" w:hAnsi="Calibri"/>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style>
  <w:style w:type="paragraph" w:styleId="16">
    <w:name w:val="Body Text 2"/>
    <w:basedOn w:val="1"/>
    <w:autoRedefine/>
    <w:qFormat/>
    <w:uiPriority w:val="0"/>
    <w:pPr>
      <w:spacing w:line="360" w:lineRule="auto"/>
    </w:pPr>
    <w:rPr>
      <w:sz w:val="24"/>
    </w:rPr>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9"/>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paragraph" w:styleId="24">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p0"/>
    <w:basedOn w:val="1"/>
    <w:autoRedefine/>
    <w:qFormat/>
    <w:uiPriority w:val="0"/>
    <w:pPr>
      <w:widowControl/>
    </w:pPr>
    <w:rPr>
      <w:kern w:val="0"/>
      <w:szCs w:val="21"/>
    </w:rPr>
  </w:style>
  <w:style w:type="paragraph" w:customStyle="1" w:styleId="26">
    <w:name w:val="表格文字"/>
    <w:basedOn w:val="1"/>
    <w:autoRedefine/>
    <w:qFormat/>
    <w:uiPriority w:val="0"/>
    <w:pPr>
      <w:spacing w:before="25" w:after="25"/>
    </w:pPr>
    <w:rPr>
      <w:spacing w:val="10"/>
      <w:sz w:val="24"/>
    </w:rPr>
  </w:style>
  <w:style w:type="paragraph" w:customStyle="1" w:styleId="27">
    <w:name w:val="列出段落111"/>
    <w:basedOn w:val="1"/>
    <w:autoRedefine/>
    <w:qFormat/>
    <w:uiPriority w:val="0"/>
    <w:pPr>
      <w:ind w:firstLine="420" w:firstLineChars="200"/>
    </w:pPr>
  </w:style>
  <w:style w:type="paragraph" w:customStyle="1" w:styleId="28">
    <w:name w:val="保留正文"/>
    <w:basedOn w:val="8"/>
    <w:autoRedefine/>
    <w:qFormat/>
    <w:uiPriority w:val="0"/>
    <w:pPr>
      <w:keepNext/>
      <w:tabs>
        <w:tab w:val="left" w:pos="562"/>
        <w:tab w:val="left" w:pos="3372"/>
        <w:tab w:val="left" w:pos="3653"/>
      </w:tabs>
      <w:spacing w:after="160"/>
    </w:pPr>
    <w:rPr>
      <w:sz w:val="21"/>
    </w:rPr>
  </w:style>
  <w:style w:type="character" w:customStyle="1" w:styleId="29">
    <w:name w:val="font31"/>
    <w:basedOn w:val="21"/>
    <w:autoRedefine/>
    <w:qFormat/>
    <w:uiPriority w:val="0"/>
    <w:rPr>
      <w:rFonts w:hint="eastAsia" w:ascii="宋体" w:hAnsi="宋体" w:eastAsia="宋体" w:cs="宋体"/>
      <w:color w:val="000000"/>
      <w:sz w:val="24"/>
      <w:szCs w:val="24"/>
      <w:u w:val="none"/>
    </w:rPr>
  </w:style>
  <w:style w:type="paragraph" w:customStyle="1" w:styleId="30">
    <w:name w:val="列出段落1"/>
    <w:basedOn w:val="1"/>
    <w:autoRedefine/>
    <w:qFormat/>
    <w:uiPriority w:val="34"/>
    <w:pPr>
      <w:ind w:firstLine="420" w:firstLineChars="200"/>
    </w:pPr>
  </w:style>
  <w:style w:type="paragraph" w:customStyle="1" w:styleId="31">
    <w:name w:val="_Style 1"/>
    <w:basedOn w:val="1"/>
    <w:next w:val="1"/>
    <w:autoRedefine/>
    <w:qFormat/>
    <w:uiPriority w:val="99"/>
    <w:pPr>
      <w:ind w:firstLine="420" w:firstLineChars="200"/>
    </w:pPr>
  </w:style>
  <w:style w:type="paragraph" w:customStyle="1" w:styleId="32">
    <w:name w:val="表格小五F4"/>
    <w:basedOn w:val="33"/>
    <w:autoRedefine/>
    <w:qFormat/>
    <w:uiPriority w:val="0"/>
    <w:rPr>
      <w:sz w:val="18"/>
    </w:rPr>
  </w:style>
  <w:style w:type="paragraph" w:customStyle="1" w:styleId="33">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4">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5">
    <w:name w:val="列表段落1"/>
    <w:basedOn w:val="1"/>
    <w:autoRedefine/>
    <w:qFormat/>
    <w:uiPriority w:val="0"/>
    <w:pPr>
      <w:ind w:firstLine="420" w:firstLineChars="200"/>
    </w:pPr>
  </w:style>
  <w:style w:type="paragraph" w:customStyle="1" w:styleId="36">
    <w:name w:val="List Paragraph"/>
    <w:basedOn w:val="1"/>
    <w:autoRedefine/>
    <w:qFormat/>
    <w:uiPriority w:val="34"/>
    <w:pPr>
      <w:ind w:firstLine="420" w:firstLineChars="200"/>
    </w:pPr>
  </w:style>
  <w:style w:type="paragraph" w:customStyle="1" w:styleId="37">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82</Pages>
  <Words>7936</Words>
  <Characters>8469</Characters>
  <Lines>0</Lines>
  <Paragraphs>0</Paragraphs>
  <TotalTime>2</TotalTime>
  <ScaleCrop>false</ScaleCrop>
  <LinksUpToDate>false</LinksUpToDate>
  <CharactersWithSpaces>8540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小满</cp:lastModifiedBy>
  <dcterms:modified xsi:type="dcterms:W3CDTF">2026-07-24T01:55:51Z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eyJoZGlkIjoiMmNkYmFlOGYzY2Y1OGUwODAxYTM3MzJjOWEwNWM0ZjMiLCJ1c2VySWQiOiI0ODQ0ODM5NTIifQ==</vt:lpwstr>
  </property>
  <property fmtid="{D5CDD505-2E9C-101B-9397-08002B2CF9AE}" pid="4" name="ICV">
    <vt:lpwstr>67C6B79E5754456EAF1143669080F513_13</vt:lpwstr>
  </property>
</Properties>
</file>