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4C08A">
      <w:pPr>
        <w:rPr>
          <w:rFonts w:ascii="仿宋_GB2312" w:eastAsia="仿宋_GB2312"/>
          <w:b/>
          <w:bCs/>
          <w:sz w:val="30"/>
          <w:szCs w:val="30"/>
        </w:rPr>
      </w:pPr>
      <w:bookmarkStart w:id="0" w:name="_GoBack"/>
      <w:bookmarkEnd w:id="0"/>
      <w:r>
        <w:rPr>
          <w:rFonts w:hint="eastAsia" w:ascii="仿宋_GB2312" w:eastAsia="仿宋_GB2312"/>
          <w:b/>
          <w:bCs/>
          <w:sz w:val="30"/>
          <w:szCs w:val="30"/>
        </w:rPr>
        <w:t>附件2：综合评分表</w:t>
      </w:r>
    </w:p>
    <w:p w14:paraId="607D60AE">
      <w:pPr>
        <w:pStyle w:val="4"/>
      </w:pPr>
    </w:p>
    <w:p w14:paraId="1A469B8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center"/>
        <w:rPr>
          <w:rFonts w:hint="eastAsia" w:ascii="国标仿宋-GB/T 2312" w:hAnsi="国标仿宋-GB/T 2312" w:eastAsia="国标仿宋-GB/T 2312" w:cs="国标仿宋-GB/T 2312"/>
          <w:sz w:val="36"/>
          <w:szCs w:val="36"/>
        </w:rPr>
      </w:pPr>
      <w:r>
        <w:rPr>
          <w:rFonts w:hint="eastAsia" w:ascii="国标仿宋-GB/T 2312" w:hAnsi="国标仿宋-GB/T 2312" w:eastAsia="国标仿宋-GB/T 2312" w:cs="国标仿宋-GB/T 2312"/>
          <w:sz w:val="36"/>
          <w:szCs w:val="36"/>
        </w:rPr>
        <w:t>关于</w:t>
      </w:r>
      <w:r>
        <w:rPr>
          <w:rFonts w:hint="eastAsia" w:ascii="国标仿宋-GB/T 2312" w:hAnsi="国标仿宋-GB/T 2312" w:eastAsia="国标仿宋-GB/T 2312" w:cs="国标仿宋-GB/T 2312"/>
          <w:sz w:val="36"/>
          <w:szCs w:val="36"/>
          <w:lang w:val="en-US" w:eastAsia="zh-CN"/>
        </w:rPr>
        <w:t>湾东智算公司知识产权代理</w:t>
      </w:r>
      <w:r>
        <w:rPr>
          <w:rFonts w:hint="eastAsia" w:ascii="国标仿宋-GB/T 2312" w:hAnsi="国标仿宋-GB/T 2312" w:eastAsia="国标仿宋-GB/T 2312" w:cs="国标仿宋-GB/T 2312"/>
          <w:sz w:val="36"/>
          <w:szCs w:val="36"/>
        </w:rPr>
        <w:t>服务</w:t>
      </w:r>
      <w:r>
        <w:rPr>
          <w:rFonts w:hint="eastAsia" w:ascii="国标仿宋-GB/T 2312" w:hAnsi="国标仿宋-GB/T 2312" w:eastAsia="国标仿宋-GB/T 2312" w:cs="国标仿宋-GB/T 2312"/>
          <w:sz w:val="36"/>
          <w:szCs w:val="36"/>
          <w:lang w:val="en-US" w:eastAsia="zh-CN"/>
        </w:rPr>
        <w:t>的</w:t>
      </w:r>
      <w:r>
        <w:rPr>
          <w:rFonts w:hint="eastAsia" w:ascii="国标仿宋-GB/T 2312" w:hAnsi="国标仿宋-GB/T 2312" w:eastAsia="国标仿宋-GB/T 2312" w:cs="国标仿宋-GB/T 2312"/>
          <w:sz w:val="36"/>
          <w:szCs w:val="36"/>
        </w:rPr>
        <w:t>综合评分表</w:t>
      </w:r>
    </w:p>
    <w:tbl>
      <w:tblPr>
        <w:tblStyle w:val="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4"/>
        <w:gridCol w:w="1021"/>
        <w:gridCol w:w="6854"/>
        <w:gridCol w:w="681"/>
      </w:tblGrid>
      <w:tr w14:paraId="5C1E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7" w:hRule="atLeast"/>
          <w:tblHeader/>
          <w:jc w:val="center"/>
        </w:trPr>
        <w:tc>
          <w:tcPr>
            <w:tcW w:w="247" w:type="pct"/>
            <w:noWrap w:val="0"/>
            <w:tcMar>
              <w:top w:w="80" w:type="dxa"/>
              <w:left w:w="80" w:type="dxa"/>
              <w:bottom w:w="80" w:type="dxa"/>
              <w:right w:w="80" w:type="dxa"/>
            </w:tcMar>
            <w:vAlign w:val="center"/>
          </w:tcPr>
          <w:p w14:paraId="037406FB">
            <w:pPr>
              <w:keepLines w:val="0"/>
              <w:pageBreakBefore w:val="0"/>
              <w:widowControl w:val="0"/>
              <w:tabs>
                <w:tab w:val="left" w:pos="420"/>
              </w:tabs>
              <w:kinsoku/>
              <w:wordWrap/>
              <w:overflowPunct/>
              <w:topLinePunct w:val="0"/>
              <w:autoSpaceDE/>
              <w:autoSpaceDN/>
              <w:bidi w:val="0"/>
              <w:spacing w:before="0" w:line="240" w:lineRule="auto"/>
              <w:jc w:val="center"/>
              <w:textAlignment w:val="auto"/>
              <w:rPr>
                <w:rFonts w:hint="default"/>
                <w:color w:val="auto"/>
              </w:rPr>
            </w:pPr>
            <w:r>
              <w:rPr>
                <w:rFonts w:ascii="宋体" w:hAnsi="宋体" w:eastAsia="宋体" w:cs="宋体"/>
                <w:b/>
                <w:bCs/>
                <w:color w:val="auto"/>
                <w:kern w:val="2"/>
                <w:sz w:val="21"/>
                <w:szCs w:val="21"/>
              </w:rPr>
              <w:t>序号</w:t>
            </w:r>
          </w:p>
        </w:tc>
        <w:tc>
          <w:tcPr>
            <w:tcW w:w="567" w:type="pct"/>
            <w:noWrap w:val="0"/>
            <w:tcMar>
              <w:top w:w="80" w:type="dxa"/>
              <w:left w:w="80" w:type="dxa"/>
              <w:bottom w:w="80" w:type="dxa"/>
              <w:right w:w="80" w:type="dxa"/>
            </w:tcMar>
            <w:vAlign w:val="center"/>
          </w:tcPr>
          <w:p w14:paraId="6A64E031">
            <w:pPr>
              <w:keepLines w:val="0"/>
              <w:pageBreakBefore w:val="0"/>
              <w:widowControl w:val="0"/>
              <w:tabs>
                <w:tab w:val="left" w:pos="420"/>
              </w:tabs>
              <w:kinsoku/>
              <w:wordWrap/>
              <w:overflowPunct/>
              <w:topLinePunct w:val="0"/>
              <w:autoSpaceDE/>
              <w:autoSpaceDN/>
              <w:bidi w:val="0"/>
              <w:spacing w:before="0" w:line="240" w:lineRule="auto"/>
              <w:jc w:val="center"/>
              <w:textAlignment w:val="auto"/>
              <w:rPr>
                <w:rFonts w:hint="default"/>
                <w:color w:val="auto"/>
              </w:rPr>
            </w:pPr>
            <w:r>
              <w:rPr>
                <w:rFonts w:hint="eastAsia"/>
                <w:b/>
                <w:szCs w:val="21"/>
              </w:rPr>
              <w:t>评分项</w:t>
            </w:r>
          </w:p>
        </w:tc>
        <w:tc>
          <w:tcPr>
            <w:tcW w:w="3806" w:type="pct"/>
            <w:noWrap w:val="0"/>
            <w:tcMar>
              <w:top w:w="80" w:type="dxa"/>
              <w:left w:w="80" w:type="dxa"/>
              <w:bottom w:w="80" w:type="dxa"/>
              <w:right w:w="80" w:type="dxa"/>
            </w:tcMar>
            <w:vAlign w:val="center"/>
          </w:tcPr>
          <w:p w14:paraId="152DAD8D">
            <w:pPr>
              <w:keepLines w:val="0"/>
              <w:pageBreakBefore w:val="0"/>
              <w:widowControl w:val="0"/>
              <w:tabs>
                <w:tab w:val="left" w:pos="420"/>
                <w:tab w:val="left" w:pos="840"/>
                <w:tab w:val="left" w:pos="1260"/>
                <w:tab w:val="left" w:pos="1680"/>
                <w:tab w:val="left" w:pos="2100"/>
                <w:tab w:val="left" w:pos="2520"/>
                <w:tab w:val="left" w:pos="2940"/>
                <w:tab w:val="left" w:pos="3360"/>
              </w:tabs>
              <w:kinsoku/>
              <w:wordWrap/>
              <w:overflowPunct/>
              <w:topLinePunct w:val="0"/>
              <w:autoSpaceDE/>
              <w:autoSpaceDN/>
              <w:bidi w:val="0"/>
              <w:spacing w:before="0" w:line="240" w:lineRule="auto"/>
              <w:jc w:val="center"/>
              <w:textAlignment w:val="auto"/>
              <w:rPr>
                <w:rFonts w:hint="default"/>
                <w:color w:val="auto"/>
              </w:rPr>
            </w:pPr>
            <w:r>
              <w:rPr>
                <w:rFonts w:hint="eastAsia"/>
                <w:b/>
                <w:szCs w:val="21"/>
              </w:rPr>
              <w:t>评分规则</w:t>
            </w:r>
          </w:p>
        </w:tc>
        <w:tc>
          <w:tcPr>
            <w:tcW w:w="378" w:type="pct"/>
            <w:noWrap w:val="0"/>
            <w:tcMar>
              <w:top w:w="80" w:type="dxa"/>
              <w:left w:w="80" w:type="dxa"/>
              <w:bottom w:w="80" w:type="dxa"/>
              <w:right w:w="80" w:type="dxa"/>
            </w:tcMar>
            <w:vAlign w:val="center"/>
          </w:tcPr>
          <w:p w14:paraId="01962016">
            <w:pPr>
              <w:keepLines w:val="0"/>
              <w:pageBreakBefore w:val="0"/>
              <w:widowControl w:val="0"/>
              <w:tabs>
                <w:tab w:val="left" w:pos="420"/>
                <w:tab w:val="left" w:pos="840"/>
                <w:tab w:val="left" w:pos="1260"/>
              </w:tabs>
              <w:kinsoku/>
              <w:wordWrap/>
              <w:overflowPunct/>
              <w:topLinePunct w:val="0"/>
              <w:autoSpaceDE/>
              <w:autoSpaceDN/>
              <w:bidi w:val="0"/>
              <w:spacing w:before="0" w:line="240" w:lineRule="auto"/>
              <w:jc w:val="center"/>
              <w:textAlignment w:val="auto"/>
              <w:rPr>
                <w:rFonts w:hint="eastAsia" w:eastAsia="等线"/>
                <w:color w:val="auto"/>
                <w:lang w:eastAsia="zh-CN"/>
              </w:rPr>
            </w:pPr>
            <w:r>
              <w:rPr>
                <w:rFonts w:hint="eastAsia" w:ascii="宋体" w:hAnsi="宋体" w:eastAsia="宋体" w:cs="宋体"/>
                <w:b/>
                <w:bCs/>
                <w:color w:val="auto"/>
                <w:kern w:val="2"/>
                <w:sz w:val="21"/>
                <w:szCs w:val="21"/>
                <w:lang w:val="en-US" w:eastAsia="zh-CN"/>
              </w:rPr>
              <w:t>分值</w:t>
            </w:r>
          </w:p>
        </w:tc>
      </w:tr>
      <w:tr w14:paraId="4537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8" w:hRule="atLeast"/>
          <w:jc w:val="center"/>
        </w:trPr>
        <w:tc>
          <w:tcPr>
            <w:tcW w:w="247" w:type="pct"/>
            <w:noWrap w:val="0"/>
            <w:tcMar>
              <w:top w:w="80" w:type="dxa"/>
              <w:left w:w="80" w:type="dxa"/>
              <w:bottom w:w="80" w:type="dxa"/>
              <w:right w:w="80" w:type="dxa"/>
            </w:tcMar>
            <w:vAlign w:val="center"/>
          </w:tcPr>
          <w:p w14:paraId="5B46B485">
            <w:pPr>
              <w:keepLines w:val="0"/>
              <w:pageBreakBefore w:val="0"/>
              <w:widowControl w:val="0"/>
              <w:shd w:val="clear" w:color="auto" w:fill="auto"/>
              <w:tabs>
                <w:tab w:val="left" w:pos="420"/>
              </w:tabs>
              <w:kinsoku/>
              <w:wordWrap/>
              <w:overflowPunct/>
              <w:topLinePunct w:val="0"/>
              <w:autoSpaceDE/>
              <w:autoSpaceDN/>
              <w:bidi w:val="0"/>
              <w:spacing w:before="0" w:line="240" w:lineRule="auto"/>
              <w:jc w:val="center"/>
              <w:textAlignment w:val="auto"/>
              <w:rPr>
                <w:rFonts w:hint="default" w:ascii="宋体" w:hAnsi="宋体" w:eastAsia="宋体" w:cs="宋体"/>
                <w:color w:val="000000"/>
                <w:kern w:val="2"/>
                <w:sz w:val="21"/>
                <w:szCs w:val="21"/>
                <w:highlight w:val="none"/>
                <w:shd w:val="clear" w:color="auto" w:fill="auto"/>
                <w:lang w:val="en-US" w:eastAsia="zh-CN"/>
              </w:rPr>
            </w:pPr>
            <w:r>
              <w:rPr>
                <w:rFonts w:hint="eastAsia" w:ascii="宋体" w:hAnsi="宋体" w:eastAsia="宋体" w:cs="宋体"/>
                <w:color w:val="000000"/>
                <w:kern w:val="2"/>
                <w:sz w:val="21"/>
                <w:szCs w:val="21"/>
                <w:highlight w:val="none"/>
                <w:shd w:val="clear" w:color="auto" w:fill="auto"/>
                <w:lang w:val="en-US" w:eastAsia="zh-CN"/>
              </w:rPr>
              <w:t>1</w:t>
            </w:r>
          </w:p>
        </w:tc>
        <w:tc>
          <w:tcPr>
            <w:tcW w:w="567" w:type="pct"/>
            <w:noWrap w:val="0"/>
            <w:tcMar>
              <w:top w:w="80" w:type="dxa"/>
              <w:left w:w="80" w:type="dxa"/>
              <w:bottom w:w="80" w:type="dxa"/>
              <w:right w:w="80" w:type="dxa"/>
            </w:tcMar>
            <w:vAlign w:val="center"/>
          </w:tcPr>
          <w:p w14:paraId="145A9745">
            <w:pPr>
              <w:shd w:val="clear" w:color="auto" w:fill="auto"/>
              <w:tabs>
                <w:tab w:val="left" w:pos="900"/>
              </w:tabs>
              <w:jc w:val="center"/>
              <w:rPr>
                <w:rFonts w:hint="eastAsia" w:ascii="等线" w:hAnsi="等线" w:eastAsia="等线" w:cs="Times New Roman"/>
                <w:bCs/>
                <w:color w:val="000000"/>
                <w:kern w:val="2"/>
                <w:sz w:val="21"/>
                <w:szCs w:val="21"/>
                <w:highlight w:val="none"/>
                <w:shd w:val="clear" w:color="auto" w:fill="auto"/>
                <w:lang w:val="en-US" w:eastAsia="zh-CN" w:bidi="ar-SA"/>
              </w:rPr>
            </w:pPr>
            <w:r>
              <w:rPr>
                <w:rFonts w:hint="eastAsia"/>
                <w:bCs/>
                <w:color w:val="000000"/>
                <w:szCs w:val="21"/>
                <w:highlight w:val="none"/>
                <w:shd w:val="clear" w:color="auto" w:fill="auto"/>
              </w:rPr>
              <w:t>报价</w:t>
            </w:r>
          </w:p>
        </w:tc>
        <w:tc>
          <w:tcPr>
            <w:tcW w:w="3806" w:type="pct"/>
            <w:noWrap w:val="0"/>
            <w:tcMar>
              <w:top w:w="80" w:type="dxa"/>
              <w:left w:w="80" w:type="dxa"/>
              <w:bottom w:w="80" w:type="dxa"/>
              <w:right w:w="80" w:type="dxa"/>
            </w:tcMar>
            <w:vAlign w:val="center"/>
          </w:tcPr>
          <w:p w14:paraId="6B5E22DC">
            <w:pPr>
              <w:shd w:val="clear" w:color="auto" w:fill="auto"/>
              <w:adjustRightInd w:val="0"/>
              <w:snapToGrid w:val="0"/>
              <w:jc w:val="left"/>
              <w:rPr>
                <w:rFonts w:hint="eastAsia" w:ascii="宋体" w:hAnsi="宋体" w:eastAsia="宋体" w:cs="宋体"/>
                <w:bCs/>
                <w:color w:val="000000"/>
                <w:sz w:val="21"/>
                <w:szCs w:val="21"/>
                <w:highlight w:val="none"/>
                <w:shd w:val="clear" w:color="auto" w:fill="auto"/>
              </w:rPr>
            </w:pPr>
            <w:r>
              <w:rPr>
                <w:rFonts w:hint="eastAsia" w:ascii="宋体" w:hAnsi="宋体" w:eastAsia="宋体" w:cs="宋体"/>
                <w:b/>
                <w:bCs/>
                <w:color w:val="000000"/>
                <w:kern w:val="0"/>
                <w:sz w:val="21"/>
                <w:szCs w:val="21"/>
                <w:highlight w:val="none"/>
                <w:shd w:val="clear" w:color="auto" w:fill="auto"/>
                <w:lang w:val="en-US" w:eastAsia="zh-CN" w:bidi="ar"/>
              </w:rPr>
              <w:t>评审标准：</w:t>
            </w:r>
          </w:p>
          <w:p w14:paraId="6939945B">
            <w:pPr>
              <w:shd w:val="clear" w:color="auto" w:fill="auto"/>
              <w:adjustRightInd w:val="0"/>
              <w:snapToGrid w:val="0"/>
              <w:jc w:val="left"/>
              <w:rPr>
                <w:rFonts w:hint="eastAsia" w:ascii="宋体" w:hAnsi="宋体" w:eastAsia="宋体" w:cs="宋体"/>
                <w:bCs/>
                <w:color w:val="000000"/>
                <w:sz w:val="21"/>
                <w:szCs w:val="21"/>
                <w:highlight w:val="none"/>
                <w:shd w:val="clear" w:color="auto" w:fill="auto"/>
                <w:lang w:eastAsia="zh-CN"/>
              </w:rPr>
            </w:pPr>
            <w:r>
              <w:rPr>
                <w:rFonts w:hint="eastAsia" w:ascii="宋体" w:hAnsi="宋体" w:eastAsia="宋体" w:cs="宋体"/>
                <w:bCs/>
                <w:color w:val="000000"/>
                <w:sz w:val="21"/>
                <w:szCs w:val="21"/>
                <w:highlight w:val="none"/>
                <w:shd w:val="clear" w:color="auto" w:fill="auto"/>
              </w:rPr>
              <w:t>所有有效投标报价（总价）的</w:t>
            </w:r>
            <w:r>
              <w:rPr>
                <w:rFonts w:hint="eastAsia" w:ascii="宋体" w:hAnsi="宋体" w:eastAsia="宋体" w:cs="宋体"/>
                <w:bCs/>
                <w:color w:val="000000"/>
                <w:sz w:val="21"/>
                <w:szCs w:val="21"/>
                <w:highlight w:val="none"/>
                <w:shd w:val="clear" w:color="auto" w:fill="auto"/>
                <w:lang w:eastAsia="zh-CN"/>
              </w:rPr>
              <w:t>最低值</w:t>
            </w:r>
            <w:r>
              <w:rPr>
                <w:rFonts w:hint="eastAsia" w:ascii="宋体" w:hAnsi="宋体" w:eastAsia="宋体" w:cs="宋体"/>
                <w:bCs/>
                <w:color w:val="000000"/>
                <w:sz w:val="21"/>
                <w:szCs w:val="21"/>
                <w:highlight w:val="none"/>
                <w:shd w:val="clear" w:color="auto" w:fill="auto"/>
              </w:rPr>
              <w:t>为基准价</w:t>
            </w:r>
            <w:r>
              <w:rPr>
                <w:rFonts w:hint="eastAsia" w:ascii="宋体" w:hAnsi="宋体" w:cs="宋体"/>
                <w:bCs/>
                <w:color w:val="000000"/>
                <w:sz w:val="21"/>
                <w:szCs w:val="21"/>
                <w:highlight w:val="none"/>
                <w:shd w:val="clear" w:color="auto" w:fill="auto"/>
                <w:lang w:eastAsia="zh-CN"/>
              </w:rPr>
              <w:t>，</w:t>
            </w:r>
          </w:p>
          <w:p w14:paraId="0CEAABF8">
            <w:pPr>
              <w:shd w:val="clear" w:color="auto" w:fill="auto"/>
              <w:adjustRightInd w:val="0"/>
              <w:snapToGrid w:val="0"/>
              <w:jc w:val="left"/>
              <w:rPr>
                <w:rFonts w:hint="eastAsia" w:ascii="宋体" w:hAnsi="宋体" w:eastAsia="宋体" w:cs="宋体"/>
                <w:bCs/>
                <w:color w:val="000000"/>
                <w:kern w:val="2"/>
                <w:sz w:val="21"/>
                <w:szCs w:val="21"/>
                <w:highlight w:val="none"/>
                <w:shd w:val="clear" w:color="auto" w:fill="auto"/>
                <w:lang w:val="en-US" w:eastAsia="zh-CN" w:bidi="ar-SA"/>
              </w:rPr>
            </w:pPr>
            <w:r>
              <w:rPr>
                <w:rFonts w:hint="eastAsia" w:ascii="宋体" w:hAnsi="宋体" w:eastAsia="宋体" w:cs="宋体"/>
                <w:bCs/>
                <w:color w:val="000000"/>
                <w:sz w:val="21"/>
                <w:szCs w:val="21"/>
                <w:highlight w:val="none"/>
                <w:shd w:val="clear" w:color="auto" w:fill="auto"/>
              </w:rPr>
              <w:t>投标报价得分 =（评标基准价／投标报价）×</w:t>
            </w:r>
            <w:r>
              <w:rPr>
                <w:rFonts w:hint="eastAsia" w:ascii="宋体" w:hAnsi="宋体" w:cs="宋体"/>
                <w:bCs/>
                <w:color w:val="000000"/>
                <w:sz w:val="21"/>
                <w:szCs w:val="21"/>
                <w:highlight w:val="none"/>
                <w:shd w:val="clear" w:color="auto" w:fill="auto"/>
                <w:lang w:val="en-US" w:eastAsia="zh-CN"/>
              </w:rPr>
              <w:t>20</w:t>
            </w:r>
            <w:r>
              <w:rPr>
                <w:rFonts w:hint="eastAsia" w:ascii="宋体" w:hAnsi="宋体" w:cs="宋体"/>
                <w:bCs/>
                <w:color w:val="000000"/>
                <w:sz w:val="21"/>
                <w:szCs w:val="21"/>
                <w:highlight w:val="none"/>
                <w:shd w:val="clear" w:color="auto" w:fill="auto"/>
                <w:lang w:eastAsia="zh-CN"/>
              </w:rPr>
              <w:t>。</w:t>
            </w:r>
          </w:p>
        </w:tc>
        <w:tc>
          <w:tcPr>
            <w:tcW w:w="378" w:type="pct"/>
            <w:noWrap w:val="0"/>
            <w:tcMar>
              <w:top w:w="80" w:type="dxa"/>
              <w:left w:w="80" w:type="dxa"/>
              <w:bottom w:w="80" w:type="dxa"/>
              <w:right w:w="80" w:type="dxa"/>
            </w:tcMar>
            <w:vAlign w:val="center"/>
          </w:tcPr>
          <w:p w14:paraId="23F6B8CF">
            <w:pPr>
              <w:shd w:val="clear" w:color="auto" w:fill="auto"/>
              <w:jc w:val="center"/>
              <w:rPr>
                <w:rFonts w:hint="eastAsia" w:ascii="宋体" w:hAnsi="宋体" w:eastAsia="宋体" w:cs="宋体"/>
                <w:bCs/>
                <w:color w:val="000000"/>
                <w:kern w:val="2"/>
                <w:sz w:val="21"/>
                <w:szCs w:val="21"/>
                <w:highlight w:val="none"/>
                <w:shd w:val="clear" w:color="auto" w:fill="auto"/>
                <w:lang w:val="en-US" w:eastAsia="zh-CN" w:bidi="ar-SA"/>
              </w:rPr>
            </w:pPr>
            <w:r>
              <w:rPr>
                <w:rFonts w:hint="eastAsia" w:ascii="宋体" w:hAnsi="宋体" w:eastAsia="宋体" w:cs="宋体"/>
                <w:bCs/>
                <w:color w:val="000000"/>
                <w:szCs w:val="21"/>
                <w:highlight w:val="none"/>
                <w:shd w:val="clear" w:color="auto" w:fill="auto"/>
                <w:lang w:val="en-US" w:eastAsia="zh-CN"/>
              </w:rPr>
              <w:t>2</w:t>
            </w:r>
            <w:r>
              <w:rPr>
                <w:rFonts w:hint="eastAsia" w:ascii="宋体" w:hAnsi="宋体" w:eastAsia="宋体" w:cs="宋体"/>
                <w:bCs/>
                <w:color w:val="000000"/>
                <w:szCs w:val="21"/>
                <w:highlight w:val="none"/>
                <w:shd w:val="clear" w:color="auto" w:fill="auto"/>
              </w:rPr>
              <w:t>0</w:t>
            </w:r>
          </w:p>
        </w:tc>
      </w:tr>
      <w:tr w14:paraId="39EE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247" w:type="pct"/>
            <w:noWrap w:val="0"/>
            <w:tcMar>
              <w:top w:w="80" w:type="dxa"/>
              <w:left w:w="80" w:type="dxa"/>
              <w:bottom w:w="80" w:type="dxa"/>
              <w:right w:w="80" w:type="dxa"/>
            </w:tcMar>
            <w:vAlign w:val="center"/>
          </w:tcPr>
          <w:p w14:paraId="6BA0916F">
            <w:pPr>
              <w:keepLines w:val="0"/>
              <w:pageBreakBefore w:val="0"/>
              <w:widowControl w:val="0"/>
              <w:shd w:val="clear" w:color="auto" w:fill="auto"/>
              <w:tabs>
                <w:tab w:val="left" w:pos="420"/>
              </w:tabs>
              <w:kinsoku/>
              <w:wordWrap/>
              <w:overflowPunct/>
              <w:topLinePunct w:val="0"/>
              <w:autoSpaceDE/>
              <w:autoSpaceDN/>
              <w:bidi w:val="0"/>
              <w:spacing w:before="0" w:line="240" w:lineRule="auto"/>
              <w:jc w:val="center"/>
              <w:textAlignment w:val="auto"/>
              <w:rPr>
                <w:rFonts w:hint="default" w:ascii="宋体" w:hAnsi="宋体" w:eastAsia="宋体" w:cs="宋体"/>
                <w:color w:val="auto"/>
                <w:kern w:val="2"/>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color="auto" w:fill="auto"/>
                <w:lang w:val="en-US" w:eastAsia="zh-CN"/>
              </w:rPr>
              <w:t>2</w:t>
            </w:r>
          </w:p>
        </w:tc>
        <w:tc>
          <w:tcPr>
            <w:tcW w:w="567" w:type="pct"/>
            <w:noWrap w:val="0"/>
            <w:tcMar>
              <w:top w:w="80" w:type="dxa"/>
              <w:left w:w="80" w:type="dxa"/>
              <w:bottom w:w="80" w:type="dxa"/>
              <w:right w:w="80" w:type="dxa"/>
            </w:tcMar>
            <w:vAlign w:val="center"/>
          </w:tcPr>
          <w:p w14:paraId="57415063">
            <w:pPr>
              <w:shd w:val="clear" w:color="auto" w:fill="auto"/>
              <w:adjustRightInd w:val="0"/>
              <w:snapToGrid w:val="0"/>
              <w:jc w:val="center"/>
              <w:rPr>
                <w:rFonts w:hint="eastAsia" w:ascii="Calibri" w:hAnsi="Calibri" w:eastAsia="宋体" w:cs="Times New Roman"/>
                <w:bCs/>
                <w:color w:val="auto"/>
                <w:kern w:val="2"/>
                <w:sz w:val="21"/>
                <w:szCs w:val="21"/>
                <w:highlight w:val="none"/>
                <w:shd w:val="clear" w:color="auto" w:fill="auto"/>
                <w:lang w:val="en-US" w:eastAsia="zh-CN" w:bidi="ar-SA"/>
              </w:rPr>
            </w:pPr>
            <w:r>
              <w:rPr>
                <w:rFonts w:hint="eastAsia" w:ascii="Calibri" w:hAnsi="Calibri" w:eastAsia="宋体" w:cs="Times New Roman"/>
                <w:bCs/>
                <w:color w:val="auto"/>
                <w:kern w:val="2"/>
                <w:sz w:val="21"/>
                <w:szCs w:val="21"/>
                <w:highlight w:val="none"/>
                <w:shd w:val="clear" w:color="auto" w:fill="auto"/>
                <w:lang w:val="en-US" w:eastAsia="zh-CN" w:bidi="ar-SA"/>
              </w:rPr>
              <w:t>企业信息</w:t>
            </w:r>
          </w:p>
        </w:tc>
        <w:tc>
          <w:tcPr>
            <w:tcW w:w="3806" w:type="pct"/>
            <w:noWrap w:val="0"/>
            <w:tcMar>
              <w:top w:w="80" w:type="dxa"/>
              <w:left w:w="80" w:type="dxa"/>
              <w:bottom w:w="80" w:type="dxa"/>
              <w:right w:w="80" w:type="dxa"/>
            </w:tcMar>
            <w:vAlign w:val="center"/>
          </w:tcPr>
          <w:p w14:paraId="357FC6D0">
            <w:pPr>
              <w:shd w:val="clear" w:color="auto" w:fill="auto"/>
              <w:adjustRightInd w:val="0"/>
              <w:snapToGrid w:val="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lang w:val="en-US" w:eastAsia="zh-CN" w:bidi="ar"/>
              </w:rPr>
              <w:t>评审标准：</w:t>
            </w:r>
          </w:p>
          <w:p w14:paraId="5330F150">
            <w:pPr>
              <w:shd w:val="clear" w:color="auto" w:fill="auto"/>
              <w:wordWrap w:val="0"/>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专利代理机构执业审批年限：审批设立年限≥5年，得10分，3年≤审批设立年限＜5年，得6分，其余得2分。</w:t>
            </w:r>
          </w:p>
          <w:p w14:paraId="5DD93078">
            <w:pPr>
              <w:shd w:val="clear" w:color="auto" w:fill="auto"/>
              <w:wordWrap w:val="0"/>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证明</w:t>
            </w:r>
            <w:r>
              <w:rPr>
                <w:rFonts w:hint="eastAsia" w:ascii="宋体" w:hAnsi="宋体" w:eastAsia="宋体" w:cs="宋体"/>
                <w:b/>
                <w:bCs/>
                <w:color w:val="auto"/>
                <w:sz w:val="21"/>
                <w:szCs w:val="21"/>
                <w:highlight w:val="none"/>
                <w:shd w:val="clear" w:color="auto" w:fill="auto"/>
                <w:lang w:val="en-US" w:eastAsia="zh-CN"/>
              </w:rPr>
              <w:t>材料</w:t>
            </w:r>
            <w:r>
              <w:rPr>
                <w:rFonts w:hint="eastAsia" w:ascii="宋体" w:hAnsi="宋体" w:eastAsia="宋体" w:cs="宋体"/>
                <w:b/>
                <w:bCs/>
                <w:color w:val="auto"/>
                <w:sz w:val="21"/>
                <w:szCs w:val="21"/>
                <w:highlight w:val="none"/>
                <w:shd w:val="clear" w:color="auto" w:fill="auto"/>
              </w:rPr>
              <w:t>:</w:t>
            </w:r>
          </w:p>
          <w:p w14:paraId="316A2568">
            <w:pPr>
              <w:pStyle w:val="3"/>
              <w:tabs>
                <w:tab w:val="left" w:pos="562"/>
                <w:tab w:val="left" w:pos="3372"/>
                <w:tab w:val="left" w:pos="3653"/>
              </w:tabs>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国家知识产权局审批设立专利代理机构名录截图</w:t>
            </w:r>
          </w:p>
        </w:tc>
        <w:tc>
          <w:tcPr>
            <w:tcW w:w="378" w:type="pct"/>
            <w:noWrap w:val="0"/>
            <w:tcMar>
              <w:top w:w="80" w:type="dxa"/>
              <w:left w:w="80" w:type="dxa"/>
              <w:bottom w:w="80" w:type="dxa"/>
              <w:right w:w="80" w:type="dxa"/>
            </w:tcMar>
            <w:vAlign w:val="center"/>
          </w:tcPr>
          <w:p w14:paraId="5FB92F17">
            <w:pPr>
              <w:shd w:val="clear" w:color="auto" w:fill="auto"/>
              <w:tabs>
                <w:tab w:val="left" w:pos="4287"/>
              </w:tabs>
              <w:ind w:right="-73" w:rightChars="-35"/>
              <w:jc w:val="center"/>
              <w:rPr>
                <w:rFonts w:hint="default" w:ascii="宋体" w:hAnsi="宋体" w:eastAsia="宋体" w:cs="宋体"/>
                <w:color w:val="auto"/>
                <w:kern w:val="2"/>
                <w:sz w:val="21"/>
                <w:szCs w:val="21"/>
                <w:highlight w:val="none"/>
                <w:shd w:val="clear" w:color="auto" w:fill="auto"/>
                <w:lang w:val="en-US" w:eastAsia="zh-CN" w:bidi="ar-SA"/>
              </w:rPr>
            </w:pPr>
            <w:r>
              <w:rPr>
                <w:rFonts w:hint="eastAsia" w:ascii="宋体" w:hAnsi="宋体" w:eastAsia="宋体" w:cs="宋体"/>
                <w:color w:val="auto"/>
                <w:szCs w:val="21"/>
                <w:highlight w:val="none"/>
                <w:shd w:val="clear" w:color="auto" w:fill="auto"/>
                <w:lang w:val="en-US" w:eastAsia="zh-CN"/>
              </w:rPr>
              <w:t>10</w:t>
            </w:r>
          </w:p>
        </w:tc>
      </w:tr>
      <w:tr w14:paraId="75E4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7" w:type="pct"/>
            <w:noWrap w:val="0"/>
            <w:tcMar>
              <w:top w:w="80" w:type="dxa"/>
              <w:left w:w="80" w:type="dxa"/>
              <w:bottom w:w="80" w:type="dxa"/>
              <w:right w:w="80" w:type="dxa"/>
            </w:tcMar>
            <w:vAlign w:val="center"/>
          </w:tcPr>
          <w:p w14:paraId="561D2DD8">
            <w:pPr>
              <w:keepLines w:val="0"/>
              <w:pageBreakBefore w:val="0"/>
              <w:widowControl w:val="0"/>
              <w:shd w:val="clear" w:color="auto" w:fill="auto"/>
              <w:tabs>
                <w:tab w:val="left" w:pos="420"/>
              </w:tabs>
              <w:kinsoku/>
              <w:wordWrap/>
              <w:overflowPunct/>
              <w:topLinePunct w:val="0"/>
              <w:autoSpaceDE/>
              <w:autoSpaceDN/>
              <w:bidi w:val="0"/>
              <w:spacing w:before="0" w:line="240" w:lineRule="auto"/>
              <w:jc w:val="center"/>
              <w:textAlignment w:val="auto"/>
              <w:rPr>
                <w:rFonts w:hint="default" w:eastAsia="宋体"/>
                <w:color w:val="000000"/>
                <w:highlight w:val="none"/>
                <w:shd w:val="clear" w:color="auto" w:fill="auto"/>
                <w:lang w:val="en-US" w:eastAsia="zh-CN"/>
              </w:rPr>
            </w:pPr>
            <w:r>
              <w:rPr>
                <w:rFonts w:hint="eastAsia" w:eastAsia="宋体"/>
                <w:color w:val="000000"/>
                <w:highlight w:val="none"/>
                <w:shd w:val="clear" w:color="auto" w:fill="auto"/>
                <w:lang w:val="en-US" w:eastAsia="zh-CN"/>
              </w:rPr>
              <w:t>3</w:t>
            </w:r>
          </w:p>
        </w:tc>
        <w:tc>
          <w:tcPr>
            <w:tcW w:w="567" w:type="pct"/>
            <w:noWrap w:val="0"/>
            <w:tcMar>
              <w:top w:w="80" w:type="dxa"/>
              <w:left w:w="80" w:type="dxa"/>
              <w:bottom w:w="80" w:type="dxa"/>
              <w:right w:w="80" w:type="dxa"/>
            </w:tcMar>
            <w:vAlign w:val="center"/>
          </w:tcPr>
          <w:p w14:paraId="68C40BA1">
            <w:pPr>
              <w:shd w:val="clear" w:color="auto" w:fill="auto"/>
              <w:adjustRightInd w:val="0"/>
              <w:snapToGrid w:val="0"/>
              <w:jc w:val="center"/>
              <w:rPr>
                <w:rFonts w:hint="default" w:ascii="Calibri" w:hAnsi="Calibri" w:eastAsia="宋体" w:cs="Times New Roman"/>
                <w:bCs/>
                <w:color w:val="000000"/>
                <w:kern w:val="2"/>
                <w:sz w:val="21"/>
                <w:szCs w:val="21"/>
                <w:highlight w:val="none"/>
                <w:shd w:val="clear" w:color="auto" w:fill="auto"/>
                <w:lang w:val="en-US" w:eastAsia="zh-CN" w:bidi="ar-SA"/>
              </w:rPr>
            </w:pPr>
            <w:r>
              <w:rPr>
                <w:rFonts w:hint="eastAsia" w:ascii="Calibri" w:hAnsi="Calibri" w:eastAsia="宋体" w:cs="Times New Roman"/>
                <w:bCs/>
                <w:color w:val="000000"/>
                <w:szCs w:val="21"/>
                <w:highlight w:val="none"/>
                <w:shd w:val="clear" w:color="auto" w:fill="auto"/>
                <w:lang w:val="en-US" w:eastAsia="zh-CN"/>
              </w:rPr>
              <w:t>企业业绩</w:t>
            </w:r>
          </w:p>
        </w:tc>
        <w:tc>
          <w:tcPr>
            <w:tcW w:w="3806" w:type="pct"/>
            <w:noWrap w:val="0"/>
            <w:tcMar>
              <w:top w:w="80" w:type="dxa"/>
              <w:left w:w="80" w:type="dxa"/>
              <w:bottom w:w="80" w:type="dxa"/>
              <w:right w:w="80" w:type="dxa"/>
            </w:tcMar>
            <w:vAlign w:val="center"/>
          </w:tcPr>
          <w:p w14:paraId="05187504">
            <w:pPr>
              <w:shd w:val="clear" w:color="auto" w:fill="auto"/>
              <w:spacing w:line="300" w:lineRule="exact"/>
              <w:jc w:val="left"/>
              <w:rPr>
                <w:rFonts w:hint="eastAsia" w:ascii="宋体" w:hAnsi="宋体" w:eastAsia="宋体" w:cs="宋体"/>
                <w:b/>
                <w:bCs/>
                <w:color w:val="000000"/>
                <w:kern w:val="0"/>
                <w:sz w:val="21"/>
                <w:szCs w:val="21"/>
                <w:highlight w:val="none"/>
                <w:shd w:val="clear" w:color="auto" w:fill="auto"/>
                <w:lang w:val="en-US" w:eastAsia="zh-CN" w:bidi="ar"/>
              </w:rPr>
            </w:pPr>
            <w:r>
              <w:rPr>
                <w:rFonts w:hint="eastAsia" w:ascii="宋体" w:hAnsi="宋体" w:eastAsia="宋体" w:cs="宋体"/>
                <w:b/>
                <w:bCs/>
                <w:color w:val="000000"/>
                <w:kern w:val="0"/>
                <w:sz w:val="21"/>
                <w:szCs w:val="21"/>
                <w:highlight w:val="none"/>
                <w:shd w:val="clear" w:color="auto" w:fill="auto"/>
                <w:lang w:val="en-US" w:eastAsia="zh-CN" w:bidi="ar"/>
              </w:rPr>
              <w:t>评审标准：</w:t>
            </w:r>
          </w:p>
          <w:p w14:paraId="457829EA">
            <w:pPr>
              <w:shd w:val="clear" w:color="auto" w:fill="auto"/>
              <w:spacing w:line="300" w:lineRule="exact"/>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提供投标人</w:t>
            </w:r>
            <w:r>
              <w:rPr>
                <w:rFonts w:hint="eastAsia" w:ascii="宋体" w:hAnsi="宋体" w:eastAsia="宋体" w:cs="宋体"/>
                <w:color w:val="000000"/>
                <w:sz w:val="21"/>
                <w:szCs w:val="21"/>
                <w:highlight w:val="none"/>
                <w:shd w:val="clear" w:color="auto" w:fill="auto"/>
                <w:lang w:val="en-US" w:eastAsia="zh-CN"/>
              </w:rPr>
              <w:t>202</w:t>
            </w:r>
            <w:r>
              <w:rPr>
                <w:rFonts w:hint="eastAsia" w:ascii="宋体" w:hAnsi="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年</w:t>
            </w:r>
            <w:r>
              <w:rPr>
                <w:rFonts w:hint="eastAsia" w:ascii="宋体" w:hAnsi="宋体" w:cs="宋体"/>
                <w:color w:val="000000"/>
                <w:sz w:val="21"/>
                <w:szCs w:val="21"/>
                <w:highlight w:val="none"/>
                <w:shd w:val="clear" w:color="auto" w:fill="auto"/>
                <w:lang w:val="en-US" w:eastAsia="zh-CN"/>
              </w:rPr>
              <w:t>7</w:t>
            </w:r>
            <w:r>
              <w:rPr>
                <w:rFonts w:hint="eastAsia" w:ascii="宋体" w:hAnsi="宋体" w:eastAsia="宋体" w:cs="宋体"/>
                <w:color w:val="000000"/>
                <w:sz w:val="21"/>
                <w:szCs w:val="21"/>
                <w:highlight w:val="none"/>
                <w:shd w:val="clear" w:color="auto" w:fill="auto"/>
              </w:rPr>
              <w:t>月1日至本项目投标截止之日，供应商曾担任过数据或算力或人工智能发明专利申请代理机构，每提供</w:t>
            </w:r>
            <w:r>
              <w:rPr>
                <w:rFonts w:hint="eastAsia" w:ascii="宋体" w:hAnsi="宋体" w:eastAsia="宋体" w:cs="宋体"/>
                <w:color w:val="000000"/>
                <w:sz w:val="21"/>
                <w:szCs w:val="21"/>
                <w:highlight w:val="none"/>
                <w:shd w:val="clear" w:color="auto" w:fill="auto"/>
                <w:lang w:val="en-US" w:eastAsia="zh-CN"/>
              </w:rPr>
              <w:t>一项</w:t>
            </w:r>
            <w:r>
              <w:rPr>
                <w:rFonts w:hint="eastAsia" w:ascii="宋体" w:hAnsi="宋体" w:eastAsia="宋体" w:cs="宋体"/>
                <w:color w:val="000000"/>
                <w:sz w:val="21"/>
                <w:szCs w:val="21"/>
                <w:highlight w:val="none"/>
                <w:shd w:val="clear" w:color="auto" w:fill="auto"/>
              </w:rPr>
              <w:t>得</w:t>
            </w:r>
            <w:r>
              <w:rPr>
                <w:rFonts w:hint="eastAsia" w:ascii="宋体" w:hAnsi="宋体" w:eastAsia="宋体" w:cs="宋体"/>
                <w:color w:val="000000"/>
                <w:sz w:val="21"/>
                <w:szCs w:val="21"/>
                <w:highlight w:val="none"/>
                <w:shd w:val="clear" w:color="auto" w:fill="auto"/>
                <w:lang w:val="en-US" w:eastAsia="zh-CN"/>
              </w:rPr>
              <w:t>5</w:t>
            </w:r>
            <w:r>
              <w:rPr>
                <w:rFonts w:hint="eastAsia" w:ascii="宋体" w:hAnsi="宋体" w:eastAsia="宋体" w:cs="宋体"/>
                <w:color w:val="000000"/>
                <w:sz w:val="21"/>
                <w:szCs w:val="21"/>
                <w:highlight w:val="none"/>
                <w:shd w:val="clear" w:color="auto" w:fill="auto"/>
              </w:rPr>
              <w:t>分，最高不超过</w:t>
            </w:r>
            <w:r>
              <w:rPr>
                <w:rFonts w:hint="eastAsia" w:ascii="宋体" w:hAnsi="宋体" w:eastAsia="宋体" w:cs="宋体"/>
                <w:color w:val="000000"/>
                <w:sz w:val="21"/>
                <w:szCs w:val="21"/>
                <w:highlight w:val="none"/>
                <w:shd w:val="clear" w:color="auto" w:fill="auto"/>
                <w:lang w:val="en-US" w:eastAsia="zh-CN"/>
              </w:rPr>
              <w:t>30</w:t>
            </w:r>
            <w:r>
              <w:rPr>
                <w:rFonts w:hint="eastAsia" w:ascii="宋体" w:hAnsi="宋体" w:eastAsia="宋体" w:cs="宋体"/>
                <w:color w:val="000000"/>
                <w:sz w:val="21"/>
                <w:szCs w:val="21"/>
                <w:highlight w:val="none"/>
                <w:shd w:val="clear" w:color="auto" w:fill="auto"/>
              </w:rPr>
              <w:t>分。</w:t>
            </w:r>
          </w:p>
          <w:p w14:paraId="1302316A">
            <w:pPr>
              <w:shd w:val="clear" w:color="auto" w:fill="auto"/>
              <w:wordWrap w:val="0"/>
              <w:rPr>
                <w:rFonts w:hint="eastAsia" w:ascii="宋体" w:hAnsi="宋体" w:eastAsia="宋体" w:cs="宋体"/>
                <w:b/>
                <w:bCs/>
                <w:color w:val="000000"/>
                <w:sz w:val="21"/>
                <w:szCs w:val="21"/>
                <w:highlight w:val="none"/>
                <w:shd w:val="clear" w:color="auto" w:fill="auto"/>
              </w:rPr>
            </w:pPr>
            <w:r>
              <w:rPr>
                <w:rFonts w:hint="eastAsia" w:ascii="宋体" w:hAnsi="宋体" w:eastAsia="宋体" w:cs="宋体"/>
                <w:b/>
                <w:bCs/>
                <w:color w:val="000000"/>
                <w:sz w:val="21"/>
                <w:szCs w:val="21"/>
                <w:highlight w:val="none"/>
                <w:shd w:val="clear" w:color="auto" w:fill="auto"/>
              </w:rPr>
              <w:t>证明</w:t>
            </w:r>
            <w:r>
              <w:rPr>
                <w:rFonts w:hint="eastAsia" w:ascii="宋体" w:hAnsi="宋体" w:eastAsia="宋体" w:cs="宋体"/>
                <w:b/>
                <w:bCs/>
                <w:color w:val="000000"/>
                <w:sz w:val="21"/>
                <w:szCs w:val="21"/>
                <w:highlight w:val="none"/>
                <w:shd w:val="clear" w:color="auto" w:fill="auto"/>
                <w:lang w:val="en-US" w:eastAsia="zh-CN"/>
              </w:rPr>
              <w:t>材料</w:t>
            </w:r>
            <w:r>
              <w:rPr>
                <w:rFonts w:hint="eastAsia" w:ascii="宋体" w:hAnsi="宋体" w:eastAsia="宋体" w:cs="宋体"/>
                <w:b/>
                <w:bCs/>
                <w:color w:val="000000"/>
                <w:sz w:val="21"/>
                <w:szCs w:val="21"/>
                <w:highlight w:val="none"/>
                <w:shd w:val="clear" w:color="auto" w:fill="auto"/>
              </w:rPr>
              <w:t>:</w:t>
            </w:r>
          </w:p>
          <w:p w14:paraId="6BE76B6A">
            <w:pPr>
              <w:keepNext/>
              <w:shd w:val="clear" w:color="auto" w:fill="auto"/>
              <w:adjustRightInd w:val="0"/>
              <w:snapToGrid w:val="0"/>
              <w:rPr>
                <w:rFonts w:hint="eastAsia" w:ascii="宋体" w:hAnsi="宋体" w:eastAsia="宋体" w:cs="宋体"/>
                <w:color w:val="000000"/>
                <w:kern w:val="2"/>
                <w:sz w:val="21"/>
                <w:szCs w:val="21"/>
                <w:highlight w:val="none"/>
                <w:shd w:val="clear" w:color="auto" w:fill="auto"/>
                <w:lang w:val="en-US" w:eastAsia="zh-CN" w:bidi="ar-SA"/>
              </w:rPr>
            </w:pPr>
            <w:r>
              <w:rPr>
                <w:rFonts w:hint="eastAsia" w:ascii="宋体" w:hAnsi="宋体" w:eastAsia="宋体" w:cs="宋体"/>
                <w:color w:val="000000"/>
                <w:sz w:val="21"/>
                <w:szCs w:val="21"/>
                <w:highlight w:val="none"/>
                <w:shd w:val="clear" w:color="auto" w:fill="auto"/>
                <w:lang w:val="en-US" w:eastAsia="zh-CN"/>
              </w:rPr>
              <w:t>国家知识产权局官方</w:t>
            </w:r>
            <w:r>
              <w:rPr>
                <w:rFonts w:hint="eastAsia" w:ascii="宋体" w:hAnsi="宋体" w:eastAsia="宋体" w:cs="宋体"/>
                <w:color w:val="000000"/>
                <w:sz w:val="21"/>
                <w:szCs w:val="21"/>
                <w:highlight w:val="none"/>
                <w:shd w:val="clear" w:color="auto" w:fill="auto"/>
              </w:rPr>
              <w:t>的证明材料扫描件。如未按要求提供证明材料，或所提供的证明材料未能体现上述评分内容的，视为该证明材料无效。</w:t>
            </w:r>
          </w:p>
        </w:tc>
        <w:tc>
          <w:tcPr>
            <w:tcW w:w="378" w:type="pct"/>
            <w:noWrap w:val="0"/>
            <w:tcMar>
              <w:top w:w="80" w:type="dxa"/>
              <w:left w:w="80" w:type="dxa"/>
              <w:bottom w:w="80" w:type="dxa"/>
              <w:right w:w="80" w:type="dxa"/>
            </w:tcMar>
            <w:vAlign w:val="center"/>
          </w:tcPr>
          <w:p w14:paraId="6A7156F9">
            <w:pPr>
              <w:shd w:val="clear" w:color="auto" w:fill="auto"/>
              <w:jc w:val="center"/>
              <w:rPr>
                <w:rFonts w:hint="eastAsia" w:ascii="宋体" w:hAnsi="宋体" w:eastAsia="宋体" w:cs="宋体"/>
                <w:bCs/>
                <w:color w:val="000000"/>
                <w:kern w:val="2"/>
                <w:sz w:val="21"/>
                <w:szCs w:val="21"/>
                <w:highlight w:val="none"/>
                <w:shd w:val="clear" w:color="auto" w:fill="auto"/>
                <w:lang w:val="en-US" w:eastAsia="zh-CN" w:bidi="ar-SA"/>
              </w:rPr>
            </w:pPr>
            <w:r>
              <w:rPr>
                <w:rFonts w:hint="eastAsia" w:ascii="宋体" w:hAnsi="宋体" w:eastAsia="宋体" w:cs="宋体"/>
                <w:bCs/>
                <w:color w:val="000000"/>
                <w:szCs w:val="21"/>
                <w:highlight w:val="none"/>
                <w:shd w:val="clear" w:color="auto" w:fill="auto"/>
                <w:lang w:val="en-US" w:eastAsia="zh-CN"/>
              </w:rPr>
              <w:t>30</w:t>
            </w:r>
          </w:p>
        </w:tc>
      </w:tr>
      <w:tr w14:paraId="4838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7" w:type="pct"/>
            <w:noWrap w:val="0"/>
            <w:tcMar>
              <w:top w:w="80" w:type="dxa"/>
              <w:left w:w="80" w:type="dxa"/>
              <w:bottom w:w="80" w:type="dxa"/>
              <w:right w:w="80" w:type="dxa"/>
            </w:tcMar>
            <w:vAlign w:val="center"/>
          </w:tcPr>
          <w:p w14:paraId="25A14531">
            <w:pPr>
              <w:keepLines w:val="0"/>
              <w:pageBreakBefore w:val="0"/>
              <w:widowControl w:val="0"/>
              <w:shd w:val="clear" w:color="auto" w:fill="auto"/>
              <w:tabs>
                <w:tab w:val="left" w:pos="420"/>
              </w:tabs>
              <w:kinsoku/>
              <w:wordWrap/>
              <w:overflowPunct/>
              <w:topLinePunct w:val="0"/>
              <w:autoSpaceDE/>
              <w:autoSpaceDN/>
              <w:bidi w:val="0"/>
              <w:spacing w:before="0" w:line="240" w:lineRule="auto"/>
              <w:jc w:val="center"/>
              <w:textAlignment w:val="auto"/>
              <w:rPr>
                <w:rFonts w:hint="default" w:ascii="宋体" w:hAnsi="宋体" w:eastAsia="宋体" w:cs="宋体"/>
                <w:color w:val="000000"/>
                <w:kern w:val="2"/>
                <w:sz w:val="21"/>
                <w:szCs w:val="21"/>
                <w:highlight w:val="none"/>
                <w:shd w:val="clear" w:color="auto" w:fill="auto"/>
                <w:lang w:val="en-US" w:eastAsia="zh-CN"/>
              </w:rPr>
            </w:pPr>
            <w:r>
              <w:rPr>
                <w:rFonts w:hint="eastAsia" w:ascii="宋体" w:hAnsi="宋体" w:eastAsia="宋体" w:cs="宋体"/>
                <w:color w:val="000000"/>
                <w:kern w:val="2"/>
                <w:sz w:val="21"/>
                <w:szCs w:val="21"/>
                <w:highlight w:val="none"/>
                <w:shd w:val="clear" w:color="auto" w:fill="auto"/>
                <w:lang w:val="en-US" w:eastAsia="zh-CN"/>
              </w:rPr>
              <w:t>4</w:t>
            </w:r>
          </w:p>
        </w:tc>
        <w:tc>
          <w:tcPr>
            <w:tcW w:w="567" w:type="pct"/>
            <w:noWrap w:val="0"/>
            <w:tcMar>
              <w:top w:w="80" w:type="dxa"/>
              <w:left w:w="80" w:type="dxa"/>
              <w:bottom w:w="80" w:type="dxa"/>
              <w:right w:w="80" w:type="dxa"/>
            </w:tcMar>
            <w:vAlign w:val="center"/>
          </w:tcPr>
          <w:p w14:paraId="5BDD1225">
            <w:pPr>
              <w:shd w:val="clear" w:color="auto" w:fill="auto"/>
              <w:adjustRightInd w:val="0"/>
              <w:snapToGrid w:val="0"/>
              <w:jc w:val="center"/>
              <w:rPr>
                <w:rFonts w:hint="default" w:ascii="Calibri" w:hAnsi="Calibri" w:eastAsia="宋体" w:cs="Times New Roman"/>
                <w:bCs/>
                <w:color w:val="000000"/>
                <w:kern w:val="2"/>
                <w:sz w:val="21"/>
                <w:szCs w:val="21"/>
                <w:highlight w:val="none"/>
                <w:shd w:val="clear" w:color="auto" w:fill="auto"/>
                <w:lang w:val="en-US" w:eastAsia="zh-CN" w:bidi="ar-SA"/>
              </w:rPr>
            </w:pPr>
            <w:r>
              <w:rPr>
                <w:rFonts w:hint="eastAsia" w:ascii="Calibri" w:hAnsi="Calibri" w:eastAsia="宋体" w:cs="Times New Roman"/>
                <w:bCs/>
                <w:color w:val="000000"/>
                <w:szCs w:val="21"/>
                <w:highlight w:val="none"/>
                <w:shd w:val="clear" w:color="auto" w:fill="auto"/>
                <w:lang w:eastAsia="zh-CN"/>
              </w:rPr>
              <w:t>项目负责人</w:t>
            </w:r>
            <w:r>
              <w:rPr>
                <w:rFonts w:hint="eastAsia" w:ascii="Calibri" w:hAnsi="Calibri" w:eastAsia="宋体" w:cs="Times New Roman"/>
                <w:bCs/>
                <w:color w:val="000000"/>
                <w:szCs w:val="21"/>
                <w:highlight w:val="none"/>
                <w:shd w:val="clear" w:color="auto" w:fill="auto"/>
                <w:lang w:val="en-US" w:eastAsia="zh-CN"/>
              </w:rPr>
              <w:t>经验</w:t>
            </w:r>
          </w:p>
        </w:tc>
        <w:tc>
          <w:tcPr>
            <w:tcW w:w="3806" w:type="pct"/>
            <w:noWrap w:val="0"/>
            <w:tcMar>
              <w:top w:w="80" w:type="dxa"/>
              <w:left w:w="80" w:type="dxa"/>
              <w:bottom w:w="80" w:type="dxa"/>
              <w:right w:w="80" w:type="dxa"/>
            </w:tcMar>
            <w:vAlign w:val="center"/>
          </w:tcPr>
          <w:p w14:paraId="5E37A6FA">
            <w:pPr>
              <w:keepNext/>
              <w:numPr>
                <w:ilvl w:val="0"/>
                <w:numId w:val="0"/>
              </w:numPr>
              <w:shd w:val="clear" w:color="auto" w:fill="auto"/>
              <w:adjustRightInd w:val="0"/>
              <w:snapToGrid w:val="0"/>
              <w:rPr>
                <w:rFonts w:hint="eastAsia" w:ascii="宋体" w:hAnsi="宋体" w:eastAsia="宋体" w:cs="宋体"/>
                <w:b/>
                <w:bCs/>
                <w:color w:val="000000"/>
                <w:kern w:val="0"/>
                <w:sz w:val="21"/>
                <w:szCs w:val="21"/>
                <w:highlight w:val="none"/>
                <w:shd w:val="clear" w:color="auto" w:fill="auto"/>
                <w:lang w:val="en-US" w:eastAsia="zh-CN" w:bidi="ar"/>
              </w:rPr>
            </w:pPr>
            <w:r>
              <w:rPr>
                <w:rFonts w:hint="eastAsia" w:ascii="宋体" w:hAnsi="宋体" w:eastAsia="宋体" w:cs="宋体"/>
                <w:b w:val="0"/>
                <w:bCs w:val="0"/>
                <w:i w:val="0"/>
                <w:iCs w:val="0"/>
                <w:color w:val="000000"/>
                <w:kern w:val="0"/>
                <w:sz w:val="21"/>
                <w:szCs w:val="21"/>
                <w:highlight w:val="none"/>
                <w:u w:val="none"/>
                <w:shd w:val="clear" w:color="auto" w:fill="auto"/>
                <w:lang w:val="en-US" w:eastAsia="zh-CN" w:bidi="ar"/>
              </w:rPr>
              <w:t>拟安排的</w:t>
            </w:r>
            <w:r>
              <w:rPr>
                <w:rFonts w:hint="eastAsia" w:asciiTheme="minorEastAsia" w:hAnsiTheme="minorEastAsia" w:cstheme="minorEastAsia"/>
                <w:b w:val="0"/>
                <w:bCs w:val="0"/>
                <w:color w:val="auto"/>
                <w:kern w:val="0"/>
                <w:sz w:val="21"/>
                <w:szCs w:val="21"/>
                <w:lang w:eastAsia="zh-CN"/>
              </w:rPr>
              <w:t>项目负责人（仅限一人）</w:t>
            </w:r>
            <w:r>
              <w:rPr>
                <w:rFonts w:hint="eastAsia" w:ascii="宋体" w:hAnsi="宋体" w:eastAsia="宋体" w:cs="宋体"/>
                <w:b w:val="0"/>
                <w:bCs w:val="0"/>
                <w:i w:val="0"/>
                <w:iCs w:val="0"/>
                <w:color w:val="000000"/>
                <w:kern w:val="0"/>
                <w:sz w:val="21"/>
                <w:szCs w:val="21"/>
                <w:highlight w:val="none"/>
                <w:u w:val="none"/>
                <w:shd w:val="clear" w:color="auto" w:fill="auto"/>
                <w:lang w:val="en-US" w:eastAsia="zh-CN" w:bidi="ar"/>
              </w:rPr>
              <w:t>是投标人自有员工，</w:t>
            </w:r>
            <w:r>
              <w:rPr>
                <w:rFonts w:hint="eastAsia" w:asciiTheme="minorEastAsia" w:hAnsiTheme="minorEastAsia" w:cstheme="minorEastAsia"/>
                <w:b w:val="0"/>
                <w:bCs w:val="0"/>
                <w:color w:val="auto"/>
                <w:kern w:val="0"/>
                <w:sz w:val="21"/>
                <w:szCs w:val="21"/>
                <w:lang w:eastAsia="zh-CN"/>
              </w:rPr>
              <w:t>项目负责人必须是专利代理师，且</w:t>
            </w:r>
            <w:r>
              <w:rPr>
                <w:rFonts w:hint="eastAsia" w:asciiTheme="minorEastAsia" w:hAnsiTheme="minorEastAsia" w:eastAsiaTheme="minorEastAsia" w:cstheme="minorEastAsia"/>
                <w:b w:val="0"/>
                <w:bCs w:val="0"/>
                <w:color w:val="auto"/>
                <w:kern w:val="0"/>
                <w:sz w:val="21"/>
                <w:szCs w:val="21"/>
              </w:rPr>
              <w:t>须具有合法的执业资格(持有《专利代理师资格证》及《专利代理师执业证》)</w:t>
            </w:r>
            <w:r>
              <w:rPr>
                <w:rFonts w:hint="eastAsia" w:asciiTheme="minorEastAsia" w:hAnsiTheme="minorEastAsia" w:cstheme="minorEastAsia"/>
                <w:b w:val="0"/>
                <w:bCs w:val="0"/>
                <w:color w:val="auto"/>
                <w:kern w:val="0"/>
                <w:sz w:val="21"/>
                <w:szCs w:val="21"/>
                <w:lang w:eastAsia="zh-CN"/>
              </w:rPr>
              <w:t>；项目负责人</w:t>
            </w:r>
            <w:r>
              <w:rPr>
                <w:rFonts w:hint="eastAsia" w:ascii="宋体" w:hAnsi="宋体" w:eastAsia="宋体" w:cs="宋体"/>
                <w:b w:val="0"/>
                <w:bCs w:val="0"/>
                <w:i w:val="0"/>
                <w:iCs w:val="0"/>
                <w:color w:val="000000"/>
                <w:kern w:val="0"/>
                <w:sz w:val="21"/>
                <w:szCs w:val="21"/>
                <w:highlight w:val="none"/>
                <w:u w:val="none"/>
                <w:shd w:val="clear" w:color="auto" w:fill="auto"/>
                <w:lang w:val="en-US" w:eastAsia="zh-CN" w:bidi="ar"/>
              </w:rPr>
              <w:t>须提供相应的资格证书复印件，并提供原件以备查验。在此基础上</w:t>
            </w:r>
            <w:r>
              <w:rPr>
                <w:rFonts w:hint="eastAsia" w:ascii="宋体" w:hAnsi="宋体" w:eastAsia="宋体" w:cs="宋体"/>
                <w:b/>
                <w:bCs/>
                <w:color w:val="000000"/>
                <w:kern w:val="0"/>
                <w:sz w:val="21"/>
                <w:szCs w:val="21"/>
                <w:highlight w:val="none"/>
                <w:shd w:val="clear" w:color="auto" w:fill="auto"/>
                <w:lang w:val="en-US" w:eastAsia="zh-CN" w:bidi="ar"/>
              </w:rPr>
              <w:t>：</w:t>
            </w:r>
          </w:p>
          <w:p w14:paraId="081A9502">
            <w:pPr>
              <w:keepNext w:val="0"/>
              <w:keepLines w:val="0"/>
              <w:pageBreakBefore w:val="0"/>
              <w:widowControl w:val="0"/>
              <w:suppressLineNumbers w:val="0"/>
              <w:kinsoku/>
              <w:wordWrap/>
              <w:overflowPunct w:val="0"/>
              <w:topLinePunct w:val="0"/>
              <w:autoSpaceDE w:val="0"/>
              <w:autoSpaceDN w:val="0"/>
              <w:bidi w:val="0"/>
              <w:adjustRightInd w:val="0"/>
              <w:snapToGrid w:val="0"/>
              <w:spacing w:line="240" w:lineRule="auto"/>
              <w:ind w:left="0" w:leftChars="0" w:right="0" w:rightChars="0" w:firstLine="0" w:firstLineChars="0"/>
              <w:jc w:val="both"/>
              <w:textAlignment w:val="center"/>
              <w:rPr>
                <w:rFonts w:hint="eastAsia"/>
                <w:lang w:val="en-US" w:eastAsia="zh-CN"/>
              </w:rPr>
            </w:pPr>
            <w:r>
              <w:rPr>
                <w:rFonts w:hint="eastAsia" w:ascii="宋体" w:hAnsi="宋体" w:eastAsia="宋体" w:cs="宋体"/>
                <w:i w:val="0"/>
                <w:iCs w:val="0"/>
                <w:color w:val="000000"/>
                <w:kern w:val="0"/>
                <w:sz w:val="21"/>
                <w:szCs w:val="21"/>
                <w:highlight w:val="none"/>
                <w:u w:val="none"/>
                <w:shd w:val="clear" w:color="auto" w:fill="auto"/>
                <w:lang w:val="en-US" w:eastAsia="zh-CN" w:bidi="ar"/>
              </w:rPr>
              <w:t>具有硕士及以上学历的，得</w:t>
            </w:r>
            <w:r>
              <w:rPr>
                <w:rFonts w:hint="eastAsia" w:ascii="宋体" w:hAnsi="宋体" w:cs="宋体"/>
                <w:i w:val="0"/>
                <w:iCs w:val="0"/>
                <w:color w:val="000000"/>
                <w:kern w:val="0"/>
                <w:sz w:val="21"/>
                <w:szCs w:val="21"/>
                <w:highlight w:val="none"/>
                <w:u w:val="none"/>
                <w:shd w:val="clear" w:color="auto" w:fill="auto"/>
                <w:lang w:val="en-US" w:eastAsia="zh-CN" w:bidi="ar"/>
              </w:rPr>
              <w:t>5</w:t>
            </w:r>
            <w:r>
              <w:rPr>
                <w:rFonts w:hint="eastAsia" w:ascii="宋体" w:hAnsi="宋体" w:eastAsia="宋体" w:cs="宋体"/>
                <w:i w:val="0"/>
                <w:iCs w:val="0"/>
                <w:color w:val="000000"/>
                <w:kern w:val="0"/>
                <w:sz w:val="21"/>
                <w:szCs w:val="21"/>
                <w:highlight w:val="none"/>
                <w:u w:val="none"/>
                <w:shd w:val="clear" w:color="auto" w:fill="auto"/>
                <w:lang w:val="en-US" w:eastAsia="zh-CN" w:bidi="ar"/>
              </w:rPr>
              <w:t>分；具有本科学历的，得</w:t>
            </w:r>
            <w:r>
              <w:rPr>
                <w:rFonts w:hint="eastAsia" w:ascii="宋体" w:hAnsi="宋体" w:cs="宋体"/>
                <w:i w:val="0"/>
                <w:iCs w:val="0"/>
                <w:color w:val="000000"/>
                <w:kern w:val="0"/>
                <w:sz w:val="21"/>
                <w:szCs w:val="21"/>
                <w:highlight w:val="none"/>
                <w:u w:val="none"/>
                <w:shd w:val="clear" w:color="auto" w:fill="auto"/>
                <w:lang w:val="en-US" w:eastAsia="zh-CN" w:bidi="ar"/>
              </w:rPr>
              <w:t>3</w:t>
            </w:r>
            <w:r>
              <w:rPr>
                <w:rFonts w:hint="eastAsia" w:ascii="宋体" w:hAnsi="宋体" w:eastAsia="宋体" w:cs="宋体"/>
                <w:i w:val="0"/>
                <w:iCs w:val="0"/>
                <w:color w:val="000000"/>
                <w:kern w:val="0"/>
                <w:sz w:val="21"/>
                <w:szCs w:val="21"/>
                <w:highlight w:val="none"/>
                <w:u w:val="none"/>
                <w:shd w:val="clear" w:color="auto" w:fill="auto"/>
                <w:lang w:val="en-US" w:eastAsia="zh-CN" w:bidi="ar"/>
              </w:rPr>
              <w:t>分；具有</w:t>
            </w:r>
            <w:r>
              <w:rPr>
                <w:rFonts w:hint="eastAsia" w:ascii="宋体" w:hAnsi="宋体" w:cs="宋体"/>
                <w:i w:val="0"/>
                <w:iCs w:val="0"/>
                <w:color w:val="000000"/>
                <w:kern w:val="0"/>
                <w:sz w:val="21"/>
                <w:szCs w:val="21"/>
                <w:highlight w:val="none"/>
                <w:u w:val="none"/>
                <w:shd w:val="clear" w:color="auto" w:fill="auto"/>
                <w:lang w:val="en-US" w:eastAsia="zh-CN" w:bidi="ar"/>
              </w:rPr>
              <w:t>本科</w:t>
            </w:r>
            <w:r>
              <w:rPr>
                <w:rFonts w:hint="eastAsia" w:ascii="宋体" w:hAnsi="宋体" w:eastAsia="宋体" w:cs="宋体"/>
                <w:i w:val="0"/>
                <w:iCs w:val="0"/>
                <w:color w:val="000000"/>
                <w:kern w:val="0"/>
                <w:sz w:val="21"/>
                <w:szCs w:val="21"/>
                <w:highlight w:val="none"/>
                <w:u w:val="none"/>
                <w:shd w:val="clear" w:color="auto" w:fill="auto"/>
                <w:lang w:val="en-US" w:eastAsia="zh-CN" w:bidi="ar"/>
              </w:rPr>
              <w:t>学历</w:t>
            </w:r>
            <w:r>
              <w:rPr>
                <w:rFonts w:hint="eastAsia" w:ascii="宋体" w:hAnsi="宋体" w:cs="宋体"/>
                <w:i w:val="0"/>
                <w:iCs w:val="0"/>
                <w:color w:val="000000"/>
                <w:kern w:val="0"/>
                <w:sz w:val="21"/>
                <w:szCs w:val="21"/>
                <w:highlight w:val="none"/>
                <w:u w:val="none"/>
                <w:shd w:val="clear" w:color="auto" w:fill="auto"/>
                <w:lang w:val="en-US" w:eastAsia="zh-CN" w:bidi="ar"/>
              </w:rPr>
              <w:t>以下</w:t>
            </w:r>
            <w:r>
              <w:rPr>
                <w:rFonts w:hint="eastAsia" w:ascii="宋体" w:hAnsi="宋体" w:eastAsia="宋体" w:cs="宋体"/>
                <w:i w:val="0"/>
                <w:iCs w:val="0"/>
                <w:color w:val="000000"/>
                <w:kern w:val="0"/>
                <w:sz w:val="21"/>
                <w:szCs w:val="21"/>
                <w:highlight w:val="none"/>
                <w:u w:val="none"/>
                <w:shd w:val="clear" w:color="auto" w:fill="auto"/>
                <w:lang w:val="en-US" w:eastAsia="zh-CN" w:bidi="ar"/>
              </w:rPr>
              <w:t>的，得0分。</w:t>
            </w:r>
            <w:r>
              <w:rPr>
                <w:rFonts w:hint="eastAsia" w:asciiTheme="minorEastAsia" w:hAnsiTheme="minorEastAsia" w:cstheme="minorEastAsia"/>
                <w:b w:val="0"/>
                <w:bCs w:val="0"/>
                <w:color w:val="auto"/>
                <w:kern w:val="0"/>
                <w:sz w:val="21"/>
                <w:szCs w:val="21"/>
                <w:lang w:eastAsia="zh-CN"/>
              </w:rPr>
              <w:t>项目负责人</w:t>
            </w:r>
            <w:r>
              <w:rPr>
                <w:rFonts w:hint="eastAsia" w:ascii="宋体" w:hAnsi="宋体" w:eastAsia="宋体" w:cs="宋体"/>
                <w:i w:val="0"/>
                <w:iCs w:val="0"/>
                <w:color w:val="000000"/>
                <w:kern w:val="0"/>
                <w:sz w:val="21"/>
                <w:szCs w:val="21"/>
                <w:highlight w:val="none"/>
                <w:u w:val="none"/>
                <w:shd w:val="clear" w:color="auto" w:fill="auto"/>
                <w:lang w:val="en-US" w:eastAsia="zh-CN" w:bidi="ar"/>
              </w:rPr>
              <w:t>须提供相应的学历、学位证书复印件，并提供原件以备查验。</w:t>
            </w:r>
          </w:p>
          <w:p w14:paraId="59AEEB3A">
            <w:pPr>
              <w:shd w:val="clear" w:color="auto" w:fill="auto"/>
              <w:wordWrap w:val="0"/>
              <w:rPr>
                <w:rFonts w:hint="eastAsia" w:ascii="宋体" w:hAnsi="宋体" w:eastAsia="宋体" w:cs="宋体"/>
                <w:b/>
                <w:bCs/>
                <w:color w:val="000000"/>
                <w:sz w:val="21"/>
                <w:szCs w:val="21"/>
                <w:highlight w:val="none"/>
                <w:shd w:val="clear" w:color="auto" w:fill="auto"/>
              </w:rPr>
            </w:pPr>
            <w:r>
              <w:rPr>
                <w:rFonts w:hint="eastAsia" w:ascii="宋体" w:hAnsi="宋体" w:eastAsia="宋体" w:cs="宋体"/>
                <w:b/>
                <w:bCs/>
                <w:color w:val="000000"/>
                <w:sz w:val="21"/>
                <w:szCs w:val="21"/>
                <w:highlight w:val="none"/>
                <w:shd w:val="clear" w:color="auto" w:fill="auto"/>
              </w:rPr>
              <w:t>证明</w:t>
            </w:r>
            <w:r>
              <w:rPr>
                <w:rFonts w:hint="eastAsia" w:ascii="宋体" w:hAnsi="宋体" w:eastAsia="宋体" w:cs="宋体"/>
                <w:b/>
                <w:bCs/>
                <w:color w:val="000000"/>
                <w:sz w:val="21"/>
                <w:szCs w:val="21"/>
                <w:highlight w:val="none"/>
                <w:shd w:val="clear" w:color="auto" w:fill="auto"/>
                <w:lang w:val="en-US" w:eastAsia="zh-CN"/>
              </w:rPr>
              <w:t>材料</w:t>
            </w:r>
            <w:r>
              <w:rPr>
                <w:rFonts w:hint="eastAsia" w:ascii="宋体" w:hAnsi="宋体" w:eastAsia="宋体" w:cs="宋体"/>
                <w:b/>
                <w:bCs/>
                <w:color w:val="000000"/>
                <w:sz w:val="21"/>
                <w:szCs w:val="21"/>
                <w:highlight w:val="none"/>
                <w:shd w:val="clear" w:color="auto" w:fill="auto"/>
              </w:rPr>
              <w:t>:</w:t>
            </w:r>
          </w:p>
          <w:p w14:paraId="6059F561">
            <w:pPr>
              <w:shd w:val="clear" w:color="auto" w:fill="auto"/>
              <w:ind w:left="-78" w:leftChars="-37" w:right="-73" w:rightChars="-35"/>
              <w:jc w:val="left"/>
              <w:rPr>
                <w:rFonts w:hint="eastAsia" w:ascii="宋体" w:hAnsi="宋体" w:eastAsia="宋体" w:cs="宋体"/>
                <w:color w:val="000000"/>
                <w:kern w:val="2"/>
                <w:sz w:val="21"/>
                <w:szCs w:val="21"/>
                <w:highlight w:val="none"/>
                <w:shd w:val="clear" w:color="auto" w:fill="auto"/>
                <w:lang w:val="en-US" w:eastAsia="zh-CN" w:bidi="ar-SA"/>
              </w:rPr>
            </w:pPr>
            <w:r>
              <w:rPr>
                <w:rFonts w:hint="eastAsia" w:ascii="宋体" w:hAnsi="宋体" w:eastAsia="宋体" w:cs="宋体"/>
                <w:color w:val="000000"/>
                <w:sz w:val="21"/>
                <w:szCs w:val="21"/>
                <w:highlight w:val="none"/>
                <w:shd w:val="clear" w:color="auto" w:fill="auto"/>
                <w:lang w:val="en-US" w:eastAsia="zh-CN"/>
              </w:rPr>
              <w:t>1.</w:t>
            </w:r>
            <w:r>
              <w:rPr>
                <w:rFonts w:hint="eastAsia" w:ascii="宋体" w:hAnsi="宋体" w:eastAsia="宋体" w:cs="宋体"/>
                <w:color w:val="000000"/>
                <w:sz w:val="21"/>
                <w:szCs w:val="21"/>
                <w:highlight w:val="none"/>
                <w:shd w:val="clear" w:color="auto" w:fill="auto"/>
              </w:rPr>
              <w:t>学历证明</w:t>
            </w:r>
            <w:r>
              <w:rPr>
                <w:rFonts w:hint="eastAsia" w:ascii="宋体" w:hAnsi="宋体" w:eastAsia="宋体" w:cs="宋体"/>
                <w:color w:val="000000"/>
                <w:sz w:val="21"/>
                <w:szCs w:val="21"/>
                <w:highlight w:val="none"/>
                <w:shd w:val="clear" w:color="auto" w:fill="auto"/>
              </w:rPr>
              <w:br w:type="textWrapping"/>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kern w:val="0"/>
                <w:sz w:val="21"/>
                <w:szCs w:val="21"/>
                <w:lang w:val="en-US" w:eastAsia="zh-CN"/>
              </w:rPr>
              <w:t>专利证书相关扫描件</w:t>
            </w:r>
            <w:r>
              <w:rPr>
                <w:rFonts w:hint="eastAsia" w:ascii="宋体" w:hAnsi="宋体" w:eastAsia="宋体" w:cs="宋体"/>
                <w:color w:val="000000"/>
                <w:sz w:val="21"/>
                <w:szCs w:val="21"/>
                <w:highlight w:val="none"/>
                <w:shd w:val="clear" w:color="auto" w:fill="auto"/>
                <w:lang w:eastAsia="zh-CN"/>
              </w:rPr>
              <w:t>。</w:t>
            </w:r>
          </w:p>
        </w:tc>
        <w:tc>
          <w:tcPr>
            <w:tcW w:w="378" w:type="pct"/>
            <w:noWrap w:val="0"/>
            <w:tcMar>
              <w:top w:w="80" w:type="dxa"/>
              <w:left w:w="80" w:type="dxa"/>
              <w:bottom w:w="80" w:type="dxa"/>
              <w:right w:w="80" w:type="dxa"/>
            </w:tcMar>
            <w:vAlign w:val="center"/>
          </w:tcPr>
          <w:p w14:paraId="2163EE11">
            <w:pPr>
              <w:shd w:val="clear" w:color="auto" w:fill="auto"/>
              <w:jc w:val="center"/>
              <w:rPr>
                <w:rFonts w:hint="default" w:ascii="宋体" w:hAnsi="宋体" w:eastAsia="宋体" w:cs="宋体"/>
                <w:bCs/>
                <w:color w:val="000000"/>
                <w:kern w:val="2"/>
                <w:sz w:val="21"/>
                <w:szCs w:val="21"/>
                <w:highlight w:val="none"/>
                <w:shd w:val="clear" w:color="auto" w:fill="auto"/>
                <w:lang w:val="en-US" w:eastAsia="zh-CN" w:bidi="ar-SA"/>
              </w:rPr>
            </w:pPr>
            <w:r>
              <w:rPr>
                <w:rFonts w:hint="eastAsia" w:ascii="宋体" w:hAnsi="宋体" w:cs="宋体"/>
                <w:bCs/>
                <w:color w:val="000000"/>
                <w:szCs w:val="21"/>
                <w:highlight w:val="none"/>
                <w:shd w:val="clear" w:color="auto" w:fill="auto"/>
                <w:lang w:val="en-US" w:eastAsia="zh-CN"/>
              </w:rPr>
              <w:t>5</w:t>
            </w:r>
          </w:p>
        </w:tc>
      </w:tr>
      <w:tr w14:paraId="672C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7" w:type="pct"/>
            <w:noWrap w:val="0"/>
            <w:tcMar>
              <w:top w:w="80" w:type="dxa"/>
              <w:left w:w="80" w:type="dxa"/>
              <w:bottom w:w="80" w:type="dxa"/>
              <w:right w:w="80" w:type="dxa"/>
            </w:tcMar>
            <w:vAlign w:val="center"/>
          </w:tcPr>
          <w:p w14:paraId="2B10682F">
            <w:pPr>
              <w:keepLines w:val="0"/>
              <w:pageBreakBefore w:val="0"/>
              <w:widowControl w:val="0"/>
              <w:shd w:val="clear" w:color="auto" w:fill="auto"/>
              <w:tabs>
                <w:tab w:val="left" w:pos="420"/>
              </w:tabs>
              <w:kinsoku/>
              <w:wordWrap/>
              <w:overflowPunct/>
              <w:topLinePunct w:val="0"/>
              <w:autoSpaceDE/>
              <w:autoSpaceDN/>
              <w:bidi w:val="0"/>
              <w:spacing w:before="0" w:line="240" w:lineRule="auto"/>
              <w:jc w:val="center"/>
              <w:textAlignment w:val="auto"/>
              <w:rPr>
                <w:rFonts w:hint="default" w:ascii="宋体" w:hAnsi="宋体" w:eastAsia="宋体" w:cs="宋体"/>
                <w:color w:val="000000"/>
                <w:kern w:val="2"/>
                <w:sz w:val="21"/>
                <w:szCs w:val="21"/>
                <w:highlight w:val="none"/>
                <w:shd w:val="clear" w:color="auto" w:fill="auto"/>
                <w:lang w:val="en-US" w:eastAsia="zh-CN"/>
              </w:rPr>
            </w:pPr>
            <w:r>
              <w:rPr>
                <w:rFonts w:hint="eastAsia" w:ascii="宋体" w:hAnsi="宋体" w:eastAsia="宋体" w:cs="宋体"/>
                <w:color w:val="000000"/>
                <w:kern w:val="2"/>
                <w:sz w:val="21"/>
                <w:szCs w:val="21"/>
                <w:highlight w:val="none"/>
                <w:shd w:val="clear" w:color="auto" w:fill="auto"/>
                <w:lang w:val="en-US" w:eastAsia="zh-CN"/>
              </w:rPr>
              <w:t>5</w:t>
            </w:r>
          </w:p>
        </w:tc>
        <w:tc>
          <w:tcPr>
            <w:tcW w:w="567" w:type="pct"/>
            <w:noWrap w:val="0"/>
            <w:tcMar>
              <w:top w:w="80" w:type="dxa"/>
              <w:left w:w="80" w:type="dxa"/>
              <w:bottom w:w="80" w:type="dxa"/>
              <w:right w:w="80" w:type="dxa"/>
            </w:tcMar>
            <w:vAlign w:val="center"/>
          </w:tcPr>
          <w:p w14:paraId="6B0B612A">
            <w:pPr>
              <w:shd w:val="clear" w:color="auto" w:fill="auto"/>
              <w:adjustRightInd w:val="0"/>
              <w:snapToGrid w:val="0"/>
              <w:jc w:val="both"/>
              <w:rPr>
                <w:rFonts w:hint="default" w:ascii="Calibri" w:hAnsi="Calibri" w:eastAsia="宋体" w:cs="Times New Roman"/>
                <w:bCs/>
                <w:color w:val="000000"/>
                <w:szCs w:val="21"/>
                <w:highlight w:val="none"/>
                <w:shd w:val="clear" w:color="auto" w:fill="auto"/>
                <w:lang w:val="en-US" w:eastAsia="zh-CN"/>
              </w:rPr>
            </w:pPr>
            <w:r>
              <w:rPr>
                <w:rFonts w:hint="eastAsia" w:ascii="Calibri" w:hAnsi="Calibri" w:eastAsia="宋体" w:cs="Times New Roman"/>
                <w:bCs/>
                <w:color w:val="000000"/>
                <w:szCs w:val="21"/>
                <w:highlight w:val="none"/>
                <w:shd w:val="clear" w:color="auto" w:fill="auto"/>
                <w:lang w:val="en-US" w:eastAsia="zh-CN"/>
              </w:rPr>
              <w:t>项目团队人员经验（除项目负责人）</w:t>
            </w:r>
          </w:p>
        </w:tc>
        <w:tc>
          <w:tcPr>
            <w:tcW w:w="3806" w:type="pct"/>
            <w:noWrap w:val="0"/>
            <w:tcMar>
              <w:top w:w="80" w:type="dxa"/>
              <w:left w:w="80" w:type="dxa"/>
              <w:bottom w:w="80" w:type="dxa"/>
              <w:right w:w="80" w:type="dxa"/>
            </w:tcMar>
            <w:vAlign w:val="center"/>
          </w:tcPr>
          <w:p w14:paraId="4D3789FB">
            <w:pPr>
              <w:shd w:val="clear" w:color="auto" w:fill="auto"/>
              <w:spacing w:line="300" w:lineRule="exact"/>
              <w:jc w:val="left"/>
              <w:rPr>
                <w:rFonts w:hint="eastAsia" w:ascii="宋体" w:hAnsi="宋体" w:eastAsia="宋体" w:cs="宋体"/>
                <w:b/>
                <w:bCs/>
                <w:color w:val="000000"/>
                <w:kern w:val="0"/>
                <w:sz w:val="21"/>
                <w:szCs w:val="21"/>
                <w:highlight w:val="none"/>
                <w:shd w:val="clear" w:color="auto" w:fill="auto"/>
                <w:lang w:val="en-US" w:eastAsia="zh-CN" w:bidi="ar"/>
              </w:rPr>
            </w:pPr>
            <w:r>
              <w:rPr>
                <w:rFonts w:hint="eastAsia" w:ascii="宋体" w:hAnsi="宋体" w:eastAsia="宋体" w:cs="宋体"/>
                <w:b/>
                <w:bCs/>
                <w:color w:val="000000"/>
                <w:kern w:val="0"/>
                <w:sz w:val="21"/>
                <w:szCs w:val="21"/>
                <w:highlight w:val="none"/>
                <w:shd w:val="clear" w:color="auto" w:fill="auto"/>
                <w:lang w:val="en-US" w:eastAsia="zh-CN" w:bidi="ar"/>
              </w:rPr>
              <w:t>评审标准：</w:t>
            </w:r>
          </w:p>
          <w:p w14:paraId="523F3A41">
            <w:pPr>
              <w:shd w:val="clear" w:color="auto" w:fill="auto"/>
              <w:ind w:left="-78" w:leftChars="-37" w:right="-73" w:rightChars="-35"/>
              <w:jc w:val="left"/>
              <w:rPr>
                <w:rFonts w:hint="eastAsia" w:ascii="宋体" w:hAnsi="宋体" w:eastAsia="宋体" w:cs="宋体"/>
                <w:i w:val="0"/>
                <w:iCs w:val="0"/>
                <w:color w:val="000000"/>
                <w:kern w:val="0"/>
                <w:sz w:val="21"/>
                <w:szCs w:val="21"/>
                <w:highlight w:val="none"/>
                <w:u w:val="none"/>
                <w:shd w:val="clear" w:color="auto" w:fill="auto"/>
                <w:lang w:val="en-US" w:eastAsia="zh-CN" w:bidi="ar"/>
              </w:rPr>
            </w:pPr>
            <w:r>
              <w:rPr>
                <w:rFonts w:hint="eastAsia" w:ascii="Calibri" w:hAnsi="Calibri" w:eastAsia="宋体" w:cs="Times New Roman"/>
                <w:bCs/>
                <w:color w:val="000000"/>
                <w:szCs w:val="21"/>
                <w:highlight w:val="none"/>
                <w:shd w:val="clear" w:color="auto" w:fill="auto"/>
                <w:lang w:val="en-US" w:eastAsia="zh-CN"/>
              </w:rPr>
              <w:t>项目团队人员（除项目负责人）</w:t>
            </w:r>
            <w:r>
              <w:rPr>
                <w:rFonts w:hint="eastAsia" w:asciiTheme="minorEastAsia" w:hAnsiTheme="minorEastAsia" w:cstheme="minorEastAsia"/>
                <w:color w:val="auto"/>
                <w:kern w:val="0"/>
                <w:sz w:val="21"/>
                <w:szCs w:val="21"/>
                <w:lang w:eastAsia="zh-CN"/>
              </w:rPr>
              <w:t>持有</w:t>
            </w:r>
            <w:r>
              <w:rPr>
                <w:rFonts w:hint="eastAsia" w:ascii="宋体" w:hAnsi="宋体" w:eastAsia="宋体" w:cs="宋体"/>
                <w:i w:val="0"/>
                <w:iCs w:val="0"/>
                <w:color w:val="000000"/>
                <w:kern w:val="0"/>
                <w:sz w:val="21"/>
                <w:szCs w:val="21"/>
                <w:highlight w:val="none"/>
                <w:u w:val="none"/>
                <w:shd w:val="clear" w:color="auto" w:fill="auto"/>
                <w:lang w:val="en-US" w:eastAsia="zh-CN" w:bidi="ar"/>
              </w:rPr>
              <w:t>与知识产权申请等相关专业证书的，得</w:t>
            </w:r>
            <w:r>
              <w:rPr>
                <w:rFonts w:hint="eastAsia" w:ascii="宋体" w:hAnsi="宋体" w:cs="宋体"/>
                <w:i w:val="0"/>
                <w:iCs w:val="0"/>
                <w:color w:val="000000"/>
                <w:kern w:val="0"/>
                <w:sz w:val="21"/>
                <w:szCs w:val="21"/>
                <w:highlight w:val="none"/>
                <w:u w:val="none"/>
                <w:shd w:val="clear" w:color="auto" w:fill="auto"/>
                <w:lang w:val="en-US" w:eastAsia="zh-CN" w:bidi="ar"/>
              </w:rPr>
              <w:t>5</w:t>
            </w:r>
            <w:r>
              <w:rPr>
                <w:rFonts w:hint="eastAsia" w:ascii="宋体" w:hAnsi="宋体" w:eastAsia="宋体" w:cs="宋体"/>
                <w:i w:val="0"/>
                <w:iCs w:val="0"/>
                <w:color w:val="000000"/>
                <w:kern w:val="0"/>
                <w:sz w:val="21"/>
                <w:szCs w:val="21"/>
                <w:highlight w:val="none"/>
                <w:u w:val="none"/>
                <w:shd w:val="clear" w:color="auto" w:fill="auto"/>
                <w:lang w:val="en-US" w:eastAsia="zh-CN" w:bidi="ar"/>
              </w:rPr>
              <w:t>分；未持有相关证书的，得0分。</w:t>
            </w:r>
          </w:p>
          <w:p w14:paraId="5941CAD4">
            <w:pPr>
              <w:shd w:val="clear" w:color="auto" w:fill="auto"/>
              <w:wordWrap w:val="0"/>
              <w:rPr>
                <w:rFonts w:hint="eastAsia"/>
                <w:lang w:val="en-US" w:eastAsia="zh-CN"/>
              </w:rPr>
            </w:pPr>
            <w:r>
              <w:rPr>
                <w:rFonts w:hint="eastAsia" w:ascii="宋体" w:hAnsi="宋体" w:eastAsia="宋体" w:cs="宋体"/>
                <w:b/>
                <w:bCs/>
                <w:color w:val="000000"/>
                <w:sz w:val="21"/>
                <w:szCs w:val="21"/>
                <w:highlight w:val="none"/>
                <w:shd w:val="clear" w:color="auto" w:fill="auto"/>
              </w:rPr>
              <w:t>证明</w:t>
            </w:r>
            <w:r>
              <w:rPr>
                <w:rFonts w:hint="eastAsia" w:ascii="宋体" w:hAnsi="宋体" w:eastAsia="宋体" w:cs="宋体"/>
                <w:b/>
                <w:bCs/>
                <w:color w:val="000000"/>
                <w:sz w:val="21"/>
                <w:szCs w:val="21"/>
                <w:highlight w:val="none"/>
                <w:shd w:val="clear" w:color="auto" w:fill="auto"/>
                <w:lang w:val="en-US" w:eastAsia="zh-CN"/>
              </w:rPr>
              <w:t>材料</w:t>
            </w:r>
            <w:r>
              <w:rPr>
                <w:rFonts w:hint="eastAsia" w:ascii="宋体" w:hAnsi="宋体" w:eastAsia="宋体" w:cs="宋体"/>
                <w:b/>
                <w:bCs/>
                <w:color w:val="000000"/>
                <w:sz w:val="21"/>
                <w:szCs w:val="21"/>
                <w:highlight w:val="none"/>
                <w:shd w:val="clear" w:color="auto" w:fill="auto"/>
              </w:rPr>
              <w:t>:</w:t>
            </w:r>
            <w:r>
              <w:rPr>
                <w:rFonts w:hint="eastAsia" w:ascii="宋体" w:hAnsi="宋体" w:eastAsia="宋体" w:cs="宋体"/>
                <w:color w:val="000000"/>
                <w:kern w:val="0"/>
                <w:sz w:val="21"/>
                <w:szCs w:val="21"/>
                <w:lang w:val="en-US" w:eastAsia="zh-CN"/>
              </w:rPr>
              <w:t>专利证书相关扫描件</w:t>
            </w:r>
            <w:r>
              <w:rPr>
                <w:rFonts w:hint="eastAsia" w:ascii="宋体" w:hAnsi="宋体" w:eastAsia="宋体" w:cs="宋体"/>
                <w:color w:val="000000"/>
                <w:sz w:val="21"/>
                <w:szCs w:val="21"/>
                <w:highlight w:val="none"/>
                <w:shd w:val="clear" w:color="auto" w:fill="auto"/>
                <w:lang w:eastAsia="zh-CN"/>
              </w:rPr>
              <w:t>。</w:t>
            </w:r>
          </w:p>
        </w:tc>
        <w:tc>
          <w:tcPr>
            <w:tcW w:w="378" w:type="pct"/>
            <w:noWrap w:val="0"/>
            <w:tcMar>
              <w:top w:w="80" w:type="dxa"/>
              <w:left w:w="80" w:type="dxa"/>
              <w:bottom w:w="80" w:type="dxa"/>
              <w:right w:w="80" w:type="dxa"/>
            </w:tcMar>
            <w:vAlign w:val="center"/>
          </w:tcPr>
          <w:p w14:paraId="208EA327">
            <w:pPr>
              <w:shd w:val="clear" w:color="auto" w:fill="auto"/>
              <w:jc w:val="center"/>
              <w:rPr>
                <w:rFonts w:hint="default" w:ascii="宋体" w:hAnsi="宋体" w:cs="宋体"/>
                <w:bCs/>
                <w:color w:val="000000"/>
                <w:szCs w:val="21"/>
                <w:highlight w:val="none"/>
                <w:shd w:val="clear" w:color="auto" w:fill="auto"/>
                <w:lang w:val="en-US" w:eastAsia="zh-CN"/>
              </w:rPr>
            </w:pPr>
            <w:r>
              <w:rPr>
                <w:rFonts w:hint="eastAsia" w:ascii="宋体" w:hAnsi="宋体" w:cs="宋体"/>
                <w:bCs/>
                <w:color w:val="000000"/>
                <w:szCs w:val="21"/>
                <w:highlight w:val="none"/>
                <w:shd w:val="clear" w:color="auto" w:fill="auto"/>
                <w:lang w:val="en-US" w:eastAsia="zh-CN"/>
              </w:rPr>
              <w:t>5</w:t>
            </w:r>
          </w:p>
        </w:tc>
      </w:tr>
      <w:tr w14:paraId="0BF1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6" w:hRule="atLeast"/>
          <w:jc w:val="center"/>
        </w:trPr>
        <w:tc>
          <w:tcPr>
            <w:tcW w:w="247" w:type="pct"/>
            <w:noWrap w:val="0"/>
            <w:tcMar>
              <w:top w:w="80" w:type="dxa"/>
              <w:left w:w="80" w:type="dxa"/>
              <w:bottom w:w="80" w:type="dxa"/>
              <w:right w:w="80" w:type="dxa"/>
            </w:tcMar>
            <w:vAlign w:val="center"/>
          </w:tcPr>
          <w:p w14:paraId="390CF0E0">
            <w:pPr>
              <w:keepLines w:val="0"/>
              <w:pageBreakBefore w:val="0"/>
              <w:widowControl w:val="0"/>
              <w:shd w:val="clear" w:color="auto" w:fill="auto"/>
              <w:tabs>
                <w:tab w:val="left" w:pos="420"/>
              </w:tabs>
              <w:kinsoku/>
              <w:wordWrap/>
              <w:overflowPunct/>
              <w:topLinePunct w:val="0"/>
              <w:autoSpaceDE/>
              <w:autoSpaceDN/>
              <w:bidi w:val="0"/>
              <w:spacing w:before="0" w:line="240" w:lineRule="auto"/>
              <w:jc w:val="center"/>
              <w:textAlignment w:val="auto"/>
              <w:rPr>
                <w:rFonts w:hint="default" w:ascii="宋体" w:hAnsi="宋体" w:eastAsia="宋体" w:cs="宋体"/>
                <w:color w:val="auto"/>
                <w:kern w:val="2"/>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color="auto" w:fill="auto"/>
                <w:lang w:val="en-US" w:eastAsia="zh-CN"/>
              </w:rPr>
              <w:t>6</w:t>
            </w:r>
          </w:p>
        </w:tc>
        <w:tc>
          <w:tcPr>
            <w:tcW w:w="567" w:type="pct"/>
            <w:noWrap w:val="0"/>
            <w:tcMar>
              <w:top w:w="80" w:type="dxa"/>
              <w:left w:w="80" w:type="dxa"/>
              <w:bottom w:w="80" w:type="dxa"/>
              <w:right w:w="80" w:type="dxa"/>
            </w:tcMar>
            <w:vAlign w:val="center"/>
          </w:tcPr>
          <w:p w14:paraId="6750370C">
            <w:pPr>
              <w:shd w:val="clear" w:color="auto" w:fill="auto"/>
              <w:adjustRightInd w:val="0"/>
              <w:snapToGrid w:val="0"/>
              <w:jc w:val="center"/>
              <w:rPr>
                <w:rFonts w:hint="eastAsia" w:ascii="Calibri" w:hAnsi="Calibri" w:eastAsia="宋体" w:cs="Times New Roman"/>
                <w:bCs/>
                <w:color w:val="auto"/>
                <w:kern w:val="2"/>
                <w:sz w:val="21"/>
                <w:szCs w:val="21"/>
                <w:highlight w:val="none"/>
                <w:shd w:val="clear" w:color="auto" w:fill="auto"/>
                <w:lang w:val="en-US" w:eastAsia="zh-CN" w:bidi="ar-SA"/>
              </w:rPr>
            </w:pPr>
            <w:r>
              <w:rPr>
                <w:rFonts w:hint="eastAsia" w:ascii="Calibri" w:hAnsi="Calibri" w:eastAsia="宋体" w:cs="Times New Roman"/>
                <w:bCs/>
                <w:color w:val="auto"/>
                <w:szCs w:val="21"/>
                <w:highlight w:val="none"/>
                <w:shd w:val="clear" w:color="auto" w:fill="auto"/>
                <w:lang w:eastAsia="zh-Hans"/>
              </w:rPr>
              <w:t>本项目</w:t>
            </w:r>
            <w:r>
              <w:rPr>
                <w:rFonts w:hint="eastAsia" w:ascii="Calibri" w:hAnsi="Calibri" w:eastAsia="宋体" w:cs="Times New Roman"/>
                <w:bCs/>
                <w:color w:val="auto"/>
                <w:szCs w:val="21"/>
                <w:highlight w:val="none"/>
                <w:shd w:val="clear" w:color="auto" w:fill="auto"/>
                <w:lang w:val="en-US" w:eastAsia="zh-CN"/>
              </w:rPr>
              <w:t>规划实施</w:t>
            </w:r>
            <w:r>
              <w:rPr>
                <w:rFonts w:hint="eastAsia" w:ascii="Calibri" w:hAnsi="Calibri" w:eastAsia="宋体" w:cs="Times New Roman"/>
                <w:bCs/>
                <w:color w:val="auto"/>
                <w:szCs w:val="21"/>
                <w:highlight w:val="none"/>
                <w:shd w:val="clear" w:color="auto" w:fill="auto"/>
                <w:lang w:eastAsia="zh-Hans"/>
              </w:rPr>
              <w:t>方案</w:t>
            </w:r>
          </w:p>
        </w:tc>
        <w:tc>
          <w:tcPr>
            <w:tcW w:w="3806" w:type="pct"/>
            <w:noWrap w:val="0"/>
            <w:tcMar>
              <w:top w:w="80" w:type="dxa"/>
              <w:left w:w="80" w:type="dxa"/>
              <w:bottom w:w="80" w:type="dxa"/>
              <w:right w:w="80" w:type="dxa"/>
            </w:tcMar>
            <w:vAlign w:val="center"/>
          </w:tcPr>
          <w:p w14:paraId="71E8FFB2">
            <w:pPr>
              <w:pStyle w:val="3"/>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 xml:space="preserve">评审细项： </w:t>
            </w:r>
          </w:p>
          <w:p w14:paraId="777C7269">
            <w:pPr>
              <w:pStyle w:val="3"/>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lang w:val="en-US" w:eastAsia="zh-CN"/>
              </w:rPr>
              <w:t xml:space="preserve">投标人根据招标要求，对项目进行理解规划，主要规划维度需包括： </w:t>
            </w:r>
          </w:p>
          <w:p w14:paraId="1BEDABDE">
            <w:pPr>
              <w:pStyle w:val="3"/>
              <w:rPr>
                <w:rFonts w:hint="eastAsia" w:ascii="宋体" w:hAnsi="宋体" w:eastAsia="宋体" w:cs="宋体"/>
                <w:bCs/>
                <w:color w:val="auto"/>
                <w:sz w:val="21"/>
                <w:szCs w:val="21"/>
                <w:highlight w:val="none"/>
                <w:shd w:val="clear" w:color="auto" w:fill="auto"/>
                <w:lang w:val="en-US"/>
              </w:rPr>
            </w:pPr>
            <w:r>
              <w:rPr>
                <w:rFonts w:hint="eastAsia" w:ascii="宋体" w:hAnsi="宋体" w:eastAsia="宋体" w:cs="宋体"/>
                <w:bCs/>
                <w:color w:val="auto"/>
                <w:sz w:val="21"/>
                <w:szCs w:val="21"/>
                <w:highlight w:val="none"/>
                <w:shd w:val="clear" w:color="auto" w:fill="auto"/>
                <w:lang w:val="en-US" w:eastAsia="zh-CN"/>
              </w:rPr>
              <w:t>1.</w:t>
            </w:r>
            <w:r>
              <w:rPr>
                <w:rFonts w:hint="eastAsia" w:ascii="宋体" w:hAnsi="宋体" w:eastAsia="宋体" w:cs="宋体"/>
                <w:sz w:val="21"/>
                <w:szCs w:val="21"/>
              </w:rPr>
              <w:t>根据企业的研发方向与技术特点，确定专利申请的重点领域与方向，为企业撰写专利申请文件，加快专利申请进度</w:t>
            </w:r>
            <w:r>
              <w:rPr>
                <w:rFonts w:hint="eastAsia" w:ascii="宋体" w:hAnsi="宋体" w:eastAsia="宋体" w:cs="宋体"/>
                <w:bCs/>
                <w:color w:val="auto"/>
                <w:sz w:val="21"/>
                <w:szCs w:val="21"/>
                <w:highlight w:val="none"/>
                <w:shd w:val="clear" w:color="auto" w:fill="auto"/>
                <w:lang w:val="en-US" w:eastAsia="zh-CN"/>
              </w:rPr>
              <w:t>；</w:t>
            </w:r>
          </w:p>
          <w:p w14:paraId="4714E3AA">
            <w:pPr>
              <w:pStyle w:val="3"/>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lang w:val="en-US" w:eastAsia="zh-CN"/>
              </w:rPr>
              <w:t>2.</w:t>
            </w:r>
            <w:r>
              <w:rPr>
                <w:rFonts w:hint="eastAsia" w:ascii="宋体" w:hAnsi="宋体" w:eastAsia="宋体" w:cs="宋体"/>
                <w:sz w:val="21"/>
                <w:szCs w:val="21"/>
              </w:rPr>
              <w:t>对于软件企业，指导其及时进行软件著作权登记，提高知识产权数量与质量</w:t>
            </w:r>
            <w:r>
              <w:rPr>
                <w:rFonts w:hint="eastAsia" w:ascii="宋体" w:hAnsi="宋体" w:eastAsia="宋体" w:cs="宋体"/>
                <w:bCs/>
                <w:color w:val="auto"/>
                <w:sz w:val="21"/>
                <w:szCs w:val="21"/>
                <w:highlight w:val="none"/>
                <w:shd w:val="clear" w:color="auto" w:fill="auto"/>
                <w:lang w:val="en-US" w:eastAsia="zh-CN"/>
              </w:rPr>
              <w:t xml:space="preserve">； </w:t>
            </w:r>
          </w:p>
          <w:p w14:paraId="39DC813F">
            <w:pPr>
              <w:pStyle w:val="3"/>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lang w:val="en-US" w:eastAsia="zh-CN"/>
              </w:rPr>
              <w:t>3.</w:t>
            </w:r>
            <w:r>
              <w:rPr>
                <w:rFonts w:hint="eastAsia" w:ascii="宋体" w:hAnsi="宋体" w:eastAsia="宋体" w:cs="宋体"/>
                <w:sz w:val="21"/>
                <w:szCs w:val="21"/>
              </w:rPr>
              <w:t>对已授权的知识产权进行维护与管理，确保知识产权的有效性与稳定性，避免因未按时缴纳年费、未进行续展等原因导致知识产权失效</w:t>
            </w:r>
            <w:r>
              <w:rPr>
                <w:rFonts w:hint="eastAsia" w:ascii="宋体" w:hAnsi="宋体" w:eastAsia="宋体" w:cs="宋体"/>
                <w:bCs/>
                <w:color w:val="auto"/>
                <w:sz w:val="21"/>
                <w:szCs w:val="21"/>
                <w:highlight w:val="none"/>
                <w:shd w:val="clear" w:color="auto" w:fill="auto"/>
                <w:lang w:val="en-US" w:eastAsia="zh-CN"/>
              </w:rPr>
              <w:t>：</w:t>
            </w:r>
            <w:r>
              <w:rPr>
                <w:rFonts w:hint="eastAsia" w:ascii="宋体" w:hAnsi="宋体" w:eastAsia="宋体" w:cs="宋体"/>
                <w:bCs/>
                <w:color w:val="auto"/>
                <w:sz w:val="21"/>
                <w:szCs w:val="21"/>
                <w:highlight w:val="none"/>
                <w:shd w:val="clear" w:color="auto" w:fill="auto"/>
                <w:lang w:val="en-US" w:eastAsia="zh-CN"/>
              </w:rPr>
              <w:br w:type="textWrapping"/>
            </w:r>
            <w:r>
              <w:rPr>
                <w:rFonts w:hint="eastAsia" w:ascii="宋体" w:hAnsi="宋体" w:eastAsia="宋体" w:cs="宋体"/>
                <w:b/>
                <w:bCs/>
                <w:color w:val="auto"/>
                <w:sz w:val="21"/>
                <w:szCs w:val="21"/>
                <w:highlight w:val="none"/>
                <w:shd w:val="clear" w:color="auto" w:fill="auto"/>
                <w:lang w:val="en-US" w:eastAsia="zh-CN"/>
              </w:rPr>
              <w:t xml:space="preserve">评审标准： </w:t>
            </w:r>
          </w:p>
          <w:p w14:paraId="7208F276">
            <w:pPr>
              <w:pStyle w:val="3"/>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投标人提供以上全部3项内容得9分，提供2项得6分，提供1项得3分，其余情况不得分。 </w:t>
            </w:r>
          </w:p>
          <w:p w14:paraId="05988213">
            <w:pPr>
              <w:pStyle w:val="3"/>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在此基础上，以内容的详尽程度、全面性、可操作性优劣进行评审：</w:t>
            </w:r>
          </w:p>
          <w:p w14:paraId="5817190C">
            <w:pPr>
              <w:pStyle w:val="3"/>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1.实施方案整体科学合理、针对性强、可操作性强，评为优秀，得11分；</w:t>
            </w:r>
          </w:p>
          <w:p w14:paraId="39FCC3D0">
            <w:pPr>
              <w:pStyle w:val="3"/>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2.实施方案较合理、有一定针对性、一定可操作性，评为良好，得7分；</w:t>
            </w:r>
          </w:p>
          <w:p w14:paraId="1A3ED706">
            <w:pPr>
              <w:pStyle w:val="3"/>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3.实施方案基本合理、针对性一般、可操作性一般，评为中等，得3分；</w:t>
            </w:r>
          </w:p>
          <w:p w14:paraId="1F707660">
            <w:pPr>
              <w:pStyle w:val="3"/>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eastAsia="宋体" w:cs="宋体"/>
                <w:color w:val="auto"/>
                <w:sz w:val="21"/>
                <w:szCs w:val="21"/>
                <w:highlight w:val="none"/>
                <w:shd w:val="clear" w:color="auto" w:fill="auto"/>
                <w:lang w:val="en-US" w:eastAsia="zh-CN"/>
              </w:rPr>
              <w:t>4.实施方案较一般或不尽合理、针对性差、可操作性差，评为不符合，不得分。</w:t>
            </w:r>
          </w:p>
        </w:tc>
        <w:tc>
          <w:tcPr>
            <w:tcW w:w="378" w:type="pct"/>
            <w:noWrap w:val="0"/>
            <w:tcMar>
              <w:top w:w="80" w:type="dxa"/>
              <w:left w:w="80" w:type="dxa"/>
              <w:bottom w:w="80" w:type="dxa"/>
              <w:right w:w="80" w:type="dxa"/>
            </w:tcMar>
            <w:vAlign w:val="center"/>
          </w:tcPr>
          <w:p w14:paraId="70354523">
            <w:pPr>
              <w:shd w:val="clear" w:color="auto" w:fill="auto"/>
              <w:jc w:val="center"/>
              <w:rPr>
                <w:rFonts w:hint="eastAsia" w:ascii="宋体" w:hAnsi="宋体" w:eastAsia="宋体" w:cs="宋体"/>
                <w:bCs/>
                <w:color w:val="auto"/>
                <w:kern w:val="2"/>
                <w:sz w:val="21"/>
                <w:szCs w:val="21"/>
                <w:highlight w:val="none"/>
                <w:shd w:val="clear" w:color="auto" w:fill="auto"/>
                <w:lang w:val="en-US" w:eastAsia="zh-CN" w:bidi="ar-SA"/>
              </w:rPr>
            </w:pPr>
            <w:r>
              <w:rPr>
                <w:rFonts w:hint="eastAsia" w:ascii="宋体" w:hAnsi="宋体" w:cs="宋体"/>
                <w:bCs/>
                <w:color w:val="auto"/>
                <w:szCs w:val="21"/>
                <w:highlight w:val="none"/>
                <w:shd w:val="clear" w:color="auto" w:fill="auto"/>
                <w:lang w:val="en-US" w:eastAsia="zh-CN"/>
              </w:rPr>
              <w:t>20</w:t>
            </w:r>
          </w:p>
        </w:tc>
      </w:tr>
      <w:tr w14:paraId="2F8E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1" w:hRule="atLeast"/>
          <w:jc w:val="center"/>
        </w:trPr>
        <w:tc>
          <w:tcPr>
            <w:tcW w:w="247" w:type="pct"/>
            <w:noWrap w:val="0"/>
            <w:tcMar>
              <w:top w:w="80" w:type="dxa"/>
              <w:left w:w="80" w:type="dxa"/>
              <w:bottom w:w="80" w:type="dxa"/>
              <w:right w:w="80" w:type="dxa"/>
            </w:tcMar>
            <w:vAlign w:val="center"/>
          </w:tcPr>
          <w:p w14:paraId="725D93D6">
            <w:pPr>
              <w:keepLines w:val="0"/>
              <w:pageBreakBefore w:val="0"/>
              <w:widowControl w:val="0"/>
              <w:shd w:val="clear" w:color="auto" w:fill="auto"/>
              <w:tabs>
                <w:tab w:val="left" w:pos="420"/>
              </w:tabs>
              <w:kinsoku/>
              <w:wordWrap/>
              <w:overflowPunct/>
              <w:topLinePunct w:val="0"/>
              <w:autoSpaceDE/>
              <w:autoSpaceDN/>
              <w:bidi w:val="0"/>
              <w:spacing w:before="0" w:line="240" w:lineRule="auto"/>
              <w:jc w:val="center"/>
              <w:textAlignment w:val="auto"/>
              <w:rPr>
                <w:rFonts w:hint="default" w:ascii="宋体" w:hAnsi="宋体" w:eastAsia="宋体" w:cs="宋体"/>
                <w:color w:val="000000"/>
                <w:kern w:val="2"/>
                <w:sz w:val="21"/>
                <w:szCs w:val="21"/>
                <w:highlight w:val="none"/>
                <w:shd w:val="clear" w:color="auto" w:fill="auto"/>
                <w:lang w:val="en-US" w:eastAsia="zh-CN"/>
              </w:rPr>
            </w:pPr>
            <w:r>
              <w:rPr>
                <w:rFonts w:hint="eastAsia" w:ascii="宋体" w:hAnsi="宋体" w:eastAsia="宋体" w:cs="宋体"/>
                <w:color w:val="000000"/>
                <w:kern w:val="2"/>
                <w:sz w:val="21"/>
                <w:szCs w:val="21"/>
                <w:highlight w:val="none"/>
                <w:shd w:val="clear" w:color="auto" w:fill="auto"/>
                <w:lang w:val="en-US" w:eastAsia="zh-CN"/>
              </w:rPr>
              <w:t>7</w:t>
            </w:r>
          </w:p>
        </w:tc>
        <w:tc>
          <w:tcPr>
            <w:tcW w:w="567" w:type="pct"/>
            <w:noWrap w:val="0"/>
            <w:tcMar>
              <w:top w:w="80" w:type="dxa"/>
              <w:left w:w="80" w:type="dxa"/>
              <w:bottom w:w="80" w:type="dxa"/>
              <w:right w:w="80" w:type="dxa"/>
            </w:tcMar>
            <w:vAlign w:val="center"/>
          </w:tcPr>
          <w:p w14:paraId="20301D5D">
            <w:pPr>
              <w:shd w:val="clear" w:color="auto" w:fill="auto"/>
              <w:adjustRightInd w:val="0"/>
              <w:snapToGrid w:val="0"/>
              <w:jc w:val="center"/>
              <w:rPr>
                <w:rFonts w:hint="eastAsia" w:ascii="Calibri" w:hAnsi="Calibri" w:eastAsia="宋体" w:cs="Times New Roman"/>
                <w:bCs/>
                <w:color w:val="000000"/>
                <w:kern w:val="2"/>
                <w:sz w:val="21"/>
                <w:szCs w:val="21"/>
                <w:highlight w:val="none"/>
                <w:shd w:val="clear" w:color="auto" w:fill="auto"/>
                <w:lang w:val="en-US" w:eastAsia="zh-Hans" w:bidi="ar-SA"/>
              </w:rPr>
            </w:pPr>
            <w:r>
              <w:rPr>
                <w:rFonts w:hint="eastAsia" w:ascii="Calibri" w:hAnsi="Calibri" w:eastAsia="宋体" w:cs="Times New Roman"/>
                <w:bCs/>
                <w:color w:val="000000"/>
                <w:szCs w:val="21"/>
                <w:highlight w:val="none"/>
                <w:shd w:val="clear" w:color="auto" w:fill="auto"/>
                <w:lang w:eastAsia="zh-Hans"/>
              </w:rPr>
              <w:t>质量保证措施</w:t>
            </w:r>
          </w:p>
        </w:tc>
        <w:tc>
          <w:tcPr>
            <w:tcW w:w="3806" w:type="pct"/>
            <w:noWrap w:val="0"/>
            <w:tcMar>
              <w:top w:w="80" w:type="dxa"/>
              <w:left w:w="80" w:type="dxa"/>
              <w:bottom w:w="80" w:type="dxa"/>
              <w:right w:w="80" w:type="dxa"/>
            </w:tcMar>
            <w:vAlign w:val="center"/>
          </w:tcPr>
          <w:p w14:paraId="6D94B3DF">
            <w:pPr>
              <w:shd w:val="clear" w:color="auto" w:fill="auto"/>
              <w:wordWrap w:val="0"/>
              <w:rPr>
                <w:rFonts w:hint="eastAsia" w:ascii="宋体" w:hAnsi="宋体" w:eastAsia="宋体" w:cs="宋体"/>
                <w:b/>
                <w:bCs/>
                <w:color w:val="000000"/>
                <w:sz w:val="21"/>
                <w:szCs w:val="21"/>
                <w:highlight w:val="none"/>
                <w:shd w:val="clear" w:color="auto" w:fill="auto"/>
                <w:lang w:val="en-US" w:eastAsia="zh-CN"/>
              </w:rPr>
            </w:pPr>
            <w:r>
              <w:rPr>
                <w:rFonts w:hint="eastAsia" w:ascii="宋体" w:hAnsi="宋体" w:eastAsia="宋体" w:cs="宋体"/>
                <w:b/>
                <w:bCs/>
                <w:color w:val="000000"/>
                <w:sz w:val="21"/>
                <w:szCs w:val="21"/>
                <w:highlight w:val="none"/>
                <w:shd w:val="clear" w:color="auto" w:fill="auto"/>
                <w:lang w:val="en-US" w:eastAsia="zh-CN"/>
              </w:rPr>
              <w:t>评审标准：</w:t>
            </w:r>
          </w:p>
          <w:p w14:paraId="382E1A41">
            <w:pPr>
              <w:shd w:val="clear" w:color="auto" w:fill="auto"/>
              <w:ind w:left="-78" w:leftChars="-37" w:right="-73" w:rightChars="-35"/>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1.承诺提供发明专利技术检索报告，得6分；</w:t>
            </w:r>
          </w:p>
          <w:p w14:paraId="276E35F6">
            <w:pPr>
              <w:shd w:val="clear" w:color="auto" w:fill="auto"/>
              <w:ind w:left="-78" w:leftChars="-37" w:right="-73" w:rightChars="-35"/>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2.有应急响应措施，响应时间在1个工作日内，得4分；</w:t>
            </w:r>
          </w:p>
          <w:p w14:paraId="09749B61">
            <w:pPr>
              <w:shd w:val="clear" w:color="auto" w:fill="auto"/>
              <w:wordWrap w:val="0"/>
              <w:rPr>
                <w:rFonts w:hint="eastAsia" w:ascii="宋体" w:hAnsi="宋体" w:eastAsia="宋体" w:cs="宋体"/>
                <w:b/>
                <w:bCs/>
                <w:color w:val="000000"/>
                <w:sz w:val="21"/>
                <w:szCs w:val="21"/>
                <w:highlight w:val="none"/>
                <w:shd w:val="clear" w:color="auto" w:fill="auto"/>
              </w:rPr>
            </w:pPr>
            <w:r>
              <w:rPr>
                <w:rFonts w:hint="eastAsia" w:ascii="宋体" w:hAnsi="宋体" w:eastAsia="宋体" w:cs="宋体"/>
                <w:b/>
                <w:bCs/>
                <w:color w:val="000000"/>
                <w:sz w:val="21"/>
                <w:szCs w:val="21"/>
                <w:highlight w:val="none"/>
                <w:shd w:val="clear" w:color="auto" w:fill="auto"/>
              </w:rPr>
              <w:t>证明</w:t>
            </w:r>
            <w:r>
              <w:rPr>
                <w:rFonts w:hint="eastAsia" w:ascii="宋体" w:hAnsi="宋体" w:eastAsia="宋体" w:cs="宋体"/>
                <w:b/>
                <w:bCs/>
                <w:color w:val="000000"/>
                <w:sz w:val="21"/>
                <w:szCs w:val="21"/>
                <w:highlight w:val="none"/>
                <w:shd w:val="clear" w:color="auto" w:fill="auto"/>
                <w:lang w:val="en-US" w:eastAsia="zh-CN"/>
              </w:rPr>
              <w:t>材料</w:t>
            </w:r>
            <w:r>
              <w:rPr>
                <w:rFonts w:hint="eastAsia" w:ascii="宋体" w:hAnsi="宋体" w:eastAsia="宋体" w:cs="宋体"/>
                <w:b/>
                <w:bCs/>
                <w:color w:val="000000"/>
                <w:sz w:val="21"/>
                <w:szCs w:val="21"/>
                <w:highlight w:val="none"/>
                <w:shd w:val="clear" w:color="auto" w:fill="auto"/>
              </w:rPr>
              <w:t>:</w:t>
            </w:r>
          </w:p>
          <w:p w14:paraId="1881FF7B">
            <w:pPr>
              <w:shd w:val="clear" w:color="auto" w:fill="auto"/>
              <w:ind w:left="-78" w:leftChars="-37" w:right="-73" w:rightChars="-35"/>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 xml:space="preserve">1.提供书面承诺函（格式自拟）； </w:t>
            </w:r>
          </w:p>
          <w:p w14:paraId="6489A1B2">
            <w:pPr>
              <w:shd w:val="clear" w:color="auto" w:fill="auto"/>
              <w:ind w:left="-78" w:leftChars="-37" w:right="-73" w:rightChars="-35"/>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 xml:space="preserve">2.未提供或未按要求提供或提供的不清晰导致专家无法判断 </w:t>
            </w:r>
          </w:p>
          <w:p w14:paraId="77413C56">
            <w:pPr>
              <w:shd w:val="clear" w:color="auto" w:fill="auto"/>
              <w:ind w:left="-78" w:leftChars="-37" w:right="-73" w:rightChars="-35"/>
              <w:jc w:val="left"/>
              <w:rPr>
                <w:rFonts w:hint="eastAsia" w:ascii="宋体" w:hAnsi="宋体" w:eastAsia="宋体" w:cs="宋体"/>
                <w:color w:val="000000"/>
                <w:kern w:val="2"/>
                <w:sz w:val="21"/>
                <w:szCs w:val="21"/>
                <w:highlight w:val="none"/>
                <w:shd w:val="clear" w:color="auto" w:fill="auto"/>
                <w:lang w:val="en-US" w:eastAsia="zh-CN" w:bidi="ar-SA"/>
              </w:rPr>
            </w:pPr>
            <w:r>
              <w:rPr>
                <w:rFonts w:hint="eastAsia" w:ascii="宋体" w:hAnsi="宋体" w:eastAsia="宋体" w:cs="宋体"/>
                <w:color w:val="000000"/>
                <w:sz w:val="21"/>
                <w:szCs w:val="21"/>
                <w:highlight w:val="none"/>
                <w:shd w:val="clear" w:color="auto" w:fill="auto"/>
                <w:lang w:val="en-US" w:eastAsia="zh-CN"/>
              </w:rPr>
              <w:t>的，不得分。</w:t>
            </w:r>
          </w:p>
        </w:tc>
        <w:tc>
          <w:tcPr>
            <w:tcW w:w="378" w:type="pct"/>
            <w:noWrap w:val="0"/>
            <w:tcMar>
              <w:top w:w="80" w:type="dxa"/>
              <w:left w:w="80" w:type="dxa"/>
              <w:bottom w:w="80" w:type="dxa"/>
              <w:right w:w="80" w:type="dxa"/>
            </w:tcMar>
            <w:vAlign w:val="center"/>
          </w:tcPr>
          <w:p w14:paraId="2005E1F6">
            <w:pPr>
              <w:shd w:val="clear" w:color="auto" w:fill="auto"/>
              <w:jc w:val="center"/>
              <w:rPr>
                <w:rFonts w:hint="eastAsia" w:ascii="宋体" w:hAnsi="宋体" w:eastAsia="宋体" w:cs="宋体"/>
                <w:bCs/>
                <w:color w:val="000000"/>
                <w:kern w:val="2"/>
                <w:sz w:val="21"/>
                <w:szCs w:val="21"/>
                <w:highlight w:val="none"/>
                <w:shd w:val="clear" w:color="auto" w:fill="auto"/>
                <w:lang w:val="en-US" w:eastAsia="zh-CN" w:bidi="ar-SA"/>
              </w:rPr>
            </w:pPr>
            <w:r>
              <w:rPr>
                <w:rFonts w:hint="eastAsia" w:ascii="宋体" w:hAnsi="宋体" w:eastAsia="宋体" w:cs="宋体"/>
                <w:bCs/>
                <w:color w:val="000000"/>
                <w:szCs w:val="21"/>
                <w:highlight w:val="none"/>
                <w:shd w:val="clear" w:color="auto" w:fill="auto"/>
              </w:rPr>
              <w:t>10</w:t>
            </w:r>
          </w:p>
        </w:tc>
      </w:tr>
      <w:tr w14:paraId="2CAE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4621" w:type="pct"/>
            <w:gridSpan w:val="3"/>
            <w:noWrap w:val="0"/>
            <w:tcMar>
              <w:top w:w="80" w:type="dxa"/>
              <w:left w:w="80" w:type="dxa"/>
              <w:bottom w:w="80" w:type="dxa"/>
              <w:right w:w="80" w:type="dxa"/>
            </w:tcMar>
            <w:vAlign w:val="center"/>
          </w:tcPr>
          <w:p w14:paraId="207D85D5">
            <w:pPr>
              <w:shd w:val="clear" w:color="auto" w:fill="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s>
              <w:spacing w:before="0" w:line="20" w:lineRule="atLeast"/>
              <w:jc w:val="center"/>
              <w:rPr>
                <w:rFonts w:hint="default"/>
                <w:color w:val="auto"/>
                <w:highlight w:val="none"/>
                <w:shd w:val="clear" w:color="auto" w:fill="auto"/>
              </w:rPr>
            </w:pPr>
            <w:r>
              <w:rPr>
                <w:rFonts w:ascii="宋体" w:hAnsi="宋体" w:eastAsia="宋体" w:cs="宋体"/>
                <w:color w:val="auto"/>
                <w:kern w:val="2"/>
                <w:sz w:val="21"/>
                <w:szCs w:val="21"/>
                <w:highlight w:val="none"/>
                <w:shd w:val="clear" w:color="auto" w:fill="auto"/>
              </w:rPr>
              <w:t>合计</w:t>
            </w:r>
          </w:p>
        </w:tc>
        <w:tc>
          <w:tcPr>
            <w:tcW w:w="378" w:type="pct"/>
            <w:noWrap w:val="0"/>
            <w:tcMar>
              <w:top w:w="80" w:type="dxa"/>
              <w:left w:w="80" w:type="dxa"/>
              <w:bottom w:w="80" w:type="dxa"/>
              <w:right w:w="80" w:type="dxa"/>
            </w:tcMar>
            <w:vAlign w:val="center"/>
          </w:tcPr>
          <w:p w14:paraId="59E14CB0">
            <w:pPr>
              <w:shd w:val="clear" w:color="auto" w:fill="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s>
              <w:spacing w:before="0" w:line="20" w:lineRule="atLeast"/>
              <w:jc w:val="center"/>
              <w:rPr>
                <w:rFonts w:ascii="宋体" w:hAnsi="宋体" w:eastAsia="宋体" w:cs="宋体"/>
                <w:color w:val="auto"/>
                <w:kern w:val="2"/>
                <w:sz w:val="21"/>
                <w:szCs w:val="21"/>
                <w:highlight w:val="none"/>
                <w:shd w:val="clear" w:color="auto" w:fill="auto"/>
                <w:lang w:val="en-US" w:eastAsia="zh-CN" w:bidi="ar-SA"/>
              </w:rPr>
            </w:pPr>
            <w:r>
              <w:rPr>
                <w:rFonts w:hint="eastAsia"/>
                <w:color w:val="auto"/>
                <w:highlight w:val="none"/>
                <w:shd w:val="clear" w:color="auto" w:fill="auto"/>
                <w:lang w:val="en-US" w:eastAsia="zh-CN"/>
              </w:rPr>
              <w:t>100</w:t>
            </w:r>
          </w:p>
        </w:tc>
      </w:tr>
    </w:tbl>
    <w:p w14:paraId="000E4BC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center"/>
        <w:rPr>
          <w:rFonts w:hint="eastAsia" w:ascii="宋体" w:hAnsi="宋体" w:cs="宋体"/>
          <w:sz w:val="36"/>
          <w:szCs w:val="36"/>
        </w:rPr>
      </w:pPr>
    </w:p>
    <w:p w14:paraId="06F7A04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ind w:firstLine="420"/>
        <w:rPr>
          <w:rFonts w:hint="eastAsia" w:ascii="黑体" w:hAnsi="黑体" w:eastAsia="黑体" w:cs="黑体"/>
          <w:szCs w:val="21"/>
        </w:rPr>
      </w:pPr>
      <w:r>
        <w:rPr>
          <w:rFonts w:ascii="黑体" w:hAnsi="黑体" w:eastAsia="黑体" w:cs="黑体"/>
          <w:szCs w:val="21"/>
        </w:rPr>
        <w:t>备注：1.各项评审打分按照四舍五入，小数点后保留2位进行计算；</w:t>
      </w:r>
    </w:p>
    <w:p w14:paraId="75BAB28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ind w:left="1050" w:hanging="1050"/>
        <w:rPr>
          <w:rFonts w:ascii="黑体" w:hAnsi="黑体" w:eastAsia="黑体" w:cs="黑体"/>
          <w:szCs w:val="21"/>
        </w:rPr>
      </w:pPr>
      <w:r>
        <w:rPr>
          <w:rFonts w:ascii="黑体" w:hAnsi="黑体" w:eastAsia="黑体" w:cs="黑体"/>
          <w:szCs w:val="21"/>
        </w:rPr>
        <w:t xml:space="preserve">          2.若出现拟推荐成交候选供应商票数相同的情况，以未推荐上述单位的评审专家对并列第一的候选供应商既定打分排序作为最终选定依据。</w:t>
      </w:r>
    </w:p>
    <w:p w14:paraId="6B833FFD"/>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国标仿宋-GB/T 2312">
    <w:panose1 w:val="02000500000000000000"/>
    <w:charset w:val="86"/>
    <w:family w:val="auto"/>
    <w:pitch w:val="default"/>
    <w:sig w:usb0="800002AF" w:usb1="08476CF8" w:usb2="00000010" w:usb3="00000000" w:csb0="00040000" w:csb1="00000000"/>
  </w:font>
  <w:font w:name="等线">
    <w:altName w:val="华文仿宋"/>
    <w:panose1 w:val="02010600030101010101"/>
    <w:charset w:val="00"/>
    <w:family w:val="auto"/>
    <w:pitch w:val="default"/>
    <w:sig w:usb0="00000000" w:usb1="00000000" w:usb2="00000016" w:usb3="00000000" w:csb0="0004000F" w:csb1="00000000"/>
  </w:font>
  <w:font w:name="方正仿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D5692"/>
    <w:rsid w:val="7FAD5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1400" w:leftChars="1400"/>
    </w:pPr>
  </w:style>
  <w:style w:type="paragraph" w:styleId="3">
    <w:name w:val="Body Text"/>
    <w:basedOn w:val="1"/>
    <w:next w:val="1"/>
    <w:qFormat/>
    <w:uiPriority w:val="1"/>
    <w:rPr>
      <w:rFonts w:ascii="仿宋" w:hAnsi="仿宋" w:eastAsia="仿宋" w:cs="仿宋"/>
      <w:sz w:val="28"/>
      <w:szCs w:val="28"/>
    </w:rPr>
  </w:style>
  <w:style w:type="paragraph" w:styleId="4">
    <w:name w:val="Plain Text"/>
    <w:basedOn w:val="1"/>
    <w:next w:val="2"/>
    <w:unhideWhenUsed/>
    <w:qFormat/>
    <w:uiPriority w:val="99"/>
    <w:rPr>
      <w:rFonts w:ascii="宋体" w:cs="Courier New"/>
      <w:szCs w:val="21"/>
    </w:rPr>
  </w:style>
  <w:style w:type="table" w:customStyle="1" w:styleId="7">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2026-07-23T17:02:00Z</dcterms:created>
  <dc:creator>曾泽怡</dc:creator>
  <cp:lastModifiedBy>曾泽怡</cp:lastModifiedBy>
  <dcterms:modified xsi:type="dcterms:W3CDTF">2026-07-23T17:02:38Z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0BAB74462326496A97D8616ACAF23445_41</vt:lpwstr>
  </property>
</Properties>
</file>