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spacing w:line="560" w:lineRule="exact"/>
        <w:jc w:val="both"/>
        <w:rPr>
          <w:rFonts w:hint="default" w:ascii="仿宋" w:hAnsi="仿宋" w:eastAsia="仿宋"/>
          <w:b w:val="0"/>
          <w:bCs/>
          <w:sz w:val="30"/>
          <w:szCs w:val="30"/>
          <w:lang w:val="en-US" w:eastAsia="zh-CN"/>
        </w:rPr>
      </w:pPr>
      <w:r>
        <w:rPr>
          <w:rFonts w:hint="eastAsia" w:ascii="仿宋" w:hAnsi="仿宋" w:eastAsia="仿宋"/>
          <w:b w:val="0"/>
          <w:bCs/>
          <w:sz w:val="30"/>
          <w:szCs w:val="30"/>
          <w:lang w:eastAsia="zh-CN"/>
        </w:rPr>
        <w:t>附件</w:t>
      </w:r>
      <w:r>
        <w:rPr>
          <w:rFonts w:hint="eastAsia" w:ascii="仿宋" w:hAnsi="仿宋" w:eastAsia="仿宋"/>
          <w:b w:val="0"/>
          <w:bCs/>
          <w:sz w:val="30"/>
          <w:szCs w:val="30"/>
          <w:lang w:val="en-US" w:eastAsia="zh-CN"/>
        </w:rPr>
        <w:t>1、</w:t>
      </w:r>
    </w:p>
    <w:p>
      <w:pPr>
        <w:pStyle w:val="9"/>
        <w:widowControl/>
        <w:spacing w:line="560" w:lineRule="exact"/>
        <w:rPr>
          <w:rFonts w:hint="eastAsia"/>
          <w:sz w:val="32"/>
          <w:szCs w:val="32"/>
        </w:rPr>
      </w:pPr>
      <w:r>
        <w:rPr>
          <w:rFonts w:ascii="仿宋" w:hAnsi="仿宋" w:eastAsia="仿宋"/>
          <w:b/>
          <w:sz w:val="40"/>
          <w:szCs w:val="40"/>
        </w:rPr>
        <w:t>综合评审表</w:t>
      </w:r>
      <w:bookmarkStart w:id="0" w:name="_GoBack"/>
      <w:bookmarkEnd w:id="0"/>
    </w:p>
    <w:tbl>
      <w:tblPr>
        <w:tblStyle w:val="6"/>
        <w:tblW w:w="153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860"/>
        <w:gridCol w:w="1612"/>
        <w:gridCol w:w="1537"/>
        <w:gridCol w:w="1251"/>
        <w:gridCol w:w="2224"/>
        <w:gridCol w:w="837"/>
        <w:gridCol w:w="1238"/>
        <w:gridCol w:w="1737"/>
        <w:gridCol w:w="2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atLeast"/>
          <w:jc w:val="center"/>
        </w:trPr>
        <w:tc>
          <w:tcPr>
            <w:tcW w:w="566" w:type="dxa"/>
            <w:vAlign w:val="center"/>
          </w:tcPr>
          <w:p>
            <w:pPr>
              <w:pStyle w:val="10"/>
              <w:spacing w:line="360" w:lineRule="exact"/>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860" w:type="dxa"/>
            <w:vAlign w:val="center"/>
          </w:tcPr>
          <w:p>
            <w:pPr>
              <w:pStyle w:val="10"/>
              <w:spacing w:line="360" w:lineRule="exact"/>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w:t>
            </w:r>
          </w:p>
        </w:tc>
        <w:tc>
          <w:tcPr>
            <w:tcW w:w="1612" w:type="dxa"/>
            <w:vAlign w:val="center"/>
          </w:tcPr>
          <w:p>
            <w:pPr>
              <w:pStyle w:val="10"/>
              <w:spacing w:line="360" w:lineRule="exact"/>
              <w:ind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0"/>
                <w:szCs w:val="20"/>
                <w:lang w:val="en-US" w:eastAsia="zh-CN" w:bidi="ar-SA"/>
              </w:rPr>
              <w:t>近3年内（从公告截止之日起倒算）响应单位或者其法定代表人在中国裁判文书网查询没有行贿犯罪记录的为优</w:t>
            </w:r>
          </w:p>
        </w:tc>
        <w:tc>
          <w:tcPr>
            <w:tcW w:w="15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在深圳市住房和建设局工程建设诚信档案中没有处于红色警示公示期内的企业为优</w:t>
            </w:r>
          </w:p>
        </w:tc>
        <w:tc>
          <w:tcPr>
            <w:tcW w:w="125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近3年内（从公告截止之日起倒算）无行政处罚记录的企业为优</w:t>
            </w:r>
          </w:p>
        </w:tc>
        <w:tc>
          <w:tcPr>
            <w:tcW w:w="2224"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具有《中华人民共和国特种设备生产许可证》且在有效期内，许可子项目中包含曳引驱动客乘电梯（V≤6.0m/s）、曳引驱动载货电梯和强制驱动载货电梯且子项目等级为A级的为优</w:t>
            </w:r>
            <w:r>
              <w:rPr>
                <w:rFonts w:hint="eastAsia" w:asciiTheme="minorEastAsia" w:hAnsiTheme="minorEastAsia" w:eastAsiaTheme="minorEastAsia" w:cstheme="minorEastAsia"/>
                <w:kern w:val="2"/>
                <w:sz w:val="22"/>
                <w:szCs w:val="22"/>
                <w:lang w:val="en-US" w:eastAsia="zh-CN" w:bidi="ar-SA"/>
              </w:rPr>
              <w:t>。</w:t>
            </w:r>
          </w:p>
        </w:tc>
        <w:tc>
          <w:tcPr>
            <w:tcW w:w="8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横向对比下浮率最大的为优</w:t>
            </w:r>
          </w:p>
        </w:tc>
        <w:tc>
          <w:tcPr>
            <w:tcW w:w="123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近3年有3项电梯维修（金额不低于10万元）项目业绩的为优</w:t>
            </w:r>
          </w:p>
        </w:tc>
        <w:tc>
          <w:tcPr>
            <w:tcW w:w="17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default" w:asciiTheme="minorEastAsia" w:hAnsiTheme="minorEastAsia" w:eastAsiaTheme="minorEastAsia" w:cstheme="minorEastAsia"/>
                <w:kern w:val="2"/>
                <w:sz w:val="20"/>
                <w:szCs w:val="20"/>
                <w:lang w:val="en-US" w:eastAsia="zh-CN" w:bidi="ar-SA"/>
              </w:rPr>
              <w:t>同时拥有</w:t>
            </w:r>
            <w:r>
              <w:rPr>
                <w:rFonts w:hint="eastAsia" w:asciiTheme="minorEastAsia" w:hAnsiTheme="minorEastAsia" w:eastAsiaTheme="minorEastAsia" w:cstheme="minorEastAsia"/>
                <w:kern w:val="2"/>
                <w:sz w:val="20"/>
                <w:szCs w:val="20"/>
                <w:lang w:val="en-US" w:eastAsia="zh-CN" w:bidi="ar-SA"/>
              </w:rPr>
              <w:t>中国职业健康安全管理体系认证</w:t>
            </w:r>
            <w:r>
              <w:rPr>
                <w:rFonts w:hint="default" w:asciiTheme="minorEastAsia" w:hAnsiTheme="minorEastAsia" w:eastAsiaTheme="minorEastAsia" w:cstheme="minorEastAsia"/>
                <w:kern w:val="2"/>
                <w:sz w:val="20"/>
                <w:szCs w:val="20"/>
                <w:lang w:val="en-US" w:eastAsia="zh-CN" w:bidi="ar-SA"/>
              </w:rPr>
              <w:t>、</w:t>
            </w:r>
            <w:r>
              <w:rPr>
                <w:rFonts w:hint="eastAsia" w:asciiTheme="minorEastAsia" w:hAnsiTheme="minorEastAsia" w:eastAsiaTheme="minorEastAsia" w:cstheme="minorEastAsia"/>
                <w:kern w:val="2"/>
                <w:sz w:val="20"/>
                <w:szCs w:val="20"/>
                <w:lang w:val="en-US" w:eastAsia="zh-CN" w:bidi="ar-SA"/>
              </w:rPr>
              <w:t>环境管理体系认证</w:t>
            </w:r>
            <w:r>
              <w:rPr>
                <w:rFonts w:hint="default" w:asciiTheme="minorEastAsia" w:hAnsiTheme="minorEastAsia" w:eastAsiaTheme="minorEastAsia" w:cstheme="minorEastAsia"/>
                <w:kern w:val="2"/>
                <w:sz w:val="20"/>
                <w:szCs w:val="20"/>
                <w:lang w:val="en-US" w:eastAsia="zh-CN" w:bidi="ar-SA"/>
              </w:rPr>
              <w:t>、</w:t>
            </w:r>
            <w:r>
              <w:rPr>
                <w:rFonts w:hint="eastAsia" w:asciiTheme="minorEastAsia" w:hAnsiTheme="minorEastAsia" w:eastAsiaTheme="minorEastAsia" w:cstheme="minorEastAsia"/>
                <w:kern w:val="2"/>
                <w:sz w:val="20"/>
                <w:szCs w:val="20"/>
                <w:lang w:val="en-US" w:eastAsia="zh-CN" w:bidi="ar-SA"/>
              </w:rPr>
              <w:t>质量管理体系认证</w:t>
            </w:r>
            <w:r>
              <w:rPr>
                <w:rFonts w:hint="default" w:asciiTheme="minorEastAsia" w:hAnsiTheme="minorEastAsia" w:eastAsiaTheme="minorEastAsia" w:cstheme="minorEastAsia"/>
                <w:kern w:val="2"/>
                <w:sz w:val="20"/>
                <w:szCs w:val="20"/>
                <w:lang w:val="en-US" w:eastAsia="zh-CN" w:bidi="ar-SA"/>
              </w:rPr>
              <w:t>的为优</w:t>
            </w:r>
          </w:p>
        </w:tc>
        <w:tc>
          <w:tcPr>
            <w:tcW w:w="2439"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kern w:val="2"/>
                <w:sz w:val="20"/>
                <w:szCs w:val="20"/>
                <w:lang w:val="en-US" w:eastAsia="zh-CN" w:bidi="ar-SA"/>
              </w:rPr>
            </w:pPr>
            <w:r>
              <w:rPr>
                <w:rFonts w:hint="eastAsia" w:asciiTheme="minorEastAsia" w:hAnsiTheme="minorEastAsia" w:eastAsiaTheme="minorEastAsia" w:cstheme="minorEastAsia"/>
                <w:kern w:val="2"/>
                <w:sz w:val="20"/>
                <w:szCs w:val="20"/>
                <w:lang w:val="en-US" w:eastAsia="zh-CN" w:bidi="ar-SA"/>
              </w:rPr>
              <w:t>横向对比项目实施方案，根据项目实际情况，从工期、安全质量保证措施、人员配置、施工工艺、质保服务等方面综合评价，横向选取一名优；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66" w:type="dxa"/>
            <w:vAlign w:val="center"/>
          </w:tcPr>
          <w:p>
            <w:pPr>
              <w:pStyle w:val="10"/>
              <w:spacing w:line="360" w:lineRule="exact"/>
              <w:ind w:firstLine="0" w:firstLineChars="0"/>
              <w:jc w:val="both"/>
              <w:rPr>
                <w:rFonts w:hint="eastAsia" w:asciiTheme="minorEastAsia" w:hAnsiTheme="minorEastAsia" w:eastAsiaTheme="minorEastAsia" w:cstheme="minorEastAsia"/>
                <w:sz w:val="24"/>
                <w:szCs w:val="24"/>
              </w:rPr>
            </w:pPr>
          </w:p>
        </w:tc>
        <w:tc>
          <w:tcPr>
            <w:tcW w:w="1860"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612"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5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kern w:val="2"/>
                <w:sz w:val="24"/>
                <w:szCs w:val="24"/>
                <w:lang w:val="en-US" w:eastAsia="zh-CN" w:bidi="ar-SA"/>
              </w:rPr>
            </w:pPr>
          </w:p>
        </w:tc>
        <w:tc>
          <w:tcPr>
            <w:tcW w:w="1251"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224"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8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238"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7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439" w:type="dxa"/>
            <w:vAlign w:val="center"/>
          </w:tcPr>
          <w:p>
            <w:pPr>
              <w:widowControl/>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66" w:type="dxa"/>
            <w:vAlign w:val="center"/>
          </w:tcPr>
          <w:p>
            <w:pPr>
              <w:pStyle w:val="10"/>
              <w:spacing w:line="360" w:lineRule="exact"/>
              <w:ind w:firstLine="0" w:firstLineChars="0"/>
              <w:jc w:val="both"/>
              <w:rPr>
                <w:rFonts w:hint="eastAsia" w:asciiTheme="minorEastAsia" w:hAnsiTheme="minorEastAsia" w:eastAsiaTheme="minorEastAsia" w:cstheme="minorEastAsia"/>
                <w:sz w:val="24"/>
                <w:szCs w:val="24"/>
              </w:rPr>
            </w:pPr>
          </w:p>
        </w:tc>
        <w:tc>
          <w:tcPr>
            <w:tcW w:w="1860"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612"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5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kern w:val="2"/>
                <w:sz w:val="24"/>
                <w:szCs w:val="24"/>
                <w:lang w:val="en-US" w:eastAsia="zh-CN" w:bidi="ar-SA"/>
              </w:rPr>
            </w:pPr>
          </w:p>
        </w:tc>
        <w:tc>
          <w:tcPr>
            <w:tcW w:w="1251"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224"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8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238"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7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439" w:type="dxa"/>
            <w:vAlign w:val="center"/>
          </w:tcPr>
          <w:p>
            <w:pPr>
              <w:widowControl/>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66" w:type="dxa"/>
            <w:vAlign w:val="center"/>
          </w:tcPr>
          <w:p>
            <w:pPr>
              <w:pStyle w:val="10"/>
              <w:spacing w:line="360" w:lineRule="exact"/>
              <w:ind w:firstLine="0" w:firstLineChars="0"/>
              <w:jc w:val="both"/>
              <w:rPr>
                <w:rFonts w:hint="eastAsia" w:asciiTheme="minorEastAsia" w:hAnsiTheme="minorEastAsia" w:eastAsiaTheme="minorEastAsia" w:cstheme="minorEastAsia"/>
                <w:sz w:val="24"/>
                <w:szCs w:val="24"/>
              </w:rPr>
            </w:pPr>
          </w:p>
        </w:tc>
        <w:tc>
          <w:tcPr>
            <w:tcW w:w="1860"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612"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5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kern w:val="2"/>
                <w:sz w:val="24"/>
                <w:szCs w:val="24"/>
                <w:lang w:val="en-US" w:eastAsia="zh-CN" w:bidi="ar-SA"/>
              </w:rPr>
            </w:pPr>
          </w:p>
        </w:tc>
        <w:tc>
          <w:tcPr>
            <w:tcW w:w="1251"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224"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8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238"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7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439" w:type="dxa"/>
            <w:vAlign w:val="center"/>
          </w:tcPr>
          <w:p>
            <w:pPr>
              <w:widowControl/>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566" w:type="dxa"/>
            <w:vAlign w:val="center"/>
          </w:tcPr>
          <w:p>
            <w:pPr>
              <w:pStyle w:val="10"/>
              <w:spacing w:line="360" w:lineRule="exact"/>
              <w:ind w:firstLine="0" w:firstLineChars="0"/>
              <w:jc w:val="both"/>
              <w:rPr>
                <w:rFonts w:hint="eastAsia" w:asciiTheme="minorEastAsia" w:hAnsiTheme="minorEastAsia" w:eastAsiaTheme="minorEastAsia" w:cstheme="minorEastAsia"/>
                <w:sz w:val="24"/>
                <w:szCs w:val="24"/>
              </w:rPr>
            </w:pPr>
          </w:p>
        </w:tc>
        <w:tc>
          <w:tcPr>
            <w:tcW w:w="1860"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612" w:type="dxa"/>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537"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kern w:val="2"/>
                <w:sz w:val="24"/>
                <w:szCs w:val="24"/>
                <w:lang w:val="en-US" w:eastAsia="zh-CN" w:bidi="ar-SA"/>
              </w:rPr>
            </w:pPr>
          </w:p>
        </w:tc>
        <w:tc>
          <w:tcPr>
            <w:tcW w:w="1251"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224"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8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238"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1737" w:type="dxa"/>
            <w:vAlign w:val="center"/>
          </w:tcPr>
          <w:p>
            <w:pPr>
              <w:widowControl/>
              <w:jc w:val="center"/>
              <w:textAlignment w:val="center"/>
              <w:rPr>
                <w:rFonts w:hint="eastAsia" w:asciiTheme="minorEastAsia" w:hAnsiTheme="minorEastAsia" w:eastAsiaTheme="minorEastAsia" w:cstheme="minorEastAsia"/>
                <w:sz w:val="24"/>
                <w:szCs w:val="24"/>
              </w:rPr>
            </w:pPr>
          </w:p>
        </w:tc>
        <w:tc>
          <w:tcPr>
            <w:tcW w:w="2439" w:type="dxa"/>
            <w:vAlign w:val="center"/>
          </w:tcPr>
          <w:p>
            <w:pPr>
              <w:widowControl/>
              <w:jc w:val="center"/>
              <w:textAlignment w:val="center"/>
              <w:rPr>
                <w:rFonts w:hint="eastAsia" w:asciiTheme="minorEastAsia" w:hAnsiTheme="minorEastAsia" w:eastAsiaTheme="minorEastAsia" w:cstheme="minorEastAsia"/>
                <w:sz w:val="24"/>
                <w:szCs w:val="24"/>
              </w:rPr>
            </w:pPr>
          </w:p>
        </w:tc>
      </w:tr>
    </w:tbl>
    <w:p>
      <w:pPr>
        <w:rPr>
          <w:rFonts w:ascii="仿宋" w:hAnsi="仿宋" w:eastAsia="仿宋"/>
          <w:b/>
          <w:sz w:val="30"/>
          <w:szCs w:val="30"/>
        </w:rPr>
      </w:pPr>
    </w:p>
    <w:sectPr>
      <w:pgSz w:w="16839" w:h="11907"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ZjQ3OTQ2Zjc3NjA5ZjgwZjYwMGNhZGMzOGM4NTQifQ=="/>
  </w:docVars>
  <w:rsids>
    <w:rsidRoot w:val="00993FBF"/>
    <w:rsid w:val="000649A2"/>
    <w:rsid w:val="00156FE1"/>
    <w:rsid w:val="00164D9B"/>
    <w:rsid w:val="001A6950"/>
    <w:rsid w:val="001C51F7"/>
    <w:rsid w:val="001D3002"/>
    <w:rsid w:val="001F7FAF"/>
    <w:rsid w:val="0022640E"/>
    <w:rsid w:val="003E0012"/>
    <w:rsid w:val="00494CAE"/>
    <w:rsid w:val="005205CA"/>
    <w:rsid w:val="00547CB3"/>
    <w:rsid w:val="0056259D"/>
    <w:rsid w:val="005B4656"/>
    <w:rsid w:val="005C6CD5"/>
    <w:rsid w:val="007A7327"/>
    <w:rsid w:val="008055BF"/>
    <w:rsid w:val="00916C9D"/>
    <w:rsid w:val="009801C1"/>
    <w:rsid w:val="00990ACC"/>
    <w:rsid w:val="00993FBF"/>
    <w:rsid w:val="00A3776F"/>
    <w:rsid w:val="00B31C1F"/>
    <w:rsid w:val="00C90F2D"/>
    <w:rsid w:val="00C91F05"/>
    <w:rsid w:val="00D121AE"/>
    <w:rsid w:val="00D34A95"/>
    <w:rsid w:val="00DA365A"/>
    <w:rsid w:val="00E15BED"/>
    <w:rsid w:val="00EC693B"/>
    <w:rsid w:val="00EE3283"/>
    <w:rsid w:val="00F97038"/>
    <w:rsid w:val="00FA4E23"/>
    <w:rsid w:val="02432863"/>
    <w:rsid w:val="04357D9E"/>
    <w:rsid w:val="05B31BB6"/>
    <w:rsid w:val="07FC1D96"/>
    <w:rsid w:val="082840D3"/>
    <w:rsid w:val="0B0A5387"/>
    <w:rsid w:val="0BAEFF3F"/>
    <w:rsid w:val="1683496B"/>
    <w:rsid w:val="16DA6555"/>
    <w:rsid w:val="175A7AF7"/>
    <w:rsid w:val="179D1A5D"/>
    <w:rsid w:val="1AD80FFE"/>
    <w:rsid w:val="1B740D26"/>
    <w:rsid w:val="2062356A"/>
    <w:rsid w:val="21C70193"/>
    <w:rsid w:val="232142F5"/>
    <w:rsid w:val="2C7663BC"/>
    <w:rsid w:val="2E344220"/>
    <w:rsid w:val="33EF4F96"/>
    <w:rsid w:val="35447564"/>
    <w:rsid w:val="391F250C"/>
    <w:rsid w:val="397F0DF6"/>
    <w:rsid w:val="39B07C56"/>
    <w:rsid w:val="3D351588"/>
    <w:rsid w:val="42C615B8"/>
    <w:rsid w:val="45B63B66"/>
    <w:rsid w:val="47A03007"/>
    <w:rsid w:val="482747BF"/>
    <w:rsid w:val="4C213D03"/>
    <w:rsid w:val="529808A8"/>
    <w:rsid w:val="52D778A8"/>
    <w:rsid w:val="53E3D53D"/>
    <w:rsid w:val="5641747C"/>
    <w:rsid w:val="5C207B33"/>
    <w:rsid w:val="5F2B2821"/>
    <w:rsid w:val="64AD268B"/>
    <w:rsid w:val="66D7199B"/>
    <w:rsid w:val="6B0B7C00"/>
    <w:rsid w:val="6B947BF6"/>
    <w:rsid w:val="6FCA6573"/>
    <w:rsid w:val="728016E4"/>
    <w:rsid w:val="771827FC"/>
    <w:rsid w:val="778E6ED8"/>
    <w:rsid w:val="796F1FE2"/>
    <w:rsid w:val="7B51165F"/>
    <w:rsid w:val="7C330A5D"/>
    <w:rsid w:val="7C833A9B"/>
    <w:rsid w:val="7EDD49E9"/>
    <w:rsid w:val="FE904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unhideWhenUsed/>
    <w:qFormat/>
    <w:uiPriority w:val="99"/>
    <w:rPr>
      <w:rFonts w:ascii="宋体" w:cs="Courier New"/>
      <w:szCs w:val="21"/>
    </w:rPr>
  </w:style>
  <w:style w:type="paragraph" w:styleId="3">
    <w:name w:val="index 8"/>
    <w:basedOn w:val="1"/>
    <w:next w:val="1"/>
    <w:qFormat/>
    <w:uiPriority w:val="0"/>
    <w:pPr>
      <w:ind w:left="1400" w:leftChars="14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p3"/>
    <w:basedOn w:val="1"/>
    <w:qFormat/>
    <w:uiPriority w:val="0"/>
    <w:pPr>
      <w:spacing w:line="30" w:lineRule="atLeast"/>
      <w:jc w:val="center"/>
    </w:pPr>
    <w:rPr>
      <w:rFonts w:hint="eastAsia" w:ascii="宋体" w:hAnsi="宋体" w:cs="宋体"/>
      <w:kern w:val="0"/>
      <w:sz w:val="36"/>
      <w:szCs w:val="36"/>
    </w:rPr>
  </w:style>
  <w:style w:type="paragraph" w:styleId="10">
    <w:name w:val="List Paragraph"/>
    <w:basedOn w:val="1"/>
    <w:qFormat/>
    <w:uiPriority w:val="34"/>
    <w:pPr>
      <w:ind w:firstLine="420" w:firstLineChars="200"/>
    </w:pPr>
  </w:style>
  <w:style w:type="character" w:customStyle="1" w:styleId="11">
    <w:name w:val="页眉 Char"/>
    <w:basedOn w:val="8"/>
    <w:link w:val="5"/>
    <w:qFormat/>
    <w:uiPriority w:val="0"/>
    <w:rPr>
      <w:rFonts w:ascii="Calibri" w:hAnsi="Calibri"/>
      <w:kern w:val="2"/>
      <w:sz w:val="18"/>
      <w:szCs w:val="18"/>
    </w:rPr>
  </w:style>
  <w:style w:type="character" w:customStyle="1" w:styleId="12">
    <w:name w:val="页脚 Char"/>
    <w:basedOn w:val="8"/>
    <w:link w:val="4"/>
    <w:qFormat/>
    <w:uiPriority w:val="0"/>
    <w:rPr>
      <w:rFonts w:ascii="Calibri" w:hAnsi="Calibri"/>
      <w:kern w:val="2"/>
      <w:sz w:val="18"/>
      <w:szCs w:val="18"/>
    </w:rPr>
  </w:style>
  <w:style w:type="character" w:customStyle="1" w:styleId="13">
    <w:name w:val="NormalCharacter"/>
    <w:link w:val="1"/>
    <w:semiHidden/>
    <w:qFormat/>
    <w:uiPriority w:val="0"/>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Concise</Company>
  <Pages>1</Pages>
  <Words>236</Words>
  <Characters>236</Characters>
  <Lines>2</Lines>
  <Paragraphs>1</Paragraphs>
  <TotalTime>3</TotalTime>
  <ScaleCrop>false</ScaleCrop>
  <LinksUpToDate>false</LinksUpToDate>
  <CharactersWithSpaces>236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zhaochanqin</cp:lastModifiedBy>
  <cp:lastPrinted>2022-08-19T01:37:00Z</cp:lastPrinted>
  <dcterms:modified xsi:type="dcterms:W3CDTF">2026-07-20T17:33:08Z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5EA47E98EF8A4EDCADDFF7A14DD46D2E</vt:lpwstr>
  </property>
</Properties>
</file>