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ED32A">
      <w:pPr>
        <w:keepLines w:val="0"/>
        <w:pageBreakBefore w:val="0"/>
        <w:kinsoku/>
        <w:wordWrap/>
        <w:overflowPunct/>
        <w:topLinePunct w:val="0"/>
        <w:bidi w:val="0"/>
        <w:spacing w:line="560" w:lineRule="exact"/>
        <w:rPr>
          <w:color w:val="auto"/>
          <w:sz w:val="18"/>
          <w:szCs w:val="18"/>
          <w:highlight w:val="none"/>
        </w:rPr>
      </w:pPr>
    </w:p>
    <w:p w14:paraId="72849719">
      <w:pPr>
        <w:keepLines w:val="0"/>
        <w:pageBreakBefore w:val="0"/>
        <w:kinsoku/>
        <w:wordWrap/>
        <w:overflowPunct/>
        <w:topLinePunct w:val="0"/>
        <w:bidi w:val="0"/>
        <w:spacing w:line="560" w:lineRule="exact"/>
        <w:jc w:val="center"/>
        <w:rPr>
          <w:rFonts w:ascii="宋体" w:hAnsi="宋体"/>
          <w:b/>
          <w:bCs/>
          <w:color w:val="auto"/>
          <w:sz w:val="44"/>
          <w:highlight w:val="none"/>
        </w:rPr>
      </w:pPr>
      <w:r>
        <w:rPr>
          <w:rFonts w:hint="eastAsia" w:ascii="宋体" w:hAnsi="宋体"/>
          <w:b/>
          <w:bCs/>
          <w:color w:val="auto"/>
          <w:sz w:val="44"/>
          <w:highlight w:val="none"/>
        </w:rPr>
        <w:t>深圳市龙岗区第七人民医院</w:t>
      </w:r>
    </w:p>
    <w:p w14:paraId="5FAF373F">
      <w:pPr>
        <w:keepLines w:val="0"/>
        <w:pageBreakBefore w:val="0"/>
        <w:kinsoku/>
        <w:wordWrap/>
        <w:overflowPunct/>
        <w:topLinePunct w:val="0"/>
        <w:bidi w:val="0"/>
        <w:spacing w:line="560" w:lineRule="exact"/>
        <w:jc w:val="center"/>
        <w:rPr>
          <w:rFonts w:ascii="宋体" w:hAnsi="宋体"/>
          <w:b/>
          <w:bCs/>
          <w:color w:val="auto"/>
          <w:sz w:val="44"/>
          <w:highlight w:val="none"/>
        </w:rPr>
      </w:pPr>
      <w:r>
        <w:rPr>
          <w:rFonts w:hint="eastAsia" w:ascii="宋体" w:hAnsi="宋体"/>
          <w:b/>
          <w:bCs/>
          <w:color w:val="auto"/>
          <w:sz w:val="44"/>
          <w:highlight w:val="none"/>
        </w:rPr>
        <w:t>院内采购标书</w:t>
      </w:r>
    </w:p>
    <w:p w14:paraId="3772D7FC">
      <w:pPr>
        <w:keepLines w:val="0"/>
        <w:pageBreakBefore w:val="0"/>
        <w:kinsoku/>
        <w:wordWrap/>
        <w:overflowPunct/>
        <w:topLinePunct w:val="0"/>
        <w:bidi w:val="0"/>
        <w:spacing w:line="560" w:lineRule="exact"/>
        <w:jc w:val="center"/>
        <w:rPr>
          <w:rFonts w:ascii="宋体" w:hAnsi="宋体"/>
          <w:b/>
          <w:bCs/>
          <w:color w:val="auto"/>
          <w:sz w:val="44"/>
          <w:highlight w:val="none"/>
        </w:rPr>
      </w:pPr>
    </w:p>
    <w:p w14:paraId="715E6D7E">
      <w:pPr>
        <w:keepLines w:val="0"/>
        <w:pageBreakBefore w:val="0"/>
        <w:kinsoku/>
        <w:wordWrap/>
        <w:overflowPunct/>
        <w:topLinePunct w:val="0"/>
        <w:bidi w:val="0"/>
        <w:spacing w:line="560" w:lineRule="exact"/>
        <w:jc w:val="center"/>
        <w:rPr>
          <w:rFonts w:ascii="宋体" w:hAnsi="宋体"/>
          <w:b/>
          <w:bCs/>
          <w:color w:val="auto"/>
          <w:sz w:val="44"/>
          <w:highlight w:val="none"/>
        </w:rPr>
      </w:pPr>
      <w:r>
        <w:rPr>
          <w:rFonts w:hint="eastAsia" w:ascii="宋体" w:hAnsi="宋体"/>
          <w:b/>
          <w:bCs/>
          <w:color w:val="auto"/>
          <w:sz w:val="44"/>
          <w:highlight w:val="none"/>
        </w:rPr>
        <w:t>招标文件信息</w:t>
      </w:r>
    </w:p>
    <w:p w14:paraId="63909AD7">
      <w:pPr>
        <w:keepLines w:val="0"/>
        <w:pageBreakBefore w:val="0"/>
        <w:kinsoku/>
        <w:wordWrap/>
        <w:overflowPunct/>
        <w:topLinePunct w:val="0"/>
        <w:bidi w:val="0"/>
        <w:spacing w:line="560" w:lineRule="exact"/>
        <w:jc w:val="center"/>
        <w:rPr>
          <w:rFonts w:ascii="宋体" w:hAnsi="宋体"/>
          <w:b/>
          <w:bCs/>
          <w:color w:val="auto"/>
          <w:sz w:val="44"/>
          <w:highlight w:val="none"/>
        </w:rPr>
      </w:pPr>
    </w:p>
    <w:p w14:paraId="41E14F4D">
      <w:pPr>
        <w:pStyle w:val="25"/>
        <w:numPr>
          <w:ilvl w:val="0"/>
          <w:numId w:val="0"/>
        </w:numPr>
        <w:spacing w:line="460" w:lineRule="exact"/>
        <w:jc w:val="center"/>
        <w:rPr>
          <w:rFonts w:hint="eastAsia" w:ascii="仿宋_GB2312" w:hAnsi="仿宋_GB2312" w:eastAsia="仿宋_GB2312" w:cs="仿宋_GB2312"/>
          <w:kern w:val="2"/>
          <w:sz w:val="36"/>
          <w:szCs w:val="36"/>
          <w:highlight w:val="none"/>
          <w:lang w:val="en-US" w:eastAsia="zh-CN" w:bidi="ar-SA"/>
        </w:rPr>
      </w:pPr>
      <w:r>
        <w:rPr>
          <w:rFonts w:hint="eastAsia" w:ascii="仿宋_GB2312" w:hAnsi="仿宋_GB2312" w:eastAsia="仿宋_GB2312" w:cs="仿宋_GB2312"/>
          <w:b/>
          <w:bCs/>
          <w:color w:val="auto"/>
          <w:sz w:val="36"/>
          <w:szCs w:val="36"/>
          <w:highlight w:val="none"/>
        </w:rPr>
        <w:t>采购项目：</w:t>
      </w:r>
      <w:r>
        <w:rPr>
          <w:rFonts w:hint="eastAsia" w:ascii="仿宋_GB2312" w:hAnsi="仿宋_GB2312" w:eastAsia="仿宋_GB2312" w:cs="仿宋_GB2312"/>
          <w:kern w:val="2"/>
          <w:sz w:val="36"/>
          <w:szCs w:val="36"/>
          <w:highlight w:val="none"/>
          <w:lang w:val="en-US" w:eastAsia="zh-CN" w:bidi="ar-SA"/>
        </w:rPr>
        <w:t>深圳市龙岗区第七人民医院2026-2027年度</w:t>
      </w:r>
    </w:p>
    <w:p w14:paraId="5FF1154F">
      <w:pPr>
        <w:keepLines w:val="0"/>
        <w:pageBreakBefore w:val="0"/>
        <w:kinsoku/>
        <w:wordWrap/>
        <w:overflowPunct/>
        <w:topLinePunct w:val="0"/>
        <w:bidi w:val="0"/>
        <w:snapToGrid w:val="0"/>
        <w:spacing w:line="560" w:lineRule="exact"/>
        <w:rPr>
          <w:rFonts w:hint="eastAsia" w:ascii="仿宋_GB2312" w:hAnsi="仿宋_GB2312" w:eastAsia="仿宋_GB2312" w:cs="仿宋_GB2312"/>
          <w:b/>
          <w:bCs/>
          <w:color w:val="auto"/>
          <w:sz w:val="36"/>
          <w:szCs w:val="36"/>
          <w:highlight w:val="none"/>
        </w:rPr>
      </w:pPr>
      <w:r>
        <w:rPr>
          <w:rFonts w:hint="eastAsia" w:ascii="仿宋_GB2312" w:hAnsi="仿宋_GB2312" w:eastAsia="仿宋_GB2312" w:cs="仿宋_GB2312"/>
          <w:kern w:val="2"/>
          <w:sz w:val="36"/>
          <w:szCs w:val="36"/>
          <w:highlight w:val="none"/>
          <w:lang w:val="en-US" w:eastAsia="zh-CN" w:bidi="ar-SA"/>
        </w:rPr>
        <w:t>工会会员生日蛋糕券采购项目</w:t>
      </w:r>
    </w:p>
    <w:p w14:paraId="68710B92">
      <w:pPr>
        <w:pStyle w:val="25"/>
        <w:numPr>
          <w:ilvl w:val="0"/>
          <w:numId w:val="0"/>
        </w:numPr>
        <w:spacing w:line="460" w:lineRule="exact"/>
        <w:jc w:val="both"/>
        <w:rPr>
          <w:rFonts w:hint="eastAsia" w:ascii="仿宋_GB2312" w:hAnsi="仿宋_GB2312" w:eastAsia="仿宋_GB2312" w:cs="仿宋_GB2312"/>
          <w:kern w:val="2"/>
          <w:sz w:val="36"/>
          <w:szCs w:val="36"/>
          <w:highlight w:val="none"/>
          <w:lang w:val="en-US" w:eastAsia="zh-CN" w:bidi="ar-SA"/>
        </w:rPr>
      </w:pPr>
      <w:r>
        <w:rPr>
          <w:rFonts w:hint="eastAsia" w:ascii="仿宋_GB2312" w:hAnsi="仿宋_GB2312" w:eastAsia="仿宋_GB2312" w:cs="仿宋_GB2312"/>
          <w:b/>
          <w:bCs/>
          <w:color w:val="auto"/>
          <w:sz w:val="36"/>
          <w:szCs w:val="36"/>
          <w:highlight w:val="none"/>
        </w:rPr>
        <w:t>采购项目编号：</w:t>
      </w:r>
      <w:r>
        <w:rPr>
          <w:rFonts w:hint="eastAsia" w:ascii="仿宋_GB2312" w:hAnsi="仿宋_GB2312" w:eastAsia="仿宋_GB2312" w:cs="仿宋_GB2312"/>
          <w:kern w:val="2"/>
          <w:sz w:val="36"/>
          <w:szCs w:val="36"/>
          <w:highlight w:val="none"/>
          <w:lang w:val="en-US" w:eastAsia="zh-CN" w:bidi="ar-SA"/>
        </w:rPr>
        <w:t>深龙七医采[LGQY2026GH002]</w:t>
      </w:r>
    </w:p>
    <w:p w14:paraId="7C609E76">
      <w:pPr>
        <w:keepLines w:val="0"/>
        <w:pageBreakBefore w:val="0"/>
        <w:kinsoku/>
        <w:wordWrap/>
        <w:overflowPunct/>
        <w:topLinePunct w:val="0"/>
        <w:bidi w:val="0"/>
        <w:snapToGrid w:val="0"/>
        <w:spacing w:line="560" w:lineRule="exact"/>
        <w:rPr>
          <w:rFonts w:ascii="仿宋_GB2312" w:hAnsi="仿宋_GB2312" w:eastAsia="仿宋_GB2312" w:cs="仿宋_GB2312"/>
          <w:color w:val="auto"/>
          <w:sz w:val="36"/>
          <w:szCs w:val="36"/>
          <w:highlight w:val="none"/>
        </w:rPr>
      </w:pPr>
      <w:r>
        <w:rPr>
          <w:rFonts w:hint="eastAsia" w:ascii="仿宋_GB2312" w:hAnsi="仿宋_GB2312" w:eastAsia="仿宋_GB2312" w:cs="仿宋_GB2312"/>
          <w:b/>
          <w:bCs/>
          <w:color w:val="auto"/>
          <w:sz w:val="36"/>
          <w:szCs w:val="36"/>
          <w:highlight w:val="none"/>
        </w:rPr>
        <w:t>项目类型：</w:t>
      </w:r>
      <w:r>
        <w:rPr>
          <w:rFonts w:hint="eastAsia" w:ascii="仿宋_GB2312" w:hAnsi="仿宋_GB2312" w:eastAsia="仿宋_GB2312" w:cs="仿宋_GB2312"/>
          <w:color w:val="auto"/>
          <w:sz w:val="36"/>
          <w:szCs w:val="36"/>
          <w:highlight w:val="none"/>
          <w:lang w:val="en-US" w:eastAsia="zh-CN"/>
        </w:rPr>
        <w:t>货物</w:t>
      </w:r>
      <w:r>
        <w:rPr>
          <w:rFonts w:hint="eastAsia" w:ascii="仿宋_GB2312" w:hAnsi="仿宋_GB2312" w:eastAsia="仿宋_GB2312" w:cs="仿宋_GB2312"/>
          <w:color w:val="auto"/>
          <w:sz w:val="36"/>
          <w:szCs w:val="36"/>
          <w:highlight w:val="none"/>
        </w:rPr>
        <w:t>类</w:t>
      </w:r>
    </w:p>
    <w:p w14:paraId="1DE60158">
      <w:pPr>
        <w:keepLines w:val="0"/>
        <w:pageBreakBefore w:val="0"/>
        <w:kinsoku/>
        <w:wordWrap/>
        <w:overflowPunct/>
        <w:topLinePunct w:val="0"/>
        <w:bidi w:val="0"/>
        <w:snapToGrid w:val="0"/>
        <w:spacing w:line="560" w:lineRule="exact"/>
        <w:rPr>
          <w:rFonts w:hint="default" w:eastAsia="仿宋_GB2312"/>
          <w:color w:val="auto"/>
          <w:highlight w:val="none"/>
          <w:lang w:val="en-US"/>
        </w:rPr>
      </w:pPr>
      <w:r>
        <w:rPr>
          <w:rFonts w:hint="eastAsia" w:ascii="仿宋_GB2312" w:hAnsi="仿宋_GB2312" w:eastAsia="仿宋_GB2312" w:cs="仿宋_GB2312"/>
          <w:b/>
          <w:bCs/>
          <w:color w:val="auto"/>
          <w:sz w:val="36"/>
          <w:szCs w:val="36"/>
          <w:highlight w:val="none"/>
        </w:rPr>
        <w:t>采购数量：</w:t>
      </w:r>
      <w:r>
        <w:rPr>
          <w:rFonts w:hint="eastAsia" w:ascii="仿宋_GB2312" w:hAnsi="仿宋_GB2312" w:eastAsia="仿宋_GB2312" w:cs="仿宋_GB2312"/>
          <w:kern w:val="2"/>
          <w:sz w:val="36"/>
          <w:szCs w:val="36"/>
          <w:highlight w:val="none"/>
          <w:lang w:val="en-US" w:eastAsia="zh-CN" w:bidi="ar-SA"/>
        </w:rPr>
        <w:t>436人份</w:t>
      </w:r>
    </w:p>
    <w:p w14:paraId="539747D5">
      <w:pPr>
        <w:keepLines w:val="0"/>
        <w:pageBreakBefore w:val="0"/>
        <w:kinsoku/>
        <w:wordWrap/>
        <w:overflowPunct/>
        <w:topLinePunct w:val="0"/>
        <w:bidi w:val="0"/>
        <w:snapToGrid w:val="0"/>
        <w:spacing w:line="560" w:lineRule="exact"/>
        <w:jc w:val="left"/>
        <w:rPr>
          <w:rFonts w:hint="default" w:ascii="仿宋_GB2312" w:hAnsi="仿宋_GB2312" w:eastAsia="仿宋_GB2312" w:cs="仿宋_GB2312"/>
          <w:color w:val="auto"/>
          <w:sz w:val="36"/>
          <w:szCs w:val="36"/>
          <w:highlight w:val="none"/>
          <w:lang w:val="en-US"/>
        </w:rPr>
      </w:pPr>
      <w:r>
        <w:rPr>
          <w:rFonts w:hint="eastAsia" w:ascii="仿宋_GB2312" w:hAnsi="仿宋_GB2312" w:eastAsia="仿宋_GB2312" w:cs="仿宋_GB2312"/>
          <w:b/>
          <w:bCs/>
          <w:color w:val="auto"/>
          <w:sz w:val="36"/>
          <w:szCs w:val="36"/>
          <w:highlight w:val="none"/>
        </w:rPr>
        <w:t>预算总金额：</w:t>
      </w:r>
      <w:r>
        <w:rPr>
          <w:rFonts w:hint="eastAsia" w:ascii="仿宋_GB2312" w:hAnsi="仿宋_GB2312" w:eastAsia="仿宋_GB2312" w:cs="仿宋_GB2312"/>
          <w:b w:val="0"/>
          <w:bCs w:val="0"/>
          <w:color w:val="auto"/>
          <w:sz w:val="36"/>
          <w:szCs w:val="36"/>
          <w:highlight w:val="none"/>
          <w:lang w:val="en-US" w:eastAsia="zh-CN"/>
        </w:rPr>
        <w:t>13.08万元</w:t>
      </w:r>
    </w:p>
    <w:p w14:paraId="53994B96">
      <w:pPr>
        <w:keepLines w:val="0"/>
        <w:pageBreakBefore w:val="0"/>
        <w:kinsoku/>
        <w:wordWrap/>
        <w:overflowPunct/>
        <w:topLinePunct w:val="0"/>
        <w:bidi w:val="0"/>
        <w:snapToGrid w:val="0"/>
        <w:spacing w:line="560" w:lineRule="exact"/>
        <w:rPr>
          <w:rFonts w:ascii="仿宋_GB2312" w:hAnsi="仿宋_GB2312" w:eastAsia="仿宋_GB2312" w:cs="仿宋_GB2312"/>
          <w:color w:val="auto"/>
          <w:sz w:val="36"/>
          <w:szCs w:val="36"/>
          <w:highlight w:val="none"/>
        </w:rPr>
      </w:pPr>
      <w:r>
        <w:rPr>
          <w:rFonts w:hint="eastAsia" w:ascii="仿宋_GB2312" w:hAnsi="仿宋_GB2312" w:eastAsia="仿宋_GB2312" w:cs="仿宋_GB2312"/>
          <w:b/>
          <w:bCs/>
          <w:color w:val="auto"/>
          <w:sz w:val="36"/>
          <w:szCs w:val="36"/>
          <w:highlight w:val="none"/>
        </w:rPr>
        <w:t>采购方式：</w:t>
      </w:r>
      <w:r>
        <w:rPr>
          <w:rFonts w:hint="eastAsia" w:ascii="仿宋_GB2312" w:hAnsi="仿宋_GB2312" w:eastAsia="仿宋_GB2312" w:cs="仿宋_GB2312"/>
          <w:color w:val="auto"/>
          <w:sz w:val="36"/>
          <w:szCs w:val="36"/>
          <w:highlight w:val="none"/>
        </w:rPr>
        <w:t>院内公开</w:t>
      </w:r>
      <w:r>
        <w:rPr>
          <w:rFonts w:hint="eastAsia" w:ascii="仿宋_GB2312" w:hAnsi="仿宋_GB2312" w:eastAsia="仿宋_GB2312" w:cs="仿宋_GB2312"/>
          <w:color w:val="auto"/>
          <w:sz w:val="36"/>
          <w:szCs w:val="36"/>
          <w:highlight w:val="none"/>
          <w:lang w:val="en-US" w:eastAsia="zh-CN"/>
        </w:rPr>
        <w:t>招标</w:t>
      </w:r>
      <w:r>
        <w:rPr>
          <w:rFonts w:hint="eastAsia" w:ascii="仿宋_GB2312" w:hAnsi="仿宋_GB2312" w:eastAsia="仿宋_GB2312" w:cs="仿宋_GB2312"/>
          <w:color w:val="auto"/>
          <w:sz w:val="36"/>
          <w:szCs w:val="36"/>
          <w:highlight w:val="none"/>
        </w:rPr>
        <w:t>采购</w:t>
      </w:r>
    </w:p>
    <w:p w14:paraId="31FB6525">
      <w:pPr>
        <w:keepLines w:val="0"/>
        <w:pageBreakBefore w:val="0"/>
        <w:kinsoku/>
        <w:wordWrap/>
        <w:overflowPunct/>
        <w:topLinePunct w:val="0"/>
        <w:bidi w:val="0"/>
        <w:snapToGrid w:val="0"/>
        <w:spacing w:line="560" w:lineRule="exact"/>
        <w:rPr>
          <w:rFonts w:ascii="仿宋_GB2312" w:hAnsi="仿宋_GB2312" w:eastAsia="仿宋_GB2312" w:cs="仿宋_GB2312"/>
          <w:color w:val="auto"/>
          <w:sz w:val="36"/>
          <w:szCs w:val="36"/>
          <w:highlight w:val="none"/>
        </w:rPr>
      </w:pPr>
      <w:r>
        <w:rPr>
          <w:rFonts w:hint="eastAsia" w:ascii="仿宋_GB2312" w:hAnsi="仿宋_GB2312" w:eastAsia="仿宋_GB2312" w:cs="仿宋_GB2312"/>
          <w:b/>
          <w:bCs/>
          <w:color w:val="auto"/>
          <w:sz w:val="36"/>
          <w:szCs w:val="36"/>
          <w:highlight w:val="none"/>
        </w:rPr>
        <w:t>评标方法：</w:t>
      </w:r>
      <w:r>
        <w:rPr>
          <w:rFonts w:hint="eastAsia" w:ascii="仿宋_GB2312" w:hAnsi="仿宋_GB2312" w:eastAsia="仿宋_GB2312" w:cs="仿宋_GB2312"/>
          <w:color w:val="auto"/>
          <w:sz w:val="36"/>
          <w:szCs w:val="36"/>
          <w:highlight w:val="none"/>
        </w:rPr>
        <w:t>综合评分法</w:t>
      </w:r>
    </w:p>
    <w:p w14:paraId="09206FFF">
      <w:pPr>
        <w:keepLines w:val="0"/>
        <w:pageBreakBefore w:val="0"/>
        <w:kinsoku/>
        <w:wordWrap/>
        <w:overflowPunct/>
        <w:topLinePunct w:val="0"/>
        <w:bidi w:val="0"/>
        <w:snapToGrid w:val="0"/>
        <w:spacing w:line="560" w:lineRule="exact"/>
        <w:rPr>
          <w:rFonts w:ascii="仿宋_GB2312" w:hAnsi="仿宋_GB2312" w:eastAsia="仿宋_GB2312" w:cs="仿宋_GB2312"/>
          <w:color w:val="auto"/>
          <w:sz w:val="36"/>
          <w:szCs w:val="36"/>
          <w:highlight w:val="none"/>
        </w:rPr>
      </w:pPr>
      <w:r>
        <w:rPr>
          <w:rFonts w:hint="eastAsia" w:ascii="仿宋_GB2312" w:hAnsi="仿宋_GB2312" w:eastAsia="仿宋_GB2312" w:cs="仿宋_GB2312"/>
          <w:b/>
          <w:bCs/>
          <w:color w:val="auto"/>
          <w:sz w:val="36"/>
          <w:szCs w:val="36"/>
          <w:highlight w:val="none"/>
        </w:rPr>
        <w:t>投标货币</w:t>
      </w:r>
      <w:r>
        <w:rPr>
          <w:rFonts w:hint="eastAsia" w:ascii="仿宋_GB2312" w:hAnsi="仿宋_GB2312" w:eastAsia="仿宋_GB2312" w:cs="仿宋_GB2312"/>
          <w:color w:val="auto"/>
          <w:sz w:val="36"/>
          <w:szCs w:val="36"/>
          <w:highlight w:val="none"/>
        </w:rPr>
        <w:t>：人民币</w:t>
      </w:r>
    </w:p>
    <w:p w14:paraId="567A3BE5">
      <w:pPr>
        <w:pStyle w:val="11"/>
        <w:keepLines w:val="0"/>
        <w:pageBreakBefore w:val="0"/>
        <w:kinsoku/>
        <w:wordWrap/>
        <w:overflowPunct/>
        <w:topLinePunct w:val="0"/>
        <w:bidi w:val="0"/>
        <w:spacing w:line="560" w:lineRule="exact"/>
        <w:rPr>
          <w:rFonts w:hint="default"/>
          <w:color w:val="auto"/>
          <w:highlight w:val="none"/>
        </w:rPr>
      </w:pPr>
    </w:p>
    <w:p w14:paraId="5A2BE5BB">
      <w:pPr>
        <w:pStyle w:val="11"/>
        <w:keepLines w:val="0"/>
        <w:pageBreakBefore w:val="0"/>
        <w:kinsoku/>
        <w:wordWrap/>
        <w:overflowPunct/>
        <w:topLinePunct w:val="0"/>
        <w:bidi w:val="0"/>
        <w:spacing w:line="560" w:lineRule="exact"/>
        <w:rPr>
          <w:rFonts w:hint="default"/>
          <w:color w:val="auto"/>
          <w:szCs w:val="20"/>
          <w:highlight w:val="none"/>
        </w:rPr>
      </w:pPr>
    </w:p>
    <w:p w14:paraId="7235D72D">
      <w:pPr>
        <w:pStyle w:val="5"/>
        <w:keepLines w:val="0"/>
        <w:pageBreakBefore w:val="0"/>
        <w:kinsoku/>
        <w:wordWrap/>
        <w:overflowPunct/>
        <w:topLinePunct w:val="0"/>
        <w:bidi w:val="0"/>
        <w:spacing w:line="560" w:lineRule="exact"/>
        <w:rPr>
          <w:color w:val="auto"/>
          <w:highlight w:val="none"/>
        </w:rPr>
      </w:pPr>
    </w:p>
    <w:p w14:paraId="7C18232B">
      <w:pPr>
        <w:keepLines w:val="0"/>
        <w:pageBreakBefore w:val="0"/>
        <w:kinsoku/>
        <w:wordWrap/>
        <w:overflowPunct/>
        <w:topLinePunct w:val="0"/>
        <w:bidi w:val="0"/>
        <w:spacing w:line="560" w:lineRule="exact"/>
        <w:rPr>
          <w:color w:val="auto"/>
          <w:highlight w:val="none"/>
        </w:rPr>
      </w:pPr>
    </w:p>
    <w:p w14:paraId="08BD4AD1">
      <w:pPr>
        <w:pStyle w:val="3"/>
        <w:keepLines w:val="0"/>
        <w:pageBreakBefore w:val="0"/>
        <w:kinsoku/>
        <w:wordWrap/>
        <w:overflowPunct/>
        <w:topLinePunct w:val="0"/>
        <w:bidi w:val="0"/>
        <w:spacing w:line="560" w:lineRule="exact"/>
        <w:rPr>
          <w:color w:val="auto"/>
          <w:highlight w:val="none"/>
        </w:rPr>
      </w:pPr>
    </w:p>
    <w:p w14:paraId="42DFF293">
      <w:pPr>
        <w:keepLines w:val="0"/>
        <w:pageBreakBefore w:val="0"/>
        <w:kinsoku/>
        <w:wordWrap/>
        <w:overflowPunct/>
        <w:topLinePunct w:val="0"/>
        <w:bidi w:val="0"/>
        <w:spacing w:line="560" w:lineRule="exact"/>
        <w:rPr>
          <w:color w:val="auto"/>
          <w:highlight w:val="none"/>
        </w:rPr>
      </w:pPr>
    </w:p>
    <w:p w14:paraId="2DF38D49">
      <w:pPr>
        <w:pStyle w:val="3"/>
        <w:keepLines w:val="0"/>
        <w:pageBreakBefore w:val="0"/>
        <w:kinsoku/>
        <w:wordWrap/>
        <w:overflowPunct/>
        <w:topLinePunct w:val="0"/>
        <w:bidi w:val="0"/>
        <w:spacing w:line="560" w:lineRule="exact"/>
        <w:ind w:firstLine="1920" w:firstLineChars="600"/>
        <w:rPr>
          <w:rFonts w:cs="宋体"/>
          <w:color w:val="auto"/>
          <w:sz w:val="40"/>
          <w:szCs w:val="40"/>
          <w:highlight w:val="none"/>
        </w:rPr>
      </w:pPr>
      <w:r>
        <w:rPr>
          <w:rFonts w:ascii="仿宋_GB2312" w:hAnsi="仿宋_GB2312" w:eastAsia="仿宋_GB2312" w:cs="仿宋_GB2312"/>
          <w:color w:val="auto"/>
          <w:sz w:val="32"/>
          <w:szCs w:val="32"/>
          <w:highlight w:val="none"/>
        </w:rPr>
        <w:t>日期：</w:t>
      </w:r>
      <w:r>
        <w:rPr>
          <w:rFonts w:hint="eastAsia" w:ascii="仿宋_GB2312" w:hAnsi="仿宋_GB2312" w:eastAsia="仿宋_GB2312" w:cs="仿宋_GB2312"/>
          <w:color w:val="auto"/>
          <w:sz w:val="32"/>
          <w:szCs w:val="32"/>
          <w:highlight w:val="none"/>
          <w:lang w:val="en-US" w:eastAsia="zh-CN"/>
        </w:rPr>
        <w:t>2026</w:t>
      </w:r>
      <w:r>
        <w:rPr>
          <w:rFonts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7</w:t>
      </w:r>
      <w:r>
        <w:rPr>
          <w:rFonts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17</w:t>
      </w:r>
      <w:r>
        <w:rPr>
          <w:rFonts w:ascii="仿宋_GB2312" w:hAnsi="仿宋_GB2312" w:eastAsia="仿宋_GB2312" w:cs="仿宋_GB2312"/>
          <w:color w:val="auto"/>
          <w:sz w:val="32"/>
          <w:szCs w:val="32"/>
          <w:highlight w:val="none"/>
        </w:rPr>
        <w:t>日</w:t>
      </w:r>
    </w:p>
    <w:p w14:paraId="39953FA1">
      <w:pPr>
        <w:spacing w:line="560" w:lineRule="exact"/>
        <w:rPr>
          <w:color w:val="auto"/>
          <w:highlight w:val="none"/>
        </w:rPr>
      </w:pPr>
      <w:r>
        <w:rPr>
          <w:color w:val="auto"/>
          <w:highlight w:val="none"/>
        </w:rPr>
        <w:br w:type="page"/>
      </w:r>
    </w:p>
    <w:p w14:paraId="2D14429C">
      <w:pPr>
        <w:pStyle w:val="2"/>
        <w:bidi w:val="0"/>
        <w:spacing w:line="560" w:lineRule="exact"/>
        <w:jc w:val="center"/>
        <w:rPr>
          <w:color w:val="auto"/>
          <w:sz w:val="40"/>
          <w:szCs w:val="22"/>
          <w:highlight w:val="none"/>
        </w:rPr>
      </w:pPr>
      <w:r>
        <w:rPr>
          <w:rFonts w:hint="eastAsia"/>
          <w:color w:val="auto"/>
          <w:sz w:val="40"/>
          <w:szCs w:val="22"/>
          <w:highlight w:val="none"/>
        </w:rPr>
        <w:t>第一章</w:t>
      </w:r>
    </w:p>
    <w:p w14:paraId="119D5FD8">
      <w:pPr>
        <w:keepLines w:val="0"/>
        <w:pageBreakBefore w:val="0"/>
        <w:kinsoku/>
        <w:wordWrap/>
        <w:overflowPunct/>
        <w:topLinePunct w:val="0"/>
        <w:bidi w:val="0"/>
        <w:snapToGrid w:val="0"/>
        <w:spacing w:line="560" w:lineRule="exact"/>
        <w:jc w:val="center"/>
        <w:rPr>
          <w:rFonts w:hint="eastAsia" w:ascii="方正小标宋简体" w:hAnsi="方正小标宋简体" w:eastAsia="方正小标宋简体" w:cs="方正小标宋简体"/>
          <w:color w:val="auto"/>
          <w:kern w:val="0"/>
          <w:sz w:val="44"/>
          <w:szCs w:val="44"/>
          <w:highlight w:val="none"/>
          <w:lang w:val="en-US" w:eastAsia="zh-CN" w:bidi="ar-SA"/>
        </w:rPr>
      </w:pPr>
      <w:r>
        <w:rPr>
          <w:rFonts w:hint="eastAsia" w:ascii="方正小标宋简体" w:hAnsi="方正小标宋简体" w:eastAsia="方正小标宋简体" w:cs="方正小标宋简体"/>
          <w:color w:val="auto"/>
          <w:kern w:val="0"/>
          <w:sz w:val="44"/>
          <w:szCs w:val="44"/>
          <w:highlight w:val="none"/>
          <w:lang w:val="en-US" w:eastAsia="zh-CN" w:bidi="ar-SA"/>
        </w:rPr>
        <w:t>深圳市龙岗区第七人民医院</w:t>
      </w:r>
    </w:p>
    <w:p w14:paraId="2505C10A">
      <w:pPr>
        <w:keepLines w:val="0"/>
        <w:pageBreakBefore w:val="0"/>
        <w:kinsoku/>
        <w:wordWrap/>
        <w:overflowPunct/>
        <w:topLinePunct w:val="0"/>
        <w:bidi w:val="0"/>
        <w:snapToGrid w:val="0"/>
        <w:spacing w:line="56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kern w:val="0"/>
          <w:sz w:val="44"/>
          <w:szCs w:val="44"/>
          <w:highlight w:val="none"/>
          <w:lang w:val="en-US" w:eastAsia="zh-CN" w:bidi="ar-SA"/>
        </w:rPr>
        <w:t>2026-2027年度工会会员生日蛋糕券采购项目</w:t>
      </w:r>
      <w:r>
        <w:rPr>
          <w:rFonts w:hint="eastAsia" w:ascii="方正小标宋简体" w:hAnsi="方正小标宋简体" w:eastAsia="方正小标宋简体" w:cs="方正小标宋简体"/>
          <w:color w:val="auto"/>
          <w:sz w:val="44"/>
          <w:szCs w:val="44"/>
          <w:highlight w:val="none"/>
        </w:rPr>
        <w:t>院内公开采购的公告</w:t>
      </w:r>
    </w:p>
    <w:p w14:paraId="5ED25179">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ascii="仿宋_GB2312" w:hAnsi="宋体" w:eastAsia="仿宋_GB2312"/>
          <w:color w:val="auto"/>
          <w:sz w:val="28"/>
          <w:szCs w:val="28"/>
          <w:highlight w:val="none"/>
        </w:rPr>
      </w:pPr>
    </w:p>
    <w:p w14:paraId="11BB3C68">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宋体" w:eastAsia="仿宋_GB2312"/>
          <w:color w:val="auto"/>
          <w:sz w:val="28"/>
          <w:szCs w:val="28"/>
          <w:highlight w:val="none"/>
          <w:lang w:eastAsia="zh-CN"/>
        </w:rPr>
      </w:pPr>
      <w:r>
        <w:rPr>
          <w:rFonts w:hint="eastAsia" w:ascii="仿宋_GB2312" w:hAnsi="宋体" w:eastAsia="仿宋_GB2312"/>
          <w:color w:val="auto"/>
          <w:sz w:val="28"/>
          <w:szCs w:val="28"/>
          <w:highlight w:val="none"/>
        </w:rPr>
        <w:t>根据政府采</w:t>
      </w:r>
      <w:r>
        <w:rPr>
          <w:rFonts w:hint="eastAsia" w:ascii="仿宋_GB2312" w:hAnsi="宋体" w:eastAsia="仿宋_GB2312"/>
          <w:color w:val="auto"/>
          <w:sz w:val="28"/>
          <w:szCs w:val="28"/>
          <w:highlight w:val="none"/>
          <w:lang w:eastAsia="zh-CN"/>
        </w:rPr>
        <w:t>购的</w:t>
      </w:r>
      <w:r>
        <w:rPr>
          <w:rFonts w:hint="eastAsia" w:ascii="仿宋_GB2312" w:hAnsi="宋体" w:eastAsia="仿宋_GB2312"/>
          <w:color w:val="auto"/>
          <w:sz w:val="28"/>
          <w:szCs w:val="28"/>
          <w:highlight w:val="none"/>
        </w:rPr>
        <w:t>相关规定和《深圳市龙岗区第七人民医院采购管理办法》的有关规定，</w:t>
      </w:r>
      <w:r>
        <w:rPr>
          <w:rFonts w:hint="eastAsia" w:ascii="仿宋_GB2312" w:eastAsia="仿宋_GB2312"/>
          <w:color w:val="auto"/>
          <w:sz w:val="28"/>
          <w:szCs w:val="28"/>
          <w:highlight w:val="none"/>
        </w:rPr>
        <w:t>我院拟对以下项目进行院内公开采购，欢迎符合条件具有供应能力的</w:t>
      </w:r>
      <w:r>
        <w:rPr>
          <w:rFonts w:hint="eastAsia" w:ascii="仿宋_GB2312" w:hAnsi="宋体" w:eastAsia="仿宋_GB2312"/>
          <w:color w:val="auto"/>
          <w:sz w:val="28"/>
          <w:szCs w:val="28"/>
          <w:highlight w:val="none"/>
          <w:lang w:eastAsia="zh-CN"/>
        </w:rPr>
        <w:t>供应商或厂家前来报名参加。</w:t>
      </w:r>
    </w:p>
    <w:p w14:paraId="5958B628">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黑体" w:hAnsi="黑体" w:eastAsia="黑体"/>
          <w:color w:val="auto"/>
          <w:sz w:val="28"/>
          <w:szCs w:val="28"/>
          <w:highlight w:val="none"/>
          <w:lang w:eastAsia="zh-CN"/>
        </w:rPr>
      </w:pPr>
      <w:r>
        <w:rPr>
          <w:rFonts w:hint="eastAsia" w:ascii="黑体" w:hAnsi="黑体" w:eastAsia="黑体"/>
          <w:color w:val="auto"/>
          <w:sz w:val="28"/>
          <w:szCs w:val="28"/>
          <w:highlight w:val="none"/>
          <w:lang w:eastAsia="zh-CN"/>
        </w:rPr>
        <w:t>一、采购项目</w:t>
      </w:r>
    </w:p>
    <w:p w14:paraId="2F083A3B">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default" w:ascii="仿宋_GB2312" w:hAnsi="宋体" w:eastAsia="仿宋_GB2312"/>
          <w:color w:val="auto"/>
          <w:sz w:val="28"/>
          <w:szCs w:val="28"/>
          <w:highlight w:val="none"/>
          <w:lang w:val="en-US" w:eastAsia="zh-CN"/>
        </w:rPr>
      </w:pPr>
      <w:r>
        <w:rPr>
          <w:rFonts w:hint="eastAsia" w:ascii="楷体_GB2312" w:hAnsi="楷体_GB2312" w:eastAsia="楷体_GB2312" w:cs="楷体_GB2312"/>
          <w:color w:val="auto"/>
          <w:sz w:val="28"/>
          <w:szCs w:val="28"/>
          <w:highlight w:val="none"/>
          <w:lang w:eastAsia="zh-CN"/>
        </w:rPr>
        <w:t>（</w:t>
      </w:r>
      <w:r>
        <w:rPr>
          <w:rFonts w:hint="eastAsia" w:ascii="楷体_GB2312" w:hAnsi="楷体_GB2312" w:eastAsia="楷体_GB2312" w:cs="楷体_GB2312"/>
          <w:color w:val="auto"/>
          <w:sz w:val="28"/>
          <w:szCs w:val="28"/>
          <w:highlight w:val="none"/>
          <w:lang w:val="en-US" w:eastAsia="zh-CN"/>
        </w:rPr>
        <w:t>一</w:t>
      </w:r>
      <w:r>
        <w:rPr>
          <w:rFonts w:hint="eastAsia" w:ascii="楷体_GB2312" w:hAnsi="楷体_GB2312" w:eastAsia="楷体_GB2312" w:cs="楷体_GB2312"/>
          <w:color w:val="auto"/>
          <w:sz w:val="28"/>
          <w:szCs w:val="28"/>
          <w:highlight w:val="none"/>
          <w:lang w:eastAsia="zh-CN"/>
        </w:rPr>
        <w:t>）项目编号</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深龙七医采[LGQY2026GH002]</w:t>
      </w:r>
    </w:p>
    <w:p w14:paraId="747A8B63">
      <w:pPr>
        <w:pStyle w:val="25"/>
        <w:numPr>
          <w:ilvl w:val="0"/>
          <w:numId w:val="0"/>
        </w:numPr>
        <w:spacing w:line="460" w:lineRule="exact"/>
        <w:ind w:firstLine="560" w:firstLineChars="200"/>
        <w:jc w:val="both"/>
        <w:rPr>
          <w:rFonts w:hint="eastAsia" w:ascii="仿宋_GB2312" w:hAnsi="宋体" w:eastAsia="仿宋_GB2312"/>
          <w:color w:val="auto"/>
          <w:sz w:val="28"/>
          <w:szCs w:val="28"/>
          <w:highlight w:val="none"/>
          <w:lang w:val="en-US" w:eastAsia="zh-CN"/>
        </w:rPr>
      </w:pPr>
      <w:r>
        <w:rPr>
          <w:rFonts w:hint="eastAsia" w:ascii="楷体_GB2312" w:hAnsi="楷体_GB2312" w:eastAsia="楷体_GB2312" w:cs="楷体_GB2312"/>
          <w:color w:val="auto"/>
          <w:sz w:val="28"/>
          <w:szCs w:val="28"/>
          <w:highlight w:val="none"/>
          <w:lang w:eastAsia="zh-CN"/>
        </w:rPr>
        <w:t>（</w:t>
      </w:r>
      <w:r>
        <w:rPr>
          <w:rFonts w:hint="eastAsia" w:ascii="楷体_GB2312" w:hAnsi="楷体_GB2312" w:eastAsia="楷体_GB2312" w:cs="楷体_GB2312"/>
          <w:color w:val="auto"/>
          <w:sz w:val="28"/>
          <w:szCs w:val="28"/>
          <w:highlight w:val="none"/>
          <w:lang w:val="en-US" w:eastAsia="zh-CN"/>
        </w:rPr>
        <w:t>二</w:t>
      </w:r>
      <w:r>
        <w:rPr>
          <w:rFonts w:hint="eastAsia" w:ascii="楷体_GB2312" w:hAnsi="楷体_GB2312" w:eastAsia="楷体_GB2312" w:cs="楷体_GB2312"/>
          <w:color w:val="auto"/>
          <w:sz w:val="28"/>
          <w:szCs w:val="28"/>
          <w:highlight w:val="none"/>
          <w:lang w:eastAsia="zh-CN"/>
        </w:rPr>
        <w:t>）项目名</w:t>
      </w:r>
      <w:r>
        <w:rPr>
          <w:rFonts w:hint="eastAsia" w:ascii="楷体_GB2312" w:hAnsi="楷体_GB2312" w:eastAsia="楷体_GB2312" w:cs="楷体_GB2312"/>
          <w:color w:val="auto"/>
          <w:sz w:val="28"/>
          <w:szCs w:val="28"/>
          <w:highlight w:val="none"/>
          <w:lang w:val="en-US" w:eastAsia="zh-CN"/>
        </w:rPr>
        <w:t>称：</w:t>
      </w:r>
      <w:r>
        <w:rPr>
          <w:rFonts w:hint="eastAsia" w:ascii="仿宋_GB2312" w:hAnsi="宋体" w:eastAsia="仿宋_GB2312"/>
          <w:color w:val="auto"/>
          <w:sz w:val="28"/>
          <w:szCs w:val="28"/>
          <w:highlight w:val="none"/>
          <w:lang w:val="en-US" w:eastAsia="zh-CN"/>
        </w:rPr>
        <w:t>深圳市龙岗区第七人民医院2026-2027年度工会会员生日蛋糕券采购项目</w:t>
      </w:r>
    </w:p>
    <w:p w14:paraId="7AA7EAB4">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宋体" w:eastAsia="仿宋_GB2312"/>
          <w:color w:val="auto"/>
          <w:sz w:val="28"/>
          <w:szCs w:val="28"/>
          <w:highlight w:val="none"/>
          <w:lang w:eastAsia="zh-CN"/>
        </w:rPr>
      </w:pPr>
      <w:r>
        <w:rPr>
          <w:rFonts w:hint="eastAsia" w:ascii="楷体_GB2312" w:hAnsi="楷体_GB2312" w:eastAsia="楷体_GB2312" w:cs="楷体_GB2312"/>
          <w:color w:val="auto"/>
          <w:sz w:val="28"/>
          <w:szCs w:val="28"/>
          <w:highlight w:val="none"/>
          <w:lang w:eastAsia="zh-CN"/>
        </w:rPr>
        <w:t>（</w:t>
      </w:r>
      <w:r>
        <w:rPr>
          <w:rFonts w:hint="eastAsia" w:ascii="楷体_GB2312" w:hAnsi="楷体_GB2312" w:eastAsia="楷体_GB2312" w:cs="楷体_GB2312"/>
          <w:color w:val="auto"/>
          <w:sz w:val="28"/>
          <w:szCs w:val="28"/>
          <w:highlight w:val="none"/>
          <w:lang w:val="en-US" w:eastAsia="zh-CN"/>
        </w:rPr>
        <w:t>三</w:t>
      </w:r>
      <w:r>
        <w:rPr>
          <w:rFonts w:hint="eastAsia" w:ascii="楷体_GB2312" w:hAnsi="楷体_GB2312" w:eastAsia="楷体_GB2312" w:cs="楷体_GB2312"/>
          <w:color w:val="auto"/>
          <w:sz w:val="28"/>
          <w:szCs w:val="28"/>
          <w:highlight w:val="none"/>
          <w:lang w:eastAsia="zh-CN"/>
        </w:rPr>
        <w:t>）采购数量：</w:t>
      </w:r>
      <w:r>
        <w:rPr>
          <w:rFonts w:hint="eastAsia" w:ascii="仿宋_GB2312" w:hAnsi="宋体" w:eastAsia="仿宋_GB2312" w:cs="黑体"/>
          <w:color w:val="auto"/>
          <w:kern w:val="0"/>
          <w:sz w:val="28"/>
          <w:szCs w:val="28"/>
          <w:highlight w:val="none"/>
          <w:lang w:val="en-US" w:eastAsia="zh-CN" w:bidi="ar-SA"/>
        </w:rPr>
        <w:t>436人份</w:t>
      </w:r>
    </w:p>
    <w:p w14:paraId="0F571889">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default" w:ascii="仿宋_GB2312" w:hAnsi="宋体" w:eastAsia="仿宋_GB2312"/>
          <w:color w:val="auto"/>
          <w:sz w:val="28"/>
          <w:szCs w:val="28"/>
          <w:highlight w:val="none"/>
          <w:lang w:val="en-US" w:eastAsia="zh-CN"/>
        </w:rPr>
      </w:pPr>
      <w:r>
        <w:rPr>
          <w:rFonts w:hint="eastAsia" w:ascii="楷体_GB2312" w:hAnsi="楷体_GB2312" w:eastAsia="楷体_GB2312" w:cs="楷体_GB2312"/>
          <w:color w:val="auto"/>
          <w:sz w:val="28"/>
          <w:szCs w:val="28"/>
          <w:highlight w:val="none"/>
          <w:lang w:eastAsia="zh-CN"/>
        </w:rPr>
        <w:t>（</w:t>
      </w:r>
      <w:r>
        <w:rPr>
          <w:rFonts w:hint="eastAsia" w:ascii="楷体_GB2312" w:hAnsi="楷体_GB2312" w:eastAsia="楷体_GB2312" w:cs="楷体_GB2312"/>
          <w:color w:val="auto"/>
          <w:sz w:val="28"/>
          <w:szCs w:val="28"/>
          <w:highlight w:val="none"/>
          <w:lang w:val="en-US" w:eastAsia="zh-CN"/>
        </w:rPr>
        <w:t>四</w:t>
      </w:r>
      <w:r>
        <w:rPr>
          <w:rFonts w:hint="eastAsia" w:ascii="楷体_GB2312" w:hAnsi="楷体_GB2312" w:eastAsia="楷体_GB2312" w:cs="楷体_GB2312"/>
          <w:color w:val="auto"/>
          <w:sz w:val="28"/>
          <w:szCs w:val="28"/>
          <w:highlight w:val="none"/>
          <w:lang w:eastAsia="zh-CN"/>
        </w:rPr>
        <w:t>）预算金额（最高限</w:t>
      </w:r>
      <w:r>
        <w:rPr>
          <w:rFonts w:hint="eastAsia" w:ascii="楷体_GB2312" w:hAnsi="楷体_GB2312" w:eastAsia="楷体_GB2312" w:cs="楷体_GB2312"/>
          <w:color w:val="auto"/>
          <w:sz w:val="28"/>
          <w:szCs w:val="28"/>
          <w:highlight w:val="none"/>
          <w:lang w:val="en-US" w:eastAsia="zh-CN"/>
        </w:rPr>
        <w:t>价</w:t>
      </w:r>
      <w:r>
        <w:rPr>
          <w:rFonts w:hint="eastAsia" w:ascii="楷体_GB2312" w:hAnsi="楷体_GB2312" w:eastAsia="楷体_GB2312" w:cs="楷体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13.08万元</w:t>
      </w:r>
    </w:p>
    <w:p w14:paraId="25291234">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黑体" w:hAnsi="黑体" w:eastAsia="黑体" w:cs="黑体"/>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二、资质要求</w:t>
      </w:r>
    </w:p>
    <w:p w14:paraId="12450925">
      <w:pPr>
        <w:pStyle w:val="25"/>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楷体_GB2312" w:hAnsi="楷体_GB2312" w:eastAsia="楷体_GB2312" w:cs="楷体_GB2312"/>
          <w:color w:val="auto"/>
          <w:kern w:val="2"/>
          <w:sz w:val="28"/>
          <w:szCs w:val="28"/>
          <w:highlight w:val="none"/>
          <w:lang w:val="en-US" w:eastAsia="zh-CN" w:bidi="ar-SA"/>
        </w:rPr>
      </w:pPr>
      <w:r>
        <w:rPr>
          <w:rFonts w:hint="eastAsia" w:ascii="楷体_GB2312" w:hAnsi="楷体_GB2312" w:eastAsia="楷体_GB2312" w:cs="楷体_GB2312"/>
          <w:color w:val="auto"/>
          <w:kern w:val="2"/>
          <w:sz w:val="28"/>
          <w:szCs w:val="28"/>
          <w:highlight w:val="none"/>
          <w:lang w:val="en-US" w:eastAsia="zh-CN" w:bidi="ar-SA"/>
        </w:rPr>
        <w:t>（一）基本资格条件</w:t>
      </w:r>
    </w:p>
    <w:p w14:paraId="3CBB6D60">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满足《中华人民共和国政府采购法》第二十二条规定（须提供具有独立承担民事责任能力的法人或其他组织的营业执照或法人证书等证明材料复印件或扫描件以及《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6525B952">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2.落实政府采购政策需满足的资格要求：无。</w:t>
      </w:r>
    </w:p>
    <w:p w14:paraId="1DE35054">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560" w:firstLineChars="200"/>
        <w:jc w:val="left"/>
        <w:textAlignment w:val="auto"/>
        <w:rPr>
          <w:rFonts w:hint="eastAsia" w:ascii="楷体_GB2312" w:hAnsi="楷体_GB2312" w:eastAsia="楷体_GB2312" w:cs="楷体_GB2312"/>
          <w:color w:val="auto"/>
          <w:kern w:val="2"/>
          <w:sz w:val="28"/>
          <w:szCs w:val="28"/>
          <w:highlight w:val="none"/>
          <w:lang w:val="en-US" w:eastAsia="zh-CN" w:bidi="ar-SA"/>
        </w:rPr>
      </w:pPr>
      <w:r>
        <w:rPr>
          <w:rFonts w:hint="eastAsia" w:ascii="楷体_GB2312" w:hAnsi="楷体_GB2312" w:eastAsia="楷体_GB2312" w:cs="楷体_GB2312"/>
          <w:color w:val="auto"/>
          <w:kern w:val="2"/>
          <w:sz w:val="28"/>
          <w:szCs w:val="28"/>
          <w:highlight w:val="none"/>
          <w:lang w:val="en-US" w:eastAsia="zh-CN" w:bidi="ar-SA"/>
        </w:rPr>
        <w:t>（二）本项目的特定资格要求</w:t>
      </w:r>
    </w:p>
    <w:p w14:paraId="229AAFBC">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1.参与本项目投标前三年内，在经营活动中没有重大违法记录（须按本项目投标文件格式要求提供《投标及履约承诺函》加盖投标人公章）；</w:t>
      </w:r>
    </w:p>
    <w:p w14:paraId="1AA267F4">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2.参与本项目政府采购活动时不存在被有关部门禁止参与政府采购活动且在有效期内的情况（须按本项目投标文件格式要求提供《投标及履约承诺函》加盖投标人公章）；</w:t>
      </w:r>
    </w:p>
    <w:p w14:paraId="22705448">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3.单位负责人为同一人或者存在直接控股、管理关系的不同供应商，不得参加同一合同项下的政府采购活动（须按本项目投标文件格式要求提供《投标及履约承诺函》加盖投标人公章）；</w:t>
      </w:r>
    </w:p>
    <w:p w14:paraId="3D8DC61E">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除单一来源采购项目外，为采购项目提供整体设计、规范编制或者项目管理、监理、检测等服务的供应商，不得再参加该采购项目的其他采购活动（须按本项目投标文件格式要求提供《投标及履约承诺函》加盖投标人公章）；</w:t>
      </w:r>
    </w:p>
    <w:p w14:paraId="0F01A08F">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5.参与本项目不存在《深圳市财政局政府采购供应商信用信息管理办法》列明的严重违法失信行为（须按本项目投标文件格式要求提供《投标及履约承诺函》加盖投标人公章）；</w:t>
      </w:r>
    </w:p>
    <w:p w14:paraId="57843502">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6.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32C5F8E5">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7.投标人未被列入失信被执行人、重大税收违法案件当事人名单及政府采购严重违法失信行为记录名单（“信用中国”“信用服务”栏的“重大税收违法失信主体”“失信被执行人”，“中国政府采购网”“政府采购严重违法失信行为记录名单”以及“深圳市政府采购监管网”为投标人信用信息查询渠道，相关信息以开标当日的查询结果为准；</w:t>
      </w:r>
    </w:p>
    <w:p w14:paraId="22928043">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8.投标人须提供国家企业信用信息公示系统或机关赋码和事业单位登记管理网或全国社会组织信用信息公示平台网站截图，作为不同供应商之间不存在单位负责人为同一人或者直接控股、管理关系的补充证明；</w:t>
      </w:r>
    </w:p>
    <w:p w14:paraId="4DDDE5A3">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9.本项目不接受联合体投标，不允许分包或转包；</w:t>
      </w:r>
    </w:p>
    <w:p w14:paraId="4F6EBEE0">
      <w:pPr>
        <w:pStyle w:val="27"/>
        <w:spacing w:line="400" w:lineRule="exact"/>
        <w:rPr>
          <w:rFonts w:hint="eastAsia" w:ascii="楷体_GB2312" w:hAnsi="楷体_GB2312" w:eastAsia="楷体_GB2312" w:cs="楷体_GB2312"/>
          <w:color w:val="auto"/>
          <w:kern w:val="2"/>
          <w:sz w:val="28"/>
          <w:szCs w:val="28"/>
          <w:highlight w:val="none"/>
          <w:lang w:val="en-US" w:eastAsia="zh-CN" w:bidi="ar-SA"/>
        </w:rPr>
      </w:pPr>
      <w:r>
        <w:rPr>
          <w:rFonts w:hint="eastAsia" w:ascii="楷体_GB2312" w:hAnsi="楷体_GB2312" w:eastAsia="楷体_GB2312" w:cs="楷体_GB2312"/>
          <w:color w:val="auto"/>
          <w:kern w:val="2"/>
          <w:sz w:val="28"/>
          <w:szCs w:val="28"/>
          <w:highlight w:val="none"/>
          <w:lang w:val="en-US" w:eastAsia="zh-CN" w:bidi="ar-SA"/>
        </w:rPr>
        <w:t>（三）特殊要求</w:t>
      </w:r>
    </w:p>
    <w:p w14:paraId="4D186322">
      <w:pPr>
        <w:pStyle w:val="27"/>
        <w:spacing w:line="400" w:lineRule="exac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投标人须具有合法有效的《食品生产许可证》或《食品经营许可证》（提供相关证件复印件）。</w:t>
      </w:r>
    </w:p>
    <w:p w14:paraId="082F406C">
      <w:pPr>
        <w:pStyle w:val="25"/>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三、采购方式：</w:t>
      </w:r>
      <w:r>
        <w:rPr>
          <w:rFonts w:hint="eastAsia" w:ascii="仿宋_GB2312" w:hAnsi="仿宋_GB2312" w:eastAsia="仿宋_GB2312" w:cs="仿宋_GB2312"/>
          <w:color w:val="auto"/>
          <w:kern w:val="2"/>
          <w:sz w:val="28"/>
          <w:szCs w:val="28"/>
          <w:highlight w:val="none"/>
          <w:lang w:val="en-US" w:eastAsia="zh-CN" w:bidi="ar-SA"/>
        </w:rPr>
        <w:t>院内公开招标</w:t>
      </w:r>
    </w:p>
    <w:p w14:paraId="7D88AD68">
      <w:pPr>
        <w:pStyle w:val="25"/>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四、评标方法：</w:t>
      </w:r>
      <w:r>
        <w:rPr>
          <w:rFonts w:hint="eastAsia" w:ascii="仿宋_GB2312" w:hAnsi="仿宋_GB2312" w:eastAsia="仿宋_GB2312" w:cs="仿宋_GB2312"/>
          <w:color w:val="auto"/>
          <w:kern w:val="2"/>
          <w:sz w:val="28"/>
          <w:szCs w:val="28"/>
          <w:highlight w:val="none"/>
          <w:lang w:val="en-US" w:eastAsia="zh-CN" w:bidi="ar-SA"/>
        </w:rPr>
        <w:t>综合评分法</w:t>
      </w:r>
    </w:p>
    <w:p w14:paraId="3FA77B42">
      <w:pPr>
        <w:pStyle w:val="25"/>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黑体" w:hAnsi="黑体" w:eastAsia="黑体" w:cs="黑体"/>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五、投标人报名资料要求</w:t>
      </w:r>
    </w:p>
    <w:p w14:paraId="5EBD00FE">
      <w:pPr>
        <w:pStyle w:val="25"/>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（一）院内采购报名表。</w:t>
      </w:r>
    </w:p>
    <w:p w14:paraId="75958AFF">
      <w:pPr>
        <w:pStyle w:val="25"/>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（二）法定代表人参加的提供法定代表人资格证明书及个人身份证复印件；非法定代表人参加的须提供法定代表人资格证明书及法定代表人身份证复印件、法定代表人授权书及授权代表人身份证复印件。</w:t>
      </w:r>
    </w:p>
    <w:p w14:paraId="68D2718C">
      <w:pPr>
        <w:pStyle w:val="27"/>
        <w:keepNext w:val="0"/>
        <w:keepLines w:val="0"/>
        <w:pageBreakBefore w:val="0"/>
        <w:kinsoku/>
        <w:wordWrap/>
        <w:overflowPunct/>
        <w:topLinePunct w:val="0"/>
        <w:autoSpaceDE/>
        <w:autoSpaceDN/>
        <w:bidi w:val="0"/>
        <w:adjustRightInd/>
        <w:snapToGrid/>
        <w:spacing w:line="540" w:lineRule="exact"/>
        <w:ind w:firstLine="56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（三）供应商须提供具有独立承担民事责任能力的法人或其他组织或个体工商户的营业执照或法人证书等证明材料复印件或扫描件。</w:t>
      </w:r>
    </w:p>
    <w:p w14:paraId="46B6DA12">
      <w:pPr>
        <w:pStyle w:val="27"/>
        <w:spacing w:line="400" w:lineRule="exact"/>
        <w:ind w:left="559" w:leftChars="266" w:firstLine="0" w:firstLineChars="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（四）提供合法有效的《食品生产许可证》或《食品经营许可证》</w:t>
      </w:r>
    </w:p>
    <w:p w14:paraId="781887BF">
      <w:pPr>
        <w:pStyle w:val="27"/>
        <w:spacing w:line="400" w:lineRule="exact"/>
        <w:ind w:left="0" w:leftChars="0" w:firstLine="0" w:firstLineChars="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sz w:val="28"/>
          <w:szCs w:val="28"/>
          <w:highlight w:val="none"/>
          <w:lang w:val="en-US" w:eastAsia="zh-CN"/>
        </w:rPr>
        <w:t>复印件。</w:t>
      </w:r>
    </w:p>
    <w:p w14:paraId="47A70E8C">
      <w:pPr>
        <w:pStyle w:val="27"/>
        <w:keepNext w:val="0"/>
        <w:keepLines w:val="0"/>
        <w:pageBreakBefore w:val="0"/>
        <w:kinsoku/>
        <w:wordWrap/>
        <w:overflowPunct/>
        <w:topLinePunct w:val="0"/>
        <w:autoSpaceDE/>
        <w:autoSpaceDN/>
        <w:bidi w:val="0"/>
        <w:adjustRightInd/>
        <w:snapToGrid/>
        <w:spacing w:line="540" w:lineRule="exact"/>
        <w:ind w:firstLine="56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（五）供应商基本情况表。</w:t>
      </w:r>
    </w:p>
    <w:p w14:paraId="43EF5A3D">
      <w:pPr>
        <w:pStyle w:val="25"/>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（六）提供法定代表人、主要经营负责人、投标授权代表人、项目负责人（如有）、主要技术人员（如有）最近一个月的社保证明。</w:t>
      </w:r>
    </w:p>
    <w:p w14:paraId="6114A26B">
      <w:pPr>
        <w:pStyle w:val="25"/>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七）通过以下官网的信用信息查询记录网络截图件并加盖投标人公章：①信用中国②中国政府采购网③深圳市政府采购监管网④国家企业信用信息公示系统或机关赋码和事业单位登记管理网或全国社会组织信用信息公示平台。相关信息以开标当日的查询结果为准。</w:t>
      </w:r>
    </w:p>
    <w:p w14:paraId="27604635">
      <w:pPr>
        <w:pStyle w:val="25"/>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（八）投标及履约承诺函。</w:t>
      </w:r>
    </w:p>
    <w:p w14:paraId="33F4BC8B">
      <w:pPr>
        <w:pStyle w:val="25"/>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以上资料均需在有效期内并加盖投标方公章。本项目实行资格预审，投标人报名时将进行资格审查，未经审查或审查未通过的不能参与投标。</w:t>
      </w:r>
    </w:p>
    <w:p w14:paraId="19146E5D">
      <w:pPr>
        <w:pStyle w:val="25"/>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default" w:ascii="黑体" w:hAnsi="黑体" w:eastAsia="黑体" w:cs="黑体"/>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六、报名方式：</w:t>
      </w:r>
      <w:r>
        <w:rPr>
          <w:rFonts w:hint="eastAsia" w:ascii="仿宋_GB2312" w:hAnsi="仿宋_GB2312" w:eastAsia="仿宋_GB2312" w:cs="仿宋_GB2312"/>
          <w:color w:val="auto"/>
          <w:kern w:val="2"/>
          <w:sz w:val="28"/>
          <w:szCs w:val="28"/>
          <w:highlight w:val="none"/>
          <w:lang w:val="en-US" w:eastAsia="zh-CN" w:bidi="ar-SA"/>
        </w:rPr>
        <w:t>现场报名或邮寄（选择邮寄方式需与采购人电话确认是否已签收并通过报名）或线上邮箱报名</w:t>
      </w:r>
      <w:r>
        <w:rPr>
          <w:rFonts w:hint="eastAsia" w:ascii="仿宋_GB2312" w:hAnsi="仿宋_GB2312" w:eastAsia="仿宋_GB2312" w:cs="仿宋_GB2312"/>
          <w:i w:val="0"/>
          <w:iCs w:val="0"/>
          <w:caps w:val="0"/>
          <w:color w:val="auto"/>
          <w:spacing w:val="0"/>
          <w:sz w:val="28"/>
          <w:szCs w:val="28"/>
          <w:shd w:val="clear" w:fill="FFFFFF"/>
        </w:rPr>
        <w:t>w-qqy-zcb@lg.gov.cn</w:t>
      </w:r>
      <w:r>
        <w:rPr>
          <w:rFonts w:hint="eastAsia" w:ascii="仿宋_GB2312" w:hAnsi="仿宋_GB2312" w:eastAsia="仿宋_GB2312" w:cs="仿宋_GB2312"/>
          <w:i w:val="0"/>
          <w:iCs w:val="0"/>
          <w:caps w:val="0"/>
          <w:color w:val="auto"/>
          <w:spacing w:val="0"/>
          <w:sz w:val="28"/>
          <w:szCs w:val="28"/>
          <w:shd w:val="clear" w:fill="FFFFFF"/>
          <w:lang w:eastAsia="zh-CN"/>
        </w:rPr>
        <w:t>（</w:t>
      </w:r>
      <w:r>
        <w:rPr>
          <w:rFonts w:hint="eastAsia" w:ascii="仿宋_GB2312" w:hAnsi="仿宋_GB2312" w:eastAsia="仿宋_GB2312" w:cs="仿宋_GB2312"/>
          <w:i w:val="0"/>
          <w:iCs w:val="0"/>
          <w:caps w:val="0"/>
          <w:color w:val="auto"/>
          <w:spacing w:val="0"/>
          <w:sz w:val="28"/>
          <w:szCs w:val="28"/>
          <w:shd w:val="clear" w:fill="FFFFFF"/>
          <w:lang w:val="en-US" w:eastAsia="zh-CN"/>
        </w:rPr>
        <w:t>纸质报名资料开标时与标书一起提交</w:t>
      </w:r>
      <w:r>
        <w:rPr>
          <w:rFonts w:hint="eastAsia" w:ascii="仿宋_GB2312" w:hAnsi="仿宋_GB2312" w:eastAsia="仿宋_GB2312" w:cs="仿宋_GB2312"/>
          <w:i w:val="0"/>
          <w:iCs w:val="0"/>
          <w:caps w:val="0"/>
          <w:color w:val="auto"/>
          <w:spacing w:val="0"/>
          <w:sz w:val="28"/>
          <w:szCs w:val="28"/>
          <w:shd w:val="clear" w:fill="FFFFFF"/>
          <w:lang w:eastAsia="zh-CN"/>
        </w:rPr>
        <w:t>）</w:t>
      </w:r>
      <w:r>
        <w:rPr>
          <w:rFonts w:hint="eastAsia" w:ascii="仿宋_GB2312" w:hAnsi="仿宋_GB2312" w:eastAsia="仿宋_GB2312" w:cs="仿宋_GB2312"/>
          <w:color w:val="auto"/>
          <w:kern w:val="2"/>
          <w:sz w:val="28"/>
          <w:szCs w:val="28"/>
          <w:highlight w:val="none"/>
          <w:lang w:val="en-US" w:eastAsia="zh-CN" w:bidi="ar-SA"/>
        </w:rPr>
        <w:t>。</w:t>
      </w:r>
    </w:p>
    <w:p w14:paraId="4FC18649">
      <w:pPr>
        <w:pStyle w:val="25"/>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七、报名截止时间及地点：</w:t>
      </w:r>
      <w:r>
        <w:rPr>
          <w:rFonts w:hint="eastAsia" w:ascii="仿宋_GB2312" w:hAnsi="仿宋_GB2312" w:eastAsia="仿宋_GB2312" w:cs="仿宋_GB2312"/>
          <w:color w:val="auto"/>
          <w:kern w:val="2"/>
          <w:sz w:val="28"/>
          <w:szCs w:val="28"/>
          <w:highlight w:val="none"/>
          <w:lang w:val="en-US" w:eastAsia="zh-CN" w:bidi="ar-SA"/>
        </w:rPr>
        <w:t>2026年7月24日17:00，布吉街道吉华路175号综合楼810招采办。</w:t>
      </w:r>
    </w:p>
    <w:p w14:paraId="66EE8347">
      <w:pPr>
        <w:pStyle w:val="25"/>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八、递交投标文件及开标时间及地点：</w:t>
      </w:r>
      <w:r>
        <w:rPr>
          <w:rFonts w:hint="eastAsia" w:ascii="仿宋_GB2312" w:hAnsi="仿宋_GB2312" w:eastAsia="仿宋_GB2312" w:cs="仿宋_GB2312"/>
          <w:color w:val="auto"/>
          <w:kern w:val="2"/>
          <w:sz w:val="28"/>
          <w:szCs w:val="28"/>
          <w:highlight w:val="none"/>
          <w:lang w:val="en-US" w:eastAsia="zh-CN" w:bidi="ar-SA"/>
        </w:rPr>
        <w:t>2026年7月27日15:00，深圳市龙岗区布吉街道吉华路175号龙岭院区综合楼1002会议室（如有变动，另行通知）。</w:t>
      </w:r>
    </w:p>
    <w:p w14:paraId="36CBA2D4">
      <w:pPr>
        <w:pStyle w:val="25"/>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九、联系人及联系电话：</w:t>
      </w:r>
      <w:r>
        <w:rPr>
          <w:rFonts w:hint="eastAsia" w:ascii="仿宋_GB2312" w:hAnsi="仿宋_GB2312" w:eastAsia="仿宋_GB2312" w:cs="仿宋_GB2312"/>
          <w:color w:val="auto"/>
          <w:kern w:val="2"/>
          <w:sz w:val="28"/>
          <w:szCs w:val="28"/>
          <w:highlight w:val="none"/>
          <w:lang w:val="en-US" w:eastAsia="zh-CN" w:bidi="ar-SA"/>
        </w:rPr>
        <w:t>陈工、李工，0755-28740606-3810。</w:t>
      </w:r>
    </w:p>
    <w:p w14:paraId="634EC85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color w:val="auto"/>
          <w:kern w:val="2"/>
          <w:sz w:val="28"/>
          <w:szCs w:val="28"/>
          <w:highlight w:val="none"/>
          <w:lang w:val="en-US" w:eastAsia="zh-CN" w:bidi="ar-SA"/>
        </w:rPr>
        <w:t>十、</w:t>
      </w:r>
      <w:r>
        <w:rPr>
          <w:rFonts w:hint="eastAsia" w:ascii="黑体" w:hAnsi="黑体" w:eastAsia="黑体" w:cs="黑体"/>
          <w:sz w:val="28"/>
          <w:szCs w:val="28"/>
        </w:rPr>
        <w:t>监督部门</w:t>
      </w:r>
    </w:p>
    <w:p w14:paraId="7CD5799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医院纪审科监督联系电话:李女士，0755-28740471。</w:t>
      </w:r>
    </w:p>
    <w:p w14:paraId="4F649C32">
      <w:pPr>
        <w:pStyle w:val="25"/>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sz w:val="28"/>
          <w:szCs w:val="28"/>
        </w:rPr>
        <w:t>项目所属一级预算单位监督联系电话:0755-89551103。</w:t>
      </w:r>
    </w:p>
    <w:p w14:paraId="419B92BB">
      <w:pPr>
        <w:pStyle w:val="25"/>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十一、公告日期：</w:t>
      </w:r>
      <w:r>
        <w:rPr>
          <w:rFonts w:hint="eastAsia" w:ascii="仿宋_GB2312" w:hAnsi="仿宋_GB2312" w:eastAsia="仿宋_GB2312" w:cs="仿宋_GB2312"/>
          <w:color w:val="auto"/>
          <w:kern w:val="2"/>
          <w:sz w:val="28"/>
          <w:szCs w:val="28"/>
          <w:highlight w:val="none"/>
          <w:lang w:val="en-US" w:eastAsia="zh-CN" w:bidi="ar-SA"/>
        </w:rPr>
        <w:t>自公告发布之日起5个工作日。</w:t>
      </w:r>
    </w:p>
    <w:p w14:paraId="2132C6E8">
      <w:pPr>
        <w:pStyle w:val="27"/>
        <w:keepNext w:val="0"/>
        <w:keepLines w:val="0"/>
        <w:pageBreakBefore w:val="0"/>
        <w:kinsoku/>
        <w:wordWrap/>
        <w:overflowPunct/>
        <w:topLinePunct w:val="0"/>
        <w:autoSpaceDE/>
        <w:autoSpaceDN/>
        <w:bidi w:val="0"/>
        <w:adjustRightInd/>
        <w:snapToGrid/>
        <w:spacing w:line="540" w:lineRule="exact"/>
        <w:ind w:firstLine="560"/>
        <w:jc w:val="left"/>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附件：</w:t>
      </w:r>
    </w:p>
    <w:p w14:paraId="2EBE2991">
      <w:pPr>
        <w:pStyle w:val="27"/>
        <w:keepNext w:val="0"/>
        <w:keepLines w:val="0"/>
        <w:pageBreakBefore w:val="0"/>
        <w:kinsoku/>
        <w:wordWrap/>
        <w:overflowPunct/>
        <w:topLinePunct w:val="0"/>
        <w:autoSpaceDE/>
        <w:autoSpaceDN/>
        <w:bidi w:val="0"/>
        <w:adjustRightInd/>
        <w:snapToGrid/>
        <w:spacing w:line="540" w:lineRule="exact"/>
        <w:ind w:left="0" w:leftChars="0" w:firstLine="560" w:firstLineChars="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1.深圳市龙岗区第七人民医院院内公开采购报名表</w:t>
      </w:r>
    </w:p>
    <w:p w14:paraId="002E2305">
      <w:pPr>
        <w:pStyle w:val="25"/>
        <w:numPr>
          <w:ilvl w:val="0"/>
          <w:numId w:val="0"/>
        </w:numPr>
        <w:spacing w:line="460" w:lineRule="exact"/>
        <w:ind w:left="559" w:leftChars="266" w:firstLine="0" w:firstLineChars="0"/>
        <w:jc w:val="both"/>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2.深圳市龙岗区第七人民医院2026-2027年度工会会员生日蛋糕券采购项目招标文件</w:t>
      </w:r>
    </w:p>
    <w:p w14:paraId="06509619">
      <w:pPr>
        <w:pStyle w:val="27"/>
        <w:keepNext w:val="0"/>
        <w:keepLines w:val="0"/>
        <w:pageBreakBefore w:val="0"/>
        <w:kinsoku/>
        <w:wordWrap/>
        <w:overflowPunct/>
        <w:topLinePunct w:val="0"/>
        <w:autoSpaceDE/>
        <w:autoSpaceDN/>
        <w:bidi w:val="0"/>
        <w:adjustRightInd/>
        <w:snapToGrid/>
        <w:spacing w:line="540" w:lineRule="exact"/>
        <w:ind w:left="0" w:leftChars="0" w:firstLine="0" w:firstLineChars="0"/>
        <w:jc w:val="both"/>
        <w:textAlignment w:val="auto"/>
        <w:rPr>
          <w:rFonts w:hint="eastAsia" w:ascii="仿宋_GB2312" w:eastAsia="仿宋_GB2312"/>
          <w:color w:val="auto"/>
          <w:sz w:val="28"/>
          <w:szCs w:val="28"/>
          <w:highlight w:val="none"/>
        </w:rPr>
      </w:pPr>
    </w:p>
    <w:p w14:paraId="400743A8">
      <w:pPr>
        <w:pStyle w:val="27"/>
        <w:keepNext w:val="0"/>
        <w:keepLines w:val="0"/>
        <w:pageBreakBefore w:val="0"/>
        <w:kinsoku/>
        <w:wordWrap/>
        <w:overflowPunct/>
        <w:topLinePunct w:val="0"/>
        <w:autoSpaceDE/>
        <w:autoSpaceDN/>
        <w:bidi w:val="0"/>
        <w:adjustRightInd/>
        <w:snapToGrid/>
        <w:spacing w:line="540" w:lineRule="exact"/>
        <w:ind w:firstLine="560"/>
        <w:jc w:val="righ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深圳市龙岗区第七人民医院</w:t>
      </w:r>
    </w:p>
    <w:p w14:paraId="602CF938">
      <w:pPr>
        <w:pStyle w:val="27"/>
        <w:keepNext w:val="0"/>
        <w:keepLines w:val="0"/>
        <w:pageBreakBefore w:val="0"/>
        <w:kinsoku/>
        <w:wordWrap/>
        <w:overflowPunct/>
        <w:topLinePunct w:val="0"/>
        <w:autoSpaceDE/>
        <w:autoSpaceDN/>
        <w:bidi w:val="0"/>
        <w:adjustRightInd/>
        <w:snapToGrid/>
        <w:spacing w:line="540" w:lineRule="exact"/>
        <w:ind w:firstLine="560"/>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eastAsia="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2026年7月17日</w:t>
      </w:r>
    </w:p>
    <w:p w14:paraId="5A6401BE">
      <w:pP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br w:type="page"/>
      </w:r>
    </w:p>
    <w:p w14:paraId="2A235F39">
      <w:pPr>
        <w:keepNext w:val="0"/>
        <w:keepLines w:val="0"/>
        <w:pageBreakBefore w:val="0"/>
        <w:numPr>
          <w:ilvl w:val="0"/>
          <w:numId w:val="1"/>
        </w:numPr>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b/>
          <w:bCs/>
          <w:color w:val="auto"/>
          <w:sz w:val="44"/>
          <w:szCs w:val="44"/>
          <w:highlight w:val="none"/>
        </w:rPr>
      </w:pPr>
      <w:r>
        <w:rPr>
          <w:rFonts w:hint="eastAsia" w:ascii="仿宋_GB2312" w:hAnsi="仿宋_GB2312" w:eastAsia="仿宋_GB2312" w:cs="仿宋_GB2312"/>
          <w:b/>
          <w:bCs/>
          <w:color w:val="auto"/>
          <w:sz w:val="44"/>
          <w:szCs w:val="44"/>
          <w:highlight w:val="none"/>
        </w:rPr>
        <w:t>院内公开采购项目需求</w:t>
      </w:r>
    </w:p>
    <w:p w14:paraId="29528F67">
      <w:pPr>
        <w:pStyle w:val="25"/>
        <w:keepNext w:val="0"/>
        <w:keepLines w:val="0"/>
        <w:pageBreakBefore w:val="0"/>
        <w:numPr>
          <w:ilvl w:val="0"/>
          <w:numId w:val="0"/>
        </w:numPr>
        <w:kinsoku/>
        <w:wordWrap/>
        <w:overflowPunct/>
        <w:topLinePunct w:val="0"/>
        <w:autoSpaceDE/>
        <w:autoSpaceDN/>
        <w:bidi w:val="0"/>
        <w:adjustRightInd/>
        <w:snapToGrid/>
        <w:spacing w:line="560" w:lineRule="exact"/>
        <w:ind w:right="-82" w:rightChars="-39" w:firstLine="422" w:firstLineChars="200"/>
        <w:jc w:val="both"/>
        <w:textAlignment w:val="auto"/>
        <w:rPr>
          <w:rFonts w:hint="eastAsia" w:cs="宋体"/>
          <w:b/>
          <w:color w:val="auto"/>
          <w:szCs w:val="21"/>
          <w:highlight w:val="none"/>
          <w:lang w:eastAsia="zh-CN"/>
        </w:rPr>
      </w:pPr>
    </w:p>
    <w:p w14:paraId="5DD32F2D">
      <w:pPr>
        <w:pStyle w:val="25"/>
        <w:numPr>
          <w:ilvl w:val="0"/>
          <w:numId w:val="2"/>
        </w:numPr>
        <w:spacing w:line="460" w:lineRule="exact"/>
        <w:ind w:right="-82" w:rightChars="-39" w:firstLine="560" w:firstLineChars="200"/>
        <w:jc w:val="both"/>
        <w:rPr>
          <w:rFonts w:hint="eastAsia" w:ascii="黑体" w:hAnsi="黑体" w:eastAsia="黑体" w:cs="黑体"/>
          <w:b w:val="0"/>
          <w:bCs w:val="0"/>
          <w:color w:val="auto"/>
          <w:kern w:val="0"/>
          <w:sz w:val="28"/>
          <w:szCs w:val="28"/>
          <w:highlight w:val="none"/>
          <w:lang w:val="en-US" w:eastAsia="zh-CN" w:bidi="ar-SA"/>
        </w:rPr>
      </w:pPr>
      <w:r>
        <w:rPr>
          <w:rFonts w:hint="eastAsia" w:ascii="黑体" w:hAnsi="黑体" w:eastAsia="黑体" w:cs="黑体"/>
          <w:b w:val="0"/>
          <w:bCs w:val="0"/>
          <w:color w:val="auto"/>
          <w:kern w:val="0"/>
          <w:sz w:val="28"/>
          <w:szCs w:val="28"/>
          <w:highlight w:val="none"/>
          <w:lang w:val="en-US" w:eastAsia="zh-CN" w:bidi="ar-SA"/>
        </w:rPr>
        <w:t>项目概况：</w:t>
      </w:r>
    </w:p>
    <w:p w14:paraId="454BF002">
      <w:pPr>
        <w:pStyle w:val="25"/>
        <w:numPr>
          <w:ilvl w:val="0"/>
          <w:numId w:val="0"/>
        </w:numPr>
        <w:spacing w:line="460" w:lineRule="exact"/>
        <w:ind w:right="-82" w:rightChars="-39" w:firstLine="560" w:firstLineChars="200"/>
        <w:jc w:val="both"/>
        <w:rPr>
          <w:rFonts w:hint="eastAsia" w:ascii="仿宋" w:hAnsi="仿宋" w:eastAsia="仿宋" w:cs="仿宋"/>
          <w:kern w:val="2"/>
          <w:sz w:val="28"/>
          <w:szCs w:val="28"/>
          <w:lang w:val="en-US" w:eastAsia="zh-CN" w:bidi="ar-SA"/>
        </w:rPr>
      </w:pPr>
      <w:r>
        <w:rPr>
          <w:rFonts w:hint="eastAsia" w:ascii="仿宋_GB2312" w:hAnsi="仿宋_GB2312" w:eastAsia="仿宋_GB2312" w:cs="仿宋_GB2312"/>
          <w:kern w:val="2"/>
          <w:sz w:val="28"/>
          <w:szCs w:val="28"/>
          <w:highlight w:val="none"/>
          <w:lang w:val="en-US" w:eastAsia="zh-CN"/>
        </w:rPr>
        <w:t>根据《深圳市龙岗区第七人民医院工会经费支出管理细则》（修订版）中用于职工集体福利支出的慰问类项目包含会员生日的慰问，我院拟为全院工会会员采购和发放蛋糕券。本次需采购436人份的蛋糕券，采购标准为300元/人份，总采购预算金额为13.08万元。</w:t>
      </w:r>
    </w:p>
    <w:p w14:paraId="629AC640">
      <w:pPr>
        <w:pStyle w:val="3"/>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黑体" w:hAnsi="黑体" w:eastAsia="黑体" w:cs="黑体"/>
          <w:b w:val="0"/>
          <w:bCs w:val="0"/>
          <w:color w:val="auto"/>
          <w:kern w:val="0"/>
          <w:sz w:val="28"/>
          <w:szCs w:val="28"/>
          <w:highlight w:val="none"/>
          <w:lang w:val="en-US" w:eastAsia="zh-CN" w:bidi="ar-SA"/>
        </w:rPr>
        <w:t>二、预算金额：</w:t>
      </w:r>
      <w:r>
        <w:rPr>
          <w:rFonts w:ascii="仿宋_GB2312" w:hAnsi="仿宋_GB2312" w:eastAsia="仿宋_GB2312" w:cs="仿宋_GB2312"/>
          <w:color w:val="auto"/>
          <w:sz w:val="28"/>
          <w:szCs w:val="28"/>
          <w:highlight w:val="none"/>
        </w:rPr>
        <w:t>预算</w:t>
      </w:r>
      <w:r>
        <w:rPr>
          <w:rFonts w:hint="eastAsia" w:ascii="仿宋_GB2312" w:hAnsi="仿宋_GB2312" w:eastAsia="仿宋_GB2312" w:cs="仿宋_GB2312"/>
          <w:color w:val="auto"/>
          <w:kern w:val="0"/>
          <w:sz w:val="28"/>
          <w:szCs w:val="28"/>
          <w:highlight w:val="none"/>
        </w:rPr>
        <w:t>金额为</w:t>
      </w:r>
      <w:r>
        <w:rPr>
          <w:rFonts w:hint="eastAsia" w:ascii="仿宋_GB2312" w:hAnsi="仿宋_GB2312" w:eastAsia="仿宋_GB2312" w:cs="仿宋_GB2312"/>
          <w:color w:val="auto"/>
          <w:kern w:val="0"/>
          <w:sz w:val="28"/>
          <w:szCs w:val="28"/>
          <w:highlight w:val="none"/>
          <w:lang w:val="en-US" w:eastAsia="zh-CN"/>
        </w:rPr>
        <w:t>13.08万</w:t>
      </w:r>
      <w:r>
        <w:rPr>
          <w:rFonts w:hint="eastAsia" w:ascii="仿宋_GB2312" w:hAnsi="仿宋_GB2312" w:eastAsia="仿宋_GB2312" w:cs="仿宋_GB2312"/>
          <w:color w:val="auto"/>
          <w:kern w:val="0"/>
          <w:sz w:val="28"/>
          <w:szCs w:val="28"/>
          <w:highlight w:val="none"/>
        </w:rPr>
        <w:t>元</w:t>
      </w:r>
      <w:r>
        <w:rPr>
          <w:rFonts w:hint="eastAsia" w:ascii="仿宋_GB2312" w:hAnsi="仿宋_GB2312" w:eastAsia="仿宋_GB2312" w:cs="仿宋_GB2312"/>
          <w:color w:val="auto"/>
          <w:kern w:val="0"/>
          <w:sz w:val="28"/>
          <w:szCs w:val="28"/>
          <w:highlight w:val="none"/>
          <w:lang w:eastAsia="zh-CN"/>
        </w:rPr>
        <w:t>。</w:t>
      </w:r>
    </w:p>
    <w:p w14:paraId="233E2728">
      <w:pPr>
        <w:pStyle w:val="2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hAnsi="仿宋_GB2312" w:eastAsia="仿宋_GB2312" w:cs="仿宋_GB2312"/>
          <w:b/>
          <w:bCs/>
          <w:color w:val="auto"/>
          <w:sz w:val="28"/>
          <w:szCs w:val="28"/>
          <w:highlight w:val="none"/>
        </w:rPr>
      </w:pPr>
      <w:r>
        <w:rPr>
          <w:rFonts w:hint="eastAsia" w:ascii="黑体" w:hAnsi="黑体" w:eastAsia="黑体" w:cs="黑体"/>
          <w:b w:val="0"/>
          <w:bCs w:val="0"/>
          <w:color w:val="auto"/>
          <w:kern w:val="0"/>
          <w:sz w:val="28"/>
          <w:szCs w:val="28"/>
          <w:highlight w:val="none"/>
          <w:lang w:val="en-US" w:eastAsia="zh-CN" w:bidi="ar-SA"/>
        </w:rPr>
        <w:t>三、采购组织形式（勾选）：</w:t>
      </w:r>
      <w:r>
        <w:rPr>
          <w:rFonts w:hint="eastAsia" w:ascii="仿宋_GB2312" w:hAnsi="仿宋_GB2312" w:eastAsia="仿宋_GB2312" w:cs="仿宋_GB2312"/>
          <w:color w:val="auto"/>
          <w:sz w:val="28"/>
          <w:szCs w:val="28"/>
          <w:highlight w:val="none"/>
        </w:rPr>
        <w:t>政府集中采购□、院内集中采购☑、院内委托代理采购□、集团联合采购□、其他□。</w:t>
      </w:r>
    </w:p>
    <w:p w14:paraId="12421ECD">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color w:val="auto"/>
          <w:highlight w:val="none"/>
        </w:rPr>
      </w:pPr>
      <w:r>
        <w:rPr>
          <w:rFonts w:hint="eastAsia" w:ascii="黑体" w:hAnsi="黑体" w:eastAsia="黑体" w:cs="黑体"/>
          <w:b w:val="0"/>
          <w:bCs w:val="0"/>
          <w:color w:val="auto"/>
          <w:kern w:val="0"/>
          <w:sz w:val="28"/>
          <w:szCs w:val="28"/>
          <w:highlight w:val="none"/>
          <w:lang w:val="en-US" w:eastAsia="zh-CN" w:bidi="ar-SA"/>
        </w:rPr>
        <w:t>四、采购方式（勾选）：</w:t>
      </w:r>
      <w:r>
        <w:rPr>
          <w:rFonts w:hint="eastAsia" w:ascii="仿宋_GB2312" w:hAnsi="仿宋_GB2312" w:eastAsia="仿宋_GB2312" w:cs="仿宋_GB2312"/>
          <w:color w:val="auto"/>
          <w:sz w:val="28"/>
          <w:szCs w:val="28"/>
          <w:highlight w:val="none"/>
        </w:rPr>
        <w:t>院内招标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、院内竞价</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、院内邀标□、院内询价</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、竞争性磋商□、院内直接议价□、其他□。</w:t>
      </w:r>
    </w:p>
    <w:p w14:paraId="732C4BBB">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黑体" w:hAnsi="黑体" w:eastAsia="黑体" w:cs="黑体"/>
          <w:b w:val="0"/>
          <w:bCs w:val="0"/>
          <w:color w:val="auto"/>
          <w:kern w:val="0"/>
          <w:sz w:val="28"/>
          <w:szCs w:val="28"/>
          <w:highlight w:val="none"/>
          <w:lang w:val="en-US" w:eastAsia="zh-CN" w:bidi="ar-SA"/>
        </w:rPr>
      </w:pPr>
      <w:r>
        <w:rPr>
          <w:rFonts w:hint="eastAsia" w:ascii="黑体" w:hAnsi="黑体" w:eastAsia="黑体" w:cs="黑体"/>
          <w:b w:val="0"/>
          <w:bCs w:val="0"/>
          <w:color w:val="auto"/>
          <w:kern w:val="0"/>
          <w:sz w:val="28"/>
          <w:szCs w:val="28"/>
          <w:highlight w:val="none"/>
          <w:lang w:val="en-US" w:eastAsia="zh-CN" w:bidi="ar-SA"/>
        </w:rPr>
        <w:t>五、投标人资格要求</w:t>
      </w:r>
    </w:p>
    <w:p w14:paraId="3C26669D">
      <w:pPr>
        <w:pStyle w:val="25"/>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楷体_GB2312" w:hAnsi="楷体_GB2312" w:eastAsia="楷体_GB2312" w:cs="楷体_GB2312"/>
          <w:color w:val="auto"/>
          <w:kern w:val="2"/>
          <w:sz w:val="28"/>
          <w:szCs w:val="28"/>
          <w:highlight w:val="none"/>
          <w:lang w:val="en-US" w:eastAsia="zh-CN" w:bidi="ar-SA"/>
        </w:rPr>
      </w:pPr>
      <w:r>
        <w:rPr>
          <w:rFonts w:hint="eastAsia" w:ascii="楷体_GB2312" w:hAnsi="楷体_GB2312" w:eastAsia="楷体_GB2312" w:cs="楷体_GB2312"/>
          <w:color w:val="auto"/>
          <w:kern w:val="2"/>
          <w:sz w:val="28"/>
          <w:szCs w:val="28"/>
          <w:highlight w:val="none"/>
          <w:lang w:val="en-US" w:eastAsia="zh-CN" w:bidi="ar-SA"/>
        </w:rPr>
        <w:t>（一）基本资格条件</w:t>
      </w:r>
    </w:p>
    <w:p w14:paraId="47520111">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满足《中华人民共和国政府采购法》第二十二条规定（须提供具有独立承担民事责任能力的法人或其他组织的营业执照或法人证书等证明材料复印件或扫描件以及《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186BE9DD">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2.落实政府采购政策需满足的资格要求：无。</w:t>
      </w:r>
    </w:p>
    <w:p w14:paraId="0EDD15FE">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560" w:firstLineChars="200"/>
        <w:jc w:val="left"/>
        <w:textAlignment w:val="auto"/>
        <w:rPr>
          <w:rFonts w:hint="eastAsia" w:ascii="楷体_GB2312" w:hAnsi="楷体_GB2312" w:eastAsia="楷体_GB2312" w:cs="楷体_GB2312"/>
          <w:color w:val="auto"/>
          <w:kern w:val="2"/>
          <w:sz w:val="28"/>
          <w:szCs w:val="28"/>
          <w:highlight w:val="none"/>
          <w:lang w:val="en-US" w:eastAsia="zh-CN" w:bidi="ar-SA"/>
        </w:rPr>
      </w:pPr>
      <w:r>
        <w:rPr>
          <w:rFonts w:hint="eastAsia" w:ascii="楷体_GB2312" w:hAnsi="楷体_GB2312" w:eastAsia="楷体_GB2312" w:cs="楷体_GB2312"/>
          <w:color w:val="auto"/>
          <w:kern w:val="2"/>
          <w:sz w:val="28"/>
          <w:szCs w:val="28"/>
          <w:highlight w:val="none"/>
          <w:lang w:val="en-US" w:eastAsia="zh-CN" w:bidi="ar-SA"/>
        </w:rPr>
        <w:t>（二）本项目的特定资格要求</w:t>
      </w:r>
    </w:p>
    <w:p w14:paraId="1EE9C358">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1.参与本项目投标前三年内，在经营活动中没有重大违法记录（须按本项目投标文件格式要求提供《投标及履约承诺函》加盖投标人公章）；</w:t>
      </w:r>
    </w:p>
    <w:p w14:paraId="088D2815">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2.参与本项目政府采购活动时不存在被有关部门禁止参与政府采购活动且在有效期内的情况（须按本项目投标文件格式要求提供《投标及履约承诺函》加盖投标人公章）；</w:t>
      </w:r>
    </w:p>
    <w:p w14:paraId="65D044AE">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3.单位负责人为同一人或者存在直接控股、管理关系的不同供应商，不得参加同一合同项下的政府采购活动（须按本项目投标文件格式要求提供《投标及履约承诺函》加盖投标人公章）；</w:t>
      </w:r>
    </w:p>
    <w:p w14:paraId="4FE3A045">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除单一来源采购项目外，为采购项目提供整体设计、规范编制或者项目管理、监理、检测等服务的供应商，不得再参加该采购项目的其他采购活动（须按本项目投标文件格式要求提供《投标及履约承诺函》加盖投标人公章）；</w:t>
      </w:r>
    </w:p>
    <w:p w14:paraId="4CA7011C">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5.参与本项目不存在《深圳市财政局政府采购供应商信用信息管理办法》列明的严重违法失信行为（须按本项目投标文件格式要求提供《投标及履约承诺函》加盖投标人公章）；</w:t>
      </w:r>
    </w:p>
    <w:p w14:paraId="7BD6F9D3">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6.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6C10AEB0">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7.投标人未被列入失信被执行人、重大税收违法案件当事人名单及政府采购严重违法失信行为记录名单（“信用中国”“信用服务”栏的“重大税收违法失信主体”“失信被执行人”，“中国政府采购网”“政府采购严重违法失信行为记录名单”以及“深圳市政府采购监管网”为投标人信用信息查询渠道，相关信息以开标当日的查询结果为准；</w:t>
      </w:r>
    </w:p>
    <w:p w14:paraId="1526668F">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8.投标人须提供国家企业信用信息公示系统或机关赋码和事业单位登记管理网或全国社会组织信用信息公示平台网站截图，作为不同供应商之间不存在单位负责人为同一人或者直接控股、管理关系的补充证明；</w:t>
      </w:r>
    </w:p>
    <w:p w14:paraId="23E4FB03">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9.本项目不接受联合体投标，不允许分包或转包；</w:t>
      </w:r>
    </w:p>
    <w:p w14:paraId="7E22F9F3">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10.本项目不接受进口产品投标（进口产品是指通过中国海关报关验放进入中国境内且产自关境外的产品）。</w:t>
      </w:r>
    </w:p>
    <w:p w14:paraId="25DCA683">
      <w:pPr>
        <w:widowControl/>
        <w:numPr>
          <w:ilvl w:val="-1"/>
          <w:numId w:val="0"/>
        </w:numPr>
        <w:spacing w:line="500" w:lineRule="exact"/>
        <w:ind w:lef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三</w:t>
      </w:r>
      <w:r>
        <w:rPr>
          <w:rFonts w:hint="eastAsia" w:ascii="仿宋_GB2312" w:hAnsi="仿宋_GB2312" w:eastAsia="仿宋_GB2312" w:cs="仿宋_GB2312"/>
          <w:color w:val="auto"/>
          <w:sz w:val="28"/>
          <w:szCs w:val="28"/>
          <w:highlight w:val="none"/>
        </w:rPr>
        <w:t>）特殊要求</w:t>
      </w:r>
    </w:p>
    <w:p w14:paraId="541E9E2D">
      <w:pPr>
        <w:widowControl/>
        <w:numPr>
          <w:ilvl w:val="-1"/>
          <w:numId w:val="0"/>
        </w:numPr>
        <w:spacing w:line="500" w:lineRule="exact"/>
        <w:ind w:leftChars="0" w:firstLine="560" w:firstLineChars="200"/>
        <w:rPr>
          <w:rFonts w:hint="eastAsia"/>
          <w:color w:val="auto"/>
          <w:lang w:val="en-US" w:eastAsia="zh-CN"/>
        </w:rPr>
      </w:pPr>
      <w:r>
        <w:rPr>
          <w:rFonts w:hint="eastAsia" w:ascii="仿宋_GB2312" w:hAnsi="仿宋_GB2312" w:eastAsia="仿宋_GB2312" w:cs="仿宋_GB2312"/>
          <w:color w:val="auto"/>
          <w:sz w:val="28"/>
          <w:szCs w:val="28"/>
          <w:highlight w:val="none"/>
          <w:lang w:val="en-US" w:eastAsia="zh-CN"/>
        </w:rPr>
        <w:t>投标人须具有合法有效的《食品生产许可证》或《食品经营许可证》（提供相关证件复印件）。</w:t>
      </w:r>
    </w:p>
    <w:p w14:paraId="58CEFFC8">
      <w:pPr>
        <w:keepLines w:val="0"/>
        <w:pageBreakBefore w:val="0"/>
        <w:kinsoku/>
        <w:wordWrap/>
        <w:overflowPunct/>
        <w:topLinePunct w:val="0"/>
        <w:bidi w:val="0"/>
        <w:spacing w:line="560" w:lineRule="exact"/>
        <w:ind w:firstLine="562" w:firstLineChars="200"/>
        <w:rPr>
          <w:rFonts w:hint="default" w:ascii="仿宋_GB2312" w:hAnsi="仿宋_GB2312" w:eastAsia="仿宋_GB2312" w:cs="仿宋_GB2312"/>
          <w:b/>
          <w:bCs/>
          <w:kern w:val="0"/>
          <w:sz w:val="28"/>
          <w:szCs w:val="28"/>
          <w:highlight w:val="none"/>
          <w:lang w:val="en-US" w:eastAsia="zh-CN" w:bidi="ar-SA"/>
        </w:rPr>
      </w:pPr>
      <w:r>
        <w:rPr>
          <w:rFonts w:hint="eastAsia" w:ascii="仿宋_GB2312" w:hAnsi="仿宋_GB2312" w:eastAsia="仿宋_GB2312" w:cs="仿宋_GB2312"/>
          <w:b/>
          <w:bCs/>
          <w:kern w:val="0"/>
          <w:sz w:val="28"/>
          <w:szCs w:val="28"/>
          <w:highlight w:val="none"/>
          <w:lang w:val="en-US" w:eastAsia="zh-CN" w:bidi="ar-SA"/>
        </w:rPr>
        <w:t>六、采购清单</w:t>
      </w:r>
    </w:p>
    <w:tbl>
      <w:tblPr>
        <w:tblStyle w:val="18"/>
        <w:tblW w:w="89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3625"/>
        <w:gridCol w:w="695"/>
        <w:gridCol w:w="668"/>
        <w:gridCol w:w="1009"/>
        <w:gridCol w:w="1241"/>
        <w:gridCol w:w="1187"/>
      </w:tblGrid>
      <w:tr w14:paraId="614E8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24" w:type="dxa"/>
            <w:vAlign w:val="center"/>
          </w:tcPr>
          <w:p w14:paraId="54EA2CC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color w:val="auto"/>
                <w:sz w:val="22"/>
                <w:szCs w:val="22"/>
                <w:highlight w:val="none"/>
              </w:rPr>
            </w:pPr>
            <w:r>
              <w:rPr>
                <w:rFonts w:hint="default" w:ascii="Times New Roman" w:hAnsi="Times New Roman" w:eastAsia="宋体" w:cs="Times New Roman"/>
                <w:b/>
                <w:bCs/>
                <w:color w:val="auto"/>
                <w:kern w:val="0"/>
                <w:sz w:val="22"/>
                <w:szCs w:val="22"/>
                <w:highlight w:val="none"/>
                <w:lang w:bidi="ar"/>
              </w:rPr>
              <w:t>序号</w:t>
            </w:r>
          </w:p>
        </w:tc>
        <w:tc>
          <w:tcPr>
            <w:tcW w:w="3625" w:type="dxa"/>
            <w:vAlign w:val="center"/>
          </w:tcPr>
          <w:p w14:paraId="7E76919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color w:val="auto"/>
                <w:sz w:val="22"/>
                <w:szCs w:val="22"/>
                <w:highlight w:val="none"/>
              </w:rPr>
            </w:pPr>
            <w:r>
              <w:rPr>
                <w:rFonts w:hint="default" w:ascii="Times New Roman" w:hAnsi="Times New Roman" w:eastAsia="宋体" w:cs="Times New Roman"/>
                <w:b/>
                <w:bCs/>
                <w:color w:val="auto"/>
                <w:kern w:val="0"/>
                <w:sz w:val="22"/>
                <w:szCs w:val="22"/>
                <w:highlight w:val="none"/>
                <w:lang w:bidi="ar"/>
              </w:rPr>
              <w:t>货物名称</w:t>
            </w:r>
          </w:p>
        </w:tc>
        <w:tc>
          <w:tcPr>
            <w:tcW w:w="695" w:type="dxa"/>
            <w:shd w:val="clear" w:color="auto" w:fill="auto"/>
            <w:vAlign w:val="center"/>
          </w:tcPr>
          <w:p w14:paraId="7E122BF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color w:val="auto"/>
                <w:sz w:val="22"/>
                <w:szCs w:val="22"/>
                <w:highlight w:val="none"/>
              </w:rPr>
            </w:pPr>
            <w:r>
              <w:rPr>
                <w:rFonts w:hint="default" w:ascii="Times New Roman" w:hAnsi="Times New Roman" w:eastAsia="宋体" w:cs="Times New Roman"/>
                <w:b/>
                <w:bCs/>
                <w:color w:val="auto"/>
                <w:kern w:val="0"/>
                <w:sz w:val="22"/>
                <w:szCs w:val="22"/>
                <w:highlight w:val="none"/>
                <w:lang w:bidi="ar"/>
              </w:rPr>
              <w:t>数量</w:t>
            </w:r>
          </w:p>
        </w:tc>
        <w:tc>
          <w:tcPr>
            <w:tcW w:w="668" w:type="dxa"/>
            <w:shd w:val="clear" w:color="auto" w:fill="auto"/>
            <w:vAlign w:val="center"/>
          </w:tcPr>
          <w:p w14:paraId="0B81BFC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color w:val="auto"/>
                <w:kern w:val="0"/>
                <w:sz w:val="22"/>
                <w:szCs w:val="22"/>
                <w:highlight w:val="none"/>
                <w:lang w:bidi="ar"/>
              </w:rPr>
            </w:pPr>
            <w:r>
              <w:rPr>
                <w:rFonts w:hint="default" w:ascii="Times New Roman" w:hAnsi="Times New Roman" w:eastAsia="宋体" w:cs="Times New Roman"/>
                <w:b/>
                <w:bCs/>
                <w:color w:val="auto"/>
                <w:kern w:val="0"/>
                <w:sz w:val="22"/>
                <w:szCs w:val="22"/>
                <w:highlight w:val="none"/>
                <w:lang w:bidi="ar"/>
              </w:rPr>
              <w:t>单位</w:t>
            </w:r>
          </w:p>
        </w:tc>
        <w:tc>
          <w:tcPr>
            <w:tcW w:w="1009" w:type="dxa"/>
            <w:vAlign w:val="center"/>
          </w:tcPr>
          <w:p w14:paraId="478949E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b/>
                <w:bCs/>
                <w:color w:val="auto"/>
                <w:sz w:val="22"/>
                <w:szCs w:val="22"/>
                <w:highlight w:val="none"/>
                <w:lang w:eastAsia="zh-CN"/>
              </w:rPr>
            </w:pPr>
            <w:r>
              <w:rPr>
                <w:rFonts w:hint="default" w:ascii="Times New Roman" w:hAnsi="Times New Roman" w:eastAsia="宋体" w:cs="Times New Roman"/>
                <w:b/>
                <w:bCs/>
                <w:color w:val="auto"/>
                <w:sz w:val="22"/>
                <w:szCs w:val="22"/>
                <w:highlight w:val="none"/>
              </w:rPr>
              <w:t>单</w:t>
            </w:r>
            <w:r>
              <w:rPr>
                <w:rFonts w:hint="eastAsia" w:ascii="Times New Roman" w:hAnsi="Times New Roman" w:cs="Times New Roman"/>
                <w:b/>
                <w:bCs/>
                <w:color w:val="auto"/>
                <w:sz w:val="22"/>
                <w:szCs w:val="22"/>
                <w:highlight w:val="none"/>
                <w:lang w:val="en-US" w:eastAsia="zh-CN"/>
              </w:rPr>
              <w:t>价</w:t>
            </w:r>
          </w:p>
          <w:p w14:paraId="2F90C3A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color w:val="auto"/>
                <w:kern w:val="0"/>
                <w:sz w:val="22"/>
                <w:szCs w:val="22"/>
                <w:highlight w:val="none"/>
                <w:lang w:bidi="ar"/>
              </w:rPr>
            </w:pPr>
            <w:r>
              <w:rPr>
                <w:rFonts w:hint="default" w:ascii="Times New Roman" w:hAnsi="Times New Roman" w:eastAsia="宋体" w:cs="Times New Roman"/>
                <w:b/>
                <w:color w:val="auto"/>
                <w:sz w:val="22"/>
                <w:szCs w:val="22"/>
                <w:highlight w:val="none"/>
              </w:rPr>
              <w:t>（</w:t>
            </w:r>
            <w:r>
              <w:rPr>
                <w:rFonts w:hint="eastAsia" w:ascii="Times New Roman" w:hAnsi="Times New Roman" w:cs="Times New Roman"/>
                <w:b/>
                <w:color w:val="auto"/>
                <w:sz w:val="22"/>
                <w:szCs w:val="22"/>
                <w:highlight w:val="none"/>
                <w:lang w:eastAsia="zh-CN"/>
              </w:rPr>
              <w:t>万</w:t>
            </w:r>
            <w:r>
              <w:rPr>
                <w:rFonts w:hint="default" w:ascii="Times New Roman" w:hAnsi="Times New Roman" w:eastAsia="宋体" w:cs="Times New Roman"/>
                <w:b/>
                <w:color w:val="auto"/>
                <w:sz w:val="22"/>
                <w:szCs w:val="22"/>
                <w:highlight w:val="none"/>
              </w:rPr>
              <w:t>元）</w:t>
            </w:r>
          </w:p>
        </w:tc>
        <w:tc>
          <w:tcPr>
            <w:tcW w:w="1241" w:type="dxa"/>
            <w:vAlign w:val="center"/>
          </w:tcPr>
          <w:p w14:paraId="5B11E75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color w:val="auto"/>
                <w:kern w:val="0"/>
                <w:sz w:val="22"/>
                <w:szCs w:val="22"/>
                <w:highlight w:val="none"/>
                <w:lang w:bidi="ar"/>
              </w:rPr>
            </w:pPr>
            <w:r>
              <w:rPr>
                <w:rFonts w:hint="eastAsia" w:ascii="Times New Roman" w:hAnsi="Times New Roman" w:eastAsia="宋体" w:cs="Times New Roman"/>
                <w:b/>
                <w:bCs/>
                <w:color w:val="auto"/>
                <w:sz w:val="22"/>
                <w:szCs w:val="22"/>
                <w:highlight w:val="none"/>
                <w:lang w:val="en-US" w:eastAsia="zh-CN"/>
              </w:rPr>
              <w:t>总</w:t>
            </w:r>
            <w:r>
              <w:rPr>
                <w:rFonts w:hint="default" w:ascii="Times New Roman" w:hAnsi="Times New Roman" w:eastAsia="宋体" w:cs="Times New Roman"/>
                <w:b/>
                <w:bCs/>
                <w:color w:val="auto"/>
                <w:sz w:val="22"/>
                <w:szCs w:val="22"/>
                <w:highlight w:val="none"/>
              </w:rPr>
              <w:t>预算</w:t>
            </w:r>
            <w:r>
              <w:rPr>
                <w:rFonts w:hint="eastAsia" w:ascii="Times New Roman" w:hAnsi="Times New Roman" w:eastAsia="宋体" w:cs="Times New Roman"/>
                <w:b/>
                <w:bCs/>
                <w:color w:val="auto"/>
                <w:sz w:val="22"/>
                <w:szCs w:val="22"/>
                <w:highlight w:val="none"/>
                <w:lang w:val="en-US" w:eastAsia="zh-CN"/>
              </w:rPr>
              <w:t>限价</w:t>
            </w:r>
            <w:r>
              <w:rPr>
                <w:rFonts w:hint="default" w:ascii="Times New Roman" w:hAnsi="Times New Roman" w:eastAsia="宋体" w:cs="Times New Roman"/>
                <w:b/>
                <w:bCs/>
                <w:color w:val="auto"/>
                <w:sz w:val="22"/>
                <w:szCs w:val="22"/>
                <w:highlight w:val="none"/>
              </w:rPr>
              <w:t>（</w:t>
            </w:r>
            <w:r>
              <w:rPr>
                <w:rFonts w:hint="eastAsia" w:ascii="Times New Roman" w:hAnsi="Times New Roman" w:eastAsia="宋体" w:cs="Times New Roman"/>
                <w:b/>
                <w:color w:val="auto"/>
                <w:sz w:val="22"/>
                <w:szCs w:val="22"/>
                <w:highlight w:val="none"/>
                <w:lang w:val="en-US" w:eastAsia="zh-CN"/>
              </w:rPr>
              <w:t>万</w:t>
            </w:r>
            <w:r>
              <w:rPr>
                <w:rFonts w:hint="default" w:ascii="Times New Roman" w:hAnsi="Times New Roman" w:eastAsia="宋体" w:cs="Times New Roman"/>
                <w:b/>
                <w:bCs/>
                <w:color w:val="auto"/>
                <w:sz w:val="22"/>
                <w:szCs w:val="22"/>
                <w:highlight w:val="none"/>
              </w:rPr>
              <w:t>元）</w:t>
            </w:r>
          </w:p>
        </w:tc>
        <w:tc>
          <w:tcPr>
            <w:tcW w:w="1187" w:type="dxa"/>
            <w:vAlign w:val="center"/>
          </w:tcPr>
          <w:p w14:paraId="70DDDC4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color w:val="auto"/>
                <w:sz w:val="22"/>
                <w:szCs w:val="22"/>
                <w:highlight w:val="none"/>
                <w:lang w:val="en-US" w:eastAsia="zh-CN"/>
              </w:rPr>
            </w:pPr>
            <w:r>
              <w:rPr>
                <w:rFonts w:hint="eastAsia" w:ascii="Times New Roman" w:hAnsi="Times New Roman" w:eastAsia="宋体" w:cs="Times New Roman"/>
                <w:b/>
                <w:bCs/>
                <w:color w:val="auto"/>
                <w:sz w:val="22"/>
                <w:szCs w:val="22"/>
                <w:highlight w:val="none"/>
                <w:lang w:val="en-US" w:eastAsia="zh-CN"/>
              </w:rPr>
              <w:t>进口/国产</w:t>
            </w:r>
          </w:p>
        </w:tc>
      </w:tr>
      <w:tr w14:paraId="7C7DF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524" w:type="dxa"/>
            <w:vAlign w:val="center"/>
          </w:tcPr>
          <w:p w14:paraId="79FE3938">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bCs/>
                <w:color w:val="auto"/>
                <w:sz w:val="22"/>
                <w:szCs w:val="22"/>
                <w:highlight w:val="none"/>
              </w:rPr>
            </w:pPr>
            <w:r>
              <w:rPr>
                <w:rFonts w:hint="default" w:ascii="Times New Roman" w:hAnsi="Times New Roman" w:eastAsia="宋体" w:cs="Times New Roman"/>
                <w:bCs/>
                <w:color w:val="auto"/>
                <w:sz w:val="22"/>
                <w:szCs w:val="22"/>
                <w:highlight w:val="none"/>
              </w:rPr>
              <w:t>1</w:t>
            </w:r>
          </w:p>
        </w:tc>
        <w:tc>
          <w:tcPr>
            <w:tcW w:w="3625" w:type="dxa"/>
            <w:vAlign w:val="center"/>
          </w:tcPr>
          <w:p w14:paraId="682576C4">
            <w:pPr>
              <w:pStyle w:val="25"/>
              <w:numPr>
                <w:ilvl w:val="0"/>
                <w:numId w:val="0"/>
              </w:numPr>
              <w:spacing w:line="460" w:lineRule="exact"/>
              <w:jc w:val="both"/>
              <w:rPr>
                <w:rFonts w:hint="default" w:ascii="Times New Roman" w:hAnsi="Times New Roman" w:eastAsia="宋体" w:cs="Times New Roman"/>
                <w:bCs/>
                <w:color w:val="auto"/>
                <w:sz w:val="22"/>
                <w:szCs w:val="22"/>
                <w:highlight w:val="none"/>
                <w:lang w:val="en-US" w:eastAsia="zh-CN"/>
              </w:rPr>
            </w:pPr>
            <w:r>
              <w:rPr>
                <w:rFonts w:hint="eastAsia" w:ascii="Times New Roman" w:hAnsi="Times New Roman" w:eastAsia="宋体" w:cs="Times New Roman"/>
                <w:bCs/>
                <w:color w:val="auto"/>
                <w:kern w:val="2"/>
                <w:sz w:val="22"/>
                <w:szCs w:val="22"/>
                <w:highlight w:val="none"/>
                <w:lang w:val="en-US" w:eastAsia="zh-CN" w:bidi="ar-SA"/>
              </w:rPr>
              <w:t>深圳市龙岗区第七人民医院2026-2027年度工会会员生日蛋糕券</w:t>
            </w:r>
          </w:p>
        </w:tc>
        <w:tc>
          <w:tcPr>
            <w:tcW w:w="695" w:type="dxa"/>
            <w:vAlign w:val="center"/>
          </w:tcPr>
          <w:p w14:paraId="13A2886D">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bCs/>
                <w:color w:val="auto"/>
                <w:sz w:val="22"/>
                <w:szCs w:val="22"/>
                <w:highlight w:val="none"/>
                <w:lang w:val="en-US" w:eastAsia="zh-CN"/>
              </w:rPr>
            </w:pPr>
            <w:r>
              <w:rPr>
                <w:rFonts w:hint="eastAsia" w:ascii="Times New Roman" w:hAnsi="Times New Roman" w:cs="Times New Roman"/>
                <w:bCs/>
                <w:color w:val="auto"/>
                <w:sz w:val="22"/>
                <w:szCs w:val="22"/>
                <w:highlight w:val="none"/>
                <w:lang w:val="en-US" w:eastAsia="zh-CN"/>
              </w:rPr>
              <w:t>436</w:t>
            </w:r>
          </w:p>
        </w:tc>
        <w:tc>
          <w:tcPr>
            <w:tcW w:w="668" w:type="dxa"/>
            <w:vAlign w:val="center"/>
          </w:tcPr>
          <w:p w14:paraId="67A14BEE">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宋体" w:cs="Times New Roman"/>
                <w:bCs/>
                <w:color w:val="auto"/>
                <w:sz w:val="22"/>
                <w:szCs w:val="22"/>
                <w:highlight w:val="none"/>
                <w:lang w:eastAsia="zh-CN"/>
              </w:rPr>
            </w:pPr>
            <w:r>
              <w:rPr>
                <w:rFonts w:hint="eastAsia" w:ascii="Times New Roman" w:hAnsi="Times New Roman" w:cs="Times New Roman"/>
                <w:bCs/>
                <w:color w:val="auto"/>
                <w:sz w:val="22"/>
                <w:szCs w:val="22"/>
                <w:highlight w:val="none"/>
                <w:lang w:eastAsia="zh-CN"/>
              </w:rPr>
              <w:t>份</w:t>
            </w:r>
          </w:p>
        </w:tc>
        <w:tc>
          <w:tcPr>
            <w:tcW w:w="1009" w:type="dxa"/>
            <w:vAlign w:val="center"/>
          </w:tcPr>
          <w:p w14:paraId="0DBDB8E7">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bCs/>
                <w:color w:val="auto"/>
                <w:sz w:val="22"/>
                <w:szCs w:val="22"/>
                <w:highlight w:val="none"/>
                <w:lang w:val="en-US"/>
              </w:rPr>
            </w:pPr>
            <w:r>
              <w:rPr>
                <w:rFonts w:hint="eastAsia" w:cs="Times New Roman"/>
                <w:bCs/>
                <w:color w:val="auto"/>
                <w:sz w:val="22"/>
                <w:szCs w:val="22"/>
                <w:highlight w:val="none"/>
                <w:lang w:val="en-US" w:eastAsia="zh-CN"/>
              </w:rPr>
              <w:t>0.03</w:t>
            </w:r>
          </w:p>
        </w:tc>
        <w:tc>
          <w:tcPr>
            <w:tcW w:w="1241" w:type="dxa"/>
            <w:vAlign w:val="center"/>
          </w:tcPr>
          <w:p w14:paraId="264AFD33">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bCs/>
                <w:color w:val="auto"/>
                <w:sz w:val="22"/>
                <w:szCs w:val="22"/>
                <w:highlight w:val="none"/>
                <w:lang w:val="en-US"/>
              </w:rPr>
            </w:pPr>
            <w:r>
              <w:rPr>
                <w:rFonts w:hint="eastAsia" w:cs="Times New Roman"/>
                <w:bCs/>
                <w:color w:val="auto"/>
                <w:sz w:val="22"/>
                <w:szCs w:val="22"/>
                <w:highlight w:val="none"/>
                <w:lang w:val="en-US" w:eastAsia="zh-CN"/>
              </w:rPr>
              <w:t>13.08</w:t>
            </w:r>
          </w:p>
        </w:tc>
        <w:tc>
          <w:tcPr>
            <w:tcW w:w="1187" w:type="dxa"/>
            <w:vAlign w:val="center"/>
          </w:tcPr>
          <w:p w14:paraId="7458CAF0">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bCs/>
                <w:color w:val="auto"/>
                <w:sz w:val="22"/>
                <w:szCs w:val="22"/>
                <w:highlight w:val="none"/>
              </w:rPr>
            </w:pPr>
            <w:r>
              <w:rPr>
                <w:rFonts w:hint="default" w:ascii="Times New Roman" w:hAnsi="Times New Roman" w:eastAsia="宋体" w:cs="Times New Roman"/>
                <w:bCs/>
                <w:color w:val="auto"/>
                <w:sz w:val="22"/>
                <w:szCs w:val="22"/>
                <w:highlight w:val="none"/>
              </w:rPr>
              <w:t>拒绝进口</w:t>
            </w:r>
          </w:p>
        </w:tc>
      </w:tr>
    </w:tbl>
    <w:p w14:paraId="169AFB67">
      <w:pPr>
        <w:pStyle w:val="25"/>
        <w:spacing w:line="560" w:lineRule="exact"/>
        <w:ind w:firstLine="562" w:firstLineChars="200"/>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七、服务内容及要求</w:t>
      </w:r>
    </w:p>
    <w:p w14:paraId="47EBA510">
      <w:pPr>
        <w:widowControl/>
        <w:numPr>
          <w:ilvl w:val="-1"/>
          <w:numId w:val="0"/>
        </w:numPr>
        <w:spacing w:line="500" w:lineRule="exact"/>
        <w:ind w:leftChars="0"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（一）投标</w:t>
      </w:r>
      <w:r>
        <w:rPr>
          <w:rFonts w:hint="eastAsia" w:ascii="仿宋_GB2312" w:hAnsi="仿宋_GB2312" w:eastAsia="仿宋_GB2312" w:cs="仿宋_GB2312"/>
          <w:sz w:val="28"/>
          <w:szCs w:val="28"/>
          <w:highlight w:val="none"/>
          <w:lang w:eastAsia="zh-CN"/>
        </w:rPr>
        <w:t>人</w:t>
      </w:r>
      <w:r>
        <w:rPr>
          <w:rFonts w:hint="eastAsia" w:ascii="仿宋_GB2312" w:hAnsi="仿宋_GB2312" w:eastAsia="仿宋_GB2312" w:cs="仿宋_GB2312"/>
          <w:sz w:val="28"/>
          <w:szCs w:val="28"/>
          <w:highlight w:val="none"/>
        </w:rPr>
        <w:t>为具备生产或销售资格的连锁机构</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产品品质优良，口碑好，价格合理，方便购买。</w:t>
      </w:r>
    </w:p>
    <w:p w14:paraId="707CA63F">
      <w:pPr>
        <w:widowControl/>
        <w:numPr>
          <w:ilvl w:val="-1"/>
          <w:numId w:val="0"/>
        </w:numPr>
        <w:spacing w:line="500" w:lineRule="exact"/>
        <w:ind w:leftChars="0"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二</w:t>
      </w:r>
      <w:r>
        <w:rPr>
          <w:rFonts w:hint="eastAsia" w:ascii="仿宋_GB2312" w:hAnsi="仿宋_GB2312" w:eastAsia="仿宋_GB2312" w:cs="仿宋_GB2312"/>
          <w:sz w:val="28"/>
          <w:szCs w:val="28"/>
          <w:highlight w:val="none"/>
        </w:rPr>
        <w:t>）投标人</w:t>
      </w:r>
      <w:r>
        <w:rPr>
          <w:rFonts w:hint="eastAsia" w:ascii="仿宋_GB2312" w:hAnsi="仿宋_GB2312" w:eastAsia="仿宋_GB2312" w:cs="仿宋_GB2312"/>
          <w:sz w:val="28"/>
          <w:szCs w:val="28"/>
          <w:highlight w:val="none"/>
          <w:lang w:val="en-US" w:eastAsia="zh-CN"/>
        </w:rPr>
        <w:t>所提供货物应来源于正规、合格渠道、全新的，符合中华人民共和国国家质量及国家安全环保标准和其它适用的国家、行业、地方质量标准，满足国家相关法规要求。食品类产品从发放之日起应具有产品相应质保期一半（不含）以上的质保有效期。</w:t>
      </w:r>
    </w:p>
    <w:p w14:paraId="14C9756C">
      <w:pPr>
        <w:widowControl/>
        <w:numPr>
          <w:ilvl w:val="-1"/>
          <w:numId w:val="0"/>
        </w:numPr>
        <w:spacing w:line="500" w:lineRule="exact"/>
        <w:ind w:leftChars="0"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三</w:t>
      </w:r>
      <w:r>
        <w:rPr>
          <w:rFonts w:hint="eastAsia" w:ascii="仿宋_GB2312" w:hAnsi="仿宋_GB2312" w:eastAsia="仿宋_GB2312" w:cs="仿宋_GB2312"/>
          <w:sz w:val="28"/>
          <w:szCs w:val="28"/>
          <w:highlight w:val="none"/>
        </w:rPr>
        <w:t>）投标人无发生食品安全等相关事故和不良诚信记录（提供声明函）。</w:t>
      </w:r>
    </w:p>
    <w:p w14:paraId="3D231A5B">
      <w:pPr>
        <w:widowControl/>
        <w:numPr>
          <w:ilvl w:val="-1"/>
          <w:numId w:val="0"/>
        </w:numPr>
        <w:spacing w:line="500" w:lineRule="exact"/>
        <w:ind w:leftChars="0"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四</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投标人</w:t>
      </w:r>
      <w:r>
        <w:rPr>
          <w:rFonts w:hint="eastAsia" w:ascii="仿宋_GB2312" w:hAnsi="仿宋_GB2312" w:eastAsia="仿宋_GB2312" w:cs="仿宋_GB2312"/>
          <w:sz w:val="28"/>
          <w:szCs w:val="28"/>
          <w:highlight w:val="none"/>
        </w:rPr>
        <w:t>需提供线下及线上服务，且线下及线上服务不得采用拆分蛋糕券金额的方式，需满足蛋糕券整体一券，每次购买相应减扣的方式</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蛋糕券可以购买该公司内的所有产品，并享受当日的优惠活动</w:t>
      </w:r>
      <w:r>
        <w:rPr>
          <w:rFonts w:hint="eastAsia" w:ascii="仿宋_GB2312" w:hAnsi="仿宋_GB2312" w:eastAsia="仿宋_GB2312" w:cs="仿宋_GB2312"/>
          <w:sz w:val="28"/>
          <w:szCs w:val="28"/>
          <w:highlight w:val="none"/>
          <w:lang w:eastAsia="zh-CN"/>
        </w:rPr>
        <w:t>。</w:t>
      </w:r>
    </w:p>
    <w:p w14:paraId="6AEB6557">
      <w:pPr>
        <w:pStyle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五</w:t>
      </w:r>
      <w:r>
        <w:rPr>
          <w:rFonts w:hint="eastAsia" w:ascii="仿宋_GB2312" w:hAnsi="仿宋_GB2312" w:eastAsia="仿宋_GB2312" w:cs="仿宋_GB2312"/>
          <w:sz w:val="28"/>
          <w:szCs w:val="28"/>
          <w:highlight w:val="none"/>
        </w:rPr>
        <w:t>）自采购人将中标通知书发</w:t>
      </w:r>
      <w:r>
        <w:rPr>
          <w:rFonts w:hint="eastAsia" w:ascii="仿宋_GB2312" w:hAnsi="仿宋_GB2312" w:eastAsia="仿宋_GB2312" w:cs="仿宋_GB2312"/>
          <w:kern w:val="2"/>
          <w:sz w:val="28"/>
          <w:szCs w:val="28"/>
          <w:highlight w:val="none"/>
          <w:lang w:val="en-US" w:eastAsia="zh-CN" w:bidi="ar-SA"/>
        </w:rPr>
        <w:t>出之日起，中标人应在10个工作日内与采购人完成合同签订；合同签订后10个工作日内，中标人递交蛋糕券，超过供货期30天未递交的，采</w:t>
      </w:r>
      <w:r>
        <w:rPr>
          <w:rFonts w:hint="eastAsia" w:ascii="仿宋_GB2312" w:hAnsi="仿宋_GB2312" w:eastAsia="仿宋_GB2312" w:cs="仿宋_GB2312"/>
          <w:sz w:val="28"/>
          <w:szCs w:val="28"/>
          <w:highlight w:val="none"/>
        </w:rPr>
        <w:t>购人有权终止合同。</w:t>
      </w:r>
    </w:p>
    <w:p w14:paraId="50D3DEA1">
      <w:pPr>
        <w:widowControl/>
        <w:numPr>
          <w:ilvl w:val="-1"/>
          <w:numId w:val="0"/>
        </w:numPr>
        <w:spacing w:line="500" w:lineRule="exact"/>
        <w:ind w:leftChars="0"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（六）职工凭蛋糕券能够按需要购买蛋糕店的生日蛋糕及店内其他烘焙类产品，价格不得高于店内标价。</w:t>
      </w:r>
    </w:p>
    <w:p w14:paraId="6B9EDDD0">
      <w:pPr>
        <w:widowControl/>
        <w:numPr>
          <w:ilvl w:val="-1"/>
          <w:numId w:val="0"/>
        </w:numPr>
        <w:spacing w:line="500" w:lineRule="exact"/>
        <w:ind w:leftChars="0"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（七）蛋糕券应具备多次使用的功能。未能一次用完券值的，余额可以再次消费，用完为止。</w:t>
      </w:r>
    </w:p>
    <w:p w14:paraId="0C20933B">
      <w:pPr>
        <w:widowControl/>
        <w:numPr>
          <w:ilvl w:val="-1"/>
          <w:numId w:val="0"/>
        </w:numPr>
        <w:spacing w:line="500" w:lineRule="exact"/>
        <w:ind w:leftChars="0"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（八）售后服务：提供专人联系电话，专职负责处理售后问题。</w:t>
      </w:r>
    </w:p>
    <w:p w14:paraId="008D5050">
      <w:pPr>
        <w:widowControl/>
        <w:numPr>
          <w:ilvl w:val="-1"/>
          <w:numId w:val="0"/>
        </w:numPr>
        <w:spacing w:line="500" w:lineRule="exact"/>
        <w:ind w:leftChars="0"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九）属网上配送服务，对于单次消费金额达到80元（含）以上的订单，投标人应提供免费送货上门服务（全深圳市内免费配送，收到订单后在6小时内送达或在订货人指定的时间段内准时送达。（如因恶劣天气、交通管制等不可抗力因素导致配送延迟除外，双方可另行协商））。若单次消费金额不足80元的，订货人有权要求送货上门，且配送费不得超过8元。  </w:t>
      </w:r>
    </w:p>
    <w:p w14:paraId="350239F1">
      <w:pPr>
        <w:widowControl/>
        <w:numPr>
          <w:ilvl w:val="-1"/>
          <w:numId w:val="0"/>
        </w:numPr>
        <w:spacing w:line="500" w:lineRule="exact"/>
        <w:ind w:leftChars="0"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（十）中标人要确保交付给采购人的每张蛋糕券金额和中标金额一致，若发现卡券金额和中标金额不相符的蛋糕券应在3日内更换或补充金额。</w:t>
      </w:r>
    </w:p>
    <w:p w14:paraId="042034CC">
      <w:pPr>
        <w:widowControl/>
        <w:numPr>
          <w:ilvl w:val="-1"/>
          <w:numId w:val="0"/>
        </w:numPr>
        <w:spacing w:line="500" w:lineRule="exact"/>
        <w:ind w:leftChars="0"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（十一）医院职工使用卡券消费食品发生肠胃不适等现象，中标人应2小时作出反应，及时处理纠纷，给予职工相应的赔偿。</w:t>
      </w:r>
    </w:p>
    <w:p w14:paraId="2E61FBEE">
      <w:pPr>
        <w:widowControl/>
        <w:numPr>
          <w:ilvl w:val="-1"/>
          <w:numId w:val="0"/>
        </w:numPr>
        <w:spacing w:line="500" w:lineRule="exact"/>
        <w:ind w:leftChars="0" w:firstLine="560" w:firstLineChars="200"/>
        <w:rPr>
          <w:rFonts w:hint="eastAsia" w:ascii="仿宋_GB2312" w:hAnsi="仿宋_GB2312" w:eastAsia="仿宋_GB2312" w:cs="仿宋_GB2312"/>
          <w:sz w:val="28"/>
          <w:szCs w:val="28"/>
          <w:highlight w:val="none"/>
          <w:lang w:val="en-US" w:eastAsia="zh-CN"/>
        </w:rPr>
      </w:pPr>
      <w:r>
        <w:rPr>
          <w:rFonts w:hint="eastAsia" w:ascii="仿宋" w:hAnsi="仿宋" w:eastAsia="仿宋" w:cs="仿宋"/>
          <w:color w:val="auto"/>
          <w:kern w:val="2"/>
          <w:sz w:val="28"/>
          <w:szCs w:val="28"/>
          <w:highlight w:val="none"/>
          <w:lang w:val="en-US" w:eastAsia="zh-CN" w:bidi="ar-SA"/>
        </w:rPr>
        <w:t>★</w:t>
      </w:r>
      <w:r>
        <w:rPr>
          <w:rFonts w:hint="eastAsia" w:ascii="仿宋_GB2312" w:hAnsi="仿宋_GB2312" w:eastAsia="仿宋_GB2312" w:cs="仿宋_GB2312"/>
          <w:sz w:val="28"/>
          <w:szCs w:val="28"/>
          <w:highlight w:val="none"/>
          <w:lang w:val="en-US" w:eastAsia="zh-CN"/>
        </w:rPr>
        <w:t>（十二）生日蛋糕券有效期至少为24个月（提供承诺函）。</w:t>
      </w:r>
    </w:p>
    <w:p w14:paraId="6E075179">
      <w:pPr>
        <w:pStyle w:val="25"/>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八</w:t>
      </w:r>
      <w:r>
        <w:rPr>
          <w:rFonts w:hint="eastAsia" w:ascii="仿宋_GB2312" w:hAnsi="仿宋_GB2312" w:eastAsia="仿宋_GB2312" w:cs="仿宋_GB2312"/>
          <w:b/>
          <w:bCs/>
          <w:sz w:val="28"/>
          <w:szCs w:val="28"/>
          <w:highlight w:val="none"/>
        </w:rPr>
        <w:t>、验收工作</w:t>
      </w:r>
    </w:p>
    <w:p w14:paraId="20B5ACDE">
      <w:pPr>
        <w:pStyle w:val="2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本项目产品为一次性供货，中标人将货物在规定时间送至指定地点，中标人应保证所供货物是合格产品，符合采购方要求。如发现不符合以上要求，中标人应给予免费更换，产生的一切相关损失由投标人承担。</w:t>
      </w:r>
    </w:p>
    <w:p w14:paraId="76BE25C0">
      <w:pPr>
        <w:pStyle w:val="2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由采购方牵头成立验收小组，收到蛋糕券后立即当面清点，确保采购的生日蛋糕券符合合同约定要求（面值、数量、有效期、使用范围等），确认无问题后在中标方提供的货物签收单签名并出具验收报告。</w:t>
      </w:r>
    </w:p>
    <w:p w14:paraId="4642AB2B">
      <w:pPr>
        <w:pStyle w:val="25"/>
        <w:spacing w:line="460" w:lineRule="exact"/>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九、售后服务</w:t>
      </w:r>
    </w:p>
    <w:p w14:paraId="58C7CAF7">
      <w:pPr>
        <w:pStyle w:val="25"/>
        <w:spacing w:line="460" w:lineRule="exact"/>
        <w:ind w:firstLine="560" w:firstLineChars="200"/>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指定专人24小时内响应问题，若蛋糕券无法使用或发生食品安全事故，供应商须无条件退换并承担相应责任。</w:t>
      </w:r>
    </w:p>
    <w:p w14:paraId="286F1D55">
      <w:pPr>
        <w:pStyle w:val="25"/>
        <w:spacing w:line="560" w:lineRule="exact"/>
        <w:ind w:firstLine="562" w:firstLineChars="200"/>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十、报价要求</w:t>
      </w:r>
    </w:p>
    <w:p w14:paraId="5D1611A8">
      <w:pPr>
        <w:pStyle w:val="25"/>
        <w:spacing w:line="460" w:lineRule="exact"/>
        <w:ind w:firstLine="560" w:firstLineChars="200"/>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采购金额为13.08万元，职工生日蛋糕券价值标准为300.00元/份，投标人在此基础上上浮蛋糕券面金额，以上浮率为投标报价，上浮率最高的投标人价格分满分，其他投标人的价格分计算公式为：价格分=（投标报价上浮率/最高上浮率）</w:t>
      </w:r>
      <w:r>
        <w:rPr>
          <w:rFonts w:hint="default" w:ascii="Arial" w:hAnsi="Arial" w:eastAsia="仿宋_GB2312" w:cs="Arial"/>
          <w:bCs/>
          <w:sz w:val="28"/>
          <w:szCs w:val="28"/>
          <w:highlight w:val="none"/>
          <w:lang w:val="en-US" w:eastAsia="zh-CN"/>
        </w:rPr>
        <w:t>×</w:t>
      </w:r>
      <w:r>
        <w:rPr>
          <w:rFonts w:hint="eastAsia" w:ascii="仿宋_GB2312" w:hAnsi="仿宋_GB2312" w:eastAsia="仿宋_GB2312" w:cs="仿宋_GB2312"/>
          <w:bCs/>
          <w:sz w:val="28"/>
          <w:szCs w:val="28"/>
          <w:highlight w:val="none"/>
          <w:lang w:val="en-US" w:eastAsia="zh-CN"/>
        </w:rPr>
        <w:t>价格分值。例如：投标报价上浮率为20%，则蛋糕券面金额为300</w:t>
      </w:r>
      <w:r>
        <w:rPr>
          <w:rFonts w:hint="default" w:ascii="Arial" w:hAnsi="Arial" w:eastAsia="仿宋_GB2312" w:cs="Arial"/>
          <w:bCs/>
          <w:sz w:val="28"/>
          <w:szCs w:val="28"/>
          <w:highlight w:val="none"/>
          <w:lang w:val="en-US" w:eastAsia="zh-CN"/>
        </w:rPr>
        <w:t>×</w:t>
      </w:r>
      <w:r>
        <w:rPr>
          <w:rFonts w:hint="eastAsia" w:ascii="仿宋_GB2312" w:hAnsi="仿宋_GB2312" w:eastAsia="仿宋_GB2312" w:cs="仿宋_GB2312"/>
          <w:bCs/>
          <w:sz w:val="28"/>
          <w:szCs w:val="28"/>
          <w:highlight w:val="none"/>
          <w:lang w:val="en-US" w:eastAsia="zh-CN"/>
        </w:rPr>
        <w:t>（1+20%）=360元。</w:t>
      </w:r>
    </w:p>
    <w:p w14:paraId="6778F10B">
      <w:pPr>
        <w:pStyle w:val="25"/>
        <w:spacing w:line="460" w:lineRule="exact"/>
        <w:ind w:firstLine="560" w:firstLineChars="200"/>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报价包含货物价格及货物的包装费、运输费、蛋糕卡券费、版面设计费、保险费、利润、伴随服务费及货物验收之前的所有税金。</w:t>
      </w:r>
    </w:p>
    <w:p w14:paraId="4FC80F70">
      <w:pPr>
        <w:pStyle w:val="25"/>
        <w:numPr>
          <w:ilvl w:val="0"/>
          <w:numId w:val="3"/>
        </w:numPr>
        <w:spacing w:line="460" w:lineRule="exact"/>
        <w:ind w:firstLine="562" w:firstLineChars="200"/>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服务</w:t>
      </w:r>
      <w:r>
        <w:rPr>
          <w:rFonts w:hint="eastAsia" w:ascii="仿宋_GB2312" w:hAnsi="仿宋_GB2312" w:eastAsia="仿宋_GB2312" w:cs="仿宋_GB2312"/>
          <w:b/>
          <w:bCs/>
          <w:color w:val="auto"/>
          <w:sz w:val="28"/>
          <w:szCs w:val="28"/>
          <w:highlight w:val="none"/>
          <w:lang w:val="en-US" w:eastAsia="zh-CN"/>
        </w:rPr>
        <w:t>（交货）</w:t>
      </w:r>
      <w:r>
        <w:rPr>
          <w:rFonts w:hint="eastAsia" w:ascii="仿宋_GB2312" w:hAnsi="仿宋_GB2312" w:eastAsia="仿宋_GB2312" w:cs="仿宋_GB2312"/>
          <w:b/>
          <w:bCs/>
          <w:sz w:val="28"/>
          <w:szCs w:val="28"/>
          <w:highlight w:val="none"/>
          <w:lang w:val="en-US" w:eastAsia="zh-CN"/>
        </w:rPr>
        <w:t>期限及付款方式</w:t>
      </w:r>
    </w:p>
    <w:p w14:paraId="3C48C7CD">
      <w:pPr>
        <w:pStyle w:val="25"/>
        <w:numPr>
          <w:ilvl w:val="0"/>
          <w:numId w:val="0"/>
        </w:numPr>
        <w:spacing w:line="460" w:lineRule="exact"/>
        <w:ind w:left="559" w:leftChars="266" w:firstLine="0" w:firstLineChars="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lang w:val="en-US" w:eastAsia="zh-CN" w:bidi="ar-SA"/>
        </w:rPr>
        <w:t>1.交货期限：</w:t>
      </w:r>
      <w:r>
        <w:rPr>
          <w:rFonts w:hint="eastAsia" w:ascii="仿宋_GB2312" w:hAnsi="仿宋_GB2312" w:eastAsia="仿宋_GB2312" w:cs="仿宋_GB2312"/>
          <w:kern w:val="2"/>
          <w:sz w:val="28"/>
          <w:szCs w:val="28"/>
          <w:highlight w:val="none"/>
          <w:lang w:val="en-US" w:eastAsia="zh-CN" w:bidi="ar-SA"/>
        </w:rPr>
        <w:t>签订合同后10个工作日内，中标人将蛋糕券送到采购人指定地点。</w:t>
      </w:r>
    </w:p>
    <w:p w14:paraId="4EEFF2A0">
      <w:pPr>
        <w:pStyle w:val="25"/>
        <w:numPr>
          <w:ilvl w:val="0"/>
          <w:numId w:val="0"/>
        </w:numPr>
        <w:spacing w:line="460" w:lineRule="exact"/>
        <w:ind w:firstLine="560" w:firstLineChars="200"/>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2.</w:t>
      </w:r>
      <w:r>
        <w:rPr>
          <w:rFonts w:hint="eastAsia" w:ascii="仿宋_GB2312" w:hAnsi="仿宋_GB2312" w:eastAsia="仿宋_GB2312" w:cs="仿宋_GB2312"/>
          <w:b w:val="0"/>
          <w:bCs w:val="0"/>
          <w:color w:val="auto"/>
          <w:sz w:val="28"/>
          <w:szCs w:val="28"/>
          <w:highlight w:val="none"/>
        </w:rPr>
        <w:t>付款方式</w:t>
      </w:r>
    </w:p>
    <w:p w14:paraId="3C3A87E9">
      <w:pPr>
        <w:pStyle w:val="25"/>
        <w:numPr>
          <w:ilvl w:val="0"/>
          <w:numId w:val="0"/>
        </w:numPr>
        <w:spacing w:line="460" w:lineRule="exact"/>
        <w:ind w:firstLine="560" w:firstLineChars="200"/>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签订合同后，货物经甲方验收合格并自收到乙方开具的合规发票之日起，10个工作日内支付100%款项。因政府财政部门审批或政策变动等原因而导致价款不能及时到账的，甲方不承担违约责任。乙方不能提供合格发票的，甲方有权延迟付款或拒绝付款，由此产生的法律责任由乙方自行承担。</w:t>
      </w:r>
    </w:p>
    <w:p w14:paraId="677D1ECE">
      <w:pPr>
        <w:pStyle w:val="25"/>
        <w:numPr>
          <w:ilvl w:val="0"/>
          <w:numId w:val="0"/>
        </w:numPr>
        <w:spacing w:line="460" w:lineRule="exact"/>
        <w:ind w:firstLine="560" w:firstLineChars="200"/>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（2）乙方需提供合法合规发票，如提供的发票被税务部门稽查认定为不合规发票，所有责任由乙方承担，乙方应当重新提供合法合规的发票，并按合同票面值支付20%的违约金。</w:t>
      </w:r>
    </w:p>
    <w:p w14:paraId="44AC5BCB">
      <w:pPr>
        <w:pStyle w:val="25"/>
        <w:numPr>
          <w:ilvl w:val="0"/>
          <w:numId w:val="0"/>
        </w:numPr>
        <w:spacing w:line="460" w:lineRule="exact"/>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十二、违约责任</w:t>
      </w:r>
    </w:p>
    <w:p w14:paraId="14FF7260">
      <w:pPr>
        <w:keepLines w:val="0"/>
        <w:pageBreakBefore w:val="0"/>
        <w:widowControl/>
        <w:kinsoku/>
        <w:wordWrap/>
        <w:overflowPunct/>
        <w:topLinePunct w:val="0"/>
        <w:bidi w:val="0"/>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1.甲方无正当理由拒收货物、拒付货物款的，由甲方向乙方偿付拒收货物总价的（</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）%违约金。</w:t>
      </w:r>
    </w:p>
    <w:p w14:paraId="30C2ADF2">
      <w:pPr>
        <w:keepLines w:val="0"/>
        <w:pageBreakBefore w:val="0"/>
        <w:widowControl/>
        <w:kinsoku/>
        <w:wordWrap/>
        <w:overflowPunct/>
        <w:topLinePunct w:val="0"/>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2.甲方未按合同规定的期限向乙方支付货款的，每逾期1天甲方向乙方偿付欠款总额的（</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）%滞纳金，但累计滞纳金总额不超过欠款总额的（</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w:t>
      </w:r>
    </w:p>
    <w:p w14:paraId="55D233CD">
      <w:pPr>
        <w:keepLines w:val="0"/>
        <w:pageBreakBefore w:val="0"/>
        <w:widowControl/>
        <w:kinsoku/>
        <w:wordWrap/>
        <w:overflowPunct/>
        <w:topLinePunct w:val="0"/>
        <w:bidi w:val="0"/>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3.乙方逾期交付货物的</w:t>
      </w:r>
      <w:r>
        <w:rPr>
          <w:rFonts w:hint="eastAsia" w:ascii="仿宋_GB2312" w:hAnsi="仿宋_GB2312" w:eastAsia="仿宋_GB2312" w:cs="仿宋_GB2312"/>
          <w:b w:val="0"/>
          <w:bCs w:val="0"/>
          <w:color w:val="auto"/>
          <w:kern w:val="0"/>
          <w:sz w:val="28"/>
          <w:szCs w:val="28"/>
          <w:highlight w:val="none"/>
          <w:lang w:val="en-US" w:eastAsia="zh-CN" w:bidi="ar-SA"/>
        </w:rPr>
        <w:t>，每逾期1天，乙方向甲方偿付逾期交货部分货款总额的（1）%的滞纳金。如超过供货期30天，甲方有权终止合同，同时乙方应向甲方支付合同总价（5）%的违约金。</w:t>
      </w:r>
      <w:r>
        <w:rPr>
          <w:rFonts w:hint="eastAsia" w:ascii="仿宋" w:hAnsi="仿宋" w:eastAsia="仿宋" w:cs="仿宋"/>
          <w:color w:val="auto"/>
          <w:sz w:val="28"/>
          <w:szCs w:val="28"/>
          <w:highlight w:val="none"/>
        </w:rPr>
        <w:t>给甲方造成损失的将通过法律程序向乙方进行索赔。</w:t>
      </w:r>
    </w:p>
    <w:p w14:paraId="0612FA09">
      <w:pPr>
        <w:pStyle w:val="25"/>
        <w:numPr>
          <w:ilvl w:val="0"/>
          <w:numId w:val="0"/>
        </w:numPr>
        <w:spacing w:line="460" w:lineRule="exact"/>
        <w:ind w:firstLine="560" w:firstLineChars="200"/>
        <w:rPr>
          <w:rFonts w:hint="eastAsia" w:ascii="仿宋_GB2312" w:hAnsi="仿宋_GB2312" w:eastAsia="仿宋" w:cs="仿宋_GB2312"/>
          <w:b w:val="0"/>
          <w:bCs w:val="0"/>
          <w:color w:val="auto"/>
          <w:sz w:val="28"/>
          <w:szCs w:val="28"/>
          <w:highlight w:val="none"/>
          <w:lang w:val="en-US" w:eastAsia="zh-CN"/>
        </w:rPr>
      </w:pPr>
      <w:r>
        <w:rPr>
          <w:rFonts w:hint="eastAsia" w:ascii="仿宋" w:hAnsi="仿宋" w:eastAsia="仿宋" w:cs="仿宋"/>
          <w:color w:val="auto"/>
          <w:sz w:val="28"/>
          <w:szCs w:val="28"/>
          <w:highlight w:val="none"/>
        </w:rPr>
        <w:t>4.乙方所交付的货物品种、型号、规格不符合合同规定的，甲方有权拒收。甲方拒收的，乙方应向甲方支付货款总额（</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）%的违约金</w:t>
      </w:r>
      <w:r>
        <w:rPr>
          <w:rFonts w:hint="eastAsia" w:ascii="仿宋" w:hAnsi="仿宋" w:eastAsia="仿宋" w:cs="仿宋"/>
          <w:color w:val="auto"/>
          <w:sz w:val="28"/>
          <w:szCs w:val="28"/>
          <w:highlight w:val="none"/>
          <w:lang w:eastAsia="zh-CN"/>
        </w:rPr>
        <w:t>。</w:t>
      </w:r>
    </w:p>
    <w:p w14:paraId="6207D5BC">
      <w:pPr>
        <w:pStyle w:val="25"/>
        <w:spacing w:line="560" w:lineRule="exact"/>
        <w:ind w:firstLine="562" w:firstLineChars="200"/>
        <w:rPr>
          <w:rFonts w:hint="eastAsia" w:ascii="楷体_GB2312" w:hAnsi="楷体_GB2312" w:eastAsia="楷体_GB2312" w:cs="楷体_GB2312"/>
          <w:b w:val="0"/>
          <w:bCs w:val="0"/>
          <w:color w:val="auto"/>
          <w:kern w:val="0"/>
          <w:sz w:val="28"/>
          <w:szCs w:val="28"/>
          <w:highlight w:val="none"/>
          <w:lang w:val="en-US" w:eastAsia="zh-CN" w:bidi="ar-SA"/>
        </w:rPr>
      </w:pPr>
      <w:r>
        <w:rPr>
          <w:rFonts w:hint="eastAsia" w:ascii="仿宋_GB2312" w:hAnsi="仿宋_GB2312" w:eastAsia="仿宋_GB2312" w:cs="仿宋_GB2312"/>
          <w:b/>
          <w:bCs/>
          <w:sz w:val="28"/>
          <w:szCs w:val="28"/>
          <w:highlight w:val="none"/>
        </w:rPr>
        <w:t>十</w:t>
      </w:r>
      <w:r>
        <w:rPr>
          <w:rFonts w:hint="eastAsia" w:ascii="仿宋_GB2312" w:hAnsi="仿宋_GB2312" w:eastAsia="仿宋_GB2312" w:cs="仿宋_GB2312"/>
          <w:b/>
          <w:bCs/>
          <w:sz w:val="28"/>
          <w:szCs w:val="28"/>
          <w:highlight w:val="none"/>
          <w:lang w:val="en-US" w:eastAsia="zh-CN"/>
        </w:rPr>
        <w:t>三</w:t>
      </w:r>
      <w:r>
        <w:rPr>
          <w:rFonts w:hint="eastAsia" w:ascii="仿宋_GB2312" w:hAnsi="仿宋_GB2312" w:eastAsia="仿宋_GB2312" w:cs="仿宋_GB2312"/>
          <w:b/>
          <w:bCs/>
          <w:sz w:val="28"/>
          <w:szCs w:val="28"/>
          <w:highlight w:val="none"/>
        </w:rPr>
        <w:t>、项目地点：</w:t>
      </w:r>
      <w:r>
        <w:rPr>
          <w:rFonts w:hint="eastAsia" w:ascii="仿宋_GB2312" w:hAnsi="仿宋_GB2312" w:eastAsia="仿宋_GB2312" w:cs="仿宋_GB2312"/>
          <w:sz w:val="28"/>
          <w:szCs w:val="28"/>
          <w:highlight w:val="none"/>
        </w:rPr>
        <w:t>深圳市</w:t>
      </w:r>
      <w:r>
        <w:rPr>
          <w:rFonts w:hint="eastAsia" w:ascii="仿宋_GB2312" w:hAnsi="仿宋_GB2312" w:eastAsia="仿宋_GB2312" w:cs="仿宋_GB2312"/>
          <w:kern w:val="2"/>
          <w:sz w:val="28"/>
          <w:szCs w:val="28"/>
          <w:highlight w:val="none"/>
        </w:rPr>
        <w:t>龙岗区</w:t>
      </w:r>
      <w:r>
        <w:rPr>
          <w:rFonts w:hint="eastAsia" w:ascii="仿宋_GB2312" w:hAnsi="仿宋_GB2312" w:eastAsia="仿宋_GB2312" w:cs="仿宋_GB2312"/>
          <w:sz w:val="28"/>
          <w:szCs w:val="28"/>
          <w:highlight w:val="none"/>
        </w:rPr>
        <w:t>第七人民医院指定地点。</w:t>
      </w:r>
    </w:p>
    <w:p w14:paraId="21239AE2">
      <w:pPr>
        <w:keepLines w:val="0"/>
        <w:pageBreakBefore w:val="0"/>
        <w:numPr>
          <w:ilvl w:val="0"/>
          <w:numId w:val="0"/>
        </w:numPr>
        <w:kinsoku/>
        <w:wordWrap/>
        <w:overflowPunct/>
        <w:topLinePunct w:val="0"/>
        <w:bidi w:val="0"/>
        <w:spacing w:line="560" w:lineRule="exact"/>
        <w:jc w:val="center"/>
        <w:rPr>
          <w:rFonts w:ascii="仿宋_GB2312" w:hAnsi="仿宋_GB2312" w:eastAsia="仿宋_GB2312" w:cs="仿宋_GB2312"/>
          <w:b/>
          <w:bCs/>
          <w:color w:val="auto"/>
          <w:sz w:val="36"/>
          <w:szCs w:val="36"/>
          <w:highlight w:val="none"/>
        </w:rPr>
      </w:pPr>
      <w:r>
        <w:rPr>
          <w:rFonts w:ascii="仿宋_GB2312" w:hAnsi="仿宋_GB2312" w:eastAsia="仿宋_GB2312" w:cs="仿宋_GB2312"/>
          <w:b/>
          <w:bCs/>
          <w:color w:val="auto"/>
          <w:kern w:val="2"/>
          <w:sz w:val="36"/>
          <w:szCs w:val="36"/>
          <w:highlight w:val="none"/>
          <w:lang w:val="en-US" w:eastAsia="zh-CN" w:bidi="ar-SA"/>
        </w:rPr>
        <w:t>第</w:t>
      </w:r>
      <w:r>
        <w:rPr>
          <w:rFonts w:hint="eastAsia" w:ascii="仿宋_GB2312" w:hAnsi="仿宋_GB2312" w:eastAsia="仿宋_GB2312" w:cs="仿宋_GB2312"/>
          <w:b/>
          <w:bCs/>
          <w:color w:val="auto"/>
          <w:kern w:val="2"/>
          <w:sz w:val="36"/>
          <w:szCs w:val="36"/>
          <w:highlight w:val="none"/>
          <w:lang w:val="en-US" w:eastAsia="zh-CN" w:bidi="ar-SA"/>
        </w:rPr>
        <w:t>三章 评标标准</w:t>
      </w:r>
    </w:p>
    <w:p w14:paraId="339553FD">
      <w:pPr>
        <w:pStyle w:val="15"/>
        <w:rPr>
          <w:rFonts w:hint="eastAsia"/>
        </w:rPr>
      </w:pPr>
    </w:p>
    <w:tbl>
      <w:tblPr>
        <w:tblStyle w:val="18"/>
        <w:tblW w:w="9421" w:type="dxa"/>
        <w:jc w:val="center"/>
        <w:tblLayout w:type="fixed"/>
        <w:tblCellMar>
          <w:top w:w="0" w:type="dxa"/>
          <w:left w:w="0" w:type="dxa"/>
          <w:bottom w:w="0" w:type="dxa"/>
          <w:right w:w="0" w:type="dxa"/>
        </w:tblCellMar>
      </w:tblPr>
      <w:tblGrid>
        <w:gridCol w:w="571"/>
        <w:gridCol w:w="1770"/>
        <w:gridCol w:w="720"/>
        <w:gridCol w:w="6360"/>
      </w:tblGrid>
      <w:tr w14:paraId="4AADA210">
        <w:tblPrEx>
          <w:tblCellMar>
            <w:top w:w="0" w:type="dxa"/>
            <w:left w:w="0" w:type="dxa"/>
            <w:bottom w:w="0" w:type="dxa"/>
            <w:right w:w="0" w:type="dxa"/>
          </w:tblCellMar>
        </w:tblPrEx>
        <w:trPr>
          <w:trHeight w:val="444" w:hRule="atLeast"/>
          <w:jc w:val="center"/>
        </w:trPr>
        <w:tc>
          <w:tcPr>
            <w:tcW w:w="942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DD31C11">
            <w:pPr>
              <w:widowControl/>
              <w:jc w:val="center"/>
              <w:textAlignment w:val="center"/>
              <w:rPr>
                <w:rFonts w:ascii="仿宋" w:hAnsi="仿宋" w:eastAsia="仿宋" w:cs="仿宋"/>
                <w:b/>
                <w:color w:val="000000"/>
                <w:sz w:val="32"/>
                <w:szCs w:val="32"/>
                <w:highlight w:val="none"/>
              </w:rPr>
            </w:pPr>
            <w:r>
              <w:rPr>
                <w:rFonts w:hint="eastAsia" w:ascii="仿宋" w:hAnsi="仿宋" w:eastAsia="仿宋" w:cs="仿宋"/>
                <w:b/>
                <w:color w:val="000000"/>
                <w:kern w:val="0"/>
                <w:sz w:val="32"/>
                <w:szCs w:val="32"/>
                <w:highlight w:val="none"/>
                <w:lang w:bidi="ar"/>
              </w:rPr>
              <w:t>综合评分</w:t>
            </w:r>
          </w:p>
        </w:tc>
      </w:tr>
      <w:tr w14:paraId="00AE62B8">
        <w:tblPrEx>
          <w:tblCellMar>
            <w:top w:w="0" w:type="dxa"/>
            <w:left w:w="0" w:type="dxa"/>
            <w:bottom w:w="0" w:type="dxa"/>
            <w:right w:w="0" w:type="dxa"/>
          </w:tblCellMar>
        </w:tblPrEx>
        <w:trPr>
          <w:trHeight w:val="462" w:hRule="atLeast"/>
          <w:jc w:val="center"/>
        </w:trPr>
        <w:tc>
          <w:tcPr>
            <w:tcW w:w="9421" w:type="dxa"/>
            <w:gridSpan w:val="4"/>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664FA291">
            <w:pPr>
              <w:widowControl/>
              <w:jc w:val="center"/>
              <w:textAlignment w:val="center"/>
              <w:rPr>
                <w:rFonts w:hint="eastAsia" w:ascii="仿宋" w:hAnsi="仿宋" w:eastAsia="仿宋" w:cs="仿宋"/>
                <w:b/>
                <w:color w:val="000000"/>
                <w:sz w:val="24"/>
                <w:highlight w:val="none"/>
              </w:rPr>
            </w:pPr>
            <w:r>
              <w:rPr>
                <w:rFonts w:hint="eastAsia" w:ascii="仿宋" w:hAnsi="仿宋" w:eastAsia="仿宋" w:cs="仿宋"/>
                <w:b/>
                <w:color w:val="000000"/>
                <w:kern w:val="0"/>
                <w:sz w:val="24"/>
                <w:highlight w:val="none"/>
                <w:lang w:bidi="ar"/>
              </w:rPr>
              <w:t>商务条件部分（</w:t>
            </w:r>
            <w:r>
              <w:rPr>
                <w:rFonts w:hint="eastAsia" w:ascii="仿宋" w:hAnsi="仿宋" w:eastAsia="仿宋" w:cs="仿宋"/>
                <w:b/>
                <w:color w:val="000000"/>
                <w:kern w:val="0"/>
                <w:sz w:val="24"/>
                <w:highlight w:val="none"/>
                <w:lang w:val="en-US" w:eastAsia="zh-CN" w:bidi="ar"/>
              </w:rPr>
              <w:t>17</w:t>
            </w:r>
            <w:r>
              <w:rPr>
                <w:rFonts w:hint="eastAsia" w:ascii="仿宋" w:hAnsi="仿宋" w:eastAsia="仿宋" w:cs="仿宋"/>
                <w:b/>
                <w:color w:val="000000"/>
                <w:kern w:val="0"/>
                <w:sz w:val="24"/>
                <w:highlight w:val="none"/>
                <w:lang w:bidi="ar"/>
              </w:rPr>
              <w:t>分）</w:t>
            </w:r>
          </w:p>
        </w:tc>
      </w:tr>
      <w:tr w14:paraId="68A89CFF">
        <w:tblPrEx>
          <w:tblCellMar>
            <w:top w:w="0" w:type="dxa"/>
            <w:left w:w="0" w:type="dxa"/>
            <w:bottom w:w="0" w:type="dxa"/>
            <w:right w:w="0" w:type="dxa"/>
          </w:tblCellMar>
        </w:tblPrEx>
        <w:trPr>
          <w:trHeight w:val="859" w:hRule="atLeast"/>
          <w:jc w:val="center"/>
        </w:trPr>
        <w:tc>
          <w:tcPr>
            <w:tcW w:w="5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21EF1C">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评审部分</w:t>
            </w:r>
          </w:p>
        </w:tc>
        <w:tc>
          <w:tcPr>
            <w:tcW w:w="1770"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0DD5DECA">
            <w:pPr>
              <w:widowControl/>
              <w:jc w:val="center"/>
              <w:textAlignment w:val="center"/>
              <w:rPr>
                <w:rFonts w:hint="eastAsia" w:ascii="仿宋" w:hAnsi="仿宋" w:eastAsia="仿宋" w:cs="仿宋"/>
                <w:b/>
                <w:color w:val="000000"/>
                <w:sz w:val="24"/>
                <w:highlight w:val="none"/>
              </w:rPr>
            </w:pPr>
            <w:r>
              <w:rPr>
                <w:rFonts w:hint="eastAsia" w:ascii="仿宋" w:hAnsi="仿宋" w:eastAsia="仿宋" w:cs="仿宋"/>
                <w:b/>
                <w:color w:val="000000"/>
                <w:kern w:val="0"/>
                <w:sz w:val="24"/>
                <w:highlight w:val="none"/>
                <w:lang w:bidi="ar"/>
              </w:rPr>
              <w:t>评分因素</w:t>
            </w: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996243">
            <w:pPr>
              <w:widowControl/>
              <w:jc w:val="center"/>
              <w:textAlignment w:val="center"/>
              <w:rPr>
                <w:rFonts w:hint="eastAsia" w:ascii="仿宋" w:hAnsi="仿宋" w:eastAsia="仿宋" w:cs="仿宋"/>
                <w:b/>
                <w:color w:val="000000"/>
                <w:sz w:val="24"/>
                <w:highlight w:val="none"/>
              </w:rPr>
            </w:pPr>
            <w:r>
              <w:rPr>
                <w:rFonts w:hint="eastAsia" w:ascii="仿宋" w:hAnsi="仿宋" w:eastAsia="仿宋" w:cs="仿宋"/>
                <w:b/>
                <w:color w:val="000000"/>
                <w:kern w:val="0"/>
                <w:sz w:val="24"/>
                <w:highlight w:val="none"/>
                <w:lang w:bidi="ar"/>
              </w:rPr>
              <w:t>权重</w:t>
            </w:r>
          </w:p>
        </w:tc>
        <w:tc>
          <w:tcPr>
            <w:tcW w:w="63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D5C550">
            <w:pPr>
              <w:widowControl/>
              <w:jc w:val="center"/>
              <w:textAlignment w:val="center"/>
              <w:rPr>
                <w:rFonts w:hint="eastAsia" w:ascii="仿宋" w:hAnsi="仿宋" w:eastAsia="仿宋" w:cs="仿宋"/>
                <w:b/>
                <w:color w:val="000000"/>
                <w:sz w:val="24"/>
                <w:highlight w:val="none"/>
              </w:rPr>
            </w:pPr>
            <w:r>
              <w:rPr>
                <w:rFonts w:hint="eastAsia" w:ascii="仿宋" w:hAnsi="仿宋" w:eastAsia="仿宋" w:cs="仿宋"/>
                <w:b/>
                <w:color w:val="000000"/>
                <w:kern w:val="0"/>
                <w:sz w:val="24"/>
                <w:highlight w:val="none"/>
                <w:lang w:bidi="ar"/>
              </w:rPr>
              <w:t>评分准则</w:t>
            </w:r>
          </w:p>
        </w:tc>
      </w:tr>
      <w:tr w14:paraId="6BDC9BC0">
        <w:tblPrEx>
          <w:tblCellMar>
            <w:top w:w="0" w:type="dxa"/>
            <w:left w:w="0" w:type="dxa"/>
            <w:bottom w:w="0" w:type="dxa"/>
            <w:right w:w="0" w:type="dxa"/>
          </w:tblCellMar>
        </w:tblPrEx>
        <w:trPr>
          <w:trHeight w:val="400" w:hRule="atLeast"/>
          <w:jc w:val="center"/>
        </w:trPr>
        <w:tc>
          <w:tcPr>
            <w:tcW w:w="57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40175E3">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一、</w:t>
            </w:r>
          </w:p>
        </w:tc>
        <w:tc>
          <w:tcPr>
            <w:tcW w:w="8850" w:type="dxa"/>
            <w:gridSpan w:val="3"/>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B8BFCFF">
            <w:pPr>
              <w:widowControl/>
              <w:jc w:val="center"/>
              <w:textAlignment w:val="center"/>
              <w:rPr>
                <w:rFonts w:hint="eastAsia" w:ascii="仿宋" w:hAnsi="仿宋" w:eastAsia="仿宋" w:cs="仿宋"/>
                <w:b/>
                <w:color w:val="000000"/>
                <w:sz w:val="24"/>
                <w:highlight w:val="none"/>
              </w:rPr>
            </w:pPr>
            <w:r>
              <w:rPr>
                <w:rFonts w:hint="eastAsia" w:ascii="仿宋" w:hAnsi="仿宋" w:eastAsia="仿宋" w:cs="仿宋"/>
                <w:b/>
                <w:color w:val="000000"/>
                <w:kern w:val="0"/>
                <w:sz w:val="24"/>
                <w:highlight w:val="none"/>
                <w:lang w:bidi="ar"/>
              </w:rPr>
              <w:t>商务条件部分（</w:t>
            </w:r>
            <w:r>
              <w:rPr>
                <w:rFonts w:hint="eastAsia" w:ascii="仿宋" w:hAnsi="仿宋" w:eastAsia="仿宋" w:cs="仿宋"/>
                <w:b/>
                <w:color w:val="000000"/>
                <w:kern w:val="0"/>
                <w:sz w:val="24"/>
                <w:highlight w:val="none"/>
                <w:lang w:val="en-US" w:eastAsia="zh-CN" w:bidi="ar"/>
              </w:rPr>
              <w:t>17</w:t>
            </w:r>
            <w:r>
              <w:rPr>
                <w:rFonts w:hint="eastAsia" w:ascii="仿宋" w:hAnsi="仿宋" w:eastAsia="仿宋" w:cs="仿宋"/>
                <w:b/>
                <w:color w:val="000000"/>
                <w:kern w:val="0"/>
                <w:sz w:val="24"/>
                <w:highlight w:val="none"/>
                <w:lang w:bidi="ar"/>
              </w:rPr>
              <w:t>分）</w:t>
            </w:r>
          </w:p>
        </w:tc>
      </w:tr>
      <w:tr w14:paraId="5FBDB92D">
        <w:tblPrEx>
          <w:tblCellMar>
            <w:top w:w="0" w:type="dxa"/>
            <w:left w:w="0" w:type="dxa"/>
            <w:bottom w:w="0" w:type="dxa"/>
            <w:right w:w="0" w:type="dxa"/>
          </w:tblCellMar>
        </w:tblPrEx>
        <w:trPr>
          <w:trHeight w:val="735" w:hRule="atLeast"/>
          <w:jc w:val="center"/>
        </w:trPr>
        <w:tc>
          <w:tcPr>
            <w:tcW w:w="5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26FF02">
            <w:pPr>
              <w:widowControl/>
              <w:jc w:val="center"/>
              <w:textAlignment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w:t>
            </w:r>
          </w:p>
        </w:tc>
        <w:tc>
          <w:tcPr>
            <w:tcW w:w="17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45AA56">
            <w:pPr>
              <w:widowControl/>
              <w:tabs>
                <w:tab w:val="left" w:pos="312"/>
              </w:tabs>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rPr>
              <w:t>食品安全</w:t>
            </w: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B12A7A">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auto"/>
                <w:kern w:val="0"/>
                <w:sz w:val="24"/>
                <w:highlight w:val="none"/>
                <w:lang w:val="en-US" w:eastAsia="zh-CN"/>
              </w:rPr>
              <w:t>3</w:t>
            </w:r>
          </w:p>
        </w:tc>
        <w:tc>
          <w:tcPr>
            <w:tcW w:w="63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28A134">
            <w:pPr>
              <w:adjustRightInd w:val="0"/>
              <w:snapToGrid w:val="0"/>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rPr>
              <w:t>（一）评审标准</w:t>
            </w:r>
          </w:p>
          <w:p w14:paraId="60EC0DD8">
            <w:pPr>
              <w:widowControl/>
              <w:textAlignment w:val="center"/>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1.</w:t>
            </w:r>
            <w:r>
              <w:rPr>
                <w:rFonts w:hint="eastAsia" w:ascii="仿宋" w:hAnsi="仿宋" w:eastAsia="仿宋" w:cs="仿宋"/>
                <w:kern w:val="0"/>
                <w:sz w:val="24"/>
                <w:highlight w:val="none"/>
              </w:rPr>
              <w:t>提供投标</w:t>
            </w:r>
            <w:r>
              <w:rPr>
                <w:rFonts w:hint="eastAsia" w:ascii="仿宋" w:hAnsi="仿宋" w:eastAsia="仿宋" w:cs="仿宋"/>
                <w:kern w:val="0"/>
                <w:sz w:val="24"/>
                <w:highlight w:val="none"/>
                <w:lang w:val="en-US" w:eastAsia="zh-CN"/>
              </w:rPr>
              <w:t>人距投标截止日期半</w:t>
            </w:r>
            <w:r>
              <w:rPr>
                <w:rFonts w:hint="eastAsia" w:ascii="仿宋" w:hAnsi="仿宋" w:eastAsia="仿宋" w:cs="仿宋"/>
                <w:kern w:val="0"/>
                <w:sz w:val="24"/>
                <w:highlight w:val="none"/>
              </w:rPr>
              <w:t>年内某项食品</w:t>
            </w:r>
            <w:r>
              <w:rPr>
                <w:rFonts w:hint="eastAsia" w:ascii="仿宋" w:hAnsi="仿宋" w:eastAsia="仿宋" w:cs="仿宋"/>
                <w:kern w:val="0"/>
                <w:sz w:val="24"/>
                <w:highlight w:val="none"/>
                <w:lang w:eastAsia="zh-CN"/>
              </w:rPr>
              <w:t>（</w:t>
            </w:r>
            <w:r>
              <w:rPr>
                <w:rFonts w:hint="eastAsia" w:ascii="仿宋" w:hAnsi="仿宋" w:eastAsia="仿宋" w:cs="仿宋"/>
                <w:kern w:val="0"/>
                <w:sz w:val="24"/>
                <w:highlight w:val="none"/>
                <w:lang w:val="en-US" w:eastAsia="zh-CN"/>
              </w:rPr>
              <w:t>蛋糕、面包类</w:t>
            </w:r>
            <w:r>
              <w:rPr>
                <w:rFonts w:hint="eastAsia" w:ascii="仿宋" w:hAnsi="仿宋" w:eastAsia="仿宋" w:cs="仿宋"/>
                <w:kern w:val="0"/>
                <w:sz w:val="24"/>
                <w:highlight w:val="none"/>
                <w:lang w:eastAsia="zh-CN"/>
              </w:rPr>
              <w:t>）</w:t>
            </w:r>
            <w:r>
              <w:rPr>
                <w:rFonts w:hint="eastAsia" w:ascii="仿宋" w:hAnsi="仿宋" w:eastAsia="仿宋" w:cs="仿宋"/>
                <w:kern w:val="0"/>
                <w:sz w:val="24"/>
                <w:highlight w:val="none"/>
                <w:lang w:val="en-US" w:eastAsia="zh-CN"/>
              </w:rPr>
              <w:t>的</w:t>
            </w:r>
            <w:r>
              <w:rPr>
                <w:rFonts w:hint="eastAsia" w:ascii="仿宋" w:hAnsi="仿宋" w:eastAsia="仿宋" w:cs="仿宋"/>
                <w:kern w:val="0"/>
                <w:sz w:val="24"/>
                <w:highlight w:val="none"/>
              </w:rPr>
              <w:t>检测报告</w:t>
            </w:r>
            <w:r>
              <w:rPr>
                <w:rFonts w:hint="eastAsia" w:ascii="仿宋" w:hAnsi="仿宋" w:eastAsia="仿宋" w:cs="仿宋"/>
                <w:color w:val="000000"/>
                <w:kern w:val="0"/>
                <w:sz w:val="24"/>
                <w:highlight w:val="none"/>
              </w:rPr>
              <w:t>得</w:t>
            </w:r>
            <w:r>
              <w:rPr>
                <w:rFonts w:hint="eastAsia" w:ascii="仿宋" w:hAnsi="仿宋" w:eastAsia="仿宋" w:cs="仿宋"/>
                <w:kern w:val="0"/>
                <w:sz w:val="24"/>
                <w:highlight w:val="none"/>
                <w:lang w:val="en-US" w:eastAsia="zh-CN"/>
              </w:rPr>
              <w:t>2分；或承诺中标后交货前提供相关检测报告亦可得2分(提供承诺函，格式自拟）；</w:t>
            </w:r>
          </w:p>
          <w:p w14:paraId="6698AB20">
            <w:pPr>
              <w:widowControl/>
              <w:textAlignment w:val="center"/>
              <w:rPr>
                <w:rFonts w:hint="eastAsia" w:ascii="仿宋" w:hAnsi="仿宋" w:eastAsia="仿宋" w:cs="仿宋"/>
                <w:color w:val="000000"/>
                <w:kern w:val="0"/>
                <w:sz w:val="24"/>
                <w:highlight w:val="none"/>
                <w:lang w:eastAsia="zh-CN"/>
              </w:rPr>
            </w:pPr>
            <w:r>
              <w:rPr>
                <w:rFonts w:hint="eastAsia" w:ascii="仿宋" w:hAnsi="仿宋" w:eastAsia="仿宋" w:cs="仿宋"/>
                <w:color w:val="000000"/>
                <w:kern w:val="0"/>
                <w:sz w:val="24"/>
                <w:highlight w:val="none"/>
                <w:lang w:val="en-US" w:eastAsia="zh-CN"/>
              </w:rPr>
              <w:t>2.</w:t>
            </w:r>
            <w:r>
              <w:rPr>
                <w:rFonts w:hint="eastAsia" w:ascii="仿宋" w:hAnsi="仿宋" w:eastAsia="仿宋" w:cs="仿宋"/>
                <w:color w:val="000000"/>
                <w:kern w:val="0"/>
                <w:sz w:val="24"/>
                <w:highlight w:val="none"/>
              </w:rPr>
              <w:t>提供食品安全承诺书</w:t>
            </w:r>
            <w:r>
              <w:rPr>
                <w:rFonts w:hint="eastAsia" w:ascii="仿宋" w:hAnsi="仿宋" w:eastAsia="仿宋" w:cs="仿宋"/>
                <w:kern w:val="0"/>
                <w:sz w:val="24"/>
                <w:highlight w:val="none"/>
                <w:lang w:val="en-US" w:eastAsia="zh-CN"/>
              </w:rPr>
              <w:t>(格式自拟）</w:t>
            </w:r>
            <w:r>
              <w:rPr>
                <w:rFonts w:hint="eastAsia" w:ascii="仿宋" w:hAnsi="仿宋" w:eastAsia="仿宋" w:cs="仿宋"/>
                <w:color w:val="000000"/>
                <w:kern w:val="0"/>
                <w:sz w:val="24"/>
                <w:highlight w:val="none"/>
              </w:rPr>
              <w:t>得</w:t>
            </w:r>
            <w:r>
              <w:rPr>
                <w:rFonts w:hint="eastAsia" w:ascii="仿宋" w:hAnsi="仿宋" w:eastAsia="仿宋" w:cs="仿宋"/>
                <w:color w:val="000000"/>
                <w:kern w:val="0"/>
                <w:sz w:val="24"/>
                <w:highlight w:val="none"/>
                <w:lang w:val="en-US" w:eastAsia="zh-CN"/>
              </w:rPr>
              <w:t>1</w:t>
            </w:r>
            <w:r>
              <w:rPr>
                <w:rFonts w:hint="eastAsia" w:ascii="仿宋" w:hAnsi="仿宋" w:eastAsia="仿宋" w:cs="仿宋"/>
                <w:color w:val="000000"/>
                <w:kern w:val="0"/>
                <w:sz w:val="24"/>
                <w:highlight w:val="none"/>
              </w:rPr>
              <w:t>分</w:t>
            </w:r>
            <w:r>
              <w:rPr>
                <w:rFonts w:hint="eastAsia" w:ascii="仿宋" w:hAnsi="仿宋" w:eastAsia="仿宋" w:cs="仿宋"/>
                <w:color w:val="000000"/>
                <w:kern w:val="0"/>
                <w:sz w:val="24"/>
                <w:highlight w:val="none"/>
                <w:lang w:eastAsia="zh-CN"/>
              </w:rPr>
              <w:t>。</w:t>
            </w:r>
          </w:p>
          <w:p w14:paraId="7C3C9F43">
            <w:pPr>
              <w:widowControl/>
              <w:numPr>
                <w:ilvl w:val="0"/>
                <w:numId w:val="0"/>
              </w:numPr>
              <w:textAlignment w:val="center"/>
              <w:rPr>
                <w:rFonts w:hint="eastAsia"/>
                <w:highlight w:val="none"/>
              </w:rPr>
            </w:pPr>
            <w:r>
              <w:rPr>
                <w:rFonts w:hint="eastAsia" w:ascii="仿宋" w:hAnsi="仿宋" w:eastAsia="仿宋" w:cs="仿宋"/>
                <w:color w:val="000000"/>
                <w:kern w:val="0"/>
                <w:sz w:val="24"/>
                <w:highlight w:val="none"/>
                <w:lang w:val="en-US" w:eastAsia="zh-CN"/>
              </w:rPr>
              <w:t>（二）评分依据</w:t>
            </w:r>
          </w:p>
          <w:p w14:paraId="2F7CC768">
            <w:pPr>
              <w:widowControl/>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rPr>
              <w:t>以上</w:t>
            </w:r>
            <w:r>
              <w:rPr>
                <w:rFonts w:hint="eastAsia" w:ascii="仿宋" w:hAnsi="仿宋" w:eastAsia="仿宋" w:cs="仿宋"/>
                <w:color w:val="000000"/>
                <w:kern w:val="0"/>
                <w:sz w:val="24"/>
                <w:highlight w:val="none"/>
              </w:rPr>
              <w:t>未提供或提供的证明材料不清晰导致评审专家无法辨认的，不得分。</w:t>
            </w:r>
          </w:p>
        </w:tc>
      </w:tr>
      <w:tr w14:paraId="36318AE8">
        <w:tblPrEx>
          <w:tblCellMar>
            <w:top w:w="0" w:type="dxa"/>
            <w:left w:w="0" w:type="dxa"/>
            <w:bottom w:w="0" w:type="dxa"/>
            <w:right w:w="0" w:type="dxa"/>
          </w:tblCellMar>
        </w:tblPrEx>
        <w:trPr>
          <w:trHeight w:val="1640" w:hRule="atLeast"/>
          <w:jc w:val="center"/>
        </w:trPr>
        <w:tc>
          <w:tcPr>
            <w:tcW w:w="5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C230F5">
            <w:pPr>
              <w:widowControl/>
              <w:jc w:val="center"/>
              <w:textAlignment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2</w:t>
            </w:r>
          </w:p>
        </w:tc>
        <w:tc>
          <w:tcPr>
            <w:tcW w:w="17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23A8E4">
            <w:pPr>
              <w:widowControl/>
              <w:tabs>
                <w:tab w:val="left" w:pos="312"/>
              </w:tabs>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同类项目业绩</w:t>
            </w: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9A3B0D">
            <w:pPr>
              <w:widowControl/>
              <w:jc w:val="center"/>
              <w:textAlignment w:val="center"/>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3</w:t>
            </w:r>
          </w:p>
        </w:tc>
        <w:tc>
          <w:tcPr>
            <w:tcW w:w="63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8FB9F1">
            <w:pPr>
              <w:adjustRightInd w:val="0"/>
              <w:snapToGrid w:val="0"/>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rPr>
              <w:t>（一）评审标准</w:t>
            </w:r>
          </w:p>
          <w:p w14:paraId="402D043A">
            <w:pPr>
              <w:widowControl/>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投标人</w:t>
            </w:r>
            <w:r>
              <w:rPr>
                <w:rFonts w:hint="eastAsia" w:ascii="仿宋" w:hAnsi="仿宋" w:eastAsia="仿宋" w:cs="仿宋"/>
                <w:color w:val="000000"/>
                <w:kern w:val="0"/>
                <w:sz w:val="24"/>
                <w:highlight w:val="none"/>
                <w:lang w:val="en-US" w:eastAsia="zh-CN" w:bidi="ar"/>
              </w:rPr>
              <w:t>自</w:t>
            </w:r>
            <w:r>
              <w:rPr>
                <w:rFonts w:hint="eastAsia" w:ascii="仿宋" w:hAnsi="仿宋" w:eastAsia="仿宋" w:cs="仿宋"/>
                <w:color w:val="000000"/>
                <w:kern w:val="0"/>
                <w:sz w:val="24"/>
                <w:highlight w:val="none"/>
                <w:lang w:bidi="ar"/>
              </w:rPr>
              <w:t>202</w:t>
            </w: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年</w:t>
            </w:r>
            <w:r>
              <w:rPr>
                <w:rFonts w:hint="eastAsia" w:ascii="仿宋" w:hAnsi="仿宋" w:eastAsia="仿宋" w:cs="仿宋"/>
                <w:color w:val="000000"/>
                <w:kern w:val="0"/>
                <w:sz w:val="24"/>
                <w:highlight w:val="none"/>
                <w:lang w:val="en-US" w:eastAsia="zh-CN" w:bidi="ar"/>
              </w:rPr>
              <w:t>6</w:t>
            </w:r>
            <w:r>
              <w:rPr>
                <w:rFonts w:hint="eastAsia" w:ascii="仿宋" w:hAnsi="仿宋" w:eastAsia="仿宋" w:cs="仿宋"/>
                <w:color w:val="000000"/>
                <w:kern w:val="0"/>
                <w:sz w:val="24"/>
                <w:highlight w:val="none"/>
                <w:lang w:bidi="ar"/>
              </w:rPr>
              <w:t>月1日至本项目投标截止时间前完成的同类项目业绩(以合同签订时间为准)，每项业</w:t>
            </w:r>
            <w:r>
              <w:rPr>
                <w:rFonts w:hint="eastAsia" w:ascii="仿宋" w:hAnsi="仿宋" w:eastAsia="仿宋" w:cs="仿宋"/>
                <w:color w:val="000000"/>
                <w:kern w:val="0"/>
                <w:sz w:val="24"/>
                <w:highlight w:val="none"/>
                <w:lang w:val="en-US" w:eastAsia="zh-CN" w:bidi="ar"/>
              </w:rPr>
              <w:t>绩得0.5分，</w:t>
            </w:r>
            <w:r>
              <w:rPr>
                <w:rFonts w:hint="eastAsia" w:ascii="仿宋" w:hAnsi="仿宋" w:eastAsia="仿宋" w:cs="仿宋"/>
                <w:color w:val="000000"/>
                <w:kern w:val="0"/>
                <w:sz w:val="24"/>
                <w:highlight w:val="none"/>
                <w:lang w:bidi="ar"/>
              </w:rPr>
              <w:t>最高得3分。</w:t>
            </w:r>
          </w:p>
          <w:p w14:paraId="1248C2E7">
            <w:pPr>
              <w:widowControl/>
              <w:numPr>
                <w:ilvl w:val="0"/>
                <w:numId w:val="0"/>
              </w:numPr>
              <w:textAlignment w:val="center"/>
              <w:rPr>
                <w:rFonts w:hint="eastAsia"/>
                <w:highlight w:val="none"/>
              </w:rPr>
            </w:pPr>
            <w:r>
              <w:rPr>
                <w:rFonts w:hint="eastAsia" w:ascii="仿宋" w:hAnsi="仿宋" w:eastAsia="仿宋" w:cs="仿宋"/>
                <w:color w:val="000000"/>
                <w:kern w:val="0"/>
                <w:sz w:val="24"/>
                <w:highlight w:val="none"/>
                <w:lang w:val="en-US" w:eastAsia="zh-CN"/>
              </w:rPr>
              <w:t>（二）评分依据</w:t>
            </w:r>
          </w:p>
          <w:p w14:paraId="1AA5087D">
            <w:pPr>
              <w:widowControl/>
              <w:textAlignment w:val="center"/>
              <w:rPr>
                <w:rFonts w:hint="eastAsia" w:ascii="仿宋" w:hAnsi="仿宋" w:eastAsia="仿宋" w:cs="仿宋"/>
                <w:color w:val="auto"/>
                <w:kern w:val="0"/>
                <w:sz w:val="24"/>
                <w:highlight w:val="none"/>
                <w:lang w:val="zh-CN"/>
              </w:rPr>
            </w:pPr>
            <w:r>
              <w:rPr>
                <w:rFonts w:hint="eastAsia" w:ascii="仿宋" w:hAnsi="仿宋" w:eastAsia="仿宋" w:cs="仿宋"/>
                <w:color w:val="000000"/>
                <w:kern w:val="0"/>
                <w:sz w:val="24"/>
                <w:highlight w:val="none"/>
                <w:lang w:bidi="ar"/>
              </w:rPr>
              <w:t>提供同</w:t>
            </w:r>
            <w:r>
              <w:rPr>
                <w:rFonts w:hint="eastAsia" w:ascii="仿宋" w:hAnsi="仿宋" w:eastAsia="仿宋" w:cs="仿宋"/>
                <w:kern w:val="0"/>
                <w:sz w:val="24"/>
                <w:highlight w:val="none"/>
              </w:rPr>
              <w:t>类业绩合同</w:t>
            </w:r>
            <w:r>
              <w:rPr>
                <w:rFonts w:hint="eastAsia" w:ascii="仿宋" w:hAnsi="仿宋" w:eastAsia="仿宋" w:cs="仿宋"/>
                <w:color w:val="000000"/>
                <w:kern w:val="0"/>
                <w:sz w:val="24"/>
                <w:highlight w:val="none"/>
                <w:lang w:bidi="ar"/>
              </w:rPr>
              <w:t>关键页</w:t>
            </w:r>
            <w:r>
              <w:rPr>
                <w:rFonts w:hint="eastAsia" w:ascii="仿宋" w:hAnsi="仿宋" w:eastAsia="仿宋" w:cs="仿宋"/>
                <w:color w:val="000000"/>
                <w:kern w:val="0"/>
                <w:sz w:val="24"/>
                <w:highlight w:val="none"/>
                <w:lang w:eastAsia="zh-CN" w:bidi="ar"/>
              </w:rPr>
              <w:t>（</w:t>
            </w:r>
            <w:r>
              <w:rPr>
                <w:rFonts w:hint="eastAsia" w:ascii="仿宋" w:hAnsi="仿宋" w:eastAsia="仿宋" w:cs="仿宋"/>
                <w:color w:val="000000"/>
                <w:kern w:val="0"/>
                <w:sz w:val="24"/>
                <w:highlight w:val="none"/>
                <w:lang w:val="en-US" w:eastAsia="zh-CN" w:bidi="ar"/>
              </w:rPr>
              <w:t>包括但不限于合同签约主体名称、项目名称、合同标的、签订合同时间、签约主体公章等关键信息</w:t>
            </w:r>
            <w:r>
              <w:rPr>
                <w:rFonts w:hint="eastAsia" w:ascii="仿宋" w:hAnsi="仿宋" w:eastAsia="仿宋" w:cs="仿宋"/>
                <w:color w:val="000000"/>
                <w:kern w:val="0"/>
                <w:sz w:val="24"/>
                <w:highlight w:val="none"/>
                <w:lang w:eastAsia="zh-CN" w:bidi="ar"/>
              </w:rPr>
              <w:t>））</w:t>
            </w:r>
            <w:r>
              <w:rPr>
                <w:rFonts w:hint="eastAsia" w:ascii="仿宋" w:hAnsi="仿宋" w:eastAsia="仿宋" w:cs="仿宋"/>
                <w:kern w:val="0"/>
                <w:sz w:val="24"/>
                <w:highlight w:val="none"/>
                <w:lang w:val="en-US" w:eastAsia="zh-CN"/>
              </w:rPr>
              <w:t>复印件</w:t>
            </w:r>
            <w:r>
              <w:rPr>
                <w:rFonts w:hint="eastAsia" w:ascii="仿宋" w:hAnsi="仿宋" w:eastAsia="仿宋" w:cs="仿宋"/>
                <w:color w:val="000000"/>
                <w:kern w:val="0"/>
                <w:sz w:val="24"/>
                <w:highlight w:val="none"/>
                <w:lang w:bidi="ar"/>
              </w:rPr>
              <w:t>。同一单位一年一签的长期服务续签合同只计算一个业绩</w:t>
            </w:r>
            <w:r>
              <w:rPr>
                <w:rFonts w:hint="eastAsia" w:ascii="仿宋" w:hAnsi="仿宋" w:eastAsia="仿宋" w:cs="仿宋"/>
                <w:color w:val="000000"/>
                <w:kern w:val="0"/>
                <w:sz w:val="24"/>
                <w:highlight w:val="none"/>
                <w:lang w:eastAsia="zh-CN" w:bidi="ar"/>
              </w:rPr>
              <w:t>。</w:t>
            </w:r>
            <w:r>
              <w:rPr>
                <w:rFonts w:hint="eastAsia" w:ascii="仿宋" w:hAnsi="仿宋" w:eastAsia="仿宋" w:cs="仿宋"/>
                <w:kern w:val="0"/>
                <w:sz w:val="24"/>
                <w:highlight w:val="none"/>
              </w:rPr>
              <w:t>未提供</w:t>
            </w:r>
            <w:r>
              <w:rPr>
                <w:rFonts w:hint="eastAsia" w:ascii="仿宋" w:hAnsi="仿宋" w:eastAsia="仿宋" w:cs="仿宋"/>
                <w:color w:val="000000"/>
                <w:kern w:val="0"/>
                <w:sz w:val="24"/>
                <w:highlight w:val="none"/>
                <w:lang w:bidi="ar"/>
              </w:rPr>
              <w:t>或提供的证明材料不清晰导致评审专家无法辨认的，不得</w:t>
            </w:r>
            <w:r>
              <w:rPr>
                <w:rFonts w:hint="eastAsia" w:ascii="仿宋" w:hAnsi="仿宋" w:eastAsia="仿宋" w:cs="仿宋"/>
                <w:kern w:val="0"/>
                <w:sz w:val="24"/>
                <w:highlight w:val="none"/>
              </w:rPr>
              <w:t>分。</w:t>
            </w:r>
          </w:p>
        </w:tc>
      </w:tr>
      <w:tr w14:paraId="6D0B3AE6">
        <w:tblPrEx>
          <w:tblCellMar>
            <w:top w:w="0" w:type="dxa"/>
            <w:left w:w="0" w:type="dxa"/>
            <w:bottom w:w="0" w:type="dxa"/>
            <w:right w:w="0" w:type="dxa"/>
          </w:tblCellMar>
        </w:tblPrEx>
        <w:trPr>
          <w:trHeight w:val="1640" w:hRule="atLeast"/>
          <w:jc w:val="center"/>
        </w:trPr>
        <w:tc>
          <w:tcPr>
            <w:tcW w:w="5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920D67">
            <w:pPr>
              <w:widowControl/>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3</w:t>
            </w:r>
          </w:p>
        </w:tc>
        <w:tc>
          <w:tcPr>
            <w:tcW w:w="17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26A0BA">
            <w:pPr>
              <w:widowControl/>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000000"/>
                <w:kern w:val="0"/>
                <w:sz w:val="24"/>
                <w:highlight w:val="none"/>
              </w:rPr>
              <w:t>蛋糕券使用功能</w:t>
            </w: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829C0B">
            <w:pPr>
              <w:widowControl/>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auto"/>
                <w:kern w:val="0"/>
                <w:sz w:val="24"/>
                <w:highlight w:val="none"/>
                <w:lang w:val="en-US" w:eastAsia="zh-CN"/>
              </w:rPr>
              <w:t>2</w:t>
            </w:r>
          </w:p>
        </w:tc>
        <w:tc>
          <w:tcPr>
            <w:tcW w:w="63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6904D7">
            <w:pPr>
              <w:adjustRightInd w:val="0"/>
              <w:snapToGrid w:val="0"/>
              <w:jc w:val="left"/>
              <w:rPr>
                <w:rFonts w:hint="eastAsia"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（一）评审标准</w:t>
            </w:r>
          </w:p>
          <w:p w14:paraId="72257E12">
            <w:pPr>
              <w:adjustRightInd w:val="0"/>
              <w:snapToGrid w:val="0"/>
              <w:jc w:val="left"/>
              <w:rPr>
                <w:rFonts w:hint="eastAsia"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能够按需购买蛋糕店的生日蛋糕及店内其它产品，产品价格不得高于店内零售价格，满足线下及线上蛋糕券整体一券，可支持余额补差。满足该条件得2分，不具备不得分。</w:t>
            </w:r>
          </w:p>
          <w:p w14:paraId="43BCF740">
            <w:pPr>
              <w:widowControl/>
              <w:numPr>
                <w:ilvl w:val="0"/>
                <w:numId w:val="0"/>
              </w:numPr>
              <w:textAlignment w:val="center"/>
              <w:rPr>
                <w:rFonts w:hint="eastAsia"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（二）评分依据</w:t>
            </w:r>
          </w:p>
          <w:p w14:paraId="3CDB8BB3">
            <w:pPr>
              <w:adjustRightInd w:val="0"/>
              <w:snapToGrid w:val="0"/>
              <w:jc w:val="left"/>
              <w:rPr>
                <w:rFonts w:hint="eastAsia" w:ascii="Calibri" w:hAnsi="Calibri" w:eastAsia="仿宋" w:cs="黑体"/>
                <w:kern w:val="2"/>
                <w:sz w:val="21"/>
                <w:szCs w:val="24"/>
                <w:highlight w:val="none"/>
                <w:lang w:val="en-US" w:eastAsia="zh-CN" w:bidi="ar-SA"/>
              </w:rPr>
            </w:pPr>
            <w:r>
              <w:rPr>
                <w:rFonts w:hint="eastAsia" w:ascii="仿宋" w:hAnsi="仿宋" w:eastAsia="仿宋" w:cs="仿宋"/>
                <w:color w:val="000000"/>
                <w:kern w:val="0"/>
                <w:sz w:val="24"/>
                <w:highlight w:val="none"/>
                <w:lang w:val="en-US" w:eastAsia="zh-CN"/>
              </w:rPr>
              <w:t>提供蛋糕券使用功能承诺函（格式自拟），未提供或提供的证明材料不清晰导致评审专家无法辨认的，不得分。</w:t>
            </w:r>
          </w:p>
        </w:tc>
      </w:tr>
      <w:tr w14:paraId="5F6B0BA0">
        <w:tblPrEx>
          <w:tblCellMar>
            <w:top w:w="0" w:type="dxa"/>
            <w:left w:w="0" w:type="dxa"/>
            <w:bottom w:w="0" w:type="dxa"/>
            <w:right w:w="0" w:type="dxa"/>
          </w:tblCellMar>
        </w:tblPrEx>
        <w:trPr>
          <w:trHeight w:val="1640" w:hRule="atLeast"/>
          <w:jc w:val="center"/>
        </w:trPr>
        <w:tc>
          <w:tcPr>
            <w:tcW w:w="5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1301DF">
            <w:pPr>
              <w:widowControl/>
              <w:jc w:val="center"/>
              <w:textAlignment w:val="center"/>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highlight w:val="none"/>
                <w:lang w:val="en-US" w:eastAsia="zh-CN" w:bidi="ar"/>
              </w:rPr>
              <w:t>4</w:t>
            </w:r>
          </w:p>
        </w:tc>
        <w:tc>
          <w:tcPr>
            <w:tcW w:w="17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DAF33C">
            <w:pPr>
              <w:widowControl/>
              <w:jc w:val="center"/>
              <w:textAlignment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kern w:val="0"/>
                <w:sz w:val="24"/>
                <w:highlight w:val="none"/>
                <w:lang w:val="en-US" w:eastAsia="zh-CN" w:bidi="ar"/>
              </w:rPr>
              <w:t>蛋糕券有限期限</w:t>
            </w: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5C0FF8">
            <w:pPr>
              <w:widowControl/>
              <w:jc w:val="center"/>
              <w:textAlignment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highlight w:val="none"/>
                <w:lang w:val="en-US" w:eastAsia="zh-CN"/>
              </w:rPr>
              <w:t>2</w:t>
            </w:r>
          </w:p>
        </w:tc>
        <w:tc>
          <w:tcPr>
            <w:tcW w:w="63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84D930">
            <w:pPr>
              <w:adjustRightInd w:val="0"/>
              <w:snapToGrid w:val="0"/>
              <w:jc w:val="left"/>
              <w:rPr>
                <w:rFonts w:hint="eastAsia"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（一）评审标准</w:t>
            </w:r>
          </w:p>
          <w:p w14:paraId="1674B0AD">
            <w:pPr>
              <w:adjustRightInd w:val="0"/>
              <w:snapToGrid w:val="0"/>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投标人提供的生日蛋糕券</w:t>
            </w:r>
            <w:r>
              <w:rPr>
                <w:rFonts w:hint="eastAsia" w:ascii="仿宋" w:hAnsi="仿宋" w:eastAsia="仿宋" w:cs="仿宋"/>
                <w:color w:val="auto"/>
                <w:sz w:val="24"/>
                <w:highlight w:val="none"/>
                <w:lang w:eastAsia="zh-CN"/>
              </w:rPr>
              <w:t>，</w:t>
            </w:r>
            <w:r>
              <w:rPr>
                <w:rFonts w:hint="eastAsia" w:ascii="仿宋" w:hAnsi="仿宋" w:eastAsia="仿宋" w:cs="仿宋"/>
                <w:color w:val="auto"/>
                <w:kern w:val="0"/>
                <w:sz w:val="24"/>
                <w:highlight w:val="none"/>
              </w:rPr>
              <w:t>有效期</w:t>
            </w:r>
            <w:r>
              <w:rPr>
                <w:rFonts w:hint="eastAsia" w:ascii="仿宋" w:hAnsi="仿宋" w:eastAsia="仿宋" w:cs="仿宋"/>
                <w:color w:val="auto"/>
                <w:kern w:val="0"/>
                <w:sz w:val="24"/>
                <w:highlight w:val="none"/>
                <w:lang w:val="en-US" w:eastAsia="zh-CN"/>
              </w:rPr>
              <w:t>至少</w:t>
            </w:r>
            <w:r>
              <w:rPr>
                <w:rFonts w:hint="eastAsia" w:ascii="仿宋" w:hAnsi="仿宋" w:eastAsia="仿宋" w:cs="仿宋"/>
                <w:color w:val="auto"/>
                <w:kern w:val="0"/>
                <w:sz w:val="24"/>
                <w:highlight w:val="none"/>
              </w:rPr>
              <w:t>为</w:t>
            </w:r>
            <w:r>
              <w:rPr>
                <w:rFonts w:hint="eastAsia" w:ascii="仿宋" w:hAnsi="仿宋" w:eastAsia="仿宋" w:cs="仿宋"/>
                <w:color w:val="auto"/>
                <w:kern w:val="0"/>
                <w:sz w:val="24"/>
                <w:highlight w:val="none"/>
                <w:lang w:val="en-US" w:eastAsia="zh-CN"/>
              </w:rPr>
              <w:t>24</w:t>
            </w:r>
            <w:r>
              <w:rPr>
                <w:rFonts w:hint="eastAsia" w:ascii="仿宋" w:hAnsi="仿宋" w:eastAsia="仿宋" w:cs="仿宋"/>
                <w:color w:val="auto"/>
                <w:kern w:val="0"/>
                <w:sz w:val="24"/>
                <w:highlight w:val="none"/>
              </w:rPr>
              <w:t>个月，每增加1年加</w:t>
            </w:r>
            <w:r>
              <w:rPr>
                <w:rFonts w:hint="eastAsia" w:ascii="仿宋" w:hAnsi="仿宋" w:eastAsia="仿宋" w:cs="仿宋"/>
                <w:color w:val="auto"/>
                <w:kern w:val="0"/>
                <w:sz w:val="24"/>
                <w:highlight w:val="none"/>
                <w:lang w:val="en-US" w:eastAsia="zh-CN"/>
              </w:rPr>
              <w:t>0.5</w:t>
            </w:r>
            <w:r>
              <w:rPr>
                <w:rFonts w:hint="eastAsia" w:ascii="仿宋" w:hAnsi="仿宋" w:eastAsia="仿宋" w:cs="仿宋"/>
                <w:color w:val="auto"/>
                <w:kern w:val="0"/>
                <w:sz w:val="24"/>
                <w:highlight w:val="none"/>
              </w:rPr>
              <w:t>分，最高得</w:t>
            </w: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分。不限有效期的得满分。</w:t>
            </w:r>
          </w:p>
          <w:p w14:paraId="16869A4B">
            <w:pPr>
              <w:widowControl/>
              <w:numPr>
                <w:ilvl w:val="0"/>
                <w:numId w:val="0"/>
              </w:numPr>
              <w:textAlignment w:val="center"/>
              <w:rPr>
                <w:rFonts w:hint="eastAsia"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（二）评分依据</w:t>
            </w:r>
          </w:p>
          <w:p w14:paraId="67E9C691">
            <w:pPr>
              <w:pStyle w:val="15"/>
              <w:rPr>
                <w:rFonts w:hint="eastAsia" w:ascii="Calibri" w:hAnsi="Calibri" w:eastAsia="仿宋" w:cs="黑体"/>
                <w:kern w:val="2"/>
                <w:sz w:val="21"/>
                <w:szCs w:val="24"/>
                <w:highlight w:val="none"/>
                <w:lang w:val="en-US" w:eastAsia="zh-CN" w:bidi="ar-SA"/>
              </w:rPr>
            </w:pPr>
            <w:r>
              <w:rPr>
                <w:rFonts w:hint="eastAsia" w:ascii="仿宋" w:hAnsi="仿宋" w:eastAsia="仿宋" w:cs="仿宋"/>
                <w:kern w:val="0"/>
                <w:sz w:val="24"/>
                <w:highlight w:val="none"/>
                <w:lang w:val="en-US" w:eastAsia="zh-CN" w:bidi="ar"/>
              </w:rPr>
              <w:t>提供承诺函（格式自拟）。</w:t>
            </w:r>
          </w:p>
        </w:tc>
      </w:tr>
      <w:tr w14:paraId="316EB065">
        <w:tblPrEx>
          <w:tblCellMar>
            <w:top w:w="0" w:type="dxa"/>
            <w:left w:w="0" w:type="dxa"/>
            <w:bottom w:w="0" w:type="dxa"/>
            <w:right w:w="0" w:type="dxa"/>
          </w:tblCellMar>
        </w:tblPrEx>
        <w:trPr>
          <w:trHeight w:val="1640" w:hRule="atLeast"/>
          <w:jc w:val="center"/>
        </w:trPr>
        <w:tc>
          <w:tcPr>
            <w:tcW w:w="5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D540C0">
            <w:pPr>
              <w:widowControl/>
              <w:jc w:val="center"/>
              <w:textAlignment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highlight w:val="none"/>
                <w:lang w:val="en-US" w:eastAsia="zh-CN"/>
              </w:rPr>
              <w:t>5</w:t>
            </w:r>
          </w:p>
        </w:tc>
        <w:tc>
          <w:tcPr>
            <w:tcW w:w="17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3BA65A">
            <w:pPr>
              <w:widowControl/>
              <w:tabs>
                <w:tab w:val="left" w:pos="312"/>
              </w:tabs>
              <w:jc w:val="center"/>
              <w:textAlignment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0"/>
                <w:sz w:val="24"/>
                <w:highlight w:val="none"/>
                <w:lang w:val="en-US" w:eastAsia="zh-CN"/>
              </w:rPr>
              <w:t>服务</w:t>
            </w:r>
            <w:r>
              <w:rPr>
                <w:rFonts w:hint="eastAsia" w:ascii="仿宋" w:hAnsi="仿宋" w:eastAsia="仿宋" w:cs="仿宋"/>
                <w:color w:val="000000"/>
                <w:kern w:val="0"/>
                <w:sz w:val="24"/>
                <w:highlight w:val="none"/>
              </w:rPr>
              <w:t>承诺</w:t>
            </w: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157142">
            <w:pPr>
              <w:widowControl/>
              <w:jc w:val="center"/>
              <w:textAlignment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auto"/>
                <w:kern w:val="0"/>
                <w:sz w:val="24"/>
                <w:highlight w:val="none"/>
                <w:lang w:val="en-US" w:eastAsia="zh-CN"/>
              </w:rPr>
              <w:t>2</w:t>
            </w:r>
          </w:p>
        </w:tc>
        <w:tc>
          <w:tcPr>
            <w:tcW w:w="63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90F58A">
            <w:pPr>
              <w:adjustRightInd w:val="0"/>
              <w:snapToGrid w:val="0"/>
              <w:jc w:val="left"/>
              <w:rPr>
                <w:rFonts w:hint="eastAsia"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（一）评审标准</w:t>
            </w:r>
          </w:p>
          <w:p w14:paraId="6F5DD123">
            <w:pPr>
              <w:widowControl/>
              <w:numPr>
                <w:ilvl w:val="0"/>
                <w:numId w:val="0"/>
              </w:numPr>
              <w:snapToGrid/>
              <w:spacing w:before="0" w:beforeAutospacing="0" w:after="0" w:afterAutospacing="0" w:line="240" w:lineRule="auto"/>
              <w:ind w:left="0" w:leftChars="0" w:firstLine="0" w:firstLineChars="0"/>
              <w:jc w:val="both"/>
              <w:textAlignment w:val="center"/>
              <w:rPr>
                <w:rFonts w:hint="eastAsia" w:ascii="仿宋" w:hAnsi="仿宋" w:eastAsia="仿宋" w:cs="仿宋"/>
                <w:b w:val="0"/>
                <w:i w:val="0"/>
                <w:caps w:val="0"/>
                <w:color w:val="auto"/>
                <w:spacing w:val="0"/>
                <w:w w:val="100"/>
                <w:kern w:val="0"/>
                <w:sz w:val="24"/>
                <w:szCs w:val="24"/>
                <w:highlight w:val="none"/>
                <w:lang w:val="en-US" w:eastAsia="zh-CN"/>
              </w:rPr>
            </w:pPr>
            <w:r>
              <w:rPr>
                <w:rFonts w:hint="eastAsia" w:ascii="仿宋" w:hAnsi="仿宋" w:eastAsia="仿宋" w:cs="仿宋"/>
                <w:b w:val="0"/>
                <w:i w:val="0"/>
                <w:caps w:val="0"/>
                <w:color w:val="auto"/>
                <w:spacing w:val="0"/>
                <w:w w:val="100"/>
                <w:kern w:val="0"/>
                <w:sz w:val="24"/>
                <w:szCs w:val="24"/>
                <w:highlight w:val="none"/>
                <w:lang w:val="en-US" w:eastAsia="zh-CN"/>
              </w:rPr>
              <w:t>根据投标人承诺以下内容情况进行评分，满足要求的得2分。</w:t>
            </w:r>
          </w:p>
          <w:p w14:paraId="4D140AE2">
            <w:pPr>
              <w:widowControl/>
              <w:numPr>
                <w:ilvl w:val="0"/>
                <w:numId w:val="0"/>
              </w:numPr>
              <w:snapToGrid/>
              <w:spacing w:before="0" w:beforeAutospacing="0" w:after="0" w:afterAutospacing="0" w:line="240" w:lineRule="auto"/>
              <w:ind w:left="0" w:leftChars="0" w:firstLine="0" w:firstLineChars="0"/>
              <w:jc w:val="both"/>
              <w:textAlignment w:val="center"/>
              <w:rPr>
                <w:rFonts w:hint="eastAsia" w:ascii="仿宋" w:hAnsi="仿宋" w:eastAsia="仿宋" w:cs="仿宋"/>
                <w:b w:val="0"/>
                <w:i w:val="0"/>
                <w:caps w:val="0"/>
                <w:color w:val="auto"/>
                <w:spacing w:val="0"/>
                <w:w w:val="100"/>
                <w:kern w:val="0"/>
                <w:sz w:val="24"/>
                <w:szCs w:val="24"/>
                <w:highlight w:val="none"/>
                <w:lang w:val="en-US" w:eastAsia="zh-CN"/>
              </w:rPr>
            </w:pPr>
            <w:r>
              <w:rPr>
                <w:rFonts w:hint="eastAsia" w:ascii="仿宋" w:hAnsi="仿宋" w:eastAsia="仿宋" w:cs="仿宋"/>
                <w:b w:val="0"/>
                <w:i w:val="0"/>
                <w:caps w:val="0"/>
                <w:color w:val="auto"/>
                <w:spacing w:val="0"/>
                <w:w w:val="100"/>
                <w:kern w:val="0"/>
                <w:sz w:val="24"/>
                <w:szCs w:val="24"/>
                <w:highlight w:val="none"/>
                <w:lang w:val="en-US" w:eastAsia="zh-CN"/>
              </w:rPr>
              <w:t>1.服务质量达到招标文件要求；</w:t>
            </w:r>
          </w:p>
          <w:p w14:paraId="5D1AF5CA">
            <w:pPr>
              <w:widowControl/>
              <w:numPr>
                <w:ilvl w:val="0"/>
                <w:numId w:val="0"/>
              </w:numPr>
              <w:snapToGrid/>
              <w:spacing w:before="0" w:beforeAutospacing="0" w:after="0" w:afterAutospacing="0" w:line="240" w:lineRule="auto"/>
              <w:ind w:left="0" w:leftChars="0" w:firstLine="0" w:firstLineChars="0"/>
              <w:jc w:val="both"/>
              <w:textAlignment w:val="center"/>
              <w:rPr>
                <w:rFonts w:hint="eastAsia" w:ascii="仿宋" w:hAnsi="仿宋" w:eastAsia="仿宋" w:cs="仿宋"/>
                <w:b w:val="0"/>
                <w:i w:val="0"/>
                <w:caps w:val="0"/>
                <w:color w:val="auto"/>
                <w:spacing w:val="0"/>
                <w:w w:val="100"/>
                <w:kern w:val="0"/>
                <w:sz w:val="24"/>
                <w:szCs w:val="24"/>
                <w:highlight w:val="none"/>
                <w:lang w:val="en-US" w:eastAsia="zh-CN"/>
              </w:rPr>
            </w:pPr>
            <w:r>
              <w:rPr>
                <w:rFonts w:hint="eastAsia" w:ascii="仿宋" w:hAnsi="仿宋" w:eastAsia="仿宋" w:cs="仿宋"/>
                <w:b w:val="0"/>
                <w:i w:val="0"/>
                <w:caps w:val="0"/>
                <w:color w:val="auto"/>
                <w:spacing w:val="0"/>
                <w:w w:val="100"/>
                <w:kern w:val="0"/>
                <w:sz w:val="24"/>
                <w:szCs w:val="24"/>
                <w:highlight w:val="none"/>
                <w:lang w:val="en-US" w:eastAsia="zh-CN"/>
              </w:rPr>
              <w:t>2.对未能达到的服务要求承担管理责任。</w:t>
            </w:r>
          </w:p>
          <w:p w14:paraId="0C5B4632">
            <w:pPr>
              <w:widowControl/>
              <w:numPr>
                <w:ilvl w:val="0"/>
                <w:numId w:val="0"/>
              </w:numPr>
              <w:textAlignment w:val="center"/>
              <w:rPr>
                <w:rFonts w:hint="eastAsia"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（二）评分依据</w:t>
            </w:r>
          </w:p>
          <w:p w14:paraId="5B489952">
            <w:pPr>
              <w:widowControl/>
              <w:numPr>
                <w:ilvl w:val="0"/>
                <w:numId w:val="0"/>
              </w:numPr>
              <w:snapToGrid/>
              <w:spacing w:before="0" w:beforeAutospacing="0" w:after="0" w:afterAutospacing="0" w:line="240" w:lineRule="auto"/>
              <w:ind w:left="0" w:leftChars="0" w:firstLine="0" w:firstLineChars="0"/>
              <w:jc w:val="both"/>
              <w:textAlignment w:val="center"/>
              <w:rPr>
                <w:rFonts w:hint="eastAsia" w:ascii="宋体" w:hAnsi="宋体" w:eastAsia="宋体" w:cs="黑体"/>
                <w:kern w:val="0"/>
                <w:sz w:val="32"/>
                <w:szCs w:val="32"/>
                <w:highlight w:val="none"/>
                <w:lang w:val="en-US" w:eastAsia="zh-CN" w:bidi="ar-SA"/>
              </w:rPr>
            </w:pPr>
            <w:r>
              <w:rPr>
                <w:rFonts w:hint="eastAsia" w:ascii="仿宋" w:hAnsi="仿宋" w:eastAsia="仿宋" w:cs="仿宋"/>
                <w:b w:val="0"/>
                <w:i w:val="0"/>
                <w:caps w:val="0"/>
                <w:color w:val="auto"/>
                <w:spacing w:val="0"/>
                <w:w w:val="100"/>
                <w:kern w:val="0"/>
                <w:sz w:val="24"/>
                <w:szCs w:val="24"/>
                <w:highlight w:val="none"/>
                <w:lang w:val="en-US" w:eastAsia="zh-CN"/>
              </w:rPr>
              <w:t>要求提供承诺函（格式自定）作为得分依据，未提供承诺函或承诺内容不满足要求不得分。</w:t>
            </w:r>
          </w:p>
        </w:tc>
      </w:tr>
      <w:tr w14:paraId="046D6A9B">
        <w:tblPrEx>
          <w:tblCellMar>
            <w:top w:w="0" w:type="dxa"/>
            <w:left w:w="0" w:type="dxa"/>
            <w:bottom w:w="0" w:type="dxa"/>
            <w:right w:w="0" w:type="dxa"/>
          </w:tblCellMar>
        </w:tblPrEx>
        <w:trPr>
          <w:trHeight w:val="1640" w:hRule="atLeast"/>
          <w:jc w:val="center"/>
        </w:trPr>
        <w:tc>
          <w:tcPr>
            <w:tcW w:w="5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AB3F57">
            <w:pPr>
              <w:widowControl/>
              <w:jc w:val="center"/>
              <w:textAlignment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0"/>
                <w:sz w:val="24"/>
                <w:highlight w:val="none"/>
                <w:lang w:val="en-US" w:eastAsia="zh-CN"/>
              </w:rPr>
              <w:t>6</w:t>
            </w:r>
          </w:p>
        </w:tc>
        <w:tc>
          <w:tcPr>
            <w:tcW w:w="17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483503">
            <w:pPr>
              <w:widowControl/>
              <w:numPr>
                <w:ilvl w:val="0"/>
                <w:numId w:val="0"/>
              </w:numPr>
              <w:ind w:left="0" w:leftChars="0" w:firstLine="0" w:firstLineChars="0"/>
              <w:jc w:val="center"/>
              <w:textAlignment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lang w:val="en-US" w:eastAsia="zh-CN"/>
              </w:rPr>
              <w:t>企业诚信</w:t>
            </w: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2E6226">
            <w:pPr>
              <w:widowControl/>
              <w:numPr>
                <w:ilvl w:val="0"/>
                <w:numId w:val="0"/>
              </w:numPr>
              <w:ind w:left="0" w:leftChars="0" w:firstLine="0" w:firstLineChars="0"/>
              <w:jc w:val="center"/>
              <w:textAlignment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lang w:val="en-US" w:eastAsia="zh-CN"/>
              </w:rPr>
              <w:t>5</w:t>
            </w:r>
          </w:p>
        </w:tc>
        <w:tc>
          <w:tcPr>
            <w:tcW w:w="63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70C0E4">
            <w:pPr>
              <w:adjustRightInd w:val="0"/>
              <w:snapToGrid w:val="0"/>
              <w:jc w:val="left"/>
              <w:rPr>
                <w:rFonts w:hint="eastAsia"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（一）评审标准</w:t>
            </w:r>
          </w:p>
          <w:p w14:paraId="00D5E71B">
            <w:pPr>
              <w:widowControl/>
              <w:numPr>
                <w:ilvl w:val="0"/>
                <w:numId w:val="0"/>
              </w:numPr>
              <w:textAlignment w:val="center"/>
              <w:rPr>
                <w:rFonts w:hint="eastAsia"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根据《深圳市财政局关于印发&lt;深圳市财政局政府采购供应商信用信息管理办法〉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14:paraId="3636C4CE">
            <w:pPr>
              <w:widowControl/>
              <w:numPr>
                <w:ilvl w:val="0"/>
                <w:numId w:val="0"/>
              </w:numPr>
              <w:textAlignment w:val="center"/>
              <w:rPr>
                <w:rFonts w:hint="eastAsia"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（二）评分依据</w:t>
            </w:r>
          </w:p>
          <w:p w14:paraId="27E76945">
            <w:pPr>
              <w:widowControl/>
              <w:numPr>
                <w:ilvl w:val="0"/>
                <w:numId w:val="0"/>
              </w:numPr>
              <w:ind w:left="0" w:leftChars="0" w:firstLine="0" w:firstLineChars="0"/>
              <w:textAlignment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lang w:val="en-US" w:eastAsia="zh-CN"/>
              </w:rPr>
              <w:t>采购人通过“信用中国”“中国政府采购网”“深圳市政府采购监管网”等渠道查询供应商信用信息，投标人无需提供证明材料。</w:t>
            </w:r>
          </w:p>
        </w:tc>
      </w:tr>
      <w:tr w14:paraId="5879B5A7">
        <w:tblPrEx>
          <w:tblCellMar>
            <w:top w:w="0" w:type="dxa"/>
            <w:left w:w="0" w:type="dxa"/>
            <w:bottom w:w="0" w:type="dxa"/>
            <w:right w:w="0" w:type="dxa"/>
          </w:tblCellMar>
        </w:tblPrEx>
        <w:trPr>
          <w:trHeight w:val="364" w:hRule="atLeast"/>
          <w:jc w:val="center"/>
        </w:trPr>
        <w:tc>
          <w:tcPr>
            <w:tcW w:w="571"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2286D8D">
            <w:pPr>
              <w:widowControl/>
              <w:jc w:val="left"/>
              <w:textAlignment w:val="center"/>
              <w:rPr>
                <w:rFonts w:hint="eastAsia" w:ascii="仿宋" w:hAnsi="仿宋" w:eastAsia="仿宋" w:cs="仿宋"/>
                <w:b/>
                <w:color w:val="000000"/>
                <w:sz w:val="24"/>
                <w:highlight w:val="none"/>
              </w:rPr>
            </w:pPr>
            <w:r>
              <w:rPr>
                <w:rFonts w:hint="eastAsia" w:ascii="仿宋" w:hAnsi="仿宋" w:eastAsia="仿宋" w:cs="仿宋"/>
                <w:b/>
                <w:color w:val="000000"/>
                <w:kern w:val="0"/>
                <w:sz w:val="24"/>
                <w:highlight w:val="none"/>
                <w:lang w:bidi="ar"/>
              </w:rPr>
              <w:t>二、</w:t>
            </w:r>
          </w:p>
        </w:tc>
        <w:tc>
          <w:tcPr>
            <w:tcW w:w="8850"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BB10E49">
            <w:pPr>
              <w:widowControl/>
              <w:jc w:val="center"/>
              <w:textAlignment w:val="center"/>
              <w:rPr>
                <w:rFonts w:hint="eastAsia" w:ascii="仿宋" w:hAnsi="仿宋" w:eastAsia="仿宋" w:cs="仿宋"/>
                <w:b/>
                <w:color w:val="000000"/>
                <w:sz w:val="24"/>
                <w:highlight w:val="none"/>
              </w:rPr>
            </w:pPr>
            <w:r>
              <w:rPr>
                <w:rFonts w:hint="eastAsia" w:ascii="仿宋" w:hAnsi="仿宋" w:eastAsia="仿宋" w:cs="仿宋"/>
                <w:b/>
                <w:color w:val="000000"/>
                <w:kern w:val="0"/>
                <w:sz w:val="24"/>
                <w:highlight w:val="none"/>
                <w:lang w:val="en-US" w:eastAsia="zh-CN" w:bidi="ar"/>
              </w:rPr>
              <w:t>技术</w:t>
            </w:r>
            <w:r>
              <w:rPr>
                <w:rFonts w:hint="eastAsia" w:ascii="仿宋" w:hAnsi="仿宋" w:eastAsia="仿宋" w:cs="仿宋"/>
                <w:b/>
                <w:color w:val="000000"/>
                <w:kern w:val="0"/>
                <w:sz w:val="24"/>
                <w:highlight w:val="none"/>
                <w:lang w:bidi="ar"/>
              </w:rPr>
              <w:t>部分（</w:t>
            </w:r>
            <w:r>
              <w:rPr>
                <w:rFonts w:hint="eastAsia" w:ascii="仿宋" w:hAnsi="仿宋" w:eastAsia="仿宋" w:cs="仿宋"/>
                <w:b/>
                <w:color w:val="000000"/>
                <w:kern w:val="0"/>
                <w:sz w:val="24"/>
                <w:highlight w:val="none"/>
                <w:lang w:val="en-US" w:eastAsia="zh-CN" w:bidi="ar"/>
              </w:rPr>
              <w:t>53</w:t>
            </w:r>
            <w:r>
              <w:rPr>
                <w:rFonts w:hint="eastAsia" w:ascii="仿宋" w:hAnsi="仿宋" w:eastAsia="仿宋" w:cs="仿宋"/>
                <w:b/>
                <w:color w:val="000000"/>
                <w:kern w:val="0"/>
                <w:sz w:val="24"/>
                <w:highlight w:val="none"/>
                <w:lang w:bidi="ar"/>
              </w:rPr>
              <w:t>分）</w:t>
            </w:r>
          </w:p>
        </w:tc>
      </w:tr>
      <w:tr w14:paraId="4BFE685F">
        <w:tblPrEx>
          <w:tblCellMar>
            <w:top w:w="0" w:type="dxa"/>
            <w:left w:w="0" w:type="dxa"/>
            <w:bottom w:w="0" w:type="dxa"/>
            <w:right w:w="0" w:type="dxa"/>
          </w:tblCellMar>
        </w:tblPrEx>
        <w:trPr>
          <w:trHeight w:val="325" w:hRule="atLeast"/>
          <w:jc w:val="center"/>
        </w:trPr>
        <w:tc>
          <w:tcPr>
            <w:tcW w:w="5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BE8036">
            <w:pPr>
              <w:widowControl/>
              <w:jc w:val="center"/>
              <w:textAlignment w:val="center"/>
              <w:rPr>
                <w:rFonts w:hint="eastAsia" w:ascii="仿宋" w:hAnsi="仿宋" w:eastAsia="仿宋" w:cs="仿宋"/>
                <w:kern w:val="0"/>
                <w:sz w:val="24"/>
                <w:highlight w:val="none"/>
                <w:lang w:val="en-US" w:eastAsia="zh-CN" w:bidi="ar"/>
              </w:rPr>
            </w:pPr>
            <w:r>
              <w:rPr>
                <w:rFonts w:hint="eastAsia" w:ascii="仿宋" w:hAnsi="仿宋" w:eastAsia="仿宋" w:cs="仿宋"/>
                <w:kern w:val="0"/>
                <w:sz w:val="24"/>
                <w:highlight w:val="none"/>
                <w:lang w:val="en-US" w:eastAsia="zh-CN" w:bidi="ar"/>
              </w:rPr>
              <w:t>1</w:t>
            </w:r>
          </w:p>
        </w:tc>
        <w:tc>
          <w:tcPr>
            <w:tcW w:w="177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53A5C7">
            <w:pPr>
              <w:widowControl/>
              <w:numPr>
                <w:ilvl w:val="0"/>
                <w:numId w:val="0"/>
              </w:numPr>
              <w:jc w:val="center"/>
              <w:textAlignment w:val="center"/>
              <w:rPr>
                <w:rFonts w:hint="default"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品种数量</w:t>
            </w:r>
          </w:p>
        </w:tc>
        <w:tc>
          <w:tcPr>
            <w:tcW w:w="720"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198766B9">
            <w:pPr>
              <w:widowControl/>
              <w:numPr>
                <w:ilvl w:val="0"/>
                <w:numId w:val="0"/>
              </w:numPr>
              <w:jc w:val="center"/>
              <w:textAlignment w:val="center"/>
              <w:rPr>
                <w:rFonts w:hint="default"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8</w:t>
            </w:r>
          </w:p>
        </w:tc>
        <w:tc>
          <w:tcPr>
            <w:tcW w:w="636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B24B51">
            <w:pPr>
              <w:adjustRightInd w:val="0"/>
              <w:snapToGrid w:val="0"/>
              <w:jc w:val="left"/>
              <w:rPr>
                <w:rFonts w:hint="eastAsia"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（一）评审标准</w:t>
            </w:r>
          </w:p>
          <w:p w14:paraId="4E813860">
            <w:pPr>
              <w:adjustRightInd w:val="0"/>
              <w:snapToGrid w:val="0"/>
              <w:jc w:val="left"/>
              <w:rPr>
                <w:rFonts w:hint="default"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品种丰富多样，可选择性多：</w:t>
            </w:r>
          </w:p>
          <w:p w14:paraId="2B67901A">
            <w:pPr>
              <w:adjustRightInd w:val="0"/>
              <w:snapToGrid w:val="0"/>
              <w:jc w:val="left"/>
              <w:rPr>
                <w:rFonts w:hint="eastAsia"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①品种数量30种以上得8分；</w:t>
            </w:r>
          </w:p>
          <w:p w14:paraId="1F18B76F">
            <w:pPr>
              <w:adjustRightInd w:val="0"/>
              <w:snapToGrid w:val="0"/>
              <w:jc w:val="left"/>
              <w:rPr>
                <w:rFonts w:hint="eastAsia"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②品种数量20至29种得6分；</w:t>
            </w:r>
          </w:p>
          <w:p w14:paraId="06953C0F">
            <w:pPr>
              <w:adjustRightInd w:val="0"/>
              <w:snapToGrid w:val="0"/>
              <w:jc w:val="left"/>
              <w:rPr>
                <w:rFonts w:hint="eastAsia"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③品种数量19种以下得4分。</w:t>
            </w:r>
          </w:p>
          <w:p w14:paraId="42E87DA8">
            <w:pPr>
              <w:adjustRightInd w:val="0"/>
              <w:snapToGrid w:val="0"/>
              <w:jc w:val="left"/>
              <w:rPr>
                <w:rFonts w:hint="eastAsia"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（二）评分依据</w:t>
            </w:r>
          </w:p>
          <w:p w14:paraId="18B1AD81">
            <w:pPr>
              <w:adjustRightInd w:val="0"/>
              <w:snapToGrid w:val="0"/>
              <w:jc w:val="left"/>
              <w:rPr>
                <w:rFonts w:hint="eastAsia"/>
                <w:highlight w:val="none"/>
                <w:lang w:val="en-US" w:eastAsia="zh-CN"/>
              </w:rPr>
            </w:pPr>
            <w:r>
              <w:rPr>
                <w:rFonts w:hint="eastAsia" w:ascii="仿宋" w:hAnsi="仿宋" w:eastAsia="仿宋" w:cs="仿宋"/>
                <w:color w:val="000000"/>
                <w:kern w:val="0"/>
                <w:sz w:val="24"/>
                <w:highlight w:val="none"/>
                <w:lang w:val="en-US" w:eastAsia="zh-CN"/>
              </w:rPr>
              <w:t>提供产品目录、蛋糕品种彩页资料及承诺函（</w:t>
            </w:r>
            <w:r>
              <w:rPr>
                <w:rFonts w:hint="eastAsia" w:ascii="仿宋" w:hAnsi="仿宋" w:eastAsia="仿宋" w:cs="仿宋"/>
                <w:kern w:val="0"/>
                <w:sz w:val="24"/>
                <w:highlight w:val="none"/>
                <w:lang w:val="en-US" w:eastAsia="zh-CN"/>
              </w:rPr>
              <w:t>格式自拟</w:t>
            </w:r>
            <w:r>
              <w:rPr>
                <w:rFonts w:hint="eastAsia" w:ascii="仿宋" w:hAnsi="仿宋" w:eastAsia="仿宋" w:cs="仿宋"/>
                <w:color w:val="000000"/>
                <w:kern w:val="0"/>
                <w:sz w:val="24"/>
                <w:highlight w:val="none"/>
                <w:lang w:val="en-US" w:eastAsia="zh-CN"/>
              </w:rPr>
              <w:t>），</w:t>
            </w:r>
            <w:r>
              <w:rPr>
                <w:rFonts w:hint="eastAsia" w:ascii="仿宋" w:hAnsi="仿宋" w:eastAsia="仿宋" w:cs="仿宋"/>
                <w:kern w:val="0"/>
                <w:sz w:val="24"/>
                <w:highlight w:val="none"/>
              </w:rPr>
              <w:t>未提供</w:t>
            </w:r>
            <w:r>
              <w:rPr>
                <w:rFonts w:hint="eastAsia" w:ascii="仿宋" w:hAnsi="仿宋" w:eastAsia="仿宋" w:cs="仿宋"/>
                <w:color w:val="000000"/>
                <w:kern w:val="0"/>
                <w:sz w:val="24"/>
                <w:highlight w:val="none"/>
                <w:lang w:bidi="ar"/>
              </w:rPr>
              <w:t>或提供的证明材料不清晰导致评审专家无法辨认的，不得</w:t>
            </w:r>
            <w:r>
              <w:rPr>
                <w:rFonts w:hint="eastAsia" w:ascii="仿宋" w:hAnsi="仿宋" w:eastAsia="仿宋" w:cs="仿宋"/>
                <w:kern w:val="0"/>
                <w:sz w:val="24"/>
                <w:highlight w:val="none"/>
              </w:rPr>
              <w:t>分。</w:t>
            </w:r>
          </w:p>
        </w:tc>
      </w:tr>
      <w:tr w14:paraId="04C8B233">
        <w:tblPrEx>
          <w:tblCellMar>
            <w:top w:w="0" w:type="dxa"/>
            <w:left w:w="0" w:type="dxa"/>
            <w:bottom w:w="0" w:type="dxa"/>
            <w:right w:w="0" w:type="dxa"/>
          </w:tblCellMar>
        </w:tblPrEx>
        <w:trPr>
          <w:trHeight w:val="90" w:hRule="atLeast"/>
          <w:jc w:val="center"/>
        </w:trPr>
        <w:tc>
          <w:tcPr>
            <w:tcW w:w="5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219589">
            <w:pPr>
              <w:widowControl/>
              <w:jc w:val="center"/>
              <w:textAlignment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w:t>
            </w:r>
          </w:p>
        </w:tc>
        <w:tc>
          <w:tcPr>
            <w:tcW w:w="17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47E7F4">
            <w:pPr>
              <w:widowControl/>
              <w:jc w:val="center"/>
              <w:textAlignment w:val="center"/>
              <w:rPr>
                <w:rFonts w:hint="eastAsia" w:ascii="仿宋" w:hAnsi="仿宋" w:eastAsia="仿宋" w:cs="仿宋"/>
                <w:sz w:val="24"/>
                <w:highlight w:val="none"/>
              </w:rPr>
            </w:pPr>
            <w:r>
              <w:rPr>
                <w:rFonts w:hint="eastAsia" w:ascii="仿宋" w:hAnsi="仿宋" w:eastAsia="仿宋" w:cs="仿宋"/>
                <w:color w:val="000000"/>
                <w:kern w:val="0"/>
                <w:sz w:val="24"/>
                <w:highlight w:val="none"/>
              </w:rPr>
              <w:t>服务方案</w:t>
            </w: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1579E8">
            <w:pPr>
              <w:jc w:val="center"/>
              <w:rPr>
                <w:rFonts w:hint="default" w:ascii="仿宋" w:hAnsi="仿宋" w:eastAsia="仿宋" w:cs="仿宋"/>
                <w:color w:val="000000"/>
                <w:kern w:val="0"/>
                <w:sz w:val="24"/>
                <w:highlight w:val="none"/>
                <w:lang w:val="en-US"/>
              </w:rPr>
            </w:pPr>
            <w:r>
              <w:rPr>
                <w:rFonts w:hint="eastAsia" w:ascii="仿宋" w:hAnsi="仿宋" w:eastAsia="仿宋" w:cs="仿宋"/>
                <w:color w:val="000000"/>
                <w:kern w:val="0"/>
                <w:sz w:val="24"/>
                <w:highlight w:val="none"/>
                <w:lang w:val="en-US" w:eastAsia="zh-CN"/>
              </w:rPr>
              <w:t>12</w:t>
            </w:r>
          </w:p>
        </w:tc>
        <w:tc>
          <w:tcPr>
            <w:tcW w:w="63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BC6E30">
            <w:pPr>
              <w:rPr>
                <w:rFonts w:hint="eastAsia"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（一）评审内容</w:t>
            </w:r>
          </w:p>
          <w:p w14:paraId="4DED4ABA">
            <w:pP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根据招标文件的需求，制定贴切本项目的服务方案，方案内容包括但不限于：</w:t>
            </w:r>
          </w:p>
          <w:p w14:paraId="670CE012">
            <w:pPr>
              <w:rPr>
                <w:rFonts w:hint="eastAsia"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（1）质量保障服务措施；</w:t>
            </w:r>
          </w:p>
          <w:p w14:paraId="51CF3B30">
            <w:pPr>
              <w:rPr>
                <w:rFonts w:hint="default"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（2）配送保障服务措施；</w:t>
            </w:r>
          </w:p>
          <w:p w14:paraId="18A51E7C">
            <w:pPr>
              <w:rPr>
                <w:rFonts w:hint="default"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（3）售后保障服务措施。</w:t>
            </w:r>
          </w:p>
          <w:p w14:paraId="5F94FDD6">
            <w:pPr>
              <w:rPr>
                <w:rFonts w:hint="eastAsia" w:ascii="仿宋" w:hAnsi="仿宋" w:eastAsia="仿宋" w:cs="仿宋"/>
                <w:color w:val="000000"/>
                <w:kern w:val="0"/>
                <w:sz w:val="24"/>
                <w:highlight w:val="none"/>
                <w:lang w:eastAsia="zh-CN"/>
              </w:rPr>
            </w:pPr>
            <w:r>
              <w:rPr>
                <w:rFonts w:hint="eastAsia" w:ascii="仿宋" w:hAnsi="仿宋" w:eastAsia="仿宋" w:cs="仿宋"/>
                <w:color w:val="000000"/>
                <w:kern w:val="0"/>
                <w:sz w:val="24"/>
                <w:highlight w:val="none"/>
                <w:lang w:eastAsia="zh-CN"/>
              </w:rPr>
              <w:t>（二）评分依据</w:t>
            </w:r>
          </w:p>
          <w:p w14:paraId="29F1F958">
            <w:pPr>
              <w:rPr>
                <w:rFonts w:hint="eastAsia" w:ascii="仿宋" w:hAnsi="仿宋" w:eastAsia="仿宋" w:cs="仿宋"/>
                <w:color w:val="000000"/>
                <w:kern w:val="0"/>
                <w:sz w:val="24"/>
                <w:highlight w:val="none"/>
                <w:lang w:eastAsia="zh-CN"/>
              </w:rPr>
            </w:pPr>
            <w:r>
              <w:rPr>
                <w:rFonts w:hint="eastAsia" w:ascii="仿宋" w:hAnsi="仿宋" w:eastAsia="仿宋" w:cs="仿宋"/>
                <w:color w:val="000000"/>
                <w:kern w:val="0"/>
                <w:sz w:val="24"/>
                <w:highlight w:val="none"/>
                <w:lang w:eastAsia="zh-CN"/>
              </w:rPr>
              <w:t>1.投标文件满足评审内容情况，本项最高得</w:t>
            </w:r>
            <w:r>
              <w:rPr>
                <w:rFonts w:hint="eastAsia" w:ascii="仿宋" w:hAnsi="仿宋" w:eastAsia="仿宋" w:cs="仿宋"/>
                <w:color w:val="000000"/>
                <w:kern w:val="0"/>
                <w:sz w:val="24"/>
                <w:highlight w:val="none"/>
                <w:lang w:val="en-US" w:eastAsia="zh-CN"/>
              </w:rPr>
              <w:t>6</w:t>
            </w:r>
            <w:r>
              <w:rPr>
                <w:rFonts w:hint="eastAsia" w:ascii="仿宋" w:hAnsi="仿宋" w:eastAsia="仿宋" w:cs="仿宋"/>
                <w:color w:val="000000"/>
                <w:kern w:val="0"/>
                <w:sz w:val="24"/>
                <w:highlight w:val="none"/>
                <w:lang w:eastAsia="zh-CN"/>
              </w:rPr>
              <w:t>分。</w:t>
            </w:r>
          </w:p>
          <w:p w14:paraId="00259029">
            <w:pPr>
              <w:rPr>
                <w:rFonts w:hint="eastAsia" w:ascii="仿宋" w:hAnsi="仿宋" w:eastAsia="仿宋" w:cs="仿宋"/>
                <w:color w:val="000000"/>
                <w:kern w:val="0"/>
                <w:sz w:val="24"/>
                <w:highlight w:val="none"/>
                <w:lang w:eastAsia="zh-CN"/>
              </w:rPr>
            </w:pPr>
            <w:r>
              <w:rPr>
                <w:rFonts w:hint="eastAsia" w:ascii="仿宋" w:hAnsi="仿宋" w:eastAsia="仿宋" w:cs="仿宋"/>
                <w:color w:val="000000"/>
                <w:kern w:val="0"/>
                <w:sz w:val="24"/>
                <w:highlight w:val="none"/>
                <w:lang w:eastAsia="zh-CN"/>
              </w:rPr>
              <w:t>每达到1项得1分，未提供服务方案的不得分。</w:t>
            </w:r>
          </w:p>
          <w:p w14:paraId="32EFD1AC">
            <w:pPr>
              <w:rPr>
                <w:rFonts w:hint="eastAsia" w:ascii="仿宋" w:hAnsi="仿宋" w:eastAsia="仿宋" w:cs="仿宋"/>
                <w:color w:val="000000"/>
                <w:kern w:val="0"/>
                <w:sz w:val="24"/>
                <w:highlight w:val="none"/>
                <w:lang w:eastAsia="zh-CN"/>
              </w:rPr>
            </w:pPr>
            <w:r>
              <w:rPr>
                <w:rFonts w:hint="eastAsia" w:ascii="仿宋" w:hAnsi="仿宋" w:eastAsia="仿宋" w:cs="仿宋"/>
                <w:color w:val="000000"/>
                <w:kern w:val="0"/>
                <w:sz w:val="24"/>
                <w:highlight w:val="none"/>
                <w:lang w:eastAsia="zh-CN"/>
              </w:rPr>
              <w:t>2.在此基础上，根据</w:t>
            </w:r>
            <w:r>
              <w:rPr>
                <w:rFonts w:hint="eastAsia" w:ascii="仿宋" w:hAnsi="仿宋" w:eastAsia="仿宋" w:cs="仿宋"/>
                <w:color w:val="000000"/>
                <w:kern w:val="0"/>
                <w:sz w:val="24"/>
                <w:highlight w:val="none"/>
                <w:lang w:val="en-US" w:eastAsia="zh-CN"/>
              </w:rPr>
              <w:t>服务</w:t>
            </w:r>
            <w:r>
              <w:rPr>
                <w:rFonts w:hint="eastAsia" w:ascii="仿宋" w:hAnsi="仿宋" w:eastAsia="仿宋" w:cs="仿宋"/>
                <w:color w:val="000000"/>
                <w:kern w:val="0"/>
                <w:sz w:val="24"/>
                <w:highlight w:val="none"/>
                <w:lang w:eastAsia="zh-CN"/>
              </w:rPr>
              <w:t>方案整体</w:t>
            </w:r>
            <w:r>
              <w:rPr>
                <w:rFonts w:hint="eastAsia" w:ascii="仿宋" w:hAnsi="仿宋" w:eastAsia="仿宋" w:cs="仿宋"/>
                <w:color w:val="000000"/>
                <w:kern w:val="0"/>
                <w:sz w:val="24"/>
                <w:highlight w:val="none"/>
              </w:rPr>
              <w:t>合理</w:t>
            </w:r>
            <w:r>
              <w:rPr>
                <w:rFonts w:hint="eastAsia" w:ascii="仿宋" w:hAnsi="仿宋" w:eastAsia="仿宋" w:cs="仿宋"/>
                <w:color w:val="000000"/>
                <w:kern w:val="0"/>
                <w:sz w:val="24"/>
                <w:highlight w:val="none"/>
                <w:lang w:val="en-US" w:eastAsia="zh-CN"/>
              </w:rPr>
              <w:t>性</w:t>
            </w:r>
            <w:r>
              <w:rPr>
                <w:rFonts w:hint="eastAsia" w:ascii="仿宋" w:hAnsi="仿宋" w:eastAsia="仿宋" w:cs="仿宋"/>
                <w:color w:val="000000"/>
                <w:kern w:val="0"/>
                <w:sz w:val="24"/>
                <w:highlight w:val="none"/>
              </w:rPr>
              <w:t>、完整</w:t>
            </w:r>
            <w:r>
              <w:rPr>
                <w:rFonts w:hint="eastAsia" w:ascii="仿宋" w:hAnsi="仿宋" w:eastAsia="仿宋" w:cs="仿宋"/>
                <w:color w:val="000000"/>
                <w:kern w:val="0"/>
                <w:sz w:val="24"/>
                <w:highlight w:val="none"/>
                <w:lang w:val="en-US" w:eastAsia="zh-CN"/>
              </w:rPr>
              <w:t>性</w:t>
            </w:r>
            <w:r>
              <w:rPr>
                <w:rFonts w:hint="eastAsia" w:ascii="仿宋" w:hAnsi="仿宋" w:eastAsia="仿宋" w:cs="仿宋"/>
                <w:color w:val="000000"/>
                <w:kern w:val="0"/>
                <w:sz w:val="24"/>
                <w:highlight w:val="none"/>
                <w:lang w:eastAsia="zh-CN"/>
              </w:rPr>
              <w:t>、</w:t>
            </w:r>
            <w:r>
              <w:rPr>
                <w:rFonts w:hint="eastAsia" w:ascii="仿宋" w:hAnsi="仿宋" w:eastAsia="仿宋" w:cs="仿宋"/>
                <w:color w:val="000000"/>
                <w:kern w:val="0"/>
                <w:sz w:val="24"/>
                <w:highlight w:val="none"/>
                <w:lang w:val="en-US" w:eastAsia="zh-CN"/>
              </w:rPr>
              <w:t>全面性</w:t>
            </w:r>
            <w:r>
              <w:rPr>
                <w:rFonts w:hint="eastAsia" w:ascii="仿宋" w:hAnsi="仿宋" w:eastAsia="仿宋" w:cs="仿宋"/>
                <w:color w:val="000000"/>
                <w:kern w:val="0"/>
                <w:sz w:val="24"/>
                <w:highlight w:val="none"/>
              </w:rPr>
              <w:t>，针对性</w:t>
            </w:r>
            <w:r>
              <w:rPr>
                <w:rFonts w:hint="eastAsia" w:ascii="仿宋" w:hAnsi="仿宋" w:eastAsia="仿宋" w:cs="仿宋"/>
                <w:color w:val="000000"/>
                <w:kern w:val="0"/>
                <w:sz w:val="24"/>
                <w:highlight w:val="none"/>
                <w:lang w:val="en-US" w:eastAsia="zh-CN"/>
              </w:rPr>
              <w:t>等</w:t>
            </w:r>
            <w:r>
              <w:rPr>
                <w:rFonts w:hint="eastAsia" w:ascii="仿宋" w:hAnsi="仿宋" w:eastAsia="仿宋" w:cs="仿宋"/>
                <w:color w:val="000000"/>
                <w:kern w:val="0"/>
                <w:sz w:val="24"/>
                <w:highlight w:val="none"/>
                <w:lang w:eastAsia="zh-CN"/>
              </w:rPr>
              <w:t>进行评分。</w:t>
            </w:r>
          </w:p>
          <w:p w14:paraId="6FF5ECF4">
            <w:pP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①服务方案合理</w:t>
            </w:r>
            <w:r>
              <w:rPr>
                <w:rFonts w:hint="eastAsia" w:ascii="仿宋" w:hAnsi="仿宋" w:eastAsia="仿宋" w:cs="仿宋"/>
                <w:color w:val="000000"/>
                <w:kern w:val="0"/>
                <w:sz w:val="24"/>
                <w:highlight w:val="none"/>
                <w:lang w:val="en-US" w:eastAsia="zh-CN"/>
              </w:rPr>
              <w:t>性</w:t>
            </w:r>
            <w:r>
              <w:rPr>
                <w:rFonts w:hint="eastAsia" w:ascii="仿宋" w:hAnsi="仿宋" w:eastAsia="仿宋" w:cs="仿宋"/>
                <w:color w:val="000000"/>
                <w:kern w:val="0"/>
                <w:sz w:val="24"/>
                <w:highlight w:val="none"/>
              </w:rPr>
              <w:t>、完整</w:t>
            </w:r>
            <w:r>
              <w:rPr>
                <w:rFonts w:hint="eastAsia" w:ascii="仿宋" w:hAnsi="仿宋" w:eastAsia="仿宋" w:cs="仿宋"/>
                <w:color w:val="000000"/>
                <w:kern w:val="0"/>
                <w:sz w:val="24"/>
                <w:highlight w:val="none"/>
                <w:lang w:val="en-US" w:eastAsia="zh-CN"/>
              </w:rPr>
              <w:t>性</w:t>
            </w:r>
            <w:r>
              <w:rPr>
                <w:rFonts w:hint="eastAsia" w:ascii="仿宋" w:hAnsi="仿宋" w:eastAsia="仿宋" w:cs="仿宋"/>
                <w:color w:val="000000"/>
                <w:kern w:val="0"/>
                <w:sz w:val="24"/>
                <w:highlight w:val="none"/>
                <w:lang w:eastAsia="zh-CN"/>
              </w:rPr>
              <w:t>、</w:t>
            </w:r>
            <w:r>
              <w:rPr>
                <w:rFonts w:hint="eastAsia" w:ascii="仿宋" w:hAnsi="仿宋" w:eastAsia="仿宋" w:cs="仿宋"/>
                <w:color w:val="000000"/>
                <w:kern w:val="0"/>
                <w:sz w:val="24"/>
                <w:highlight w:val="none"/>
                <w:lang w:val="en-US" w:eastAsia="zh-CN"/>
              </w:rPr>
              <w:t>全面性</w:t>
            </w:r>
            <w:r>
              <w:rPr>
                <w:rFonts w:hint="eastAsia" w:ascii="仿宋" w:hAnsi="仿宋" w:eastAsia="仿宋" w:cs="仿宋"/>
                <w:color w:val="000000"/>
                <w:kern w:val="0"/>
                <w:sz w:val="24"/>
                <w:highlight w:val="none"/>
                <w:lang w:eastAsia="zh-CN"/>
              </w:rPr>
              <w:t>、</w:t>
            </w:r>
            <w:r>
              <w:rPr>
                <w:rFonts w:hint="eastAsia" w:ascii="仿宋" w:hAnsi="仿宋" w:eastAsia="仿宋" w:cs="仿宋"/>
                <w:color w:val="000000"/>
                <w:kern w:val="0"/>
                <w:sz w:val="24"/>
                <w:highlight w:val="none"/>
              </w:rPr>
              <w:t>针对性强，</w:t>
            </w:r>
            <w:r>
              <w:rPr>
                <w:rFonts w:hint="eastAsia" w:ascii="仿宋" w:hAnsi="仿宋" w:eastAsia="仿宋" w:cs="仿宋"/>
                <w:color w:val="000000"/>
                <w:kern w:val="0"/>
                <w:sz w:val="24"/>
                <w:highlight w:val="none"/>
                <w:lang w:val="en-US" w:eastAsia="zh-CN"/>
              </w:rPr>
              <w:t>加6</w:t>
            </w:r>
            <w:r>
              <w:rPr>
                <w:rFonts w:hint="eastAsia" w:ascii="仿宋" w:hAnsi="仿宋" w:eastAsia="仿宋" w:cs="仿宋"/>
                <w:color w:val="000000"/>
                <w:kern w:val="0"/>
                <w:sz w:val="24"/>
                <w:highlight w:val="none"/>
              </w:rPr>
              <w:t>分；</w:t>
            </w:r>
          </w:p>
          <w:p w14:paraId="3CC95C9C">
            <w:pP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②服务方案合理</w:t>
            </w:r>
            <w:r>
              <w:rPr>
                <w:rFonts w:hint="eastAsia" w:ascii="仿宋" w:hAnsi="仿宋" w:eastAsia="仿宋" w:cs="仿宋"/>
                <w:color w:val="000000"/>
                <w:kern w:val="0"/>
                <w:sz w:val="24"/>
                <w:highlight w:val="none"/>
                <w:lang w:val="en-US" w:eastAsia="zh-CN"/>
              </w:rPr>
              <w:t>性</w:t>
            </w:r>
            <w:r>
              <w:rPr>
                <w:rFonts w:hint="eastAsia" w:ascii="仿宋" w:hAnsi="仿宋" w:eastAsia="仿宋" w:cs="仿宋"/>
                <w:color w:val="000000"/>
                <w:kern w:val="0"/>
                <w:sz w:val="24"/>
                <w:highlight w:val="none"/>
              </w:rPr>
              <w:t>、完整</w:t>
            </w:r>
            <w:r>
              <w:rPr>
                <w:rFonts w:hint="eastAsia" w:ascii="仿宋" w:hAnsi="仿宋" w:eastAsia="仿宋" w:cs="仿宋"/>
                <w:color w:val="000000"/>
                <w:kern w:val="0"/>
                <w:sz w:val="24"/>
                <w:highlight w:val="none"/>
                <w:lang w:val="en-US" w:eastAsia="zh-CN"/>
              </w:rPr>
              <w:t>性</w:t>
            </w:r>
            <w:r>
              <w:rPr>
                <w:rFonts w:hint="eastAsia" w:ascii="仿宋" w:hAnsi="仿宋" w:eastAsia="仿宋" w:cs="仿宋"/>
                <w:color w:val="000000"/>
                <w:kern w:val="0"/>
                <w:sz w:val="24"/>
                <w:highlight w:val="none"/>
                <w:lang w:eastAsia="zh-CN"/>
              </w:rPr>
              <w:t>、</w:t>
            </w:r>
            <w:r>
              <w:rPr>
                <w:rFonts w:hint="eastAsia" w:ascii="仿宋" w:hAnsi="仿宋" w:eastAsia="仿宋" w:cs="仿宋"/>
                <w:color w:val="000000"/>
                <w:kern w:val="0"/>
                <w:sz w:val="24"/>
                <w:highlight w:val="none"/>
                <w:lang w:val="en-US" w:eastAsia="zh-CN"/>
              </w:rPr>
              <w:t>全面性</w:t>
            </w:r>
            <w:r>
              <w:rPr>
                <w:rFonts w:hint="eastAsia" w:ascii="仿宋" w:hAnsi="仿宋" w:eastAsia="仿宋" w:cs="仿宋"/>
                <w:color w:val="000000"/>
                <w:kern w:val="0"/>
                <w:sz w:val="24"/>
                <w:highlight w:val="none"/>
                <w:lang w:eastAsia="zh-CN"/>
              </w:rPr>
              <w:t>、</w:t>
            </w:r>
            <w:r>
              <w:rPr>
                <w:rFonts w:hint="eastAsia" w:ascii="仿宋" w:hAnsi="仿宋" w:eastAsia="仿宋" w:cs="仿宋"/>
                <w:color w:val="000000"/>
                <w:kern w:val="0"/>
                <w:sz w:val="24"/>
                <w:highlight w:val="none"/>
              </w:rPr>
              <w:t>针对性较强，</w:t>
            </w:r>
            <w:r>
              <w:rPr>
                <w:rFonts w:hint="eastAsia" w:ascii="仿宋" w:hAnsi="仿宋" w:eastAsia="仿宋" w:cs="仿宋"/>
                <w:color w:val="000000"/>
                <w:kern w:val="0"/>
                <w:sz w:val="24"/>
                <w:highlight w:val="none"/>
                <w:lang w:val="en-US" w:eastAsia="zh-CN"/>
              </w:rPr>
              <w:t>加3</w:t>
            </w:r>
            <w:r>
              <w:rPr>
                <w:rFonts w:hint="eastAsia" w:ascii="仿宋" w:hAnsi="仿宋" w:eastAsia="仿宋" w:cs="仿宋"/>
                <w:color w:val="000000"/>
                <w:kern w:val="0"/>
                <w:sz w:val="24"/>
                <w:highlight w:val="none"/>
              </w:rPr>
              <w:t>分；</w:t>
            </w:r>
          </w:p>
          <w:p w14:paraId="7E45C469">
            <w:pP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③服务方案</w:t>
            </w:r>
            <w:r>
              <w:rPr>
                <w:rFonts w:hint="eastAsia" w:ascii="仿宋" w:hAnsi="仿宋" w:eastAsia="仿宋" w:cs="仿宋"/>
                <w:color w:val="000000"/>
                <w:kern w:val="0"/>
                <w:sz w:val="24"/>
                <w:highlight w:val="none"/>
                <w:lang w:val="en-US" w:eastAsia="zh-CN"/>
              </w:rPr>
              <w:t>合理性、完整性、全面性</w:t>
            </w:r>
            <w:r>
              <w:rPr>
                <w:rFonts w:hint="eastAsia" w:ascii="仿宋" w:hAnsi="仿宋" w:eastAsia="仿宋" w:cs="仿宋"/>
                <w:color w:val="000000"/>
                <w:kern w:val="0"/>
                <w:sz w:val="24"/>
                <w:highlight w:val="none"/>
                <w:lang w:eastAsia="zh-CN"/>
              </w:rPr>
              <w:t>、</w:t>
            </w:r>
            <w:r>
              <w:rPr>
                <w:rFonts w:hint="eastAsia" w:ascii="仿宋" w:hAnsi="仿宋" w:eastAsia="仿宋" w:cs="仿宋"/>
                <w:color w:val="000000"/>
                <w:kern w:val="0"/>
                <w:sz w:val="24"/>
                <w:highlight w:val="none"/>
              </w:rPr>
              <w:t>针对性一般，</w:t>
            </w:r>
            <w:r>
              <w:rPr>
                <w:rFonts w:hint="eastAsia" w:ascii="仿宋" w:hAnsi="仿宋" w:eastAsia="仿宋" w:cs="仿宋"/>
                <w:color w:val="000000"/>
                <w:kern w:val="0"/>
                <w:sz w:val="24"/>
                <w:highlight w:val="none"/>
                <w:lang w:val="en-US" w:eastAsia="zh-CN"/>
              </w:rPr>
              <w:t>加1</w:t>
            </w:r>
            <w:r>
              <w:rPr>
                <w:rFonts w:hint="eastAsia" w:ascii="仿宋" w:hAnsi="仿宋" w:eastAsia="仿宋" w:cs="仿宋"/>
                <w:color w:val="000000"/>
                <w:kern w:val="0"/>
                <w:sz w:val="24"/>
                <w:highlight w:val="none"/>
              </w:rPr>
              <w:t>分；</w:t>
            </w:r>
          </w:p>
          <w:p w14:paraId="17278B84">
            <w:pP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④服务方案</w:t>
            </w:r>
            <w:r>
              <w:rPr>
                <w:rFonts w:hint="eastAsia" w:ascii="仿宋" w:hAnsi="仿宋" w:eastAsia="仿宋" w:cs="仿宋"/>
                <w:color w:val="000000"/>
                <w:kern w:val="0"/>
                <w:sz w:val="24"/>
                <w:highlight w:val="none"/>
                <w:lang w:val="en-US" w:eastAsia="zh-CN"/>
              </w:rPr>
              <w:t>合理性、完整性、全面性</w:t>
            </w:r>
            <w:r>
              <w:rPr>
                <w:rFonts w:hint="eastAsia" w:ascii="仿宋" w:hAnsi="仿宋" w:eastAsia="仿宋" w:cs="仿宋"/>
                <w:color w:val="000000"/>
                <w:kern w:val="0"/>
                <w:sz w:val="24"/>
                <w:highlight w:val="none"/>
                <w:lang w:eastAsia="zh-CN"/>
              </w:rPr>
              <w:t>、</w:t>
            </w:r>
            <w:r>
              <w:rPr>
                <w:rFonts w:hint="eastAsia" w:ascii="仿宋" w:hAnsi="仿宋" w:eastAsia="仿宋" w:cs="仿宋"/>
                <w:color w:val="000000"/>
                <w:kern w:val="0"/>
                <w:sz w:val="24"/>
                <w:highlight w:val="none"/>
              </w:rPr>
              <w:t>针对性差</w:t>
            </w:r>
            <w:r>
              <w:rPr>
                <w:rFonts w:hint="eastAsia" w:ascii="仿宋" w:hAnsi="仿宋" w:eastAsia="仿宋" w:cs="仿宋"/>
                <w:color w:val="000000"/>
                <w:kern w:val="0"/>
                <w:sz w:val="24"/>
                <w:highlight w:val="none"/>
                <w:lang w:eastAsia="zh-CN"/>
              </w:rPr>
              <w:t>，</w:t>
            </w:r>
            <w:r>
              <w:rPr>
                <w:rFonts w:hint="eastAsia" w:ascii="仿宋" w:hAnsi="仿宋" w:eastAsia="仿宋" w:cs="仿宋"/>
                <w:color w:val="000000"/>
                <w:kern w:val="0"/>
                <w:sz w:val="24"/>
                <w:highlight w:val="none"/>
                <w:lang w:val="en-US" w:eastAsia="zh-CN"/>
              </w:rPr>
              <w:t>不加</w:t>
            </w:r>
            <w:r>
              <w:rPr>
                <w:rFonts w:hint="eastAsia" w:ascii="仿宋" w:hAnsi="仿宋" w:eastAsia="仿宋" w:cs="仿宋"/>
                <w:color w:val="000000"/>
                <w:kern w:val="0"/>
                <w:sz w:val="24"/>
                <w:highlight w:val="none"/>
              </w:rPr>
              <w:t>分；</w:t>
            </w:r>
          </w:p>
          <w:p w14:paraId="5096FC14">
            <w:pP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⑤未提供或完全不符合的不得分。</w:t>
            </w:r>
          </w:p>
        </w:tc>
      </w:tr>
      <w:tr w14:paraId="2A03D3B9">
        <w:tblPrEx>
          <w:tblCellMar>
            <w:top w:w="0" w:type="dxa"/>
            <w:left w:w="0" w:type="dxa"/>
            <w:bottom w:w="0" w:type="dxa"/>
            <w:right w:w="0" w:type="dxa"/>
          </w:tblCellMar>
        </w:tblPrEx>
        <w:trPr>
          <w:trHeight w:val="90" w:hRule="atLeast"/>
          <w:jc w:val="center"/>
        </w:trPr>
        <w:tc>
          <w:tcPr>
            <w:tcW w:w="5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D61FED">
            <w:pPr>
              <w:widowControl/>
              <w:jc w:val="center"/>
              <w:textAlignment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3</w:t>
            </w:r>
          </w:p>
        </w:tc>
        <w:tc>
          <w:tcPr>
            <w:tcW w:w="17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A39601">
            <w:pPr>
              <w:widowControl/>
              <w:tabs>
                <w:tab w:val="left" w:pos="312"/>
              </w:tabs>
              <w:jc w:val="center"/>
              <w:textAlignment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rPr>
              <w:t>加工生产及配送</w:t>
            </w:r>
            <w:r>
              <w:rPr>
                <w:rFonts w:hint="eastAsia" w:ascii="仿宋" w:hAnsi="仿宋" w:eastAsia="仿宋" w:cs="仿宋"/>
                <w:color w:val="000000"/>
                <w:kern w:val="0"/>
                <w:sz w:val="24"/>
                <w:highlight w:val="none"/>
                <w:lang w:val="en-US" w:eastAsia="zh-CN"/>
              </w:rPr>
              <w:t>方</w:t>
            </w:r>
            <w:r>
              <w:rPr>
                <w:rFonts w:hint="eastAsia" w:ascii="仿宋" w:hAnsi="仿宋" w:eastAsia="仿宋" w:cs="仿宋"/>
                <w:color w:val="000000"/>
                <w:kern w:val="0"/>
                <w:sz w:val="24"/>
                <w:highlight w:val="none"/>
              </w:rPr>
              <w:t>式</w:t>
            </w:r>
            <w:r>
              <w:rPr>
                <w:rFonts w:hint="eastAsia" w:ascii="仿宋" w:hAnsi="仿宋" w:eastAsia="仿宋" w:cs="仿宋"/>
                <w:color w:val="000000"/>
                <w:kern w:val="0"/>
                <w:sz w:val="24"/>
                <w:highlight w:val="none"/>
                <w:lang w:val="en-US" w:eastAsia="zh-CN"/>
              </w:rPr>
              <w:t>方案</w:t>
            </w: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71BCB8">
            <w:pPr>
              <w:widowControl/>
              <w:jc w:val="center"/>
              <w:textAlignment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highlight w:val="none"/>
                <w:lang w:val="en-US" w:eastAsia="zh-CN"/>
              </w:rPr>
              <w:t>12</w:t>
            </w:r>
          </w:p>
        </w:tc>
        <w:tc>
          <w:tcPr>
            <w:tcW w:w="63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FC7031">
            <w:pPr>
              <w:rPr>
                <w:rFonts w:hint="eastAsia"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（一）评审标准</w:t>
            </w:r>
          </w:p>
          <w:p w14:paraId="48EB2593">
            <w:pPr>
              <w:rPr>
                <w:rFonts w:hint="eastAsia"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根据招标文件的需求，制定贴切本项目的加工生产及配送方式方案，专家根据方案响应情况进行评分：</w:t>
            </w:r>
          </w:p>
          <w:p w14:paraId="19BEBB22">
            <w:pPr>
              <w:rPr>
                <w:rFonts w:hint="eastAsia"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1.加工生产方式（</w:t>
            </w:r>
            <w:r>
              <w:rPr>
                <w:rFonts w:hint="eastAsia" w:ascii="仿宋" w:hAnsi="仿宋" w:eastAsia="仿宋" w:cs="仿宋"/>
                <w:color w:val="000000"/>
                <w:kern w:val="0"/>
                <w:sz w:val="24"/>
                <w:highlight w:val="none"/>
              </w:rPr>
              <w:t>包含加工场所、加工设备、生产流程、生产工艺、质量控制、加工能力等内容</w:t>
            </w:r>
            <w:r>
              <w:rPr>
                <w:rFonts w:hint="eastAsia" w:ascii="仿宋" w:hAnsi="仿宋" w:eastAsia="仿宋" w:cs="仿宋"/>
                <w:color w:val="000000"/>
                <w:kern w:val="0"/>
                <w:sz w:val="24"/>
                <w:highlight w:val="none"/>
                <w:lang w:val="en-US" w:eastAsia="zh-CN"/>
              </w:rPr>
              <w:t>）；</w:t>
            </w:r>
          </w:p>
          <w:p w14:paraId="36B01951">
            <w:pPr>
              <w:rPr>
                <w:rFonts w:hint="default"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2.配送方式（</w:t>
            </w:r>
            <w:r>
              <w:rPr>
                <w:rFonts w:hint="eastAsia" w:ascii="仿宋" w:hAnsi="仿宋" w:eastAsia="仿宋" w:cs="仿宋"/>
                <w:color w:val="000000"/>
                <w:kern w:val="0"/>
                <w:sz w:val="24"/>
                <w:highlight w:val="none"/>
              </w:rPr>
              <w:t>包含配送车辆及冷链配置、配送路线规划、配送时效承诺、温控监测、交付验收流程等内容</w:t>
            </w:r>
            <w:r>
              <w:rPr>
                <w:rFonts w:hint="eastAsia" w:ascii="仿宋" w:hAnsi="仿宋" w:eastAsia="仿宋" w:cs="仿宋"/>
                <w:color w:val="000000"/>
                <w:kern w:val="0"/>
                <w:sz w:val="24"/>
                <w:highlight w:val="none"/>
                <w:lang w:val="en-US" w:eastAsia="zh-CN"/>
              </w:rPr>
              <w:t>）；</w:t>
            </w:r>
          </w:p>
          <w:p w14:paraId="64F0EE22">
            <w:pPr>
              <w:rPr>
                <w:rFonts w:hint="eastAsia"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3.门店数量及分布（</w:t>
            </w:r>
            <w:r>
              <w:rPr>
                <w:rFonts w:hint="eastAsia" w:ascii="仿宋" w:hAnsi="仿宋" w:eastAsia="仿宋" w:cs="仿宋"/>
                <w:color w:val="000000"/>
                <w:kern w:val="0"/>
                <w:sz w:val="24"/>
                <w:highlight w:val="none"/>
              </w:rPr>
              <w:t>包含门店具体地址、分布区域、覆盖范围、服务半径、与项目需求匹配性分析等内容</w:t>
            </w:r>
            <w:r>
              <w:rPr>
                <w:rFonts w:hint="eastAsia" w:ascii="仿宋" w:hAnsi="仿宋" w:eastAsia="仿宋" w:cs="仿宋"/>
                <w:color w:val="000000"/>
                <w:kern w:val="0"/>
                <w:sz w:val="24"/>
                <w:highlight w:val="none"/>
                <w:lang w:val="en-US" w:eastAsia="zh-CN"/>
              </w:rPr>
              <w:t>）。</w:t>
            </w:r>
          </w:p>
          <w:p w14:paraId="6BAD01B9">
            <w:pPr>
              <w:rPr>
                <w:rFonts w:hint="eastAsia" w:ascii="仿宋" w:hAnsi="仿宋" w:eastAsia="仿宋" w:cs="仿宋"/>
                <w:color w:val="000000"/>
                <w:kern w:val="0"/>
                <w:sz w:val="24"/>
                <w:highlight w:val="none"/>
                <w:lang w:eastAsia="zh-CN"/>
              </w:rPr>
            </w:pPr>
            <w:r>
              <w:rPr>
                <w:rFonts w:hint="eastAsia" w:ascii="仿宋" w:hAnsi="仿宋" w:eastAsia="仿宋" w:cs="仿宋"/>
                <w:color w:val="000000"/>
                <w:kern w:val="0"/>
                <w:sz w:val="24"/>
                <w:highlight w:val="none"/>
                <w:lang w:eastAsia="zh-CN"/>
              </w:rPr>
              <w:t>（二）评分依据</w:t>
            </w:r>
          </w:p>
          <w:p w14:paraId="334E2BBE">
            <w:pPr>
              <w:rPr>
                <w:rFonts w:hint="eastAsia" w:ascii="仿宋" w:hAnsi="仿宋" w:eastAsia="仿宋" w:cs="仿宋"/>
                <w:color w:val="000000"/>
                <w:kern w:val="0"/>
                <w:sz w:val="24"/>
                <w:highlight w:val="none"/>
                <w:lang w:eastAsia="zh-CN"/>
              </w:rPr>
            </w:pPr>
            <w:r>
              <w:rPr>
                <w:rFonts w:hint="eastAsia" w:ascii="仿宋" w:hAnsi="仿宋" w:eastAsia="仿宋" w:cs="仿宋"/>
                <w:color w:val="000000"/>
                <w:kern w:val="0"/>
                <w:sz w:val="24"/>
                <w:highlight w:val="none"/>
                <w:lang w:val="en-US" w:eastAsia="zh-CN"/>
              </w:rPr>
              <w:t>1.</w:t>
            </w:r>
            <w:r>
              <w:rPr>
                <w:rFonts w:hint="eastAsia" w:ascii="仿宋" w:hAnsi="仿宋" w:eastAsia="仿宋" w:cs="仿宋"/>
                <w:color w:val="000000"/>
                <w:kern w:val="0"/>
                <w:sz w:val="24"/>
                <w:highlight w:val="none"/>
                <w:lang w:eastAsia="zh-CN"/>
              </w:rPr>
              <w:t>以上内容每提供一项得</w:t>
            </w:r>
            <w:r>
              <w:rPr>
                <w:rFonts w:hint="eastAsia" w:ascii="仿宋" w:hAnsi="仿宋" w:eastAsia="仿宋" w:cs="仿宋"/>
                <w:color w:val="000000"/>
                <w:kern w:val="0"/>
                <w:sz w:val="24"/>
                <w:highlight w:val="none"/>
                <w:lang w:val="en-US" w:eastAsia="zh-CN"/>
              </w:rPr>
              <w:t>2</w:t>
            </w:r>
            <w:r>
              <w:rPr>
                <w:rFonts w:hint="eastAsia" w:ascii="仿宋" w:hAnsi="仿宋" w:eastAsia="仿宋" w:cs="仿宋"/>
                <w:color w:val="000000"/>
                <w:kern w:val="0"/>
                <w:sz w:val="24"/>
                <w:highlight w:val="none"/>
                <w:lang w:eastAsia="zh-CN"/>
              </w:rPr>
              <w:t>分，最高得</w:t>
            </w:r>
            <w:r>
              <w:rPr>
                <w:rFonts w:hint="eastAsia" w:ascii="仿宋" w:hAnsi="仿宋" w:eastAsia="仿宋" w:cs="仿宋"/>
                <w:color w:val="000000"/>
                <w:kern w:val="0"/>
                <w:sz w:val="24"/>
                <w:highlight w:val="none"/>
                <w:lang w:val="en-US" w:eastAsia="zh-CN"/>
              </w:rPr>
              <w:t>6</w:t>
            </w:r>
            <w:r>
              <w:rPr>
                <w:rFonts w:hint="eastAsia" w:ascii="仿宋" w:hAnsi="仿宋" w:eastAsia="仿宋" w:cs="仿宋"/>
                <w:color w:val="000000"/>
                <w:kern w:val="0"/>
                <w:sz w:val="24"/>
                <w:highlight w:val="none"/>
                <w:lang w:eastAsia="zh-CN"/>
              </w:rPr>
              <w:t>分，其它情况不得分。</w:t>
            </w:r>
          </w:p>
          <w:p w14:paraId="19B0F09A">
            <w:pPr>
              <w:rPr>
                <w:rFonts w:hint="eastAsia" w:ascii="仿宋" w:hAnsi="仿宋" w:eastAsia="仿宋" w:cs="仿宋"/>
                <w:color w:val="000000"/>
                <w:kern w:val="0"/>
                <w:sz w:val="24"/>
                <w:highlight w:val="none"/>
                <w:lang w:eastAsia="zh-CN"/>
              </w:rPr>
            </w:pPr>
            <w:r>
              <w:rPr>
                <w:rFonts w:hint="eastAsia" w:ascii="仿宋" w:hAnsi="仿宋" w:eastAsia="仿宋" w:cs="仿宋"/>
                <w:color w:val="000000"/>
                <w:kern w:val="0"/>
                <w:sz w:val="24"/>
                <w:highlight w:val="none"/>
                <w:lang w:val="en-US" w:eastAsia="zh-CN"/>
              </w:rPr>
              <w:t>2.</w:t>
            </w:r>
            <w:r>
              <w:rPr>
                <w:rFonts w:hint="eastAsia" w:ascii="仿宋" w:hAnsi="仿宋" w:eastAsia="仿宋" w:cs="仿宋"/>
                <w:color w:val="000000"/>
                <w:kern w:val="0"/>
                <w:sz w:val="24"/>
                <w:highlight w:val="none"/>
                <w:lang w:eastAsia="zh-CN"/>
              </w:rPr>
              <w:t>在此基础上，专家根据各供应商的具体响应内容按照量化的评审因素指标进一步评审：</w:t>
            </w:r>
          </w:p>
          <w:p w14:paraId="2EC90AC3">
            <w:pPr>
              <w:rPr>
                <w:rFonts w:hint="eastAsia" w:ascii="仿宋" w:hAnsi="仿宋" w:eastAsia="仿宋" w:cs="仿宋"/>
                <w:color w:val="000000"/>
                <w:kern w:val="0"/>
                <w:sz w:val="24"/>
                <w:highlight w:val="none"/>
                <w:lang w:eastAsia="zh-CN"/>
              </w:rPr>
            </w:pPr>
            <w:r>
              <w:rPr>
                <w:rFonts w:hint="eastAsia" w:ascii="仿宋" w:hAnsi="仿宋" w:eastAsia="仿宋" w:cs="仿宋"/>
                <w:color w:val="000000"/>
                <w:kern w:val="0"/>
                <w:sz w:val="24"/>
                <w:highlight w:val="none"/>
                <w:lang w:eastAsia="zh-CN"/>
              </w:rPr>
              <w:t>①方案合理</w:t>
            </w:r>
            <w:r>
              <w:rPr>
                <w:rFonts w:hint="eastAsia" w:ascii="仿宋" w:hAnsi="仿宋" w:eastAsia="仿宋" w:cs="仿宋"/>
                <w:color w:val="000000"/>
                <w:kern w:val="0"/>
                <w:sz w:val="24"/>
                <w:highlight w:val="none"/>
                <w:lang w:val="en-US" w:eastAsia="zh-CN"/>
              </w:rPr>
              <w:t>性</w:t>
            </w:r>
            <w:r>
              <w:rPr>
                <w:rFonts w:hint="eastAsia" w:ascii="仿宋" w:hAnsi="仿宋" w:eastAsia="仿宋" w:cs="仿宋"/>
                <w:color w:val="000000"/>
                <w:kern w:val="0"/>
                <w:sz w:val="24"/>
                <w:highlight w:val="none"/>
                <w:lang w:eastAsia="zh-CN"/>
              </w:rPr>
              <w:t>、完整</w:t>
            </w:r>
            <w:r>
              <w:rPr>
                <w:rFonts w:hint="eastAsia" w:ascii="仿宋" w:hAnsi="仿宋" w:eastAsia="仿宋" w:cs="仿宋"/>
                <w:color w:val="000000"/>
                <w:kern w:val="0"/>
                <w:sz w:val="24"/>
                <w:highlight w:val="none"/>
                <w:lang w:val="en-US" w:eastAsia="zh-CN"/>
              </w:rPr>
              <w:t>性</w:t>
            </w:r>
            <w:r>
              <w:rPr>
                <w:rFonts w:hint="eastAsia" w:ascii="仿宋" w:hAnsi="仿宋" w:eastAsia="仿宋" w:cs="仿宋"/>
                <w:color w:val="000000"/>
                <w:kern w:val="0"/>
                <w:sz w:val="24"/>
                <w:highlight w:val="none"/>
                <w:lang w:eastAsia="zh-CN"/>
              </w:rPr>
              <w:t>、</w:t>
            </w:r>
            <w:r>
              <w:rPr>
                <w:rFonts w:hint="eastAsia" w:ascii="仿宋" w:hAnsi="仿宋" w:eastAsia="仿宋" w:cs="仿宋"/>
                <w:color w:val="000000"/>
                <w:kern w:val="0"/>
                <w:sz w:val="24"/>
                <w:highlight w:val="none"/>
                <w:lang w:val="en-US" w:eastAsia="zh-CN"/>
              </w:rPr>
              <w:t>全面性</w:t>
            </w:r>
            <w:r>
              <w:rPr>
                <w:rFonts w:hint="eastAsia" w:ascii="仿宋" w:hAnsi="仿宋" w:eastAsia="仿宋" w:cs="仿宋"/>
                <w:color w:val="000000"/>
                <w:kern w:val="0"/>
                <w:sz w:val="24"/>
                <w:highlight w:val="none"/>
                <w:lang w:eastAsia="zh-CN"/>
              </w:rPr>
              <w:t>、</w:t>
            </w:r>
            <w:r>
              <w:rPr>
                <w:rFonts w:hint="eastAsia" w:ascii="仿宋" w:hAnsi="仿宋" w:eastAsia="仿宋" w:cs="仿宋"/>
                <w:color w:val="000000"/>
                <w:kern w:val="0"/>
                <w:sz w:val="24"/>
                <w:highlight w:val="none"/>
                <w:lang w:val="en-US" w:eastAsia="zh-CN"/>
              </w:rPr>
              <w:t>时效性、</w:t>
            </w:r>
            <w:r>
              <w:rPr>
                <w:rFonts w:hint="eastAsia" w:ascii="仿宋" w:hAnsi="仿宋" w:eastAsia="仿宋" w:cs="仿宋"/>
                <w:color w:val="000000"/>
                <w:kern w:val="0"/>
                <w:sz w:val="24"/>
                <w:highlight w:val="none"/>
                <w:lang w:eastAsia="zh-CN"/>
              </w:rPr>
              <w:t>针对性、</w:t>
            </w:r>
            <w:r>
              <w:rPr>
                <w:rFonts w:hint="eastAsia" w:ascii="仿宋" w:hAnsi="仿宋" w:eastAsia="仿宋" w:cs="仿宋"/>
                <w:color w:val="000000"/>
                <w:kern w:val="0"/>
                <w:sz w:val="24"/>
                <w:highlight w:val="none"/>
                <w:lang w:val="en-US" w:eastAsia="zh-CN"/>
              </w:rPr>
              <w:t>可操作性</w:t>
            </w:r>
            <w:r>
              <w:rPr>
                <w:rFonts w:hint="eastAsia" w:ascii="仿宋" w:hAnsi="仿宋" w:eastAsia="仿宋" w:cs="仿宋"/>
                <w:color w:val="000000"/>
                <w:kern w:val="0"/>
                <w:sz w:val="24"/>
                <w:highlight w:val="none"/>
                <w:lang w:eastAsia="zh-CN"/>
              </w:rPr>
              <w:t>强，</w:t>
            </w:r>
            <w:r>
              <w:rPr>
                <w:rFonts w:hint="eastAsia" w:ascii="仿宋" w:hAnsi="仿宋" w:eastAsia="仿宋" w:cs="仿宋"/>
                <w:color w:val="000000"/>
                <w:kern w:val="0"/>
                <w:sz w:val="24"/>
                <w:highlight w:val="none"/>
                <w:lang w:val="en-US" w:eastAsia="zh-CN"/>
              </w:rPr>
              <w:t>加6</w:t>
            </w:r>
            <w:r>
              <w:rPr>
                <w:rFonts w:hint="eastAsia" w:ascii="仿宋" w:hAnsi="仿宋" w:eastAsia="仿宋" w:cs="仿宋"/>
                <w:color w:val="000000"/>
                <w:kern w:val="0"/>
                <w:sz w:val="24"/>
                <w:highlight w:val="none"/>
                <w:lang w:eastAsia="zh-CN"/>
              </w:rPr>
              <w:t>分；</w:t>
            </w:r>
          </w:p>
          <w:p w14:paraId="6D5556FA">
            <w:pPr>
              <w:rPr>
                <w:rFonts w:hint="eastAsia" w:ascii="仿宋" w:hAnsi="仿宋" w:eastAsia="仿宋" w:cs="仿宋"/>
                <w:color w:val="000000"/>
                <w:kern w:val="0"/>
                <w:sz w:val="24"/>
                <w:highlight w:val="none"/>
                <w:lang w:eastAsia="zh-CN"/>
              </w:rPr>
            </w:pPr>
            <w:r>
              <w:rPr>
                <w:rFonts w:hint="eastAsia" w:ascii="仿宋" w:hAnsi="仿宋" w:eastAsia="仿宋" w:cs="仿宋"/>
                <w:color w:val="000000"/>
                <w:kern w:val="0"/>
                <w:sz w:val="24"/>
                <w:highlight w:val="none"/>
                <w:lang w:eastAsia="zh-CN"/>
              </w:rPr>
              <w:t>②方案合理</w:t>
            </w:r>
            <w:r>
              <w:rPr>
                <w:rFonts w:hint="eastAsia" w:ascii="仿宋" w:hAnsi="仿宋" w:eastAsia="仿宋" w:cs="仿宋"/>
                <w:color w:val="000000"/>
                <w:kern w:val="0"/>
                <w:sz w:val="24"/>
                <w:highlight w:val="none"/>
                <w:lang w:val="en-US" w:eastAsia="zh-CN"/>
              </w:rPr>
              <w:t>性</w:t>
            </w:r>
            <w:r>
              <w:rPr>
                <w:rFonts w:hint="eastAsia" w:ascii="仿宋" w:hAnsi="仿宋" w:eastAsia="仿宋" w:cs="仿宋"/>
                <w:color w:val="000000"/>
                <w:kern w:val="0"/>
                <w:sz w:val="24"/>
                <w:highlight w:val="none"/>
                <w:lang w:eastAsia="zh-CN"/>
              </w:rPr>
              <w:t>、完整</w:t>
            </w:r>
            <w:r>
              <w:rPr>
                <w:rFonts w:hint="eastAsia" w:ascii="仿宋" w:hAnsi="仿宋" w:eastAsia="仿宋" w:cs="仿宋"/>
                <w:color w:val="000000"/>
                <w:kern w:val="0"/>
                <w:sz w:val="24"/>
                <w:highlight w:val="none"/>
                <w:lang w:val="en-US" w:eastAsia="zh-CN"/>
              </w:rPr>
              <w:t>性</w:t>
            </w:r>
            <w:r>
              <w:rPr>
                <w:rFonts w:hint="eastAsia" w:ascii="仿宋" w:hAnsi="仿宋" w:eastAsia="仿宋" w:cs="仿宋"/>
                <w:color w:val="000000"/>
                <w:kern w:val="0"/>
                <w:sz w:val="24"/>
                <w:highlight w:val="none"/>
                <w:lang w:eastAsia="zh-CN"/>
              </w:rPr>
              <w:t>、</w:t>
            </w:r>
            <w:r>
              <w:rPr>
                <w:rFonts w:hint="eastAsia" w:ascii="仿宋" w:hAnsi="仿宋" w:eastAsia="仿宋" w:cs="仿宋"/>
                <w:color w:val="000000"/>
                <w:kern w:val="0"/>
                <w:sz w:val="24"/>
                <w:highlight w:val="none"/>
                <w:lang w:val="en-US" w:eastAsia="zh-CN"/>
              </w:rPr>
              <w:t>全面性</w:t>
            </w:r>
            <w:r>
              <w:rPr>
                <w:rFonts w:hint="eastAsia" w:ascii="仿宋" w:hAnsi="仿宋" w:eastAsia="仿宋" w:cs="仿宋"/>
                <w:color w:val="000000"/>
                <w:kern w:val="0"/>
                <w:sz w:val="24"/>
                <w:highlight w:val="none"/>
                <w:lang w:eastAsia="zh-CN"/>
              </w:rPr>
              <w:t>、</w:t>
            </w:r>
            <w:r>
              <w:rPr>
                <w:rFonts w:hint="eastAsia" w:ascii="仿宋" w:hAnsi="仿宋" w:eastAsia="仿宋" w:cs="仿宋"/>
                <w:color w:val="000000"/>
                <w:kern w:val="0"/>
                <w:sz w:val="24"/>
                <w:highlight w:val="none"/>
                <w:lang w:val="en-US" w:eastAsia="zh-CN"/>
              </w:rPr>
              <w:t>时效性、</w:t>
            </w:r>
            <w:r>
              <w:rPr>
                <w:rFonts w:hint="eastAsia" w:ascii="仿宋" w:hAnsi="仿宋" w:eastAsia="仿宋" w:cs="仿宋"/>
                <w:color w:val="000000"/>
                <w:kern w:val="0"/>
                <w:sz w:val="24"/>
                <w:highlight w:val="none"/>
                <w:lang w:eastAsia="zh-CN"/>
              </w:rPr>
              <w:t>针对性、</w:t>
            </w:r>
            <w:r>
              <w:rPr>
                <w:rFonts w:hint="eastAsia" w:ascii="仿宋" w:hAnsi="仿宋" w:eastAsia="仿宋" w:cs="仿宋"/>
                <w:color w:val="000000"/>
                <w:kern w:val="0"/>
                <w:sz w:val="24"/>
                <w:highlight w:val="none"/>
                <w:lang w:val="en-US" w:eastAsia="zh-CN"/>
              </w:rPr>
              <w:t>可操作性</w:t>
            </w:r>
            <w:r>
              <w:rPr>
                <w:rFonts w:hint="eastAsia" w:ascii="仿宋" w:hAnsi="仿宋" w:eastAsia="仿宋" w:cs="仿宋"/>
                <w:color w:val="000000"/>
                <w:kern w:val="0"/>
                <w:sz w:val="24"/>
                <w:highlight w:val="none"/>
                <w:lang w:eastAsia="zh-CN"/>
              </w:rPr>
              <w:t>较强，</w:t>
            </w:r>
            <w:r>
              <w:rPr>
                <w:rFonts w:hint="eastAsia" w:ascii="仿宋" w:hAnsi="仿宋" w:eastAsia="仿宋" w:cs="仿宋"/>
                <w:color w:val="000000"/>
                <w:kern w:val="0"/>
                <w:sz w:val="24"/>
                <w:highlight w:val="none"/>
                <w:lang w:val="en-US" w:eastAsia="zh-CN"/>
              </w:rPr>
              <w:t>加3</w:t>
            </w:r>
            <w:r>
              <w:rPr>
                <w:rFonts w:hint="eastAsia" w:ascii="仿宋" w:hAnsi="仿宋" w:eastAsia="仿宋" w:cs="仿宋"/>
                <w:color w:val="000000"/>
                <w:kern w:val="0"/>
                <w:sz w:val="24"/>
                <w:highlight w:val="none"/>
                <w:lang w:eastAsia="zh-CN"/>
              </w:rPr>
              <w:t>分；</w:t>
            </w:r>
          </w:p>
          <w:p w14:paraId="4B9AA2B1">
            <w:pPr>
              <w:rPr>
                <w:rFonts w:hint="eastAsia" w:ascii="仿宋" w:hAnsi="仿宋" w:eastAsia="仿宋" w:cs="仿宋"/>
                <w:color w:val="000000"/>
                <w:kern w:val="0"/>
                <w:sz w:val="24"/>
                <w:highlight w:val="none"/>
                <w:lang w:eastAsia="zh-CN"/>
              </w:rPr>
            </w:pPr>
            <w:r>
              <w:rPr>
                <w:rFonts w:hint="eastAsia" w:ascii="仿宋" w:hAnsi="仿宋" w:eastAsia="仿宋" w:cs="仿宋"/>
                <w:color w:val="000000"/>
                <w:kern w:val="0"/>
                <w:sz w:val="24"/>
                <w:highlight w:val="none"/>
                <w:lang w:eastAsia="zh-CN"/>
              </w:rPr>
              <w:t>③方案</w:t>
            </w:r>
            <w:r>
              <w:rPr>
                <w:rFonts w:hint="eastAsia" w:ascii="仿宋" w:hAnsi="仿宋" w:eastAsia="仿宋" w:cs="仿宋"/>
                <w:color w:val="000000"/>
                <w:kern w:val="0"/>
                <w:sz w:val="24"/>
                <w:highlight w:val="none"/>
                <w:lang w:val="en-US" w:eastAsia="zh-CN"/>
              </w:rPr>
              <w:t>合理性、完整性、全面性</w:t>
            </w:r>
            <w:r>
              <w:rPr>
                <w:rFonts w:hint="eastAsia" w:ascii="仿宋" w:hAnsi="仿宋" w:eastAsia="仿宋" w:cs="仿宋"/>
                <w:color w:val="000000"/>
                <w:kern w:val="0"/>
                <w:sz w:val="24"/>
                <w:highlight w:val="none"/>
                <w:lang w:eastAsia="zh-CN"/>
              </w:rPr>
              <w:t>、</w:t>
            </w:r>
            <w:r>
              <w:rPr>
                <w:rFonts w:hint="eastAsia" w:ascii="仿宋" w:hAnsi="仿宋" w:eastAsia="仿宋" w:cs="仿宋"/>
                <w:color w:val="000000"/>
                <w:kern w:val="0"/>
                <w:sz w:val="24"/>
                <w:highlight w:val="none"/>
                <w:lang w:val="en-US" w:eastAsia="zh-CN"/>
              </w:rPr>
              <w:t>时效性、</w:t>
            </w:r>
            <w:r>
              <w:rPr>
                <w:rFonts w:hint="eastAsia" w:ascii="仿宋" w:hAnsi="仿宋" w:eastAsia="仿宋" w:cs="仿宋"/>
                <w:color w:val="000000"/>
                <w:kern w:val="0"/>
                <w:sz w:val="24"/>
                <w:highlight w:val="none"/>
                <w:lang w:eastAsia="zh-CN"/>
              </w:rPr>
              <w:t>针对性、</w:t>
            </w:r>
            <w:r>
              <w:rPr>
                <w:rFonts w:hint="eastAsia" w:ascii="仿宋" w:hAnsi="仿宋" w:eastAsia="仿宋" w:cs="仿宋"/>
                <w:color w:val="000000"/>
                <w:kern w:val="0"/>
                <w:sz w:val="24"/>
                <w:highlight w:val="none"/>
                <w:lang w:val="en-US" w:eastAsia="zh-CN"/>
              </w:rPr>
              <w:t>可操作性</w:t>
            </w:r>
            <w:r>
              <w:rPr>
                <w:rFonts w:hint="eastAsia" w:ascii="仿宋" w:hAnsi="仿宋" w:eastAsia="仿宋" w:cs="仿宋"/>
                <w:color w:val="000000"/>
                <w:kern w:val="0"/>
                <w:sz w:val="24"/>
                <w:highlight w:val="none"/>
                <w:lang w:eastAsia="zh-CN"/>
              </w:rPr>
              <w:t>一般，</w:t>
            </w:r>
            <w:r>
              <w:rPr>
                <w:rFonts w:hint="eastAsia" w:ascii="仿宋" w:hAnsi="仿宋" w:eastAsia="仿宋" w:cs="仿宋"/>
                <w:color w:val="000000"/>
                <w:kern w:val="0"/>
                <w:sz w:val="24"/>
                <w:highlight w:val="none"/>
                <w:lang w:val="en-US" w:eastAsia="zh-CN"/>
              </w:rPr>
              <w:t>加1</w:t>
            </w:r>
            <w:r>
              <w:rPr>
                <w:rFonts w:hint="eastAsia" w:ascii="仿宋" w:hAnsi="仿宋" w:eastAsia="仿宋" w:cs="仿宋"/>
                <w:color w:val="000000"/>
                <w:kern w:val="0"/>
                <w:sz w:val="24"/>
                <w:highlight w:val="none"/>
                <w:lang w:eastAsia="zh-CN"/>
              </w:rPr>
              <w:t>分；</w:t>
            </w:r>
          </w:p>
          <w:p w14:paraId="72B37EBB">
            <w:pPr>
              <w:rPr>
                <w:rFonts w:hint="eastAsia" w:ascii="仿宋" w:hAnsi="仿宋" w:eastAsia="仿宋" w:cs="仿宋"/>
                <w:color w:val="000000"/>
                <w:kern w:val="0"/>
                <w:sz w:val="24"/>
                <w:highlight w:val="none"/>
                <w:lang w:eastAsia="zh-CN"/>
              </w:rPr>
            </w:pPr>
            <w:r>
              <w:rPr>
                <w:rFonts w:hint="eastAsia" w:ascii="仿宋" w:hAnsi="仿宋" w:eastAsia="仿宋" w:cs="仿宋"/>
                <w:color w:val="000000"/>
                <w:kern w:val="0"/>
                <w:sz w:val="24"/>
                <w:highlight w:val="none"/>
                <w:lang w:eastAsia="zh-CN"/>
              </w:rPr>
              <w:t>④方案</w:t>
            </w:r>
            <w:r>
              <w:rPr>
                <w:rFonts w:hint="eastAsia" w:ascii="仿宋" w:hAnsi="仿宋" w:eastAsia="仿宋" w:cs="仿宋"/>
                <w:color w:val="000000"/>
                <w:kern w:val="0"/>
                <w:sz w:val="24"/>
                <w:highlight w:val="none"/>
                <w:lang w:val="en-US" w:eastAsia="zh-CN"/>
              </w:rPr>
              <w:t>合理性、完整性、全面性</w:t>
            </w:r>
            <w:r>
              <w:rPr>
                <w:rFonts w:hint="eastAsia" w:ascii="仿宋" w:hAnsi="仿宋" w:eastAsia="仿宋" w:cs="仿宋"/>
                <w:color w:val="000000"/>
                <w:kern w:val="0"/>
                <w:sz w:val="24"/>
                <w:highlight w:val="none"/>
                <w:lang w:eastAsia="zh-CN"/>
              </w:rPr>
              <w:t>、</w:t>
            </w:r>
            <w:r>
              <w:rPr>
                <w:rFonts w:hint="eastAsia" w:ascii="仿宋" w:hAnsi="仿宋" w:eastAsia="仿宋" w:cs="仿宋"/>
                <w:color w:val="000000"/>
                <w:kern w:val="0"/>
                <w:sz w:val="24"/>
                <w:highlight w:val="none"/>
                <w:lang w:val="en-US" w:eastAsia="zh-CN"/>
              </w:rPr>
              <w:t>时效性、</w:t>
            </w:r>
            <w:r>
              <w:rPr>
                <w:rFonts w:hint="eastAsia" w:ascii="仿宋" w:hAnsi="仿宋" w:eastAsia="仿宋" w:cs="仿宋"/>
                <w:color w:val="000000"/>
                <w:kern w:val="0"/>
                <w:sz w:val="24"/>
                <w:highlight w:val="none"/>
                <w:lang w:eastAsia="zh-CN"/>
              </w:rPr>
              <w:t>针对性、</w:t>
            </w:r>
            <w:r>
              <w:rPr>
                <w:rFonts w:hint="eastAsia" w:ascii="仿宋" w:hAnsi="仿宋" w:eastAsia="仿宋" w:cs="仿宋"/>
                <w:color w:val="000000"/>
                <w:kern w:val="0"/>
                <w:sz w:val="24"/>
                <w:highlight w:val="none"/>
                <w:lang w:val="en-US" w:eastAsia="zh-CN"/>
              </w:rPr>
              <w:t>可操作性</w:t>
            </w:r>
            <w:r>
              <w:rPr>
                <w:rFonts w:hint="eastAsia" w:ascii="仿宋" w:hAnsi="仿宋" w:eastAsia="仿宋" w:cs="仿宋"/>
                <w:color w:val="000000"/>
                <w:kern w:val="0"/>
                <w:sz w:val="24"/>
                <w:highlight w:val="none"/>
                <w:lang w:eastAsia="zh-CN"/>
              </w:rPr>
              <w:t>差，</w:t>
            </w:r>
            <w:r>
              <w:rPr>
                <w:rFonts w:hint="eastAsia" w:ascii="仿宋" w:hAnsi="仿宋" w:eastAsia="仿宋" w:cs="仿宋"/>
                <w:color w:val="000000"/>
                <w:kern w:val="0"/>
                <w:sz w:val="24"/>
                <w:highlight w:val="none"/>
                <w:lang w:val="en-US" w:eastAsia="zh-CN"/>
              </w:rPr>
              <w:t>不加</w:t>
            </w:r>
            <w:r>
              <w:rPr>
                <w:rFonts w:hint="eastAsia" w:ascii="仿宋" w:hAnsi="仿宋" w:eastAsia="仿宋" w:cs="仿宋"/>
                <w:color w:val="000000"/>
                <w:kern w:val="0"/>
                <w:sz w:val="24"/>
                <w:highlight w:val="none"/>
                <w:lang w:eastAsia="zh-CN"/>
              </w:rPr>
              <w:t>分；</w:t>
            </w:r>
          </w:p>
          <w:p w14:paraId="1EFE5D25">
            <w:pP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eastAsia="zh-CN"/>
              </w:rPr>
              <w:t>⑤未提供或完全不符合的不得分。</w:t>
            </w:r>
          </w:p>
        </w:tc>
      </w:tr>
      <w:tr w14:paraId="63A788B7">
        <w:tblPrEx>
          <w:tblCellMar>
            <w:top w:w="0" w:type="dxa"/>
            <w:left w:w="0" w:type="dxa"/>
            <w:bottom w:w="0" w:type="dxa"/>
            <w:right w:w="0" w:type="dxa"/>
          </w:tblCellMar>
        </w:tblPrEx>
        <w:trPr>
          <w:trHeight w:val="768" w:hRule="atLeast"/>
          <w:jc w:val="center"/>
        </w:trPr>
        <w:tc>
          <w:tcPr>
            <w:tcW w:w="5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6BB083">
            <w:pPr>
              <w:widowControl/>
              <w:jc w:val="center"/>
              <w:textAlignment w:val="center"/>
              <w:rPr>
                <w:rFonts w:hint="default" w:ascii="仿宋" w:hAnsi="仿宋" w:eastAsia="仿宋" w:cs="仿宋"/>
                <w:sz w:val="24"/>
                <w:highlight w:val="none"/>
                <w:lang w:val="en-US" w:eastAsia="zh-CN"/>
              </w:rPr>
            </w:pPr>
            <w:r>
              <w:rPr>
                <w:rFonts w:hint="eastAsia" w:ascii="仿宋" w:hAnsi="仿宋" w:eastAsia="仿宋" w:cs="仿宋"/>
                <w:kern w:val="0"/>
                <w:sz w:val="24"/>
                <w:highlight w:val="none"/>
                <w:lang w:val="en-US" w:eastAsia="zh-CN" w:bidi="ar"/>
              </w:rPr>
              <w:t>4</w:t>
            </w:r>
          </w:p>
        </w:tc>
        <w:tc>
          <w:tcPr>
            <w:tcW w:w="17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BD853E">
            <w:pPr>
              <w:widowControl/>
              <w:jc w:val="center"/>
              <w:textAlignment w:val="center"/>
              <w:rPr>
                <w:rFonts w:hint="eastAsia" w:ascii="仿宋" w:hAnsi="仿宋" w:eastAsia="仿宋" w:cs="仿宋"/>
                <w:sz w:val="24"/>
                <w:highlight w:val="none"/>
              </w:rPr>
            </w:pPr>
            <w:r>
              <w:rPr>
                <w:rFonts w:hint="eastAsia" w:ascii="仿宋" w:hAnsi="仿宋" w:eastAsia="仿宋" w:cs="仿宋"/>
                <w:color w:val="000000"/>
                <w:kern w:val="0"/>
                <w:sz w:val="24"/>
                <w:highlight w:val="none"/>
              </w:rPr>
              <w:t>样品质量</w:t>
            </w: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E08ED2">
            <w:pPr>
              <w:widowControl/>
              <w:jc w:val="center"/>
              <w:textAlignment w:val="center"/>
              <w:rPr>
                <w:rFonts w:hint="default" w:ascii="仿宋" w:hAnsi="仿宋" w:eastAsia="仿宋" w:cs="仿宋"/>
                <w:sz w:val="24"/>
                <w:highlight w:val="none"/>
                <w:lang w:val="en-US"/>
              </w:rPr>
            </w:pPr>
            <w:r>
              <w:rPr>
                <w:rFonts w:hint="eastAsia" w:ascii="仿宋" w:hAnsi="仿宋" w:eastAsia="仿宋" w:cs="仿宋"/>
                <w:color w:val="auto"/>
                <w:kern w:val="0"/>
                <w:sz w:val="24"/>
                <w:highlight w:val="none"/>
                <w:lang w:val="en-US" w:eastAsia="zh-CN"/>
              </w:rPr>
              <w:t>18</w:t>
            </w:r>
          </w:p>
        </w:tc>
        <w:tc>
          <w:tcPr>
            <w:tcW w:w="63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30DBDD">
            <w:pPr>
              <w:rPr>
                <w:rFonts w:hint="eastAsia"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（一）评审标准</w:t>
            </w:r>
          </w:p>
          <w:p w14:paraId="25352F9F">
            <w:pPr>
              <w:widowControl/>
              <w:jc w:val="left"/>
              <w:textAlignment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提供三</w:t>
            </w:r>
            <w:r>
              <w:rPr>
                <w:rFonts w:hint="eastAsia" w:ascii="仿宋" w:hAnsi="仿宋" w:eastAsia="仿宋" w:cs="仿宋"/>
                <w:sz w:val="24"/>
                <w:highlight w:val="none"/>
              </w:rPr>
              <w:t>种</w:t>
            </w:r>
            <w:r>
              <w:rPr>
                <w:rFonts w:hint="eastAsia" w:ascii="仿宋" w:hAnsi="仿宋" w:eastAsia="仿宋" w:cs="仿宋"/>
                <w:sz w:val="24"/>
                <w:highlight w:val="none"/>
                <w:lang w:val="en-US" w:eastAsia="zh-CN"/>
              </w:rPr>
              <w:t>及</w:t>
            </w:r>
            <w:r>
              <w:rPr>
                <w:rFonts w:hint="eastAsia" w:ascii="仿宋" w:hAnsi="仿宋" w:eastAsia="仿宋" w:cs="仿宋"/>
                <w:sz w:val="24"/>
                <w:highlight w:val="none"/>
              </w:rPr>
              <w:t>以上蛋糕品种样品</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开标当天无偿提供</w:t>
            </w:r>
            <w:r>
              <w:rPr>
                <w:rFonts w:hint="eastAsia" w:ascii="仿宋" w:hAnsi="仿宋" w:eastAsia="仿宋" w:cs="仿宋"/>
                <w:sz w:val="24"/>
                <w:highlight w:val="none"/>
                <w:lang w:eastAsia="zh-CN"/>
              </w:rPr>
              <w:t>），</w:t>
            </w:r>
            <w:r>
              <w:rPr>
                <w:rFonts w:hint="eastAsia" w:ascii="仿宋" w:hAnsi="仿宋" w:eastAsia="仿宋" w:cs="仿宋"/>
                <w:sz w:val="24"/>
                <w:highlight w:val="none"/>
              </w:rPr>
              <w:t>专家根据样品进行评分。评分标准：</w:t>
            </w:r>
          </w:p>
          <w:p w14:paraId="62021A91">
            <w:pPr>
              <w:widowControl/>
              <w:jc w:val="left"/>
              <w:textAlignment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1</w:t>
            </w:r>
            <w:r>
              <w:rPr>
                <w:rFonts w:hint="eastAsia" w:ascii="仿宋" w:hAnsi="仿宋" w:eastAsia="仿宋" w:cs="仿宋"/>
                <w:sz w:val="24"/>
                <w:highlight w:val="none"/>
              </w:rPr>
              <w:t>.外观</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色泽</w:t>
            </w:r>
            <w:r>
              <w:rPr>
                <w:rFonts w:hint="eastAsia" w:ascii="仿宋" w:hAnsi="仿宋" w:eastAsia="仿宋" w:cs="仿宋"/>
                <w:sz w:val="24"/>
                <w:highlight w:val="none"/>
              </w:rPr>
              <w:t>形态</w:t>
            </w:r>
            <w:r>
              <w:rPr>
                <w:rFonts w:hint="eastAsia" w:ascii="仿宋" w:hAnsi="仿宋" w:eastAsia="仿宋" w:cs="仿宋"/>
                <w:sz w:val="24"/>
                <w:highlight w:val="none"/>
                <w:lang w:eastAsia="zh-CN"/>
              </w:rPr>
              <w:t>）</w:t>
            </w:r>
            <w:r>
              <w:rPr>
                <w:rFonts w:hint="eastAsia" w:ascii="仿宋" w:hAnsi="仿宋" w:eastAsia="仿宋" w:cs="仿宋"/>
                <w:sz w:val="24"/>
                <w:highlight w:val="none"/>
              </w:rPr>
              <w:t>；</w:t>
            </w:r>
          </w:p>
          <w:p w14:paraId="60B3A726">
            <w:pPr>
              <w:pStyle w:val="7"/>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2.内部组织（蛋糕胚、馅料构成）；</w:t>
            </w:r>
          </w:p>
          <w:p w14:paraId="39B28E68">
            <w:pPr>
              <w:widowControl/>
              <w:jc w:val="left"/>
              <w:textAlignment w:val="center"/>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3</w:t>
            </w:r>
            <w:r>
              <w:rPr>
                <w:rFonts w:hint="eastAsia" w:ascii="仿宋" w:hAnsi="仿宋" w:eastAsia="仿宋" w:cs="仿宋"/>
                <w:sz w:val="24"/>
                <w:highlight w:val="none"/>
              </w:rPr>
              <w:t>.味道</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口感与风味</w:t>
            </w:r>
            <w:r>
              <w:rPr>
                <w:rFonts w:hint="eastAsia" w:ascii="仿宋" w:hAnsi="仿宋" w:eastAsia="仿宋" w:cs="仿宋"/>
                <w:sz w:val="24"/>
                <w:highlight w:val="none"/>
                <w:lang w:eastAsia="zh-CN"/>
              </w:rPr>
              <w:t>）。</w:t>
            </w:r>
          </w:p>
          <w:p w14:paraId="7881DFF6">
            <w:pPr>
              <w:rPr>
                <w:rFonts w:hint="eastAsia" w:ascii="仿宋" w:hAnsi="仿宋" w:eastAsia="仿宋" w:cs="仿宋"/>
                <w:color w:val="000000"/>
                <w:kern w:val="0"/>
                <w:sz w:val="24"/>
                <w:highlight w:val="none"/>
                <w:lang w:eastAsia="zh-CN"/>
              </w:rPr>
            </w:pPr>
            <w:r>
              <w:rPr>
                <w:rFonts w:hint="eastAsia" w:ascii="仿宋" w:hAnsi="仿宋" w:eastAsia="仿宋" w:cs="仿宋"/>
                <w:color w:val="000000"/>
                <w:kern w:val="0"/>
                <w:sz w:val="24"/>
                <w:highlight w:val="none"/>
                <w:lang w:eastAsia="zh-CN"/>
              </w:rPr>
              <w:t>（二）评分依据</w:t>
            </w:r>
          </w:p>
          <w:p w14:paraId="1C91FFAA">
            <w:pPr>
              <w:rPr>
                <w:rFonts w:hint="eastAsia" w:ascii="仿宋" w:hAnsi="仿宋" w:eastAsia="仿宋" w:cs="仿宋"/>
                <w:color w:val="000000"/>
                <w:kern w:val="0"/>
                <w:sz w:val="24"/>
                <w:highlight w:val="none"/>
                <w:lang w:eastAsia="zh-CN"/>
              </w:rPr>
            </w:pPr>
            <w:r>
              <w:rPr>
                <w:rFonts w:hint="eastAsia" w:ascii="仿宋" w:hAnsi="仿宋" w:eastAsia="仿宋" w:cs="仿宋"/>
                <w:color w:val="000000"/>
                <w:kern w:val="0"/>
                <w:sz w:val="24"/>
                <w:highlight w:val="none"/>
                <w:lang w:val="en-US" w:eastAsia="zh-CN"/>
              </w:rPr>
              <w:t>1.</w:t>
            </w:r>
            <w:r>
              <w:rPr>
                <w:rFonts w:hint="eastAsia" w:ascii="仿宋" w:hAnsi="仿宋" w:eastAsia="仿宋" w:cs="仿宋"/>
                <w:color w:val="000000"/>
                <w:kern w:val="0"/>
                <w:sz w:val="24"/>
                <w:highlight w:val="none"/>
                <w:lang w:eastAsia="zh-CN"/>
              </w:rPr>
              <w:t>投标文件满足评审内容情况，每</w:t>
            </w:r>
            <w:r>
              <w:rPr>
                <w:rFonts w:hint="eastAsia" w:ascii="仿宋" w:hAnsi="仿宋" w:eastAsia="仿宋" w:cs="仿宋"/>
                <w:color w:val="000000"/>
                <w:kern w:val="0"/>
                <w:sz w:val="24"/>
                <w:highlight w:val="none"/>
                <w:lang w:val="en-US" w:eastAsia="zh-CN"/>
              </w:rPr>
              <w:t>体现</w:t>
            </w:r>
            <w:r>
              <w:rPr>
                <w:rFonts w:hint="eastAsia" w:ascii="仿宋" w:hAnsi="仿宋" w:eastAsia="仿宋" w:cs="仿宋"/>
                <w:color w:val="000000"/>
                <w:kern w:val="0"/>
                <w:sz w:val="24"/>
                <w:highlight w:val="none"/>
                <w:lang w:eastAsia="zh-CN"/>
              </w:rPr>
              <w:t>1</w:t>
            </w:r>
            <w:r>
              <w:rPr>
                <w:rFonts w:hint="eastAsia" w:ascii="仿宋" w:hAnsi="仿宋" w:eastAsia="仿宋" w:cs="仿宋"/>
                <w:color w:val="000000"/>
                <w:kern w:val="0"/>
                <w:sz w:val="24"/>
                <w:highlight w:val="none"/>
                <w:lang w:val="en-US" w:eastAsia="zh-CN"/>
              </w:rPr>
              <w:t>点</w:t>
            </w:r>
            <w:r>
              <w:rPr>
                <w:rFonts w:hint="eastAsia" w:ascii="仿宋" w:hAnsi="仿宋" w:eastAsia="仿宋" w:cs="仿宋"/>
                <w:color w:val="000000"/>
                <w:kern w:val="0"/>
                <w:sz w:val="24"/>
                <w:highlight w:val="none"/>
                <w:lang w:eastAsia="zh-CN"/>
              </w:rPr>
              <w:t>得</w:t>
            </w:r>
            <w:r>
              <w:rPr>
                <w:rFonts w:hint="eastAsia" w:ascii="仿宋" w:hAnsi="仿宋" w:eastAsia="仿宋" w:cs="仿宋"/>
                <w:color w:val="000000"/>
                <w:kern w:val="0"/>
                <w:sz w:val="24"/>
                <w:highlight w:val="none"/>
                <w:lang w:val="en-US" w:eastAsia="zh-CN"/>
              </w:rPr>
              <w:t>3</w:t>
            </w:r>
            <w:r>
              <w:rPr>
                <w:rFonts w:hint="eastAsia" w:ascii="仿宋" w:hAnsi="仿宋" w:eastAsia="仿宋" w:cs="仿宋"/>
                <w:color w:val="000000"/>
                <w:kern w:val="0"/>
                <w:sz w:val="24"/>
                <w:highlight w:val="none"/>
                <w:lang w:eastAsia="zh-CN"/>
              </w:rPr>
              <w:t>分，本项最高得</w:t>
            </w:r>
            <w:r>
              <w:rPr>
                <w:rFonts w:hint="eastAsia" w:ascii="仿宋" w:hAnsi="仿宋" w:eastAsia="仿宋" w:cs="仿宋"/>
                <w:color w:val="000000"/>
                <w:kern w:val="0"/>
                <w:sz w:val="24"/>
                <w:highlight w:val="none"/>
                <w:lang w:val="en-US" w:eastAsia="zh-CN"/>
              </w:rPr>
              <w:t>9</w:t>
            </w:r>
            <w:r>
              <w:rPr>
                <w:rFonts w:hint="eastAsia" w:ascii="仿宋" w:hAnsi="仿宋" w:eastAsia="仿宋" w:cs="仿宋"/>
                <w:color w:val="000000"/>
                <w:kern w:val="0"/>
                <w:sz w:val="24"/>
                <w:highlight w:val="none"/>
                <w:lang w:eastAsia="zh-CN"/>
              </w:rPr>
              <w:t>分。</w:t>
            </w:r>
          </w:p>
          <w:p w14:paraId="49E85A28">
            <w:pPr>
              <w:rPr>
                <w:rFonts w:hint="eastAsia"/>
                <w:highlight w:val="none"/>
              </w:rPr>
            </w:pPr>
            <w:r>
              <w:rPr>
                <w:rFonts w:hint="eastAsia" w:ascii="仿宋" w:hAnsi="仿宋" w:eastAsia="仿宋" w:cs="仿宋"/>
                <w:color w:val="000000"/>
                <w:kern w:val="0"/>
                <w:sz w:val="24"/>
                <w:highlight w:val="none"/>
                <w:lang w:eastAsia="zh-CN"/>
              </w:rPr>
              <w:t>2.在此基础上，根据</w:t>
            </w:r>
            <w:r>
              <w:rPr>
                <w:rFonts w:hint="eastAsia" w:ascii="仿宋" w:hAnsi="仿宋" w:eastAsia="仿宋" w:cs="仿宋"/>
                <w:color w:val="000000"/>
                <w:kern w:val="0"/>
                <w:sz w:val="24"/>
                <w:highlight w:val="none"/>
                <w:lang w:val="en-US" w:eastAsia="zh-CN"/>
              </w:rPr>
              <w:t>样品质量</w:t>
            </w:r>
            <w:r>
              <w:rPr>
                <w:rFonts w:hint="eastAsia" w:ascii="仿宋" w:hAnsi="仿宋" w:eastAsia="仿宋" w:cs="仿宋"/>
                <w:color w:val="000000"/>
                <w:kern w:val="0"/>
                <w:sz w:val="24"/>
                <w:highlight w:val="none"/>
                <w:lang w:eastAsia="zh-CN"/>
              </w:rPr>
              <w:t>进行</w:t>
            </w:r>
            <w:r>
              <w:rPr>
                <w:rFonts w:hint="eastAsia" w:ascii="仿宋" w:hAnsi="仿宋" w:eastAsia="仿宋" w:cs="仿宋"/>
                <w:color w:val="000000"/>
                <w:kern w:val="0"/>
                <w:sz w:val="24"/>
                <w:highlight w:val="none"/>
                <w:lang w:val="en-US" w:eastAsia="zh-CN"/>
              </w:rPr>
              <w:t>对比</w:t>
            </w:r>
            <w:r>
              <w:rPr>
                <w:rFonts w:hint="eastAsia" w:ascii="仿宋" w:hAnsi="仿宋" w:eastAsia="仿宋" w:cs="仿宋"/>
                <w:color w:val="000000"/>
                <w:kern w:val="0"/>
                <w:sz w:val="24"/>
                <w:highlight w:val="none"/>
                <w:lang w:eastAsia="zh-CN"/>
              </w:rPr>
              <w:t>评分</w:t>
            </w:r>
            <w:r>
              <w:rPr>
                <w:rFonts w:hint="eastAsia" w:ascii="仿宋" w:hAnsi="仿宋" w:eastAsia="仿宋" w:cs="仿宋"/>
                <w:color w:val="000000"/>
                <w:kern w:val="0"/>
                <w:sz w:val="24"/>
                <w:highlight w:val="none"/>
                <w:lang w:val="en-US" w:eastAsia="zh-CN"/>
              </w:rPr>
              <w:t>;</w:t>
            </w:r>
          </w:p>
          <w:p w14:paraId="23AF190F">
            <w:pPr>
              <w:widowControl/>
              <w:jc w:val="left"/>
              <w:textAlignment w:val="center"/>
              <w:rPr>
                <w:rFonts w:hint="eastAsia" w:ascii="仿宋" w:hAnsi="仿宋" w:eastAsia="仿宋" w:cs="仿宋"/>
                <w:sz w:val="24"/>
                <w:highlight w:val="none"/>
              </w:rPr>
            </w:pPr>
            <w:r>
              <w:rPr>
                <w:rFonts w:hint="eastAsia" w:ascii="仿宋" w:hAnsi="仿宋" w:eastAsia="仿宋" w:cs="仿宋"/>
                <w:color w:val="000000"/>
                <w:kern w:val="0"/>
                <w:sz w:val="24"/>
                <w:highlight w:val="none"/>
              </w:rPr>
              <w:t>①</w:t>
            </w:r>
            <w:r>
              <w:rPr>
                <w:rFonts w:hint="eastAsia" w:ascii="仿宋" w:hAnsi="仿宋" w:eastAsia="仿宋" w:cs="仿宋"/>
                <w:sz w:val="24"/>
                <w:highlight w:val="none"/>
              </w:rPr>
              <w:t>评价为优：</w:t>
            </w:r>
            <w:r>
              <w:rPr>
                <w:rFonts w:hint="eastAsia" w:ascii="仿宋" w:hAnsi="仿宋" w:eastAsia="仿宋" w:cs="仿宋"/>
                <w:sz w:val="24"/>
                <w:highlight w:val="none"/>
                <w:lang w:val="en-US" w:eastAsia="zh-CN"/>
              </w:rPr>
              <w:t>样品</w:t>
            </w:r>
            <w:r>
              <w:rPr>
                <w:rFonts w:hint="eastAsia" w:ascii="仿宋" w:hAnsi="仿宋" w:eastAsia="仿宋" w:cs="仿宋"/>
                <w:sz w:val="24"/>
                <w:highlight w:val="none"/>
              </w:rPr>
              <w:t>外形整齐</w:t>
            </w:r>
            <w:r>
              <w:rPr>
                <w:rFonts w:hint="eastAsia" w:ascii="仿宋" w:hAnsi="仿宋" w:eastAsia="仿宋" w:cs="仿宋"/>
                <w:sz w:val="24"/>
                <w:highlight w:val="none"/>
                <w:lang w:val="en-US" w:eastAsia="zh-CN"/>
              </w:rPr>
              <w:t>美观</w:t>
            </w:r>
            <w:r>
              <w:rPr>
                <w:rFonts w:hint="eastAsia" w:ascii="仿宋" w:hAnsi="仿宋" w:eastAsia="仿宋" w:cs="仿宋"/>
                <w:sz w:val="24"/>
                <w:highlight w:val="none"/>
              </w:rPr>
              <w:t>，无霉变，无变形</w:t>
            </w:r>
            <w:r>
              <w:rPr>
                <w:rFonts w:hint="eastAsia" w:ascii="仿宋" w:hAnsi="仿宋" w:eastAsia="仿宋" w:cs="仿宋"/>
                <w:sz w:val="24"/>
                <w:highlight w:val="none"/>
                <w:lang w:eastAsia="zh-CN"/>
              </w:rPr>
              <w:t>，</w:t>
            </w:r>
            <w:r>
              <w:rPr>
                <w:rFonts w:hint="eastAsia" w:ascii="仿宋" w:hAnsi="仿宋" w:eastAsia="仿宋" w:cs="仿宋"/>
                <w:sz w:val="24"/>
                <w:highlight w:val="none"/>
              </w:rPr>
              <w:t>色泽均匀，无可见杂质；蛋糕胚切面气孔细密均匀，弹性好，馅料或夹层分布均匀</w:t>
            </w:r>
            <w:r>
              <w:rPr>
                <w:rFonts w:hint="eastAsia" w:ascii="仿宋" w:hAnsi="仿宋" w:eastAsia="仿宋" w:cs="仿宋"/>
                <w:sz w:val="24"/>
                <w:highlight w:val="none"/>
                <w:lang w:val="en-US" w:eastAsia="zh-CN"/>
              </w:rPr>
              <w:t>合理</w:t>
            </w:r>
            <w:r>
              <w:rPr>
                <w:rFonts w:hint="eastAsia" w:ascii="仿宋" w:hAnsi="仿宋" w:eastAsia="仿宋" w:cs="仿宋"/>
                <w:sz w:val="24"/>
                <w:highlight w:val="none"/>
                <w:lang w:eastAsia="zh-CN"/>
              </w:rPr>
              <w:t>；</w:t>
            </w:r>
            <w:r>
              <w:rPr>
                <w:rFonts w:hint="eastAsia" w:ascii="仿宋" w:hAnsi="仿宋" w:eastAsia="仿宋" w:cs="仿宋"/>
                <w:sz w:val="24"/>
                <w:highlight w:val="none"/>
              </w:rPr>
              <w:t>口感纯正松软绵密，甜度适中，</w:t>
            </w:r>
            <w:r>
              <w:rPr>
                <w:rFonts w:hint="eastAsia" w:ascii="仿宋" w:hAnsi="仿宋" w:eastAsia="仿宋" w:cs="仿宋"/>
                <w:sz w:val="24"/>
                <w:highlight w:val="none"/>
                <w:lang w:val="en-US" w:eastAsia="zh-CN"/>
              </w:rPr>
              <w:t>加9</w:t>
            </w:r>
            <w:r>
              <w:rPr>
                <w:rFonts w:hint="eastAsia" w:ascii="仿宋" w:hAnsi="仿宋" w:eastAsia="仿宋" w:cs="仿宋"/>
                <w:sz w:val="24"/>
                <w:highlight w:val="none"/>
              </w:rPr>
              <w:t>分；</w:t>
            </w:r>
          </w:p>
          <w:p w14:paraId="2C7AD095">
            <w:pPr>
              <w:widowControl/>
              <w:jc w:val="left"/>
              <w:textAlignment w:val="center"/>
              <w:rPr>
                <w:rFonts w:hint="eastAsia" w:ascii="仿宋" w:hAnsi="仿宋" w:eastAsia="仿宋" w:cs="仿宋"/>
                <w:sz w:val="24"/>
                <w:highlight w:val="none"/>
              </w:rPr>
            </w:pPr>
            <w:r>
              <w:rPr>
                <w:rFonts w:hint="eastAsia" w:ascii="仿宋" w:hAnsi="仿宋" w:eastAsia="仿宋" w:cs="仿宋"/>
                <w:color w:val="000000"/>
                <w:kern w:val="0"/>
                <w:sz w:val="24"/>
                <w:highlight w:val="none"/>
              </w:rPr>
              <w:t>②</w:t>
            </w:r>
            <w:r>
              <w:rPr>
                <w:rFonts w:hint="eastAsia" w:ascii="仿宋" w:hAnsi="仿宋" w:eastAsia="仿宋" w:cs="仿宋"/>
                <w:sz w:val="24"/>
                <w:highlight w:val="none"/>
              </w:rPr>
              <w:t>评价为</w:t>
            </w:r>
            <w:r>
              <w:rPr>
                <w:rFonts w:hint="eastAsia" w:ascii="仿宋" w:hAnsi="仿宋" w:eastAsia="仿宋" w:cs="仿宋"/>
                <w:sz w:val="24"/>
                <w:highlight w:val="none"/>
                <w:lang w:val="en-US" w:eastAsia="zh-CN"/>
              </w:rPr>
              <w:t>良</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样品</w:t>
            </w:r>
            <w:r>
              <w:rPr>
                <w:rFonts w:hint="eastAsia" w:ascii="仿宋" w:hAnsi="仿宋" w:eastAsia="仿宋" w:cs="仿宋"/>
                <w:sz w:val="24"/>
                <w:highlight w:val="none"/>
              </w:rPr>
              <w:t>外形</w:t>
            </w:r>
            <w:r>
              <w:rPr>
                <w:rFonts w:hint="eastAsia" w:ascii="仿宋" w:hAnsi="仿宋" w:eastAsia="仿宋" w:cs="仿宋"/>
                <w:sz w:val="24"/>
                <w:highlight w:val="none"/>
                <w:lang w:val="en-US" w:eastAsia="zh-CN"/>
              </w:rPr>
              <w:t>较</w:t>
            </w:r>
            <w:r>
              <w:rPr>
                <w:rFonts w:hint="eastAsia" w:ascii="仿宋" w:hAnsi="仿宋" w:eastAsia="仿宋" w:cs="仿宋"/>
                <w:sz w:val="24"/>
                <w:highlight w:val="none"/>
              </w:rPr>
              <w:t>整齐</w:t>
            </w:r>
            <w:r>
              <w:rPr>
                <w:rFonts w:hint="eastAsia" w:ascii="仿宋" w:hAnsi="仿宋" w:eastAsia="仿宋" w:cs="仿宋"/>
                <w:sz w:val="24"/>
                <w:highlight w:val="none"/>
                <w:lang w:val="en-US" w:eastAsia="zh-CN"/>
              </w:rPr>
              <w:t>美观</w:t>
            </w:r>
            <w:r>
              <w:rPr>
                <w:rFonts w:hint="eastAsia" w:ascii="仿宋" w:hAnsi="仿宋" w:eastAsia="仿宋" w:cs="仿宋"/>
                <w:sz w:val="24"/>
                <w:highlight w:val="none"/>
              </w:rPr>
              <w:t>，无霉变，无变形；色泽</w:t>
            </w:r>
            <w:r>
              <w:rPr>
                <w:rFonts w:hint="eastAsia" w:ascii="仿宋" w:hAnsi="仿宋" w:eastAsia="仿宋" w:cs="仿宋"/>
                <w:sz w:val="24"/>
                <w:highlight w:val="none"/>
                <w:lang w:val="en-US" w:eastAsia="zh-CN"/>
              </w:rPr>
              <w:t>较</w:t>
            </w:r>
            <w:r>
              <w:rPr>
                <w:rFonts w:hint="eastAsia" w:ascii="仿宋" w:hAnsi="仿宋" w:eastAsia="仿宋" w:cs="仿宋"/>
                <w:sz w:val="24"/>
                <w:highlight w:val="none"/>
              </w:rPr>
              <w:t>均匀，无可见杂质；蛋糕胚切面气孔</w:t>
            </w:r>
            <w:r>
              <w:rPr>
                <w:rFonts w:hint="eastAsia" w:ascii="仿宋" w:hAnsi="仿宋" w:eastAsia="仿宋" w:cs="仿宋"/>
                <w:sz w:val="24"/>
                <w:highlight w:val="none"/>
                <w:lang w:val="en-US" w:eastAsia="zh-CN"/>
              </w:rPr>
              <w:t>较</w:t>
            </w:r>
            <w:r>
              <w:rPr>
                <w:rFonts w:hint="eastAsia" w:ascii="仿宋" w:hAnsi="仿宋" w:eastAsia="仿宋" w:cs="仿宋"/>
                <w:sz w:val="24"/>
                <w:highlight w:val="none"/>
              </w:rPr>
              <w:t>细密均匀，弹性</w:t>
            </w:r>
            <w:r>
              <w:rPr>
                <w:rFonts w:hint="eastAsia" w:ascii="仿宋" w:hAnsi="仿宋" w:eastAsia="仿宋" w:cs="仿宋"/>
                <w:sz w:val="24"/>
                <w:highlight w:val="none"/>
                <w:lang w:val="en-US" w:eastAsia="zh-CN"/>
              </w:rPr>
              <w:t>较</w:t>
            </w:r>
            <w:r>
              <w:rPr>
                <w:rFonts w:hint="eastAsia" w:ascii="仿宋" w:hAnsi="仿宋" w:eastAsia="仿宋" w:cs="仿宋"/>
                <w:sz w:val="24"/>
                <w:highlight w:val="none"/>
              </w:rPr>
              <w:t>好，馅料或夹层分布</w:t>
            </w:r>
            <w:r>
              <w:rPr>
                <w:rFonts w:hint="eastAsia" w:ascii="仿宋" w:hAnsi="仿宋" w:eastAsia="仿宋" w:cs="仿宋"/>
                <w:sz w:val="24"/>
                <w:highlight w:val="none"/>
                <w:lang w:val="en-US" w:eastAsia="zh-CN"/>
              </w:rPr>
              <w:t>较</w:t>
            </w:r>
            <w:r>
              <w:rPr>
                <w:rFonts w:hint="eastAsia" w:ascii="仿宋" w:hAnsi="仿宋" w:eastAsia="仿宋" w:cs="仿宋"/>
                <w:sz w:val="24"/>
                <w:highlight w:val="none"/>
              </w:rPr>
              <w:t>均匀</w:t>
            </w:r>
            <w:r>
              <w:rPr>
                <w:rFonts w:hint="eastAsia" w:ascii="仿宋" w:hAnsi="仿宋" w:eastAsia="仿宋" w:cs="仿宋"/>
                <w:sz w:val="24"/>
                <w:highlight w:val="none"/>
                <w:lang w:val="en-US" w:eastAsia="zh-CN"/>
              </w:rPr>
              <w:t>合理</w:t>
            </w:r>
            <w:r>
              <w:rPr>
                <w:rFonts w:hint="eastAsia" w:ascii="仿宋" w:hAnsi="仿宋" w:eastAsia="仿宋" w:cs="仿宋"/>
                <w:sz w:val="24"/>
                <w:highlight w:val="none"/>
                <w:lang w:eastAsia="zh-CN"/>
              </w:rPr>
              <w:t>；</w:t>
            </w:r>
            <w:r>
              <w:rPr>
                <w:rFonts w:hint="eastAsia" w:ascii="仿宋" w:hAnsi="仿宋" w:eastAsia="仿宋" w:cs="仿宋"/>
                <w:sz w:val="24"/>
                <w:highlight w:val="none"/>
              </w:rPr>
              <w:t>口感</w:t>
            </w:r>
            <w:r>
              <w:rPr>
                <w:rFonts w:hint="eastAsia" w:ascii="仿宋" w:hAnsi="仿宋" w:eastAsia="仿宋" w:cs="仿宋"/>
                <w:sz w:val="24"/>
                <w:highlight w:val="none"/>
                <w:lang w:val="en-US" w:eastAsia="zh-CN"/>
              </w:rPr>
              <w:t>较</w:t>
            </w:r>
            <w:r>
              <w:rPr>
                <w:rFonts w:hint="eastAsia" w:ascii="仿宋" w:hAnsi="仿宋" w:eastAsia="仿宋" w:cs="仿宋"/>
                <w:sz w:val="24"/>
                <w:highlight w:val="none"/>
              </w:rPr>
              <w:t>纯正松软绵密，甜度</w:t>
            </w:r>
            <w:r>
              <w:rPr>
                <w:rFonts w:hint="eastAsia" w:ascii="仿宋" w:hAnsi="仿宋" w:eastAsia="仿宋" w:cs="仿宋"/>
                <w:sz w:val="24"/>
                <w:highlight w:val="none"/>
                <w:lang w:val="en-US" w:eastAsia="zh-CN"/>
              </w:rPr>
              <w:t>较</w:t>
            </w:r>
            <w:r>
              <w:rPr>
                <w:rFonts w:hint="eastAsia" w:ascii="仿宋" w:hAnsi="仿宋" w:eastAsia="仿宋" w:cs="仿宋"/>
                <w:sz w:val="24"/>
                <w:highlight w:val="none"/>
              </w:rPr>
              <w:t>适中，</w:t>
            </w:r>
            <w:r>
              <w:rPr>
                <w:rFonts w:hint="eastAsia" w:ascii="仿宋" w:hAnsi="仿宋" w:eastAsia="仿宋" w:cs="仿宋"/>
                <w:sz w:val="24"/>
                <w:highlight w:val="none"/>
                <w:lang w:val="en-US" w:eastAsia="zh-CN"/>
              </w:rPr>
              <w:t>加5</w:t>
            </w:r>
            <w:r>
              <w:rPr>
                <w:rFonts w:hint="eastAsia" w:ascii="仿宋" w:hAnsi="仿宋" w:eastAsia="仿宋" w:cs="仿宋"/>
                <w:sz w:val="24"/>
                <w:highlight w:val="none"/>
              </w:rPr>
              <w:t>分；</w:t>
            </w:r>
          </w:p>
          <w:p w14:paraId="20977603">
            <w:pPr>
              <w:widowControl/>
              <w:jc w:val="left"/>
              <w:textAlignment w:val="center"/>
              <w:rPr>
                <w:rFonts w:hint="eastAsia" w:ascii="仿宋" w:hAnsi="仿宋" w:eastAsia="仿宋" w:cs="仿宋"/>
                <w:sz w:val="24"/>
                <w:highlight w:val="none"/>
              </w:rPr>
            </w:pPr>
            <w:r>
              <w:rPr>
                <w:rFonts w:hint="eastAsia" w:ascii="仿宋" w:hAnsi="仿宋" w:eastAsia="仿宋" w:cs="仿宋"/>
                <w:color w:val="000000"/>
                <w:kern w:val="0"/>
                <w:sz w:val="24"/>
                <w:highlight w:val="none"/>
              </w:rPr>
              <w:t>③</w:t>
            </w:r>
            <w:r>
              <w:rPr>
                <w:rFonts w:hint="eastAsia" w:ascii="仿宋" w:hAnsi="仿宋" w:eastAsia="仿宋" w:cs="仿宋"/>
                <w:sz w:val="24"/>
                <w:highlight w:val="none"/>
              </w:rPr>
              <w:t>评价为</w:t>
            </w:r>
            <w:r>
              <w:rPr>
                <w:rFonts w:hint="eastAsia" w:ascii="仿宋" w:hAnsi="仿宋" w:eastAsia="仿宋" w:cs="仿宋"/>
                <w:sz w:val="24"/>
                <w:highlight w:val="none"/>
                <w:lang w:val="en-US" w:eastAsia="zh-CN"/>
              </w:rPr>
              <w:t>中</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样品</w:t>
            </w:r>
            <w:r>
              <w:rPr>
                <w:rFonts w:hint="eastAsia" w:ascii="仿宋" w:hAnsi="仿宋" w:eastAsia="仿宋" w:cs="仿宋"/>
                <w:sz w:val="24"/>
                <w:highlight w:val="none"/>
              </w:rPr>
              <w:t>外形整齐</w:t>
            </w:r>
            <w:r>
              <w:rPr>
                <w:rFonts w:hint="eastAsia" w:ascii="仿宋" w:hAnsi="仿宋" w:eastAsia="仿宋" w:cs="仿宋"/>
                <w:sz w:val="24"/>
                <w:highlight w:val="none"/>
                <w:lang w:val="en-US" w:eastAsia="zh-CN"/>
              </w:rPr>
              <w:t>美观性一般</w:t>
            </w:r>
            <w:r>
              <w:rPr>
                <w:rFonts w:hint="eastAsia" w:ascii="仿宋" w:hAnsi="仿宋" w:eastAsia="仿宋" w:cs="仿宋"/>
                <w:sz w:val="24"/>
                <w:highlight w:val="none"/>
              </w:rPr>
              <w:t>，色泽</w:t>
            </w:r>
            <w:r>
              <w:rPr>
                <w:rFonts w:hint="eastAsia" w:ascii="仿宋" w:hAnsi="仿宋" w:eastAsia="仿宋" w:cs="仿宋"/>
                <w:sz w:val="24"/>
                <w:highlight w:val="none"/>
                <w:lang w:val="en-US" w:eastAsia="zh-CN"/>
              </w:rPr>
              <w:t>一般</w:t>
            </w:r>
            <w:r>
              <w:rPr>
                <w:rFonts w:hint="eastAsia" w:ascii="仿宋" w:hAnsi="仿宋" w:eastAsia="仿宋" w:cs="仿宋"/>
                <w:sz w:val="24"/>
                <w:highlight w:val="none"/>
              </w:rPr>
              <w:t>；蛋糕胚切面气孔</w:t>
            </w:r>
            <w:r>
              <w:rPr>
                <w:rFonts w:hint="eastAsia" w:ascii="仿宋" w:hAnsi="仿宋" w:eastAsia="仿宋" w:cs="仿宋"/>
                <w:sz w:val="24"/>
                <w:highlight w:val="none"/>
                <w:lang w:val="en-US" w:eastAsia="zh-CN"/>
              </w:rPr>
              <w:t>欠</w:t>
            </w:r>
            <w:r>
              <w:rPr>
                <w:rFonts w:hint="eastAsia" w:ascii="仿宋" w:hAnsi="仿宋" w:eastAsia="仿宋" w:cs="仿宋"/>
                <w:sz w:val="24"/>
                <w:highlight w:val="none"/>
              </w:rPr>
              <w:t>细密均匀，弹性</w:t>
            </w:r>
            <w:r>
              <w:rPr>
                <w:rFonts w:hint="eastAsia" w:ascii="仿宋" w:hAnsi="仿宋" w:eastAsia="仿宋" w:cs="仿宋"/>
                <w:sz w:val="24"/>
                <w:highlight w:val="none"/>
                <w:lang w:val="en-US" w:eastAsia="zh-CN"/>
              </w:rPr>
              <w:t>一般</w:t>
            </w:r>
            <w:r>
              <w:rPr>
                <w:rFonts w:hint="eastAsia" w:ascii="仿宋" w:hAnsi="仿宋" w:eastAsia="仿宋" w:cs="仿宋"/>
                <w:sz w:val="24"/>
                <w:highlight w:val="none"/>
              </w:rPr>
              <w:t>，馅料或夹层分布</w:t>
            </w:r>
            <w:r>
              <w:rPr>
                <w:rFonts w:hint="eastAsia" w:ascii="仿宋" w:hAnsi="仿宋" w:eastAsia="仿宋" w:cs="仿宋"/>
                <w:sz w:val="24"/>
                <w:highlight w:val="none"/>
                <w:lang w:val="en-US" w:eastAsia="zh-CN"/>
              </w:rPr>
              <w:t>欠</w:t>
            </w:r>
            <w:r>
              <w:rPr>
                <w:rFonts w:hint="eastAsia" w:ascii="仿宋" w:hAnsi="仿宋" w:eastAsia="仿宋" w:cs="仿宋"/>
                <w:sz w:val="24"/>
                <w:highlight w:val="none"/>
              </w:rPr>
              <w:t>均匀</w:t>
            </w:r>
            <w:r>
              <w:rPr>
                <w:rFonts w:hint="eastAsia" w:ascii="仿宋" w:hAnsi="仿宋" w:eastAsia="仿宋" w:cs="仿宋"/>
                <w:sz w:val="24"/>
                <w:highlight w:val="none"/>
                <w:lang w:val="en-US" w:eastAsia="zh-CN"/>
              </w:rPr>
              <w:t>合理</w:t>
            </w:r>
            <w:r>
              <w:rPr>
                <w:rFonts w:hint="eastAsia" w:ascii="仿宋" w:hAnsi="仿宋" w:eastAsia="仿宋" w:cs="仿宋"/>
                <w:sz w:val="24"/>
                <w:highlight w:val="none"/>
                <w:lang w:eastAsia="zh-CN"/>
              </w:rPr>
              <w:t>；</w:t>
            </w:r>
            <w:r>
              <w:rPr>
                <w:rFonts w:hint="eastAsia" w:ascii="仿宋" w:hAnsi="仿宋" w:eastAsia="仿宋" w:cs="仿宋"/>
                <w:sz w:val="24"/>
                <w:highlight w:val="none"/>
              </w:rPr>
              <w:t>口感</w:t>
            </w:r>
            <w:r>
              <w:rPr>
                <w:rFonts w:hint="eastAsia" w:ascii="仿宋" w:hAnsi="仿宋" w:eastAsia="仿宋" w:cs="仿宋"/>
                <w:sz w:val="24"/>
                <w:highlight w:val="none"/>
                <w:lang w:val="en-US" w:eastAsia="zh-CN"/>
              </w:rPr>
              <w:t>欠</w:t>
            </w:r>
            <w:r>
              <w:rPr>
                <w:rFonts w:hint="eastAsia" w:ascii="仿宋" w:hAnsi="仿宋" w:eastAsia="仿宋" w:cs="仿宋"/>
                <w:sz w:val="24"/>
                <w:highlight w:val="none"/>
              </w:rPr>
              <w:t>纯正松软绵密，甜度</w:t>
            </w:r>
            <w:r>
              <w:rPr>
                <w:rFonts w:hint="eastAsia" w:ascii="仿宋" w:hAnsi="仿宋" w:eastAsia="仿宋" w:cs="仿宋"/>
                <w:sz w:val="24"/>
                <w:highlight w:val="none"/>
                <w:lang w:val="en-US" w:eastAsia="zh-CN"/>
              </w:rPr>
              <w:t>欠</w:t>
            </w:r>
            <w:r>
              <w:rPr>
                <w:rFonts w:hint="eastAsia" w:ascii="仿宋" w:hAnsi="仿宋" w:eastAsia="仿宋" w:cs="仿宋"/>
                <w:sz w:val="24"/>
                <w:highlight w:val="none"/>
              </w:rPr>
              <w:t>适中，</w:t>
            </w:r>
            <w:r>
              <w:rPr>
                <w:rFonts w:hint="eastAsia" w:ascii="仿宋" w:hAnsi="仿宋" w:eastAsia="仿宋" w:cs="仿宋"/>
                <w:sz w:val="24"/>
                <w:highlight w:val="none"/>
                <w:lang w:val="en-US" w:eastAsia="zh-CN"/>
              </w:rPr>
              <w:t>加3</w:t>
            </w:r>
            <w:r>
              <w:rPr>
                <w:rFonts w:hint="eastAsia" w:ascii="仿宋" w:hAnsi="仿宋" w:eastAsia="仿宋" w:cs="仿宋"/>
                <w:sz w:val="24"/>
                <w:highlight w:val="none"/>
              </w:rPr>
              <w:t>分；</w:t>
            </w:r>
          </w:p>
          <w:p w14:paraId="0A241A97">
            <w:pPr>
              <w:widowControl/>
              <w:jc w:val="left"/>
              <w:textAlignment w:val="center"/>
              <w:rPr>
                <w:rFonts w:hint="eastAsia" w:ascii="仿宋" w:hAnsi="仿宋" w:eastAsia="仿宋" w:cs="仿宋"/>
                <w:sz w:val="24"/>
                <w:highlight w:val="none"/>
              </w:rPr>
            </w:pPr>
            <w:r>
              <w:rPr>
                <w:rFonts w:hint="eastAsia" w:ascii="仿宋" w:hAnsi="仿宋" w:eastAsia="仿宋" w:cs="仿宋"/>
                <w:color w:val="000000"/>
                <w:kern w:val="0"/>
                <w:sz w:val="24"/>
                <w:highlight w:val="none"/>
              </w:rPr>
              <w:t>④</w:t>
            </w:r>
            <w:r>
              <w:rPr>
                <w:rFonts w:hint="eastAsia" w:ascii="仿宋" w:hAnsi="仿宋" w:eastAsia="仿宋" w:cs="仿宋"/>
                <w:sz w:val="24"/>
                <w:highlight w:val="none"/>
              </w:rPr>
              <w:t>评价为</w:t>
            </w:r>
            <w:r>
              <w:rPr>
                <w:rFonts w:hint="eastAsia" w:ascii="仿宋" w:hAnsi="仿宋" w:eastAsia="仿宋" w:cs="仿宋"/>
                <w:sz w:val="24"/>
                <w:highlight w:val="none"/>
                <w:lang w:val="en-US" w:eastAsia="zh-CN"/>
              </w:rPr>
              <w:t>差：样品</w:t>
            </w:r>
            <w:r>
              <w:rPr>
                <w:rFonts w:hint="eastAsia" w:ascii="仿宋" w:hAnsi="仿宋" w:eastAsia="仿宋" w:cs="仿宋"/>
                <w:sz w:val="24"/>
                <w:highlight w:val="none"/>
              </w:rPr>
              <w:t>外形整齐</w:t>
            </w:r>
            <w:r>
              <w:rPr>
                <w:rFonts w:hint="eastAsia" w:ascii="仿宋" w:hAnsi="仿宋" w:eastAsia="仿宋" w:cs="仿宋"/>
                <w:sz w:val="24"/>
                <w:highlight w:val="none"/>
                <w:lang w:val="en-US" w:eastAsia="zh-CN"/>
              </w:rPr>
              <w:t>美观性、</w:t>
            </w:r>
            <w:r>
              <w:rPr>
                <w:rFonts w:hint="eastAsia" w:ascii="仿宋" w:hAnsi="仿宋" w:eastAsia="仿宋" w:cs="仿宋"/>
                <w:sz w:val="24"/>
                <w:highlight w:val="none"/>
              </w:rPr>
              <w:t>色泽</w:t>
            </w:r>
            <w:r>
              <w:rPr>
                <w:rFonts w:hint="eastAsia" w:ascii="仿宋" w:hAnsi="仿宋" w:eastAsia="仿宋" w:cs="仿宋"/>
                <w:sz w:val="24"/>
                <w:highlight w:val="none"/>
                <w:lang w:val="en-US" w:eastAsia="zh-CN"/>
              </w:rPr>
              <w:t>、内部组织构成、味道差</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加1</w:t>
            </w:r>
            <w:r>
              <w:rPr>
                <w:rFonts w:hint="eastAsia" w:ascii="仿宋" w:hAnsi="仿宋" w:eastAsia="仿宋" w:cs="仿宋"/>
                <w:sz w:val="24"/>
                <w:highlight w:val="none"/>
              </w:rPr>
              <w:t>分；</w:t>
            </w:r>
          </w:p>
          <w:p w14:paraId="07D52868">
            <w:pPr>
              <w:widowControl/>
              <w:jc w:val="left"/>
              <w:textAlignment w:val="center"/>
              <w:rPr>
                <w:rFonts w:hint="eastAsia"/>
                <w:highlight w:val="none"/>
              </w:rPr>
            </w:pPr>
            <w:r>
              <w:rPr>
                <w:rFonts w:hint="eastAsia" w:ascii="仿宋" w:hAnsi="仿宋" w:eastAsia="仿宋" w:cs="仿宋"/>
                <w:sz w:val="24"/>
                <w:highlight w:val="none"/>
              </w:rPr>
              <w:t>⑤未提供或提供的证明材料不清晰导致评审专家无法辨认的，不得分。</w:t>
            </w:r>
          </w:p>
        </w:tc>
      </w:tr>
      <w:tr w14:paraId="0A10DB21">
        <w:tblPrEx>
          <w:tblCellMar>
            <w:top w:w="0" w:type="dxa"/>
            <w:left w:w="0" w:type="dxa"/>
            <w:bottom w:w="0" w:type="dxa"/>
            <w:right w:w="0" w:type="dxa"/>
          </w:tblCellMar>
        </w:tblPrEx>
        <w:trPr>
          <w:trHeight w:val="2899" w:hRule="atLeast"/>
          <w:jc w:val="center"/>
        </w:trPr>
        <w:tc>
          <w:tcPr>
            <w:tcW w:w="5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790FC7">
            <w:pPr>
              <w:widowControl/>
              <w:jc w:val="center"/>
              <w:textAlignment w:val="center"/>
              <w:rPr>
                <w:rFonts w:hint="default" w:ascii="仿宋" w:hAnsi="仿宋" w:eastAsia="仿宋" w:cs="仿宋"/>
                <w:kern w:val="0"/>
                <w:sz w:val="24"/>
                <w:highlight w:val="none"/>
                <w:lang w:val="en-US" w:eastAsia="zh-CN" w:bidi="ar"/>
              </w:rPr>
            </w:pPr>
            <w:r>
              <w:rPr>
                <w:rFonts w:hint="eastAsia" w:ascii="仿宋" w:hAnsi="仿宋" w:eastAsia="仿宋" w:cs="仿宋"/>
                <w:kern w:val="0"/>
                <w:sz w:val="24"/>
                <w:highlight w:val="none"/>
                <w:lang w:val="en-US" w:eastAsia="zh-CN" w:bidi="ar"/>
              </w:rPr>
              <w:t>5</w:t>
            </w:r>
          </w:p>
        </w:tc>
        <w:tc>
          <w:tcPr>
            <w:tcW w:w="17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1BC891">
            <w:pPr>
              <w:widowControl/>
              <w:jc w:val="left"/>
              <w:textAlignment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原材料质量承诺</w:t>
            </w: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7682A1">
            <w:pPr>
              <w:widowControl/>
              <w:jc w:val="center"/>
              <w:textAlignment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w:t>
            </w:r>
          </w:p>
        </w:tc>
        <w:tc>
          <w:tcPr>
            <w:tcW w:w="63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2299E7C">
            <w:pPr>
              <w:rPr>
                <w:rFonts w:hint="eastAsia" w:ascii="仿宋" w:hAnsi="仿宋" w:eastAsia="仿宋" w:cs="仿宋"/>
                <w:color w:val="auto"/>
                <w:sz w:val="24"/>
                <w:highlight w:val="none"/>
              </w:rPr>
            </w:pPr>
            <w:r>
              <w:rPr>
                <w:rFonts w:hint="eastAsia" w:ascii="仿宋" w:hAnsi="仿宋" w:eastAsia="仿宋" w:cs="仿宋"/>
                <w:color w:val="000000"/>
                <w:kern w:val="0"/>
                <w:sz w:val="24"/>
                <w:highlight w:val="none"/>
                <w:lang w:val="en-US" w:eastAsia="zh-CN"/>
              </w:rPr>
              <w:t>（一）评审标准</w:t>
            </w:r>
          </w:p>
          <w:p w14:paraId="5E4DA539">
            <w:pPr>
              <w:widowControl/>
              <w:jc w:val="left"/>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1.蛋糕使用的奶油为稀奶油（动物/乳脂奶油），仅以生牛乳为脂肪来源，不添加任何植物油脂，乳脂肪含量≥35%；</w:t>
            </w:r>
          </w:p>
          <w:p w14:paraId="4F93D855">
            <w:pPr>
              <w:widowControl/>
              <w:jc w:val="left"/>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2.蛋糕使用的奶油不含反式脂肪酸；</w:t>
            </w:r>
          </w:p>
          <w:p w14:paraId="04A84365">
            <w:pPr>
              <w:widowControl/>
              <w:jc w:val="left"/>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3.蛋糕产品不添加香精色素，不使用代可可脂巧克力、预</w:t>
            </w:r>
            <w:r>
              <w:rPr>
                <w:rFonts w:hint="eastAsia" w:ascii="仿宋" w:hAnsi="仿宋" w:eastAsia="仿宋" w:cs="仿宋"/>
                <w:color w:val="auto"/>
                <w:sz w:val="24"/>
                <w:highlight w:val="none"/>
                <w:lang w:val="en-US" w:eastAsia="zh-CN"/>
              </w:rPr>
              <w:t>拌</w:t>
            </w:r>
            <w:r>
              <w:rPr>
                <w:rFonts w:hint="eastAsia" w:ascii="仿宋" w:hAnsi="仿宋" w:eastAsia="仿宋" w:cs="仿宋"/>
                <w:color w:val="auto"/>
                <w:sz w:val="24"/>
                <w:highlight w:val="none"/>
              </w:rPr>
              <w:t>粉等廉价原材料。</w:t>
            </w:r>
          </w:p>
          <w:p w14:paraId="788C58F0">
            <w:pPr>
              <w:widowControl/>
              <w:jc w:val="left"/>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（二）评分依据</w:t>
            </w:r>
          </w:p>
          <w:p w14:paraId="79ABB042">
            <w:pPr>
              <w:widowControl/>
              <w:jc w:val="left"/>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1.投标人承诺以上全部三项的得</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分，缺项不得分。</w:t>
            </w:r>
          </w:p>
          <w:p w14:paraId="60130134">
            <w:pPr>
              <w:widowControl/>
              <w:jc w:val="left"/>
              <w:textAlignment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2.要求提供原材料质量承诺函（格式自定）作为得分依据，未提供承诺或承诺内容不满足要求的不得分。</w:t>
            </w:r>
          </w:p>
        </w:tc>
      </w:tr>
      <w:tr w14:paraId="0DD91398">
        <w:tblPrEx>
          <w:tblCellMar>
            <w:top w:w="0" w:type="dxa"/>
            <w:left w:w="0" w:type="dxa"/>
            <w:bottom w:w="0" w:type="dxa"/>
            <w:right w:w="0" w:type="dxa"/>
          </w:tblCellMar>
        </w:tblPrEx>
        <w:trPr>
          <w:trHeight w:val="320" w:hRule="atLeast"/>
          <w:jc w:val="center"/>
        </w:trPr>
        <w:tc>
          <w:tcPr>
            <w:tcW w:w="5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5DBAB6">
            <w:pPr>
              <w:widowControl/>
              <w:jc w:val="center"/>
              <w:textAlignment w:val="center"/>
              <w:rPr>
                <w:rFonts w:hint="eastAsia" w:ascii="仿宋" w:hAnsi="仿宋" w:eastAsia="仿宋" w:cs="仿宋"/>
                <w:sz w:val="24"/>
                <w:highlight w:val="none"/>
                <w:lang w:eastAsia="zh-CN"/>
              </w:rPr>
            </w:pPr>
            <w:r>
              <w:rPr>
                <w:rFonts w:hint="eastAsia" w:ascii="仿宋" w:hAnsi="仿宋" w:eastAsia="仿宋" w:cs="仿宋"/>
                <w:kern w:val="0"/>
                <w:sz w:val="24"/>
                <w:highlight w:val="none"/>
                <w:lang w:bidi="ar"/>
              </w:rPr>
              <w:t>三</w:t>
            </w:r>
            <w:r>
              <w:rPr>
                <w:rFonts w:hint="eastAsia" w:ascii="仿宋" w:hAnsi="仿宋" w:eastAsia="仿宋" w:cs="仿宋"/>
                <w:kern w:val="0"/>
                <w:sz w:val="24"/>
                <w:highlight w:val="none"/>
                <w:lang w:eastAsia="zh-CN" w:bidi="ar"/>
              </w:rPr>
              <w:t>、</w:t>
            </w:r>
          </w:p>
        </w:tc>
        <w:tc>
          <w:tcPr>
            <w:tcW w:w="885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7AD7DE">
            <w:pPr>
              <w:widowControl/>
              <w:jc w:val="center"/>
              <w:textAlignment w:val="center"/>
              <w:rPr>
                <w:rFonts w:hint="eastAsia" w:ascii="仿宋" w:hAnsi="仿宋" w:eastAsia="仿宋" w:cs="仿宋"/>
                <w:b/>
                <w:sz w:val="24"/>
                <w:highlight w:val="none"/>
              </w:rPr>
            </w:pPr>
            <w:r>
              <w:rPr>
                <w:rFonts w:hint="eastAsia" w:ascii="仿宋" w:hAnsi="仿宋" w:eastAsia="仿宋" w:cs="仿宋"/>
                <w:b/>
                <w:kern w:val="0"/>
                <w:sz w:val="24"/>
                <w:highlight w:val="none"/>
                <w:lang w:bidi="ar"/>
              </w:rPr>
              <w:t>价格部分（30分）</w:t>
            </w:r>
          </w:p>
        </w:tc>
      </w:tr>
      <w:tr w14:paraId="59AABF72">
        <w:tblPrEx>
          <w:tblCellMar>
            <w:top w:w="0" w:type="dxa"/>
            <w:left w:w="0" w:type="dxa"/>
            <w:bottom w:w="0" w:type="dxa"/>
            <w:right w:w="0" w:type="dxa"/>
          </w:tblCellMar>
        </w:tblPrEx>
        <w:trPr>
          <w:trHeight w:val="1351" w:hRule="atLeast"/>
          <w:jc w:val="center"/>
        </w:trPr>
        <w:tc>
          <w:tcPr>
            <w:tcW w:w="5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3BBCC2">
            <w:pPr>
              <w:widowControl/>
              <w:jc w:val="center"/>
              <w:textAlignment w:val="center"/>
              <w:rPr>
                <w:rFonts w:hint="eastAsia" w:ascii="仿宋" w:hAnsi="仿宋" w:eastAsia="仿宋" w:cs="仿宋"/>
                <w:sz w:val="24"/>
                <w:highlight w:val="none"/>
                <w:lang w:val="en-US" w:eastAsia="zh-CN"/>
              </w:rPr>
            </w:pPr>
            <w:r>
              <w:rPr>
                <w:rFonts w:hint="eastAsia" w:ascii="仿宋" w:hAnsi="仿宋" w:eastAsia="仿宋" w:cs="仿宋"/>
                <w:kern w:val="0"/>
                <w:sz w:val="24"/>
                <w:highlight w:val="none"/>
                <w:lang w:val="en-US" w:eastAsia="zh-CN" w:bidi="ar"/>
              </w:rPr>
              <w:t>1</w:t>
            </w:r>
          </w:p>
        </w:tc>
        <w:tc>
          <w:tcPr>
            <w:tcW w:w="17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6C2309">
            <w:pPr>
              <w:widowControl/>
              <w:jc w:val="center"/>
              <w:textAlignment w:val="center"/>
              <w:rPr>
                <w:rFonts w:hint="eastAsia" w:ascii="仿宋" w:hAnsi="仿宋" w:eastAsia="仿宋" w:cs="仿宋"/>
                <w:sz w:val="24"/>
                <w:highlight w:val="none"/>
              </w:rPr>
            </w:pPr>
            <w:r>
              <w:rPr>
                <w:rFonts w:hint="eastAsia" w:ascii="仿宋" w:hAnsi="仿宋" w:eastAsia="仿宋" w:cs="仿宋"/>
                <w:color w:val="000000"/>
                <w:kern w:val="0"/>
                <w:sz w:val="24"/>
                <w:highlight w:val="none"/>
              </w:rPr>
              <w:t>投标报价</w:t>
            </w: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54637E">
            <w:pPr>
              <w:widowControl/>
              <w:jc w:val="center"/>
              <w:textAlignment w:val="center"/>
              <w:rPr>
                <w:rFonts w:hint="eastAsia" w:ascii="仿宋" w:hAnsi="仿宋" w:eastAsia="仿宋" w:cs="仿宋"/>
                <w:sz w:val="24"/>
                <w:highlight w:val="none"/>
              </w:rPr>
            </w:pPr>
            <w:r>
              <w:rPr>
                <w:rFonts w:hint="eastAsia" w:ascii="仿宋" w:hAnsi="仿宋" w:eastAsia="仿宋" w:cs="仿宋"/>
                <w:color w:val="000000"/>
                <w:kern w:val="0"/>
                <w:sz w:val="24"/>
                <w:highlight w:val="none"/>
              </w:rPr>
              <w:t>30</w:t>
            </w:r>
          </w:p>
        </w:tc>
        <w:tc>
          <w:tcPr>
            <w:tcW w:w="63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43AA5B">
            <w:pPr>
              <w:widowControl/>
              <w:jc w:val="left"/>
              <w:textAlignment w:val="center"/>
              <w:rPr>
                <w:rFonts w:hint="eastAsia" w:ascii="仿宋" w:hAnsi="仿宋" w:eastAsia="仿宋" w:cs="仿宋"/>
                <w:sz w:val="24"/>
                <w:highlight w:val="none"/>
              </w:rPr>
            </w:pPr>
            <w:r>
              <w:rPr>
                <w:rFonts w:hint="eastAsia" w:ascii="仿宋" w:hAnsi="仿宋" w:eastAsia="仿宋" w:cs="仿宋"/>
                <w:sz w:val="24"/>
                <w:highlight w:val="none"/>
              </w:rPr>
              <w:t>价格分应当采用优惠让利优先法计算，即满足招标文件要求且投标蛋糕券内可使用金额最高的为评标基准价，其价格分为满分。其他投标人的价格分统一按照下列公式计算：</w:t>
            </w:r>
          </w:p>
          <w:p w14:paraId="6D2ADC3F">
            <w:pPr>
              <w:widowControl/>
              <w:jc w:val="left"/>
              <w:textAlignment w:val="center"/>
              <w:rPr>
                <w:rFonts w:hint="eastAsia" w:eastAsia="仿宋"/>
                <w:highlight w:val="none"/>
                <w:lang w:eastAsia="zh-CN"/>
              </w:rPr>
            </w:pPr>
            <w:r>
              <w:rPr>
                <w:rFonts w:hint="eastAsia" w:ascii="仿宋" w:hAnsi="仿宋" w:eastAsia="仿宋" w:cs="仿宋"/>
                <w:sz w:val="24"/>
                <w:highlight w:val="none"/>
              </w:rPr>
              <w:t>投标报价得分=（投标报价上浮率/最高上浮率）</w:t>
            </w:r>
            <w:r>
              <w:rPr>
                <w:rFonts w:hint="default" w:ascii="Arial" w:hAnsi="Arial" w:eastAsia="仿宋" w:cs="Arial"/>
                <w:sz w:val="24"/>
                <w:highlight w:val="none"/>
              </w:rPr>
              <w:t>×</w:t>
            </w:r>
            <w:r>
              <w:rPr>
                <w:rFonts w:hint="eastAsia" w:ascii="仿宋" w:hAnsi="仿宋" w:eastAsia="仿宋" w:cs="仿宋"/>
                <w:sz w:val="24"/>
                <w:highlight w:val="none"/>
              </w:rPr>
              <w:t>价格分值</w:t>
            </w:r>
            <w:r>
              <w:rPr>
                <w:rFonts w:hint="eastAsia" w:ascii="仿宋" w:hAnsi="仿宋" w:eastAsia="仿宋" w:cs="仿宋"/>
                <w:sz w:val="24"/>
                <w:highlight w:val="none"/>
                <w:lang w:eastAsia="zh-CN"/>
              </w:rPr>
              <w:t>。</w:t>
            </w:r>
          </w:p>
        </w:tc>
      </w:tr>
      <w:tr w14:paraId="44C5DBEA">
        <w:tblPrEx>
          <w:tblCellMar>
            <w:top w:w="0" w:type="dxa"/>
            <w:left w:w="0" w:type="dxa"/>
            <w:bottom w:w="0" w:type="dxa"/>
            <w:right w:w="0" w:type="dxa"/>
          </w:tblCellMar>
        </w:tblPrEx>
        <w:trPr>
          <w:trHeight w:val="895" w:hRule="atLeast"/>
          <w:jc w:val="center"/>
        </w:trPr>
        <w:tc>
          <w:tcPr>
            <w:tcW w:w="9421"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2985ED">
            <w:pPr>
              <w:widowControl/>
              <w:jc w:val="left"/>
              <w:textAlignment w:val="center"/>
              <w:rPr>
                <w:rFonts w:hint="eastAsia" w:ascii="仿宋" w:hAnsi="仿宋" w:eastAsia="仿宋" w:cs="仿宋"/>
                <w:b/>
                <w:color w:val="000000"/>
                <w:sz w:val="24"/>
                <w:highlight w:val="none"/>
              </w:rPr>
            </w:pPr>
            <w:r>
              <w:rPr>
                <w:rFonts w:hint="eastAsia" w:ascii="仿宋" w:hAnsi="仿宋" w:eastAsia="仿宋" w:cs="仿宋"/>
                <w:b/>
                <w:color w:val="000000"/>
                <w:kern w:val="0"/>
                <w:sz w:val="24"/>
                <w:highlight w:val="none"/>
              </w:rPr>
              <w:t>备注：招标文件要求提交的与评价指标体系相关的各类有效资料，投标人如未按要求提交的，该项评分为零分。</w:t>
            </w:r>
          </w:p>
        </w:tc>
      </w:tr>
    </w:tbl>
    <w:p w14:paraId="34BBD36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备注：1.价格、技术、商务部分累加分为100分。</w:t>
      </w:r>
    </w:p>
    <w:p w14:paraId="059C402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color w:val="auto"/>
          <w:kern w:val="0"/>
          <w:sz w:val="28"/>
          <w:szCs w:val="28"/>
          <w:highlight w:val="none"/>
          <w:lang w:val="en-US" w:eastAsia="zh-CN"/>
        </w:rPr>
      </w:pPr>
      <w:r>
        <w:rPr>
          <w:rFonts w:hint="eastAsia" w:ascii="仿宋_GB2312" w:hAnsi="仿宋_GB2312" w:eastAsia="仿宋_GB2312" w:cs="仿宋_GB2312"/>
          <w:bCs/>
          <w:color w:val="auto"/>
          <w:kern w:val="0"/>
          <w:sz w:val="28"/>
          <w:szCs w:val="28"/>
          <w:highlight w:val="none"/>
        </w:rPr>
        <w:t>2.各投标人得分精确到小数点后两位。</w:t>
      </w:r>
    </w:p>
    <w:p w14:paraId="7BC45A15">
      <w:pPr>
        <w:pStyle w:val="25"/>
        <w:keepLines w:val="0"/>
        <w:pageBreakBefore w:val="0"/>
        <w:kinsoku/>
        <w:wordWrap/>
        <w:overflowPunct/>
        <w:topLinePunct w:val="0"/>
        <w:bidi w:val="0"/>
        <w:spacing w:line="560" w:lineRule="exact"/>
        <w:ind w:firstLine="560" w:firstLineChars="200"/>
        <w:rPr>
          <w:rFonts w:hint="eastAsia" w:ascii="黑体" w:hAnsi="黑体" w:eastAsia="黑体" w:cs="黑体"/>
          <w:b w:val="0"/>
          <w:bCs w:val="0"/>
          <w:color w:val="auto"/>
          <w:kern w:val="0"/>
          <w:sz w:val="28"/>
          <w:szCs w:val="28"/>
          <w:highlight w:val="none"/>
          <w:lang w:val="en-US" w:eastAsia="zh-CN" w:bidi="ar-SA"/>
        </w:rPr>
      </w:pPr>
      <w:r>
        <w:rPr>
          <w:rFonts w:hint="eastAsia" w:ascii="黑体" w:hAnsi="黑体" w:eastAsia="黑体" w:cs="黑体"/>
          <w:b w:val="0"/>
          <w:bCs w:val="0"/>
          <w:color w:val="auto"/>
          <w:kern w:val="0"/>
          <w:sz w:val="28"/>
          <w:szCs w:val="28"/>
          <w:highlight w:val="none"/>
          <w:lang w:val="en-US" w:eastAsia="zh-CN" w:bidi="ar-SA"/>
        </w:rPr>
        <w:t>三、政策导向</w:t>
      </w:r>
    </w:p>
    <w:p w14:paraId="32EB77D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（1）投标人提供的服务</w:t>
      </w:r>
      <w:r>
        <w:rPr>
          <w:rFonts w:hint="eastAsia" w:ascii="仿宋_GB2312" w:hAnsi="仿宋_GB2312" w:eastAsia="仿宋_GB2312" w:cs="仿宋_GB2312"/>
          <w:bCs/>
          <w:color w:val="auto"/>
          <w:kern w:val="0"/>
          <w:sz w:val="28"/>
          <w:szCs w:val="28"/>
          <w:highlight w:val="none"/>
          <w:lang w:eastAsia="zh-CN"/>
        </w:rPr>
        <w:t>全部</w:t>
      </w:r>
      <w:r>
        <w:rPr>
          <w:rFonts w:hint="eastAsia" w:ascii="仿宋_GB2312" w:hAnsi="仿宋_GB2312" w:eastAsia="仿宋_GB2312" w:cs="仿宋_GB2312"/>
          <w:bCs/>
          <w:color w:val="auto"/>
          <w:kern w:val="0"/>
          <w:sz w:val="28"/>
          <w:szCs w:val="28"/>
          <w:highlight w:val="none"/>
        </w:rPr>
        <w:t>由优惠主体承接，则对其投标总价给予</w:t>
      </w:r>
      <w:r>
        <w:rPr>
          <w:rFonts w:hint="eastAsia" w:ascii="仿宋_GB2312" w:hAnsi="仿宋_GB2312" w:eastAsia="仿宋_GB2312" w:cs="仿宋_GB2312"/>
          <w:b/>
          <w:bCs w:val="0"/>
          <w:color w:val="auto"/>
          <w:kern w:val="0"/>
          <w:sz w:val="28"/>
          <w:szCs w:val="28"/>
          <w:highlight w:val="none"/>
          <w:u w:val="single"/>
        </w:rPr>
        <w:t>10%</w:t>
      </w:r>
      <w:r>
        <w:rPr>
          <w:rFonts w:hint="eastAsia" w:ascii="仿宋_GB2312" w:hAnsi="仿宋_GB2312" w:eastAsia="仿宋_GB2312" w:cs="仿宋_GB2312"/>
          <w:bCs/>
          <w:color w:val="auto"/>
          <w:kern w:val="0"/>
          <w:sz w:val="28"/>
          <w:szCs w:val="28"/>
          <w:highlight w:val="none"/>
        </w:rPr>
        <w:t>的扣除，用扣除后的价格参与评审。满足多项优惠政策的企业，不重复享受多项价格扣除政策。</w:t>
      </w:r>
    </w:p>
    <w:p w14:paraId="63A934E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hint="eastAsia" w:ascii="仿宋_GB2312" w:hAnsi="仿宋_GB2312" w:eastAsia="仿宋_GB2312" w:cs="仿宋_GB2312"/>
          <w:bCs/>
          <w:color w:val="auto"/>
          <w:kern w:val="0"/>
          <w:sz w:val="28"/>
          <w:szCs w:val="28"/>
          <w:highlight w:val="none"/>
          <w:lang w:eastAsia="zh-CN"/>
        </w:rPr>
        <w:t>（</w:t>
      </w:r>
      <w:r>
        <w:rPr>
          <w:rFonts w:hint="eastAsia" w:ascii="仿宋_GB2312" w:hAnsi="仿宋_GB2312" w:eastAsia="仿宋_GB2312" w:cs="仿宋_GB2312"/>
          <w:bCs/>
          <w:color w:val="auto"/>
          <w:kern w:val="0"/>
          <w:sz w:val="28"/>
          <w:szCs w:val="28"/>
          <w:highlight w:val="none"/>
        </w:rPr>
        <w:t>b</w:t>
      </w:r>
      <w:r>
        <w:rPr>
          <w:rFonts w:hint="eastAsia" w:ascii="仿宋_GB2312" w:hAnsi="仿宋_GB2312" w:eastAsia="仿宋_GB2312" w:cs="仿宋_GB2312"/>
          <w:bCs/>
          <w:color w:val="auto"/>
          <w:kern w:val="0"/>
          <w:sz w:val="28"/>
          <w:szCs w:val="28"/>
          <w:highlight w:val="none"/>
          <w:lang w:eastAsia="zh-CN"/>
        </w:rPr>
        <w:t>）</w:t>
      </w:r>
      <w:r>
        <w:rPr>
          <w:rFonts w:hint="eastAsia" w:ascii="仿宋_GB2312" w:hAnsi="仿宋_GB2312" w:eastAsia="仿宋_GB2312" w:cs="仿宋_GB2312"/>
          <w:bCs/>
          <w:color w:val="auto"/>
          <w:kern w:val="0"/>
          <w:sz w:val="28"/>
          <w:szCs w:val="28"/>
          <w:highlight w:val="none"/>
        </w:rPr>
        <w:t>优惠主体承接是指提供服务的人员为中小企业依照《中华人民共和国劳动合同法》订立劳动合同的从业人员。</w:t>
      </w:r>
    </w:p>
    <w:p w14:paraId="0D34233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2）根据《工业和信息化部、国家统计局、国家发展和改革委员会、财政部关于印发中小企业划型标准规定的通知》（工信部联企业〔2011〕300号），本项目采购标的（项目需求）对应的中小企业划分标准所属行业为</w:t>
      </w:r>
      <w:r>
        <w:rPr>
          <w:rFonts w:hint="eastAsia" w:ascii="仿宋_GB2312" w:hAnsi="仿宋_GB2312" w:eastAsia="仿宋_GB2312" w:cs="仿宋_GB2312"/>
          <w:b/>
          <w:bCs w:val="0"/>
          <w:color w:val="auto"/>
          <w:kern w:val="0"/>
          <w:sz w:val="28"/>
          <w:szCs w:val="28"/>
          <w:highlight w:val="none"/>
          <w:u w:val="single"/>
          <w:lang w:val="en-US" w:eastAsia="zh-CN"/>
        </w:rPr>
        <w:t>零售业</w:t>
      </w:r>
      <w:r>
        <w:rPr>
          <w:rFonts w:hint="eastAsia" w:ascii="仿宋_GB2312" w:hAnsi="仿宋_GB2312" w:eastAsia="仿宋_GB2312" w:cs="仿宋_GB2312"/>
          <w:bCs/>
          <w:color w:val="auto"/>
          <w:kern w:val="0"/>
          <w:sz w:val="28"/>
          <w:szCs w:val="28"/>
          <w:highlight w:val="none"/>
        </w:rPr>
        <w:t>。</w:t>
      </w:r>
    </w:p>
    <w:p w14:paraId="6F3A307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（3）小型企业、微型企业、残疾人福利性单位作为优惠主体的认定资料为《中小企业声明函</w:t>
      </w:r>
      <w:r>
        <w:rPr>
          <w:rFonts w:hint="eastAsia" w:ascii="仿宋_GB2312" w:hAnsi="仿宋_GB2312" w:eastAsia="仿宋_GB2312" w:cs="仿宋_GB2312"/>
          <w:bCs/>
          <w:color w:val="auto"/>
          <w:kern w:val="0"/>
          <w:sz w:val="28"/>
          <w:szCs w:val="28"/>
          <w:highlight w:val="none"/>
          <w:lang w:eastAsia="zh-CN"/>
        </w:rPr>
        <w:t>》《</w:t>
      </w:r>
      <w:r>
        <w:rPr>
          <w:rFonts w:hint="eastAsia" w:ascii="仿宋_GB2312" w:hAnsi="仿宋_GB2312" w:eastAsia="仿宋_GB2312" w:cs="仿宋_GB2312"/>
          <w:bCs/>
          <w:color w:val="auto"/>
          <w:kern w:val="0"/>
          <w:sz w:val="28"/>
          <w:szCs w:val="28"/>
          <w:highlight w:val="none"/>
        </w:rPr>
        <w:t>残疾人福利性单位声明函》；监狱企业作为优惠主体的认定资料为省级以上监狱管理局、戒毒管理局出具的监狱企业证明文件。监狱企业或者代理提供监狱企业货物的供应商如须享受优惠政策，除上述资料外，还须提供省级以上监狱管理局、戒毒管理局出具的监狱企业证明文件。</w:t>
      </w:r>
    </w:p>
    <w:p w14:paraId="5E4D96FA">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（4）享受价格扣除获得政府采购合同的，小微企业不得将合同分包给大中型企业。</w:t>
      </w:r>
    </w:p>
    <w:p w14:paraId="0E001515">
      <w:pPr>
        <w:pStyle w:val="15"/>
        <w:rPr>
          <w:rFonts w:hint="eastAsia" w:ascii="仿宋_GB2312" w:hAnsi="仿宋_GB2312" w:eastAsia="仿宋_GB2312" w:cs="仿宋_GB2312"/>
          <w:bCs/>
          <w:color w:val="auto"/>
          <w:kern w:val="0"/>
          <w:sz w:val="28"/>
          <w:szCs w:val="28"/>
          <w:highlight w:val="none"/>
        </w:rPr>
      </w:pPr>
    </w:p>
    <w:p w14:paraId="10492533">
      <w:pPr>
        <w:rPr>
          <w:rFonts w:hint="eastAsia" w:ascii="仿宋_GB2312" w:hAnsi="仿宋_GB2312" w:eastAsia="仿宋_GB2312" w:cs="仿宋_GB2312"/>
          <w:bCs/>
          <w:color w:val="auto"/>
          <w:kern w:val="0"/>
          <w:sz w:val="28"/>
          <w:szCs w:val="28"/>
          <w:highlight w:val="none"/>
        </w:rPr>
      </w:pPr>
    </w:p>
    <w:p w14:paraId="06421B22">
      <w:pPr>
        <w:pStyle w:val="23"/>
        <w:rPr>
          <w:rFonts w:hint="eastAsia" w:ascii="仿宋_GB2312" w:hAnsi="仿宋_GB2312" w:eastAsia="仿宋_GB2312" w:cs="仿宋_GB2312"/>
          <w:bCs/>
          <w:color w:val="auto"/>
          <w:kern w:val="0"/>
          <w:sz w:val="28"/>
          <w:szCs w:val="28"/>
          <w:highlight w:val="none"/>
        </w:rPr>
      </w:pPr>
    </w:p>
    <w:p w14:paraId="0FFD3F86">
      <w:pPr>
        <w:pStyle w:val="23"/>
        <w:rPr>
          <w:rFonts w:hint="eastAsia" w:ascii="仿宋_GB2312" w:hAnsi="仿宋_GB2312" w:eastAsia="仿宋_GB2312" w:cs="仿宋_GB2312"/>
          <w:bCs/>
          <w:color w:val="auto"/>
          <w:kern w:val="0"/>
          <w:sz w:val="28"/>
          <w:szCs w:val="28"/>
          <w:highlight w:val="none"/>
        </w:rPr>
      </w:pPr>
    </w:p>
    <w:p w14:paraId="08EA0E31">
      <w:pPr>
        <w:pStyle w:val="23"/>
        <w:rPr>
          <w:rFonts w:hint="eastAsia" w:ascii="仿宋_GB2312" w:hAnsi="仿宋_GB2312" w:eastAsia="仿宋_GB2312" w:cs="仿宋_GB2312"/>
          <w:bCs/>
          <w:color w:val="auto"/>
          <w:kern w:val="0"/>
          <w:sz w:val="28"/>
          <w:szCs w:val="28"/>
          <w:highlight w:val="none"/>
        </w:rPr>
      </w:pPr>
    </w:p>
    <w:p w14:paraId="0338E984">
      <w:pPr>
        <w:pStyle w:val="23"/>
        <w:rPr>
          <w:rFonts w:hint="eastAsia" w:ascii="仿宋_GB2312" w:hAnsi="仿宋_GB2312" w:eastAsia="仿宋_GB2312" w:cs="仿宋_GB2312"/>
          <w:bCs/>
          <w:color w:val="auto"/>
          <w:kern w:val="0"/>
          <w:sz w:val="28"/>
          <w:szCs w:val="28"/>
          <w:highlight w:val="none"/>
        </w:rPr>
      </w:pPr>
    </w:p>
    <w:p w14:paraId="1511DFC3">
      <w:pPr>
        <w:pStyle w:val="23"/>
        <w:rPr>
          <w:rFonts w:hint="eastAsia" w:ascii="仿宋_GB2312" w:hAnsi="仿宋_GB2312" w:eastAsia="仿宋_GB2312" w:cs="仿宋_GB2312"/>
          <w:bCs/>
          <w:color w:val="auto"/>
          <w:kern w:val="0"/>
          <w:sz w:val="28"/>
          <w:szCs w:val="28"/>
          <w:highlight w:val="none"/>
        </w:rPr>
      </w:pPr>
    </w:p>
    <w:p w14:paraId="7D5331AC">
      <w:pPr>
        <w:pStyle w:val="23"/>
        <w:rPr>
          <w:rFonts w:hint="eastAsia" w:ascii="仿宋_GB2312" w:hAnsi="仿宋_GB2312" w:eastAsia="仿宋_GB2312" w:cs="仿宋_GB2312"/>
          <w:bCs/>
          <w:color w:val="auto"/>
          <w:kern w:val="0"/>
          <w:sz w:val="28"/>
          <w:szCs w:val="28"/>
          <w:highlight w:val="none"/>
        </w:rPr>
      </w:pPr>
    </w:p>
    <w:p w14:paraId="4C366400">
      <w:pPr>
        <w:pStyle w:val="23"/>
        <w:rPr>
          <w:rFonts w:hint="eastAsia" w:ascii="仿宋_GB2312" w:hAnsi="仿宋_GB2312" w:eastAsia="仿宋_GB2312" w:cs="仿宋_GB2312"/>
          <w:bCs/>
          <w:color w:val="auto"/>
          <w:kern w:val="0"/>
          <w:sz w:val="28"/>
          <w:szCs w:val="28"/>
          <w:highlight w:val="none"/>
        </w:rPr>
      </w:pPr>
    </w:p>
    <w:p w14:paraId="2FE65928">
      <w:pPr>
        <w:pStyle w:val="23"/>
        <w:rPr>
          <w:rFonts w:hint="eastAsia" w:ascii="仿宋_GB2312" w:hAnsi="仿宋_GB2312" w:eastAsia="仿宋_GB2312" w:cs="仿宋_GB2312"/>
          <w:bCs/>
          <w:color w:val="auto"/>
          <w:kern w:val="0"/>
          <w:sz w:val="28"/>
          <w:szCs w:val="28"/>
          <w:highlight w:val="none"/>
        </w:rPr>
      </w:pPr>
    </w:p>
    <w:p w14:paraId="20231988">
      <w:pPr>
        <w:pStyle w:val="23"/>
        <w:rPr>
          <w:rFonts w:hint="eastAsia" w:ascii="仿宋_GB2312" w:hAnsi="仿宋_GB2312" w:eastAsia="仿宋_GB2312" w:cs="仿宋_GB2312"/>
          <w:bCs/>
          <w:color w:val="auto"/>
          <w:kern w:val="0"/>
          <w:sz w:val="28"/>
          <w:szCs w:val="28"/>
          <w:highlight w:val="none"/>
        </w:rPr>
      </w:pPr>
    </w:p>
    <w:p w14:paraId="77BE8DE4">
      <w:pPr>
        <w:pStyle w:val="23"/>
        <w:rPr>
          <w:rFonts w:hint="eastAsia" w:ascii="仿宋_GB2312" w:hAnsi="仿宋_GB2312" w:eastAsia="仿宋_GB2312" w:cs="仿宋_GB2312"/>
          <w:bCs/>
          <w:color w:val="auto"/>
          <w:kern w:val="0"/>
          <w:sz w:val="28"/>
          <w:szCs w:val="28"/>
          <w:highlight w:val="none"/>
        </w:rPr>
      </w:pPr>
    </w:p>
    <w:p w14:paraId="4794D060">
      <w:pPr>
        <w:pStyle w:val="23"/>
        <w:rPr>
          <w:rFonts w:hint="eastAsia" w:ascii="仿宋_GB2312" w:hAnsi="仿宋_GB2312" w:eastAsia="仿宋_GB2312" w:cs="仿宋_GB2312"/>
          <w:bCs/>
          <w:color w:val="auto"/>
          <w:kern w:val="0"/>
          <w:sz w:val="28"/>
          <w:szCs w:val="28"/>
          <w:highlight w:val="none"/>
        </w:rPr>
      </w:pPr>
    </w:p>
    <w:p w14:paraId="537AE732">
      <w:pPr>
        <w:pStyle w:val="23"/>
        <w:rPr>
          <w:rFonts w:hint="eastAsia" w:ascii="仿宋_GB2312" w:hAnsi="仿宋_GB2312" w:eastAsia="仿宋_GB2312" w:cs="仿宋_GB2312"/>
          <w:bCs/>
          <w:color w:val="auto"/>
          <w:kern w:val="0"/>
          <w:sz w:val="28"/>
          <w:szCs w:val="28"/>
          <w:highlight w:val="none"/>
        </w:rPr>
      </w:pPr>
    </w:p>
    <w:p w14:paraId="24AA44C1">
      <w:pPr>
        <w:pStyle w:val="23"/>
        <w:rPr>
          <w:rFonts w:hint="eastAsia" w:ascii="仿宋_GB2312" w:hAnsi="仿宋_GB2312" w:eastAsia="仿宋_GB2312" w:cs="仿宋_GB2312"/>
          <w:bCs/>
          <w:color w:val="auto"/>
          <w:kern w:val="0"/>
          <w:sz w:val="28"/>
          <w:szCs w:val="28"/>
          <w:highlight w:val="none"/>
        </w:rPr>
      </w:pPr>
    </w:p>
    <w:p w14:paraId="1A241377">
      <w:pPr>
        <w:pStyle w:val="15"/>
        <w:rPr>
          <w:rFonts w:hint="eastAsia" w:ascii="仿宋_GB2312" w:hAnsi="仿宋_GB2312" w:eastAsia="仿宋_GB2312" w:cs="仿宋_GB2312"/>
          <w:bCs/>
          <w:color w:val="auto"/>
          <w:kern w:val="0"/>
          <w:sz w:val="28"/>
          <w:szCs w:val="28"/>
          <w:highlight w:val="none"/>
        </w:rPr>
      </w:pPr>
    </w:p>
    <w:p w14:paraId="7E923D1D">
      <w:pPr>
        <w:keepNext w:val="0"/>
        <w:keepLines w:val="0"/>
        <w:pageBreakBefore w:val="0"/>
        <w:widowControl/>
        <w:numPr>
          <w:ilvl w:val="-1"/>
          <w:numId w:val="0"/>
        </w:numPr>
        <w:kinsoku/>
        <w:wordWrap/>
        <w:overflowPunct/>
        <w:topLinePunct w:val="0"/>
        <w:autoSpaceDE/>
        <w:autoSpaceDN/>
        <w:bidi w:val="0"/>
        <w:adjustRightInd/>
        <w:spacing w:line="240" w:lineRule="auto"/>
        <w:jc w:val="center"/>
        <w:textAlignment w:val="auto"/>
        <w:rPr>
          <w:rFonts w:ascii="仿宋_GB2312" w:hAnsi="仿宋_GB2312" w:eastAsia="仿宋_GB2312" w:cs="仿宋_GB2312"/>
          <w:b/>
          <w:bCs/>
          <w:color w:val="auto"/>
          <w:sz w:val="36"/>
          <w:szCs w:val="36"/>
          <w:highlight w:val="none"/>
        </w:rPr>
      </w:pPr>
      <w:r>
        <w:rPr>
          <w:rFonts w:ascii="仿宋_GB2312" w:hAnsi="仿宋_GB2312" w:eastAsia="仿宋_GB2312" w:cs="仿宋_GB2312"/>
          <w:b/>
          <w:bCs/>
          <w:color w:val="auto"/>
          <w:kern w:val="2"/>
          <w:sz w:val="36"/>
          <w:szCs w:val="36"/>
          <w:highlight w:val="none"/>
          <w:lang w:val="en-US" w:eastAsia="zh-CN" w:bidi="ar-SA"/>
        </w:rPr>
        <w:t>第</w:t>
      </w:r>
      <w:r>
        <w:rPr>
          <w:rFonts w:hint="eastAsia" w:ascii="仿宋_GB2312" w:hAnsi="仿宋_GB2312" w:eastAsia="仿宋_GB2312" w:cs="仿宋_GB2312"/>
          <w:b/>
          <w:bCs/>
          <w:color w:val="auto"/>
          <w:kern w:val="2"/>
          <w:sz w:val="36"/>
          <w:szCs w:val="36"/>
          <w:highlight w:val="none"/>
          <w:lang w:val="en-US" w:eastAsia="zh-CN" w:bidi="ar-SA"/>
        </w:rPr>
        <w:t>四</w:t>
      </w:r>
      <w:r>
        <w:rPr>
          <w:rFonts w:ascii="仿宋_GB2312" w:hAnsi="仿宋_GB2312" w:eastAsia="仿宋_GB2312" w:cs="仿宋_GB2312"/>
          <w:b/>
          <w:bCs/>
          <w:color w:val="auto"/>
          <w:kern w:val="2"/>
          <w:sz w:val="36"/>
          <w:szCs w:val="36"/>
          <w:highlight w:val="none"/>
          <w:lang w:val="en-US" w:eastAsia="zh-CN" w:bidi="ar-SA"/>
        </w:rPr>
        <w:t>章</w:t>
      </w:r>
      <w:r>
        <w:rPr>
          <w:rFonts w:hint="eastAsia" w:ascii="仿宋_GB2312" w:hAnsi="仿宋_GB2312" w:eastAsia="仿宋_GB2312" w:cs="仿宋_GB2312"/>
          <w:b/>
          <w:bCs/>
          <w:color w:val="auto"/>
          <w:kern w:val="2"/>
          <w:sz w:val="36"/>
          <w:szCs w:val="36"/>
          <w:highlight w:val="none"/>
          <w:lang w:val="en-US" w:eastAsia="zh-CN" w:bidi="ar-SA"/>
        </w:rPr>
        <w:t xml:space="preserve"> </w:t>
      </w:r>
      <w:r>
        <w:rPr>
          <w:rFonts w:hint="eastAsia" w:ascii="仿宋_GB2312" w:hAnsi="仿宋_GB2312" w:eastAsia="仿宋_GB2312" w:cs="仿宋_GB2312"/>
          <w:b/>
          <w:bCs/>
          <w:color w:val="auto"/>
          <w:sz w:val="36"/>
          <w:szCs w:val="36"/>
          <w:highlight w:val="none"/>
        </w:rPr>
        <w:t>投标须知</w:t>
      </w:r>
    </w:p>
    <w:p w14:paraId="44FAB6F5">
      <w:pPr>
        <w:keepNext w:val="0"/>
        <w:keepLines w:val="0"/>
        <w:pageBreakBefore w:val="0"/>
        <w:widowControl w:val="0"/>
        <w:kinsoku/>
        <w:wordWrap/>
        <w:overflowPunct/>
        <w:topLinePunct w:val="0"/>
        <w:autoSpaceDE/>
        <w:autoSpaceDN/>
        <w:bidi w:val="0"/>
        <w:adjustRightInd/>
        <w:snapToGrid w:val="0"/>
        <w:spacing w:line="540" w:lineRule="exact"/>
        <w:ind w:firstLine="562" w:firstLineChars="200"/>
        <w:textAlignment w:val="auto"/>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一、为充分体现公平、公正、公开原则，择优选择供应商，参加投标的单位必须满足本项目投标供应商的资质要求。</w:t>
      </w:r>
    </w:p>
    <w:p w14:paraId="184D9D3A">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本项目的潜在供应商应在递交投标文件截止日之前到医院招采办报名投标。</w:t>
      </w:r>
    </w:p>
    <w:p w14:paraId="1252DE76">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仿宋" w:hAnsi="仿宋" w:eastAsia="仿宋" w:cs="仿宋"/>
          <w:b/>
          <w:bCs/>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符合条件的供应商严格按照采购单位提供的招标文件，认真填写投标资料，并在规定时间</w:t>
      </w:r>
      <w:r>
        <w:rPr>
          <w:rFonts w:hint="eastAsia" w:ascii="仿宋" w:hAnsi="仿宋" w:eastAsia="仿宋" w:cs="仿宋"/>
          <w:color w:val="auto"/>
          <w:sz w:val="28"/>
          <w:szCs w:val="28"/>
          <w:highlight w:val="none"/>
          <w:lang w:val="en-US" w:eastAsia="zh-CN"/>
        </w:rPr>
        <w:t>内</w:t>
      </w:r>
      <w:r>
        <w:rPr>
          <w:rFonts w:hint="eastAsia" w:ascii="仿宋" w:hAnsi="仿宋" w:eastAsia="仿宋" w:cs="仿宋"/>
          <w:color w:val="auto"/>
          <w:sz w:val="28"/>
          <w:szCs w:val="28"/>
          <w:highlight w:val="none"/>
        </w:rPr>
        <w:t>将</w:t>
      </w:r>
      <w:r>
        <w:rPr>
          <w:rFonts w:hint="eastAsia" w:ascii="仿宋" w:hAnsi="仿宋" w:eastAsia="仿宋" w:cs="仿宋"/>
          <w:b/>
          <w:bCs/>
          <w:color w:val="auto"/>
          <w:sz w:val="28"/>
          <w:szCs w:val="28"/>
          <w:highlight w:val="none"/>
        </w:rPr>
        <w:t>投标文件密封</w:t>
      </w:r>
      <w:r>
        <w:rPr>
          <w:rFonts w:hint="eastAsia" w:ascii="仿宋" w:hAnsi="仿宋" w:eastAsia="仿宋" w:cs="仿宋"/>
          <w:color w:val="auto"/>
          <w:sz w:val="28"/>
          <w:szCs w:val="28"/>
          <w:highlight w:val="none"/>
        </w:rPr>
        <w:t>送达指定地点。投标单位法定代表人或授权代</w:t>
      </w:r>
      <w:r>
        <w:rPr>
          <w:rFonts w:hint="eastAsia" w:ascii="仿宋" w:hAnsi="仿宋" w:eastAsia="仿宋" w:cs="仿宋"/>
          <w:color w:val="auto"/>
          <w:sz w:val="28"/>
          <w:szCs w:val="28"/>
          <w:highlight w:val="none"/>
          <w:lang w:eastAsia="zh-CN"/>
        </w:rPr>
        <w:t>表人</w:t>
      </w:r>
      <w:r>
        <w:rPr>
          <w:rFonts w:hint="eastAsia" w:ascii="仿宋" w:hAnsi="仿宋" w:eastAsia="仿宋" w:cs="仿宋"/>
          <w:color w:val="auto"/>
          <w:sz w:val="28"/>
          <w:szCs w:val="28"/>
          <w:highlight w:val="none"/>
        </w:rPr>
        <w:t>在规定的时间内未递交投标资料的，视为自动放弃。</w:t>
      </w:r>
    </w:p>
    <w:p w14:paraId="28F76E53">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院内公开招标有效投标的供应商不足三家，不得开标。</w:t>
      </w:r>
    </w:p>
    <w:p w14:paraId="24F25064">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四</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存在下列情形的，应予废标：</w:t>
      </w:r>
    </w:p>
    <w:p w14:paraId="0932BF67">
      <w:pPr>
        <w:keepNext w:val="0"/>
        <w:keepLines w:val="0"/>
        <w:pageBreakBefore w:val="0"/>
        <w:widowControl w:val="0"/>
        <w:kinsoku/>
        <w:wordWrap/>
        <w:overflowPunct/>
        <w:topLinePunct w:val="0"/>
        <w:autoSpaceDE/>
        <w:autoSpaceDN/>
        <w:bidi w:val="0"/>
        <w:adjustRightInd/>
        <w:snapToGrid w:val="0"/>
        <w:spacing w:line="540" w:lineRule="exact"/>
        <w:ind w:firstLine="638" w:firstLineChars="228"/>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符合专业条件的供应商或者对招标文件作实质性响应的供应商不足三家的；</w:t>
      </w:r>
    </w:p>
    <w:p w14:paraId="0DBBAE58">
      <w:pPr>
        <w:keepNext w:val="0"/>
        <w:keepLines w:val="0"/>
        <w:pageBreakBefore w:val="0"/>
        <w:widowControl w:val="0"/>
        <w:kinsoku/>
        <w:wordWrap/>
        <w:overflowPunct/>
        <w:topLinePunct w:val="0"/>
        <w:autoSpaceDE/>
        <w:autoSpaceDN/>
        <w:bidi w:val="0"/>
        <w:adjustRightInd/>
        <w:snapToGrid w:val="0"/>
        <w:spacing w:line="540" w:lineRule="exact"/>
        <w:ind w:firstLine="638" w:firstLineChars="228"/>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出现影响采购公正的违法、违规行为的；</w:t>
      </w:r>
    </w:p>
    <w:p w14:paraId="6EA5DD27">
      <w:pPr>
        <w:keepNext w:val="0"/>
        <w:keepLines w:val="0"/>
        <w:pageBreakBefore w:val="0"/>
        <w:widowControl w:val="0"/>
        <w:kinsoku/>
        <w:wordWrap/>
        <w:overflowPunct/>
        <w:topLinePunct w:val="0"/>
        <w:autoSpaceDE/>
        <w:autoSpaceDN/>
        <w:bidi w:val="0"/>
        <w:adjustRightInd/>
        <w:snapToGrid w:val="0"/>
        <w:spacing w:line="540" w:lineRule="exact"/>
        <w:ind w:firstLine="638" w:firstLineChars="228"/>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投标人的报价均超过采购预算或最高限价，采购人不能支付的；</w:t>
      </w:r>
    </w:p>
    <w:p w14:paraId="77955A93">
      <w:pPr>
        <w:keepNext w:val="0"/>
        <w:keepLines w:val="0"/>
        <w:pageBreakBefore w:val="0"/>
        <w:widowControl w:val="0"/>
        <w:kinsoku/>
        <w:wordWrap/>
        <w:overflowPunct/>
        <w:topLinePunct w:val="0"/>
        <w:autoSpaceDE/>
        <w:autoSpaceDN/>
        <w:bidi w:val="0"/>
        <w:adjustRightInd/>
        <w:snapToGrid w:val="0"/>
        <w:spacing w:line="540" w:lineRule="exact"/>
        <w:ind w:firstLine="638" w:firstLineChars="228"/>
        <w:textAlignment w:val="auto"/>
        <w:rPr>
          <w:rFonts w:ascii="仿宋" w:hAnsi="仿宋" w:eastAsia="仿宋" w:cs="仿宋"/>
          <w:color w:val="auto"/>
          <w:kern w:val="0"/>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因重大变故，采购任务取消的。</w:t>
      </w:r>
    </w:p>
    <w:p w14:paraId="52238223">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五</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投标文件有效期</w:t>
      </w:r>
    </w:p>
    <w:p w14:paraId="28342C28">
      <w:pPr>
        <w:keepNext w:val="0"/>
        <w:keepLines w:val="0"/>
        <w:pageBreakBefore w:val="0"/>
        <w:widowControl w:val="0"/>
        <w:kinsoku/>
        <w:wordWrap/>
        <w:overflowPunct/>
        <w:topLinePunct w:val="0"/>
        <w:autoSpaceDE/>
        <w:autoSpaceDN/>
        <w:bidi w:val="0"/>
        <w:adjustRightInd/>
        <w:snapToGrid w:val="0"/>
        <w:spacing w:line="540" w:lineRule="exact"/>
        <w:ind w:firstLine="638" w:firstLineChars="228"/>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在递交投标文件截止日期之后的60天内有效</w:t>
      </w:r>
      <w:r>
        <w:rPr>
          <w:rFonts w:hint="eastAsia" w:ascii="仿宋" w:hAnsi="仿宋" w:eastAsia="仿宋" w:cs="仿宋"/>
          <w:color w:val="auto"/>
          <w:sz w:val="28"/>
          <w:szCs w:val="28"/>
          <w:highlight w:val="none"/>
          <w:lang w:val="en-US" w:eastAsia="zh-CN"/>
        </w:rPr>
        <w:t>；</w:t>
      </w:r>
    </w:p>
    <w:p w14:paraId="7C43C29F">
      <w:pPr>
        <w:keepNext w:val="0"/>
        <w:keepLines w:val="0"/>
        <w:pageBreakBefore w:val="0"/>
        <w:widowControl w:val="0"/>
        <w:kinsoku/>
        <w:wordWrap/>
        <w:overflowPunct/>
        <w:topLinePunct w:val="0"/>
        <w:autoSpaceDE/>
        <w:autoSpaceDN/>
        <w:bidi w:val="0"/>
        <w:adjustRightInd/>
        <w:snapToGrid w:val="0"/>
        <w:spacing w:line="540" w:lineRule="exact"/>
        <w:ind w:firstLine="638" w:firstLineChars="228"/>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在原定投标文件有效期满之前，如果出现特殊情况，招采办可以书面形式向供应商提出延长投标文件有效期的要求。</w:t>
      </w:r>
    </w:p>
    <w:p w14:paraId="51EF64C2">
      <w:pPr>
        <w:keepNext w:val="0"/>
        <w:keepLines w:val="0"/>
        <w:pageBreakBefore w:val="0"/>
        <w:widowControl w:val="0"/>
        <w:kinsoku/>
        <w:wordWrap/>
        <w:overflowPunct/>
        <w:topLinePunct w:val="0"/>
        <w:autoSpaceDE/>
        <w:autoSpaceDN/>
        <w:bidi w:val="0"/>
        <w:adjustRightInd/>
        <w:snapToGrid w:val="0"/>
        <w:spacing w:line="540" w:lineRule="exact"/>
        <w:ind w:firstLine="562" w:firstLineChars="200"/>
        <w:textAlignment w:val="auto"/>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二、需提供资料及标准</w:t>
      </w:r>
    </w:p>
    <w:p w14:paraId="38FA15AE">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 w:val="28"/>
          <w:szCs w:val="36"/>
          <w:highlight w:val="none"/>
        </w:rPr>
        <w:t>（一）投标文件的规定。投标文件</w:t>
      </w:r>
      <w:r>
        <w:rPr>
          <w:rFonts w:hint="eastAsia" w:ascii="仿宋_GB2312" w:hAnsi="仿宋_GB2312" w:eastAsia="仿宋_GB2312" w:cs="仿宋_GB2312"/>
          <w:b/>
          <w:bCs/>
          <w:color w:val="auto"/>
          <w:sz w:val="28"/>
          <w:szCs w:val="36"/>
          <w:highlight w:val="none"/>
        </w:rPr>
        <w:t>须密封装袋</w:t>
      </w:r>
      <w:r>
        <w:rPr>
          <w:rFonts w:hint="eastAsia" w:ascii="仿宋_GB2312" w:hAnsi="仿宋_GB2312" w:eastAsia="仿宋_GB2312" w:cs="仿宋_GB2312"/>
          <w:color w:val="auto"/>
          <w:sz w:val="28"/>
          <w:szCs w:val="36"/>
          <w:highlight w:val="none"/>
        </w:rPr>
        <w:t>，制作</w:t>
      </w:r>
      <w:r>
        <w:rPr>
          <w:rFonts w:hint="eastAsia" w:ascii="仿宋_GB2312" w:hAnsi="仿宋_GB2312" w:eastAsia="仿宋_GB2312" w:cs="仿宋_GB2312"/>
          <w:b/>
          <w:bCs/>
          <w:color w:val="auto"/>
          <w:sz w:val="28"/>
          <w:szCs w:val="36"/>
          <w:highlight w:val="none"/>
        </w:rPr>
        <w:t>一本正本，2本副本（另：提交一本电子投标文件，用U盘拷贝，U盘不退还，并标明项目名称和公司名称）</w:t>
      </w:r>
      <w:r>
        <w:rPr>
          <w:rFonts w:hint="eastAsia" w:ascii="仿宋_GB2312" w:hAnsi="仿宋_GB2312" w:eastAsia="仿宋_GB2312" w:cs="仿宋_GB2312"/>
          <w:color w:val="auto"/>
          <w:sz w:val="28"/>
          <w:szCs w:val="36"/>
          <w:highlight w:val="none"/>
        </w:rPr>
        <w:t>，每份投标文件必须装订且须在封面上清楚标明“</w:t>
      </w:r>
      <w:r>
        <w:rPr>
          <w:rFonts w:hint="eastAsia" w:ascii="仿宋_GB2312" w:hAnsi="仿宋_GB2312" w:eastAsia="仿宋_GB2312" w:cs="仿宋_GB2312"/>
          <w:b/>
          <w:bCs/>
          <w:color w:val="auto"/>
          <w:sz w:val="28"/>
          <w:szCs w:val="36"/>
          <w:highlight w:val="none"/>
        </w:rPr>
        <w:t>正本</w:t>
      </w:r>
      <w:r>
        <w:rPr>
          <w:rFonts w:hint="eastAsia" w:ascii="仿宋_GB2312" w:hAnsi="仿宋_GB2312" w:eastAsia="仿宋_GB2312" w:cs="仿宋_GB2312"/>
          <w:color w:val="auto"/>
          <w:sz w:val="28"/>
          <w:szCs w:val="36"/>
          <w:highlight w:val="none"/>
        </w:rPr>
        <w:t>”或“</w:t>
      </w:r>
      <w:r>
        <w:rPr>
          <w:rFonts w:hint="eastAsia" w:ascii="仿宋_GB2312" w:hAnsi="仿宋_GB2312" w:eastAsia="仿宋_GB2312" w:cs="仿宋_GB2312"/>
          <w:b/>
          <w:bCs/>
          <w:color w:val="auto"/>
          <w:sz w:val="28"/>
          <w:szCs w:val="36"/>
          <w:highlight w:val="none"/>
        </w:rPr>
        <w:t>副本</w:t>
      </w:r>
      <w:r>
        <w:rPr>
          <w:rFonts w:hint="eastAsia" w:ascii="仿宋_GB2312" w:hAnsi="仿宋_GB2312" w:eastAsia="仿宋_GB2312" w:cs="仿宋_GB2312"/>
          <w:color w:val="auto"/>
          <w:sz w:val="28"/>
          <w:szCs w:val="36"/>
          <w:highlight w:val="none"/>
        </w:rPr>
        <w:t>”字样。一旦正本与副本不符，以正本为准。 投标文件不得涂改和增删，如要修改错漏处，必须由同一签署人</w:t>
      </w:r>
      <w:r>
        <w:rPr>
          <w:rFonts w:hint="eastAsia" w:ascii="仿宋_GB2312" w:hAnsi="仿宋_GB2312" w:eastAsia="仿宋_GB2312" w:cs="仿宋_GB2312"/>
          <w:b/>
          <w:bCs/>
          <w:color w:val="auto"/>
          <w:sz w:val="28"/>
          <w:szCs w:val="36"/>
          <w:highlight w:val="none"/>
        </w:rPr>
        <w:t>在修改处签字或盖章</w:t>
      </w:r>
      <w:r>
        <w:rPr>
          <w:rFonts w:hint="eastAsia" w:ascii="仿宋_GB2312" w:hAnsi="仿宋_GB2312" w:eastAsia="仿宋_GB2312" w:cs="仿宋_GB2312"/>
          <w:color w:val="auto"/>
          <w:sz w:val="28"/>
          <w:szCs w:val="36"/>
          <w:highlight w:val="none"/>
        </w:rPr>
        <w:t>。</w:t>
      </w:r>
    </w:p>
    <w:p w14:paraId="7299F98B">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（二）提供本项目开标一览表一份，开标一览表须加盖公章并单独密封，供应商须在开标一览表上签名确认。</w:t>
      </w:r>
    </w:p>
    <w:p w14:paraId="4004738A">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（三）资料封面注有公司名称、地址、联系人、手机号码、办公电话和邮箱地址。</w:t>
      </w:r>
    </w:p>
    <w:p w14:paraId="2196632F">
      <w:pPr>
        <w:keepNext w:val="0"/>
        <w:keepLines w:val="0"/>
        <w:pageBreakBefore w:val="0"/>
        <w:widowControl w:val="0"/>
        <w:numPr>
          <w:ilvl w:val="-1"/>
          <w:numId w:val="0"/>
        </w:numPr>
        <w:kinsoku/>
        <w:wordWrap/>
        <w:overflowPunct/>
        <w:topLinePunct w:val="0"/>
        <w:autoSpaceDE/>
        <w:autoSpaceDN/>
        <w:bidi w:val="0"/>
        <w:adjustRightInd/>
        <w:snapToGrid w:val="0"/>
        <w:spacing w:line="540" w:lineRule="exact"/>
        <w:ind w:left="-5" w:firstLine="560" w:firstLineChars="200"/>
        <w:jc w:val="left"/>
        <w:textAlignment w:val="auto"/>
        <w:rPr>
          <w:rFonts w:ascii="仿宋_GB2312" w:hAnsi="仿宋_GB2312" w:eastAsia="仿宋_GB2312" w:cs="仿宋_GB2312"/>
          <w:snapToGrid w:val="0"/>
          <w:color w:val="auto"/>
          <w:kern w:val="144"/>
          <w:sz w:val="28"/>
          <w:szCs w:val="28"/>
          <w:highlight w:val="none"/>
        </w:rPr>
      </w:pPr>
      <w:r>
        <w:rPr>
          <w:rFonts w:hint="eastAsia" w:ascii="仿宋_GB2312" w:hAnsi="仿宋_GB2312" w:eastAsia="仿宋_GB2312" w:cs="仿宋_GB2312"/>
          <w:snapToGrid w:val="0"/>
          <w:color w:val="auto"/>
          <w:kern w:val="144"/>
          <w:sz w:val="28"/>
          <w:szCs w:val="28"/>
          <w:highlight w:val="none"/>
          <w:lang w:val="en-US" w:eastAsia="zh-CN"/>
        </w:rPr>
        <w:t>1.</w:t>
      </w:r>
      <w:r>
        <w:rPr>
          <w:rFonts w:hint="eastAsia" w:ascii="仿宋_GB2312" w:hAnsi="仿宋_GB2312" w:eastAsia="仿宋_GB2312" w:cs="仿宋_GB2312"/>
          <w:snapToGrid w:val="0"/>
          <w:color w:val="auto"/>
          <w:kern w:val="144"/>
          <w:sz w:val="28"/>
          <w:szCs w:val="28"/>
          <w:highlight w:val="none"/>
        </w:rPr>
        <w:t>所有资料要有封面、目录、页码、装订成册。</w:t>
      </w:r>
    </w:p>
    <w:p w14:paraId="11EFD5F4">
      <w:pPr>
        <w:keepNext w:val="0"/>
        <w:keepLines w:val="0"/>
        <w:pageBreakBefore w:val="0"/>
        <w:widowControl w:val="0"/>
        <w:numPr>
          <w:ilvl w:val="-1"/>
          <w:numId w:val="0"/>
        </w:numPr>
        <w:kinsoku/>
        <w:wordWrap/>
        <w:overflowPunct/>
        <w:topLinePunct w:val="0"/>
        <w:autoSpaceDE/>
        <w:autoSpaceDN/>
        <w:bidi w:val="0"/>
        <w:adjustRightInd/>
        <w:snapToGrid w:val="0"/>
        <w:spacing w:line="540" w:lineRule="exact"/>
        <w:ind w:left="-5" w:firstLine="560" w:firstLineChars="200"/>
        <w:jc w:val="left"/>
        <w:textAlignment w:val="auto"/>
        <w:rPr>
          <w:rFonts w:ascii="仿宋_GB2312" w:hAnsi="仿宋_GB2312" w:eastAsia="仿宋_GB2312" w:cs="仿宋_GB2312"/>
          <w:snapToGrid w:val="0"/>
          <w:color w:val="auto"/>
          <w:kern w:val="144"/>
          <w:sz w:val="28"/>
          <w:szCs w:val="28"/>
          <w:highlight w:val="none"/>
        </w:rPr>
      </w:pPr>
      <w:r>
        <w:rPr>
          <w:rFonts w:hint="eastAsia" w:ascii="仿宋_GB2312" w:hAnsi="仿宋_GB2312" w:eastAsia="仿宋_GB2312" w:cs="仿宋_GB2312"/>
          <w:snapToGrid w:val="0"/>
          <w:color w:val="auto"/>
          <w:kern w:val="144"/>
          <w:sz w:val="28"/>
          <w:szCs w:val="28"/>
          <w:highlight w:val="none"/>
          <w:lang w:val="en-US" w:eastAsia="zh-CN"/>
        </w:rPr>
        <w:t>2.</w:t>
      </w:r>
      <w:r>
        <w:rPr>
          <w:rFonts w:hint="eastAsia" w:ascii="仿宋_GB2312" w:hAnsi="仿宋_GB2312" w:eastAsia="仿宋_GB2312" w:cs="仿宋_GB2312"/>
          <w:snapToGrid w:val="0"/>
          <w:color w:val="auto"/>
          <w:kern w:val="144"/>
          <w:sz w:val="28"/>
          <w:szCs w:val="28"/>
          <w:highlight w:val="none"/>
        </w:rPr>
        <w:t>所有资料</w:t>
      </w:r>
      <w:r>
        <w:rPr>
          <w:rFonts w:hint="eastAsia" w:ascii="仿宋_GB2312" w:hAnsi="仿宋_GB2312" w:eastAsia="仿宋_GB2312" w:cs="仿宋_GB2312"/>
          <w:b/>
          <w:bCs/>
          <w:snapToGrid w:val="0"/>
          <w:color w:val="auto"/>
          <w:kern w:val="144"/>
          <w:sz w:val="28"/>
          <w:szCs w:val="28"/>
          <w:highlight w:val="none"/>
        </w:rPr>
        <w:t>每页须加盖公章</w:t>
      </w:r>
      <w:r>
        <w:rPr>
          <w:rFonts w:hint="eastAsia" w:ascii="仿宋_GB2312" w:hAnsi="仿宋_GB2312" w:eastAsia="仿宋_GB2312" w:cs="仿宋_GB2312"/>
          <w:snapToGrid w:val="0"/>
          <w:color w:val="auto"/>
          <w:kern w:val="144"/>
          <w:sz w:val="28"/>
          <w:szCs w:val="28"/>
          <w:highlight w:val="none"/>
        </w:rPr>
        <w:t>。</w:t>
      </w:r>
    </w:p>
    <w:p w14:paraId="6ECDB8A6">
      <w:pPr>
        <w:keepNext w:val="0"/>
        <w:keepLines w:val="0"/>
        <w:pageBreakBefore w:val="0"/>
        <w:widowControl w:val="0"/>
        <w:numPr>
          <w:ilvl w:val="-1"/>
          <w:numId w:val="0"/>
        </w:numPr>
        <w:kinsoku/>
        <w:wordWrap/>
        <w:overflowPunct/>
        <w:topLinePunct w:val="0"/>
        <w:autoSpaceDE/>
        <w:autoSpaceDN/>
        <w:bidi w:val="0"/>
        <w:adjustRightInd/>
        <w:snapToGrid w:val="0"/>
        <w:spacing w:line="540" w:lineRule="exact"/>
        <w:ind w:left="-5" w:firstLine="560" w:firstLineChars="200"/>
        <w:jc w:val="left"/>
        <w:textAlignment w:val="auto"/>
        <w:rPr>
          <w:rFonts w:ascii="仿宋_GB2312" w:hAnsi="仿宋_GB2312" w:eastAsia="仿宋_GB2312" w:cs="仿宋_GB2312"/>
          <w:snapToGrid w:val="0"/>
          <w:color w:val="auto"/>
          <w:kern w:val="144"/>
          <w:sz w:val="28"/>
          <w:szCs w:val="28"/>
          <w:highlight w:val="none"/>
        </w:rPr>
      </w:pPr>
      <w:r>
        <w:rPr>
          <w:rFonts w:hint="eastAsia" w:ascii="仿宋_GB2312" w:hAnsi="仿宋_GB2312" w:eastAsia="仿宋_GB2312" w:cs="仿宋_GB2312"/>
          <w:snapToGrid w:val="0"/>
          <w:color w:val="auto"/>
          <w:kern w:val="144"/>
          <w:sz w:val="28"/>
          <w:szCs w:val="28"/>
          <w:highlight w:val="none"/>
          <w:lang w:val="en-US" w:eastAsia="zh-CN"/>
        </w:rPr>
        <w:t>3.</w:t>
      </w:r>
      <w:r>
        <w:rPr>
          <w:rFonts w:hint="eastAsia" w:ascii="仿宋_GB2312" w:hAnsi="仿宋_GB2312" w:eastAsia="仿宋_GB2312" w:cs="仿宋_GB2312"/>
          <w:snapToGrid w:val="0"/>
          <w:color w:val="auto"/>
          <w:kern w:val="144"/>
          <w:sz w:val="28"/>
          <w:szCs w:val="28"/>
          <w:highlight w:val="none"/>
        </w:rPr>
        <w:t>所有资料须</w:t>
      </w:r>
      <w:r>
        <w:rPr>
          <w:rFonts w:hint="eastAsia" w:ascii="仿宋_GB2312" w:hAnsi="仿宋_GB2312" w:eastAsia="仿宋_GB2312" w:cs="仿宋_GB2312"/>
          <w:b/>
          <w:bCs/>
          <w:snapToGrid w:val="0"/>
          <w:color w:val="auto"/>
          <w:kern w:val="144"/>
          <w:sz w:val="28"/>
          <w:szCs w:val="28"/>
          <w:highlight w:val="none"/>
        </w:rPr>
        <w:t>密封并加盖公章</w:t>
      </w:r>
      <w:r>
        <w:rPr>
          <w:rFonts w:hint="eastAsia" w:ascii="仿宋_GB2312" w:hAnsi="仿宋_GB2312" w:eastAsia="仿宋_GB2312" w:cs="仿宋_GB2312"/>
          <w:snapToGrid w:val="0"/>
          <w:color w:val="auto"/>
          <w:kern w:val="144"/>
          <w:sz w:val="28"/>
          <w:szCs w:val="28"/>
          <w:highlight w:val="none"/>
        </w:rPr>
        <w:t>。</w:t>
      </w:r>
    </w:p>
    <w:p w14:paraId="1C5AB8BD">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仿宋_GB2312" w:hAnsi="仿宋_GB2312" w:eastAsia="仿宋_GB2312" w:cs="仿宋_GB2312"/>
          <w:snapToGrid w:val="0"/>
          <w:color w:val="auto"/>
          <w:kern w:val="144"/>
          <w:sz w:val="28"/>
          <w:szCs w:val="28"/>
          <w:highlight w:val="none"/>
        </w:rPr>
      </w:pPr>
      <w:r>
        <w:rPr>
          <w:rFonts w:hint="eastAsia" w:ascii="仿宋_GB2312" w:hAnsi="仿宋_GB2312" w:eastAsia="仿宋_GB2312" w:cs="仿宋_GB2312"/>
          <w:snapToGrid w:val="0"/>
          <w:color w:val="auto"/>
          <w:kern w:val="144"/>
          <w:sz w:val="28"/>
          <w:szCs w:val="28"/>
          <w:highlight w:val="none"/>
        </w:rPr>
        <w:t>（四）携带完整资料到招采办报名登记好公司名称、业务代表姓名、联系电话及提供的产品项目。</w:t>
      </w:r>
    </w:p>
    <w:p w14:paraId="02287072">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仿宋_GB2312" w:hAnsi="仿宋_GB2312" w:eastAsia="仿宋_GB2312" w:cs="仿宋_GB2312"/>
          <w:snapToGrid w:val="0"/>
          <w:color w:val="auto"/>
          <w:kern w:val="144"/>
          <w:sz w:val="28"/>
          <w:szCs w:val="28"/>
          <w:highlight w:val="none"/>
        </w:rPr>
      </w:pPr>
      <w:r>
        <w:rPr>
          <w:rFonts w:hint="eastAsia" w:ascii="仿宋_GB2312" w:hAnsi="仿宋_GB2312" w:eastAsia="仿宋_GB2312" w:cs="仿宋_GB2312"/>
          <w:snapToGrid w:val="0"/>
          <w:color w:val="auto"/>
          <w:kern w:val="144"/>
          <w:sz w:val="28"/>
          <w:szCs w:val="28"/>
          <w:highlight w:val="none"/>
        </w:rPr>
        <w:t>（五）经取得院内公开采购的项目在验收时，其实际质量与其参加院内公开采购时提供的条件不符或在规定时间内拒签合同以及不按合同条款执行合同者均视为不履行合约，我院将其供应商列入我院黑名单及上报有关部门，在一年内不允许该公司参加我院内公开采购活动。</w:t>
      </w:r>
    </w:p>
    <w:p w14:paraId="49E42BED">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仿宋_GB2312" w:hAnsi="仿宋_GB2312" w:eastAsia="仿宋_GB2312" w:cs="仿宋_GB2312"/>
          <w:color w:val="auto"/>
          <w:sz w:val="28"/>
          <w:szCs w:val="36"/>
          <w:highlight w:val="none"/>
        </w:rPr>
      </w:pPr>
      <w:r>
        <w:rPr>
          <w:rFonts w:hint="eastAsia" w:ascii="仿宋_GB2312" w:hAnsi="仿宋_GB2312" w:eastAsia="仿宋_GB2312" w:cs="仿宋_GB2312"/>
          <w:color w:val="auto"/>
          <w:sz w:val="28"/>
          <w:szCs w:val="36"/>
          <w:highlight w:val="none"/>
        </w:rPr>
        <w:t>（六）投标人的产品质量及服务承诺书不能严重低于招标文件中的服务要求标准</w:t>
      </w:r>
      <w:r>
        <w:rPr>
          <w:rFonts w:hint="eastAsia" w:ascii="仿宋_GB2312" w:hAnsi="仿宋_GB2312" w:eastAsia="仿宋_GB2312" w:cs="仿宋_GB2312"/>
          <w:color w:val="auto"/>
          <w:sz w:val="28"/>
          <w:szCs w:val="36"/>
          <w:highlight w:val="none"/>
          <w:lang w:val="en-US" w:eastAsia="zh-CN"/>
        </w:rPr>
        <w:t>作</w:t>
      </w:r>
      <w:r>
        <w:rPr>
          <w:rFonts w:hint="eastAsia" w:ascii="仿宋_GB2312" w:hAnsi="仿宋_GB2312" w:eastAsia="仿宋_GB2312" w:cs="仿宋_GB2312"/>
          <w:color w:val="auto"/>
          <w:sz w:val="28"/>
          <w:szCs w:val="36"/>
          <w:highlight w:val="none"/>
        </w:rPr>
        <w:t>出响应，允许出现负偏差，但不得出现严重负偏差。</w:t>
      </w:r>
    </w:p>
    <w:p w14:paraId="120900D4">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 w:val="28"/>
          <w:szCs w:val="36"/>
          <w:highlight w:val="none"/>
        </w:rPr>
        <w:t>（七）评审结束，中标结果公示</w:t>
      </w:r>
      <w:r>
        <w:rPr>
          <w:rFonts w:hint="eastAsia" w:ascii="仿宋_GB2312" w:hAnsi="仿宋_GB2312" w:eastAsia="仿宋_GB2312" w:cs="仿宋_GB2312"/>
          <w:b w:val="0"/>
          <w:bCs w:val="0"/>
          <w:color w:val="auto"/>
          <w:sz w:val="28"/>
          <w:szCs w:val="36"/>
          <w:highlight w:val="none"/>
        </w:rPr>
        <w:t>3天</w:t>
      </w:r>
      <w:r>
        <w:rPr>
          <w:rFonts w:hint="eastAsia" w:ascii="仿宋_GB2312" w:hAnsi="仿宋_GB2312" w:eastAsia="仿宋_GB2312" w:cs="仿宋_GB2312"/>
          <w:color w:val="auto"/>
          <w:sz w:val="28"/>
          <w:szCs w:val="36"/>
          <w:highlight w:val="none"/>
        </w:rPr>
        <w:t>，中标供应商须在收到我院中标通知书后</w:t>
      </w:r>
      <w:r>
        <w:rPr>
          <w:rFonts w:hint="eastAsia" w:ascii="仿宋_GB2312" w:hAnsi="仿宋_GB2312" w:eastAsia="仿宋_GB2312" w:cs="仿宋_GB2312"/>
          <w:b/>
          <w:bCs/>
          <w:color w:val="auto"/>
          <w:sz w:val="28"/>
          <w:szCs w:val="36"/>
          <w:highlight w:val="none"/>
        </w:rPr>
        <w:t>10个工作日内</w:t>
      </w:r>
      <w:r>
        <w:rPr>
          <w:rFonts w:hint="eastAsia" w:ascii="仿宋_GB2312" w:hAnsi="仿宋_GB2312" w:eastAsia="仿宋_GB2312" w:cs="仿宋_GB2312"/>
          <w:color w:val="auto"/>
          <w:sz w:val="28"/>
          <w:szCs w:val="36"/>
          <w:highlight w:val="none"/>
        </w:rPr>
        <w:t>到我院签署合同，超过</w:t>
      </w:r>
      <w:r>
        <w:rPr>
          <w:rFonts w:hint="eastAsia" w:ascii="仿宋_GB2312" w:hAnsi="仿宋_GB2312" w:eastAsia="仿宋_GB2312" w:cs="仿宋_GB2312"/>
          <w:b/>
          <w:bCs/>
          <w:color w:val="auto"/>
          <w:sz w:val="28"/>
          <w:szCs w:val="36"/>
          <w:highlight w:val="none"/>
        </w:rPr>
        <w:t>10个工作日</w:t>
      </w:r>
      <w:r>
        <w:rPr>
          <w:rFonts w:hint="eastAsia" w:ascii="仿宋_GB2312" w:hAnsi="仿宋_GB2312" w:eastAsia="仿宋_GB2312" w:cs="仿宋_GB2312"/>
          <w:color w:val="auto"/>
          <w:sz w:val="28"/>
          <w:szCs w:val="36"/>
          <w:highlight w:val="none"/>
        </w:rPr>
        <w:t>未前来</w:t>
      </w:r>
      <w:r>
        <w:rPr>
          <w:rFonts w:hint="eastAsia" w:ascii="仿宋_GB2312" w:hAnsi="仿宋_GB2312" w:eastAsia="仿宋_GB2312" w:cs="仿宋_GB2312"/>
          <w:color w:val="auto"/>
          <w:sz w:val="28"/>
          <w:szCs w:val="36"/>
          <w:highlight w:val="none"/>
          <w:lang w:eastAsia="zh-CN"/>
        </w:rPr>
        <w:t>签订</w:t>
      </w:r>
      <w:r>
        <w:rPr>
          <w:rFonts w:hint="eastAsia" w:ascii="仿宋_GB2312" w:hAnsi="仿宋_GB2312" w:eastAsia="仿宋_GB2312" w:cs="仿宋_GB2312"/>
          <w:color w:val="auto"/>
          <w:sz w:val="28"/>
          <w:szCs w:val="36"/>
          <w:highlight w:val="none"/>
        </w:rPr>
        <w:t>合同的，我院有权宣布本次采购结果作废，重新确定供应商。</w:t>
      </w:r>
    </w:p>
    <w:p w14:paraId="2BD05239">
      <w:pPr>
        <w:keepNext w:val="0"/>
        <w:keepLines w:val="0"/>
        <w:pageBreakBefore w:val="0"/>
        <w:widowControl w:val="0"/>
        <w:kinsoku/>
        <w:wordWrap/>
        <w:overflowPunct/>
        <w:topLinePunct w:val="0"/>
        <w:autoSpaceDE/>
        <w:autoSpaceDN/>
        <w:bidi w:val="0"/>
        <w:adjustRightInd/>
        <w:snapToGrid w:val="0"/>
        <w:spacing w:line="540" w:lineRule="exact"/>
        <w:ind w:firstLine="562" w:firstLineChars="200"/>
        <w:textAlignment w:val="auto"/>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三、招标文件的澄清</w:t>
      </w:r>
    </w:p>
    <w:p w14:paraId="3996D5DF">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1.投标人在收到招标文件后，可以对已发出的招标文件进行必要的澄清或者修改。澄清或者修改应当在原公告发布媒体上发布澄清（更正/变更）公告。</w:t>
      </w:r>
    </w:p>
    <w:p w14:paraId="0A9BE5BE">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无论出于何种原因，采购人可以主动地或在解答投标人提出的疑问时对已发出的招标文件进行必要的澄清或修改（更正）的，于投标截止时间前在指定媒体上发布公告，并通知所有报名及购买招标文件的投标人，报名招标文件的投标人在收到澄清或修改（更正）通知后应按要求以书面形式（传真有效）予以确认，如在24小时之内无书面回函则视为同意修改内容，并有责任履行相应的义务。</w:t>
      </w:r>
    </w:p>
    <w:p w14:paraId="354B4DAA">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3.采购人发出的澄清或修改（更正/变更）的内容为招标文件的组成部分，并对供应商具有约束力。</w:t>
      </w:r>
    </w:p>
    <w:p w14:paraId="2AFD2117">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对招标文件中描述有歧义或前后不一致的地方，评标委员会有权进行评判，但对同一条款的评判应适用于每个投标人。</w:t>
      </w:r>
    </w:p>
    <w:p w14:paraId="44A3EFFB">
      <w:pPr>
        <w:keepNext w:val="0"/>
        <w:keepLines w:val="0"/>
        <w:pageBreakBefore w:val="0"/>
        <w:widowControl w:val="0"/>
        <w:kinsoku/>
        <w:wordWrap/>
        <w:overflowPunct/>
        <w:topLinePunct w:val="0"/>
        <w:autoSpaceDE/>
        <w:autoSpaceDN/>
        <w:bidi w:val="0"/>
        <w:adjustRightInd/>
        <w:snapToGrid w:val="0"/>
        <w:spacing w:line="540" w:lineRule="exact"/>
        <w:ind w:firstLine="562" w:firstLineChars="200"/>
        <w:textAlignment w:val="auto"/>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四、招标文件的补充和修正</w:t>
      </w:r>
    </w:p>
    <w:p w14:paraId="7A8CE9D9">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采购人可以对已发出的招标文件进行必要的澄清或者修改。澄清或者修改应当在原公告发布媒体上发布澄清（更正/变更）公告。</w:t>
      </w:r>
    </w:p>
    <w:p w14:paraId="013AE7C6">
      <w:pPr>
        <w:pStyle w:val="3"/>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2.</w:t>
      </w:r>
      <w:r>
        <w:rPr>
          <w:rFonts w:ascii="仿宋" w:hAnsi="仿宋" w:eastAsia="仿宋" w:cs="仿宋"/>
          <w:color w:val="auto"/>
          <w:sz w:val="28"/>
          <w:szCs w:val="28"/>
          <w:highlight w:val="none"/>
        </w:rPr>
        <w:t>采购人对招标文件的补充和修正，将以电子文件等方式发给所有获得招标文件的供应商，补充通知作为招标文件的组成部分，对同意参与招标单位起约束作用。</w:t>
      </w:r>
    </w:p>
    <w:p w14:paraId="22A0C635">
      <w:pPr>
        <w:keepNext w:val="0"/>
        <w:keepLines w:val="0"/>
        <w:pageBreakBefore w:val="0"/>
        <w:widowControl w:val="0"/>
        <w:kinsoku/>
        <w:wordWrap/>
        <w:overflowPunct/>
        <w:topLinePunct w:val="0"/>
        <w:autoSpaceDE/>
        <w:autoSpaceDN/>
        <w:bidi w:val="0"/>
        <w:adjustRightInd/>
        <w:snapToGrid w:val="0"/>
        <w:spacing w:line="540" w:lineRule="exact"/>
        <w:ind w:firstLine="562" w:firstLineChars="200"/>
        <w:textAlignment w:val="auto"/>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五、投标文件有效期</w:t>
      </w:r>
    </w:p>
    <w:p w14:paraId="5071E93C">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0" w:leftChars="0"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kern w:val="2"/>
          <w:sz w:val="28"/>
          <w:szCs w:val="28"/>
          <w:highlight w:val="none"/>
          <w:lang w:val="en-US" w:eastAsia="zh-CN" w:bidi="ar-SA"/>
        </w:rPr>
        <w:t>1.</w:t>
      </w:r>
      <w:r>
        <w:rPr>
          <w:rFonts w:hint="eastAsia" w:ascii="仿宋" w:hAnsi="仿宋" w:eastAsia="仿宋" w:cs="仿宋"/>
          <w:color w:val="auto"/>
          <w:sz w:val="28"/>
          <w:szCs w:val="28"/>
          <w:highlight w:val="none"/>
        </w:rPr>
        <w:t>在递交投标文件截止日期之后的60天内有效。</w:t>
      </w:r>
    </w:p>
    <w:p w14:paraId="1F57F9F8">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0" w:leftChars="0"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kern w:val="2"/>
          <w:sz w:val="28"/>
          <w:szCs w:val="28"/>
          <w:highlight w:val="none"/>
          <w:lang w:val="en-US" w:eastAsia="zh-CN" w:bidi="ar-SA"/>
        </w:rPr>
        <w:t>2.</w:t>
      </w:r>
      <w:r>
        <w:rPr>
          <w:rFonts w:hint="eastAsia" w:ascii="仿宋" w:hAnsi="仿宋" w:eastAsia="仿宋" w:cs="仿宋"/>
          <w:color w:val="auto"/>
          <w:sz w:val="28"/>
          <w:szCs w:val="28"/>
          <w:highlight w:val="none"/>
        </w:rPr>
        <w:t>在原定投标文件有效期满之前，如果出现特殊情况，招采办可以书面形式向投标人提出延长投标文件有效期的要求。</w:t>
      </w:r>
    </w:p>
    <w:p w14:paraId="363535DF">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0" w:leftChars="0"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kern w:val="2"/>
          <w:sz w:val="28"/>
          <w:szCs w:val="28"/>
          <w:highlight w:val="none"/>
          <w:lang w:val="en-US" w:eastAsia="zh-CN" w:bidi="ar-SA"/>
        </w:rPr>
        <w:t>3.</w:t>
      </w:r>
      <w:r>
        <w:rPr>
          <w:rFonts w:hint="eastAsia" w:ascii="仿宋" w:hAnsi="仿宋" w:eastAsia="仿宋" w:cs="仿宋"/>
          <w:color w:val="auto"/>
          <w:sz w:val="28"/>
          <w:szCs w:val="28"/>
          <w:highlight w:val="none"/>
        </w:rPr>
        <w:t>质疑期限：凡对招标文件有任何质疑的（包括认为招标文件的技术指标或参数存在排他性或歧视性条款），请于开标之日前提出疑问，逾期不予处理。</w:t>
      </w:r>
    </w:p>
    <w:p w14:paraId="62554C62">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0" w:leftChars="0" w:firstLine="420" w:firstLineChars="200"/>
        <w:textAlignment w:val="auto"/>
        <w:rPr>
          <w:rFonts w:hint="eastAsia" w:ascii="仿宋" w:hAnsi="仿宋" w:eastAsia="仿宋" w:cs="仿宋"/>
          <w:color w:val="auto"/>
          <w:sz w:val="28"/>
          <w:szCs w:val="28"/>
          <w:highlight w:val="none"/>
        </w:rPr>
      </w:pPr>
      <w:r>
        <w:rPr>
          <w:rFonts w:hint="eastAsia" w:cs="黑体"/>
          <w:color w:val="auto"/>
          <w:kern w:val="2"/>
          <w:sz w:val="21"/>
          <w:szCs w:val="24"/>
          <w:highlight w:val="none"/>
          <w:lang w:val="en-US" w:eastAsia="zh-CN" w:bidi="ar-SA"/>
        </w:rPr>
        <w:t>4.</w:t>
      </w:r>
      <w:r>
        <w:rPr>
          <w:rFonts w:hint="eastAsia" w:ascii="仿宋" w:hAnsi="仿宋" w:eastAsia="仿宋" w:cs="仿宋"/>
          <w:color w:val="auto"/>
          <w:sz w:val="28"/>
          <w:szCs w:val="28"/>
          <w:highlight w:val="none"/>
        </w:rPr>
        <w:t>招采办将</w:t>
      </w:r>
      <w:r>
        <w:rPr>
          <w:rFonts w:hint="eastAsia" w:ascii="仿宋" w:hAnsi="仿宋" w:eastAsia="仿宋" w:cs="仿宋"/>
          <w:color w:val="auto"/>
          <w:sz w:val="28"/>
          <w:szCs w:val="28"/>
          <w:highlight w:val="none"/>
          <w:lang w:val="en-US" w:eastAsia="zh-CN"/>
        </w:rPr>
        <w:t>作</w:t>
      </w:r>
      <w:r>
        <w:rPr>
          <w:rFonts w:hint="eastAsia" w:ascii="仿宋" w:hAnsi="仿宋" w:eastAsia="仿宋" w:cs="仿宋"/>
          <w:color w:val="auto"/>
          <w:sz w:val="28"/>
          <w:szCs w:val="28"/>
          <w:highlight w:val="none"/>
        </w:rPr>
        <w:t>出澄清和解答，逾期未提交质疑文件的视同无问题。</w:t>
      </w:r>
    </w:p>
    <w:p w14:paraId="051DD8A3">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0" w:leftChars="0" w:firstLine="560" w:firstLineChars="200"/>
        <w:textAlignment w:val="auto"/>
        <w:rPr>
          <w:rFonts w:hint="eastAsia" w:ascii="仿宋" w:hAnsi="仿宋" w:eastAsia="仿宋" w:cs="仿宋"/>
          <w:color w:val="auto"/>
          <w:sz w:val="28"/>
          <w:szCs w:val="28"/>
          <w:highlight w:val="none"/>
        </w:rPr>
      </w:pPr>
    </w:p>
    <w:p w14:paraId="530755D8">
      <w:pPr>
        <w:keepNext w:val="0"/>
        <w:keepLines w:val="0"/>
        <w:pageBreakBefore w:val="0"/>
        <w:widowControl w:val="0"/>
        <w:kinsoku/>
        <w:wordWrap/>
        <w:overflowPunct/>
        <w:topLinePunct w:val="0"/>
        <w:bidi w:val="0"/>
        <w:adjustRightInd/>
        <w:spacing w:line="500" w:lineRule="exact"/>
        <w:jc w:val="center"/>
        <w:textAlignment w:val="auto"/>
        <w:outlineLvl w:val="0"/>
        <w:rPr>
          <w:rFonts w:hint="eastAsia" w:ascii="宋体" w:hAnsi="宋体"/>
          <w:color w:val="auto"/>
          <w:sz w:val="24"/>
          <w:highlight w:val="none"/>
        </w:rPr>
      </w:pPr>
      <w:bookmarkStart w:id="0" w:name="_Toc20472"/>
      <w:r>
        <w:rPr>
          <w:rFonts w:hint="eastAsia" w:asciiTheme="minorEastAsia" w:hAnsiTheme="minorEastAsia" w:eastAsiaTheme="minorEastAsia"/>
          <w:b/>
          <w:bCs/>
          <w:color w:val="auto"/>
          <w:sz w:val="44"/>
          <w:szCs w:val="44"/>
          <w:highlight w:val="none"/>
        </w:rPr>
        <w:t>特别警示条款</w:t>
      </w:r>
      <w:bookmarkEnd w:id="0"/>
    </w:p>
    <w:p w14:paraId="1BF4DE45">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color w:val="auto"/>
          <w:sz w:val="28"/>
          <w:szCs w:val="28"/>
          <w:highlight w:val="none"/>
        </w:rPr>
      </w:pPr>
      <w:bookmarkStart w:id="1" w:name="_Toc4719"/>
      <w:bookmarkStart w:id="2" w:name="_Toc16742"/>
      <w:bookmarkStart w:id="3" w:name="_Toc28128"/>
    </w:p>
    <w:p w14:paraId="507CFE1F">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一、《深圳经济特区政府采购条例》</w:t>
      </w:r>
      <w:bookmarkEnd w:id="1"/>
      <w:bookmarkEnd w:id="2"/>
      <w:bookmarkEnd w:id="3"/>
    </w:p>
    <w:p w14:paraId="509F3FDC">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3A70665D">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（一）在采购活动中应当回避而未回避的；</w:t>
      </w:r>
    </w:p>
    <w:p w14:paraId="721F79A3">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（二）未按本条例规定签订、履行采购合同，造成严重后果的；</w:t>
      </w:r>
    </w:p>
    <w:p w14:paraId="41E4BE2F">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（三）隐瞒真实情况，提供虚假资料的；</w:t>
      </w:r>
    </w:p>
    <w:p w14:paraId="426DEFB9">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（四）以非法手段排斥其他供应商参与竞争的；</w:t>
      </w:r>
    </w:p>
    <w:p w14:paraId="0B8738E3">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（五）与其他采购参加人串通投标的；</w:t>
      </w:r>
    </w:p>
    <w:p w14:paraId="5684BB1A">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（六）恶意投诉的；</w:t>
      </w:r>
    </w:p>
    <w:p w14:paraId="7A435487">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（七）向采购项目相关人行贿或者提供其他不当利益的；</w:t>
      </w:r>
    </w:p>
    <w:p w14:paraId="431EDD8A">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（八）阻碍、抗拒主管部门监督检查的；</w:t>
      </w:r>
    </w:p>
    <w:p w14:paraId="338F07D1">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olor w:val="auto"/>
          <w:sz w:val="28"/>
          <w:szCs w:val="28"/>
          <w:highlight w:val="none"/>
        </w:rPr>
      </w:pPr>
      <w:r>
        <w:rPr>
          <w:rFonts w:hint="eastAsia" w:ascii="仿宋" w:hAnsi="仿宋" w:eastAsia="仿宋" w:cs="仿宋"/>
          <w:color w:val="auto"/>
          <w:sz w:val="28"/>
          <w:szCs w:val="28"/>
          <w:highlight w:val="none"/>
        </w:rPr>
        <w:t>（九）其他违反本条例规定的行为。</w:t>
      </w:r>
    </w:p>
    <w:p w14:paraId="55E99A0A">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color w:val="auto"/>
          <w:sz w:val="28"/>
          <w:szCs w:val="28"/>
          <w:highlight w:val="none"/>
        </w:rPr>
      </w:pPr>
      <w:bookmarkStart w:id="4" w:name="_Toc4026"/>
      <w:bookmarkStart w:id="5" w:name="_Toc6288"/>
      <w:bookmarkStart w:id="6" w:name="_Toc17680"/>
      <w:r>
        <w:rPr>
          <w:rFonts w:hint="eastAsia" w:ascii="仿宋" w:hAnsi="仿宋" w:eastAsia="仿宋" w:cs="仿宋"/>
          <w:color w:val="auto"/>
          <w:sz w:val="28"/>
          <w:szCs w:val="28"/>
          <w:highlight w:val="none"/>
        </w:rPr>
        <w:t>二、《深圳经济特区政府采购条例实施细则》</w:t>
      </w:r>
      <w:bookmarkEnd w:id="4"/>
      <w:bookmarkEnd w:id="5"/>
      <w:bookmarkEnd w:id="6"/>
    </w:p>
    <w:p w14:paraId="67611807">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第七十五条  供应商有下列情形的，属于采购条例所称的串通投标行为，按照采购条例第五十七条有关规定处理：</w:t>
      </w:r>
    </w:p>
    <w:p w14:paraId="1099563A">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（一）投标供应商之间相互约定给予未中标的供应商利益补偿；</w:t>
      </w:r>
    </w:p>
    <w:p w14:paraId="16A87391">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（二）不同投标供应商的法定代表人、主要经营负责人、项目投标授权代表人、项目负责人、主要技术人员为同一人、属于同一单位或者在同一单位缴纳社会保险；</w:t>
      </w:r>
    </w:p>
    <w:p w14:paraId="3A318791">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（三）不同投标供应商的投标文件由同一单位或者同一人编制，或者由同一人分阶段参与编制的；</w:t>
      </w:r>
    </w:p>
    <w:p w14:paraId="3D4169B2">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（四）不同投标供应商的投标文件或部分投标文件相互混装；</w:t>
      </w:r>
    </w:p>
    <w:p w14:paraId="54D2976C">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（五）不同投标供应商的投标文件内容存在非正常一致；</w:t>
      </w:r>
    </w:p>
    <w:p w14:paraId="19CB3309">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（六）由同一单位工作人员为两家以上（含两家）供应商进行同一项投标活动的；</w:t>
      </w:r>
    </w:p>
    <w:p w14:paraId="38DA6546">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（七）主管部门依照法律法规认定的其他情形。</w:t>
      </w:r>
    </w:p>
    <w:p w14:paraId="4C753092">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第七十七条  供应商有下列情形之一的，属于隐瞒真实情况，提供虚假资料，按照采购条例第五十七条的有关规定处理：</w:t>
      </w:r>
    </w:p>
    <w:p w14:paraId="5294D68A">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（一）通过转让或者租借等方式从其他单位获取资格或者资质证书投标的；</w:t>
      </w:r>
    </w:p>
    <w:p w14:paraId="72ADCDC1">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（二）由其他单位或者其他单位负责人在投标供应商编制的投标文件上加盖印章或者签字的；</w:t>
      </w:r>
    </w:p>
    <w:p w14:paraId="0FBDE0B4">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（三）项目负责人或者主要技术人员不是本单位人员的；</w:t>
      </w:r>
    </w:p>
    <w:p w14:paraId="10FA2B18">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（四）投标保证金不是从投标供应商基本账户转出的；</w:t>
      </w:r>
    </w:p>
    <w:p w14:paraId="239168BF">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（五）其他隐瞒真实情况、提供虚假资料的行为。</w:t>
      </w:r>
    </w:p>
    <w:p w14:paraId="339ABF0F">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投标供应商不能提供项目负责人或者主要技术人员的劳动合同、社会保险等劳动关系证明材料的，视为存在前款第（三）项规定的情形。</w:t>
      </w:r>
    </w:p>
    <w:p w14:paraId="1C98EEAA">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color w:val="auto"/>
          <w:sz w:val="28"/>
          <w:szCs w:val="28"/>
          <w:highlight w:val="none"/>
        </w:rPr>
      </w:pPr>
      <w:bookmarkStart w:id="7" w:name="_Toc5544"/>
      <w:bookmarkStart w:id="8" w:name="_Toc12769"/>
      <w:bookmarkStart w:id="9" w:name="_Toc13409"/>
      <w:r>
        <w:rPr>
          <w:rFonts w:hint="eastAsia" w:ascii="仿宋" w:hAnsi="仿宋" w:eastAsia="仿宋" w:cs="仿宋"/>
          <w:color w:val="auto"/>
          <w:sz w:val="28"/>
          <w:szCs w:val="28"/>
          <w:highlight w:val="none"/>
        </w:rPr>
        <w:t>三、《中华人民共和国政府采购法实施条例》</w:t>
      </w:r>
      <w:bookmarkEnd w:id="7"/>
      <w:bookmarkEnd w:id="8"/>
      <w:bookmarkEnd w:id="9"/>
    </w:p>
    <w:p w14:paraId="3E5623F8">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第十八条  单位负责人为同一人或者存在直接控股、管理关系的不同供应商，不得参加同一合同项下的政府采购活动。</w:t>
      </w:r>
    </w:p>
    <w:p w14:paraId="3C7FFB7D">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除单一来源采购项目外，为采购项目提供整体设计、规范编制或者项目管理、监理、检测等服务的供应商，不得再参加该采购项目的其他采购活动。</w:t>
      </w:r>
    </w:p>
    <w:p w14:paraId="3F09AC38">
      <w:pPr>
        <w:keepNext w:val="0"/>
        <w:keepLines w:val="0"/>
        <w:pageBreakBefore w:val="0"/>
        <w:widowControl w:val="0"/>
        <w:kinsoku/>
        <w:wordWrap/>
        <w:overflowPunct/>
        <w:topLinePunct w:val="0"/>
        <w:autoSpaceDE w:val="0"/>
        <w:autoSpaceDN w:val="0"/>
        <w:bidi w:val="0"/>
        <w:adjustRightInd/>
        <w:spacing w:line="500" w:lineRule="exact"/>
        <w:ind w:firstLine="498" w:firstLineChars="177"/>
        <w:textAlignment w:val="auto"/>
        <w:rPr>
          <w:rFonts w:hint="eastAsia" w:ascii="仿宋_GB2312" w:eastAsia="仿宋_GB2312" w:hAnsiTheme="minorEastAsia"/>
          <w:b/>
          <w:color w:val="auto"/>
          <w:sz w:val="28"/>
          <w:szCs w:val="28"/>
          <w:highlight w:val="none"/>
        </w:rPr>
      </w:pPr>
      <w:r>
        <w:rPr>
          <w:rFonts w:hint="eastAsia" w:ascii="仿宋_GB2312" w:eastAsia="仿宋_GB2312" w:hAnsiTheme="minorEastAsia"/>
          <w:b/>
          <w:color w:val="auto"/>
          <w:sz w:val="28"/>
          <w:szCs w:val="28"/>
          <w:highlight w:val="none"/>
        </w:rPr>
        <w:t>投标供应商涉嫌存在串通投标等违法行为的，将书面报告财政主管部门依法处理。</w:t>
      </w:r>
    </w:p>
    <w:p w14:paraId="5FCE1C80">
      <w:pPr>
        <w:pStyle w:val="15"/>
        <w:rPr>
          <w:rFonts w:hint="eastAsia" w:ascii="仿宋_GB2312" w:eastAsia="仿宋_GB2312" w:hAnsiTheme="minorEastAsia"/>
          <w:b/>
          <w:color w:val="auto"/>
          <w:sz w:val="28"/>
          <w:szCs w:val="28"/>
          <w:highlight w:val="none"/>
        </w:rPr>
      </w:pPr>
    </w:p>
    <w:p w14:paraId="11EB1E07">
      <w:pPr>
        <w:rPr>
          <w:rFonts w:hint="eastAsia"/>
        </w:rPr>
      </w:pPr>
    </w:p>
    <w:p w14:paraId="1DAAC625">
      <w:pPr>
        <w:keepNext w:val="0"/>
        <w:keepLines w:val="0"/>
        <w:pageBreakBefore w:val="0"/>
        <w:widowControl w:val="0"/>
        <w:kinsoku/>
        <w:wordWrap/>
        <w:overflowPunct/>
        <w:topLinePunct w:val="0"/>
        <w:autoSpaceDE w:val="0"/>
        <w:autoSpaceDN w:val="0"/>
        <w:bidi w:val="0"/>
        <w:adjustRightInd/>
        <w:spacing w:line="500" w:lineRule="exact"/>
        <w:jc w:val="center"/>
        <w:textAlignment w:val="auto"/>
        <w:rPr>
          <w:rFonts w:hint="eastAsia" w:ascii="仿宋_GB2312" w:hAnsi="仿宋_GB2312" w:eastAsia="仿宋_GB2312" w:cs="仿宋_GB2312"/>
          <w:b/>
          <w:bCs/>
          <w:color w:val="auto"/>
          <w:sz w:val="36"/>
          <w:szCs w:val="36"/>
          <w:highlight w:val="none"/>
        </w:rPr>
      </w:pPr>
    </w:p>
    <w:p w14:paraId="45D36B29">
      <w:pPr>
        <w:keepNext w:val="0"/>
        <w:keepLines w:val="0"/>
        <w:pageBreakBefore w:val="0"/>
        <w:widowControl w:val="0"/>
        <w:kinsoku/>
        <w:wordWrap/>
        <w:overflowPunct/>
        <w:topLinePunct w:val="0"/>
        <w:autoSpaceDE w:val="0"/>
        <w:autoSpaceDN w:val="0"/>
        <w:bidi w:val="0"/>
        <w:adjustRightInd/>
        <w:spacing w:line="500" w:lineRule="exact"/>
        <w:jc w:val="center"/>
        <w:textAlignment w:val="auto"/>
        <w:rPr>
          <w:rFonts w:ascii="仿宋_GB2312" w:hAnsi="仿宋_GB2312" w:eastAsia="仿宋_GB2312" w:cs="仿宋_GB2312"/>
          <w:b/>
          <w:bCs/>
          <w:color w:val="auto"/>
          <w:sz w:val="36"/>
          <w:szCs w:val="36"/>
          <w:highlight w:val="none"/>
        </w:rPr>
      </w:pPr>
      <w:r>
        <w:rPr>
          <w:rFonts w:hint="eastAsia" w:ascii="仿宋_GB2312" w:hAnsi="仿宋_GB2312" w:eastAsia="仿宋_GB2312" w:cs="仿宋_GB2312"/>
          <w:b/>
          <w:bCs/>
          <w:color w:val="auto"/>
          <w:sz w:val="36"/>
          <w:szCs w:val="36"/>
          <w:highlight w:val="none"/>
        </w:rPr>
        <w:t>投标文件初审表</w:t>
      </w:r>
    </w:p>
    <w:p w14:paraId="1150030E">
      <w:pPr>
        <w:keepNext w:val="0"/>
        <w:keepLines w:val="0"/>
        <w:pageBreakBefore w:val="0"/>
        <w:widowControl w:val="0"/>
        <w:kinsoku/>
        <w:wordWrap/>
        <w:overflowPunct/>
        <w:topLinePunct w:val="0"/>
        <w:bidi w:val="0"/>
        <w:spacing w:line="560" w:lineRule="exact"/>
        <w:jc w:val="center"/>
        <w:textAlignment w:val="auto"/>
        <w:rPr>
          <w:rFonts w:asciiTheme="majorEastAsia" w:hAnsiTheme="majorEastAsia" w:eastAsiaTheme="majorEastAsia"/>
          <w:color w:val="auto"/>
          <w:sz w:val="30"/>
          <w:szCs w:val="30"/>
          <w:highlight w:val="none"/>
        </w:rPr>
      </w:pPr>
      <w:r>
        <w:rPr>
          <w:rFonts w:hint="eastAsia" w:ascii="仿宋" w:hAnsi="仿宋" w:eastAsia="仿宋" w:cs="仿宋"/>
          <w:b/>
          <w:color w:val="auto"/>
          <w:sz w:val="22"/>
          <w:szCs w:val="28"/>
          <w:highlight w:val="none"/>
        </w:rPr>
        <w:t>（凡未满足下列情形的，投标文件无效，投标作废标处理）</w:t>
      </w:r>
    </w:p>
    <w:p w14:paraId="5B0326FF">
      <w:pPr>
        <w:pStyle w:val="3"/>
        <w:keepNext w:val="0"/>
        <w:keepLines w:val="0"/>
        <w:pageBreakBefore w:val="0"/>
        <w:widowControl w:val="0"/>
        <w:kinsoku/>
        <w:wordWrap/>
        <w:overflowPunct/>
        <w:topLinePunct w:val="0"/>
        <w:bidi w:val="0"/>
        <w:spacing w:line="560" w:lineRule="exact"/>
        <w:jc w:val="center"/>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（一）资格性审查表</w:t>
      </w:r>
    </w:p>
    <w:tbl>
      <w:tblPr>
        <w:tblStyle w:val="18"/>
        <w:tblW w:w="10090" w:type="dxa"/>
        <w:tblInd w:w="-5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8088"/>
        <w:gridCol w:w="1119"/>
      </w:tblGrid>
      <w:tr w14:paraId="63934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883" w:type="dxa"/>
            <w:vAlign w:val="center"/>
          </w:tcPr>
          <w:p w14:paraId="46233C1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宋体" w:cs="宋体"/>
                <w:b/>
                <w:color w:val="auto"/>
                <w:highlight w:val="none"/>
              </w:rPr>
            </w:pPr>
            <w:r>
              <w:rPr>
                <w:rFonts w:hint="eastAsia" w:ascii="宋体" w:cs="宋体"/>
                <w:b/>
                <w:color w:val="auto"/>
                <w:highlight w:val="none"/>
              </w:rPr>
              <w:t>序号</w:t>
            </w:r>
          </w:p>
        </w:tc>
        <w:tc>
          <w:tcPr>
            <w:tcW w:w="8088" w:type="dxa"/>
            <w:vAlign w:val="center"/>
          </w:tcPr>
          <w:p w14:paraId="5494885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宋体" w:cs="宋体"/>
                <w:b/>
                <w:color w:val="auto"/>
                <w:highlight w:val="none"/>
              </w:rPr>
            </w:pPr>
            <w:r>
              <w:rPr>
                <w:rFonts w:hint="eastAsia" w:ascii="宋体" w:hAnsi="宋体" w:cs="宋体"/>
                <w:b/>
                <w:color w:val="auto"/>
                <w:highlight w:val="none"/>
              </w:rPr>
              <w:t>评 审 内 容</w:t>
            </w:r>
          </w:p>
        </w:tc>
        <w:tc>
          <w:tcPr>
            <w:tcW w:w="1119" w:type="dxa"/>
            <w:vAlign w:val="center"/>
          </w:tcPr>
          <w:p w14:paraId="7D44899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自查情况</w:t>
            </w:r>
          </w:p>
          <w:p w14:paraId="76A57F5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cs="宋体"/>
                <w:b/>
                <w:color w:val="auto"/>
                <w:highlight w:val="none"/>
              </w:rPr>
            </w:pPr>
            <w:r>
              <w:rPr>
                <w:rFonts w:hint="eastAsia" w:ascii="宋体" w:hAnsi="宋体"/>
                <w:color w:val="auto"/>
                <w:szCs w:val="21"/>
                <w:highlight w:val="none"/>
                <w:lang w:eastAsia="zh-CN"/>
              </w:rPr>
              <w:t>（填写“</w:t>
            </w:r>
            <w:r>
              <w:rPr>
                <w:rFonts w:hint="eastAsia" w:ascii="宋体" w:hAnsi="宋体"/>
                <w:color w:val="auto"/>
                <w:szCs w:val="21"/>
                <w:highlight w:val="none"/>
                <w:lang w:val="en-US" w:eastAsia="zh-CN"/>
              </w:rPr>
              <w:t>满足</w:t>
            </w:r>
            <w:r>
              <w:rPr>
                <w:rFonts w:hint="eastAsia" w:ascii="宋体" w:hAnsi="宋体"/>
                <w:color w:val="auto"/>
                <w:szCs w:val="21"/>
                <w:highlight w:val="none"/>
                <w:lang w:eastAsia="zh-CN"/>
              </w:rPr>
              <w:t>”或“</w:t>
            </w:r>
            <w:r>
              <w:rPr>
                <w:rFonts w:hint="eastAsia" w:ascii="宋体" w:hAnsi="宋体"/>
                <w:color w:val="auto"/>
                <w:szCs w:val="21"/>
                <w:highlight w:val="none"/>
                <w:lang w:val="en-US" w:eastAsia="zh-CN"/>
              </w:rPr>
              <w:t>不满足</w:t>
            </w:r>
            <w:r>
              <w:rPr>
                <w:rFonts w:hint="eastAsia" w:ascii="宋体" w:hAnsi="宋体"/>
                <w:color w:val="auto"/>
                <w:szCs w:val="21"/>
                <w:highlight w:val="none"/>
                <w:lang w:eastAsia="zh-CN"/>
              </w:rPr>
              <w:t>”）</w:t>
            </w:r>
          </w:p>
        </w:tc>
      </w:tr>
      <w:tr w14:paraId="5ECFB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883" w:type="dxa"/>
            <w:vAlign w:val="center"/>
          </w:tcPr>
          <w:p w14:paraId="0D262AEF">
            <w:pPr>
              <w:keepNext w:val="0"/>
              <w:keepLines w:val="0"/>
              <w:pageBreakBefore w:val="0"/>
              <w:widowControl w:val="0"/>
              <w:numPr>
                <w:ilvl w:val="0"/>
                <w:numId w:val="4"/>
              </w:numPr>
              <w:tabs>
                <w:tab w:val="left" w:pos="176"/>
                <w:tab w:val="left" w:pos="612"/>
              </w:tabs>
              <w:kinsoku/>
              <w:wordWrap/>
              <w:overflowPunct/>
              <w:topLinePunct w:val="0"/>
              <w:autoSpaceDE/>
              <w:autoSpaceDN/>
              <w:bidi w:val="0"/>
              <w:adjustRightInd/>
              <w:snapToGrid/>
              <w:spacing w:line="240" w:lineRule="atLeast"/>
              <w:ind w:left="342"/>
              <w:jc w:val="center"/>
              <w:textAlignment w:val="auto"/>
              <w:rPr>
                <w:rFonts w:ascii="宋体" w:hAnsi="宋体" w:cs="宋体"/>
                <w:color w:val="auto"/>
                <w:highlight w:val="none"/>
              </w:rPr>
            </w:pPr>
          </w:p>
        </w:tc>
        <w:tc>
          <w:tcPr>
            <w:tcW w:w="8088" w:type="dxa"/>
            <w:vAlign w:val="center"/>
          </w:tcPr>
          <w:p w14:paraId="22C35FC4">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具备招标文件中规定要求的资格，且资格证明文件齐全</w:t>
            </w:r>
            <w:r>
              <w:rPr>
                <w:rFonts w:hint="eastAsia" w:ascii="宋体" w:hAnsi="宋体" w:cs="宋体"/>
                <w:color w:val="auto"/>
                <w:sz w:val="22"/>
                <w:szCs w:val="22"/>
                <w:highlight w:val="none"/>
                <w:lang w:eastAsia="zh-CN"/>
              </w:rPr>
              <w:t>。</w:t>
            </w:r>
          </w:p>
        </w:tc>
        <w:tc>
          <w:tcPr>
            <w:tcW w:w="1119" w:type="dxa"/>
            <w:vAlign w:val="center"/>
          </w:tcPr>
          <w:p w14:paraId="7D0E11AE">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color w:val="auto"/>
                <w:sz w:val="22"/>
                <w:szCs w:val="22"/>
                <w:highlight w:val="none"/>
              </w:rPr>
            </w:pPr>
          </w:p>
        </w:tc>
      </w:tr>
      <w:tr w14:paraId="22E8A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883" w:type="dxa"/>
            <w:vAlign w:val="center"/>
          </w:tcPr>
          <w:p w14:paraId="375698E2">
            <w:pPr>
              <w:keepNext w:val="0"/>
              <w:keepLines w:val="0"/>
              <w:pageBreakBefore w:val="0"/>
              <w:widowControl w:val="0"/>
              <w:numPr>
                <w:ilvl w:val="0"/>
                <w:numId w:val="4"/>
              </w:numPr>
              <w:tabs>
                <w:tab w:val="left" w:pos="176"/>
                <w:tab w:val="left" w:pos="612"/>
              </w:tabs>
              <w:kinsoku/>
              <w:wordWrap/>
              <w:overflowPunct/>
              <w:topLinePunct w:val="0"/>
              <w:autoSpaceDE/>
              <w:autoSpaceDN/>
              <w:bidi w:val="0"/>
              <w:adjustRightInd/>
              <w:snapToGrid/>
              <w:spacing w:line="240" w:lineRule="atLeast"/>
              <w:ind w:left="342"/>
              <w:jc w:val="center"/>
              <w:textAlignment w:val="auto"/>
              <w:rPr>
                <w:rFonts w:ascii="宋体" w:hAnsi="宋体" w:cs="宋体"/>
                <w:color w:val="auto"/>
                <w:highlight w:val="none"/>
              </w:rPr>
            </w:pPr>
          </w:p>
        </w:tc>
        <w:tc>
          <w:tcPr>
            <w:tcW w:w="8088" w:type="dxa"/>
            <w:vAlign w:val="center"/>
          </w:tcPr>
          <w:p w14:paraId="4E758747">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投标及履约承诺函已提交并符合招标文件要求的</w:t>
            </w:r>
            <w:r>
              <w:rPr>
                <w:rFonts w:hint="eastAsia" w:ascii="宋体" w:hAnsi="宋体" w:cs="宋体"/>
                <w:color w:val="auto"/>
                <w:sz w:val="22"/>
                <w:szCs w:val="22"/>
                <w:highlight w:val="none"/>
                <w:lang w:eastAsia="zh-CN"/>
              </w:rPr>
              <w:t>。</w:t>
            </w:r>
          </w:p>
        </w:tc>
        <w:tc>
          <w:tcPr>
            <w:tcW w:w="1119" w:type="dxa"/>
            <w:vAlign w:val="center"/>
          </w:tcPr>
          <w:p w14:paraId="4872C0F4">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color w:val="auto"/>
                <w:sz w:val="22"/>
                <w:szCs w:val="22"/>
                <w:highlight w:val="none"/>
              </w:rPr>
            </w:pPr>
          </w:p>
        </w:tc>
      </w:tr>
      <w:tr w14:paraId="078B5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83" w:type="dxa"/>
            <w:vAlign w:val="center"/>
          </w:tcPr>
          <w:p w14:paraId="401AD662">
            <w:pPr>
              <w:keepNext w:val="0"/>
              <w:keepLines w:val="0"/>
              <w:pageBreakBefore w:val="0"/>
              <w:widowControl w:val="0"/>
              <w:numPr>
                <w:ilvl w:val="0"/>
                <w:numId w:val="4"/>
              </w:numPr>
              <w:tabs>
                <w:tab w:val="left" w:pos="176"/>
                <w:tab w:val="left" w:pos="612"/>
              </w:tabs>
              <w:kinsoku/>
              <w:wordWrap/>
              <w:overflowPunct/>
              <w:topLinePunct w:val="0"/>
              <w:autoSpaceDE/>
              <w:autoSpaceDN/>
              <w:bidi w:val="0"/>
              <w:adjustRightInd/>
              <w:snapToGrid/>
              <w:spacing w:line="240" w:lineRule="atLeast"/>
              <w:ind w:left="342"/>
              <w:jc w:val="center"/>
              <w:textAlignment w:val="auto"/>
              <w:rPr>
                <w:rFonts w:ascii="宋体" w:hAnsi="宋体" w:cs="宋体"/>
                <w:color w:val="auto"/>
                <w:highlight w:val="none"/>
              </w:rPr>
            </w:pPr>
            <w:bookmarkStart w:id="10" w:name="_Toc15975"/>
          </w:p>
        </w:tc>
        <w:tc>
          <w:tcPr>
            <w:tcW w:w="8088" w:type="dxa"/>
            <w:vAlign w:val="center"/>
          </w:tcPr>
          <w:p w14:paraId="1D5530A0">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宋体" w:hAnsi="宋体" w:cs="宋体"/>
                <w:color w:val="auto"/>
                <w:sz w:val="22"/>
                <w:szCs w:val="22"/>
                <w:highlight w:val="none"/>
              </w:rPr>
            </w:pPr>
            <w:r>
              <w:rPr>
                <w:rFonts w:hint="eastAsia" w:ascii="宋体" w:hAnsi="宋体" w:cs="宋体"/>
                <w:color w:val="auto"/>
                <w:sz w:val="22"/>
                <w:szCs w:val="22"/>
                <w:highlight w:val="none"/>
              </w:rPr>
              <w:t>供应商基本情况表已提交，提供法定代表人、主要经营负责人、项目投标授权代表人、项目负责人</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如有</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、主要技术人员</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如有</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最近一个月的社会保险证明。</w:t>
            </w:r>
          </w:p>
          <w:p w14:paraId="1FD256D0">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宋体" w:hAnsi="宋体" w:cs="宋体"/>
                <w:color w:val="auto"/>
                <w:sz w:val="22"/>
                <w:szCs w:val="22"/>
                <w:highlight w:val="none"/>
              </w:rPr>
            </w:pPr>
            <w:r>
              <w:rPr>
                <w:rFonts w:hint="eastAsia" w:ascii="宋体" w:hAnsi="宋体" w:cs="宋体"/>
                <w:color w:val="auto"/>
                <w:sz w:val="22"/>
                <w:szCs w:val="22"/>
                <w:highlight w:val="none"/>
              </w:rPr>
              <w:t>备注：</w:t>
            </w:r>
          </w:p>
          <w:p w14:paraId="09219DD9">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宋体" w:hAnsi="宋体" w:cs="宋体"/>
                <w:color w:val="auto"/>
                <w:sz w:val="22"/>
                <w:szCs w:val="22"/>
                <w:highlight w:val="none"/>
              </w:rPr>
            </w:pPr>
            <w:r>
              <w:rPr>
                <w:rFonts w:hint="eastAsia" w:ascii="宋体" w:hAnsi="宋体" w:cs="宋体"/>
                <w:color w:val="auto"/>
                <w:sz w:val="22"/>
                <w:szCs w:val="22"/>
                <w:highlight w:val="none"/>
              </w:rPr>
              <w:t>1.法定代表人、主要经营负责人、项目投标授权代表人的社会保险未由投标人单位缴纳，亦须提供相应单位为其缴纳的社会保险证明。</w:t>
            </w:r>
          </w:p>
          <w:p w14:paraId="603BD88E">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宋体" w:hAnsi="宋体" w:cs="宋体"/>
                <w:color w:val="auto"/>
                <w:sz w:val="22"/>
                <w:szCs w:val="22"/>
                <w:highlight w:val="none"/>
              </w:rPr>
            </w:pPr>
            <w:r>
              <w:rPr>
                <w:rFonts w:hint="eastAsia" w:ascii="宋体" w:hAnsi="宋体" w:cs="宋体"/>
                <w:color w:val="auto"/>
                <w:sz w:val="22"/>
                <w:szCs w:val="22"/>
                <w:highlight w:val="none"/>
              </w:rPr>
              <w:t>2.项目负责人和主要技术人员的社会保险须由投标人单位缴纳。</w:t>
            </w:r>
          </w:p>
          <w:p w14:paraId="6FB5C47B">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宋体" w:hAnsi="宋体" w:cs="宋体"/>
                <w:color w:val="auto"/>
                <w:sz w:val="22"/>
                <w:szCs w:val="22"/>
                <w:highlight w:val="none"/>
              </w:rPr>
            </w:pPr>
            <w:r>
              <w:rPr>
                <w:rFonts w:hint="eastAsia" w:ascii="宋体" w:hAnsi="宋体" w:cs="宋体"/>
                <w:color w:val="auto"/>
                <w:sz w:val="22"/>
                <w:szCs w:val="22"/>
                <w:highlight w:val="none"/>
              </w:rPr>
              <w:t>3.投标人为新成立企业且成立时间不足一个月可提供加盖投标人公章的情况说明或者证明材料亦视为符合。</w:t>
            </w:r>
          </w:p>
          <w:p w14:paraId="05DCAA56">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宋体" w:hAnsi="宋体" w:cs="宋体"/>
                <w:color w:val="auto"/>
                <w:sz w:val="22"/>
                <w:szCs w:val="22"/>
                <w:highlight w:val="none"/>
              </w:rPr>
            </w:pPr>
            <w:r>
              <w:rPr>
                <w:rFonts w:hint="eastAsia" w:ascii="宋体" w:hAnsi="宋体" w:cs="宋体"/>
                <w:color w:val="auto"/>
                <w:sz w:val="22"/>
                <w:szCs w:val="22"/>
                <w:highlight w:val="none"/>
              </w:rPr>
              <w:t>4.若为退休人员，提供退休证明。如依法不需要缴纳社会保险的，应提供相应文件证明。</w:t>
            </w:r>
          </w:p>
          <w:p w14:paraId="779DD40E">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宋体" w:hAnsi="宋体" w:cs="宋体"/>
                <w:color w:val="auto"/>
                <w:sz w:val="22"/>
                <w:szCs w:val="22"/>
                <w:highlight w:val="none"/>
              </w:rPr>
            </w:pPr>
            <w:r>
              <w:rPr>
                <w:rFonts w:hint="eastAsia" w:ascii="宋体" w:hAnsi="宋体" w:cs="宋体"/>
                <w:color w:val="auto"/>
                <w:sz w:val="22"/>
                <w:szCs w:val="22"/>
                <w:highlight w:val="none"/>
              </w:rPr>
              <w:t>5.若因社保部门原因无法提供的，需提供劳动合同及社保部门官方通知证明</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或官网公告截图</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w:t>
            </w:r>
          </w:p>
          <w:p w14:paraId="352DA863">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宋体" w:hAnsi="宋体" w:cs="宋体"/>
                <w:color w:val="auto"/>
                <w:sz w:val="22"/>
                <w:szCs w:val="22"/>
                <w:highlight w:val="none"/>
              </w:rPr>
            </w:pPr>
            <w:r>
              <w:rPr>
                <w:rFonts w:hint="eastAsia" w:ascii="宋体" w:hAnsi="宋体" w:cs="宋体"/>
                <w:color w:val="auto"/>
                <w:sz w:val="22"/>
                <w:szCs w:val="22"/>
                <w:highlight w:val="none"/>
              </w:rPr>
              <w:t>6.如本项目未安排项目负责人、主要技术人员的，无需提供项目负责人、主要技术人员的社保。</w:t>
            </w:r>
          </w:p>
        </w:tc>
        <w:tc>
          <w:tcPr>
            <w:tcW w:w="1119" w:type="dxa"/>
            <w:vAlign w:val="center"/>
          </w:tcPr>
          <w:p w14:paraId="5E74468A">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color w:val="auto"/>
                <w:sz w:val="22"/>
                <w:szCs w:val="22"/>
                <w:highlight w:val="none"/>
              </w:rPr>
            </w:pPr>
          </w:p>
        </w:tc>
      </w:tr>
      <w:tr w14:paraId="47582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883" w:type="dxa"/>
            <w:vAlign w:val="center"/>
          </w:tcPr>
          <w:p w14:paraId="07E518CE">
            <w:pPr>
              <w:keepNext w:val="0"/>
              <w:keepLines w:val="0"/>
              <w:pageBreakBefore w:val="0"/>
              <w:widowControl w:val="0"/>
              <w:numPr>
                <w:ilvl w:val="0"/>
                <w:numId w:val="4"/>
              </w:numPr>
              <w:tabs>
                <w:tab w:val="left" w:pos="176"/>
                <w:tab w:val="left" w:pos="612"/>
              </w:tabs>
              <w:kinsoku/>
              <w:wordWrap/>
              <w:overflowPunct/>
              <w:topLinePunct w:val="0"/>
              <w:autoSpaceDE/>
              <w:autoSpaceDN/>
              <w:bidi w:val="0"/>
              <w:adjustRightInd/>
              <w:snapToGrid/>
              <w:spacing w:line="240" w:lineRule="atLeast"/>
              <w:ind w:left="342"/>
              <w:jc w:val="center"/>
              <w:textAlignment w:val="auto"/>
              <w:rPr>
                <w:rFonts w:ascii="宋体" w:hAnsi="宋体" w:cs="宋体"/>
                <w:color w:val="auto"/>
                <w:highlight w:val="none"/>
              </w:rPr>
            </w:pPr>
          </w:p>
        </w:tc>
        <w:tc>
          <w:tcPr>
            <w:tcW w:w="8088" w:type="dxa"/>
            <w:vAlign w:val="center"/>
          </w:tcPr>
          <w:p w14:paraId="509E3EFD">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宋体" w:hAnsi="宋体" w:cs="宋体"/>
                <w:color w:val="auto"/>
                <w:sz w:val="22"/>
                <w:szCs w:val="22"/>
                <w:highlight w:val="none"/>
              </w:rPr>
            </w:pPr>
            <w:r>
              <w:rPr>
                <w:rFonts w:hint="eastAsia" w:ascii="宋体" w:hAnsi="宋体" w:cs="宋体"/>
                <w:color w:val="auto"/>
                <w:sz w:val="22"/>
                <w:szCs w:val="22"/>
                <w:highlight w:val="none"/>
              </w:rPr>
              <w:t>不同供应商的法定代表人、主要经营负责人、项目投标授权代表人、项目负责人</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如有</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、主要技术人员</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如有</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不存在为同一人或在同一单位缴纳社会保险；或者不存在直接控股、管理关系；不存在因违法行为而被禁止参加政府采购活动等情形。</w:t>
            </w:r>
          </w:p>
        </w:tc>
        <w:tc>
          <w:tcPr>
            <w:tcW w:w="1119" w:type="dxa"/>
            <w:vAlign w:val="center"/>
          </w:tcPr>
          <w:p w14:paraId="4CA1C814">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color w:val="auto"/>
                <w:sz w:val="22"/>
                <w:szCs w:val="22"/>
                <w:highlight w:val="none"/>
              </w:rPr>
            </w:pPr>
          </w:p>
        </w:tc>
      </w:tr>
      <w:bookmarkEnd w:id="10"/>
    </w:tbl>
    <w:p w14:paraId="3F7BDD65"/>
    <w:p w14:paraId="790FC03B">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投标人（公章）：</w:t>
      </w:r>
    </w:p>
    <w:p w14:paraId="0D775CB2">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法定代表人或其授权代表签名：</w:t>
      </w:r>
    </w:p>
    <w:p w14:paraId="2DD63CE3">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日期：      年    月    日</w:t>
      </w:r>
    </w:p>
    <w:p w14:paraId="29DD7BA8">
      <w:pPr>
        <w:rPr>
          <w:color w:val="auto"/>
          <w:highlight w:val="none"/>
        </w:rPr>
      </w:pPr>
    </w:p>
    <w:p w14:paraId="12A92A02">
      <w:pPr>
        <w:pStyle w:val="15"/>
        <w:rPr>
          <w:color w:val="auto"/>
          <w:highlight w:val="none"/>
        </w:rPr>
      </w:pPr>
    </w:p>
    <w:p w14:paraId="6477248A">
      <w:pPr>
        <w:rPr>
          <w:color w:val="auto"/>
          <w:highlight w:val="none"/>
        </w:rPr>
      </w:pPr>
    </w:p>
    <w:p w14:paraId="229E37BF">
      <w:pPr>
        <w:pStyle w:val="15"/>
        <w:rPr>
          <w:color w:val="auto"/>
          <w:highlight w:val="none"/>
        </w:rPr>
      </w:pPr>
    </w:p>
    <w:p w14:paraId="1BA24E81">
      <w:pPr>
        <w:rPr>
          <w:color w:val="auto"/>
          <w:highlight w:val="none"/>
        </w:rPr>
      </w:pPr>
    </w:p>
    <w:p w14:paraId="4764E916">
      <w:pPr>
        <w:pStyle w:val="15"/>
      </w:pPr>
    </w:p>
    <w:p w14:paraId="34BEC3B5">
      <w:pPr>
        <w:pStyle w:val="3"/>
        <w:keepNext w:val="0"/>
        <w:keepLines w:val="0"/>
        <w:pageBreakBefore w:val="0"/>
        <w:widowControl w:val="0"/>
        <w:kinsoku/>
        <w:wordWrap/>
        <w:overflowPunct/>
        <w:topLinePunct w:val="0"/>
        <w:bidi w:val="0"/>
        <w:spacing w:line="560" w:lineRule="exact"/>
        <w:jc w:val="center"/>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（二）符合性检查表</w:t>
      </w:r>
    </w:p>
    <w:tbl>
      <w:tblPr>
        <w:tblStyle w:val="18"/>
        <w:tblW w:w="10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7650"/>
        <w:gridCol w:w="1613"/>
      </w:tblGrid>
      <w:tr w14:paraId="405CA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10" w:type="dxa"/>
            <w:noWrap/>
            <w:vAlign w:val="center"/>
          </w:tcPr>
          <w:p w14:paraId="788CCBB4">
            <w:pPr>
              <w:keepNext w:val="0"/>
              <w:keepLines w:val="0"/>
              <w:pageBreakBefore w:val="0"/>
              <w:widowControl w:val="0"/>
              <w:kinsoku/>
              <w:wordWrap/>
              <w:overflowPunct/>
              <w:topLinePunct w:val="0"/>
              <w:bidi w:val="0"/>
              <w:spacing w:line="240" w:lineRule="atLeast"/>
              <w:jc w:val="left"/>
              <w:textAlignment w:val="auto"/>
              <w:rPr>
                <w:rFonts w:ascii="宋体" w:hAnsi="宋体" w:cs="宋体"/>
                <w:b/>
                <w:color w:val="auto"/>
                <w:highlight w:val="none"/>
              </w:rPr>
            </w:pPr>
            <w:r>
              <w:rPr>
                <w:rFonts w:hint="eastAsia" w:ascii="宋体" w:hAnsi="宋体" w:cs="宋体"/>
                <w:b/>
                <w:color w:val="auto"/>
                <w:highlight w:val="none"/>
              </w:rPr>
              <w:t>序号</w:t>
            </w:r>
          </w:p>
        </w:tc>
        <w:tc>
          <w:tcPr>
            <w:tcW w:w="7650" w:type="dxa"/>
            <w:noWrap/>
            <w:vAlign w:val="center"/>
          </w:tcPr>
          <w:p w14:paraId="34346F1B">
            <w:pPr>
              <w:keepNext w:val="0"/>
              <w:keepLines w:val="0"/>
              <w:pageBreakBefore w:val="0"/>
              <w:widowControl w:val="0"/>
              <w:kinsoku/>
              <w:wordWrap/>
              <w:overflowPunct/>
              <w:topLinePunct w:val="0"/>
              <w:bidi w:val="0"/>
              <w:spacing w:line="240" w:lineRule="atLeast"/>
              <w:jc w:val="left"/>
              <w:textAlignment w:val="auto"/>
              <w:rPr>
                <w:rFonts w:ascii="宋体" w:hAnsi="宋体" w:cs="宋体"/>
                <w:b/>
                <w:color w:val="auto"/>
                <w:highlight w:val="none"/>
              </w:rPr>
            </w:pPr>
            <w:r>
              <w:rPr>
                <w:rFonts w:hint="eastAsia" w:ascii="宋体" w:hAnsi="宋体" w:cs="宋体"/>
                <w:b/>
                <w:color w:val="auto"/>
                <w:highlight w:val="none"/>
              </w:rPr>
              <w:t>评审内容</w:t>
            </w:r>
          </w:p>
        </w:tc>
        <w:tc>
          <w:tcPr>
            <w:tcW w:w="1613" w:type="dxa"/>
            <w:noWrap/>
            <w:vAlign w:val="center"/>
          </w:tcPr>
          <w:p w14:paraId="3A8D5AFD">
            <w:pPr>
              <w:keepNext w:val="0"/>
              <w:keepLines w:val="0"/>
              <w:pageBreakBefore w:val="0"/>
              <w:widowControl w:val="0"/>
              <w:kinsoku/>
              <w:wordWrap/>
              <w:overflowPunct/>
              <w:topLinePunct w:val="0"/>
              <w:bidi w:val="0"/>
              <w:spacing w:line="240" w:lineRule="atLeast"/>
              <w:jc w:val="left"/>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自查情况</w:t>
            </w:r>
          </w:p>
          <w:p w14:paraId="12328168">
            <w:pPr>
              <w:keepNext w:val="0"/>
              <w:keepLines w:val="0"/>
              <w:pageBreakBefore w:val="0"/>
              <w:widowControl w:val="0"/>
              <w:kinsoku/>
              <w:wordWrap/>
              <w:overflowPunct/>
              <w:topLinePunct w:val="0"/>
              <w:bidi w:val="0"/>
              <w:spacing w:line="240" w:lineRule="atLeast"/>
              <w:jc w:val="left"/>
              <w:textAlignment w:val="auto"/>
              <w:rPr>
                <w:rFonts w:hint="eastAsia" w:ascii="宋体" w:hAnsi="宋体" w:cs="宋体"/>
                <w:b/>
                <w:color w:val="auto"/>
                <w:highlight w:val="none"/>
              </w:rPr>
            </w:pPr>
            <w:r>
              <w:rPr>
                <w:rFonts w:hint="eastAsia" w:ascii="宋体" w:hAnsi="宋体"/>
                <w:color w:val="auto"/>
                <w:szCs w:val="21"/>
                <w:highlight w:val="none"/>
                <w:lang w:eastAsia="zh-CN"/>
              </w:rPr>
              <w:t>（填写“</w:t>
            </w:r>
            <w:r>
              <w:rPr>
                <w:rFonts w:hint="eastAsia" w:ascii="宋体" w:hAnsi="宋体"/>
                <w:color w:val="auto"/>
                <w:szCs w:val="21"/>
                <w:highlight w:val="none"/>
                <w:lang w:val="en-US" w:eastAsia="zh-CN"/>
              </w:rPr>
              <w:t>满足</w:t>
            </w:r>
            <w:r>
              <w:rPr>
                <w:rFonts w:hint="eastAsia" w:ascii="宋体" w:hAnsi="宋体"/>
                <w:color w:val="auto"/>
                <w:szCs w:val="21"/>
                <w:highlight w:val="none"/>
                <w:lang w:eastAsia="zh-CN"/>
              </w:rPr>
              <w:t>”或“</w:t>
            </w:r>
            <w:r>
              <w:rPr>
                <w:rFonts w:hint="eastAsia" w:ascii="宋体" w:hAnsi="宋体"/>
                <w:color w:val="auto"/>
                <w:szCs w:val="21"/>
                <w:highlight w:val="none"/>
                <w:lang w:val="en-US" w:eastAsia="zh-CN"/>
              </w:rPr>
              <w:t>不满足</w:t>
            </w:r>
            <w:r>
              <w:rPr>
                <w:rFonts w:hint="eastAsia" w:ascii="宋体" w:hAnsi="宋体"/>
                <w:color w:val="auto"/>
                <w:szCs w:val="21"/>
                <w:highlight w:val="none"/>
                <w:lang w:eastAsia="zh-CN"/>
              </w:rPr>
              <w:t>”）</w:t>
            </w:r>
          </w:p>
        </w:tc>
      </w:tr>
      <w:tr w14:paraId="1E1D7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10" w:type="dxa"/>
            <w:noWrap/>
            <w:vAlign w:val="center"/>
          </w:tcPr>
          <w:p w14:paraId="599E350D">
            <w:pPr>
              <w:keepNext w:val="0"/>
              <w:keepLines w:val="0"/>
              <w:pageBreakBefore w:val="0"/>
              <w:widowControl w:val="0"/>
              <w:kinsoku/>
              <w:wordWrap/>
              <w:overflowPunct/>
              <w:topLinePunct w:val="0"/>
              <w:bidi w:val="0"/>
              <w:spacing w:line="240" w:lineRule="atLeast"/>
              <w:jc w:val="left"/>
              <w:textAlignment w:val="auto"/>
              <w:rPr>
                <w:rFonts w:ascii="宋体" w:hAnsi="宋体" w:cs="宋体"/>
                <w:color w:val="auto"/>
                <w:sz w:val="20"/>
                <w:szCs w:val="20"/>
                <w:highlight w:val="none"/>
              </w:rPr>
            </w:pPr>
            <w:r>
              <w:rPr>
                <w:rFonts w:hint="eastAsia" w:ascii="宋体" w:hAnsi="宋体" w:cs="宋体"/>
                <w:color w:val="auto"/>
                <w:sz w:val="20"/>
                <w:szCs w:val="20"/>
                <w:highlight w:val="none"/>
              </w:rPr>
              <w:t>1</w:t>
            </w:r>
          </w:p>
        </w:tc>
        <w:tc>
          <w:tcPr>
            <w:tcW w:w="7650" w:type="dxa"/>
            <w:noWrap/>
            <w:vAlign w:val="center"/>
          </w:tcPr>
          <w:p w14:paraId="21CF5300">
            <w:pPr>
              <w:keepNext w:val="0"/>
              <w:keepLines w:val="0"/>
              <w:pageBreakBefore w:val="0"/>
              <w:widowControl w:val="0"/>
              <w:kinsoku/>
              <w:wordWrap/>
              <w:overflowPunct/>
              <w:topLinePunct w:val="0"/>
              <w:bidi w:val="0"/>
              <w:spacing w:line="240" w:lineRule="atLeast"/>
              <w:jc w:val="left"/>
              <w:textAlignment w:val="auto"/>
              <w:rPr>
                <w:rFonts w:ascii="宋体" w:hAnsi="宋体" w:cs="宋体"/>
                <w:bCs/>
                <w:color w:val="auto"/>
                <w:sz w:val="22"/>
                <w:szCs w:val="22"/>
                <w:highlight w:val="none"/>
              </w:rPr>
            </w:pPr>
            <w:r>
              <w:rPr>
                <w:rFonts w:hint="eastAsia"/>
                <w:color w:val="auto"/>
                <w:highlight w:val="none"/>
              </w:rPr>
              <w:t>未</w:t>
            </w:r>
            <w:r>
              <w:rPr>
                <w:rFonts w:hint="eastAsia" w:ascii="宋体" w:hAnsi="宋体" w:cs="宋体"/>
                <w:bCs/>
                <w:color w:val="auto"/>
                <w:sz w:val="22"/>
                <w:szCs w:val="22"/>
                <w:highlight w:val="none"/>
              </w:rPr>
              <w:t>将一个包中的内容拆开投标。</w:t>
            </w:r>
          </w:p>
        </w:tc>
        <w:tc>
          <w:tcPr>
            <w:tcW w:w="1613" w:type="dxa"/>
            <w:noWrap/>
            <w:vAlign w:val="center"/>
          </w:tcPr>
          <w:p w14:paraId="1069227C">
            <w:pPr>
              <w:keepNext w:val="0"/>
              <w:keepLines w:val="0"/>
              <w:pageBreakBefore w:val="0"/>
              <w:widowControl w:val="0"/>
              <w:kinsoku/>
              <w:wordWrap/>
              <w:overflowPunct/>
              <w:topLinePunct w:val="0"/>
              <w:bidi w:val="0"/>
              <w:spacing w:line="240" w:lineRule="atLeast"/>
              <w:jc w:val="left"/>
              <w:textAlignment w:val="auto"/>
              <w:rPr>
                <w:rFonts w:hint="eastAsia"/>
                <w:color w:val="auto"/>
                <w:highlight w:val="none"/>
              </w:rPr>
            </w:pPr>
          </w:p>
        </w:tc>
      </w:tr>
      <w:tr w14:paraId="7D7F4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10" w:type="dxa"/>
            <w:noWrap/>
            <w:vAlign w:val="center"/>
          </w:tcPr>
          <w:p w14:paraId="49604DCD">
            <w:pPr>
              <w:keepNext w:val="0"/>
              <w:keepLines w:val="0"/>
              <w:pageBreakBefore w:val="0"/>
              <w:widowControl w:val="0"/>
              <w:kinsoku/>
              <w:wordWrap/>
              <w:overflowPunct/>
              <w:topLinePunct w:val="0"/>
              <w:bidi w:val="0"/>
              <w:spacing w:line="240" w:lineRule="atLeast"/>
              <w:jc w:val="left"/>
              <w:textAlignment w:val="auto"/>
              <w:rPr>
                <w:rFonts w:ascii="宋体" w:hAnsi="宋体" w:cs="宋体"/>
                <w:color w:val="auto"/>
                <w:sz w:val="20"/>
                <w:szCs w:val="20"/>
                <w:highlight w:val="none"/>
              </w:rPr>
            </w:pPr>
            <w:r>
              <w:rPr>
                <w:rFonts w:hint="eastAsia" w:ascii="宋体" w:hAnsi="宋体" w:cs="宋体"/>
                <w:color w:val="auto"/>
                <w:sz w:val="20"/>
                <w:szCs w:val="20"/>
                <w:highlight w:val="none"/>
              </w:rPr>
              <w:t>2</w:t>
            </w:r>
          </w:p>
        </w:tc>
        <w:tc>
          <w:tcPr>
            <w:tcW w:w="7650" w:type="dxa"/>
            <w:noWrap/>
            <w:vAlign w:val="center"/>
          </w:tcPr>
          <w:p w14:paraId="3074802F">
            <w:pPr>
              <w:keepNext w:val="0"/>
              <w:keepLines w:val="0"/>
              <w:pageBreakBefore w:val="0"/>
              <w:widowControl w:val="0"/>
              <w:kinsoku/>
              <w:wordWrap/>
              <w:overflowPunct/>
              <w:topLinePunct w:val="0"/>
              <w:bidi w:val="0"/>
              <w:spacing w:line="240" w:lineRule="atLeast"/>
              <w:jc w:val="left"/>
              <w:textAlignment w:val="auto"/>
              <w:rPr>
                <w:rFonts w:ascii="宋体" w:hAnsi="宋体" w:cs="宋体"/>
                <w:bCs/>
                <w:color w:val="auto"/>
                <w:sz w:val="22"/>
                <w:szCs w:val="22"/>
                <w:highlight w:val="none"/>
              </w:rPr>
            </w:pPr>
            <w:r>
              <w:rPr>
                <w:rFonts w:hint="eastAsia" w:ascii="宋体" w:hAnsi="宋体" w:cs="宋体"/>
                <w:bCs/>
                <w:color w:val="auto"/>
                <w:sz w:val="22"/>
                <w:szCs w:val="22"/>
                <w:highlight w:val="none"/>
              </w:rPr>
              <w:t>招标文件未规定允许有替代方案时，对同一货物投标时，</w:t>
            </w:r>
            <w:r>
              <w:rPr>
                <w:rFonts w:hint="eastAsia"/>
                <w:color w:val="auto"/>
                <w:highlight w:val="none"/>
              </w:rPr>
              <w:t>未</w:t>
            </w:r>
            <w:r>
              <w:rPr>
                <w:rFonts w:hint="eastAsia" w:ascii="宋体" w:hAnsi="宋体" w:cs="宋体"/>
                <w:bCs/>
                <w:color w:val="auto"/>
                <w:sz w:val="22"/>
                <w:szCs w:val="22"/>
                <w:highlight w:val="none"/>
              </w:rPr>
              <w:t>同时提供两套或两套以上的投标方案。</w:t>
            </w:r>
          </w:p>
        </w:tc>
        <w:tc>
          <w:tcPr>
            <w:tcW w:w="1613" w:type="dxa"/>
            <w:noWrap/>
            <w:vAlign w:val="center"/>
          </w:tcPr>
          <w:p w14:paraId="049F8968">
            <w:pPr>
              <w:keepNext w:val="0"/>
              <w:keepLines w:val="0"/>
              <w:pageBreakBefore w:val="0"/>
              <w:widowControl w:val="0"/>
              <w:kinsoku/>
              <w:wordWrap/>
              <w:overflowPunct/>
              <w:topLinePunct w:val="0"/>
              <w:bidi w:val="0"/>
              <w:spacing w:line="240" w:lineRule="atLeast"/>
              <w:jc w:val="left"/>
              <w:textAlignment w:val="auto"/>
              <w:rPr>
                <w:rFonts w:hint="eastAsia" w:ascii="宋体" w:hAnsi="宋体" w:cs="宋体"/>
                <w:bCs/>
                <w:color w:val="auto"/>
                <w:sz w:val="22"/>
                <w:szCs w:val="22"/>
                <w:highlight w:val="none"/>
              </w:rPr>
            </w:pPr>
          </w:p>
        </w:tc>
      </w:tr>
      <w:tr w14:paraId="1BBAB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10" w:type="dxa"/>
            <w:noWrap/>
            <w:vAlign w:val="center"/>
          </w:tcPr>
          <w:p w14:paraId="743498F0">
            <w:pPr>
              <w:keepNext w:val="0"/>
              <w:keepLines w:val="0"/>
              <w:pageBreakBefore w:val="0"/>
              <w:widowControl w:val="0"/>
              <w:kinsoku/>
              <w:wordWrap/>
              <w:overflowPunct/>
              <w:topLinePunct w:val="0"/>
              <w:bidi w:val="0"/>
              <w:spacing w:line="240" w:lineRule="atLeast"/>
              <w:jc w:val="left"/>
              <w:textAlignment w:val="auto"/>
              <w:rPr>
                <w:rFonts w:ascii="宋体" w:hAnsi="宋体" w:cs="宋体"/>
                <w:color w:val="auto"/>
                <w:sz w:val="20"/>
                <w:szCs w:val="20"/>
                <w:highlight w:val="none"/>
              </w:rPr>
            </w:pPr>
            <w:r>
              <w:rPr>
                <w:rFonts w:hint="eastAsia" w:ascii="宋体" w:hAnsi="宋体" w:cs="宋体"/>
                <w:color w:val="auto"/>
                <w:sz w:val="20"/>
                <w:szCs w:val="20"/>
                <w:highlight w:val="none"/>
              </w:rPr>
              <w:t>3</w:t>
            </w:r>
          </w:p>
        </w:tc>
        <w:tc>
          <w:tcPr>
            <w:tcW w:w="7650" w:type="dxa"/>
            <w:noWrap/>
            <w:vAlign w:val="center"/>
          </w:tcPr>
          <w:p w14:paraId="3D0790C4">
            <w:pPr>
              <w:keepNext w:val="0"/>
              <w:keepLines w:val="0"/>
              <w:pageBreakBefore w:val="0"/>
              <w:widowControl w:val="0"/>
              <w:kinsoku/>
              <w:wordWrap/>
              <w:overflowPunct/>
              <w:topLinePunct w:val="0"/>
              <w:bidi w:val="0"/>
              <w:spacing w:line="240" w:lineRule="atLeast"/>
              <w:jc w:val="left"/>
              <w:textAlignment w:val="auto"/>
              <w:rPr>
                <w:rFonts w:ascii="宋体" w:hAnsi="宋体" w:cs="宋体"/>
                <w:bCs/>
                <w:color w:val="auto"/>
                <w:sz w:val="22"/>
                <w:szCs w:val="22"/>
                <w:highlight w:val="none"/>
              </w:rPr>
            </w:pPr>
            <w:r>
              <w:rPr>
                <w:rFonts w:hint="eastAsia" w:ascii="宋体" w:hAnsi="宋体" w:cs="宋体"/>
                <w:color w:val="auto"/>
                <w:szCs w:val="21"/>
                <w:highlight w:val="none"/>
              </w:rPr>
              <w:t>投标报价按照招标文件要求进行报价，</w:t>
            </w:r>
            <w:r>
              <w:rPr>
                <w:rFonts w:hint="eastAsia" w:ascii="宋体" w:hAnsi="宋体" w:cs="宋体"/>
                <w:bCs/>
                <w:color w:val="auto"/>
                <w:sz w:val="22"/>
                <w:szCs w:val="22"/>
                <w:highlight w:val="none"/>
              </w:rPr>
              <w:t>投标总价或分项报价</w:t>
            </w:r>
            <w:r>
              <w:rPr>
                <w:rFonts w:hint="eastAsia"/>
                <w:color w:val="auto"/>
                <w:highlight w:val="none"/>
              </w:rPr>
              <w:t>未</w:t>
            </w:r>
            <w:r>
              <w:rPr>
                <w:rFonts w:hint="eastAsia" w:ascii="宋体" w:hAnsi="宋体" w:cs="宋体"/>
                <w:bCs/>
                <w:color w:val="auto"/>
                <w:sz w:val="22"/>
                <w:szCs w:val="22"/>
                <w:highlight w:val="none"/>
              </w:rPr>
              <w:t>高于项目预算限额。</w:t>
            </w:r>
          </w:p>
        </w:tc>
        <w:tc>
          <w:tcPr>
            <w:tcW w:w="1613" w:type="dxa"/>
            <w:noWrap/>
            <w:vAlign w:val="center"/>
          </w:tcPr>
          <w:p w14:paraId="1E1C303A">
            <w:pPr>
              <w:keepNext w:val="0"/>
              <w:keepLines w:val="0"/>
              <w:pageBreakBefore w:val="0"/>
              <w:widowControl w:val="0"/>
              <w:kinsoku/>
              <w:wordWrap/>
              <w:overflowPunct/>
              <w:topLinePunct w:val="0"/>
              <w:bidi w:val="0"/>
              <w:spacing w:line="240" w:lineRule="atLeast"/>
              <w:jc w:val="left"/>
              <w:textAlignment w:val="auto"/>
              <w:rPr>
                <w:rFonts w:hint="eastAsia" w:ascii="宋体" w:hAnsi="宋体" w:cs="宋体"/>
                <w:color w:val="auto"/>
                <w:szCs w:val="21"/>
                <w:highlight w:val="none"/>
              </w:rPr>
            </w:pPr>
          </w:p>
        </w:tc>
      </w:tr>
      <w:tr w14:paraId="63F5B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1" w:hRule="atLeast"/>
          <w:jc w:val="center"/>
        </w:trPr>
        <w:tc>
          <w:tcPr>
            <w:tcW w:w="910" w:type="dxa"/>
            <w:noWrap/>
            <w:vAlign w:val="center"/>
          </w:tcPr>
          <w:p w14:paraId="0AB4B580">
            <w:pPr>
              <w:keepNext w:val="0"/>
              <w:keepLines w:val="0"/>
              <w:pageBreakBefore w:val="0"/>
              <w:widowControl w:val="0"/>
              <w:kinsoku/>
              <w:wordWrap/>
              <w:overflowPunct/>
              <w:topLinePunct w:val="0"/>
              <w:bidi w:val="0"/>
              <w:spacing w:line="240" w:lineRule="atLeast"/>
              <w:jc w:val="left"/>
              <w:textAlignment w:val="auto"/>
              <w:rPr>
                <w:rFonts w:ascii="宋体" w:hAnsi="宋体" w:cs="宋体"/>
                <w:color w:val="auto"/>
                <w:sz w:val="20"/>
                <w:szCs w:val="20"/>
                <w:highlight w:val="none"/>
              </w:rPr>
            </w:pPr>
            <w:r>
              <w:rPr>
                <w:rFonts w:hint="eastAsia" w:ascii="宋体" w:hAnsi="宋体" w:cs="宋体"/>
                <w:color w:val="auto"/>
                <w:sz w:val="20"/>
                <w:szCs w:val="20"/>
                <w:highlight w:val="none"/>
              </w:rPr>
              <w:t>4</w:t>
            </w:r>
          </w:p>
        </w:tc>
        <w:tc>
          <w:tcPr>
            <w:tcW w:w="7650" w:type="dxa"/>
            <w:noWrap/>
            <w:vAlign w:val="center"/>
          </w:tcPr>
          <w:p w14:paraId="6F1573A7">
            <w:pPr>
              <w:keepNext w:val="0"/>
              <w:keepLines w:val="0"/>
              <w:pageBreakBefore w:val="0"/>
              <w:widowControl w:val="0"/>
              <w:kinsoku/>
              <w:wordWrap/>
              <w:overflowPunct/>
              <w:topLinePunct w:val="0"/>
              <w:bidi w:val="0"/>
              <w:spacing w:line="240" w:lineRule="atLeast"/>
              <w:jc w:val="left"/>
              <w:textAlignment w:val="auto"/>
              <w:rPr>
                <w:rFonts w:hint="eastAsia" w:ascii="宋体" w:hAnsi="宋体" w:eastAsia="宋体" w:cs="宋体"/>
                <w:bCs/>
                <w:color w:val="auto"/>
                <w:sz w:val="22"/>
                <w:szCs w:val="22"/>
                <w:highlight w:val="none"/>
                <w:lang w:eastAsia="zh-CN"/>
              </w:rPr>
            </w:pPr>
            <w:r>
              <w:rPr>
                <w:rFonts w:hint="eastAsia" w:ascii="宋体" w:hAnsi="宋体" w:eastAsia="宋体" w:cs="宋体"/>
                <w:color w:val="auto"/>
                <w:szCs w:val="21"/>
                <w:highlight w:val="none"/>
              </w:rPr>
              <w:t>本项目评审中出现下列情形之一的，评审委员会应当启动异常低价投标(响应)审查程序：（1）投标（响应）报价低于全部通过符合性审查供应商投标（响应）报价平均值50%的，即投标（响应）报价&lt;全部通过符合性审查供应商投标（响应）报价平均值×50%；（2）投标（响应）报价低于通过符合性审查且报价次低供应商投标（响应）报价50%的，即投标（响应）报价&lt;通过符合性审查且报价次低供应商投标（响应）报价×50%；（3）投标（响应）报价低于采购项目最高限价45%的，即投标（响应）报价&lt;采购项目最高限价×45%；（4）评审委员会基于专业判断，认为供应商报价过低，有可能影响产品质量或者不能诚信履约的其他情形</w:t>
            </w:r>
            <w:r>
              <w:rPr>
                <w:rFonts w:hint="eastAsia" w:ascii="宋体" w:hAnsi="宋体" w:eastAsia="宋体" w:cs="宋体"/>
                <w:color w:val="auto"/>
                <w:szCs w:val="21"/>
                <w:highlight w:val="none"/>
                <w:lang w:eastAsia="zh-CN"/>
              </w:rPr>
              <w:t>。</w:t>
            </w:r>
          </w:p>
        </w:tc>
        <w:tc>
          <w:tcPr>
            <w:tcW w:w="1613" w:type="dxa"/>
            <w:noWrap/>
            <w:vAlign w:val="center"/>
          </w:tcPr>
          <w:p w14:paraId="63831E8B">
            <w:pPr>
              <w:keepNext w:val="0"/>
              <w:keepLines w:val="0"/>
              <w:pageBreakBefore w:val="0"/>
              <w:widowControl w:val="0"/>
              <w:kinsoku/>
              <w:wordWrap/>
              <w:overflowPunct/>
              <w:topLinePunct w:val="0"/>
              <w:bidi w:val="0"/>
              <w:spacing w:line="240" w:lineRule="atLeast"/>
              <w:jc w:val="left"/>
              <w:textAlignment w:val="auto"/>
              <w:rPr>
                <w:rFonts w:hint="eastAsia" w:ascii="宋体" w:hAnsi="宋体" w:cs="宋体"/>
                <w:bCs/>
                <w:color w:val="auto"/>
                <w:sz w:val="22"/>
                <w:szCs w:val="22"/>
                <w:highlight w:val="none"/>
              </w:rPr>
            </w:pPr>
          </w:p>
        </w:tc>
      </w:tr>
      <w:tr w14:paraId="2AE6B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10" w:type="dxa"/>
            <w:noWrap/>
            <w:vAlign w:val="center"/>
          </w:tcPr>
          <w:p w14:paraId="1B24DE30">
            <w:pPr>
              <w:keepNext w:val="0"/>
              <w:keepLines w:val="0"/>
              <w:pageBreakBefore w:val="0"/>
              <w:widowControl w:val="0"/>
              <w:kinsoku/>
              <w:wordWrap/>
              <w:overflowPunct/>
              <w:topLinePunct w:val="0"/>
              <w:bidi w:val="0"/>
              <w:spacing w:line="240" w:lineRule="atLeast"/>
              <w:jc w:val="left"/>
              <w:textAlignment w:val="auto"/>
              <w:rPr>
                <w:rFonts w:ascii="宋体" w:hAnsi="宋体" w:cs="宋体"/>
                <w:color w:val="auto"/>
                <w:sz w:val="20"/>
                <w:szCs w:val="20"/>
                <w:highlight w:val="none"/>
              </w:rPr>
            </w:pPr>
            <w:r>
              <w:rPr>
                <w:rFonts w:hint="eastAsia" w:ascii="宋体" w:hAnsi="宋体" w:cs="宋体"/>
                <w:color w:val="auto"/>
                <w:sz w:val="20"/>
                <w:szCs w:val="20"/>
                <w:highlight w:val="none"/>
              </w:rPr>
              <w:t>5</w:t>
            </w:r>
          </w:p>
        </w:tc>
        <w:tc>
          <w:tcPr>
            <w:tcW w:w="7650" w:type="dxa"/>
            <w:noWrap/>
            <w:vAlign w:val="center"/>
          </w:tcPr>
          <w:p w14:paraId="7029DD72">
            <w:pPr>
              <w:keepNext w:val="0"/>
              <w:keepLines w:val="0"/>
              <w:pageBreakBefore w:val="0"/>
              <w:widowControl w:val="0"/>
              <w:kinsoku/>
              <w:wordWrap/>
              <w:overflowPunct/>
              <w:topLinePunct w:val="0"/>
              <w:bidi w:val="0"/>
              <w:spacing w:line="240" w:lineRule="atLeast"/>
              <w:jc w:val="left"/>
              <w:textAlignment w:val="auto"/>
              <w:rPr>
                <w:rFonts w:ascii="宋体" w:hAnsi="宋体" w:cs="宋体"/>
                <w:bCs/>
                <w:color w:val="auto"/>
                <w:sz w:val="22"/>
                <w:szCs w:val="22"/>
                <w:highlight w:val="none"/>
              </w:rPr>
            </w:pPr>
            <w:r>
              <w:rPr>
                <w:rFonts w:hint="eastAsia" w:ascii="宋体" w:hAnsi="宋体" w:cs="宋体"/>
                <w:bCs/>
                <w:color w:val="auto"/>
                <w:sz w:val="22"/>
                <w:szCs w:val="22"/>
                <w:highlight w:val="none"/>
              </w:rPr>
              <w:t>同一项目未出现两个或以上报价、单价汇总与总价不符的情况。评委会有权要求投标供应商在规定时间内进行书面澄清说明，投标供应商不能及时进行澄清说明的，评标委员会应当将其作为无效投标处理。</w:t>
            </w:r>
          </w:p>
        </w:tc>
        <w:tc>
          <w:tcPr>
            <w:tcW w:w="1613" w:type="dxa"/>
            <w:noWrap/>
            <w:vAlign w:val="center"/>
          </w:tcPr>
          <w:p w14:paraId="1D257A2A">
            <w:pPr>
              <w:keepNext w:val="0"/>
              <w:keepLines w:val="0"/>
              <w:pageBreakBefore w:val="0"/>
              <w:widowControl w:val="0"/>
              <w:kinsoku/>
              <w:wordWrap/>
              <w:overflowPunct/>
              <w:topLinePunct w:val="0"/>
              <w:bidi w:val="0"/>
              <w:spacing w:line="240" w:lineRule="atLeast"/>
              <w:jc w:val="left"/>
              <w:textAlignment w:val="auto"/>
              <w:rPr>
                <w:rFonts w:hint="eastAsia" w:ascii="宋体" w:hAnsi="宋体" w:cs="宋体"/>
                <w:bCs/>
                <w:color w:val="auto"/>
                <w:sz w:val="22"/>
                <w:szCs w:val="22"/>
                <w:highlight w:val="none"/>
              </w:rPr>
            </w:pPr>
          </w:p>
        </w:tc>
      </w:tr>
      <w:tr w14:paraId="3273F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10" w:type="dxa"/>
            <w:noWrap/>
            <w:vAlign w:val="center"/>
          </w:tcPr>
          <w:p w14:paraId="231A309A">
            <w:pPr>
              <w:keepNext w:val="0"/>
              <w:keepLines w:val="0"/>
              <w:pageBreakBefore w:val="0"/>
              <w:widowControl w:val="0"/>
              <w:kinsoku/>
              <w:wordWrap/>
              <w:overflowPunct/>
              <w:topLinePunct w:val="0"/>
              <w:bidi w:val="0"/>
              <w:spacing w:line="240" w:lineRule="atLeast"/>
              <w:jc w:val="left"/>
              <w:textAlignment w:val="auto"/>
              <w:rPr>
                <w:rFonts w:ascii="宋体" w:hAnsi="宋体" w:cs="宋体"/>
                <w:color w:val="auto"/>
                <w:sz w:val="20"/>
                <w:szCs w:val="20"/>
                <w:highlight w:val="none"/>
              </w:rPr>
            </w:pPr>
            <w:r>
              <w:rPr>
                <w:rFonts w:hint="eastAsia" w:ascii="宋体" w:hAnsi="宋体" w:cs="宋体"/>
                <w:color w:val="auto"/>
                <w:sz w:val="20"/>
                <w:szCs w:val="20"/>
                <w:highlight w:val="none"/>
              </w:rPr>
              <w:t>6</w:t>
            </w:r>
          </w:p>
        </w:tc>
        <w:tc>
          <w:tcPr>
            <w:tcW w:w="7650" w:type="dxa"/>
            <w:noWrap/>
            <w:vAlign w:val="center"/>
          </w:tcPr>
          <w:p w14:paraId="69DD5B64">
            <w:pPr>
              <w:keepNext w:val="0"/>
              <w:keepLines w:val="0"/>
              <w:pageBreakBefore w:val="0"/>
              <w:widowControl w:val="0"/>
              <w:kinsoku/>
              <w:wordWrap/>
              <w:overflowPunct/>
              <w:topLinePunct w:val="0"/>
              <w:bidi w:val="0"/>
              <w:spacing w:line="240" w:lineRule="atLeast"/>
              <w:jc w:val="left"/>
              <w:textAlignment w:val="auto"/>
              <w:rPr>
                <w:rFonts w:ascii="宋体" w:hAnsi="宋体" w:cs="宋体"/>
                <w:bCs/>
                <w:color w:val="auto"/>
                <w:sz w:val="22"/>
                <w:szCs w:val="22"/>
                <w:highlight w:val="none"/>
              </w:rPr>
            </w:pPr>
            <w:r>
              <w:rPr>
                <w:rFonts w:hint="eastAsia" w:ascii="宋体" w:hAnsi="宋体" w:cs="宋体"/>
                <w:bCs/>
                <w:color w:val="auto"/>
                <w:sz w:val="22"/>
                <w:szCs w:val="22"/>
                <w:highlight w:val="none"/>
              </w:rPr>
              <w:t>投标报价无缺漏项目或未对采购文件规定的服务清单项目及数量进行修改。</w:t>
            </w:r>
          </w:p>
        </w:tc>
        <w:tc>
          <w:tcPr>
            <w:tcW w:w="1613" w:type="dxa"/>
            <w:noWrap/>
            <w:vAlign w:val="center"/>
          </w:tcPr>
          <w:p w14:paraId="3048E5EF">
            <w:pPr>
              <w:keepNext w:val="0"/>
              <w:keepLines w:val="0"/>
              <w:pageBreakBefore w:val="0"/>
              <w:widowControl w:val="0"/>
              <w:kinsoku/>
              <w:wordWrap/>
              <w:overflowPunct/>
              <w:topLinePunct w:val="0"/>
              <w:bidi w:val="0"/>
              <w:spacing w:line="240" w:lineRule="atLeast"/>
              <w:jc w:val="left"/>
              <w:textAlignment w:val="auto"/>
              <w:rPr>
                <w:rFonts w:hint="eastAsia" w:ascii="宋体" w:hAnsi="宋体" w:cs="宋体"/>
                <w:bCs/>
                <w:color w:val="auto"/>
                <w:sz w:val="22"/>
                <w:szCs w:val="22"/>
                <w:highlight w:val="none"/>
              </w:rPr>
            </w:pPr>
          </w:p>
        </w:tc>
      </w:tr>
      <w:tr w14:paraId="0F249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910" w:type="dxa"/>
            <w:noWrap/>
            <w:vAlign w:val="center"/>
          </w:tcPr>
          <w:p w14:paraId="63678085">
            <w:pPr>
              <w:keepNext w:val="0"/>
              <w:keepLines w:val="0"/>
              <w:pageBreakBefore w:val="0"/>
              <w:widowControl w:val="0"/>
              <w:kinsoku/>
              <w:wordWrap/>
              <w:overflowPunct/>
              <w:topLinePunct w:val="0"/>
              <w:bidi w:val="0"/>
              <w:spacing w:line="240" w:lineRule="atLeast"/>
              <w:jc w:val="left"/>
              <w:textAlignment w:val="auto"/>
              <w:rPr>
                <w:rFonts w:ascii="宋体" w:hAnsi="宋体" w:cs="宋体"/>
                <w:color w:val="auto"/>
                <w:sz w:val="20"/>
                <w:szCs w:val="20"/>
                <w:highlight w:val="none"/>
              </w:rPr>
            </w:pPr>
            <w:r>
              <w:rPr>
                <w:rFonts w:hint="eastAsia" w:ascii="宋体" w:hAnsi="宋体" w:cs="宋体"/>
                <w:color w:val="auto"/>
                <w:sz w:val="20"/>
                <w:szCs w:val="20"/>
                <w:highlight w:val="none"/>
              </w:rPr>
              <w:t>7</w:t>
            </w:r>
          </w:p>
        </w:tc>
        <w:tc>
          <w:tcPr>
            <w:tcW w:w="7650" w:type="dxa"/>
            <w:noWrap/>
            <w:vAlign w:val="center"/>
          </w:tcPr>
          <w:p w14:paraId="37EDC818">
            <w:pPr>
              <w:keepNext w:val="0"/>
              <w:keepLines w:val="0"/>
              <w:pageBreakBefore w:val="0"/>
              <w:widowControl w:val="0"/>
              <w:kinsoku/>
              <w:wordWrap/>
              <w:overflowPunct/>
              <w:topLinePunct w:val="0"/>
              <w:bidi w:val="0"/>
              <w:spacing w:line="240" w:lineRule="atLeast"/>
              <w:jc w:val="left"/>
              <w:textAlignment w:val="auto"/>
              <w:rPr>
                <w:rFonts w:ascii="宋体" w:hAnsi="宋体" w:cs="宋体"/>
                <w:bCs/>
                <w:color w:val="auto"/>
                <w:sz w:val="22"/>
                <w:szCs w:val="22"/>
                <w:highlight w:val="none"/>
              </w:rPr>
            </w:pPr>
            <w:r>
              <w:rPr>
                <w:rFonts w:hint="eastAsia" w:ascii="宋体" w:hAnsi="宋体" w:cs="宋体"/>
                <w:bCs/>
                <w:color w:val="auto"/>
                <w:sz w:val="22"/>
                <w:szCs w:val="22"/>
                <w:highlight w:val="none"/>
              </w:rPr>
              <w:t>所投产品、工程、服务在质量、技术、方案等方面实质性满足采购文件要求，本项目实质性条款以标注“★”条款为准（是否实质性满足招标文件要求，由评审委员会根据《实质性条款响应情况表》作出评判）。</w:t>
            </w:r>
          </w:p>
        </w:tc>
        <w:tc>
          <w:tcPr>
            <w:tcW w:w="1613" w:type="dxa"/>
            <w:noWrap/>
            <w:vAlign w:val="center"/>
          </w:tcPr>
          <w:p w14:paraId="021BA93A">
            <w:pPr>
              <w:keepNext w:val="0"/>
              <w:keepLines w:val="0"/>
              <w:pageBreakBefore w:val="0"/>
              <w:widowControl w:val="0"/>
              <w:kinsoku/>
              <w:wordWrap/>
              <w:overflowPunct/>
              <w:topLinePunct w:val="0"/>
              <w:bidi w:val="0"/>
              <w:spacing w:line="240" w:lineRule="atLeast"/>
              <w:jc w:val="left"/>
              <w:textAlignment w:val="auto"/>
              <w:rPr>
                <w:rFonts w:hint="eastAsia" w:ascii="宋体" w:hAnsi="宋体" w:cs="宋体"/>
                <w:bCs/>
                <w:color w:val="auto"/>
                <w:sz w:val="22"/>
                <w:szCs w:val="22"/>
                <w:highlight w:val="none"/>
              </w:rPr>
            </w:pPr>
          </w:p>
        </w:tc>
      </w:tr>
      <w:tr w14:paraId="23727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10" w:type="dxa"/>
            <w:noWrap/>
            <w:vAlign w:val="center"/>
          </w:tcPr>
          <w:p w14:paraId="58A9C2E6">
            <w:pPr>
              <w:keepNext w:val="0"/>
              <w:keepLines w:val="0"/>
              <w:pageBreakBefore w:val="0"/>
              <w:widowControl w:val="0"/>
              <w:kinsoku/>
              <w:wordWrap/>
              <w:overflowPunct/>
              <w:topLinePunct w:val="0"/>
              <w:bidi w:val="0"/>
              <w:spacing w:line="240" w:lineRule="atLeast"/>
              <w:jc w:val="left"/>
              <w:textAlignment w:val="auto"/>
              <w:rPr>
                <w:rFonts w:ascii="宋体" w:hAnsi="宋体" w:cs="宋体"/>
                <w:color w:val="auto"/>
                <w:sz w:val="20"/>
                <w:szCs w:val="20"/>
                <w:highlight w:val="none"/>
              </w:rPr>
            </w:pPr>
            <w:r>
              <w:rPr>
                <w:rFonts w:hint="eastAsia" w:ascii="宋体" w:hAnsi="宋体" w:cs="宋体"/>
                <w:color w:val="auto"/>
                <w:sz w:val="20"/>
                <w:szCs w:val="20"/>
                <w:highlight w:val="none"/>
              </w:rPr>
              <w:t>8</w:t>
            </w:r>
          </w:p>
        </w:tc>
        <w:tc>
          <w:tcPr>
            <w:tcW w:w="7650" w:type="dxa"/>
            <w:noWrap/>
            <w:vAlign w:val="center"/>
          </w:tcPr>
          <w:p w14:paraId="5D97E86C">
            <w:pPr>
              <w:keepNext w:val="0"/>
              <w:keepLines w:val="0"/>
              <w:pageBreakBefore w:val="0"/>
              <w:widowControl w:val="0"/>
              <w:kinsoku/>
              <w:wordWrap/>
              <w:overflowPunct/>
              <w:topLinePunct w:val="0"/>
              <w:bidi w:val="0"/>
              <w:spacing w:line="240" w:lineRule="atLeast"/>
              <w:jc w:val="left"/>
              <w:textAlignment w:val="auto"/>
              <w:rPr>
                <w:rFonts w:ascii="宋体" w:hAnsi="宋体" w:cs="宋体"/>
                <w:bCs/>
                <w:color w:val="auto"/>
                <w:sz w:val="22"/>
                <w:szCs w:val="22"/>
                <w:highlight w:val="none"/>
              </w:rPr>
            </w:pPr>
            <w:r>
              <w:rPr>
                <w:rFonts w:hint="eastAsia" w:ascii="宋体" w:hAnsi="宋体" w:cs="宋体"/>
                <w:bCs/>
                <w:color w:val="auto"/>
                <w:sz w:val="22"/>
                <w:szCs w:val="22"/>
                <w:highlight w:val="none"/>
              </w:rPr>
              <w:t>《开标一览表》《投标及履约承诺函》按采购文件规定的格式和内容响应；按采购文件对投标文件组成的要求提供投标文件的（投标文件组成完整）；按照招标文件要求提供密封投标文件；投标文件的数量、密封、签字盖章符合采购文件要求，提供投标文件电子文档；按照采购文件规定的样式及要求填写“法定代表人资格证明书”或“</w:t>
            </w:r>
            <w:r>
              <w:rPr>
                <w:rFonts w:hint="eastAsia" w:ascii="宋体" w:hAnsi="宋体" w:cs="宋体"/>
                <w:bCs/>
                <w:color w:val="auto"/>
                <w:sz w:val="22"/>
                <w:szCs w:val="22"/>
                <w:highlight w:val="none"/>
                <w:lang w:bidi="ar"/>
              </w:rPr>
              <w:t>法定代表人授权书</w:t>
            </w:r>
            <w:r>
              <w:rPr>
                <w:rFonts w:hint="eastAsia" w:ascii="宋体" w:hAnsi="宋体" w:cs="宋体"/>
                <w:bCs/>
                <w:color w:val="auto"/>
                <w:sz w:val="22"/>
                <w:szCs w:val="22"/>
                <w:highlight w:val="none"/>
              </w:rPr>
              <w:t>”或“分项报价表”。</w:t>
            </w:r>
          </w:p>
        </w:tc>
        <w:tc>
          <w:tcPr>
            <w:tcW w:w="1613" w:type="dxa"/>
            <w:noWrap/>
            <w:vAlign w:val="center"/>
          </w:tcPr>
          <w:p w14:paraId="3D80C23F">
            <w:pPr>
              <w:keepNext w:val="0"/>
              <w:keepLines w:val="0"/>
              <w:pageBreakBefore w:val="0"/>
              <w:widowControl w:val="0"/>
              <w:kinsoku/>
              <w:wordWrap/>
              <w:overflowPunct/>
              <w:topLinePunct w:val="0"/>
              <w:bidi w:val="0"/>
              <w:spacing w:line="240" w:lineRule="atLeast"/>
              <w:jc w:val="left"/>
              <w:textAlignment w:val="auto"/>
              <w:rPr>
                <w:rFonts w:hint="eastAsia" w:ascii="宋体" w:hAnsi="宋体" w:cs="宋体"/>
                <w:bCs/>
                <w:color w:val="auto"/>
                <w:sz w:val="22"/>
                <w:szCs w:val="22"/>
                <w:highlight w:val="none"/>
              </w:rPr>
            </w:pPr>
          </w:p>
        </w:tc>
      </w:tr>
      <w:tr w14:paraId="322AE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10" w:type="dxa"/>
            <w:noWrap/>
            <w:vAlign w:val="center"/>
          </w:tcPr>
          <w:p w14:paraId="09B2F1D8">
            <w:pPr>
              <w:keepNext w:val="0"/>
              <w:keepLines w:val="0"/>
              <w:pageBreakBefore w:val="0"/>
              <w:widowControl w:val="0"/>
              <w:kinsoku/>
              <w:wordWrap/>
              <w:overflowPunct/>
              <w:topLinePunct w:val="0"/>
              <w:bidi w:val="0"/>
              <w:spacing w:line="240" w:lineRule="atLeast"/>
              <w:jc w:val="left"/>
              <w:textAlignment w:val="auto"/>
              <w:rPr>
                <w:rFonts w:ascii="宋体" w:hAnsi="宋体" w:cs="宋体"/>
                <w:color w:val="auto"/>
                <w:sz w:val="20"/>
                <w:szCs w:val="20"/>
                <w:highlight w:val="none"/>
              </w:rPr>
            </w:pPr>
            <w:r>
              <w:rPr>
                <w:rFonts w:hint="eastAsia" w:ascii="宋体" w:hAnsi="宋体" w:cs="宋体"/>
                <w:color w:val="auto"/>
                <w:sz w:val="20"/>
                <w:szCs w:val="20"/>
                <w:highlight w:val="none"/>
              </w:rPr>
              <w:t>9</w:t>
            </w:r>
          </w:p>
        </w:tc>
        <w:tc>
          <w:tcPr>
            <w:tcW w:w="7650" w:type="dxa"/>
            <w:noWrap/>
            <w:vAlign w:val="center"/>
          </w:tcPr>
          <w:p w14:paraId="01C41D68">
            <w:pPr>
              <w:keepNext w:val="0"/>
              <w:keepLines w:val="0"/>
              <w:pageBreakBefore w:val="0"/>
              <w:widowControl w:val="0"/>
              <w:kinsoku/>
              <w:wordWrap/>
              <w:overflowPunct/>
              <w:topLinePunct w:val="0"/>
              <w:bidi w:val="0"/>
              <w:spacing w:line="240" w:lineRule="atLeast"/>
              <w:jc w:val="left"/>
              <w:textAlignment w:val="auto"/>
              <w:rPr>
                <w:rFonts w:ascii="宋体" w:hAnsi="宋体" w:cs="宋体"/>
                <w:bCs/>
                <w:color w:val="auto"/>
                <w:sz w:val="22"/>
                <w:szCs w:val="22"/>
                <w:highlight w:val="none"/>
              </w:rPr>
            </w:pPr>
            <w:r>
              <w:rPr>
                <w:rFonts w:hint="eastAsia" w:ascii="宋体" w:hAnsi="宋体" w:cs="宋体"/>
                <w:bCs/>
                <w:color w:val="auto"/>
                <w:sz w:val="22"/>
                <w:szCs w:val="22"/>
                <w:highlight w:val="none"/>
              </w:rPr>
              <w:t>与其他投标供应商的投标文件未存在异常雷同现象的。</w:t>
            </w:r>
          </w:p>
        </w:tc>
        <w:tc>
          <w:tcPr>
            <w:tcW w:w="1613" w:type="dxa"/>
            <w:noWrap/>
            <w:vAlign w:val="center"/>
          </w:tcPr>
          <w:p w14:paraId="0029302E">
            <w:pPr>
              <w:keepNext w:val="0"/>
              <w:keepLines w:val="0"/>
              <w:pageBreakBefore w:val="0"/>
              <w:widowControl w:val="0"/>
              <w:kinsoku/>
              <w:wordWrap/>
              <w:overflowPunct/>
              <w:topLinePunct w:val="0"/>
              <w:bidi w:val="0"/>
              <w:spacing w:line="240" w:lineRule="atLeast"/>
              <w:jc w:val="left"/>
              <w:textAlignment w:val="auto"/>
              <w:rPr>
                <w:rFonts w:hint="eastAsia" w:ascii="宋体" w:hAnsi="宋体" w:cs="宋体"/>
                <w:bCs/>
                <w:color w:val="auto"/>
                <w:sz w:val="22"/>
                <w:szCs w:val="22"/>
                <w:highlight w:val="none"/>
              </w:rPr>
            </w:pPr>
          </w:p>
        </w:tc>
      </w:tr>
      <w:tr w14:paraId="211B4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10" w:type="dxa"/>
            <w:noWrap/>
            <w:vAlign w:val="center"/>
          </w:tcPr>
          <w:p w14:paraId="119652CD">
            <w:pPr>
              <w:keepNext w:val="0"/>
              <w:keepLines w:val="0"/>
              <w:pageBreakBefore w:val="0"/>
              <w:widowControl w:val="0"/>
              <w:kinsoku/>
              <w:wordWrap/>
              <w:overflowPunct/>
              <w:topLinePunct w:val="0"/>
              <w:bidi w:val="0"/>
              <w:spacing w:line="240" w:lineRule="atLeast"/>
              <w:jc w:val="left"/>
              <w:textAlignment w:val="auto"/>
              <w:rPr>
                <w:rFonts w:ascii="宋体" w:hAnsi="宋体" w:cs="宋体"/>
                <w:color w:val="auto"/>
                <w:sz w:val="20"/>
                <w:szCs w:val="20"/>
                <w:highlight w:val="none"/>
              </w:rPr>
            </w:pPr>
            <w:r>
              <w:rPr>
                <w:rFonts w:hint="eastAsia" w:ascii="宋体" w:hAnsi="宋体" w:cs="宋体"/>
                <w:color w:val="auto"/>
                <w:sz w:val="20"/>
                <w:szCs w:val="20"/>
                <w:highlight w:val="none"/>
              </w:rPr>
              <w:t>10</w:t>
            </w:r>
          </w:p>
        </w:tc>
        <w:tc>
          <w:tcPr>
            <w:tcW w:w="7650" w:type="dxa"/>
            <w:noWrap/>
            <w:vAlign w:val="center"/>
          </w:tcPr>
          <w:p w14:paraId="6171A1AB">
            <w:pPr>
              <w:keepNext w:val="0"/>
              <w:keepLines w:val="0"/>
              <w:pageBreakBefore w:val="0"/>
              <w:widowControl w:val="0"/>
              <w:kinsoku/>
              <w:wordWrap/>
              <w:overflowPunct/>
              <w:topLinePunct w:val="0"/>
              <w:bidi w:val="0"/>
              <w:spacing w:line="240" w:lineRule="atLeast"/>
              <w:jc w:val="left"/>
              <w:textAlignment w:val="auto"/>
              <w:rPr>
                <w:rFonts w:ascii="宋体" w:hAnsi="宋体" w:cs="宋体"/>
                <w:bCs/>
                <w:color w:val="auto"/>
                <w:sz w:val="22"/>
                <w:szCs w:val="22"/>
                <w:highlight w:val="none"/>
              </w:rPr>
            </w:pPr>
            <w:r>
              <w:rPr>
                <w:rFonts w:hint="eastAsia" w:ascii="宋体" w:hAnsi="宋体" w:cs="宋体"/>
                <w:bCs/>
                <w:color w:val="auto"/>
                <w:sz w:val="22"/>
                <w:szCs w:val="22"/>
                <w:highlight w:val="none"/>
              </w:rPr>
              <w:t>未存在招标文件规定的其他投标无效情形。</w:t>
            </w:r>
          </w:p>
        </w:tc>
        <w:tc>
          <w:tcPr>
            <w:tcW w:w="1613" w:type="dxa"/>
            <w:noWrap/>
            <w:vAlign w:val="center"/>
          </w:tcPr>
          <w:p w14:paraId="20FA362F">
            <w:pPr>
              <w:keepNext w:val="0"/>
              <w:keepLines w:val="0"/>
              <w:pageBreakBefore w:val="0"/>
              <w:widowControl w:val="0"/>
              <w:kinsoku/>
              <w:wordWrap/>
              <w:overflowPunct/>
              <w:topLinePunct w:val="0"/>
              <w:bidi w:val="0"/>
              <w:spacing w:line="240" w:lineRule="atLeast"/>
              <w:jc w:val="left"/>
              <w:textAlignment w:val="auto"/>
              <w:rPr>
                <w:rFonts w:hint="eastAsia" w:ascii="宋体" w:hAnsi="宋体" w:cs="宋体"/>
                <w:bCs/>
                <w:color w:val="auto"/>
                <w:sz w:val="22"/>
                <w:szCs w:val="22"/>
                <w:highlight w:val="none"/>
              </w:rPr>
            </w:pPr>
          </w:p>
        </w:tc>
      </w:tr>
      <w:tr w14:paraId="7253C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910" w:type="dxa"/>
            <w:noWrap/>
            <w:vAlign w:val="center"/>
          </w:tcPr>
          <w:p w14:paraId="7AA9397B">
            <w:pPr>
              <w:keepNext w:val="0"/>
              <w:keepLines w:val="0"/>
              <w:pageBreakBefore w:val="0"/>
              <w:widowControl w:val="0"/>
              <w:kinsoku/>
              <w:wordWrap/>
              <w:overflowPunct/>
              <w:topLinePunct w:val="0"/>
              <w:bidi w:val="0"/>
              <w:spacing w:line="240" w:lineRule="atLeast"/>
              <w:jc w:val="left"/>
              <w:textAlignment w:val="auto"/>
              <w:rPr>
                <w:rFonts w:ascii="宋体" w:hAnsi="宋体" w:cs="宋体"/>
                <w:color w:val="auto"/>
                <w:sz w:val="20"/>
                <w:szCs w:val="20"/>
                <w:highlight w:val="none"/>
              </w:rPr>
            </w:pPr>
            <w:r>
              <w:rPr>
                <w:rFonts w:hint="eastAsia" w:ascii="宋体" w:hAnsi="宋体" w:cs="宋体"/>
                <w:color w:val="auto"/>
                <w:sz w:val="20"/>
                <w:szCs w:val="20"/>
                <w:highlight w:val="none"/>
              </w:rPr>
              <w:t>11</w:t>
            </w:r>
          </w:p>
        </w:tc>
        <w:tc>
          <w:tcPr>
            <w:tcW w:w="7650" w:type="dxa"/>
            <w:noWrap/>
            <w:vAlign w:val="center"/>
          </w:tcPr>
          <w:p w14:paraId="3B2C5FA5">
            <w:pPr>
              <w:keepNext w:val="0"/>
              <w:keepLines w:val="0"/>
              <w:pageBreakBefore w:val="0"/>
              <w:widowControl w:val="0"/>
              <w:kinsoku/>
              <w:wordWrap/>
              <w:overflowPunct/>
              <w:topLinePunct w:val="0"/>
              <w:bidi w:val="0"/>
              <w:spacing w:line="240" w:lineRule="atLeast"/>
              <w:jc w:val="left"/>
              <w:textAlignment w:val="auto"/>
              <w:rPr>
                <w:rFonts w:ascii="宋体" w:hAnsi="宋体" w:cs="宋体"/>
                <w:bCs/>
                <w:color w:val="auto"/>
                <w:sz w:val="22"/>
                <w:szCs w:val="22"/>
                <w:highlight w:val="none"/>
              </w:rPr>
            </w:pPr>
            <w:r>
              <w:rPr>
                <w:rFonts w:hint="eastAsia" w:ascii="宋体" w:hAnsi="宋体" w:cs="宋体"/>
                <w:bCs/>
                <w:color w:val="auto"/>
                <w:sz w:val="22"/>
                <w:szCs w:val="22"/>
                <w:highlight w:val="none"/>
              </w:rPr>
              <w:t>法律、法规规定的其他情形。</w:t>
            </w:r>
          </w:p>
        </w:tc>
        <w:tc>
          <w:tcPr>
            <w:tcW w:w="1613" w:type="dxa"/>
            <w:noWrap/>
            <w:vAlign w:val="center"/>
          </w:tcPr>
          <w:p w14:paraId="12505E85">
            <w:pPr>
              <w:keepNext w:val="0"/>
              <w:keepLines w:val="0"/>
              <w:pageBreakBefore w:val="0"/>
              <w:widowControl w:val="0"/>
              <w:kinsoku/>
              <w:wordWrap/>
              <w:overflowPunct/>
              <w:topLinePunct w:val="0"/>
              <w:bidi w:val="0"/>
              <w:spacing w:line="240" w:lineRule="atLeast"/>
              <w:jc w:val="left"/>
              <w:textAlignment w:val="auto"/>
              <w:rPr>
                <w:rFonts w:hint="eastAsia" w:ascii="宋体" w:hAnsi="宋体" w:cs="宋体"/>
                <w:bCs/>
                <w:color w:val="auto"/>
                <w:sz w:val="22"/>
                <w:szCs w:val="22"/>
                <w:highlight w:val="none"/>
              </w:rPr>
            </w:pPr>
          </w:p>
        </w:tc>
      </w:tr>
    </w:tbl>
    <w:p w14:paraId="43DF37D8">
      <w:pPr>
        <w:keepNext w:val="0"/>
        <w:keepLines w:val="0"/>
        <w:pageBreakBefore w:val="0"/>
        <w:widowControl w:val="0"/>
        <w:kinsoku/>
        <w:wordWrap/>
        <w:overflowPunct/>
        <w:topLinePunct w:val="0"/>
        <w:bidi w:val="0"/>
        <w:spacing w:line="240" w:lineRule="atLeast"/>
        <w:jc w:val="both"/>
        <w:textAlignment w:val="auto"/>
        <w:rPr>
          <w:rFonts w:hint="eastAsia" w:ascii="宋体" w:hAnsi="宋体" w:cs="宋体"/>
          <w:color w:val="auto"/>
          <w:highlight w:val="none"/>
        </w:rPr>
      </w:pPr>
    </w:p>
    <w:p w14:paraId="331D6479">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投标人（公章）：</w:t>
      </w:r>
    </w:p>
    <w:p w14:paraId="1FAA76A2">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法定代表人或其授权代表签名：</w:t>
      </w:r>
    </w:p>
    <w:p w14:paraId="7FD8CE09">
      <w:pPr>
        <w:keepNext w:val="0"/>
        <w:keepLines w:val="0"/>
        <w:pageBreakBefore w:val="0"/>
        <w:widowControl w:val="0"/>
        <w:kinsoku/>
        <w:wordWrap/>
        <w:overflowPunct/>
        <w:topLinePunct w:val="0"/>
        <w:bidi w:val="0"/>
        <w:spacing w:line="240" w:lineRule="atLeast"/>
        <w:jc w:val="both"/>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日期：      年    月    日</w:t>
      </w:r>
    </w:p>
    <w:p w14:paraId="64B88E46">
      <w:pPr>
        <w:keepNext w:val="0"/>
        <w:keepLines w:val="0"/>
        <w:pageBreakBefore w:val="0"/>
        <w:widowControl w:val="0"/>
        <w:kinsoku/>
        <w:wordWrap/>
        <w:overflowPunct/>
        <w:topLinePunct w:val="0"/>
        <w:bidi w:val="0"/>
        <w:spacing w:line="240" w:lineRule="atLeast"/>
        <w:jc w:val="both"/>
        <w:textAlignment w:val="auto"/>
        <w:rPr>
          <w:rFonts w:hint="eastAsia" w:ascii="宋体" w:hAnsi="宋体" w:eastAsia="宋体" w:cs="宋体"/>
          <w:b/>
          <w:bCs/>
          <w:color w:val="auto"/>
          <w:sz w:val="40"/>
          <w:szCs w:val="40"/>
          <w:highlight w:val="none"/>
          <w:lang w:eastAsia="zh-CN"/>
        </w:rPr>
      </w:pPr>
      <w:r>
        <w:rPr>
          <w:rFonts w:hint="eastAsia" w:ascii="宋体" w:hAnsi="宋体" w:cs="宋体"/>
          <w:color w:val="auto"/>
          <w:highlight w:val="none"/>
        </w:rPr>
        <w:t>说明：</w:t>
      </w:r>
      <w:r>
        <w:rPr>
          <w:rFonts w:hint="eastAsia" w:ascii="宋体" w:hAnsi="宋体"/>
          <w:color w:val="auto"/>
          <w:highlight w:val="none"/>
        </w:rPr>
        <w:t>投标人必须严格按照《资格性审查表》《符合性检查表》的评审内容的要求如实提供材料</w:t>
      </w:r>
      <w:r>
        <w:rPr>
          <w:rFonts w:hint="eastAsia" w:ascii="宋体" w:hAnsi="宋体"/>
          <w:bCs/>
          <w:color w:val="auto"/>
          <w:highlight w:val="none"/>
        </w:rPr>
        <w:t>并应加盖投标人公章</w:t>
      </w:r>
      <w:r>
        <w:rPr>
          <w:rFonts w:hint="eastAsia" w:ascii="宋体" w:hAnsi="宋体"/>
          <w:bCs/>
          <w:color w:val="auto"/>
          <w:highlight w:val="none"/>
          <w:lang w:eastAsia="zh-CN"/>
        </w:rPr>
        <w:t>，</w:t>
      </w:r>
      <w:r>
        <w:rPr>
          <w:rFonts w:hint="eastAsia" w:ascii="宋体" w:hAnsi="宋体"/>
          <w:color w:val="auto"/>
          <w:highlight w:val="none"/>
        </w:rPr>
        <w:t>对缺漏或不符合项将直接导致无效投标</w:t>
      </w:r>
      <w:r>
        <w:rPr>
          <w:rFonts w:hint="eastAsia" w:ascii="宋体" w:cs="宋体"/>
          <w:color w:val="auto"/>
          <w:szCs w:val="21"/>
          <w:highlight w:val="none"/>
        </w:rPr>
        <w:t>。</w:t>
      </w:r>
    </w:p>
    <w:p w14:paraId="5AA8EF3D">
      <w:pPr>
        <w:pStyle w:val="3"/>
        <w:spacing w:line="400" w:lineRule="exact"/>
        <w:jc w:val="center"/>
        <w:rPr>
          <w:rFonts w:ascii="宋体" w:hAnsi="宋体" w:cs="宋体"/>
          <w:b/>
          <w:bCs/>
          <w:color w:val="auto"/>
          <w:sz w:val="32"/>
          <w:szCs w:val="32"/>
          <w:highlight w:val="none"/>
        </w:rPr>
      </w:pPr>
      <w:bookmarkStart w:id="11" w:name="_Toc20190"/>
      <w:bookmarkStart w:id="12" w:name="_Toc417"/>
      <w:bookmarkStart w:id="13" w:name="_Toc24877"/>
      <w:r>
        <w:rPr>
          <w:rFonts w:hint="eastAsia" w:ascii="宋体" w:hAnsi="宋体" w:cs="宋体"/>
          <w:b/>
          <w:bCs/>
          <w:color w:val="auto"/>
          <w:sz w:val="28"/>
          <w:szCs w:val="28"/>
          <w:highlight w:val="none"/>
        </w:rPr>
        <w:t>（三）供应商自查表</w:t>
      </w:r>
      <w:bookmarkEnd w:id="11"/>
      <w:bookmarkEnd w:id="12"/>
      <w:bookmarkEnd w:id="13"/>
    </w:p>
    <w:p w14:paraId="6B2B8C68">
      <w:pPr>
        <w:spacing w:before="157" w:line="198" w:lineRule="auto"/>
        <w:ind w:left="126" w:right="-21" w:rightChars="-10"/>
        <w:jc w:val="center"/>
        <w:rPr>
          <w:color w:val="auto"/>
          <w:highlight w:val="none"/>
        </w:rPr>
      </w:pPr>
      <w:r>
        <w:rPr>
          <w:rFonts w:hint="eastAsia" w:ascii="宋体" w:hAnsi="宋体" w:cs="宋体"/>
          <w:color w:val="auto"/>
          <w:szCs w:val="21"/>
          <w:highlight w:val="none"/>
        </w:rPr>
        <w:t xml:space="preserve">填表单位：（加盖单位公章）       </w:t>
      </w:r>
      <w:r>
        <w:rPr>
          <w:rFonts w:hint="eastAsia" w:ascii="宋体" w:hAnsi="宋体" w:cs="宋体"/>
          <w:color w:val="auto"/>
          <w:spacing w:val="4"/>
          <w:szCs w:val="21"/>
          <w:highlight w:val="none"/>
        </w:rPr>
        <w:t xml:space="preserve">             </w:t>
      </w:r>
      <w:r>
        <w:rPr>
          <w:rFonts w:hint="eastAsia" w:ascii="宋体" w:hAnsi="宋体" w:cs="宋体"/>
          <w:color w:val="auto"/>
          <w:szCs w:val="21"/>
          <w:highlight w:val="none"/>
        </w:rPr>
        <w:t>填表日期：</w:t>
      </w:r>
      <w:r>
        <w:rPr>
          <w:rFonts w:hint="eastAsia" w:ascii="宋体" w:hAnsi="宋体" w:cs="宋体"/>
          <w:color w:val="auto"/>
          <w:spacing w:val="13"/>
          <w:szCs w:val="21"/>
          <w:highlight w:val="none"/>
        </w:rPr>
        <w:t xml:space="preserve">   </w:t>
      </w:r>
      <w:r>
        <w:rPr>
          <w:rFonts w:hint="eastAsia" w:ascii="宋体" w:hAnsi="宋体" w:cs="宋体"/>
          <w:color w:val="auto"/>
          <w:szCs w:val="21"/>
          <w:highlight w:val="none"/>
        </w:rPr>
        <w:t>年   月   日</w:t>
      </w:r>
    </w:p>
    <w:tbl>
      <w:tblPr>
        <w:tblStyle w:val="18"/>
        <w:tblW w:w="10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5985"/>
        <w:gridCol w:w="2820"/>
        <w:gridCol w:w="780"/>
      </w:tblGrid>
      <w:tr w14:paraId="5BB08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1" w:type="dxa"/>
            <w:vAlign w:val="center"/>
          </w:tcPr>
          <w:p w14:paraId="368CCFA2">
            <w:pPr>
              <w:spacing w:line="360" w:lineRule="exact"/>
              <w:jc w:val="center"/>
              <w:rPr>
                <w:rFonts w:ascii="宋体" w:hAnsi="宋体"/>
                <w:color w:val="auto"/>
                <w:szCs w:val="21"/>
                <w:highlight w:val="none"/>
              </w:rPr>
            </w:pPr>
            <w:r>
              <w:rPr>
                <w:rFonts w:hint="eastAsia" w:ascii="宋体" w:hAnsi="宋体"/>
                <w:color w:val="auto"/>
                <w:szCs w:val="21"/>
                <w:highlight w:val="none"/>
              </w:rPr>
              <w:t>序号</w:t>
            </w:r>
          </w:p>
        </w:tc>
        <w:tc>
          <w:tcPr>
            <w:tcW w:w="5985" w:type="dxa"/>
            <w:vAlign w:val="center"/>
          </w:tcPr>
          <w:p w14:paraId="1994F086">
            <w:pPr>
              <w:spacing w:line="360" w:lineRule="exact"/>
              <w:jc w:val="center"/>
              <w:rPr>
                <w:rFonts w:ascii="宋体" w:hAnsi="宋体"/>
                <w:color w:val="auto"/>
                <w:szCs w:val="21"/>
                <w:highlight w:val="none"/>
              </w:rPr>
            </w:pPr>
            <w:r>
              <w:rPr>
                <w:rFonts w:hint="eastAsia" w:ascii="宋体" w:hAnsi="宋体"/>
                <w:color w:val="auto"/>
                <w:szCs w:val="21"/>
                <w:highlight w:val="none"/>
              </w:rPr>
              <w:t>是否存在以下投标违规行为</w:t>
            </w:r>
          </w:p>
        </w:tc>
        <w:tc>
          <w:tcPr>
            <w:tcW w:w="2820" w:type="dxa"/>
            <w:vAlign w:val="center"/>
          </w:tcPr>
          <w:p w14:paraId="04F35A8C">
            <w:pPr>
              <w:spacing w:line="360" w:lineRule="exact"/>
              <w:jc w:val="center"/>
              <w:rPr>
                <w:rFonts w:ascii="宋体" w:hAnsi="宋体"/>
                <w:color w:val="auto"/>
                <w:szCs w:val="21"/>
                <w:highlight w:val="none"/>
              </w:rPr>
            </w:pPr>
            <w:r>
              <w:rPr>
                <w:rFonts w:hint="eastAsia" w:ascii="宋体" w:hAnsi="宋体"/>
                <w:color w:val="auto"/>
                <w:szCs w:val="21"/>
                <w:highlight w:val="none"/>
              </w:rPr>
              <w:t>自查情况</w:t>
            </w:r>
          </w:p>
          <w:p w14:paraId="13820A96">
            <w:pPr>
              <w:spacing w:line="360" w:lineRule="exact"/>
              <w:jc w:val="center"/>
              <w:rPr>
                <w:rFonts w:ascii="宋体" w:hAnsi="宋体"/>
                <w:color w:val="auto"/>
                <w:szCs w:val="21"/>
                <w:highlight w:val="none"/>
              </w:rPr>
            </w:pPr>
            <w:r>
              <w:rPr>
                <w:rFonts w:hint="eastAsia" w:ascii="宋体" w:hAnsi="宋体"/>
                <w:color w:val="auto"/>
                <w:szCs w:val="21"/>
                <w:highlight w:val="none"/>
              </w:rPr>
              <w:t>（填写“不存在”或“存在”）</w:t>
            </w:r>
          </w:p>
        </w:tc>
        <w:tc>
          <w:tcPr>
            <w:tcW w:w="780" w:type="dxa"/>
            <w:vAlign w:val="center"/>
          </w:tcPr>
          <w:p w14:paraId="5CD9C50F">
            <w:pPr>
              <w:spacing w:line="360" w:lineRule="exact"/>
              <w:jc w:val="center"/>
              <w:rPr>
                <w:rFonts w:ascii="宋体" w:hAnsi="宋体"/>
                <w:color w:val="auto"/>
                <w:szCs w:val="21"/>
                <w:highlight w:val="none"/>
              </w:rPr>
            </w:pPr>
            <w:r>
              <w:rPr>
                <w:rFonts w:hint="eastAsia" w:ascii="宋体" w:hAnsi="宋体"/>
                <w:color w:val="auto"/>
                <w:szCs w:val="21"/>
                <w:highlight w:val="none"/>
              </w:rPr>
              <w:t>备注</w:t>
            </w:r>
          </w:p>
        </w:tc>
      </w:tr>
      <w:tr w14:paraId="14983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61" w:type="dxa"/>
            <w:vAlign w:val="center"/>
          </w:tcPr>
          <w:p w14:paraId="484AB8FB">
            <w:pPr>
              <w:spacing w:line="360" w:lineRule="exact"/>
              <w:jc w:val="center"/>
              <w:rPr>
                <w:rFonts w:ascii="宋体" w:hAnsi="宋体"/>
                <w:color w:val="auto"/>
                <w:szCs w:val="21"/>
                <w:highlight w:val="none"/>
              </w:rPr>
            </w:pPr>
            <w:r>
              <w:rPr>
                <w:rFonts w:hint="eastAsia" w:ascii="宋体" w:hAnsi="宋体"/>
                <w:color w:val="auto"/>
                <w:szCs w:val="21"/>
                <w:highlight w:val="none"/>
              </w:rPr>
              <w:t>1</w:t>
            </w:r>
          </w:p>
        </w:tc>
        <w:tc>
          <w:tcPr>
            <w:tcW w:w="5985" w:type="dxa"/>
            <w:vAlign w:val="center"/>
          </w:tcPr>
          <w:p w14:paraId="76D78A1A">
            <w:pPr>
              <w:jc w:val="left"/>
              <w:rPr>
                <w:rFonts w:ascii="宋体" w:hAnsi="宋体" w:cs="宋体"/>
                <w:color w:val="auto"/>
                <w:highlight w:val="none"/>
              </w:rPr>
            </w:pPr>
            <w:r>
              <w:rPr>
                <w:rFonts w:hint="eastAsia" w:ascii="宋体" w:hAnsi="宋体" w:cs="宋体"/>
                <w:bCs/>
                <w:color w:val="auto"/>
                <w:szCs w:val="21"/>
                <w:highlight w:val="none"/>
              </w:rPr>
              <w:t>投标供应商之间相互约定给予未中标的供应商利益补偿。</w:t>
            </w:r>
          </w:p>
        </w:tc>
        <w:tc>
          <w:tcPr>
            <w:tcW w:w="2820" w:type="dxa"/>
            <w:vAlign w:val="center"/>
          </w:tcPr>
          <w:p w14:paraId="109CD6AA">
            <w:pPr>
              <w:spacing w:line="360" w:lineRule="exact"/>
              <w:jc w:val="center"/>
              <w:rPr>
                <w:rFonts w:ascii="宋体" w:hAnsi="宋体"/>
                <w:b/>
                <w:color w:val="auto"/>
                <w:szCs w:val="21"/>
                <w:highlight w:val="none"/>
              </w:rPr>
            </w:pPr>
          </w:p>
        </w:tc>
        <w:tc>
          <w:tcPr>
            <w:tcW w:w="780" w:type="dxa"/>
            <w:vAlign w:val="center"/>
          </w:tcPr>
          <w:p w14:paraId="73DB5049">
            <w:pPr>
              <w:spacing w:line="360" w:lineRule="exact"/>
              <w:jc w:val="center"/>
              <w:rPr>
                <w:rFonts w:ascii="宋体" w:hAnsi="宋体"/>
                <w:b/>
                <w:color w:val="auto"/>
                <w:szCs w:val="21"/>
                <w:highlight w:val="none"/>
              </w:rPr>
            </w:pPr>
          </w:p>
        </w:tc>
      </w:tr>
      <w:tr w14:paraId="59B83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61" w:type="dxa"/>
            <w:vAlign w:val="center"/>
          </w:tcPr>
          <w:p w14:paraId="4AE9FFB0">
            <w:pPr>
              <w:spacing w:line="360" w:lineRule="exact"/>
              <w:jc w:val="center"/>
              <w:rPr>
                <w:rFonts w:ascii="宋体" w:hAnsi="宋体"/>
                <w:color w:val="auto"/>
                <w:szCs w:val="21"/>
                <w:highlight w:val="none"/>
              </w:rPr>
            </w:pPr>
            <w:r>
              <w:rPr>
                <w:rFonts w:hint="eastAsia" w:ascii="宋体" w:hAnsi="宋体"/>
                <w:color w:val="auto"/>
                <w:szCs w:val="21"/>
                <w:highlight w:val="none"/>
              </w:rPr>
              <w:t>2</w:t>
            </w:r>
          </w:p>
        </w:tc>
        <w:tc>
          <w:tcPr>
            <w:tcW w:w="5985" w:type="dxa"/>
            <w:vAlign w:val="center"/>
          </w:tcPr>
          <w:p w14:paraId="06A08A52">
            <w:pPr>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不同投标供应商的法定代表人、主要经营负责人、项目投标授权代表人、项目负责人、主要技术人员为同一人、属于同一单位或者在同一单位缴纳社会保险。</w:t>
            </w:r>
          </w:p>
        </w:tc>
        <w:tc>
          <w:tcPr>
            <w:tcW w:w="2820" w:type="dxa"/>
            <w:vAlign w:val="center"/>
          </w:tcPr>
          <w:p w14:paraId="41A90553">
            <w:pPr>
              <w:spacing w:line="360" w:lineRule="exact"/>
              <w:jc w:val="center"/>
              <w:rPr>
                <w:rFonts w:ascii="宋体" w:hAnsi="宋体"/>
                <w:b/>
                <w:color w:val="auto"/>
                <w:szCs w:val="21"/>
                <w:highlight w:val="none"/>
              </w:rPr>
            </w:pPr>
          </w:p>
        </w:tc>
        <w:tc>
          <w:tcPr>
            <w:tcW w:w="780" w:type="dxa"/>
            <w:vAlign w:val="center"/>
          </w:tcPr>
          <w:p w14:paraId="630F99CB">
            <w:pPr>
              <w:spacing w:line="360" w:lineRule="exact"/>
              <w:jc w:val="center"/>
              <w:rPr>
                <w:rFonts w:ascii="宋体" w:hAnsi="宋体"/>
                <w:b/>
                <w:color w:val="auto"/>
                <w:szCs w:val="21"/>
                <w:highlight w:val="none"/>
              </w:rPr>
            </w:pPr>
          </w:p>
        </w:tc>
      </w:tr>
      <w:tr w14:paraId="515E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61" w:type="dxa"/>
            <w:vAlign w:val="center"/>
          </w:tcPr>
          <w:p w14:paraId="7076966B">
            <w:pPr>
              <w:spacing w:line="360" w:lineRule="exact"/>
              <w:jc w:val="center"/>
              <w:rPr>
                <w:rFonts w:ascii="宋体" w:hAnsi="宋体"/>
                <w:color w:val="auto"/>
                <w:szCs w:val="21"/>
                <w:highlight w:val="none"/>
              </w:rPr>
            </w:pPr>
            <w:r>
              <w:rPr>
                <w:rFonts w:hint="eastAsia" w:ascii="宋体" w:hAnsi="宋体"/>
                <w:color w:val="auto"/>
                <w:szCs w:val="21"/>
                <w:highlight w:val="none"/>
              </w:rPr>
              <w:t>3</w:t>
            </w:r>
          </w:p>
        </w:tc>
        <w:tc>
          <w:tcPr>
            <w:tcW w:w="5985" w:type="dxa"/>
            <w:vAlign w:val="center"/>
          </w:tcPr>
          <w:p w14:paraId="7833E199">
            <w:pPr>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不同投标供应商的投标文件由同一单位或者同一人编制，或者由同一人分阶段参与编制的。</w:t>
            </w:r>
          </w:p>
        </w:tc>
        <w:tc>
          <w:tcPr>
            <w:tcW w:w="2820" w:type="dxa"/>
            <w:vAlign w:val="center"/>
          </w:tcPr>
          <w:p w14:paraId="46F05D89">
            <w:pPr>
              <w:spacing w:line="360" w:lineRule="exact"/>
              <w:jc w:val="center"/>
              <w:rPr>
                <w:rFonts w:ascii="宋体" w:hAnsi="宋体"/>
                <w:b/>
                <w:color w:val="auto"/>
                <w:szCs w:val="21"/>
                <w:highlight w:val="none"/>
              </w:rPr>
            </w:pPr>
          </w:p>
        </w:tc>
        <w:tc>
          <w:tcPr>
            <w:tcW w:w="780" w:type="dxa"/>
            <w:vAlign w:val="center"/>
          </w:tcPr>
          <w:p w14:paraId="744DC367">
            <w:pPr>
              <w:spacing w:line="360" w:lineRule="exact"/>
              <w:jc w:val="center"/>
              <w:rPr>
                <w:rFonts w:ascii="宋体" w:hAnsi="宋体"/>
                <w:b/>
                <w:color w:val="auto"/>
                <w:szCs w:val="21"/>
                <w:highlight w:val="none"/>
              </w:rPr>
            </w:pPr>
          </w:p>
        </w:tc>
      </w:tr>
      <w:tr w14:paraId="029C1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661" w:type="dxa"/>
            <w:vAlign w:val="center"/>
          </w:tcPr>
          <w:p w14:paraId="78348708">
            <w:pPr>
              <w:spacing w:line="360" w:lineRule="exact"/>
              <w:jc w:val="center"/>
              <w:rPr>
                <w:rFonts w:ascii="宋体" w:hAnsi="宋体"/>
                <w:color w:val="auto"/>
                <w:szCs w:val="21"/>
                <w:highlight w:val="none"/>
              </w:rPr>
            </w:pPr>
            <w:r>
              <w:rPr>
                <w:rFonts w:hint="eastAsia" w:ascii="宋体" w:hAnsi="宋体"/>
                <w:color w:val="auto"/>
                <w:szCs w:val="21"/>
                <w:highlight w:val="none"/>
              </w:rPr>
              <w:t>4</w:t>
            </w:r>
          </w:p>
        </w:tc>
        <w:tc>
          <w:tcPr>
            <w:tcW w:w="5985" w:type="dxa"/>
            <w:vAlign w:val="center"/>
          </w:tcPr>
          <w:p w14:paraId="24D25393">
            <w:pPr>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不同投标供应商的投标文件或部分投标文件相互混装。</w:t>
            </w:r>
          </w:p>
        </w:tc>
        <w:tc>
          <w:tcPr>
            <w:tcW w:w="2820" w:type="dxa"/>
            <w:vAlign w:val="center"/>
          </w:tcPr>
          <w:p w14:paraId="1058F03D">
            <w:pPr>
              <w:spacing w:line="360" w:lineRule="exact"/>
              <w:jc w:val="center"/>
              <w:rPr>
                <w:rFonts w:ascii="宋体" w:hAnsi="宋体"/>
                <w:b/>
                <w:color w:val="auto"/>
                <w:szCs w:val="21"/>
                <w:highlight w:val="none"/>
              </w:rPr>
            </w:pPr>
          </w:p>
        </w:tc>
        <w:tc>
          <w:tcPr>
            <w:tcW w:w="780" w:type="dxa"/>
            <w:vAlign w:val="center"/>
          </w:tcPr>
          <w:p w14:paraId="14A99CB5">
            <w:pPr>
              <w:spacing w:line="360" w:lineRule="exact"/>
              <w:jc w:val="center"/>
              <w:rPr>
                <w:rFonts w:ascii="宋体" w:hAnsi="宋体"/>
                <w:b/>
                <w:color w:val="auto"/>
                <w:szCs w:val="21"/>
                <w:highlight w:val="none"/>
              </w:rPr>
            </w:pPr>
          </w:p>
        </w:tc>
      </w:tr>
      <w:tr w14:paraId="63922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1" w:type="dxa"/>
            <w:vAlign w:val="center"/>
          </w:tcPr>
          <w:p w14:paraId="006BF1D6">
            <w:pPr>
              <w:spacing w:line="360" w:lineRule="exact"/>
              <w:jc w:val="center"/>
              <w:rPr>
                <w:rFonts w:ascii="宋体" w:hAnsi="宋体"/>
                <w:color w:val="auto"/>
                <w:szCs w:val="21"/>
                <w:highlight w:val="none"/>
              </w:rPr>
            </w:pPr>
            <w:r>
              <w:rPr>
                <w:rFonts w:hint="eastAsia" w:ascii="宋体" w:hAnsi="宋体"/>
                <w:color w:val="auto"/>
                <w:szCs w:val="21"/>
                <w:highlight w:val="none"/>
              </w:rPr>
              <w:t>5</w:t>
            </w:r>
          </w:p>
        </w:tc>
        <w:tc>
          <w:tcPr>
            <w:tcW w:w="5985" w:type="dxa"/>
            <w:vAlign w:val="center"/>
          </w:tcPr>
          <w:p w14:paraId="71C5DD27">
            <w:pPr>
              <w:jc w:val="left"/>
              <w:rPr>
                <w:rFonts w:ascii="宋体" w:hAnsi="宋体" w:cs="宋体"/>
                <w:snapToGrid w:val="0"/>
                <w:color w:val="auto"/>
                <w:kern w:val="0"/>
                <w:szCs w:val="21"/>
                <w:highlight w:val="none"/>
              </w:rPr>
            </w:pPr>
            <w:r>
              <w:rPr>
                <w:color w:val="auto"/>
                <w:szCs w:val="21"/>
                <w:highlight w:val="none"/>
              </w:rPr>
              <w:t>不同投标供应商的投标文件内容存在非正常一致。</w:t>
            </w:r>
          </w:p>
        </w:tc>
        <w:tc>
          <w:tcPr>
            <w:tcW w:w="2820" w:type="dxa"/>
            <w:vAlign w:val="center"/>
          </w:tcPr>
          <w:p w14:paraId="13DBCE14">
            <w:pPr>
              <w:spacing w:line="360" w:lineRule="exact"/>
              <w:jc w:val="center"/>
              <w:rPr>
                <w:rFonts w:ascii="宋体" w:hAnsi="宋体"/>
                <w:b/>
                <w:color w:val="auto"/>
                <w:szCs w:val="21"/>
                <w:highlight w:val="none"/>
              </w:rPr>
            </w:pPr>
          </w:p>
        </w:tc>
        <w:tc>
          <w:tcPr>
            <w:tcW w:w="780" w:type="dxa"/>
            <w:vAlign w:val="center"/>
          </w:tcPr>
          <w:p w14:paraId="6CC74DC8">
            <w:pPr>
              <w:spacing w:line="360" w:lineRule="exact"/>
              <w:jc w:val="center"/>
              <w:rPr>
                <w:rFonts w:ascii="宋体" w:hAnsi="宋体"/>
                <w:b/>
                <w:color w:val="auto"/>
                <w:szCs w:val="21"/>
                <w:highlight w:val="none"/>
              </w:rPr>
            </w:pPr>
          </w:p>
        </w:tc>
      </w:tr>
      <w:tr w14:paraId="79825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1" w:type="dxa"/>
            <w:vAlign w:val="center"/>
          </w:tcPr>
          <w:p w14:paraId="67279AD5">
            <w:pPr>
              <w:spacing w:line="360" w:lineRule="exact"/>
              <w:jc w:val="center"/>
              <w:rPr>
                <w:rFonts w:ascii="宋体" w:hAnsi="宋体"/>
                <w:color w:val="auto"/>
                <w:szCs w:val="21"/>
                <w:highlight w:val="none"/>
              </w:rPr>
            </w:pPr>
            <w:r>
              <w:rPr>
                <w:rFonts w:hint="eastAsia" w:ascii="宋体" w:hAnsi="宋体"/>
                <w:color w:val="auto"/>
                <w:szCs w:val="21"/>
                <w:highlight w:val="none"/>
              </w:rPr>
              <w:t>6</w:t>
            </w:r>
          </w:p>
        </w:tc>
        <w:tc>
          <w:tcPr>
            <w:tcW w:w="5985" w:type="dxa"/>
            <w:vAlign w:val="center"/>
          </w:tcPr>
          <w:p w14:paraId="2A06FEA0">
            <w:pPr>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由同一单位工作人员为两家以上（含两家）供应商进行同一项投标活动。</w:t>
            </w:r>
          </w:p>
        </w:tc>
        <w:tc>
          <w:tcPr>
            <w:tcW w:w="2820" w:type="dxa"/>
            <w:vAlign w:val="center"/>
          </w:tcPr>
          <w:p w14:paraId="52FC8DC7">
            <w:pPr>
              <w:spacing w:line="360" w:lineRule="exact"/>
              <w:jc w:val="center"/>
              <w:rPr>
                <w:rFonts w:ascii="宋体" w:hAnsi="宋体"/>
                <w:b/>
                <w:color w:val="auto"/>
                <w:szCs w:val="21"/>
                <w:highlight w:val="none"/>
              </w:rPr>
            </w:pPr>
          </w:p>
        </w:tc>
        <w:tc>
          <w:tcPr>
            <w:tcW w:w="780" w:type="dxa"/>
            <w:vAlign w:val="center"/>
          </w:tcPr>
          <w:p w14:paraId="09AB7461">
            <w:pPr>
              <w:spacing w:line="360" w:lineRule="exact"/>
              <w:jc w:val="center"/>
              <w:rPr>
                <w:rFonts w:ascii="宋体" w:hAnsi="宋体"/>
                <w:b/>
                <w:color w:val="auto"/>
                <w:szCs w:val="21"/>
                <w:highlight w:val="none"/>
              </w:rPr>
            </w:pPr>
          </w:p>
        </w:tc>
      </w:tr>
      <w:tr w14:paraId="077E0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661" w:type="dxa"/>
            <w:vAlign w:val="center"/>
          </w:tcPr>
          <w:p w14:paraId="5FD161C3">
            <w:pPr>
              <w:spacing w:line="360" w:lineRule="exact"/>
              <w:jc w:val="center"/>
              <w:rPr>
                <w:rFonts w:ascii="宋体" w:hAnsi="宋体"/>
                <w:color w:val="auto"/>
                <w:szCs w:val="21"/>
                <w:highlight w:val="none"/>
              </w:rPr>
            </w:pPr>
            <w:r>
              <w:rPr>
                <w:rFonts w:hint="eastAsia" w:ascii="宋体" w:hAnsi="宋体"/>
                <w:color w:val="auto"/>
                <w:szCs w:val="21"/>
                <w:highlight w:val="none"/>
              </w:rPr>
              <w:t>7</w:t>
            </w:r>
          </w:p>
        </w:tc>
        <w:tc>
          <w:tcPr>
            <w:tcW w:w="5985" w:type="dxa"/>
            <w:vAlign w:val="center"/>
          </w:tcPr>
          <w:p w14:paraId="4E0D4F00">
            <w:pPr>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不同投标人的投标文件载明的项目管理成员或者联系人员为同一人。</w:t>
            </w:r>
          </w:p>
        </w:tc>
        <w:tc>
          <w:tcPr>
            <w:tcW w:w="2820" w:type="dxa"/>
            <w:vAlign w:val="center"/>
          </w:tcPr>
          <w:p w14:paraId="4CE5A825">
            <w:pPr>
              <w:spacing w:line="360" w:lineRule="exact"/>
              <w:jc w:val="center"/>
              <w:rPr>
                <w:rFonts w:ascii="宋体" w:hAnsi="宋体"/>
                <w:b/>
                <w:color w:val="auto"/>
                <w:szCs w:val="21"/>
                <w:highlight w:val="none"/>
              </w:rPr>
            </w:pPr>
          </w:p>
        </w:tc>
        <w:tc>
          <w:tcPr>
            <w:tcW w:w="780" w:type="dxa"/>
            <w:vAlign w:val="center"/>
          </w:tcPr>
          <w:p w14:paraId="620BBA10">
            <w:pPr>
              <w:spacing w:line="360" w:lineRule="exact"/>
              <w:jc w:val="center"/>
              <w:rPr>
                <w:rFonts w:ascii="宋体" w:hAnsi="宋体"/>
                <w:b/>
                <w:color w:val="auto"/>
                <w:szCs w:val="21"/>
                <w:highlight w:val="none"/>
              </w:rPr>
            </w:pPr>
          </w:p>
        </w:tc>
      </w:tr>
      <w:tr w14:paraId="21B0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61" w:type="dxa"/>
            <w:vAlign w:val="center"/>
          </w:tcPr>
          <w:p w14:paraId="59876C5F">
            <w:pPr>
              <w:spacing w:line="360" w:lineRule="exact"/>
              <w:jc w:val="center"/>
              <w:rPr>
                <w:rFonts w:ascii="宋体" w:hAnsi="宋体"/>
                <w:color w:val="auto"/>
                <w:szCs w:val="21"/>
                <w:highlight w:val="none"/>
              </w:rPr>
            </w:pPr>
            <w:r>
              <w:rPr>
                <w:rFonts w:hint="eastAsia" w:ascii="宋体" w:hAnsi="宋体"/>
                <w:color w:val="auto"/>
                <w:szCs w:val="21"/>
                <w:highlight w:val="none"/>
              </w:rPr>
              <w:t>8</w:t>
            </w:r>
          </w:p>
        </w:tc>
        <w:tc>
          <w:tcPr>
            <w:tcW w:w="5985" w:type="dxa"/>
            <w:vAlign w:val="center"/>
          </w:tcPr>
          <w:p w14:paraId="38B95265">
            <w:pPr>
              <w:jc w:val="left"/>
              <w:rPr>
                <w:rFonts w:ascii="宋体" w:hAnsi="宋体" w:cs="宋体"/>
                <w:snapToGrid w:val="0"/>
                <w:color w:val="auto"/>
                <w:kern w:val="0"/>
                <w:szCs w:val="21"/>
                <w:highlight w:val="none"/>
              </w:rPr>
            </w:pPr>
            <w:r>
              <w:rPr>
                <w:rFonts w:hint="eastAsia" w:ascii="宋体" w:hAnsi="宋体" w:cs="宋体"/>
                <w:color w:val="auto"/>
                <w:highlight w:val="none"/>
              </w:rPr>
              <w:t>不同投标人的投标报价呈规律性差异。</w:t>
            </w:r>
          </w:p>
        </w:tc>
        <w:tc>
          <w:tcPr>
            <w:tcW w:w="2820" w:type="dxa"/>
            <w:vAlign w:val="center"/>
          </w:tcPr>
          <w:p w14:paraId="079620E8">
            <w:pPr>
              <w:spacing w:line="360" w:lineRule="exact"/>
              <w:jc w:val="center"/>
              <w:rPr>
                <w:rFonts w:ascii="宋体" w:hAnsi="宋体"/>
                <w:b/>
                <w:color w:val="auto"/>
                <w:szCs w:val="21"/>
                <w:highlight w:val="none"/>
              </w:rPr>
            </w:pPr>
          </w:p>
        </w:tc>
        <w:tc>
          <w:tcPr>
            <w:tcW w:w="780" w:type="dxa"/>
            <w:vAlign w:val="center"/>
          </w:tcPr>
          <w:p w14:paraId="3876654B">
            <w:pPr>
              <w:spacing w:line="360" w:lineRule="exact"/>
              <w:jc w:val="center"/>
              <w:rPr>
                <w:rFonts w:ascii="宋体" w:hAnsi="宋体"/>
                <w:b/>
                <w:color w:val="auto"/>
                <w:szCs w:val="21"/>
                <w:highlight w:val="none"/>
              </w:rPr>
            </w:pPr>
          </w:p>
        </w:tc>
      </w:tr>
      <w:tr w14:paraId="474F9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661" w:type="dxa"/>
            <w:vAlign w:val="center"/>
          </w:tcPr>
          <w:p w14:paraId="3DDCF05D">
            <w:pPr>
              <w:spacing w:line="360" w:lineRule="exact"/>
              <w:jc w:val="center"/>
              <w:rPr>
                <w:rFonts w:ascii="宋体" w:hAnsi="宋体"/>
                <w:color w:val="auto"/>
                <w:szCs w:val="21"/>
                <w:highlight w:val="none"/>
              </w:rPr>
            </w:pPr>
            <w:r>
              <w:rPr>
                <w:rFonts w:hint="eastAsia" w:ascii="宋体" w:hAnsi="宋体"/>
                <w:color w:val="auto"/>
                <w:szCs w:val="21"/>
                <w:highlight w:val="none"/>
              </w:rPr>
              <w:t>9</w:t>
            </w:r>
          </w:p>
        </w:tc>
        <w:tc>
          <w:tcPr>
            <w:tcW w:w="5985" w:type="dxa"/>
            <w:vAlign w:val="center"/>
          </w:tcPr>
          <w:p w14:paraId="6D72B231">
            <w:pPr>
              <w:jc w:val="left"/>
              <w:rPr>
                <w:rFonts w:ascii="宋体" w:hAnsi="宋体" w:cs="宋体"/>
                <w:snapToGrid w:val="0"/>
                <w:color w:val="auto"/>
                <w:kern w:val="0"/>
                <w:szCs w:val="21"/>
                <w:highlight w:val="none"/>
              </w:rPr>
            </w:pPr>
            <w:r>
              <w:rPr>
                <w:rFonts w:hint="eastAsia" w:ascii="宋体" w:hAnsi="宋体" w:cs="宋体"/>
                <w:color w:val="auto"/>
                <w:highlight w:val="none"/>
              </w:rPr>
              <w:t>不同投标人的投标保证金从同一单位或者个人的账户转出。</w:t>
            </w:r>
          </w:p>
        </w:tc>
        <w:tc>
          <w:tcPr>
            <w:tcW w:w="2820" w:type="dxa"/>
            <w:vAlign w:val="center"/>
          </w:tcPr>
          <w:p w14:paraId="3B3B494F">
            <w:pPr>
              <w:spacing w:line="360" w:lineRule="exact"/>
              <w:jc w:val="center"/>
              <w:rPr>
                <w:rFonts w:ascii="宋体" w:hAnsi="宋体"/>
                <w:b/>
                <w:color w:val="auto"/>
                <w:szCs w:val="21"/>
                <w:highlight w:val="none"/>
              </w:rPr>
            </w:pPr>
          </w:p>
        </w:tc>
        <w:tc>
          <w:tcPr>
            <w:tcW w:w="780" w:type="dxa"/>
            <w:vAlign w:val="center"/>
          </w:tcPr>
          <w:p w14:paraId="0256B999">
            <w:pPr>
              <w:spacing w:line="360" w:lineRule="exact"/>
              <w:jc w:val="center"/>
              <w:rPr>
                <w:rFonts w:ascii="宋体" w:hAnsi="宋体"/>
                <w:b/>
                <w:color w:val="auto"/>
                <w:szCs w:val="21"/>
                <w:highlight w:val="none"/>
              </w:rPr>
            </w:pPr>
          </w:p>
        </w:tc>
      </w:tr>
      <w:tr w14:paraId="1081A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61" w:type="dxa"/>
            <w:vAlign w:val="center"/>
          </w:tcPr>
          <w:p w14:paraId="655341B7">
            <w:pPr>
              <w:spacing w:line="360" w:lineRule="exact"/>
              <w:jc w:val="center"/>
              <w:rPr>
                <w:rFonts w:ascii="宋体" w:hAnsi="宋体"/>
                <w:color w:val="auto"/>
                <w:szCs w:val="21"/>
                <w:highlight w:val="none"/>
              </w:rPr>
            </w:pPr>
            <w:r>
              <w:rPr>
                <w:rFonts w:hint="eastAsia" w:ascii="宋体" w:hAnsi="宋体"/>
                <w:color w:val="auto"/>
                <w:szCs w:val="21"/>
                <w:highlight w:val="none"/>
              </w:rPr>
              <w:t>10</w:t>
            </w:r>
          </w:p>
        </w:tc>
        <w:tc>
          <w:tcPr>
            <w:tcW w:w="5985" w:type="dxa"/>
            <w:vAlign w:val="center"/>
          </w:tcPr>
          <w:p w14:paraId="5F73092F">
            <w:pPr>
              <w:jc w:val="left"/>
              <w:rPr>
                <w:rFonts w:ascii="宋体" w:hAnsi="宋体" w:cs="宋体"/>
                <w:color w:val="auto"/>
                <w:szCs w:val="21"/>
                <w:highlight w:val="none"/>
              </w:rPr>
            </w:pPr>
            <w:r>
              <w:rPr>
                <w:rFonts w:hint="eastAsia" w:ascii="宋体" w:hAnsi="宋体"/>
                <w:color w:val="auto"/>
                <w:szCs w:val="21"/>
                <w:highlight w:val="none"/>
              </w:rPr>
              <w:t>投标人之间协商投标报价等投标文件的实质性内容。</w:t>
            </w:r>
          </w:p>
        </w:tc>
        <w:tc>
          <w:tcPr>
            <w:tcW w:w="2820" w:type="dxa"/>
            <w:vAlign w:val="center"/>
          </w:tcPr>
          <w:p w14:paraId="69F85837">
            <w:pPr>
              <w:spacing w:line="360" w:lineRule="exact"/>
              <w:jc w:val="center"/>
              <w:rPr>
                <w:rFonts w:ascii="宋体" w:hAnsi="宋体"/>
                <w:b/>
                <w:color w:val="auto"/>
                <w:szCs w:val="21"/>
                <w:highlight w:val="none"/>
              </w:rPr>
            </w:pPr>
          </w:p>
        </w:tc>
        <w:tc>
          <w:tcPr>
            <w:tcW w:w="780" w:type="dxa"/>
            <w:vAlign w:val="center"/>
          </w:tcPr>
          <w:p w14:paraId="402C171C">
            <w:pPr>
              <w:spacing w:line="360" w:lineRule="exact"/>
              <w:jc w:val="center"/>
              <w:rPr>
                <w:rFonts w:ascii="宋体" w:hAnsi="宋体"/>
                <w:b/>
                <w:color w:val="auto"/>
                <w:szCs w:val="21"/>
                <w:highlight w:val="none"/>
              </w:rPr>
            </w:pPr>
          </w:p>
        </w:tc>
      </w:tr>
      <w:tr w14:paraId="701D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61" w:type="dxa"/>
            <w:vAlign w:val="center"/>
          </w:tcPr>
          <w:p w14:paraId="1198D2E3">
            <w:pPr>
              <w:spacing w:line="360" w:lineRule="exact"/>
              <w:jc w:val="center"/>
              <w:rPr>
                <w:rFonts w:ascii="宋体" w:hAnsi="宋体"/>
                <w:color w:val="auto"/>
                <w:szCs w:val="21"/>
                <w:highlight w:val="none"/>
              </w:rPr>
            </w:pPr>
            <w:r>
              <w:rPr>
                <w:rFonts w:hint="eastAsia" w:ascii="宋体" w:hAnsi="宋体"/>
                <w:color w:val="auto"/>
                <w:szCs w:val="21"/>
                <w:highlight w:val="none"/>
              </w:rPr>
              <w:t>11</w:t>
            </w:r>
          </w:p>
        </w:tc>
        <w:tc>
          <w:tcPr>
            <w:tcW w:w="5985" w:type="dxa"/>
            <w:vAlign w:val="center"/>
          </w:tcPr>
          <w:p w14:paraId="3859011C">
            <w:pPr>
              <w:jc w:val="left"/>
              <w:rPr>
                <w:rFonts w:ascii="宋体" w:hAnsi="宋体" w:cs="宋体"/>
                <w:color w:val="auto"/>
                <w:szCs w:val="21"/>
                <w:highlight w:val="none"/>
              </w:rPr>
            </w:pPr>
            <w:r>
              <w:rPr>
                <w:rFonts w:hint="eastAsia" w:ascii="宋体" w:hAnsi="宋体"/>
                <w:color w:val="auto"/>
                <w:szCs w:val="21"/>
                <w:highlight w:val="none"/>
              </w:rPr>
              <w:t>投标人之间约定中标人。</w:t>
            </w:r>
          </w:p>
        </w:tc>
        <w:tc>
          <w:tcPr>
            <w:tcW w:w="2820" w:type="dxa"/>
            <w:vAlign w:val="center"/>
          </w:tcPr>
          <w:p w14:paraId="21C4E88E">
            <w:pPr>
              <w:spacing w:line="360" w:lineRule="exact"/>
              <w:jc w:val="center"/>
              <w:rPr>
                <w:rFonts w:ascii="宋体" w:hAnsi="宋体"/>
                <w:b/>
                <w:color w:val="auto"/>
                <w:szCs w:val="21"/>
                <w:highlight w:val="none"/>
              </w:rPr>
            </w:pPr>
          </w:p>
        </w:tc>
        <w:tc>
          <w:tcPr>
            <w:tcW w:w="780" w:type="dxa"/>
            <w:vAlign w:val="center"/>
          </w:tcPr>
          <w:p w14:paraId="2D0BB821">
            <w:pPr>
              <w:spacing w:line="360" w:lineRule="exact"/>
              <w:jc w:val="center"/>
              <w:rPr>
                <w:rFonts w:ascii="宋体" w:hAnsi="宋体"/>
                <w:b/>
                <w:color w:val="auto"/>
                <w:szCs w:val="21"/>
                <w:highlight w:val="none"/>
              </w:rPr>
            </w:pPr>
          </w:p>
        </w:tc>
      </w:tr>
      <w:tr w14:paraId="50F0B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61" w:type="dxa"/>
            <w:vAlign w:val="center"/>
          </w:tcPr>
          <w:p w14:paraId="4116FC73">
            <w:pPr>
              <w:spacing w:line="360" w:lineRule="exact"/>
              <w:jc w:val="center"/>
              <w:rPr>
                <w:rFonts w:ascii="宋体" w:hAnsi="宋体"/>
                <w:color w:val="auto"/>
                <w:szCs w:val="21"/>
                <w:highlight w:val="none"/>
              </w:rPr>
            </w:pPr>
            <w:r>
              <w:rPr>
                <w:rFonts w:hint="eastAsia" w:ascii="宋体" w:hAnsi="宋体"/>
                <w:color w:val="auto"/>
                <w:szCs w:val="21"/>
                <w:highlight w:val="none"/>
              </w:rPr>
              <w:t>12</w:t>
            </w:r>
          </w:p>
        </w:tc>
        <w:tc>
          <w:tcPr>
            <w:tcW w:w="5985" w:type="dxa"/>
            <w:vAlign w:val="center"/>
          </w:tcPr>
          <w:p w14:paraId="7E745FE0">
            <w:pPr>
              <w:jc w:val="left"/>
              <w:rPr>
                <w:rFonts w:ascii="宋体" w:hAnsi="宋体" w:cs="宋体"/>
                <w:color w:val="auto"/>
                <w:szCs w:val="21"/>
                <w:highlight w:val="none"/>
              </w:rPr>
            </w:pPr>
            <w:r>
              <w:rPr>
                <w:rFonts w:hint="eastAsia" w:ascii="宋体" w:hAnsi="宋体"/>
                <w:color w:val="auto"/>
                <w:szCs w:val="21"/>
                <w:highlight w:val="none"/>
              </w:rPr>
              <w:t>投标人之间约定部分投标人放弃投标或者中标。</w:t>
            </w:r>
          </w:p>
        </w:tc>
        <w:tc>
          <w:tcPr>
            <w:tcW w:w="2820" w:type="dxa"/>
            <w:vAlign w:val="center"/>
          </w:tcPr>
          <w:p w14:paraId="7820E65C">
            <w:pPr>
              <w:spacing w:line="360" w:lineRule="exact"/>
              <w:jc w:val="center"/>
              <w:rPr>
                <w:rFonts w:ascii="宋体" w:hAnsi="宋体"/>
                <w:b/>
                <w:color w:val="auto"/>
                <w:szCs w:val="21"/>
                <w:highlight w:val="none"/>
              </w:rPr>
            </w:pPr>
          </w:p>
        </w:tc>
        <w:tc>
          <w:tcPr>
            <w:tcW w:w="780" w:type="dxa"/>
            <w:vAlign w:val="center"/>
          </w:tcPr>
          <w:p w14:paraId="48547CB6">
            <w:pPr>
              <w:spacing w:line="360" w:lineRule="exact"/>
              <w:jc w:val="center"/>
              <w:rPr>
                <w:rFonts w:ascii="宋体" w:hAnsi="宋体"/>
                <w:b/>
                <w:color w:val="auto"/>
                <w:szCs w:val="21"/>
                <w:highlight w:val="none"/>
              </w:rPr>
            </w:pPr>
          </w:p>
        </w:tc>
      </w:tr>
      <w:tr w14:paraId="0C400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61" w:type="dxa"/>
            <w:vAlign w:val="center"/>
          </w:tcPr>
          <w:p w14:paraId="29132A81">
            <w:pPr>
              <w:spacing w:line="360" w:lineRule="exact"/>
              <w:jc w:val="center"/>
              <w:rPr>
                <w:rFonts w:ascii="宋体" w:hAnsi="宋体"/>
                <w:color w:val="auto"/>
                <w:szCs w:val="21"/>
                <w:highlight w:val="none"/>
              </w:rPr>
            </w:pPr>
            <w:r>
              <w:rPr>
                <w:rFonts w:hint="eastAsia" w:ascii="宋体" w:hAnsi="宋体"/>
                <w:color w:val="auto"/>
                <w:szCs w:val="21"/>
                <w:highlight w:val="none"/>
              </w:rPr>
              <w:t>13</w:t>
            </w:r>
          </w:p>
        </w:tc>
        <w:tc>
          <w:tcPr>
            <w:tcW w:w="5985" w:type="dxa"/>
            <w:vAlign w:val="center"/>
          </w:tcPr>
          <w:p w14:paraId="454CD6AA">
            <w:pPr>
              <w:jc w:val="left"/>
              <w:rPr>
                <w:rFonts w:ascii="宋体" w:hAnsi="宋体" w:cs="宋体"/>
                <w:color w:val="auto"/>
                <w:szCs w:val="21"/>
                <w:highlight w:val="none"/>
              </w:rPr>
            </w:pPr>
            <w:r>
              <w:rPr>
                <w:rFonts w:hint="eastAsia" w:ascii="宋体" w:hAnsi="宋体"/>
                <w:color w:val="auto"/>
                <w:szCs w:val="21"/>
                <w:highlight w:val="none"/>
              </w:rPr>
              <w:t>属于同一集团、协会、商会等组织成员的投标人按照该组织要求协同投标。</w:t>
            </w:r>
          </w:p>
        </w:tc>
        <w:tc>
          <w:tcPr>
            <w:tcW w:w="2820" w:type="dxa"/>
            <w:vAlign w:val="center"/>
          </w:tcPr>
          <w:p w14:paraId="6D1C0995">
            <w:pPr>
              <w:spacing w:line="360" w:lineRule="exact"/>
              <w:jc w:val="center"/>
              <w:rPr>
                <w:rFonts w:ascii="宋体" w:hAnsi="宋体"/>
                <w:b/>
                <w:color w:val="auto"/>
                <w:szCs w:val="21"/>
                <w:highlight w:val="none"/>
              </w:rPr>
            </w:pPr>
          </w:p>
        </w:tc>
        <w:tc>
          <w:tcPr>
            <w:tcW w:w="780" w:type="dxa"/>
            <w:vAlign w:val="center"/>
          </w:tcPr>
          <w:p w14:paraId="5157859C">
            <w:pPr>
              <w:spacing w:line="360" w:lineRule="exact"/>
              <w:jc w:val="center"/>
              <w:rPr>
                <w:rFonts w:ascii="宋体" w:hAnsi="宋体"/>
                <w:b/>
                <w:color w:val="auto"/>
                <w:szCs w:val="21"/>
                <w:highlight w:val="none"/>
              </w:rPr>
            </w:pPr>
          </w:p>
        </w:tc>
      </w:tr>
      <w:tr w14:paraId="4F265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61" w:type="dxa"/>
            <w:vAlign w:val="center"/>
          </w:tcPr>
          <w:p w14:paraId="5F735092">
            <w:pPr>
              <w:spacing w:line="360" w:lineRule="exact"/>
              <w:jc w:val="center"/>
              <w:rPr>
                <w:rFonts w:ascii="宋体" w:hAnsi="宋体"/>
                <w:color w:val="auto"/>
                <w:szCs w:val="21"/>
                <w:highlight w:val="none"/>
              </w:rPr>
            </w:pPr>
            <w:r>
              <w:rPr>
                <w:rFonts w:hint="eastAsia" w:ascii="宋体" w:hAnsi="宋体"/>
                <w:color w:val="auto"/>
                <w:szCs w:val="21"/>
                <w:highlight w:val="none"/>
              </w:rPr>
              <w:t>14</w:t>
            </w:r>
          </w:p>
        </w:tc>
        <w:tc>
          <w:tcPr>
            <w:tcW w:w="5985" w:type="dxa"/>
            <w:vAlign w:val="center"/>
          </w:tcPr>
          <w:p w14:paraId="32AF9559">
            <w:pPr>
              <w:jc w:val="left"/>
              <w:rPr>
                <w:rFonts w:ascii="宋体" w:hAnsi="宋体" w:cs="宋体"/>
                <w:color w:val="auto"/>
                <w:szCs w:val="21"/>
                <w:highlight w:val="none"/>
              </w:rPr>
            </w:pPr>
            <w:r>
              <w:rPr>
                <w:rFonts w:hint="eastAsia" w:ascii="宋体" w:hAnsi="宋体"/>
                <w:color w:val="auto"/>
                <w:szCs w:val="21"/>
                <w:highlight w:val="none"/>
              </w:rPr>
              <w:t>投标人之间为谋取中标或者排斥特定投标人而采取的其他联合行动。</w:t>
            </w:r>
          </w:p>
        </w:tc>
        <w:tc>
          <w:tcPr>
            <w:tcW w:w="2820" w:type="dxa"/>
            <w:vAlign w:val="center"/>
          </w:tcPr>
          <w:p w14:paraId="2A0E078F">
            <w:pPr>
              <w:spacing w:line="360" w:lineRule="exact"/>
              <w:jc w:val="center"/>
              <w:rPr>
                <w:rFonts w:ascii="宋体" w:hAnsi="宋体"/>
                <w:b/>
                <w:color w:val="auto"/>
                <w:szCs w:val="21"/>
                <w:highlight w:val="none"/>
              </w:rPr>
            </w:pPr>
          </w:p>
        </w:tc>
        <w:tc>
          <w:tcPr>
            <w:tcW w:w="780" w:type="dxa"/>
            <w:vAlign w:val="center"/>
          </w:tcPr>
          <w:p w14:paraId="1168D158">
            <w:pPr>
              <w:spacing w:line="360" w:lineRule="exact"/>
              <w:jc w:val="center"/>
              <w:rPr>
                <w:rFonts w:ascii="宋体" w:hAnsi="宋体"/>
                <w:b/>
                <w:color w:val="auto"/>
                <w:szCs w:val="21"/>
                <w:highlight w:val="none"/>
              </w:rPr>
            </w:pPr>
          </w:p>
        </w:tc>
      </w:tr>
      <w:tr w14:paraId="79206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61" w:type="dxa"/>
            <w:vAlign w:val="center"/>
          </w:tcPr>
          <w:p w14:paraId="093C933A">
            <w:pPr>
              <w:spacing w:line="360" w:lineRule="exact"/>
              <w:jc w:val="center"/>
              <w:rPr>
                <w:rFonts w:ascii="宋体" w:hAnsi="宋体"/>
                <w:color w:val="auto"/>
                <w:szCs w:val="21"/>
                <w:highlight w:val="none"/>
              </w:rPr>
            </w:pPr>
            <w:r>
              <w:rPr>
                <w:rFonts w:hint="eastAsia" w:ascii="宋体" w:hAnsi="宋体"/>
                <w:color w:val="auto"/>
                <w:szCs w:val="21"/>
                <w:highlight w:val="none"/>
              </w:rPr>
              <w:t>15</w:t>
            </w:r>
          </w:p>
        </w:tc>
        <w:tc>
          <w:tcPr>
            <w:tcW w:w="5985" w:type="dxa"/>
            <w:vAlign w:val="center"/>
          </w:tcPr>
          <w:p w14:paraId="452BB62B">
            <w:pPr>
              <w:jc w:val="left"/>
              <w:rPr>
                <w:rFonts w:ascii="宋体" w:hAnsi="宋体" w:cs="宋体"/>
                <w:color w:val="auto"/>
                <w:szCs w:val="21"/>
                <w:highlight w:val="none"/>
              </w:rPr>
            </w:pPr>
            <w:r>
              <w:rPr>
                <w:rFonts w:hint="eastAsia" w:ascii="宋体" w:hAnsi="宋体"/>
                <w:snapToGrid w:val="0"/>
                <w:color w:val="auto"/>
                <w:highlight w:val="none"/>
              </w:rPr>
              <w:t>其他与政府采购活动参加人串通投标的</w:t>
            </w:r>
            <w:r>
              <w:rPr>
                <w:rFonts w:hint="eastAsia" w:ascii="宋体" w:hAnsi="宋体" w:cs="宋体"/>
                <w:color w:val="auto"/>
                <w:szCs w:val="21"/>
                <w:highlight w:val="none"/>
              </w:rPr>
              <w:t>行为。</w:t>
            </w:r>
          </w:p>
        </w:tc>
        <w:tc>
          <w:tcPr>
            <w:tcW w:w="2820" w:type="dxa"/>
            <w:vAlign w:val="center"/>
          </w:tcPr>
          <w:p w14:paraId="609712D0">
            <w:pPr>
              <w:spacing w:line="360" w:lineRule="exact"/>
              <w:jc w:val="center"/>
              <w:rPr>
                <w:rFonts w:ascii="宋体" w:hAnsi="宋体"/>
                <w:b/>
                <w:color w:val="auto"/>
                <w:szCs w:val="21"/>
                <w:highlight w:val="none"/>
              </w:rPr>
            </w:pPr>
          </w:p>
        </w:tc>
        <w:tc>
          <w:tcPr>
            <w:tcW w:w="780" w:type="dxa"/>
            <w:vAlign w:val="center"/>
          </w:tcPr>
          <w:p w14:paraId="25EA5DB7">
            <w:pPr>
              <w:spacing w:line="360" w:lineRule="exact"/>
              <w:jc w:val="center"/>
              <w:rPr>
                <w:rFonts w:ascii="宋体" w:hAnsi="宋体"/>
                <w:b/>
                <w:color w:val="auto"/>
                <w:szCs w:val="21"/>
                <w:highlight w:val="none"/>
              </w:rPr>
            </w:pPr>
          </w:p>
        </w:tc>
      </w:tr>
      <w:tr w14:paraId="7E285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61" w:type="dxa"/>
            <w:vAlign w:val="center"/>
          </w:tcPr>
          <w:p w14:paraId="7483BCD7">
            <w:pPr>
              <w:spacing w:line="360" w:lineRule="exact"/>
              <w:jc w:val="center"/>
              <w:rPr>
                <w:rFonts w:ascii="宋体" w:hAnsi="宋体"/>
                <w:color w:val="auto"/>
                <w:szCs w:val="21"/>
                <w:highlight w:val="none"/>
              </w:rPr>
            </w:pPr>
            <w:r>
              <w:rPr>
                <w:rFonts w:hint="eastAsia" w:ascii="宋体" w:hAnsi="宋体"/>
                <w:color w:val="auto"/>
                <w:szCs w:val="21"/>
                <w:highlight w:val="none"/>
              </w:rPr>
              <w:t>16</w:t>
            </w:r>
          </w:p>
        </w:tc>
        <w:tc>
          <w:tcPr>
            <w:tcW w:w="5985" w:type="dxa"/>
            <w:vAlign w:val="center"/>
          </w:tcPr>
          <w:p w14:paraId="5C23EF28">
            <w:pPr>
              <w:jc w:val="left"/>
              <w:rPr>
                <w:rFonts w:ascii="宋体" w:hAnsi="宋体" w:cs="宋体"/>
                <w:snapToGrid w:val="0"/>
                <w:color w:val="auto"/>
                <w:kern w:val="0"/>
                <w:szCs w:val="21"/>
                <w:highlight w:val="none"/>
              </w:rPr>
            </w:pPr>
            <w:r>
              <w:rPr>
                <w:rFonts w:hint="eastAsia" w:ascii="宋体" w:hAnsi="宋体" w:cs="宋体"/>
                <w:color w:val="auto"/>
                <w:szCs w:val="21"/>
                <w:highlight w:val="none"/>
              </w:rPr>
              <w:t>通过转让或者租借等方式从其他单位获取资格或者资质证书投标。</w:t>
            </w:r>
          </w:p>
        </w:tc>
        <w:tc>
          <w:tcPr>
            <w:tcW w:w="2820" w:type="dxa"/>
            <w:vAlign w:val="center"/>
          </w:tcPr>
          <w:p w14:paraId="09A55DB4">
            <w:pPr>
              <w:spacing w:line="360" w:lineRule="exact"/>
              <w:jc w:val="center"/>
              <w:rPr>
                <w:rFonts w:ascii="宋体" w:hAnsi="宋体"/>
                <w:b/>
                <w:color w:val="auto"/>
                <w:szCs w:val="21"/>
                <w:highlight w:val="none"/>
              </w:rPr>
            </w:pPr>
          </w:p>
        </w:tc>
        <w:tc>
          <w:tcPr>
            <w:tcW w:w="780" w:type="dxa"/>
            <w:vAlign w:val="center"/>
          </w:tcPr>
          <w:p w14:paraId="6C0C6BDC">
            <w:pPr>
              <w:spacing w:line="360" w:lineRule="exact"/>
              <w:jc w:val="center"/>
              <w:rPr>
                <w:rFonts w:ascii="宋体" w:hAnsi="宋体"/>
                <w:b/>
                <w:color w:val="auto"/>
                <w:szCs w:val="21"/>
                <w:highlight w:val="none"/>
              </w:rPr>
            </w:pPr>
          </w:p>
        </w:tc>
      </w:tr>
      <w:tr w14:paraId="73536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661" w:type="dxa"/>
            <w:vAlign w:val="center"/>
          </w:tcPr>
          <w:p w14:paraId="4B159F23">
            <w:pPr>
              <w:spacing w:line="360" w:lineRule="exact"/>
              <w:jc w:val="center"/>
              <w:rPr>
                <w:rFonts w:ascii="宋体" w:hAnsi="宋体"/>
                <w:color w:val="auto"/>
                <w:szCs w:val="21"/>
                <w:highlight w:val="none"/>
              </w:rPr>
            </w:pPr>
            <w:r>
              <w:rPr>
                <w:rFonts w:hint="eastAsia" w:ascii="宋体" w:hAnsi="宋体"/>
                <w:color w:val="auto"/>
                <w:szCs w:val="21"/>
                <w:highlight w:val="none"/>
              </w:rPr>
              <w:t>17</w:t>
            </w:r>
          </w:p>
        </w:tc>
        <w:tc>
          <w:tcPr>
            <w:tcW w:w="5985" w:type="dxa"/>
            <w:vAlign w:val="center"/>
          </w:tcPr>
          <w:p w14:paraId="162A168D">
            <w:pPr>
              <w:jc w:val="left"/>
              <w:rPr>
                <w:rFonts w:ascii="宋体" w:hAnsi="宋体" w:cs="宋体"/>
                <w:snapToGrid w:val="0"/>
                <w:color w:val="auto"/>
                <w:kern w:val="0"/>
                <w:szCs w:val="21"/>
                <w:highlight w:val="none"/>
              </w:rPr>
            </w:pPr>
            <w:r>
              <w:rPr>
                <w:rFonts w:hint="eastAsia" w:ascii="宋体" w:hAnsi="宋体" w:cs="宋体"/>
                <w:color w:val="auto"/>
                <w:szCs w:val="21"/>
                <w:highlight w:val="none"/>
              </w:rPr>
              <w:t>由其他单位或者其他单位负责人在投标供应商编制的投标文件上加盖印章或者签字。</w:t>
            </w:r>
          </w:p>
        </w:tc>
        <w:tc>
          <w:tcPr>
            <w:tcW w:w="2820" w:type="dxa"/>
            <w:vAlign w:val="center"/>
          </w:tcPr>
          <w:p w14:paraId="7719CD58">
            <w:pPr>
              <w:spacing w:line="360" w:lineRule="exact"/>
              <w:jc w:val="center"/>
              <w:rPr>
                <w:rFonts w:ascii="宋体" w:hAnsi="宋体"/>
                <w:b/>
                <w:color w:val="auto"/>
                <w:szCs w:val="21"/>
                <w:highlight w:val="none"/>
              </w:rPr>
            </w:pPr>
          </w:p>
        </w:tc>
        <w:tc>
          <w:tcPr>
            <w:tcW w:w="780" w:type="dxa"/>
            <w:vAlign w:val="center"/>
          </w:tcPr>
          <w:p w14:paraId="4F5F618D">
            <w:pPr>
              <w:spacing w:line="360" w:lineRule="exact"/>
              <w:jc w:val="center"/>
              <w:rPr>
                <w:rFonts w:ascii="宋体" w:hAnsi="宋体"/>
                <w:b/>
                <w:color w:val="auto"/>
                <w:szCs w:val="21"/>
                <w:highlight w:val="none"/>
              </w:rPr>
            </w:pPr>
          </w:p>
        </w:tc>
      </w:tr>
      <w:tr w14:paraId="678BE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61" w:type="dxa"/>
            <w:vAlign w:val="center"/>
          </w:tcPr>
          <w:p w14:paraId="682B7D51">
            <w:pPr>
              <w:spacing w:line="360" w:lineRule="exact"/>
              <w:jc w:val="center"/>
              <w:rPr>
                <w:rFonts w:ascii="宋体" w:hAnsi="宋体"/>
                <w:color w:val="auto"/>
                <w:szCs w:val="21"/>
                <w:highlight w:val="none"/>
              </w:rPr>
            </w:pPr>
            <w:r>
              <w:rPr>
                <w:rFonts w:hint="eastAsia" w:ascii="宋体" w:hAnsi="宋体"/>
                <w:color w:val="auto"/>
                <w:szCs w:val="21"/>
                <w:highlight w:val="none"/>
              </w:rPr>
              <w:t>18</w:t>
            </w:r>
          </w:p>
        </w:tc>
        <w:tc>
          <w:tcPr>
            <w:tcW w:w="5985" w:type="dxa"/>
            <w:vAlign w:val="center"/>
          </w:tcPr>
          <w:p w14:paraId="3E9E85ED">
            <w:pPr>
              <w:jc w:val="left"/>
              <w:rPr>
                <w:rFonts w:ascii="宋体" w:hAnsi="宋体" w:cs="宋体"/>
                <w:snapToGrid w:val="0"/>
                <w:color w:val="auto"/>
                <w:kern w:val="0"/>
                <w:szCs w:val="21"/>
                <w:highlight w:val="none"/>
              </w:rPr>
            </w:pPr>
            <w:r>
              <w:rPr>
                <w:rFonts w:hint="eastAsia" w:ascii="宋体" w:hAnsi="宋体" w:cs="宋体"/>
                <w:color w:val="auto"/>
                <w:szCs w:val="21"/>
                <w:highlight w:val="none"/>
              </w:rPr>
              <w:t>项目负责人或者主要技术人员不是本单位人员，不能提供项目负责人或者主要技术人员的劳动合同、社会保险等劳动关系证明材料。</w:t>
            </w:r>
          </w:p>
        </w:tc>
        <w:tc>
          <w:tcPr>
            <w:tcW w:w="2820" w:type="dxa"/>
            <w:vAlign w:val="center"/>
          </w:tcPr>
          <w:p w14:paraId="2257CAA7">
            <w:pPr>
              <w:spacing w:line="360" w:lineRule="exact"/>
              <w:jc w:val="center"/>
              <w:rPr>
                <w:rFonts w:ascii="宋体" w:hAnsi="宋体"/>
                <w:b/>
                <w:color w:val="auto"/>
                <w:szCs w:val="21"/>
                <w:highlight w:val="none"/>
              </w:rPr>
            </w:pPr>
          </w:p>
        </w:tc>
        <w:tc>
          <w:tcPr>
            <w:tcW w:w="780" w:type="dxa"/>
            <w:vAlign w:val="center"/>
          </w:tcPr>
          <w:p w14:paraId="2C559135">
            <w:pPr>
              <w:spacing w:line="360" w:lineRule="exact"/>
              <w:jc w:val="center"/>
              <w:rPr>
                <w:rFonts w:ascii="宋体" w:hAnsi="宋体"/>
                <w:b/>
                <w:color w:val="auto"/>
                <w:szCs w:val="21"/>
                <w:highlight w:val="none"/>
              </w:rPr>
            </w:pPr>
          </w:p>
        </w:tc>
      </w:tr>
      <w:tr w14:paraId="2B118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661" w:type="dxa"/>
            <w:vAlign w:val="center"/>
          </w:tcPr>
          <w:p w14:paraId="712B7D1D">
            <w:pPr>
              <w:spacing w:line="360" w:lineRule="exact"/>
              <w:jc w:val="center"/>
              <w:rPr>
                <w:rFonts w:ascii="宋体" w:hAnsi="宋体"/>
                <w:color w:val="auto"/>
                <w:szCs w:val="21"/>
                <w:highlight w:val="none"/>
              </w:rPr>
            </w:pPr>
            <w:r>
              <w:rPr>
                <w:rFonts w:hint="eastAsia" w:ascii="宋体" w:hAnsi="宋体"/>
                <w:color w:val="auto"/>
                <w:szCs w:val="21"/>
                <w:highlight w:val="none"/>
              </w:rPr>
              <w:t>19</w:t>
            </w:r>
          </w:p>
        </w:tc>
        <w:tc>
          <w:tcPr>
            <w:tcW w:w="5985" w:type="dxa"/>
            <w:vAlign w:val="center"/>
          </w:tcPr>
          <w:p w14:paraId="5269E1A8">
            <w:pPr>
              <w:jc w:val="left"/>
              <w:rPr>
                <w:rFonts w:ascii="宋体" w:hAnsi="宋体" w:cs="宋体"/>
                <w:snapToGrid w:val="0"/>
                <w:color w:val="auto"/>
                <w:kern w:val="0"/>
                <w:szCs w:val="21"/>
                <w:highlight w:val="none"/>
              </w:rPr>
            </w:pPr>
            <w:r>
              <w:rPr>
                <w:rFonts w:hint="eastAsia" w:ascii="宋体" w:hAnsi="宋体" w:cs="宋体"/>
                <w:color w:val="auto"/>
                <w:szCs w:val="21"/>
                <w:highlight w:val="none"/>
              </w:rPr>
              <w:t>投标保证金不是从投标供应商基本账户转出。</w:t>
            </w:r>
          </w:p>
        </w:tc>
        <w:tc>
          <w:tcPr>
            <w:tcW w:w="2820" w:type="dxa"/>
            <w:vAlign w:val="center"/>
          </w:tcPr>
          <w:p w14:paraId="0D63033E">
            <w:pPr>
              <w:spacing w:line="360" w:lineRule="exact"/>
              <w:jc w:val="center"/>
              <w:rPr>
                <w:rFonts w:ascii="宋体" w:hAnsi="宋体"/>
                <w:b/>
                <w:color w:val="auto"/>
                <w:szCs w:val="21"/>
                <w:highlight w:val="none"/>
              </w:rPr>
            </w:pPr>
          </w:p>
        </w:tc>
        <w:tc>
          <w:tcPr>
            <w:tcW w:w="780" w:type="dxa"/>
            <w:vAlign w:val="center"/>
          </w:tcPr>
          <w:p w14:paraId="26552C70">
            <w:pPr>
              <w:spacing w:line="360" w:lineRule="exact"/>
              <w:jc w:val="center"/>
              <w:rPr>
                <w:rFonts w:ascii="宋体" w:hAnsi="宋体"/>
                <w:b/>
                <w:color w:val="auto"/>
                <w:szCs w:val="21"/>
                <w:highlight w:val="none"/>
              </w:rPr>
            </w:pPr>
          </w:p>
        </w:tc>
      </w:tr>
      <w:tr w14:paraId="33541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61" w:type="dxa"/>
            <w:vAlign w:val="center"/>
          </w:tcPr>
          <w:p w14:paraId="0B8EB3AA">
            <w:pPr>
              <w:spacing w:line="360" w:lineRule="exact"/>
              <w:jc w:val="center"/>
              <w:rPr>
                <w:rFonts w:ascii="宋体" w:hAnsi="宋体"/>
                <w:color w:val="auto"/>
                <w:szCs w:val="21"/>
                <w:highlight w:val="none"/>
              </w:rPr>
            </w:pPr>
            <w:r>
              <w:rPr>
                <w:rFonts w:hint="eastAsia" w:ascii="宋体" w:hAnsi="宋体"/>
                <w:color w:val="auto"/>
                <w:szCs w:val="21"/>
                <w:highlight w:val="none"/>
              </w:rPr>
              <w:t>20</w:t>
            </w:r>
          </w:p>
        </w:tc>
        <w:tc>
          <w:tcPr>
            <w:tcW w:w="5985" w:type="dxa"/>
            <w:vAlign w:val="center"/>
          </w:tcPr>
          <w:p w14:paraId="4DCAC6E5">
            <w:pPr>
              <w:jc w:val="left"/>
              <w:rPr>
                <w:rFonts w:ascii="宋体" w:hAnsi="宋体" w:cs="宋体"/>
                <w:snapToGrid w:val="0"/>
                <w:color w:val="auto"/>
                <w:kern w:val="0"/>
                <w:szCs w:val="21"/>
                <w:highlight w:val="none"/>
              </w:rPr>
            </w:pPr>
            <w:r>
              <w:rPr>
                <w:color w:val="auto"/>
                <w:szCs w:val="21"/>
                <w:highlight w:val="none"/>
              </w:rPr>
              <w:t>其他隐瞒真实情况、提供虚假资料的行为。</w:t>
            </w:r>
          </w:p>
        </w:tc>
        <w:tc>
          <w:tcPr>
            <w:tcW w:w="2820" w:type="dxa"/>
            <w:vAlign w:val="center"/>
          </w:tcPr>
          <w:p w14:paraId="7BABAAD2">
            <w:pPr>
              <w:spacing w:line="360" w:lineRule="exact"/>
              <w:jc w:val="center"/>
              <w:rPr>
                <w:rFonts w:ascii="宋体" w:hAnsi="宋体"/>
                <w:b/>
                <w:color w:val="auto"/>
                <w:szCs w:val="21"/>
                <w:highlight w:val="none"/>
              </w:rPr>
            </w:pPr>
          </w:p>
        </w:tc>
        <w:tc>
          <w:tcPr>
            <w:tcW w:w="780" w:type="dxa"/>
            <w:vAlign w:val="center"/>
          </w:tcPr>
          <w:p w14:paraId="5B5CEDC8">
            <w:pPr>
              <w:spacing w:line="360" w:lineRule="exact"/>
              <w:jc w:val="center"/>
              <w:rPr>
                <w:rFonts w:ascii="宋体" w:hAnsi="宋体"/>
                <w:b/>
                <w:color w:val="auto"/>
                <w:szCs w:val="21"/>
                <w:highlight w:val="none"/>
              </w:rPr>
            </w:pPr>
          </w:p>
        </w:tc>
      </w:tr>
    </w:tbl>
    <w:p w14:paraId="1DDFBE49">
      <w:pPr>
        <w:keepNext w:val="0"/>
        <w:keepLines w:val="0"/>
        <w:pageBreakBefore w:val="0"/>
        <w:widowControl w:val="0"/>
        <w:numPr>
          <w:ilvl w:val="0"/>
          <w:numId w:val="0"/>
        </w:numPr>
        <w:kinsoku/>
        <w:wordWrap/>
        <w:overflowPunct/>
        <w:topLinePunct w:val="0"/>
        <w:bidi w:val="0"/>
        <w:snapToGrid w:val="0"/>
        <w:spacing w:line="560" w:lineRule="exact"/>
        <w:ind w:left="0" w:leftChars="0" w:firstLine="420" w:firstLineChars="200"/>
        <w:textAlignment w:val="auto"/>
        <w:rPr>
          <w:rFonts w:hint="eastAsia" w:ascii="仿宋" w:hAnsi="仿宋" w:eastAsia="仿宋" w:cs="仿宋"/>
          <w:color w:val="auto"/>
          <w:sz w:val="28"/>
          <w:szCs w:val="28"/>
          <w:highlight w:val="none"/>
        </w:rPr>
      </w:pPr>
      <w:r>
        <w:rPr>
          <w:rFonts w:hint="eastAsia" w:ascii="宋体" w:hAnsi="宋体" w:cs="宋体"/>
          <w:color w:val="auto"/>
          <w:szCs w:val="21"/>
          <w:highlight w:val="none"/>
        </w:rPr>
        <w:t>注：投标供应商出现上述与其他采购参加人串通投标、隐瞒真实情况</w:t>
      </w:r>
      <w:r>
        <w:rPr>
          <w:rFonts w:hint="eastAsia" w:cs="宋体"/>
          <w:color w:val="auto"/>
          <w:szCs w:val="21"/>
          <w:highlight w:val="none"/>
        </w:rPr>
        <w:t>或者</w:t>
      </w:r>
      <w:r>
        <w:rPr>
          <w:rFonts w:hint="eastAsia" w:ascii="宋体" w:hAnsi="宋体" w:cs="宋体"/>
          <w:color w:val="auto"/>
          <w:szCs w:val="21"/>
          <w:highlight w:val="none"/>
        </w:rPr>
        <w:t>提供虚假资料行为的，将依法承担法律责任。</w:t>
      </w:r>
    </w:p>
    <w:p w14:paraId="5A42D176">
      <w:pPr>
        <w:keepLines w:val="0"/>
        <w:pageBreakBefore w:val="0"/>
        <w:numPr>
          <w:ilvl w:val="0"/>
          <w:numId w:val="0"/>
        </w:numPr>
        <w:kinsoku/>
        <w:wordWrap/>
        <w:overflowPunct/>
        <w:topLinePunct w:val="0"/>
        <w:bidi w:val="0"/>
        <w:snapToGrid w:val="0"/>
        <w:spacing w:line="5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44"/>
          <w:szCs w:val="44"/>
          <w:highlight w:val="none"/>
        </w:rPr>
        <w:t>第五章  供应商标书</w:t>
      </w:r>
    </w:p>
    <w:tbl>
      <w:tblPr>
        <w:tblStyle w:val="18"/>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36E67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5" w:hRule="atLeast"/>
          <w:jc w:val="center"/>
        </w:trPr>
        <w:tc>
          <w:tcPr>
            <w:tcW w:w="9061" w:type="dxa"/>
            <w:noWrap/>
            <w:vAlign w:val="center"/>
          </w:tcPr>
          <w:p w14:paraId="23C1D919">
            <w:pPr>
              <w:keepLines w:val="0"/>
              <w:pageBreakBefore w:val="0"/>
              <w:kinsoku/>
              <w:wordWrap/>
              <w:overflowPunct/>
              <w:topLinePunct w:val="0"/>
              <w:bidi w:val="0"/>
              <w:snapToGrid w:val="0"/>
              <w:spacing w:line="560" w:lineRule="exact"/>
              <w:jc w:val="center"/>
              <w:rPr>
                <w:rFonts w:hint="eastAsia" w:ascii="仿宋" w:hAnsi="仿宋" w:eastAsia="仿宋" w:cs="仿宋"/>
                <w:b/>
                <w:bCs/>
                <w:color w:val="auto"/>
                <w:sz w:val="96"/>
                <w:szCs w:val="96"/>
                <w:highlight w:val="none"/>
              </w:rPr>
            </w:pPr>
          </w:p>
          <w:p w14:paraId="049C2A78">
            <w:pPr>
              <w:keepLines w:val="0"/>
              <w:pageBreakBefore w:val="0"/>
              <w:kinsoku/>
              <w:wordWrap/>
              <w:overflowPunct/>
              <w:topLinePunct w:val="0"/>
              <w:bidi w:val="0"/>
              <w:snapToGrid w:val="0"/>
              <w:spacing w:line="560" w:lineRule="exact"/>
              <w:jc w:val="center"/>
              <w:rPr>
                <w:rFonts w:hint="eastAsia" w:ascii="仿宋" w:hAnsi="仿宋" w:eastAsia="仿宋" w:cs="仿宋"/>
                <w:color w:val="auto"/>
                <w:sz w:val="72"/>
                <w:szCs w:val="72"/>
                <w:highlight w:val="none"/>
                <w:lang w:eastAsia="zh-CN"/>
              </w:rPr>
            </w:pPr>
            <w:r>
              <w:rPr>
                <w:rFonts w:hint="eastAsia" w:ascii="仿宋" w:hAnsi="仿宋" w:eastAsia="仿宋" w:cs="仿宋"/>
                <w:b/>
                <w:bCs/>
                <w:color w:val="auto"/>
                <w:sz w:val="56"/>
                <w:szCs w:val="56"/>
                <w:highlight w:val="none"/>
                <w:lang w:val="en-US" w:eastAsia="zh-CN"/>
              </w:rPr>
              <w:t>投标书</w:t>
            </w:r>
          </w:p>
          <w:p w14:paraId="0566BC5B">
            <w:pPr>
              <w:keepLines w:val="0"/>
              <w:pageBreakBefore w:val="0"/>
              <w:kinsoku/>
              <w:wordWrap/>
              <w:overflowPunct/>
              <w:topLinePunct w:val="0"/>
              <w:bidi w:val="0"/>
              <w:snapToGrid w:val="0"/>
              <w:spacing w:line="560" w:lineRule="exact"/>
              <w:rPr>
                <w:rFonts w:ascii="仿宋" w:hAnsi="仿宋" w:eastAsia="仿宋" w:cs="仿宋"/>
                <w:color w:val="auto"/>
                <w:sz w:val="72"/>
                <w:szCs w:val="72"/>
                <w:highlight w:val="none"/>
              </w:rPr>
            </w:pPr>
          </w:p>
          <w:p w14:paraId="21B72BC2">
            <w:pPr>
              <w:pStyle w:val="25"/>
              <w:keepLines w:val="0"/>
              <w:pageBreakBefore w:val="0"/>
              <w:numPr>
                <w:ilvl w:val="0"/>
                <w:numId w:val="0"/>
              </w:numPr>
              <w:kinsoku/>
              <w:wordWrap/>
              <w:overflowPunct/>
              <w:topLinePunct w:val="0"/>
              <w:bidi w:val="0"/>
              <w:snapToGrid w:val="0"/>
              <w:spacing w:line="560" w:lineRule="exact"/>
              <w:jc w:val="center"/>
              <w:rPr>
                <w:rFonts w:hint="default" w:ascii="仿宋_GB2312" w:hAnsi="仿宋_GB2312" w:eastAsia="仿宋_GB2312" w:cs="仿宋_GB2312"/>
                <w:color w:val="auto"/>
                <w:sz w:val="44"/>
                <w:szCs w:val="44"/>
                <w:highlight w:val="none"/>
                <w:lang w:val="en-US" w:eastAsia="zh-CN"/>
              </w:rPr>
            </w:pPr>
            <w:r>
              <w:rPr>
                <w:rFonts w:hint="eastAsia" w:ascii="仿宋_GB2312" w:hAnsi="仿宋_GB2312" w:eastAsia="仿宋_GB2312" w:cs="仿宋_GB2312"/>
                <w:color w:val="auto"/>
                <w:sz w:val="44"/>
                <w:szCs w:val="44"/>
                <w:highlight w:val="none"/>
              </w:rPr>
              <w:t>项目名称</w:t>
            </w:r>
            <w:r>
              <w:rPr>
                <w:rFonts w:hint="eastAsia" w:ascii="仿宋_GB2312" w:hAnsi="仿宋_GB2312" w:eastAsia="仿宋_GB2312" w:cs="仿宋_GB2312"/>
                <w:color w:val="auto"/>
                <w:sz w:val="44"/>
                <w:szCs w:val="44"/>
                <w:highlight w:val="none"/>
                <w:lang w:eastAsia="zh-CN"/>
              </w:rPr>
              <w:t>：</w:t>
            </w:r>
            <w:r>
              <w:rPr>
                <w:rFonts w:hint="eastAsia" w:ascii="仿宋_GB2312" w:hAnsi="仿宋_GB2312" w:eastAsia="仿宋_GB2312" w:cs="仿宋_GB2312"/>
                <w:color w:val="auto"/>
                <w:sz w:val="44"/>
                <w:szCs w:val="44"/>
                <w:highlight w:val="none"/>
                <w:lang w:val="en-US" w:eastAsia="zh-CN"/>
              </w:rPr>
              <w:t>深圳市龙岗区第七人民医院2026-2027年度工会会员生日蛋糕劵采购项目</w:t>
            </w:r>
          </w:p>
          <w:p w14:paraId="0D3B7C34">
            <w:pPr>
              <w:keepLines w:val="0"/>
              <w:pageBreakBefore w:val="0"/>
              <w:kinsoku/>
              <w:wordWrap/>
              <w:overflowPunct/>
              <w:topLinePunct w:val="0"/>
              <w:bidi w:val="0"/>
              <w:snapToGrid w:val="0"/>
              <w:spacing w:line="560" w:lineRule="exact"/>
              <w:ind w:left="0" w:firstLine="0" w:firstLineChars="0"/>
              <w:rPr>
                <w:rFonts w:ascii="仿宋_GB2312" w:hAnsi="仿宋_GB2312" w:eastAsia="仿宋_GB2312" w:cs="仿宋_GB2312"/>
                <w:color w:val="auto"/>
                <w:sz w:val="44"/>
                <w:szCs w:val="44"/>
                <w:highlight w:val="none"/>
              </w:rPr>
            </w:pPr>
          </w:p>
          <w:p w14:paraId="42A46B4E">
            <w:pPr>
              <w:snapToGrid w:val="0"/>
              <w:spacing w:line="360" w:lineRule="auto"/>
              <w:jc w:val="center"/>
              <w:rPr>
                <w:rFonts w:ascii="仿宋_GB2312" w:hAnsi="仿宋_GB2312" w:eastAsia="仿宋_GB2312" w:cs="仿宋_GB2312"/>
                <w:color w:val="auto"/>
                <w:sz w:val="44"/>
                <w:szCs w:val="44"/>
                <w:highlight w:val="none"/>
              </w:rPr>
            </w:pPr>
            <w:r>
              <w:rPr>
                <w:rFonts w:hint="eastAsia" w:ascii="仿宋_GB2312" w:hAnsi="仿宋_GB2312" w:eastAsia="仿宋_GB2312" w:cs="仿宋_GB2312"/>
                <w:color w:val="auto"/>
                <w:sz w:val="44"/>
                <w:szCs w:val="44"/>
                <w:highlight w:val="none"/>
              </w:rPr>
              <w:t>（</w:t>
            </w:r>
            <w:r>
              <w:rPr>
                <w:rFonts w:hint="eastAsia" w:ascii="仿宋_GB2312" w:hAnsi="仿宋_GB2312" w:eastAsia="仿宋_GB2312" w:cs="仿宋_GB2312"/>
                <w:color w:val="auto"/>
                <w:kern w:val="2"/>
                <w:sz w:val="36"/>
                <w:szCs w:val="36"/>
                <w:highlight w:val="none"/>
                <w:lang w:val="en-US" w:eastAsia="zh-CN" w:bidi="ar-SA"/>
              </w:rPr>
              <w:t>深龙七医采[LGQY2026GH002]</w:t>
            </w:r>
            <w:r>
              <w:rPr>
                <w:rFonts w:hint="eastAsia" w:ascii="仿宋_GB2312" w:hAnsi="仿宋_GB2312" w:eastAsia="仿宋_GB2312" w:cs="仿宋_GB2312"/>
                <w:color w:val="auto"/>
                <w:sz w:val="44"/>
                <w:szCs w:val="44"/>
                <w:highlight w:val="none"/>
              </w:rPr>
              <w:t>）</w:t>
            </w:r>
          </w:p>
          <w:p w14:paraId="70A4F698">
            <w:pPr>
              <w:pStyle w:val="30"/>
              <w:keepLines w:val="0"/>
              <w:pageBreakBefore w:val="0"/>
              <w:kinsoku/>
              <w:wordWrap/>
              <w:overflowPunct/>
              <w:topLinePunct w:val="0"/>
              <w:bidi w:val="0"/>
              <w:snapToGrid w:val="0"/>
              <w:spacing w:line="560" w:lineRule="exact"/>
              <w:ind w:firstLine="0" w:firstLineChars="0"/>
              <w:jc w:val="center"/>
              <w:rPr>
                <w:rFonts w:ascii="仿宋_GB2312" w:hAnsi="仿宋_GB2312" w:eastAsia="仿宋_GB2312" w:cs="仿宋_GB2312"/>
                <w:color w:val="auto"/>
                <w:sz w:val="44"/>
                <w:szCs w:val="44"/>
                <w:highlight w:val="none"/>
              </w:rPr>
            </w:pPr>
          </w:p>
          <w:p w14:paraId="187B8BC1">
            <w:pPr>
              <w:keepLines w:val="0"/>
              <w:pageBreakBefore w:val="0"/>
              <w:kinsoku/>
              <w:wordWrap/>
              <w:overflowPunct/>
              <w:topLinePunct w:val="0"/>
              <w:bidi w:val="0"/>
              <w:snapToGrid w:val="0"/>
              <w:spacing w:line="560" w:lineRule="exact"/>
              <w:jc w:val="center"/>
              <w:rPr>
                <w:rFonts w:ascii="仿宋_GB2312" w:hAnsi="仿宋_GB2312" w:eastAsia="仿宋_GB2312" w:cs="仿宋_GB2312"/>
                <w:color w:val="auto"/>
                <w:sz w:val="44"/>
                <w:szCs w:val="44"/>
                <w:highlight w:val="none"/>
              </w:rPr>
            </w:pPr>
            <w:r>
              <w:rPr>
                <w:rFonts w:hint="eastAsia" w:ascii="仿宋_GB2312" w:hAnsi="仿宋_GB2312" w:eastAsia="仿宋_GB2312" w:cs="仿宋_GB2312"/>
                <w:color w:val="auto"/>
                <w:sz w:val="44"/>
                <w:szCs w:val="44"/>
                <w:highlight w:val="none"/>
              </w:rPr>
              <w:t>采购单位：深圳市龙岗区第七人民医院</w:t>
            </w:r>
          </w:p>
          <w:p w14:paraId="4CBC5A37">
            <w:pPr>
              <w:keepLines w:val="0"/>
              <w:pageBreakBefore w:val="0"/>
              <w:kinsoku/>
              <w:wordWrap/>
              <w:overflowPunct/>
              <w:topLinePunct w:val="0"/>
              <w:bidi w:val="0"/>
              <w:snapToGrid w:val="0"/>
              <w:spacing w:line="560" w:lineRule="exact"/>
              <w:jc w:val="center"/>
              <w:rPr>
                <w:rFonts w:ascii="仿宋_GB2312" w:hAnsi="仿宋_GB2312" w:eastAsia="仿宋_GB2312" w:cs="仿宋_GB2312"/>
                <w:b/>
                <w:color w:val="auto"/>
                <w:sz w:val="44"/>
                <w:szCs w:val="44"/>
                <w:highlight w:val="none"/>
              </w:rPr>
            </w:pPr>
            <w:r>
              <w:rPr>
                <w:rFonts w:hint="eastAsia" w:ascii="仿宋_GB2312" w:hAnsi="仿宋_GB2312" w:eastAsia="仿宋_GB2312" w:cs="仿宋_GB2312"/>
                <w:b/>
                <w:color w:val="auto"/>
                <w:sz w:val="44"/>
                <w:szCs w:val="44"/>
                <w:highlight w:val="none"/>
              </w:rPr>
              <w:t>（</w:t>
            </w:r>
            <w:r>
              <w:rPr>
                <w:rFonts w:hint="eastAsia" w:ascii="仿宋_GB2312" w:hAnsi="仿宋_GB2312" w:eastAsia="仿宋_GB2312" w:cs="仿宋_GB2312"/>
                <w:color w:val="auto"/>
                <w:sz w:val="44"/>
                <w:szCs w:val="44"/>
                <w:highlight w:val="none"/>
              </w:rPr>
              <w:t>202</w:t>
            </w:r>
            <w:r>
              <w:rPr>
                <w:rFonts w:hint="eastAsia" w:ascii="仿宋_GB2312" w:hAnsi="仿宋_GB2312" w:eastAsia="仿宋_GB2312" w:cs="仿宋_GB2312"/>
                <w:color w:val="auto"/>
                <w:sz w:val="44"/>
                <w:szCs w:val="44"/>
                <w:highlight w:val="none"/>
                <w:lang w:val="en-US" w:eastAsia="zh-CN"/>
              </w:rPr>
              <w:t>6</w:t>
            </w:r>
            <w:r>
              <w:rPr>
                <w:rFonts w:hint="eastAsia" w:ascii="仿宋_GB2312" w:hAnsi="仿宋_GB2312" w:eastAsia="仿宋_GB2312" w:cs="仿宋_GB2312"/>
                <w:color w:val="auto"/>
                <w:sz w:val="44"/>
                <w:szCs w:val="44"/>
                <w:highlight w:val="none"/>
              </w:rPr>
              <w:t>年</w:t>
            </w:r>
            <w:r>
              <w:rPr>
                <w:rFonts w:hint="eastAsia" w:ascii="仿宋_GB2312" w:hAnsi="仿宋_GB2312" w:eastAsia="仿宋_GB2312" w:cs="仿宋_GB2312"/>
                <w:b/>
                <w:color w:val="auto"/>
                <w:sz w:val="44"/>
                <w:szCs w:val="44"/>
                <w:highlight w:val="none"/>
              </w:rPr>
              <w:t>）</w:t>
            </w:r>
          </w:p>
          <w:p w14:paraId="65571D45">
            <w:pPr>
              <w:keepLines w:val="0"/>
              <w:pageBreakBefore w:val="0"/>
              <w:kinsoku/>
              <w:wordWrap/>
              <w:overflowPunct/>
              <w:topLinePunct w:val="0"/>
              <w:bidi w:val="0"/>
              <w:snapToGrid w:val="0"/>
              <w:spacing w:line="560" w:lineRule="exact"/>
              <w:rPr>
                <w:rFonts w:ascii="仿宋" w:hAnsi="仿宋" w:eastAsia="仿宋" w:cs="仿宋"/>
                <w:b/>
                <w:color w:val="auto"/>
                <w:sz w:val="36"/>
                <w:szCs w:val="36"/>
                <w:highlight w:val="none"/>
              </w:rPr>
            </w:pPr>
          </w:p>
          <w:p w14:paraId="4A998836">
            <w:pPr>
              <w:keepLines w:val="0"/>
              <w:pageBreakBefore w:val="0"/>
              <w:kinsoku/>
              <w:wordWrap/>
              <w:overflowPunct/>
              <w:topLinePunct w:val="0"/>
              <w:bidi w:val="0"/>
              <w:snapToGrid w:val="0"/>
              <w:spacing w:line="560" w:lineRule="exact"/>
              <w:jc w:val="left"/>
              <w:rPr>
                <w:rFonts w:ascii="仿宋" w:hAnsi="仿宋" w:eastAsia="仿宋" w:cs="仿宋"/>
                <w:b/>
                <w:color w:val="auto"/>
                <w:sz w:val="40"/>
                <w:szCs w:val="40"/>
                <w:highlight w:val="none"/>
              </w:rPr>
            </w:pPr>
            <w:r>
              <w:rPr>
                <w:rFonts w:hint="eastAsia" w:ascii="仿宋" w:hAnsi="仿宋" w:eastAsia="仿宋" w:cs="仿宋"/>
                <w:b/>
                <w:color w:val="auto"/>
                <w:sz w:val="40"/>
                <w:szCs w:val="40"/>
                <w:highlight w:val="none"/>
              </w:rPr>
              <w:t>投标人：</w:t>
            </w:r>
          </w:p>
          <w:p w14:paraId="372F0C9C">
            <w:pPr>
              <w:keepLines w:val="0"/>
              <w:pageBreakBefore w:val="0"/>
              <w:kinsoku/>
              <w:wordWrap/>
              <w:overflowPunct/>
              <w:topLinePunct w:val="0"/>
              <w:bidi w:val="0"/>
              <w:snapToGrid w:val="0"/>
              <w:spacing w:line="560" w:lineRule="exact"/>
              <w:jc w:val="left"/>
              <w:rPr>
                <w:rFonts w:ascii="仿宋" w:hAnsi="仿宋" w:eastAsia="仿宋" w:cs="仿宋"/>
                <w:b/>
                <w:color w:val="auto"/>
                <w:sz w:val="40"/>
                <w:szCs w:val="40"/>
                <w:highlight w:val="none"/>
              </w:rPr>
            </w:pPr>
            <w:r>
              <w:rPr>
                <w:rFonts w:hint="eastAsia" w:ascii="仿宋" w:hAnsi="仿宋" w:eastAsia="仿宋" w:cs="仿宋"/>
                <w:b/>
                <w:color w:val="auto"/>
                <w:sz w:val="40"/>
                <w:szCs w:val="40"/>
                <w:highlight w:val="none"/>
              </w:rPr>
              <w:t>地  址：</w:t>
            </w:r>
          </w:p>
          <w:p w14:paraId="2224B1C9">
            <w:pPr>
              <w:keepLines w:val="0"/>
              <w:pageBreakBefore w:val="0"/>
              <w:kinsoku/>
              <w:wordWrap/>
              <w:overflowPunct/>
              <w:topLinePunct w:val="0"/>
              <w:bidi w:val="0"/>
              <w:snapToGrid w:val="0"/>
              <w:spacing w:line="560" w:lineRule="exact"/>
              <w:jc w:val="left"/>
              <w:rPr>
                <w:rFonts w:ascii="仿宋" w:hAnsi="仿宋" w:eastAsia="仿宋" w:cs="仿宋"/>
                <w:b/>
                <w:color w:val="auto"/>
                <w:sz w:val="40"/>
                <w:szCs w:val="40"/>
                <w:highlight w:val="none"/>
              </w:rPr>
            </w:pPr>
            <w:r>
              <w:rPr>
                <w:rFonts w:hint="eastAsia" w:ascii="仿宋" w:hAnsi="仿宋" w:eastAsia="仿宋" w:cs="仿宋"/>
                <w:b/>
                <w:color w:val="auto"/>
                <w:sz w:val="40"/>
                <w:szCs w:val="40"/>
                <w:highlight w:val="none"/>
              </w:rPr>
              <w:t>联系人：</w:t>
            </w:r>
          </w:p>
          <w:p w14:paraId="19F7D81D">
            <w:pPr>
              <w:keepLines w:val="0"/>
              <w:pageBreakBefore w:val="0"/>
              <w:kinsoku/>
              <w:wordWrap/>
              <w:overflowPunct/>
              <w:topLinePunct w:val="0"/>
              <w:bidi w:val="0"/>
              <w:snapToGrid w:val="0"/>
              <w:spacing w:line="560" w:lineRule="exact"/>
              <w:jc w:val="left"/>
              <w:rPr>
                <w:rFonts w:ascii="仿宋" w:hAnsi="仿宋" w:eastAsia="仿宋" w:cs="仿宋"/>
                <w:b/>
                <w:color w:val="auto"/>
                <w:sz w:val="40"/>
                <w:szCs w:val="40"/>
                <w:highlight w:val="none"/>
              </w:rPr>
            </w:pPr>
            <w:r>
              <w:rPr>
                <w:rFonts w:hint="eastAsia" w:ascii="仿宋" w:hAnsi="仿宋" w:eastAsia="仿宋" w:cs="仿宋"/>
                <w:b/>
                <w:color w:val="auto"/>
                <w:sz w:val="40"/>
                <w:szCs w:val="40"/>
                <w:highlight w:val="none"/>
              </w:rPr>
              <w:t>电  话：</w:t>
            </w:r>
          </w:p>
          <w:p w14:paraId="2C0CACA4">
            <w:pPr>
              <w:keepLines w:val="0"/>
              <w:pageBreakBefore w:val="0"/>
              <w:kinsoku/>
              <w:wordWrap/>
              <w:overflowPunct/>
              <w:topLinePunct w:val="0"/>
              <w:bidi w:val="0"/>
              <w:snapToGrid w:val="0"/>
              <w:spacing w:line="560" w:lineRule="exact"/>
              <w:jc w:val="left"/>
              <w:rPr>
                <w:rFonts w:ascii="仿宋" w:hAnsi="仿宋" w:eastAsia="仿宋" w:cs="仿宋"/>
                <w:color w:val="auto"/>
                <w:sz w:val="28"/>
                <w:highlight w:val="none"/>
              </w:rPr>
            </w:pPr>
            <w:r>
              <w:rPr>
                <w:rFonts w:hint="eastAsia" w:ascii="仿宋" w:hAnsi="仿宋" w:eastAsia="仿宋" w:cs="仿宋"/>
                <w:b/>
                <w:color w:val="auto"/>
                <w:sz w:val="40"/>
                <w:szCs w:val="40"/>
                <w:highlight w:val="none"/>
              </w:rPr>
              <w:t>邮  箱：</w:t>
            </w:r>
          </w:p>
        </w:tc>
      </w:tr>
    </w:tbl>
    <w:p w14:paraId="577407F6">
      <w:pPr>
        <w:keepLines w:val="0"/>
        <w:pageBreakBefore w:val="0"/>
        <w:kinsoku/>
        <w:wordWrap/>
        <w:overflowPunct/>
        <w:topLinePunct w:val="0"/>
        <w:bidi w:val="0"/>
        <w:spacing w:line="560" w:lineRule="exact"/>
        <w:jc w:val="center"/>
        <w:rPr>
          <w:rFonts w:hint="eastAsia" w:ascii="仿宋_GB2312" w:hAnsi="仿宋_GB2312" w:eastAsia="仿宋_GB2312" w:cs="仿宋_GB2312"/>
          <w:color w:val="auto"/>
          <w:sz w:val="28"/>
          <w:szCs w:val="28"/>
          <w:highlight w:val="none"/>
        </w:rPr>
      </w:pPr>
      <w:r>
        <w:rPr>
          <w:rFonts w:hint="eastAsia" w:ascii="宋体" w:hAnsi="宋体" w:cs="宋体"/>
          <w:b/>
          <w:bCs/>
          <w:color w:val="auto"/>
          <w:sz w:val="44"/>
          <w:szCs w:val="44"/>
          <w:highlight w:val="none"/>
        </w:rPr>
        <w:t>目录</w:t>
      </w:r>
      <w:r>
        <w:rPr>
          <w:rFonts w:hint="eastAsia" w:ascii="宋体" w:hAnsi="宋体" w:cs="宋体"/>
          <w:b/>
          <w:bCs/>
          <w:color w:val="auto"/>
          <w:sz w:val="28"/>
          <w:szCs w:val="28"/>
          <w:highlight w:val="none"/>
        </w:rPr>
        <w:t>（附页码）</w:t>
      </w:r>
    </w:p>
    <w:p w14:paraId="38618A4C">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1.封面</w:t>
      </w:r>
    </w:p>
    <w:p w14:paraId="47D8E6A9">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2.目录</w:t>
      </w:r>
    </w:p>
    <w:p w14:paraId="3CDF2FFA">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3.法定代表人资格证明书及身份证复印件</w:t>
      </w:r>
    </w:p>
    <w:p w14:paraId="2439E7E2">
      <w:pPr>
        <w:keepNext w:val="0"/>
        <w:keepLines w:val="0"/>
        <w:pageBreakBefore w:val="0"/>
        <w:widowControl/>
        <w:tabs>
          <w:tab w:val="left" w:pos="630"/>
          <w:tab w:val="left" w:pos="840"/>
        </w:tabs>
        <w:kinsoku/>
        <w:wordWrap/>
        <w:overflowPunct/>
        <w:topLinePunct w:val="0"/>
        <w:autoSpaceDE/>
        <w:autoSpaceDN/>
        <w:bidi w:val="0"/>
        <w:adjustRightInd/>
        <w:snapToGrid/>
        <w:spacing w:line="500" w:lineRule="exact"/>
        <w:ind w:left="42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w:t>
      </w:r>
      <w:r>
        <w:rPr>
          <w:rFonts w:hint="eastAsia" w:ascii="仿宋_GB2312" w:hAnsi="仿宋_GB2312" w:eastAsia="仿宋_GB2312" w:cs="仿宋_GB2312"/>
          <w:color w:val="auto"/>
          <w:sz w:val="28"/>
          <w:szCs w:val="28"/>
          <w:highlight w:val="none"/>
          <w:lang w:bidi="ar"/>
        </w:rPr>
        <w:t>法定代表人授权书</w:t>
      </w:r>
      <w:r>
        <w:rPr>
          <w:rFonts w:hint="eastAsia" w:ascii="仿宋_GB2312" w:hAnsi="仿宋_GB2312" w:eastAsia="仿宋_GB2312" w:cs="仿宋_GB2312"/>
          <w:color w:val="auto"/>
          <w:sz w:val="28"/>
          <w:szCs w:val="28"/>
          <w:highlight w:val="none"/>
        </w:rPr>
        <w:t>及授权代表人身份证复印件（如有）</w:t>
      </w:r>
    </w:p>
    <w:p w14:paraId="5A529BE8">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5.独立承担民事责任能力的法人或其他组织或个体工商户的营业执照或法人证书等证明材料复印件</w:t>
      </w:r>
      <w:r>
        <w:rPr>
          <w:rFonts w:hint="eastAsia" w:ascii="仿宋_GB2312" w:hAnsi="仿宋_GB2312" w:eastAsia="仿宋_GB2312" w:cs="仿宋_GB2312"/>
          <w:color w:val="auto"/>
          <w:sz w:val="28"/>
          <w:szCs w:val="28"/>
          <w:highlight w:val="none"/>
          <w:lang w:val="en-US" w:eastAsia="zh-CN"/>
        </w:rPr>
        <w:t>或扫描件</w:t>
      </w:r>
    </w:p>
    <w:p w14:paraId="3E0538FF">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sz w:val="28"/>
          <w:szCs w:val="28"/>
          <w:highlight w:val="none"/>
          <w:lang w:val="en-US" w:eastAsia="zh-CN"/>
        </w:rPr>
        <w:t>6.合法有效的《食品生产许可证》或《食品经营许可证》复印件</w:t>
      </w:r>
    </w:p>
    <w:p w14:paraId="210D4B18">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.投标文件初审表</w:t>
      </w:r>
    </w:p>
    <w:p w14:paraId="0B6E79FD">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.供应商自查表</w:t>
      </w:r>
    </w:p>
    <w:p w14:paraId="46A9A956">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9</w:t>
      </w:r>
      <w:r>
        <w:rPr>
          <w:rFonts w:hint="eastAsia" w:ascii="仿宋_GB2312" w:hAnsi="仿宋_GB2312" w:eastAsia="仿宋_GB2312" w:cs="仿宋_GB2312"/>
          <w:color w:val="auto"/>
          <w:sz w:val="28"/>
          <w:szCs w:val="28"/>
          <w:highlight w:val="none"/>
        </w:rPr>
        <w:t>.投标函</w:t>
      </w:r>
    </w:p>
    <w:p w14:paraId="3A365A50">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.投标及履约承诺函</w:t>
      </w:r>
    </w:p>
    <w:p w14:paraId="49E898E9">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eastAsia="仿宋_GB2312" w:cs="仿宋_GB2312"/>
          <w:color w:val="auto"/>
          <w:sz w:val="28"/>
          <w:szCs w:val="28"/>
          <w:highlight w:val="none"/>
          <w:lang w:val="zh-CN"/>
        </w:rPr>
        <w:t>.供应商基本情况表</w:t>
      </w:r>
    </w:p>
    <w:p w14:paraId="29175280">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1</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zh-CN"/>
        </w:rPr>
        <w:t>.社会保险证明</w:t>
      </w:r>
    </w:p>
    <w:p w14:paraId="7F40EE79">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1</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zh-CN"/>
        </w:rPr>
        <w:t>.开标一览表</w:t>
      </w:r>
    </w:p>
    <w:p w14:paraId="659CC241">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en-US" w:eastAsia="zh-CN"/>
        </w:rPr>
        <w:t>14.</w:t>
      </w:r>
      <w:r>
        <w:rPr>
          <w:rFonts w:hint="eastAsia" w:ascii="仿宋_GB2312" w:hAnsi="仿宋_GB2312" w:eastAsia="仿宋_GB2312" w:cs="仿宋_GB2312"/>
          <w:color w:val="auto"/>
          <w:sz w:val="28"/>
          <w:szCs w:val="28"/>
          <w:highlight w:val="none"/>
          <w:lang w:val="zh-CN"/>
        </w:rPr>
        <w:t>实质性条款响应情况表</w:t>
      </w:r>
    </w:p>
    <w:p w14:paraId="29C5CC41">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15.服务条款响应表</w:t>
      </w:r>
    </w:p>
    <w:p w14:paraId="4EC267A4">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16.</w:t>
      </w:r>
      <w:r>
        <w:rPr>
          <w:rFonts w:hint="eastAsia" w:ascii="仿宋_GB2312" w:hAnsi="仿宋_GB2312" w:eastAsia="仿宋_GB2312" w:cs="仿宋_GB2312"/>
          <w:color w:val="auto"/>
          <w:sz w:val="28"/>
          <w:szCs w:val="28"/>
          <w:highlight w:val="none"/>
          <w:lang w:val="zh-CN"/>
        </w:rPr>
        <w:t>食品安全</w:t>
      </w:r>
    </w:p>
    <w:p w14:paraId="269406D6">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en-US" w:eastAsia="zh-CN"/>
        </w:rPr>
        <w:t>17</w:t>
      </w:r>
      <w:r>
        <w:rPr>
          <w:rFonts w:hint="eastAsia" w:ascii="仿宋_GB2312" w:hAnsi="仿宋_GB2312" w:eastAsia="仿宋_GB2312" w:cs="仿宋_GB2312"/>
          <w:color w:val="auto"/>
          <w:sz w:val="28"/>
          <w:szCs w:val="28"/>
          <w:highlight w:val="none"/>
          <w:lang w:val="zh-CN"/>
        </w:rPr>
        <w:t>.同类项目业绩</w:t>
      </w:r>
    </w:p>
    <w:p w14:paraId="6863AD8F">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en-US" w:eastAsia="zh-CN"/>
        </w:rPr>
        <w:t>18</w:t>
      </w:r>
      <w:r>
        <w:rPr>
          <w:rFonts w:hint="eastAsia" w:ascii="仿宋_GB2312" w:hAnsi="仿宋_GB2312" w:eastAsia="仿宋_GB2312" w:cs="仿宋_GB2312"/>
          <w:color w:val="auto"/>
          <w:sz w:val="28"/>
          <w:szCs w:val="28"/>
          <w:highlight w:val="none"/>
          <w:lang w:val="zh-CN"/>
        </w:rPr>
        <w:t>.蛋糕券使用功能</w:t>
      </w:r>
    </w:p>
    <w:p w14:paraId="6C1DBDAE">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en-US" w:eastAsia="zh-CN"/>
        </w:rPr>
        <w:t>19</w:t>
      </w:r>
      <w:r>
        <w:rPr>
          <w:rFonts w:hint="eastAsia" w:ascii="仿宋_GB2312" w:hAnsi="仿宋_GB2312" w:eastAsia="仿宋_GB2312" w:cs="仿宋_GB2312"/>
          <w:color w:val="auto"/>
          <w:sz w:val="28"/>
          <w:szCs w:val="28"/>
          <w:highlight w:val="none"/>
          <w:lang w:val="zh-CN"/>
        </w:rPr>
        <w:t>.</w:t>
      </w:r>
      <w:r>
        <w:rPr>
          <w:rFonts w:hint="eastAsia" w:ascii="仿宋_GB2312" w:hAnsi="仿宋_GB2312" w:eastAsia="仿宋_GB2312" w:cs="仿宋_GB2312"/>
          <w:color w:val="auto"/>
          <w:sz w:val="28"/>
          <w:szCs w:val="28"/>
          <w:highlight w:val="none"/>
          <w:lang w:val="en-US" w:eastAsia="zh-CN"/>
        </w:rPr>
        <w:t>蛋糕券有限期限</w:t>
      </w:r>
    </w:p>
    <w:p w14:paraId="74801C9B">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2</w:t>
      </w:r>
      <w:r>
        <w:rPr>
          <w:rFonts w:hint="eastAsia" w:ascii="仿宋_GB2312" w:hAnsi="仿宋_GB2312" w:eastAsia="仿宋_GB2312" w:cs="仿宋_GB2312"/>
          <w:color w:val="auto"/>
          <w:sz w:val="28"/>
          <w:szCs w:val="28"/>
          <w:highlight w:val="none"/>
          <w:lang w:val="en-US" w:eastAsia="zh-CN"/>
        </w:rPr>
        <w:t>0</w:t>
      </w:r>
      <w:r>
        <w:rPr>
          <w:rFonts w:hint="eastAsia" w:ascii="仿宋_GB2312" w:hAnsi="仿宋_GB2312" w:eastAsia="仿宋_GB2312" w:cs="仿宋_GB2312"/>
          <w:color w:val="auto"/>
          <w:sz w:val="28"/>
          <w:szCs w:val="28"/>
          <w:highlight w:val="none"/>
          <w:lang w:val="zh-CN"/>
        </w:rPr>
        <w:t>.企业诚信</w:t>
      </w:r>
    </w:p>
    <w:p w14:paraId="517842D8">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21.品种数量</w:t>
      </w:r>
    </w:p>
    <w:p w14:paraId="2F728031">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en-US" w:eastAsia="zh-CN"/>
        </w:rPr>
        <w:t>22.</w:t>
      </w:r>
      <w:r>
        <w:rPr>
          <w:rFonts w:hint="eastAsia" w:ascii="仿宋_GB2312" w:hAnsi="仿宋_GB2312" w:eastAsia="仿宋_GB2312" w:cs="仿宋_GB2312"/>
          <w:color w:val="auto"/>
          <w:sz w:val="28"/>
          <w:szCs w:val="28"/>
          <w:highlight w:val="none"/>
          <w:lang w:val="zh-CN"/>
        </w:rPr>
        <w:t>服务方案</w:t>
      </w:r>
    </w:p>
    <w:p w14:paraId="53C56BA4">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23.</w:t>
      </w:r>
      <w:r>
        <w:rPr>
          <w:rFonts w:hint="eastAsia" w:ascii="仿宋_GB2312" w:hAnsi="仿宋_GB2312" w:eastAsia="仿宋_GB2312" w:cs="仿宋_GB2312"/>
          <w:color w:val="auto"/>
          <w:sz w:val="28"/>
          <w:szCs w:val="28"/>
          <w:highlight w:val="none"/>
          <w:lang w:val="zh-CN"/>
        </w:rPr>
        <w:t>加工生产及配送</w:t>
      </w:r>
      <w:r>
        <w:rPr>
          <w:rFonts w:hint="eastAsia" w:ascii="仿宋_GB2312" w:hAnsi="仿宋_GB2312" w:eastAsia="仿宋_GB2312" w:cs="仿宋_GB2312"/>
          <w:color w:val="auto"/>
          <w:sz w:val="28"/>
          <w:szCs w:val="28"/>
          <w:highlight w:val="none"/>
          <w:lang w:val="en-US" w:eastAsia="zh-CN"/>
        </w:rPr>
        <w:t>方</w:t>
      </w:r>
      <w:r>
        <w:rPr>
          <w:rFonts w:hint="eastAsia" w:ascii="仿宋_GB2312" w:hAnsi="仿宋_GB2312" w:eastAsia="仿宋_GB2312" w:cs="仿宋_GB2312"/>
          <w:color w:val="auto"/>
          <w:sz w:val="28"/>
          <w:szCs w:val="28"/>
          <w:highlight w:val="none"/>
          <w:lang w:val="zh-CN"/>
        </w:rPr>
        <w:t>式</w:t>
      </w:r>
      <w:r>
        <w:rPr>
          <w:rFonts w:hint="eastAsia" w:ascii="仿宋_GB2312" w:hAnsi="仿宋_GB2312" w:eastAsia="仿宋_GB2312" w:cs="仿宋_GB2312"/>
          <w:color w:val="auto"/>
          <w:sz w:val="28"/>
          <w:szCs w:val="28"/>
          <w:highlight w:val="none"/>
          <w:lang w:val="en-US" w:eastAsia="zh-CN"/>
        </w:rPr>
        <w:t>方案</w:t>
      </w:r>
    </w:p>
    <w:p w14:paraId="05F8707B">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eastAsia="仿宋_GB2312" w:cs="仿宋_GB2312"/>
          <w:color w:val="auto"/>
          <w:sz w:val="28"/>
          <w:szCs w:val="28"/>
          <w:highlight w:val="none"/>
          <w:lang w:val="zh-CN"/>
        </w:rPr>
        <w:t>样品质量</w:t>
      </w:r>
    </w:p>
    <w:p w14:paraId="03C0BA6F">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en-US" w:eastAsia="zh-CN"/>
        </w:rPr>
        <w:t>25.</w:t>
      </w:r>
      <w:r>
        <w:rPr>
          <w:rFonts w:hint="eastAsia" w:ascii="仿宋_GB2312" w:hAnsi="仿宋_GB2312" w:eastAsia="仿宋_GB2312" w:cs="仿宋_GB2312"/>
          <w:color w:val="auto"/>
          <w:sz w:val="28"/>
          <w:szCs w:val="28"/>
          <w:highlight w:val="none"/>
          <w:lang w:val="zh-CN"/>
        </w:rPr>
        <w:t>原材料质量承诺</w:t>
      </w:r>
    </w:p>
    <w:p w14:paraId="4FE9A945">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en-US" w:eastAsia="zh-CN"/>
        </w:rPr>
        <w:t>26.</w:t>
      </w:r>
      <w:r>
        <w:rPr>
          <w:rFonts w:hint="eastAsia" w:ascii="仿宋_GB2312" w:hAnsi="仿宋_GB2312" w:eastAsia="仿宋_GB2312" w:cs="仿宋_GB2312"/>
          <w:color w:val="auto"/>
          <w:sz w:val="28"/>
          <w:szCs w:val="28"/>
          <w:highlight w:val="none"/>
          <w:lang w:val="zh-CN"/>
        </w:rPr>
        <w:t>中小企业声明函</w:t>
      </w:r>
    </w:p>
    <w:p w14:paraId="0C4F752A">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2</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lang w:val="zh-CN"/>
        </w:rPr>
        <w:t>.其他证明材料</w:t>
      </w:r>
    </w:p>
    <w:p w14:paraId="072D7B5C">
      <w:pPr>
        <w:keepNext w:val="0"/>
        <w:keepLines w:val="0"/>
        <w:pageBreakBefore w:val="0"/>
        <w:widowControl/>
        <w:tabs>
          <w:tab w:val="left" w:pos="630"/>
          <w:tab w:val="left" w:pos="840"/>
        </w:tabs>
        <w:kinsoku/>
        <w:wordWrap/>
        <w:overflowPunct/>
        <w:topLinePunct w:val="0"/>
        <w:autoSpaceDE/>
        <w:autoSpaceDN/>
        <w:bidi w:val="0"/>
        <w:adjustRightInd/>
        <w:snapToGrid/>
        <w:spacing w:line="500" w:lineRule="exact"/>
        <w:ind w:left="420"/>
        <w:jc w:val="left"/>
        <w:textAlignment w:val="auto"/>
        <w:rPr>
          <w:rFonts w:hint="eastAsia" w:ascii="仿宋_GB2312" w:hAnsi="仿宋_GB2312" w:eastAsia="仿宋_GB2312" w:cs="仿宋_GB2312"/>
          <w:color w:val="auto"/>
          <w:sz w:val="28"/>
          <w:szCs w:val="28"/>
          <w:highlight w:val="none"/>
          <w:lang w:bidi="ar"/>
        </w:rPr>
      </w:pPr>
    </w:p>
    <w:p w14:paraId="2E1DE5B7">
      <w:pPr>
        <w:keepNext w:val="0"/>
        <w:keepLines w:val="0"/>
        <w:pageBreakBefore w:val="0"/>
        <w:widowControl/>
        <w:tabs>
          <w:tab w:val="left" w:pos="630"/>
          <w:tab w:val="left" w:pos="840"/>
        </w:tabs>
        <w:kinsoku/>
        <w:wordWrap/>
        <w:overflowPunct/>
        <w:topLinePunct w:val="0"/>
        <w:autoSpaceDE/>
        <w:autoSpaceDN/>
        <w:bidi w:val="0"/>
        <w:adjustRightInd/>
        <w:snapToGrid/>
        <w:spacing w:line="500" w:lineRule="exact"/>
        <w:ind w:left="420"/>
        <w:jc w:val="left"/>
        <w:textAlignment w:val="auto"/>
        <w:rPr>
          <w:rFonts w:hint="eastAsia" w:ascii="仿宋_GB2312" w:hAnsi="仿宋_GB2312" w:eastAsia="仿宋_GB2312" w:cs="仿宋_GB2312"/>
          <w:color w:val="auto"/>
          <w:sz w:val="28"/>
          <w:szCs w:val="28"/>
          <w:highlight w:val="none"/>
          <w:lang w:bidi="ar"/>
        </w:rPr>
      </w:pPr>
    </w:p>
    <w:p w14:paraId="2F16C17D">
      <w:pPr>
        <w:keepNext w:val="0"/>
        <w:keepLines w:val="0"/>
        <w:pageBreakBefore w:val="0"/>
        <w:widowControl/>
        <w:tabs>
          <w:tab w:val="left" w:pos="630"/>
          <w:tab w:val="left" w:pos="840"/>
        </w:tabs>
        <w:kinsoku/>
        <w:wordWrap/>
        <w:overflowPunct/>
        <w:topLinePunct w:val="0"/>
        <w:autoSpaceDE/>
        <w:autoSpaceDN/>
        <w:bidi w:val="0"/>
        <w:adjustRightInd/>
        <w:snapToGrid/>
        <w:spacing w:line="500" w:lineRule="exact"/>
        <w:ind w:left="420"/>
        <w:jc w:val="left"/>
        <w:textAlignment w:val="auto"/>
        <w:rPr>
          <w:rFonts w:hint="eastAsia" w:ascii="仿宋_GB2312" w:hAnsi="仿宋_GB2312" w:eastAsia="仿宋_GB2312" w:cs="仿宋_GB2312"/>
          <w:color w:val="auto"/>
          <w:sz w:val="28"/>
          <w:szCs w:val="28"/>
          <w:highlight w:val="none"/>
          <w:lang w:bidi="ar"/>
        </w:rPr>
      </w:pPr>
    </w:p>
    <w:p w14:paraId="74F12F07">
      <w:pPr>
        <w:keepNext w:val="0"/>
        <w:keepLines w:val="0"/>
        <w:pageBreakBefore w:val="0"/>
        <w:widowControl/>
        <w:tabs>
          <w:tab w:val="left" w:pos="630"/>
          <w:tab w:val="left" w:pos="840"/>
        </w:tabs>
        <w:kinsoku/>
        <w:wordWrap/>
        <w:overflowPunct/>
        <w:topLinePunct w:val="0"/>
        <w:autoSpaceDE/>
        <w:autoSpaceDN/>
        <w:bidi w:val="0"/>
        <w:adjustRightInd/>
        <w:snapToGrid/>
        <w:spacing w:line="500" w:lineRule="exact"/>
        <w:ind w:left="420"/>
        <w:jc w:val="left"/>
        <w:textAlignment w:val="auto"/>
        <w:rPr>
          <w:rFonts w:hint="eastAsia" w:ascii="仿宋_GB2312" w:hAnsi="仿宋_GB2312" w:eastAsia="仿宋_GB2312" w:cs="仿宋_GB2312"/>
          <w:color w:val="auto"/>
          <w:sz w:val="28"/>
          <w:szCs w:val="28"/>
          <w:highlight w:val="none"/>
          <w:lang w:bidi="ar"/>
        </w:rPr>
      </w:pPr>
    </w:p>
    <w:p w14:paraId="1E1DEF3E">
      <w:pPr>
        <w:keepNext w:val="0"/>
        <w:keepLines w:val="0"/>
        <w:pageBreakBefore w:val="0"/>
        <w:widowControl/>
        <w:tabs>
          <w:tab w:val="left" w:pos="630"/>
          <w:tab w:val="left" w:pos="840"/>
        </w:tabs>
        <w:kinsoku/>
        <w:wordWrap/>
        <w:overflowPunct/>
        <w:topLinePunct w:val="0"/>
        <w:autoSpaceDE/>
        <w:autoSpaceDN/>
        <w:bidi w:val="0"/>
        <w:adjustRightInd/>
        <w:snapToGrid/>
        <w:spacing w:line="500" w:lineRule="exact"/>
        <w:ind w:left="420"/>
        <w:jc w:val="left"/>
        <w:textAlignment w:val="auto"/>
        <w:rPr>
          <w:rFonts w:hint="eastAsia" w:ascii="仿宋_GB2312" w:hAnsi="仿宋_GB2312" w:eastAsia="仿宋_GB2312" w:cs="仿宋_GB2312"/>
          <w:color w:val="auto"/>
          <w:sz w:val="28"/>
          <w:szCs w:val="28"/>
          <w:highlight w:val="none"/>
          <w:lang w:bidi="ar"/>
        </w:rPr>
      </w:pPr>
    </w:p>
    <w:p w14:paraId="581580BB">
      <w:pPr>
        <w:keepNext w:val="0"/>
        <w:keepLines w:val="0"/>
        <w:pageBreakBefore w:val="0"/>
        <w:widowControl/>
        <w:tabs>
          <w:tab w:val="left" w:pos="630"/>
          <w:tab w:val="left" w:pos="840"/>
        </w:tabs>
        <w:kinsoku/>
        <w:wordWrap/>
        <w:overflowPunct/>
        <w:topLinePunct w:val="0"/>
        <w:autoSpaceDE/>
        <w:autoSpaceDN/>
        <w:bidi w:val="0"/>
        <w:adjustRightInd/>
        <w:snapToGrid/>
        <w:spacing w:line="500" w:lineRule="exact"/>
        <w:ind w:left="420"/>
        <w:jc w:val="left"/>
        <w:textAlignment w:val="auto"/>
        <w:rPr>
          <w:rFonts w:hint="eastAsia" w:ascii="仿宋_GB2312" w:hAnsi="仿宋_GB2312" w:eastAsia="仿宋_GB2312" w:cs="仿宋_GB2312"/>
          <w:color w:val="auto"/>
          <w:sz w:val="28"/>
          <w:szCs w:val="28"/>
          <w:highlight w:val="none"/>
          <w:lang w:bidi="ar"/>
        </w:rPr>
      </w:pPr>
    </w:p>
    <w:p w14:paraId="188A470F">
      <w:pPr>
        <w:keepNext w:val="0"/>
        <w:keepLines w:val="0"/>
        <w:pageBreakBefore w:val="0"/>
        <w:widowControl/>
        <w:tabs>
          <w:tab w:val="left" w:pos="630"/>
          <w:tab w:val="left" w:pos="840"/>
        </w:tabs>
        <w:kinsoku/>
        <w:wordWrap/>
        <w:overflowPunct/>
        <w:topLinePunct w:val="0"/>
        <w:autoSpaceDE/>
        <w:autoSpaceDN/>
        <w:bidi w:val="0"/>
        <w:adjustRightInd/>
        <w:snapToGrid/>
        <w:spacing w:line="500" w:lineRule="exact"/>
        <w:ind w:left="420"/>
        <w:jc w:val="left"/>
        <w:textAlignment w:val="auto"/>
        <w:rPr>
          <w:rFonts w:hint="eastAsia" w:ascii="仿宋_GB2312" w:hAnsi="仿宋_GB2312" w:eastAsia="仿宋_GB2312" w:cs="仿宋_GB2312"/>
          <w:color w:val="auto"/>
          <w:sz w:val="28"/>
          <w:szCs w:val="28"/>
          <w:highlight w:val="none"/>
          <w:lang w:bidi="ar"/>
        </w:rPr>
      </w:pPr>
    </w:p>
    <w:p w14:paraId="36360253">
      <w:pPr>
        <w:keepNext w:val="0"/>
        <w:keepLines w:val="0"/>
        <w:pageBreakBefore w:val="0"/>
        <w:widowControl/>
        <w:tabs>
          <w:tab w:val="left" w:pos="630"/>
          <w:tab w:val="left" w:pos="840"/>
        </w:tabs>
        <w:kinsoku/>
        <w:wordWrap/>
        <w:overflowPunct/>
        <w:topLinePunct w:val="0"/>
        <w:autoSpaceDE/>
        <w:autoSpaceDN/>
        <w:bidi w:val="0"/>
        <w:adjustRightInd/>
        <w:snapToGrid/>
        <w:spacing w:line="500" w:lineRule="exact"/>
        <w:ind w:left="420"/>
        <w:jc w:val="left"/>
        <w:textAlignment w:val="auto"/>
        <w:rPr>
          <w:rFonts w:hint="eastAsia" w:ascii="仿宋_GB2312" w:hAnsi="仿宋_GB2312" w:eastAsia="仿宋_GB2312" w:cs="仿宋_GB2312"/>
          <w:color w:val="auto"/>
          <w:sz w:val="28"/>
          <w:szCs w:val="28"/>
          <w:highlight w:val="none"/>
          <w:lang w:bidi="ar"/>
        </w:rPr>
      </w:pPr>
    </w:p>
    <w:p w14:paraId="4028A768">
      <w:pPr>
        <w:keepNext w:val="0"/>
        <w:keepLines w:val="0"/>
        <w:pageBreakBefore w:val="0"/>
        <w:widowControl/>
        <w:tabs>
          <w:tab w:val="left" w:pos="630"/>
          <w:tab w:val="left" w:pos="840"/>
        </w:tabs>
        <w:kinsoku/>
        <w:wordWrap/>
        <w:overflowPunct/>
        <w:topLinePunct w:val="0"/>
        <w:autoSpaceDE/>
        <w:autoSpaceDN/>
        <w:bidi w:val="0"/>
        <w:adjustRightInd/>
        <w:snapToGrid/>
        <w:spacing w:line="500" w:lineRule="exact"/>
        <w:ind w:left="420"/>
        <w:jc w:val="left"/>
        <w:textAlignment w:val="auto"/>
        <w:rPr>
          <w:rFonts w:hint="eastAsia" w:ascii="仿宋_GB2312" w:hAnsi="仿宋_GB2312" w:eastAsia="仿宋_GB2312" w:cs="仿宋_GB2312"/>
          <w:color w:val="auto"/>
          <w:sz w:val="28"/>
          <w:szCs w:val="28"/>
          <w:highlight w:val="none"/>
          <w:lang w:bidi="ar"/>
        </w:rPr>
      </w:pPr>
    </w:p>
    <w:p w14:paraId="217BC556">
      <w:pPr>
        <w:keepNext w:val="0"/>
        <w:keepLines w:val="0"/>
        <w:pageBreakBefore w:val="0"/>
        <w:widowControl/>
        <w:tabs>
          <w:tab w:val="left" w:pos="630"/>
          <w:tab w:val="left" w:pos="840"/>
        </w:tabs>
        <w:kinsoku/>
        <w:wordWrap/>
        <w:overflowPunct/>
        <w:topLinePunct w:val="0"/>
        <w:autoSpaceDE/>
        <w:autoSpaceDN/>
        <w:bidi w:val="0"/>
        <w:adjustRightInd/>
        <w:snapToGrid/>
        <w:spacing w:line="500" w:lineRule="exact"/>
        <w:ind w:left="420"/>
        <w:jc w:val="left"/>
        <w:textAlignment w:val="auto"/>
        <w:rPr>
          <w:rFonts w:hint="eastAsia" w:ascii="仿宋_GB2312" w:hAnsi="仿宋_GB2312" w:eastAsia="仿宋_GB2312" w:cs="仿宋_GB2312"/>
          <w:color w:val="auto"/>
          <w:sz w:val="28"/>
          <w:szCs w:val="28"/>
          <w:highlight w:val="none"/>
          <w:lang w:bidi="ar"/>
        </w:rPr>
      </w:pPr>
    </w:p>
    <w:p w14:paraId="1C9E09CD">
      <w:pPr>
        <w:pStyle w:val="23"/>
        <w:rPr>
          <w:rFonts w:hint="eastAsia" w:ascii="仿宋_GB2312" w:hAnsi="仿宋_GB2312" w:eastAsia="仿宋_GB2312" w:cs="仿宋_GB2312"/>
          <w:color w:val="auto"/>
          <w:sz w:val="28"/>
          <w:szCs w:val="28"/>
          <w:highlight w:val="none"/>
          <w:lang w:bidi="ar"/>
        </w:rPr>
      </w:pPr>
    </w:p>
    <w:p w14:paraId="65484F10">
      <w:pPr>
        <w:pStyle w:val="23"/>
        <w:rPr>
          <w:rFonts w:hint="eastAsia" w:ascii="仿宋_GB2312" w:hAnsi="仿宋_GB2312" w:eastAsia="仿宋_GB2312" w:cs="仿宋_GB2312"/>
          <w:color w:val="auto"/>
          <w:sz w:val="28"/>
          <w:szCs w:val="28"/>
          <w:highlight w:val="none"/>
          <w:lang w:bidi="ar"/>
        </w:rPr>
      </w:pPr>
    </w:p>
    <w:p w14:paraId="11005460">
      <w:pPr>
        <w:pStyle w:val="23"/>
        <w:rPr>
          <w:rFonts w:hint="eastAsia" w:ascii="仿宋_GB2312" w:hAnsi="仿宋_GB2312" w:eastAsia="仿宋_GB2312" w:cs="仿宋_GB2312"/>
          <w:color w:val="auto"/>
          <w:sz w:val="28"/>
          <w:szCs w:val="28"/>
          <w:highlight w:val="none"/>
          <w:lang w:bidi="ar"/>
        </w:rPr>
      </w:pPr>
    </w:p>
    <w:p w14:paraId="3A90A165">
      <w:pPr>
        <w:pStyle w:val="23"/>
        <w:rPr>
          <w:rFonts w:hint="eastAsia" w:ascii="仿宋_GB2312" w:hAnsi="仿宋_GB2312" w:eastAsia="仿宋_GB2312" w:cs="仿宋_GB2312"/>
          <w:color w:val="auto"/>
          <w:sz w:val="28"/>
          <w:szCs w:val="28"/>
          <w:highlight w:val="none"/>
          <w:lang w:bidi="ar"/>
        </w:rPr>
      </w:pPr>
    </w:p>
    <w:p w14:paraId="73161835">
      <w:pPr>
        <w:pStyle w:val="23"/>
        <w:rPr>
          <w:rFonts w:hint="eastAsia" w:ascii="仿宋_GB2312" w:hAnsi="仿宋_GB2312" w:eastAsia="仿宋_GB2312" w:cs="仿宋_GB2312"/>
          <w:color w:val="auto"/>
          <w:sz w:val="28"/>
          <w:szCs w:val="28"/>
          <w:highlight w:val="none"/>
          <w:lang w:bidi="ar"/>
        </w:rPr>
      </w:pPr>
    </w:p>
    <w:p w14:paraId="00B343B1">
      <w:pPr>
        <w:pStyle w:val="23"/>
        <w:rPr>
          <w:rFonts w:hint="eastAsia" w:ascii="仿宋_GB2312" w:hAnsi="仿宋_GB2312" w:eastAsia="仿宋_GB2312" w:cs="仿宋_GB2312"/>
          <w:color w:val="auto"/>
          <w:sz w:val="28"/>
          <w:szCs w:val="28"/>
          <w:highlight w:val="none"/>
          <w:lang w:bidi="ar"/>
        </w:rPr>
      </w:pPr>
    </w:p>
    <w:p w14:paraId="07229BCD">
      <w:pPr>
        <w:pStyle w:val="23"/>
        <w:rPr>
          <w:rFonts w:hint="eastAsia" w:ascii="仿宋_GB2312" w:hAnsi="仿宋_GB2312" w:eastAsia="仿宋_GB2312" w:cs="仿宋_GB2312"/>
          <w:color w:val="auto"/>
          <w:sz w:val="28"/>
          <w:szCs w:val="28"/>
          <w:highlight w:val="none"/>
          <w:lang w:bidi="ar"/>
        </w:rPr>
      </w:pPr>
    </w:p>
    <w:p w14:paraId="20B5C66A">
      <w:pPr>
        <w:keepNext w:val="0"/>
        <w:keepLines w:val="0"/>
        <w:pageBreakBefore w:val="0"/>
        <w:widowControl/>
        <w:tabs>
          <w:tab w:val="left" w:pos="630"/>
          <w:tab w:val="left" w:pos="840"/>
        </w:tabs>
        <w:kinsoku/>
        <w:wordWrap/>
        <w:overflowPunct/>
        <w:topLinePunct w:val="0"/>
        <w:autoSpaceDE/>
        <w:autoSpaceDN/>
        <w:bidi w:val="0"/>
        <w:adjustRightInd/>
        <w:snapToGrid/>
        <w:spacing w:line="500" w:lineRule="exact"/>
        <w:ind w:left="420"/>
        <w:jc w:val="left"/>
        <w:textAlignment w:val="auto"/>
        <w:rPr>
          <w:rFonts w:hint="eastAsia" w:ascii="仿宋_GB2312" w:hAnsi="仿宋_GB2312" w:eastAsia="仿宋_GB2312" w:cs="仿宋_GB2312"/>
          <w:color w:val="auto"/>
          <w:sz w:val="28"/>
          <w:szCs w:val="28"/>
          <w:highlight w:val="none"/>
          <w:lang w:bidi="ar"/>
        </w:rPr>
      </w:pPr>
    </w:p>
    <w:p w14:paraId="6B51DCD4">
      <w:pPr>
        <w:keepNext w:val="0"/>
        <w:keepLines w:val="0"/>
        <w:pageBreakBefore w:val="0"/>
        <w:widowControl/>
        <w:tabs>
          <w:tab w:val="left" w:pos="630"/>
          <w:tab w:val="left" w:pos="840"/>
        </w:tabs>
        <w:kinsoku/>
        <w:wordWrap/>
        <w:overflowPunct/>
        <w:topLinePunct w:val="0"/>
        <w:autoSpaceDE/>
        <w:autoSpaceDN/>
        <w:bidi w:val="0"/>
        <w:adjustRightInd/>
        <w:snapToGrid/>
        <w:spacing w:line="500" w:lineRule="exact"/>
        <w:ind w:left="420"/>
        <w:jc w:val="left"/>
        <w:textAlignment w:val="auto"/>
        <w:rPr>
          <w:rFonts w:hint="eastAsia" w:ascii="仿宋_GB2312" w:hAnsi="仿宋_GB2312" w:eastAsia="仿宋_GB2312" w:cs="仿宋_GB2312"/>
          <w:color w:val="auto"/>
          <w:sz w:val="28"/>
          <w:szCs w:val="28"/>
          <w:highlight w:val="none"/>
          <w:lang w:bidi="ar"/>
        </w:rPr>
      </w:pPr>
    </w:p>
    <w:p w14:paraId="2B4E6170">
      <w:pPr>
        <w:keepNext w:val="0"/>
        <w:keepLines w:val="0"/>
        <w:pageBreakBefore w:val="0"/>
        <w:widowControl/>
        <w:tabs>
          <w:tab w:val="left" w:pos="630"/>
          <w:tab w:val="left" w:pos="840"/>
        </w:tabs>
        <w:kinsoku/>
        <w:wordWrap/>
        <w:overflowPunct/>
        <w:topLinePunct w:val="0"/>
        <w:autoSpaceDE/>
        <w:autoSpaceDN/>
        <w:bidi w:val="0"/>
        <w:adjustRightInd/>
        <w:snapToGrid/>
        <w:spacing w:line="500" w:lineRule="exact"/>
        <w:ind w:left="420"/>
        <w:jc w:val="left"/>
        <w:textAlignment w:val="auto"/>
        <w:rPr>
          <w:rFonts w:hint="eastAsia" w:ascii="仿宋_GB2312" w:hAnsi="仿宋_GB2312" w:eastAsia="仿宋_GB2312" w:cs="仿宋_GB2312"/>
          <w:color w:val="auto"/>
          <w:sz w:val="28"/>
          <w:szCs w:val="28"/>
          <w:highlight w:val="none"/>
          <w:lang w:bidi="ar"/>
        </w:rPr>
      </w:pPr>
    </w:p>
    <w:p w14:paraId="754558E4">
      <w:pPr>
        <w:keepNext w:val="0"/>
        <w:keepLines w:val="0"/>
        <w:pageBreakBefore w:val="0"/>
        <w:widowControl/>
        <w:tabs>
          <w:tab w:val="left" w:pos="630"/>
          <w:tab w:val="left" w:pos="840"/>
        </w:tabs>
        <w:kinsoku/>
        <w:wordWrap/>
        <w:overflowPunct/>
        <w:topLinePunct w:val="0"/>
        <w:autoSpaceDE/>
        <w:autoSpaceDN/>
        <w:bidi w:val="0"/>
        <w:adjustRightInd/>
        <w:snapToGrid/>
        <w:spacing w:line="500" w:lineRule="exact"/>
        <w:ind w:left="420"/>
        <w:jc w:val="left"/>
        <w:textAlignment w:val="auto"/>
        <w:rPr>
          <w:rFonts w:hint="eastAsia" w:ascii="仿宋_GB2312" w:hAnsi="仿宋_GB2312" w:eastAsia="仿宋_GB2312" w:cs="仿宋_GB2312"/>
          <w:color w:val="auto"/>
          <w:sz w:val="28"/>
          <w:szCs w:val="28"/>
          <w:highlight w:val="none"/>
          <w:lang w:bidi="ar"/>
        </w:rPr>
      </w:pPr>
    </w:p>
    <w:p w14:paraId="21D5E8B0">
      <w:pPr>
        <w:keepNext w:val="0"/>
        <w:keepLines w:val="0"/>
        <w:pageBreakBefore w:val="0"/>
        <w:widowControl/>
        <w:tabs>
          <w:tab w:val="left" w:pos="630"/>
          <w:tab w:val="left" w:pos="840"/>
        </w:tabs>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8"/>
          <w:szCs w:val="28"/>
          <w:highlight w:val="none"/>
          <w:lang w:bidi="ar"/>
        </w:rPr>
      </w:pPr>
    </w:p>
    <w:p w14:paraId="3FED1A83">
      <w:pPr>
        <w:keepLines w:val="0"/>
        <w:pageBreakBefore w:val="0"/>
        <w:kinsoku/>
        <w:wordWrap/>
        <w:overflowPunct/>
        <w:topLinePunct w:val="0"/>
        <w:bidi w:val="0"/>
        <w:spacing w:line="500" w:lineRule="exact"/>
        <w:jc w:val="center"/>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t>投标函</w:t>
      </w:r>
    </w:p>
    <w:p w14:paraId="1494ECB9">
      <w:pPr>
        <w:keepLines w:val="0"/>
        <w:pageBreakBefore w:val="0"/>
        <w:kinsoku/>
        <w:wordWrap/>
        <w:overflowPunct/>
        <w:topLinePunct w:val="0"/>
        <w:bidi w:val="0"/>
        <w:spacing w:line="500" w:lineRule="exact"/>
        <w:jc w:val="center"/>
        <w:rPr>
          <w:rFonts w:hint="eastAsia" w:ascii="仿宋" w:hAnsi="仿宋" w:eastAsia="仿宋" w:cs="仿宋"/>
          <w:b/>
          <w:bCs/>
          <w:color w:val="auto"/>
          <w:sz w:val="36"/>
          <w:szCs w:val="44"/>
          <w:highlight w:val="none"/>
        </w:rPr>
      </w:pPr>
    </w:p>
    <w:p w14:paraId="22378732">
      <w:pPr>
        <w:keepLines w:val="0"/>
        <w:pageBreakBefore w:val="0"/>
        <w:kinsoku/>
        <w:wordWrap/>
        <w:overflowPunct/>
        <w:topLinePunct w:val="0"/>
        <w:bidi w:val="0"/>
        <w:spacing w:line="50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深圳市龙岗区第七人民医院：</w:t>
      </w:r>
    </w:p>
    <w:p w14:paraId="6798047A">
      <w:pPr>
        <w:keepLines w:val="0"/>
        <w:pageBreakBefore w:val="0"/>
        <w:kinsoku/>
        <w:wordWrap/>
        <w:overflowPunct/>
        <w:topLinePunct w:val="0"/>
        <w:bidi w:val="0"/>
        <w:spacing w:line="500" w:lineRule="exact"/>
        <w:ind w:firstLine="560" w:firstLineChars="2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我司已经认真仔细阅读了贵单位关于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14:paraId="3A32FDDC">
      <w:pPr>
        <w:keepLines w:val="0"/>
        <w:pageBreakBefore w:val="0"/>
        <w:kinsoku/>
        <w:wordWrap/>
        <w:overflowPunct/>
        <w:topLinePunct w:val="0"/>
        <w:bidi w:val="0"/>
        <w:spacing w:line="50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项目的招标文件，完全同意招标文件中的所有条款，愿意按招标文件要求，决定以投标</w:t>
      </w:r>
      <w:r>
        <w:rPr>
          <w:rFonts w:hint="eastAsia" w:ascii="仿宋_GB2312" w:hAnsi="仿宋_GB2312" w:eastAsia="仿宋_GB2312" w:cs="仿宋_GB2312"/>
          <w:color w:val="auto"/>
          <w:sz w:val="28"/>
          <w:szCs w:val="28"/>
          <w:highlight w:val="none"/>
          <w:lang w:val="en-US" w:eastAsia="zh-CN"/>
        </w:rPr>
        <w:t>上浮率</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参与投标并按招标文件要求承包上述项目，并许以如下承诺：</w:t>
      </w:r>
    </w:p>
    <w:p w14:paraId="79BA0F23">
      <w:pPr>
        <w:keepLines w:val="0"/>
        <w:pageBreakBefore w:val="0"/>
        <w:kinsoku/>
        <w:wordWrap/>
        <w:overflowPunct/>
        <w:topLinePunct w:val="0"/>
        <w:bidi w:val="0"/>
        <w:spacing w:line="5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1.我方愿意向招标人提供与本次招标的相关资料，并对其真实性、合法性、有效性负责。</w:t>
      </w:r>
    </w:p>
    <w:p w14:paraId="2F81B3EF">
      <w:pPr>
        <w:keepLines w:val="0"/>
        <w:pageBreakBefore w:val="0"/>
        <w:kinsoku/>
        <w:wordWrap/>
        <w:overflowPunct/>
        <w:topLinePunct w:val="0"/>
        <w:bidi w:val="0"/>
        <w:spacing w:line="5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2.我方将严格履行本投标文件中的全部承诺和责任，并遵守招标文件中对投标人的所有规定。</w:t>
      </w:r>
    </w:p>
    <w:p w14:paraId="61AD2147">
      <w:pPr>
        <w:keepLines w:val="0"/>
        <w:pageBreakBefore w:val="0"/>
        <w:kinsoku/>
        <w:wordWrap/>
        <w:overflowPunct/>
        <w:topLinePunct w:val="0"/>
        <w:bidi w:val="0"/>
        <w:spacing w:line="5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3.我方完全理解招标人有保留在授标之前，任何时候根据评标委员会的意见接受或拒绝任何投标的权利，并完全理解招标人对此无解释的义务。</w:t>
      </w:r>
    </w:p>
    <w:p w14:paraId="10AF798A">
      <w:pPr>
        <w:keepLines w:val="0"/>
        <w:pageBreakBefore w:val="0"/>
        <w:kinsoku/>
        <w:wordWrap/>
        <w:overflowPunct/>
        <w:topLinePunct w:val="0"/>
        <w:bidi w:val="0"/>
        <w:spacing w:line="5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4.我方完全理解招标人不保证投标价最低的投标人中标。</w:t>
      </w:r>
    </w:p>
    <w:p w14:paraId="7B0EE92B">
      <w:pPr>
        <w:keepLines w:val="0"/>
        <w:pageBreakBefore w:val="0"/>
        <w:kinsoku/>
        <w:wordWrap/>
        <w:overflowPunct/>
        <w:topLinePunct w:val="0"/>
        <w:bidi w:val="0"/>
        <w:spacing w:line="5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5.我方承诺在此次招标过程中涉及的一切应当保密的事项，不向任何第三方泄露，否则承担一切法律责任。</w:t>
      </w:r>
    </w:p>
    <w:p w14:paraId="6A6C85D6">
      <w:pPr>
        <w:keepLines w:val="0"/>
        <w:pageBreakBefore w:val="0"/>
        <w:kinsoku/>
        <w:wordWrap/>
        <w:overflowPunct/>
        <w:topLinePunct w:val="0"/>
        <w:bidi w:val="0"/>
        <w:spacing w:line="500" w:lineRule="exact"/>
        <w:ind w:firstLine="560" w:firstLineChars="200"/>
        <w:rPr>
          <w:color w:val="auto"/>
          <w:sz w:val="28"/>
          <w:szCs w:val="28"/>
          <w:highlight w:val="none"/>
        </w:rPr>
      </w:pPr>
      <w:r>
        <w:rPr>
          <w:rFonts w:hint="eastAsia" w:ascii="仿宋_GB2312" w:hAnsi="仿宋_GB2312" w:eastAsia="仿宋_GB2312" w:cs="仿宋_GB2312"/>
          <w:color w:val="auto"/>
          <w:sz w:val="28"/>
          <w:szCs w:val="28"/>
          <w:highlight w:val="none"/>
        </w:rPr>
        <w:t>6.我方如果中标，我方承诺中标后按照采购相关规定与采购人签订合同，将保证履行我方投标文件所响应的全部责任和义务，按质、按量、按期完成合同中的全部任务。如因我方原因未在规定时限内与采购人签订合同的，愿意接受相关部门作出的相应处理。除非另外达成协议并生效，贵方中标通知书和本投标文件将构成合同组成部分。</w:t>
      </w:r>
    </w:p>
    <w:p w14:paraId="53DF2E66">
      <w:pPr>
        <w:keepLines w:val="0"/>
        <w:pageBreakBefore w:val="0"/>
        <w:kinsoku/>
        <w:wordWrap/>
        <w:overflowPunct/>
        <w:topLinePunct w:val="0"/>
        <w:bidi w:val="0"/>
        <w:spacing w:line="50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p>
    <w:p w14:paraId="1F4391A8">
      <w:pPr>
        <w:keepLines w:val="0"/>
        <w:pageBreakBefore w:val="0"/>
        <w:kinsoku/>
        <w:wordWrap/>
        <w:overflowPunct/>
        <w:topLinePunct w:val="0"/>
        <w:bidi w:val="0"/>
        <w:spacing w:line="500" w:lineRule="exact"/>
        <w:rPr>
          <w:rFonts w:hint="eastAsia" w:ascii="仿宋_GB2312" w:hAnsi="仿宋_GB2312" w:eastAsia="仿宋_GB2312" w:cs="仿宋_GB2312"/>
          <w:color w:val="auto"/>
          <w:sz w:val="28"/>
          <w:szCs w:val="28"/>
          <w:highlight w:val="none"/>
        </w:rPr>
      </w:pPr>
    </w:p>
    <w:p w14:paraId="495BFFDE">
      <w:pPr>
        <w:keepLines w:val="0"/>
        <w:pageBreakBefore w:val="0"/>
        <w:kinsoku/>
        <w:wordWrap/>
        <w:overflowPunct/>
        <w:topLinePunct w:val="0"/>
        <w:bidi w:val="0"/>
        <w:spacing w:line="500" w:lineRule="exact"/>
        <w:ind w:firstLine="3360" w:firstLineChars="1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法定代表人或其授权代表人（签字）：</w:t>
      </w:r>
    </w:p>
    <w:p w14:paraId="11C122FC">
      <w:pPr>
        <w:keepLines w:val="0"/>
        <w:pageBreakBefore w:val="0"/>
        <w:kinsoku/>
        <w:wordWrap/>
        <w:overflowPunct/>
        <w:topLinePunct w:val="0"/>
        <w:bidi w:val="0"/>
        <w:spacing w:line="50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投标单位全称（加盖公章）：</w:t>
      </w:r>
    </w:p>
    <w:p w14:paraId="38D410A3">
      <w:pPr>
        <w:keepLines w:val="0"/>
        <w:pageBreakBefore w:val="0"/>
        <w:kinsoku/>
        <w:wordWrap/>
        <w:overflowPunct/>
        <w:topLinePunct w:val="0"/>
        <w:bidi w:val="0"/>
        <w:spacing w:line="500" w:lineRule="exact"/>
        <w:ind w:firstLine="3640" w:firstLineChars="13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日期：</w:t>
      </w:r>
      <w:r>
        <w:rPr>
          <w:rFonts w:hint="eastAsia" w:ascii="仿宋_GB2312" w:hAnsi="仿宋_GB2312" w:eastAsia="仿宋_GB2312" w:cs="仿宋_GB2312"/>
          <w:color w:val="auto"/>
          <w:sz w:val="28"/>
          <w:szCs w:val="28"/>
          <w:highlight w:val="none"/>
        </w:rPr>
        <w:t xml:space="preserve">      年    月    日</w:t>
      </w:r>
    </w:p>
    <w:p w14:paraId="538DFF3D">
      <w:pPr>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br w:type="page"/>
      </w:r>
    </w:p>
    <w:p w14:paraId="2B070390">
      <w:pPr>
        <w:keepLines w:val="0"/>
        <w:pageBreakBefore w:val="0"/>
        <w:kinsoku/>
        <w:wordWrap/>
        <w:overflowPunct/>
        <w:topLinePunct w:val="0"/>
        <w:bidi w:val="0"/>
        <w:spacing w:line="560" w:lineRule="exact"/>
        <w:jc w:val="center"/>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t>投标及履约承诺函</w:t>
      </w:r>
    </w:p>
    <w:p w14:paraId="1D9737D4">
      <w:pPr>
        <w:keepLines w:val="0"/>
        <w:pageBreakBefore w:val="0"/>
        <w:kinsoku/>
        <w:wordWrap/>
        <w:overflowPunct/>
        <w:topLinePunct w:val="0"/>
        <w:bidi w:val="0"/>
        <w:spacing w:line="560" w:lineRule="exact"/>
        <w:rPr>
          <w:rFonts w:hint="eastAsia" w:ascii="仿宋_GB2312" w:hAnsi="仿宋_GB2312" w:eastAsia="仿宋_GB2312" w:cs="仿宋_GB2312"/>
          <w:color w:val="auto"/>
          <w:sz w:val="32"/>
          <w:szCs w:val="32"/>
          <w:highlight w:val="none"/>
        </w:rPr>
      </w:pPr>
    </w:p>
    <w:p w14:paraId="0E935487">
      <w:pPr>
        <w:keepLines w:val="0"/>
        <w:pageBreakBefore w:val="0"/>
        <w:kinsoku/>
        <w:wordWrap/>
        <w:overflowPunct/>
        <w:topLinePunct w:val="0"/>
        <w:bidi w:val="0"/>
        <w:spacing w:line="56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深圳市龙岗区第七人民医院：</w:t>
      </w:r>
    </w:p>
    <w:p w14:paraId="275B0CB7">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我公司参与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项目，编号：</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（以下简称“本项目”）院内采购活动，承诺：</w:t>
      </w:r>
    </w:p>
    <w:p w14:paraId="33D373EF">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1.我单位参与本项目所投标（响应）的货物、工程或服务，不存在侵犯知识产权的情况；已知悉并同意中标（成交）结果信息公示（公开）的内容。</w:t>
      </w:r>
    </w:p>
    <w:p w14:paraId="031516A6">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2.我单位参与该项目投标，符合采购文件关于联合体及进口产品的相关资格要求。</w:t>
      </w:r>
    </w:p>
    <w:p w14:paraId="67732310">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3.我单位参与本项目投标前三年内，在经营活动中没有重大违法记录。</w:t>
      </w:r>
    </w:p>
    <w:p w14:paraId="3B395549">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4.我单位参与本项目政府采购活动时不存在被有关部门禁止参与政府采购活动且在有效期内的情况。</w:t>
      </w:r>
    </w:p>
    <w:p w14:paraId="363737E2">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5.我单位具备《中华人民共和国政府采购法》第二十二条的条件。</w:t>
      </w:r>
    </w:p>
    <w:p w14:paraId="21DA66FE">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6.我单位未被列入失信被执行人、重大税收违法案件当事人名单（重大税收违法失信主体）、政府采购严重违法失信行为记录名单。</w:t>
      </w:r>
    </w:p>
    <w:p w14:paraId="188A1F37">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56F651EF">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8.我单位如果中标，做到守信，不偷工减料，依照本项目采购文件需求内容、签署的采购合同及本单位在投标中所作的一切承诺履约。我单位对本项目的报价负责，中标后将严格按照本项目采购文件需求、签署的采购合同及我单位在投标中所作的全部承诺履行。</w:t>
      </w:r>
    </w:p>
    <w:p w14:paraId="18D609A3">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3A142D7F">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CFEA064">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10.我单位承诺中标后项目不转包，未经采购人同意不进行分包。</w:t>
      </w:r>
    </w:p>
    <w:p w14:paraId="3C316A60">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11.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4A4B1EA6">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12.我单位保证，若所投货物涉及《财政部生态环境部关于印发节能产品政府采购品目清单的通知》（财库〔2019〕19号）列明的政府采购强制产品，则所投该产品符合节能产品的认证要求。</w:t>
      </w:r>
    </w:p>
    <w:p w14:paraId="30F75F31">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13.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14:paraId="1E52C466">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14.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48C5B7CE">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15.我单位清楚，如存在违反投标承诺行为情节严重的，将根据《深圳市财政局关于印发&lt;深圳市财政局政府采购供应商信用信息管理办法&gt;的通知》，依法被列入失信信息。</w:t>
      </w:r>
    </w:p>
    <w:p w14:paraId="3E0F6167">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16.我单位保证，参与本项目不存在《深圳市财政局政府采购供应商信用信息管理办法》列明的严重违法失信行为。</w:t>
      </w:r>
    </w:p>
    <w:p w14:paraId="3461CBFF">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color w:val="auto"/>
          <w:sz w:val="28"/>
          <w:szCs w:val="28"/>
          <w:highlight w:val="none"/>
        </w:rPr>
      </w:pPr>
    </w:p>
    <w:p w14:paraId="46C32358">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以上承诺，如有违反，愿依照国家相关法律法规处理，并承担由此给采购人带来的损失。</w:t>
      </w:r>
    </w:p>
    <w:p w14:paraId="55579D5F">
      <w:pPr>
        <w:keepLines w:val="0"/>
        <w:pageBreakBefore w:val="0"/>
        <w:widowControl/>
        <w:kinsoku/>
        <w:wordWrap/>
        <w:overflowPunct/>
        <w:topLinePunct w:val="0"/>
        <w:bidi w:val="0"/>
        <w:spacing w:line="560" w:lineRule="exact"/>
        <w:ind w:firstLine="560" w:firstLineChars="200"/>
        <w:jc w:val="left"/>
        <w:rPr>
          <w:rFonts w:hint="eastAsia" w:ascii="仿宋_GB2312" w:hAnsi="仿宋_GB2312" w:eastAsia="仿宋_GB2312" w:cs="仿宋_GB2312"/>
          <w:color w:val="auto"/>
          <w:sz w:val="28"/>
          <w:szCs w:val="28"/>
          <w:highlight w:val="none"/>
        </w:rPr>
      </w:pPr>
    </w:p>
    <w:p w14:paraId="5E89D0C1">
      <w:pPr>
        <w:keepLines w:val="0"/>
        <w:pageBreakBefore w:val="0"/>
        <w:widowControl/>
        <w:kinsoku/>
        <w:wordWrap/>
        <w:overflowPunct/>
        <w:topLinePunct w:val="0"/>
        <w:bidi w:val="0"/>
        <w:spacing w:line="560" w:lineRule="exact"/>
        <w:ind w:firstLine="560" w:firstLineChars="200"/>
        <w:jc w:val="left"/>
        <w:rPr>
          <w:rFonts w:hint="eastAsia" w:ascii="仿宋_GB2312" w:hAnsi="仿宋_GB2312" w:eastAsia="仿宋_GB2312" w:cs="仿宋_GB2312"/>
          <w:color w:val="auto"/>
          <w:sz w:val="28"/>
          <w:szCs w:val="28"/>
          <w:highlight w:val="none"/>
        </w:rPr>
      </w:pPr>
    </w:p>
    <w:p w14:paraId="2C6B4378">
      <w:pPr>
        <w:keepLines w:val="0"/>
        <w:pageBreakBefore w:val="0"/>
        <w:widowControl/>
        <w:kinsoku/>
        <w:wordWrap/>
        <w:overflowPunct/>
        <w:topLinePunct w:val="0"/>
        <w:bidi w:val="0"/>
        <w:spacing w:line="560" w:lineRule="exact"/>
        <w:ind w:firstLine="3080" w:firstLineChars="11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投标人（公章）：</w:t>
      </w:r>
    </w:p>
    <w:p w14:paraId="4630D070">
      <w:pPr>
        <w:keepLines w:val="0"/>
        <w:pageBreakBefore w:val="0"/>
        <w:widowControl/>
        <w:kinsoku/>
        <w:wordWrap/>
        <w:overflowPunct/>
        <w:topLinePunct w:val="0"/>
        <w:bidi w:val="0"/>
        <w:spacing w:line="560" w:lineRule="exact"/>
        <w:ind w:firstLine="3080" w:firstLineChars="11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法定代表人或其授权代表签名：</w:t>
      </w:r>
    </w:p>
    <w:p w14:paraId="090DF4A4">
      <w:pPr>
        <w:keepLines w:val="0"/>
        <w:pageBreakBefore w:val="0"/>
        <w:widowControl/>
        <w:kinsoku/>
        <w:wordWrap/>
        <w:overflowPunct/>
        <w:topLinePunct w:val="0"/>
        <w:bidi w:val="0"/>
        <w:spacing w:line="560" w:lineRule="exact"/>
        <w:ind w:firstLine="3080" w:firstLineChars="1100"/>
        <w:jc w:val="left"/>
        <w:rPr>
          <w:rFonts w:hint="eastAsia" w:ascii="宋体" w:hAnsi="宋体" w:cs="宋体"/>
          <w:color w:val="auto"/>
          <w:kern w:val="0"/>
          <w:sz w:val="44"/>
          <w:szCs w:val="44"/>
          <w:highlight w:val="none"/>
          <w:lang w:bidi="ar"/>
        </w:rPr>
      </w:pPr>
      <w:r>
        <w:rPr>
          <w:rFonts w:hint="eastAsia" w:ascii="仿宋_GB2312" w:hAnsi="仿宋_GB2312" w:eastAsia="仿宋_GB2312" w:cs="仿宋_GB2312"/>
          <w:color w:val="auto"/>
          <w:sz w:val="28"/>
          <w:szCs w:val="28"/>
          <w:highlight w:val="none"/>
        </w:rPr>
        <w:t>日期：      年    月    日</w:t>
      </w:r>
      <w:bookmarkStart w:id="14" w:name="_Toc24111"/>
    </w:p>
    <w:p w14:paraId="3F7FB327">
      <w:pPr>
        <w:keepLines w:val="0"/>
        <w:pageBreakBefore w:val="0"/>
        <w:widowControl/>
        <w:kinsoku/>
        <w:wordWrap/>
        <w:overflowPunct/>
        <w:topLinePunct w:val="0"/>
        <w:bidi w:val="0"/>
        <w:spacing w:line="560" w:lineRule="exact"/>
        <w:jc w:val="center"/>
        <w:textAlignment w:val="center"/>
        <w:rPr>
          <w:rFonts w:hint="eastAsia" w:ascii="宋体" w:hAnsi="宋体" w:cs="宋体"/>
          <w:color w:val="auto"/>
          <w:kern w:val="0"/>
          <w:sz w:val="44"/>
          <w:szCs w:val="44"/>
          <w:highlight w:val="none"/>
          <w:lang w:bidi="ar"/>
        </w:rPr>
      </w:pPr>
    </w:p>
    <w:p w14:paraId="3D3942E2">
      <w:pPr>
        <w:rPr>
          <w:rFonts w:hint="eastAsia" w:ascii="宋体" w:hAnsi="宋体" w:cs="宋体"/>
          <w:color w:val="auto"/>
          <w:kern w:val="0"/>
          <w:sz w:val="44"/>
          <w:szCs w:val="44"/>
          <w:highlight w:val="none"/>
          <w:lang w:bidi="ar"/>
        </w:rPr>
      </w:pPr>
      <w:r>
        <w:rPr>
          <w:rFonts w:hint="eastAsia" w:ascii="宋体" w:hAnsi="宋体" w:cs="宋体"/>
          <w:color w:val="auto"/>
          <w:kern w:val="0"/>
          <w:sz w:val="44"/>
          <w:szCs w:val="44"/>
          <w:highlight w:val="none"/>
          <w:lang w:bidi="ar"/>
        </w:rPr>
        <w:br w:type="page"/>
      </w:r>
    </w:p>
    <w:p w14:paraId="57DF5AFD">
      <w:pPr>
        <w:keepLines w:val="0"/>
        <w:pageBreakBefore w:val="0"/>
        <w:widowControl/>
        <w:kinsoku/>
        <w:wordWrap/>
        <w:overflowPunct/>
        <w:topLinePunct w:val="0"/>
        <w:bidi w:val="0"/>
        <w:spacing w:line="560" w:lineRule="exact"/>
        <w:jc w:val="both"/>
        <w:textAlignment w:val="center"/>
        <w:rPr>
          <w:rFonts w:hint="eastAsia" w:ascii="宋体" w:hAnsi="宋体" w:cs="宋体"/>
          <w:color w:val="auto"/>
          <w:kern w:val="0"/>
          <w:sz w:val="44"/>
          <w:szCs w:val="44"/>
          <w:highlight w:val="none"/>
          <w:lang w:bidi="ar"/>
        </w:rPr>
      </w:pPr>
    </w:p>
    <w:p w14:paraId="086A1502">
      <w:pPr>
        <w:keepLines w:val="0"/>
        <w:pageBreakBefore w:val="0"/>
        <w:widowControl/>
        <w:kinsoku/>
        <w:wordWrap/>
        <w:overflowPunct/>
        <w:topLinePunct w:val="0"/>
        <w:bidi w:val="0"/>
        <w:spacing w:line="560" w:lineRule="exact"/>
        <w:jc w:val="center"/>
        <w:textAlignment w:val="center"/>
        <w:rPr>
          <w:rFonts w:hint="eastAsia" w:ascii="宋体" w:hAnsi="宋体" w:cs="宋体"/>
          <w:color w:val="auto"/>
          <w:kern w:val="0"/>
          <w:sz w:val="44"/>
          <w:szCs w:val="44"/>
          <w:highlight w:val="none"/>
          <w:lang w:bidi="ar"/>
        </w:rPr>
      </w:pPr>
      <w:r>
        <w:rPr>
          <w:rFonts w:hint="eastAsia" w:ascii="宋体" w:hAnsi="宋体" w:cs="宋体"/>
          <w:color w:val="auto"/>
          <w:kern w:val="0"/>
          <w:sz w:val="44"/>
          <w:szCs w:val="44"/>
          <w:highlight w:val="none"/>
          <w:lang w:bidi="ar"/>
        </w:rPr>
        <w:t>法定代表人证明书</w:t>
      </w:r>
    </w:p>
    <w:p w14:paraId="78327E91">
      <w:pPr>
        <w:keepLines w:val="0"/>
        <w:pageBreakBefore w:val="0"/>
        <w:kinsoku/>
        <w:wordWrap/>
        <w:overflowPunct/>
        <w:topLinePunct w:val="0"/>
        <w:bidi w:val="0"/>
        <w:spacing w:line="560" w:lineRule="exact"/>
        <w:rPr>
          <w:rFonts w:hint="eastAsia" w:ascii="仿宋" w:hAnsi="仿宋" w:eastAsia="仿宋" w:cs="仿宋"/>
          <w:color w:val="auto"/>
          <w:sz w:val="28"/>
          <w:szCs w:val="28"/>
          <w:highlight w:val="none"/>
        </w:rPr>
      </w:pPr>
    </w:p>
    <w:p w14:paraId="656CF318">
      <w:pPr>
        <w:keepLines w:val="0"/>
        <w:pageBreakBefore w:val="0"/>
        <w:kinsoku/>
        <w:wordWrap/>
        <w:overflowPunct/>
        <w:topLinePunct w:val="0"/>
        <w:bidi w:val="0"/>
        <w:spacing w:line="5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先生/小姐，现任我单位</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职务，为法定代表人，特此证明。</w:t>
      </w:r>
    </w:p>
    <w:p w14:paraId="0C525F5D">
      <w:pPr>
        <w:keepLines w:val="0"/>
        <w:pageBreakBefore w:val="0"/>
        <w:kinsoku/>
        <w:wordWrap/>
        <w:overflowPunct/>
        <w:topLinePunct w:val="0"/>
        <w:bidi w:val="0"/>
        <w:spacing w:line="560" w:lineRule="exact"/>
        <w:ind w:firstLine="560" w:firstLineChars="200"/>
        <w:rPr>
          <w:rFonts w:hint="eastAsia" w:ascii="仿宋" w:hAnsi="仿宋" w:eastAsia="仿宋" w:cs="仿宋"/>
          <w:color w:val="auto"/>
          <w:sz w:val="28"/>
          <w:szCs w:val="28"/>
          <w:highlight w:val="none"/>
        </w:rPr>
      </w:pPr>
    </w:p>
    <w:p w14:paraId="230ABA9B">
      <w:pPr>
        <w:keepLines w:val="0"/>
        <w:pageBreakBefore w:val="0"/>
        <w:kinsoku/>
        <w:wordWrap/>
        <w:overflowPunct/>
        <w:topLinePunct w:val="0"/>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有效日期：               签发日期：  </w:t>
      </w:r>
    </w:p>
    <w:p w14:paraId="448A9D62">
      <w:pPr>
        <w:keepLines w:val="0"/>
        <w:pageBreakBefore w:val="0"/>
        <w:kinsoku/>
        <w:wordWrap/>
        <w:overflowPunct/>
        <w:topLinePunct w:val="0"/>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                   （盖章）</w:t>
      </w:r>
    </w:p>
    <w:p w14:paraId="5799A846">
      <w:pPr>
        <w:keepLines w:val="0"/>
        <w:pageBreakBefore w:val="0"/>
        <w:kinsoku/>
        <w:wordWrap/>
        <w:overflowPunct/>
        <w:topLinePunct w:val="0"/>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w:t>
      </w:r>
    </w:p>
    <w:p w14:paraId="20EEAC00">
      <w:pPr>
        <w:keepLines w:val="0"/>
        <w:pageBreakBefore w:val="0"/>
        <w:kinsoku/>
        <w:wordWrap/>
        <w:overflowPunct/>
        <w:topLinePunct w:val="0"/>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代表人性别：        年龄：       身份证号码：</w:t>
      </w:r>
    </w:p>
    <w:p w14:paraId="09DA2984">
      <w:pPr>
        <w:keepLines w:val="0"/>
        <w:pageBreakBefore w:val="0"/>
        <w:kinsoku/>
        <w:wordWrap/>
        <w:overflowPunct/>
        <w:topLinePunct w:val="0"/>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营业执照号码：                   经济性质：</w:t>
      </w:r>
    </w:p>
    <w:p w14:paraId="37364CA1">
      <w:pPr>
        <w:keepLines w:val="0"/>
        <w:pageBreakBefore w:val="0"/>
        <w:kinsoku/>
        <w:wordWrap/>
        <w:overflowPunct/>
        <w:topLinePunct w:val="0"/>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主营（产）：</w:t>
      </w:r>
    </w:p>
    <w:p w14:paraId="74EA82C9">
      <w:pPr>
        <w:keepLines w:val="0"/>
        <w:pageBreakBefore w:val="0"/>
        <w:kinsoku/>
        <w:wordWrap/>
        <w:overflowPunct/>
        <w:topLinePunct w:val="0"/>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兼营（产）：</w:t>
      </w:r>
    </w:p>
    <w:p w14:paraId="182A4BCB">
      <w:pPr>
        <w:keepLines w:val="0"/>
        <w:pageBreakBefore w:val="0"/>
        <w:kinsoku/>
        <w:wordWrap/>
        <w:overflowPunct/>
        <w:topLinePunct w:val="0"/>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进口物品经营许可证号码：</w:t>
      </w:r>
    </w:p>
    <w:p w14:paraId="2A5318AA">
      <w:pPr>
        <w:keepLines w:val="0"/>
        <w:pageBreakBefore w:val="0"/>
        <w:kinsoku/>
        <w:wordWrap/>
        <w:overflowPunct/>
        <w:topLinePunct w:val="0"/>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主营（产）：</w:t>
      </w:r>
    </w:p>
    <w:p w14:paraId="75E5AF65">
      <w:pPr>
        <w:keepLines w:val="0"/>
        <w:pageBreakBefore w:val="0"/>
        <w:kinsoku/>
        <w:wordWrap/>
        <w:overflowPunct/>
        <w:topLinePunct w:val="0"/>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兼营（产）：</w:t>
      </w:r>
    </w:p>
    <w:p w14:paraId="0391A10A">
      <w:pPr>
        <w:keepLines w:val="0"/>
        <w:pageBreakBefore w:val="0"/>
        <w:kinsoku/>
        <w:wordWrap/>
        <w:overflowPunct/>
        <w:topLinePunct w:val="0"/>
        <w:bidi w:val="0"/>
        <w:spacing w:line="560" w:lineRule="exact"/>
        <w:ind w:firstLine="560" w:firstLineChars="200"/>
        <w:rPr>
          <w:rFonts w:hint="eastAsia" w:ascii="仿宋" w:hAnsi="仿宋" w:eastAsia="仿宋" w:cs="仿宋"/>
          <w:color w:val="auto"/>
          <w:sz w:val="28"/>
          <w:szCs w:val="28"/>
          <w:highlight w:val="none"/>
        </w:rPr>
      </w:pPr>
    </w:p>
    <w:p w14:paraId="59950227">
      <w:pPr>
        <w:keepLines w:val="0"/>
        <w:pageBreakBefore w:val="0"/>
        <w:kinsoku/>
        <w:wordWrap/>
        <w:overflowPunct/>
        <w:topLinePunct w:val="0"/>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身份证复印件：</w:t>
      </w:r>
    </w:p>
    <w:tbl>
      <w:tblPr>
        <w:tblStyle w:val="18"/>
        <w:tblW w:w="0" w:type="auto"/>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0"/>
      </w:tblGrid>
      <w:tr w14:paraId="24633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trPr>
        <w:tc>
          <w:tcPr>
            <w:tcW w:w="5460" w:type="dxa"/>
            <w:noWrap/>
          </w:tcPr>
          <w:p w14:paraId="1BA9F9FE">
            <w:pPr>
              <w:keepLines w:val="0"/>
              <w:pageBreakBefore w:val="0"/>
              <w:kinsoku/>
              <w:wordWrap/>
              <w:overflowPunct/>
              <w:topLinePunct w:val="0"/>
              <w:bidi w:val="0"/>
              <w:spacing w:line="560" w:lineRule="exact"/>
              <w:rPr>
                <w:color w:val="auto"/>
                <w:highlight w:val="none"/>
              </w:rPr>
            </w:pPr>
          </w:p>
          <w:p w14:paraId="04867372">
            <w:pPr>
              <w:keepLines w:val="0"/>
              <w:pageBreakBefore w:val="0"/>
              <w:kinsoku/>
              <w:wordWrap/>
              <w:overflowPunct/>
              <w:topLinePunct w:val="0"/>
              <w:bidi w:val="0"/>
              <w:spacing w:line="560" w:lineRule="exact"/>
              <w:rPr>
                <w:color w:val="auto"/>
                <w:highlight w:val="none"/>
              </w:rPr>
            </w:pPr>
          </w:p>
          <w:p w14:paraId="189CB881">
            <w:pPr>
              <w:pStyle w:val="7"/>
              <w:keepLines w:val="0"/>
              <w:pageBreakBefore w:val="0"/>
              <w:kinsoku/>
              <w:wordWrap/>
              <w:overflowPunct/>
              <w:topLinePunct w:val="0"/>
              <w:bidi w:val="0"/>
              <w:spacing w:line="560" w:lineRule="exact"/>
              <w:rPr>
                <w:rFonts w:hint="eastAsia"/>
                <w:color w:val="auto"/>
                <w:highlight w:val="none"/>
              </w:rPr>
            </w:pPr>
          </w:p>
          <w:p w14:paraId="35BFE1DC">
            <w:pPr>
              <w:keepLines w:val="0"/>
              <w:pageBreakBefore w:val="0"/>
              <w:kinsoku/>
              <w:wordWrap/>
              <w:overflowPunct/>
              <w:topLinePunct w:val="0"/>
              <w:bidi w:val="0"/>
              <w:spacing w:line="560" w:lineRule="exact"/>
              <w:ind w:firstLine="2100" w:firstLineChars="1000"/>
              <w:rPr>
                <w:color w:val="auto"/>
                <w:highlight w:val="none"/>
              </w:rPr>
            </w:pPr>
            <w:r>
              <w:rPr>
                <w:rFonts w:hint="eastAsia"/>
                <w:color w:val="auto"/>
                <w:highlight w:val="none"/>
              </w:rPr>
              <w:t>正反面</w:t>
            </w:r>
          </w:p>
        </w:tc>
      </w:tr>
    </w:tbl>
    <w:p w14:paraId="6BB8E401">
      <w:pPr>
        <w:rPr>
          <w:rFonts w:hint="eastAsia" w:ascii="宋体" w:hAnsi="宋体" w:cs="宋体"/>
          <w:color w:val="auto"/>
          <w:kern w:val="0"/>
          <w:sz w:val="44"/>
          <w:szCs w:val="44"/>
          <w:highlight w:val="none"/>
          <w:lang w:bidi="ar"/>
        </w:rPr>
      </w:pPr>
      <w:r>
        <w:rPr>
          <w:rFonts w:hint="eastAsia" w:ascii="宋体" w:hAnsi="宋体" w:cs="宋体"/>
          <w:color w:val="auto"/>
          <w:kern w:val="0"/>
          <w:sz w:val="44"/>
          <w:szCs w:val="44"/>
          <w:highlight w:val="none"/>
          <w:lang w:bidi="ar"/>
        </w:rPr>
        <w:br w:type="page"/>
      </w:r>
    </w:p>
    <w:p w14:paraId="4067091F">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cs="宋体"/>
          <w:color w:val="auto"/>
          <w:kern w:val="0"/>
          <w:sz w:val="44"/>
          <w:szCs w:val="44"/>
          <w:highlight w:val="none"/>
          <w:lang w:bidi="ar"/>
        </w:rPr>
      </w:pPr>
      <w:r>
        <w:rPr>
          <w:rFonts w:hint="eastAsia" w:ascii="宋体" w:hAnsi="宋体" w:cs="宋体"/>
          <w:color w:val="auto"/>
          <w:kern w:val="0"/>
          <w:sz w:val="44"/>
          <w:szCs w:val="44"/>
          <w:highlight w:val="none"/>
          <w:lang w:bidi="ar"/>
        </w:rPr>
        <w:t>法定代表人授权书</w:t>
      </w:r>
    </w:p>
    <w:p w14:paraId="7FF45A11">
      <w:pPr>
        <w:keepNext w:val="0"/>
        <w:keepLines w:val="0"/>
        <w:pageBreakBefore w:val="0"/>
        <w:kinsoku/>
        <w:wordWrap/>
        <w:overflowPunct/>
        <w:topLinePunct w:val="0"/>
        <w:autoSpaceDE/>
        <w:autoSpaceDN/>
        <w:bidi w:val="0"/>
        <w:adjustRightInd/>
        <w:snapToGrid/>
        <w:spacing w:line="500" w:lineRule="exact"/>
        <w:rPr>
          <w:color w:val="auto"/>
          <w:highlight w:val="none"/>
        </w:rPr>
      </w:pPr>
    </w:p>
    <w:p w14:paraId="5527CC40">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授权书声明：注册于（国家或地区的名称）的（公司名称）的在下面签字的（法定代表人姓名、职务）代表本公司授权（单位名称）的在下面签字的（被授权人的姓名、职务）为本公司的合法代理人，就（项目名称）投标及参加项目谈判，以本公司名义处理一切与之有关的事务。</w:t>
      </w:r>
    </w:p>
    <w:p w14:paraId="420F88DF">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本授权书于</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日签字生效，有效期至</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p>
    <w:p w14:paraId="445D2249">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特此声明。</w:t>
      </w:r>
    </w:p>
    <w:p w14:paraId="125FE084">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color w:val="auto"/>
          <w:sz w:val="28"/>
          <w:szCs w:val="28"/>
          <w:highlight w:val="none"/>
        </w:rPr>
      </w:pPr>
    </w:p>
    <w:p w14:paraId="77BC6C14">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法定代表人签字： </w:t>
      </w:r>
    </w:p>
    <w:p w14:paraId="105C6D9E">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被授权人签字：　</w:t>
      </w:r>
    </w:p>
    <w:p w14:paraId="0ED8F078">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单位盖章：　</w:t>
      </w:r>
    </w:p>
    <w:p w14:paraId="2863073C">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w:t>
      </w:r>
    </w:p>
    <w:p w14:paraId="3BFCDF74">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被授权人姓名：                       身份证号：</w:t>
      </w:r>
    </w:p>
    <w:p w14:paraId="7C960B8A">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职务：</w:t>
      </w:r>
    </w:p>
    <w:p w14:paraId="63487CB3">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详细通信地址：</w:t>
      </w:r>
    </w:p>
    <w:p w14:paraId="13684B85">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邮政编码：</w:t>
      </w:r>
    </w:p>
    <w:p w14:paraId="028DED62">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p>
    <w:p w14:paraId="0A5B576B">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移动电话：</w:t>
      </w:r>
    </w:p>
    <w:p w14:paraId="42038FC4">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传真：</w:t>
      </w:r>
    </w:p>
    <w:p w14:paraId="60E741F5">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身份证复印件：</w:t>
      </w:r>
    </w:p>
    <w:tbl>
      <w:tblPr>
        <w:tblStyle w:val="18"/>
        <w:tblW w:w="0" w:type="auto"/>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0"/>
      </w:tblGrid>
      <w:tr w14:paraId="4C6D1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trPr>
        <w:tc>
          <w:tcPr>
            <w:tcW w:w="5580" w:type="dxa"/>
            <w:noWrap/>
          </w:tcPr>
          <w:p w14:paraId="7D10EC5B">
            <w:pPr>
              <w:keepNext w:val="0"/>
              <w:keepLines w:val="0"/>
              <w:pageBreakBefore w:val="0"/>
              <w:kinsoku/>
              <w:wordWrap/>
              <w:overflowPunct/>
              <w:topLinePunct w:val="0"/>
              <w:autoSpaceDE/>
              <w:autoSpaceDN/>
              <w:bidi w:val="0"/>
              <w:adjustRightInd/>
              <w:snapToGrid/>
              <w:spacing w:line="500" w:lineRule="exact"/>
              <w:rPr>
                <w:color w:val="auto"/>
                <w:highlight w:val="none"/>
              </w:rPr>
            </w:pPr>
          </w:p>
          <w:p w14:paraId="2EEFD937">
            <w:pPr>
              <w:keepNext w:val="0"/>
              <w:keepLines w:val="0"/>
              <w:pageBreakBefore w:val="0"/>
              <w:kinsoku/>
              <w:wordWrap/>
              <w:overflowPunct/>
              <w:topLinePunct w:val="0"/>
              <w:autoSpaceDE/>
              <w:autoSpaceDN/>
              <w:bidi w:val="0"/>
              <w:adjustRightInd/>
              <w:snapToGrid/>
              <w:spacing w:line="500" w:lineRule="exact"/>
              <w:rPr>
                <w:color w:val="auto"/>
                <w:highlight w:val="none"/>
              </w:rPr>
            </w:pPr>
          </w:p>
          <w:p w14:paraId="706912EB">
            <w:pPr>
              <w:keepNext w:val="0"/>
              <w:keepLines w:val="0"/>
              <w:pageBreakBefore w:val="0"/>
              <w:kinsoku/>
              <w:wordWrap/>
              <w:overflowPunct/>
              <w:topLinePunct w:val="0"/>
              <w:autoSpaceDE/>
              <w:autoSpaceDN/>
              <w:bidi w:val="0"/>
              <w:adjustRightInd/>
              <w:snapToGrid/>
              <w:spacing w:line="500" w:lineRule="exact"/>
              <w:ind w:firstLine="2310" w:firstLineChars="1100"/>
              <w:rPr>
                <w:color w:val="auto"/>
                <w:highlight w:val="none"/>
              </w:rPr>
            </w:pPr>
          </w:p>
          <w:p w14:paraId="25FC9802">
            <w:pPr>
              <w:keepNext w:val="0"/>
              <w:keepLines w:val="0"/>
              <w:pageBreakBefore w:val="0"/>
              <w:kinsoku/>
              <w:wordWrap/>
              <w:overflowPunct/>
              <w:topLinePunct w:val="0"/>
              <w:autoSpaceDE/>
              <w:autoSpaceDN/>
              <w:bidi w:val="0"/>
              <w:adjustRightInd/>
              <w:snapToGrid/>
              <w:spacing w:line="500" w:lineRule="exact"/>
              <w:ind w:firstLine="2310" w:firstLineChars="1100"/>
              <w:rPr>
                <w:color w:val="auto"/>
                <w:highlight w:val="none"/>
              </w:rPr>
            </w:pPr>
            <w:r>
              <w:rPr>
                <w:rFonts w:hint="eastAsia"/>
                <w:color w:val="auto"/>
                <w:highlight w:val="none"/>
              </w:rPr>
              <w:t>正反面</w:t>
            </w:r>
          </w:p>
        </w:tc>
      </w:tr>
    </w:tbl>
    <w:p w14:paraId="75D16933">
      <w:pPr>
        <w:pStyle w:val="3"/>
        <w:keepLines w:val="0"/>
        <w:pageBreakBefore w:val="0"/>
        <w:kinsoku/>
        <w:wordWrap/>
        <w:overflowPunct/>
        <w:topLinePunct w:val="0"/>
        <w:bidi w:val="0"/>
        <w:spacing w:line="560" w:lineRule="exact"/>
        <w:ind w:left="420" w:hanging="420"/>
        <w:jc w:val="center"/>
        <w:rPr>
          <w:rFonts w:hint="eastAsia" w:ascii="宋体" w:hAnsi="宋体" w:cs="宋体"/>
          <w:b/>
          <w:bCs/>
          <w:color w:val="auto"/>
          <w:sz w:val="44"/>
          <w:szCs w:val="44"/>
          <w:highlight w:val="none"/>
        </w:rPr>
      </w:pPr>
    </w:p>
    <w:p w14:paraId="7B4B440F">
      <w:pPr>
        <w:pStyle w:val="3"/>
        <w:keepLines w:val="0"/>
        <w:pageBreakBefore w:val="0"/>
        <w:kinsoku/>
        <w:wordWrap/>
        <w:overflowPunct/>
        <w:topLinePunct w:val="0"/>
        <w:bidi w:val="0"/>
        <w:spacing w:line="560" w:lineRule="exact"/>
        <w:ind w:left="420" w:hanging="420"/>
        <w:jc w:val="center"/>
        <w:rPr>
          <w:rFonts w:hint="eastAsia" w:ascii="宋体" w:hAnsi="宋体" w:cs="宋体"/>
          <w:color w:val="auto"/>
          <w:kern w:val="0"/>
          <w:sz w:val="44"/>
          <w:szCs w:val="44"/>
          <w:highlight w:val="none"/>
          <w:lang w:bidi="ar"/>
        </w:rPr>
      </w:pPr>
      <w:r>
        <w:rPr>
          <w:rFonts w:hint="eastAsia" w:ascii="宋体" w:hAnsi="宋体" w:cs="宋体"/>
          <w:color w:val="auto"/>
          <w:kern w:val="0"/>
          <w:sz w:val="44"/>
          <w:szCs w:val="44"/>
          <w:highlight w:val="none"/>
          <w:lang w:bidi="ar"/>
        </w:rPr>
        <w:t>供应商基本情况表</w:t>
      </w:r>
      <w:bookmarkEnd w:id="14"/>
    </w:p>
    <w:p w14:paraId="0B99757F">
      <w:pPr>
        <w:keepLines w:val="0"/>
        <w:pageBreakBefore w:val="0"/>
        <w:kinsoku/>
        <w:wordWrap/>
        <w:overflowPunct/>
        <w:topLinePunct w:val="0"/>
        <w:bidi w:val="0"/>
        <w:spacing w:line="560" w:lineRule="exact"/>
        <w:rPr>
          <w:color w:val="auto"/>
          <w:highlight w:val="none"/>
          <w:u w:val="single"/>
        </w:rPr>
      </w:pPr>
      <w:r>
        <w:rPr>
          <w:rFonts w:hint="eastAsia"/>
          <w:color w:val="auto"/>
          <w:highlight w:val="none"/>
        </w:rPr>
        <w:t>填表单位：</w:t>
      </w:r>
      <w:r>
        <w:rPr>
          <w:rFonts w:hint="eastAsia"/>
          <w:color w:val="auto"/>
          <w:highlight w:val="none"/>
          <w:u w:val="single"/>
        </w:rPr>
        <w:t xml:space="preserve">           </w:t>
      </w:r>
      <w:r>
        <w:rPr>
          <w:rFonts w:hint="eastAsia"/>
          <w:color w:val="auto"/>
          <w:highlight w:val="none"/>
        </w:rPr>
        <w:t xml:space="preserve"> （加盖单位公章）                       填表日期：      年  月  日</w:t>
      </w:r>
    </w:p>
    <w:tbl>
      <w:tblPr>
        <w:tblStyle w:val="19"/>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1957"/>
        <w:gridCol w:w="1429"/>
        <w:gridCol w:w="1583"/>
        <w:gridCol w:w="1583"/>
        <w:gridCol w:w="1583"/>
      </w:tblGrid>
      <w:tr w14:paraId="2A5F5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362" w:type="dxa"/>
            <w:vAlign w:val="center"/>
          </w:tcPr>
          <w:p w14:paraId="71BCB46A">
            <w:pPr>
              <w:keepLines w:val="0"/>
              <w:pageBreakBefore w:val="0"/>
              <w:kinsoku/>
              <w:wordWrap/>
              <w:overflowPunct/>
              <w:topLinePunct w:val="0"/>
              <w:bidi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采购单位</w:t>
            </w:r>
          </w:p>
        </w:tc>
        <w:tc>
          <w:tcPr>
            <w:tcW w:w="3386" w:type="dxa"/>
            <w:gridSpan w:val="2"/>
            <w:vAlign w:val="center"/>
          </w:tcPr>
          <w:p w14:paraId="6061E1AA">
            <w:pPr>
              <w:keepLines w:val="0"/>
              <w:pageBreakBefore w:val="0"/>
              <w:kinsoku/>
              <w:wordWrap/>
              <w:overflowPunct/>
              <w:topLinePunct w:val="0"/>
              <w:bidi w:val="0"/>
              <w:spacing w:line="560" w:lineRule="exact"/>
              <w:jc w:val="center"/>
              <w:rPr>
                <w:rFonts w:hint="eastAsia" w:ascii="宋体" w:hAnsi="宋体" w:cs="宋体"/>
                <w:color w:val="auto"/>
                <w:szCs w:val="21"/>
                <w:highlight w:val="none"/>
              </w:rPr>
            </w:pPr>
          </w:p>
        </w:tc>
        <w:tc>
          <w:tcPr>
            <w:tcW w:w="3166" w:type="dxa"/>
            <w:gridSpan w:val="2"/>
            <w:vAlign w:val="center"/>
          </w:tcPr>
          <w:p w14:paraId="25D06A7F">
            <w:pPr>
              <w:keepLines w:val="0"/>
              <w:pageBreakBefore w:val="0"/>
              <w:kinsoku/>
              <w:wordWrap/>
              <w:overflowPunct/>
              <w:topLinePunct w:val="0"/>
              <w:bidi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583" w:type="dxa"/>
            <w:vAlign w:val="center"/>
          </w:tcPr>
          <w:p w14:paraId="27E7F92A">
            <w:pPr>
              <w:keepLines w:val="0"/>
              <w:pageBreakBefore w:val="0"/>
              <w:kinsoku/>
              <w:wordWrap/>
              <w:overflowPunct/>
              <w:topLinePunct w:val="0"/>
              <w:bidi w:val="0"/>
              <w:spacing w:line="560" w:lineRule="exact"/>
              <w:jc w:val="center"/>
              <w:rPr>
                <w:rFonts w:hint="eastAsia" w:ascii="宋体" w:hAnsi="宋体" w:cs="宋体"/>
                <w:color w:val="auto"/>
                <w:szCs w:val="21"/>
                <w:highlight w:val="none"/>
              </w:rPr>
            </w:pPr>
          </w:p>
        </w:tc>
      </w:tr>
      <w:tr w14:paraId="0F4FC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362" w:type="dxa"/>
            <w:vAlign w:val="center"/>
          </w:tcPr>
          <w:p w14:paraId="2A285E88">
            <w:pPr>
              <w:keepLines w:val="0"/>
              <w:pageBreakBefore w:val="0"/>
              <w:kinsoku/>
              <w:wordWrap/>
              <w:overflowPunct/>
              <w:topLinePunct w:val="0"/>
              <w:bidi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投标（响应）供应商</w:t>
            </w:r>
          </w:p>
        </w:tc>
        <w:tc>
          <w:tcPr>
            <w:tcW w:w="3386" w:type="dxa"/>
            <w:gridSpan w:val="2"/>
            <w:vAlign w:val="center"/>
          </w:tcPr>
          <w:p w14:paraId="1A38E730">
            <w:pPr>
              <w:keepLines w:val="0"/>
              <w:pageBreakBefore w:val="0"/>
              <w:kinsoku/>
              <w:wordWrap/>
              <w:overflowPunct/>
              <w:topLinePunct w:val="0"/>
              <w:bidi w:val="0"/>
              <w:spacing w:line="560" w:lineRule="exact"/>
              <w:jc w:val="center"/>
              <w:rPr>
                <w:rFonts w:hint="eastAsia" w:ascii="宋体" w:hAnsi="宋体" w:cs="宋体"/>
                <w:color w:val="auto"/>
                <w:szCs w:val="21"/>
                <w:highlight w:val="none"/>
              </w:rPr>
            </w:pPr>
          </w:p>
        </w:tc>
        <w:tc>
          <w:tcPr>
            <w:tcW w:w="3166" w:type="dxa"/>
            <w:gridSpan w:val="2"/>
            <w:vAlign w:val="center"/>
          </w:tcPr>
          <w:p w14:paraId="5C494A41">
            <w:pPr>
              <w:keepLines w:val="0"/>
              <w:pageBreakBefore w:val="0"/>
              <w:kinsoku/>
              <w:wordWrap/>
              <w:overflowPunct/>
              <w:topLinePunct w:val="0"/>
              <w:bidi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供应商统一社会信用代码</w:t>
            </w:r>
          </w:p>
        </w:tc>
        <w:tc>
          <w:tcPr>
            <w:tcW w:w="1583" w:type="dxa"/>
            <w:vAlign w:val="center"/>
          </w:tcPr>
          <w:p w14:paraId="6F8AD8B5">
            <w:pPr>
              <w:keepLines w:val="0"/>
              <w:pageBreakBefore w:val="0"/>
              <w:kinsoku/>
              <w:wordWrap/>
              <w:overflowPunct/>
              <w:topLinePunct w:val="0"/>
              <w:bidi w:val="0"/>
              <w:spacing w:line="560" w:lineRule="exact"/>
              <w:jc w:val="center"/>
              <w:rPr>
                <w:rFonts w:hint="eastAsia" w:ascii="宋体" w:hAnsi="宋体" w:cs="宋体"/>
                <w:color w:val="auto"/>
                <w:szCs w:val="21"/>
                <w:highlight w:val="none"/>
              </w:rPr>
            </w:pPr>
          </w:p>
        </w:tc>
      </w:tr>
      <w:tr w14:paraId="25695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14:paraId="2D34A76A">
            <w:pPr>
              <w:keepLines w:val="0"/>
              <w:pageBreakBefore w:val="0"/>
              <w:kinsoku/>
              <w:wordWrap/>
              <w:overflowPunct/>
              <w:topLinePunct w:val="0"/>
              <w:bidi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投标（响应）供应商相关人员情况</w:t>
            </w:r>
          </w:p>
        </w:tc>
      </w:tr>
      <w:tr w14:paraId="33CD1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12C69191">
            <w:pPr>
              <w:keepLines w:val="0"/>
              <w:pageBreakBefore w:val="0"/>
              <w:kinsoku/>
              <w:wordWrap/>
              <w:overflowPunct/>
              <w:topLinePunct w:val="0"/>
              <w:bidi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957" w:type="dxa"/>
            <w:vAlign w:val="center"/>
          </w:tcPr>
          <w:p w14:paraId="27633874">
            <w:pPr>
              <w:keepLines w:val="0"/>
              <w:pageBreakBefore w:val="0"/>
              <w:kinsoku/>
              <w:wordWrap/>
              <w:overflowPunct/>
              <w:topLinePunct w:val="0"/>
              <w:bidi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1429" w:type="dxa"/>
            <w:vAlign w:val="center"/>
          </w:tcPr>
          <w:p w14:paraId="2FB9C217">
            <w:pPr>
              <w:keepLines w:val="0"/>
              <w:pageBreakBefore w:val="0"/>
              <w:kinsoku/>
              <w:wordWrap/>
              <w:overflowPunct/>
              <w:topLinePunct w:val="0"/>
              <w:bidi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583" w:type="dxa"/>
            <w:vAlign w:val="center"/>
          </w:tcPr>
          <w:p w14:paraId="7BAB3F50">
            <w:pPr>
              <w:keepLines w:val="0"/>
              <w:pageBreakBefore w:val="0"/>
              <w:kinsoku/>
              <w:wordWrap/>
              <w:overflowPunct/>
              <w:topLinePunct w:val="0"/>
              <w:bidi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身份证号码</w:t>
            </w:r>
          </w:p>
        </w:tc>
        <w:tc>
          <w:tcPr>
            <w:tcW w:w="1583" w:type="dxa"/>
            <w:vAlign w:val="center"/>
          </w:tcPr>
          <w:p w14:paraId="5B098A62">
            <w:pPr>
              <w:keepLines w:val="0"/>
              <w:pageBreakBefore w:val="0"/>
              <w:kinsoku/>
              <w:wordWrap/>
              <w:overflowPunct/>
              <w:topLinePunct w:val="0"/>
              <w:bidi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劳动合同</w:t>
            </w:r>
          </w:p>
          <w:p w14:paraId="6FF9FBF1">
            <w:pPr>
              <w:keepLines w:val="0"/>
              <w:pageBreakBefore w:val="0"/>
              <w:kinsoku/>
              <w:wordWrap/>
              <w:overflowPunct/>
              <w:topLinePunct w:val="0"/>
              <w:bidi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关系单位</w:t>
            </w:r>
          </w:p>
        </w:tc>
        <w:tc>
          <w:tcPr>
            <w:tcW w:w="1583" w:type="dxa"/>
            <w:vAlign w:val="center"/>
          </w:tcPr>
          <w:p w14:paraId="6E6D1086">
            <w:pPr>
              <w:keepLines w:val="0"/>
              <w:pageBreakBefore w:val="0"/>
              <w:kinsoku/>
              <w:wordWrap/>
              <w:overflowPunct/>
              <w:topLinePunct w:val="0"/>
              <w:bidi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缴纳社会</w:t>
            </w:r>
          </w:p>
          <w:p w14:paraId="26E81BC0">
            <w:pPr>
              <w:keepLines w:val="0"/>
              <w:pageBreakBefore w:val="0"/>
              <w:kinsoku/>
              <w:wordWrap/>
              <w:overflowPunct/>
              <w:topLinePunct w:val="0"/>
              <w:bidi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保险单位</w:t>
            </w:r>
          </w:p>
        </w:tc>
      </w:tr>
      <w:tr w14:paraId="3F90E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362" w:type="dxa"/>
            <w:vAlign w:val="center"/>
          </w:tcPr>
          <w:p w14:paraId="68119B64">
            <w:pPr>
              <w:keepLines w:val="0"/>
              <w:pageBreakBefore w:val="0"/>
              <w:kinsoku/>
              <w:wordWrap/>
              <w:overflowPunct/>
              <w:topLinePunct w:val="0"/>
              <w:bidi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957" w:type="dxa"/>
            <w:vAlign w:val="center"/>
          </w:tcPr>
          <w:p w14:paraId="75D3DE67">
            <w:pPr>
              <w:keepLines w:val="0"/>
              <w:pageBreakBefore w:val="0"/>
              <w:kinsoku/>
              <w:wordWrap/>
              <w:overflowPunct/>
              <w:topLinePunct w:val="0"/>
              <w:bidi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法定代表人/单位负责人</w:t>
            </w:r>
          </w:p>
        </w:tc>
        <w:tc>
          <w:tcPr>
            <w:tcW w:w="1429" w:type="dxa"/>
            <w:vAlign w:val="center"/>
          </w:tcPr>
          <w:p w14:paraId="447E8134">
            <w:pPr>
              <w:keepLines w:val="0"/>
              <w:pageBreakBefore w:val="0"/>
              <w:kinsoku/>
              <w:wordWrap/>
              <w:overflowPunct/>
              <w:topLinePunct w:val="0"/>
              <w:bidi w:val="0"/>
              <w:spacing w:line="560" w:lineRule="exact"/>
              <w:jc w:val="center"/>
              <w:rPr>
                <w:rFonts w:hint="eastAsia" w:ascii="宋体" w:hAnsi="宋体" w:cs="宋体"/>
                <w:color w:val="auto"/>
                <w:szCs w:val="21"/>
                <w:highlight w:val="none"/>
              </w:rPr>
            </w:pPr>
          </w:p>
        </w:tc>
        <w:tc>
          <w:tcPr>
            <w:tcW w:w="1583" w:type="dxa"/>
            <w:vAlign w:val="center"/>
          </w:tcPr>
          <w:p w14:paraId="32FA1B4A">
            <w:pPr>
              <w:keepLines w:val="0"/>
              <w:pageBreakBefore w:val="0"/>
              <w:kinsoku/>
              <w:wordWrap/>
              <w:overflowPunct/>
              <w:topLinePunct w:val="0"/>
              <w:bidi w:val="0"/>
              <w:spacing w:line="560" w:lineRule="exact"/>
              <w:jc w:val="center"/>
              <w:rPr>
                <w:rFonts w:hint="eastAsia" w:ascii="宋体" w:hAnsi="宋体" w:cs="宋体"/>
                <w:color w:val="auto"/>
                <w:szCs w:val="21"/>
                <w:highlight w:val="none"/>
              </w:rPr>
            </w:pPr>
          </w:p>
        </w:tc>
        <w:tc>
          <w:tcPr>
            <w:tcW w:w="1583" w:type="dxa"/>
            <w:vAlign w:val="center"/>
          </w:tcPr>
          <w:p w14:paraId="388AF9A9">
            <w:pPr>
              <w:keepLines w:val="0"/>
              <w:pageBreakBefore w:val="0"/>
              <w:kinsoku/>
              <w:wordWrap/>
              <w:overflowPunct/>
              <w:topLinePunct w:val="0"/>
              <w:bidi w:val="0"/>
              <w:spacing w:line="560" w:lineRule="exact"/>
              <w:jc w:val="center"/>
              <w:rPr>
                <w:rFonts w:hint="eastAsia" w:ascii="宋体" w:hAnsi="宋体" w:cs="宋体"/>
                <w:color w:val="auto"/>
                <w:szCs w:val="21"/>
                <w:highlight w:val="none"/>
              </w:rPr>
            </w:pPr>
          </w:p>
        </w:tc>
        <w:tc>
          <w:tcPr>
            <w:tcW w:w="1583" w:type="dxa"/>
            <w:vAlign w:val="center"/>
          </w:tcPr>
          <w:p w14:paraId="1A98E29C">
            <w:pPr>
              <w:keepLines w:val="0"/>
              <w:pageBreakBefore w:val="0"/>
              <w:kinsoku/>
              <w:wordWrap/>
              <w:overflowPunct/>
              <w:topLinePunct w:val="0"/>
              <w:bidi w:val="0"/>
              <w:spacing w:line="560" w:lineRule="exact"/>
              <w:jc w:val="center"/>
              <w:rPr>
                <w:rFonts w:hint="eastAsia" w:ascii="宋体" w:hAnsi="宋体" w:cs="宋体"/>
                <w:color w:val="auto"/>
                <w:szCs w:val="21"/>
                <w:highlight w:val="none"/>
              </w:rPr>
            </w:pPr>
          </w:p>
        </w:tc>
      </w:tr>
      <w:tr w14:paraId="43AE8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362" w:type="dxa"/>
            <w:vAlign w:val="center"/>
          </w:tcPr>
          <w:p w14:paraId="4848B515">
            <w:pPr>
              <w:keepLines w:val="0"/>
              <w:pageBreakBefore w:val="0"/>
              <w:kinsoku/>
              <w:wordWrap/>
              <w:overflowPunct/>
              <w:topLinePunct w:val="0"/>
              <w:bidi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957" w:type="dxa"/>
            <w:vAlign w:val="center"/>
          </w:tcPr>
          <w:p w14:paraId="5EAE977D">
            <w:pPr>
              <w:keepLines w:val="0"/>
              <w:pageBreakBefore w:val="0"/>
              <w:kinsoku/>
              <w:wordWrap/>
              <w:overflowPunct/>
              <w:topLinePunct w:val="0"/>
              <w:bidi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主要经营负责人</w:t>
            </w:r>
          </w:p>
        </w:tc>
        <w:tc>
          <w:tcPr>
            <w:tcW w:w="1429" w:type="dxa"/>
            <w:vAlign w:val="center"/>
          </w:tcPr>
          <w:p w14:paraId="5390E2A2">
            <w:pPr>
              <w:keepLines w:val="0"/>
              <w:pageBreakBefore w:val="0"/>
              <w:kinsoku/>
              <w:wordWrap/>
              <w:overflowPunct/>
              <w:topLinePunct w:val="0"/>
              <w:bidi w:val="0"/>
              <w:spacing w:line="560" w:lineRule="exact"/>
              <w:jc w:val="center"/>
              <w:rPr>
                <w:rFonts w:hint="eastAsia" w:ascii="宋体" w:hAnsi="宋体" w:cs="宋体"/>
                <w:color w:val="auto"/>
                <w:szCs w:val="21"/>
                <w:highlight w:val="none"/>
              </w:rPr>
            </w:pPr>
          </w:p>
        </w:tc>
        <w:tc>
          <w:tcPr>
            <w:tcW w:w="1583" w:type="dxa"/>
            <w:vAlign w:val="center"/>
          </w:tcPr>
          <w:p w14:paraId="105DC809">
            <w:pPr>
              <w:keepLines w:val="0"/>
              <w:pageBreakBefore w:val="0"/>
              <w:kinsoku/>
              <w:wordWrap/>
              <w:overflowPunct/>
              <w:topLinePunct w:val="0"/>
              <w:bidi w:val="0"/>
              <w:spacing w:line="560" w:lineRule="exact"/>
              <w:jc w:val="center"/>
              <w:rPr>
                <w:rFonts w:hint="eastAsia" w:ascii="宋体" w:hAnsi="宋体" w:cs="宋体"/>
                <w:color w:val="auto"/>
                <w:szCs w:val="21"/>
                <w:highlight w:val="none"/>
              </w:rPr>
            </w:pPr>
          </w:p>
        </w:tc>
        <w:tc>
          <w:tcPr>
            <w:tcW w:w="1583" w:type="dxa"/>
            <w:vAlign w:val="center"/>
          </w:tcPr>
          <w:p w14:paraId="6DF32351">
            <w:pPr>
              <w:keepLines w:val="0"/>
              <w:pageBreakBefore w:val="0"/>
              <w:kinsoku/>
              <w:wordWrap/>
              <w:overflowPunct/>
              <w:topLinePunct w:val="0"/>
              <w:bidi w:val="0"/>
              <w:spacing w:line="560" w:lineRule="exact"/>
              <w:jc w:val="center"/>
              <w:rPr>
                <w:rFonts w:hint="eastAsia" w:ascii="宋体" w:hAnsi="宋体" w:cs="宋体"/>
                <w:color w:val="auto"/>
                <w:szCs w:val="21"/>
                <w:highlight w:val="none"/>
              </w:rPr>
            </w:pPr>
          </w:p>
        </w:tc>
        <w:tc>
          <w:tcPr>
            <w:tcW w:w="1583" w:type="dxa"/>
            <w:vAlign w:val="center"/>
          </w:tcPr>
          <w:p w14:paraId="50DCB38E">
            <w:pPr>
              <w:keepLines w:val="0"/>
              <w:pageBreakBefore w:val="0"/>
              <w:kinsoku/>
              <w:wordWrap/>
              <w:overflowPunct/>
              <w:topLinePunct w:val="0"/>
              <w:bidi w:val="0"/>
              <w:spacing w:line="560" w:lineRule="exact"/>
              <w:jc w:val="center"/>
              <w:rPr>
                <w:rFonts w:hint="eastAsia" w:ascii="宋体" w:hAnsi="宋体" w:cs="宋体"/>
                <w:color w:val="auto"/>
                <w:szCs w:val="21"/>
                <w:highlight w:val="none"/>
              </w:rPr>
            </w:pPr>
          </w:p>
        </w:tc>
      </w:tr>
      <w:tr w14:paraId="174B7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68623416">
            <w:pPr>
              <w:keepLines w:val="0"/>
              <w:pageBreakBefore w:val="0"/>
              <w:kinsoku/>
              <w:wordWrap/>
              <w:overflowPunct/>
              <w:topLinePunct w:val="0"/>
              <w:bidi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957" w:type="dxa"/>
            <w:vAlign w:val="center"/>
          </w:tcPr>
          <w:p w14:paraId="5874C22F">
            <w:pPr>
              <w:keepLines w:val="0"/>
              <w:pageBreakBefore w:val="0"/>
              <w:kinsoku/>
              <w:wordWrap/>
              <w:overflowPunct/>
              <w:topLinePunct w:val="0"/>
              <w:bidi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项目投标授权代表人</w:t>
            </w:r>
          </w:p>
        </w:tc>
        <w:tc>
          <w:tcPr>
            <w:tcW w:w="1429" w:type="dxa"/>
            <w:vAlign w:val="center"/>
          </w:tcPr>
          <w:p w14:paraId="3C3C5482">
            <w:pPr>
              <w:keepLines w:val="0"/>
              <w:pageBreakBefore w:val="0"/>
              <w:kinsoku/>
              <w:wordWrap/>
              <w:overflowPunct/>
              <w:topLinePunct w:val="0"/>
              <w:bidi w:val="0"/>
              <w:spacing w:line="560" w:lineRule="exact"/>
              <w:jc w:val="center"/>
              <w:rPr>
                <w:rFonts w:hint="eastAsia" w:ascii="宋体" w:hAnsi="宋体" w:cs="宋体"/>
                <w:color w:val="auto"/>
                <w:szCs w:val="21"/>
                <w:highlight w:val="none"/>
              </w:rPr>
            </w:pPr>
          </w:p>
        </w:tc>
        <w:tc>
          <w:tcPr>
            <w:tcW w:w="1583" w:type="dxa"/>
            <w:vAlign w:val="center"/>
          </w:tcPr>
          <w:p w14:paraId="2CAC4897">
            <w:pPr>
              <w:keepLines w:val="0"/>
              <w:pageBreakBefore w:val="0"/>
              <w:kinsoku/>
              <w:wordWrap/>
              <w:overflowPunct/>
              <w:topLinePunct w:val="0"/>
              <w:bidi w:val="0"/>
              <w:spacing w:line="560" w:lineRule="exact"/>
              <w:jc w:val="center"/>
              <w:rPr>
                <w:rFonts w:hint="eastAsia" w:ascii="宋体" w:hAnsi="宋体" w:cs="宋体"/>
                <w:color w:val="auto"/>
                <w:szCs w:val="21"/>
                <w:highlight w:val="none"/>
              </w:rPr>
            </w:pPr>
          </w:p>
        </w:tc>
        <w:tc>
          <w:tcPr>
            <w:tcW w:w="1583" w:type="dxa"/>
            <w:vAlign w:val="center"/>
          </w:tcPr>
          <w:p w14:paraId="1C05E5A4">
            <w:pPr>
              <w:keepLines w:val="0"/>
              <w:pageBreakBefore w:val="0"/>
              <w:kinsoku/>
              <w:wordWrap/>
              <w:overflowPunct/>
              <w:topLinePunct w:val="0"/>
              <w:bidi w:val="0"/>
              <w:spacing w:line="560" w:lineRule="exact"/>
              <w:jc w:val="center"/>
              <w:rPr>
                <w:rFonts w:hint="eastAsia" w:ascii="宋体" w:hAnsi="宋体" w:cs="宋体"/>
                <w:color w:val="auto"/>
                <w:szCs w:val="21"/>
                <w:highlight w:val="none"/>
              </w:rPr>
            </w:pPr>
          </w:p>
        </w:tc>
        <w:tc>
          <w:tcPr>
            <w:tcW w:w="1583" w:type="dxa"/>
            <w:vAlign w:val="center"/>
          </w:tcPr>
          <w:p w14:paraId="167BAFE6">
            <w:pPr>
              <w:keepLines w:val="0"/>
              <w:pageBreakBefore w:val="0"/>
              <w:kinsoku/>
              <w:wordWrap/>
              <w:overflowPunct/>
              <w:topLinePunct w:val="0"/>
              <w:bidi w:val="0"/>
              <w:spacing w:line="560" w:lineRule="exact"/>
              <w:jc w:val="center"/>
              <w:rPr>
                <w:rFonts w:hint="eastAsia" w:ascii="宋体" w:hAnsi="宋体" w:cs="宋体"/>
                <w:color w:val="auto"/>
                <w:szCs w:val="21"/>
                <w:highlight w:val="none"/>
              </w:rPr>
            </w:pPr>
          </w:p>
        </w:tc>
      </w:tr>
      <w:tr w14:paraId="3AE8A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2FEA3A66">
            <w:pPr>
              <w:keepLines w:val="0"/>
              <w:pageBreakBefore w:val="0"/>
              <w:kinsoku/>
              <w:wordWrap/>
              <w:overflowPunct/>
              <w:topLinePunct w:val="0"/>
              <w:bidi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957" w:type="dxa"/>
            <w:vAlign w:val="center"/>
          </w:tcPr>
          <w:p w14:paraId="4E234C80">
            <w:pPr>
              <w:keepLines w:val="0"/>
              <w:pageBreakBefore w:val="0"/>
              <w:kinsoku/>
              <w:wordWrap/>
              <w:overflowPunct/>
              <w:topLinePunct w:val="0"/>
              <w:bidi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项目负责人</w:t>
            </w:r>
          </w:p>
        </w:tc>
        <w:tc>
          <w:tcPr>
            <w:tcW w:w="1429" w:type="dxa"/>
            <w:vAlign w:val="center"/>
          </w:tcPr>
          <w:p w14:paraId="7F47E5F2">
            <w:pPr>
              <w:keepLines w:val="0"/>
              <w:pageBreakBefore w:val="0"/>
              <w:kinsoku/>
              <w:wordWrap/>
              <w:overflowPunct/>
              <w:topLinePunct w:val="0"/>
              <w:bidi w:val="0"/>
              <w:spacing w:line="560" w:lineRule="exact"/>
              <w:jc w:val="center"/>
              <w:rPr>
                <w:rFonts w:hint="eastAsia" w:ascii="宋体" w:hAnsi="宋体" w:cs="宋体"/>
                <w:color w:val="auto"/>
                <w:szCs w:val="21"/>
                <w:highlight w:val="none"/>
              </w:rPr>
            </w:pPr>
          </w:p>
        </w:tc>
        <w:tc>
          <w:tcPr>
            <w:tcW w:w="1583" w:type="dxa"/>
            <w:vAlign w:val="center"/>
          </w:tcPr>
          <w:p w14:paraId="7D938327">
            <w:pPr>
              <w:keepLines w:val="0"/>
              <w:pageBreakBefore w:val="0"/>
              <w:kinsoku/>
              <w:wordWrap/>
              <w:overflowPunct/>
              <w:topLinePunct w:val="0"/>
              <w:bidi w:val="0"/>
              <w:spacing w:line="560" w:lineRule="exact"/>
              <w:jc w:val="center"/>
              <w:rPr>
                <w:rFonts w:hint="eastAsia" w:ascii="宋体" w:hAnsi="宋体" w:cs="宋体"/>
                <w:color w:val="auto"/>
                <w:szCs w:val="21"/>
                <w:highlight w:val="none"/>
              </w:rPr>
            </w:pPr>
          </w:p>
        </w:tc>
        <w:tc>
          <w:tcPr>
            <w:tcW w:w="1583" w:type="dxa"/>
            <w:vAlign w:val="center"/>
          </w:tcPr>
          <w:p w14:paraId="1C42C186">
            <w:pPr>
              <w:keepLines w:val="0"/>
              <w:pageBreakBefore w:val="0"/>
              <w:kinsoku/>
              <w:wordWrap/>
              <w:overflowPunct/>
              <w:topLinePunct w:val="0"/>
              <w:bidi w:val="0"/>
              <w:spacing w:line="560" w:lineRule="exact"/>
              <w:jc w:val="center"/>
              <w:rPr>
                <w:rFonts w:hint="eastAsia" w:ascii="宋体" w:hAnsi="宋体" w:cs="宋体"/>
                <w:color w:val="auto"/>
                <w:szCs w:val="21"/>
                <w:highlight w:val="none"/>
              </w:rPr>
            </w:pPr>
          </w:p>
        </w:tc>
        <w:tc>
          <w:tcPr>
            <w:tcW w:w="1583" w:type="dxa"/>
            <w:vAlign w:val="center"/>
          </w:tcPr>
          <w:p w14:paraId="1C167597">
            <w:pPr>
              <w:keepLines w:val="0"/>
              <w:pageBreakBefore w:val="0"/>
              <w:kinsoku/>
              <w:wordWrap/>
              <w:overflowPunct/>
              <w:topLinePunct w:val="0"/>
              <w:bidi w:val="0"/>
              <w:spacing w:line="560" w:lineRule="exact"/>
              <w:jc w:val="center"/>
              <w:rPr>
                <w:rFonts w:hint="eastAsia" w:ascii="宋体" w:hAnsi="宋体" w:cs="宋体"/>
                <w:color w:val="auto"/>
                <w:szCs w:val="21"/>
                <w:highlight w:val="none"/>
              </w:rPr>
            </w:pPr>
          </w:p>
        </w:tc>
      </w:tr>
      <w:tr w14:paraId="0D1B7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10BB88BB">
            <w:pPr>
              <w:keepLines w:val="0"/>
              <w:pageBreakBefore w:val="0"/>
              <w:kinsoku/>
              <w:wordWrap/>
              <w:overflowPunct/>
              <w:topLinePunct w:val="0"/>
              <w:bidi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1957" w:type="dxa"/>
            <w:vAlign w:val="center"/>
          </w:tcPr>
          <w:p w14:paraId="4A7A7656">
            <w:pPr>
              <w:keepLines w:val="0"/>
              <w:pageBreakBefore w:val="0"/>
              <w:kinsoku/>
              <w:wordWrap/>
              <w:overflowPunct/>
              <w:topLinePunct w:val="0"/>
              <w:bidi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主要技术人员</w:t>
            </w:r>
          </w:p>
        </w:tc>
        <w:tc>
          <w:tcPr>
            <w:tcW w:w="1429" w:type="dxa"/>
            <w:vAlign w:val="center"/>
          </w:tcPr>
          <w:p w14:paraId="2AA56860">
            <w:pPr>
              <w:keepLines w:val="0"/>
              <w:pageBreakBefore w:val="0"/>
              <w:kinsoku/>
              <w:wordWrap/>
              <w:overflowPunct/>
              <w:topLinePunct w:val="0"/>
              <w:bidi w:val="0"/>
              <w:spacing w:line="560" w:lineRule="exact"/>
              <w:jc w:val="center"/>
              <w:rPr>
                <w:rFonts w:hint="eastAsia" w:ascii="宋体" w:hAnsi="宋体" w:cs="宋体"/>
                <w:color w:val="auto"/>
                <w:szCs w:val="21"/>
                <w:highlight w:val="none"/>
              </w:rPr>
            </w:pPr>
          </w:p>
        </w:tc>
        <w:tc>
          <w:tcPr>
            <w:tcW w:w="1583" w:type="dxa"/>
            <w:vAlign w:val="center"/>
          </w:tcPr>
          <w:p w14:paraId="4E15DA99">
            <w:pPr>
              <w:keepLines w:val="0"/>
              <w:pageBreakBefore w:val="0"/>
              <w:kinsoku/>
              <w:wordWrap/>
              <w:overflowPunct/>
              <w:topLinePunct w:val="0"/>
              <w:bidi w:val="0"/>
              <w:spacing w:line="560" w:lineRule="exact"/>
              <w:jc w:val="center"/>
              <w:rPr>
                <w:rFonts w:hint="eastAsia" w:ascii="宋体" w:hAnsi="宋体" w:cs="宋体"/>
                <w:color w:val="auto"/>
                <w:szCs w:val="21"/>
                <w:highlight w:val="none"/>
              </w:rPr>
            </w:pPr>
          </w:p>
        </w:tc>
        <w:tc>
          <w:tcPr>
            <w:tcW w:w="1583" w:type="dxa"/>
            <w:vAlign w:val="center"/>
          </w:tcPr>
          <w:p w14:paraId="0D6E7DBE">
            <w:pPr>
              <w:keepLines w:val="0"/>
              <w:pageBreakBefore w:val="0"/>
              <w:kinsoku/>
              <w:wordWrap/>
              <w:overflowPunct/>
              <w:topLinePunct w:val="0"/>
              <w:bidi w:val="0"/>
              <w:spacing w:line="560" w:lineRule="exact"/>
              <w:jc w:val="center"/>
              <w:rPr>
                <w:rFonts w:hint="eastAsia" w:ascii="宋体" w:hAnsi="宋体" w:cs="宋体"/>
                <w:color w:val="auto"/>
                <w:szCs w:val="21"/>
                <w:highlight w:val="none"/>
              </w:rPr>
            </w:pPr>
          </w:p>
        </w:tc>
        <w:tc>
          <w:tcPr>
            <w:tcW w:w="1583" w:type="dxa"/>
            <w:vAlign w:val="center"/>
          </w:tcPr>
          <w:p w14:paraId="14C79CE1">
            <w:pPr>
              <w:keepLines w:val="0"/>
              <w:pageBreakBefore w:val="0"/>
              <w:kinsoku/>
              <w:wordWrap/>
              <w:overflowPunct/>
              <w:topLinePunct w:val="0"/>
              <w:bidi w:val="0"/>
              <w:spacing w:line="560" w:lineRule="exact"/>
              <w:jc w:val="center"/>
              <w:rPr>
                <w:rFonts w:hint="eastAsia" w:ascii="宋体" w:hAnsi="宋体" w:cs="宋体"/>
                <w:color w:val="auto"/>
                <w:szCs w:val="21"/>
                <w:highlight w:val="none"/>
              </w:rPr>
            </w:pPr>
          </w:p>
        </w:tc>
      </w:tr>
      <w:tr w14:paraId="260D2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0E17436D">
            <w:pPr>
              <w:keepLines w:val="0"/>
              <w:pageBreakBefore w:val="0"/>
              <w:kinsoku/>
              <w:wordWrap/>
              <w:overflowPunct/>
              <w:topLinePunct w:val="0"/>
              <w:bidi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1957" w:type="dxa"/>
            <w:vAlign w:val="center"/>
          </w:tcPr>
          <w:p w14:paraId="6580B980">
            <w:pPr>
              <w:keepLines w:val="0"/>
              <w:pageBreakBefore w:val="0"/>
              <w:kinsoku/>
              <w:wordWrap/>
              <w:overflowPunct/>
              <w:topLinePunct w:val="0"/>
              <w:bidi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投标文件编制人员</w:t>
            </w:r>
          </w:p>
        </w:tc>
        <w:tc>
          <w:tcPr>
            <w:tcW w:w="1429" w:type="dxa"/>
            <w:vAlign w:val="center"/>
          </w:tcPr>
          <w:p w14:paraId="0DC84423">
            <w:pPr>
              <w:keepLines w:val="0"/>
              <w:pageBreakBefore w:val="0"/>
              <w:kinsoku/>
              <w:wordWrap/>
              <w:overflowPunct/>
              <w:topLinePunct w:val="0"/>
              <w:bidi w:val="0"/>
              <w:spacing w:line="560" w:lineRule="exact"/>
              <w:jc w:val="center"/>
              <w:rPr>
                <w:rFonts w:hint="eastAsia" w:ascii="宋体" w:hAnsi="宋体" w:cs="宋体"/>
                <w:color w:val="auto"/>
                <w:szCs w:val="21"/>
                <w:highlight w:val="none"/>
              </w:rPr>
            </w:pPr>
          </w:p>
        </w:tc>
        <w:tc>
          <w:tcPr>
            <w:tcW w:w="1583" w:type="dxa"/>
            <w:vAlign w:val="center"/>
          </w:tcPr>
          <w:p w14:paraId="70DD28E2">
            <w:pPr>
              <w:keepLines w:val="0"/>
              <w:pageBreakBefore w:val="0"/>
              <w:kinsoku/>
              <w:wordWrap/>
              <w:overflowPunct/>
              <w:topLinePunct w:val="0"/>
              <w:bidi w:val="0"/>
              <w:spacing w:line="560" w:lineRule="exact"/>
              <w:jc w:val="center"/>
              <w:rPr>
                <w:rFonts w:hint="eastAsia" w:ascii="宋体" w:hAnsi="宋体" w:cs="宋体"/>
                <w:color w:val="auto"/>
                <w:szCs w:val="21"/>
                <w:highlight w:val="none"/>
              </w:rPr>
            </w:pPr>
          </w:p>
        </w:tc>
        <w:tc>
          <w:tcPr>
            <w:tcW w:w="1583" w:type="dxa"/>
            <w:vAlign w:val="center"/>
          </w:tcPr>
          <w:p w14:paraId="3D815362">
            <w:pPr>
              <w:keepLines w:val="0"/>
              <w:pageBreakBefore w:val="0"/>
              <w:kinsoku/>
              <w:wordWrap/>
              <w:overflowPunct/>
              <w:topLinePunct w:val="0"/>
              <w:bidi w:val="0"/>
              <w:spacing w:line="560" w:lineRule="exact"/>
              <w:jc w:val="center"/>
              <w:rPr>
                <w:rFonts w:hint="eastAsia" w:ascii="宋体" w:hAnsi="宋体" w:cs="宋体"/>
                <w:color w:val="auto"/>
                <w:szCs w:val="21"/>
                <w:highlight w:val="none"/>
              </w:rPr>
            </w:pPr>
          </w:p>
        </w:tc>
        <w:tc>
          <w:tcPr>
            <w:tcW w:w="1583" w:type="dxa"/>
            <w:vAlign w:val="center"/>
          </w:tcPr>
          <w:p w14:paraId="65C10C4E">
            <w:pPr>
              <w:keepLines w:val="0"/>
              <w:pageBreakBefore w:val="0"/>
              <w:kinsoku/>
              <w:wordWrap/>
              <w:overflowPunct/>
              <w:topLinePunct w:val="0"/>
              <w:bidi w:val="0"/>
              <w:spacing w:line="560" w:lineRule="exact"/>
              <w:jc w:val="center"/>
              <w:rPr>
                <w:rFonts w:hint="eastAsia" w:ascii="宋体" w:hAnsi="宋体" w:cs="宋体"/>
                <w:color w:val="auto"/>
                <w:szCs w:val="21"/>
                <w:highlight w:val="none"/>
              </w:rPr>
            </w:pPr>
          </w:p>
        </w:tc>
      </w:tr>
      <w:tr w14:paraId="5E2A0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35FB8745">
            <w:pPr>
              <w:keepLines w:val="0"/>
              <w:pageBreakBefore w:val="0"/>
              <w:kinsoku/>
              <w:wordWrap/>
              <w:overflowPunct/>
              <w:topLinePunct w:val="0"/>
              <w:bidi w:val="0"/>
              <w:spacing w:line="560" w:lineRule="exact"/>
              <w:jc w:val="left"/>
              <w:rPr>
                <w:rFonts w:hint="eastAsia" w:ascii="宋体" w:hAnsi="宋体" w:cs="宋体"/>
                <w:color w:val="auto"/>
                <w:szCs w:val="21"/>
                <w:highlight w:val="none"/>
              </w:rPr>
            </w:pPr>
            <w:r>
              <w:rPr>
                <w:rFonts w:hint="eastAsia" w:ascii="宋体" w:hAnsi="宋体" w:cs="宋体"/>
                <w:b/>
                <w:bCs/>
                <w:color w:val="auto"/>
                <w:szCs w:val="21"/>
                <w:highlight w:val="none"/>
              </w:rPr>
              <w:t>说明：同一职务有多人担任（如主要技术人员），应分行填写。</w:t>
            </w:r>
          </w:p>
        </w:tc>
      </w:tr>
      <w:tr w14:paraId="063DE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799D4C5">
            <w:pPr>
              <w:keepLines w:val="0"/>
              <w:pageBreakBefore w:val="0"/>
              <w:kinsoku/>
              <w:wordWrap/>
              <w:overflowPunct/>
              <w:topLinePunct w:val="0"/>
              <w:bidi w:val="0"/>
              <w:spacing w:line="560" w:lineRule="exact"/>
              <w:jc w:val="center"/>
              <w:rPr>
                <w:rFonts w:hint="eastAsia" w:ascii="宋体" w:hAnsi="宋体" w:cs="宋体"/>
                <w:color w:val="auto"/>
                <w:szCs w:val="21"/>
                <w:highlight w:val="none"/>
              </w:rPr>
            </w:pPr>
            <w:r>
              <w:rPr>
                <w:rFonts w:hint="eastAsia" w:ascii="宋体" w:hAnsi="宋体" w:cs="宋体"/>
                <w:b/>
                <w:bCs/>
                <w:color w:val="auto"/>
                <w:szCs w:val="21"/>
                <w:highlight w:val="none"/>
              </w:rPr>
              <w:t>投标（响应）供应商关联关系情况</w:t>
            </w:r>
          </w:p>
        </w:tc>
      </w:tr>
      <w:tr w14:paraId="25FE5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7F1082F4">
            <w:pPr>
              <w:keepLines w:val="0"/>
              <w:pageBreakBefore w:val="0"/>
              <w:kinsoku/>
              <w:wordWrap/>
              <w:overflowPunct/>
              <w:topLinePunct w:val="0"/>
              <w:bidi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3386" w:type="dxa"/>
            <w:gridSpan w:val="2"/>
            <w:vAlign w:val="center"/>
          </w:tcPr>
          <w:p w14:paraId="2FA9E649">
            <w:pPr>
              <w:keepLines w:val="0"/>
              <w:pageBreakBefore w:val="0"/>
              <w:kinsoku/>
              <w:wordWrap/>
              <w:overflowPunct/>
              <w:topLinePunct w:val="0"/>
              <w:bidi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关联关系类型</w:t>
            </w:r>
          </w:p>
        </w:tc>
        <w:tc>
          <w:tcPr>
            <w:tcW w:w="1583" w:type="dxa"/>
            <w:vAlign w:val="center"/>
          </w:tcPr>
          <w:p w14:paraId="482B515D">
            <w:pPr>
              <w:keepLines w:val="0"/>
              <w:pageBreakBefore w:val="0"/>
              <w:kinsoku/>
              <w:wordWrap/>
              <w:overflowPunct/>
              <w:topLinePunct w:val="0"/>
              <w:bidi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关联主体名称</w:t>
            </w:r>
          </w:p>
        </w:tc>
        <w:tc>
          <w:tcPr>
            <w:tcW w:w="3166" w:type="dxa"/>
            <w:gridSpan w:val="2"/>
            <w:vAlign w:val="center"/>
          </w:tcPr>
          <w:p w14:paraId="0F094AD4">
            <w:pPr>
              <w:keepLines w:val="0"/>
              <w:pageBreakBefore w:val="0"/>
              <w:kinsoku/>
              <w:wordWrap/>
              <w:overflowPunct/>
              <w:topLinePunct w:val="0"/>
              <w:bidi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371B4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5CFFE050">
            <w:pPr>
              <w:keepLines w:val="0"/>
              <w:pageBreakBefore w:val="0"/>
              <w:kinsoku/>
              <w:wordWrap/>
              <w:overflowPunct/>
              <w:topLinePunct w:val="0"/>
              <w:bidi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3386" w:type="dxa"/>
            <w:gridSpan w:val="2"/>
            <w:vAlign w:val="center"/>
          </w:tcPr>
          <w:p w14:paraId="3236F6A6">
            <w:pPr>
              <w:keepLines w:val="0"/>
              <w:pageBreakBefore w:val="0"/>
              <w:kinsoku/>
              <w:wordWrap/>
              <w:overflowPunct/>
              <w:topLinePunct w:val="0"/>
              <w:bidi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控股股东</w:t>
            </w:r>
          </w:p>
        </w:tc>
        <w:tc>
          <w:tcPr>
            <w:tcW w:w="1583" w:type="dxa"/>
            <w:vAlign w:val="center"/>
          </w:tcPr>
          <w:p w14:paraId="31407BB0">
            <w:pPr>
              <w:keepLines w:val="0"/>
              <w:pageBreakBefore w:val="0"/>
              <w:kinsoku/>
              <w:wordWrap/>
              <w:overflowPunct/>
              <w:topLinePunct w:val="0"/>
              <w:bidi w:val="0"/>
              <w:spacing w:line="560" w:lineRule="exact"/>
              <w:jc w:val="center"/>
              <w:rPr>
                <w:rFonts w:hint="eastAsia" w:ascii="宋体" w:hAnsi="宋体" w:cs="宋体"/>
                <w:color w:val="auto"/>
                <w:szCs w:val="21"/>
                <w:highlight w:val="none"/>
              </w:rPr>
            </w:pPr>
          </w:p>
        </w:tc>
        <w:tc>
          <w:tcPr>
            <w:tcW w:w="3166" w:type="dxa"/>
            <w:gridSpan w:val="2"/>
            <w:vAlign w:val="center"/>
          </w:tcPr>
          <w:p w14:paraId="57F08B34">
            <w:pPr>
              <w:keepLines w:val="0"/>
              <w:pageBreakBefore w:val="0"/>
              <w:kinsoku/>
              <w:wordWrap/>
              <w:overflowPunct/>
              <w:topLinePunct w:val="0"/>
              <w:bidi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 xml:space="preserve">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 </w:t>
            </w:r>
          </w:p>
          <w:p w14:paraId="1431266B">
            <w:pPr>
              <w:keepLines w:val="0"/>
              <w:pageBreakBefore w:val="0"/>
              <w:kinsoku/>
              <w:wordWrap/>
              <w:overflowPunct/>
              <w:topLinePunct w:val="0"/>
              <w:bidi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影响的股东。</w:t>
            </w:r>
          </w:p>
        </w:tc>
      </w:tr>
      <w:tr w14:paraId="4AC9D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6DC72EA0">
            <w:pPr>
              <w:keepLines w:val="0"/>
              <w:pageBreakBefore w:val="0"/>
              <w:kinsoku/>
              <w:wordWrap/>
              <w:overflowPunct/>
              <w:topLinePunct w:val="0"/>
              <w:bidi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3386" w:type="dxa"/>
            <w:gridSpan w:val="2"/>
            <w:vAlign w:val="center"/>
          </w:tcPr>
          <w:p w14:paraId="26DC527B">
            <w:pPr>
              <w:keepLines w:val="0"/>
              <w:pageBreakBefore w:val="0"/>
              <w:kinsoku/>
              <w:wordWrap/>
              <w:overflowPunct/>
              <w:topLinePunct w:val="0"/>
              <w:bidi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管理关系</w:t>
            </w:r>
          </w:p>
        </w:tc>
        <w:tc>
          <w:tcPr>
            <w:tcW w:w="1583" w:type="dxa"/>
            <w:vAlign w:val="center"/>
          </w:tcPr>
          <w:p w14:paraId="13149C25">
            <w:pPr>
              <w:keepLines w:val="0"/>
              <w:pageBreakBefore w:val="0"/>
              <w:kinsoku/>
              <w:wordWrap/>
              <w:overflowPunct/>
              <w:topLinePunct w:val="0"/>
              <w:bidi w:val="0"/>
              <w:spacing w:line="560" w:lineRule="exact"/>
              <w:jc w:val="center"/>
              <w:rPr>
                <w:rFonts w:hint="eastAsia" w:ascii="宋体" w:hAnsi="宋体" w:cs="宋体"/>
                <w:color w:val="auto"/>
                <w:szCs w:val="21"/>
                <w:highlight w:val="none"/>
              </w:rPr>
            </w:pPr>
          </w:p>
        </w:tc>
        <w:tc>
          <w:tcPr>
            <w:tcW w:w="3166" w:type="dxa"/>
            <w:gridSpan w:val="2"/>
            <w:vAlign w:val="center"/>
          </w:tcPr>
          <w:p w14:paraId="34FA167E">
            <w:pPr>
              <w:keepLines w:val="0"/>
              <w:pageBreakBefore w:val="0"/>
              <w:kinsoku/>
              <w:wordWrap/>
              <w:overflowPunct/>
              <w:topLinePunct w:val="0"/>
              <w:bidi w:val="0"/>
              <w:spacing w:line="560" w:lineRule="exact"/>
              <w:rPr>
                <w:rFonts w:hint="eastAsia" w:ascii="宋体" w:hAnsi="宋体" w:cs="宋体"/>
                <w:color w:val="auto"/>
                <w:szCs w:val="21"/>
                <w:highlight w:val="none"/>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14:paraId="47B44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14:paraId="092EBDE8">
            <w:pPr>
              <w:keepLines w:val="0"/>
              <w:pageBreakBefore w:val="0"/>
              <w:kinsoku/>
              <w:wordWrap/>
              <w:overflowPunct/>
              <w:topLinePunct w:val="0"/>
              <w:bidi w:val="0"/>
              <w:spacing w:line="560" w:lineRule="exact"/>
              <w:jc w:val="left"/>
              <w:rPr>
                <w:rFonts w:hint="eastAsia" w:ascii="宋体" w:hAnsi="宋体" w:cs="宋体"/>
                <w:color w:val="auto"/>
                <w:szCs w:val="21"/>
                <w:highlight w:val="none"/>
              </w:rPr>
            </w:pPr>
            <w:r>
              <w:rPr>
                <w:rFonts w:hint="eastAsia" w:ascii="宋体" w:hAnsi="宋体" w:cs="宋体"/>
                <w:b/>
                <w:bCs/>
                <w:color w:val="auto"/>
                <w:szCs w:val="21"/>
                <w:highlight w:val="none"/>
              </w:rPr>
              <w:t>说明：同一关联关系类型有多个主体的，应分行填写。</w:t>
            </w:r>
          </w:p>
        </w:tc>
      </w:tr>
    </w:tbl>
    <w:p w14:paraId="1CA308F3">
      <w:pPr>
        <w:keepLines w:val="0"/>
        <w:pageBreakBefore w:val="0"/>
        <w:kinsoku/>
        <w:wordWrap/>
        <w:overflowPunct/>
        <w:topLinePunct w:val="0"/>
        <w:bidi w:val="0"/>
        <w:spacing w:line="560" w:lineRule="exact"/>
        <w:rPr>
          <w:rFonts w:hint="eastAsia" w:ascii="宋体" w:hAnsi="宋体" w:cs="宋体"/>
          <w:b/>
          <w:bCs/>
          <w:color w:val="auto"/>
          <w:highlight w:val="none"/>
        </w:rPr>
      </w:pPr>
      <w:r>
        <w:rPr>
          <w:rFonts w:hint="eastAsia" w:ascii="宋体" w:hAnsi="宋体" w:cs="宋体"/>
          <w:b/>
          <w:bCs/>
          <w:color w:val="auto"/>
          <w:highlight w:val="none"/>
        </w:rPr>
        <w:t>备注：</w:t>
      </w:r>
    </w:p>
    <w:p w14:paraId="3B3ABCB7">
      <w:pPr>
        <w:keepLines w:val="0"/>
        <w:pageBreakBefore w:val="0"/>
        <w:kinsoku/>
        <w:wordWrap/>
        <w:overflowPunct/>
        <w:topLinePunct w:val="0"/>
        <w:bidi w:val="0"/>
        <w:spacing w:line="560" w:lineRule="exact"/>
        <w:rPr>
          <w:rFonts w:hint="eastAsia" w:ascii="宋体" w:hAnsi="宋体" w:cs="宋体"/>
          <w:b/>
          <w:bCs/>
          <w:color w:val="auto"/>
          <w:highlight w:val="none"/>
        </w:rPr>
      </w:pPr>
      <w:r>
        <w:rPr>
          <w:rFonts w:hint="eastAsia" w:ascii="宋体" w:hAnsi="宋体" w:cs="宋体"/>
          <w:b/>
          <w:bCs/>
          <w:color w:val="auto"/>
          <w:highlight w:val="none"/>
        </w:rPr>
        <w:t>1.本表中填报的人员姓名、身份证号码、缴纳社会保险单位应与社保证明材料中显示的信息相同。</w:t>
      </w:r>
    </w:p>
    <w:p w14:paraId="7D8E6303">
      <w:pPr>
        <w:keepLines w:val="0"/>
        <w:pageBreakBefore w:val="0"/>
        <w:kinsoku/>
        <w:wordWrap/>
        <w:overflowPunct/>
        <w:topLinePunct w:val="0"/>
        <w:bidi w:val="0"/>
        <w:spacing w:line="560" w:lineRule="exact"/>
        <w:rPr>
          <w:rFonts w:hint="eastAsia" w:ascii="宋体" w:hAnsi="宋体" w:cs="宋体"/>
          <w:b/>
          <w:bCs/>
          <w:color w:val="auto"/>
          <w:highlight w:val="none"/>
        </w:rPr>
      </w:pPr>
      <w:r>
        <w:rPr>
          <w:rFonts w:hint="eastAsia" w:ascii="宋体" w:hAnsi="宋体" w:cs="宋体"/>
          <w:b/>
          <w:bCs/>
          <w:color w:val="auto"/>
          <w:highlight w:val="none"/>
        </w:rPr>
        <w:t>2.投标（响应）供应商未按要求填报《供应商基本情况表》或未加盖公章或未按要求提供证明材料的，将按投标（响应）无效处理。</w:t>
      </w:r>
    </w:p>
    <w:p w14:paraId="2554907B">
      <w:pPr>
        <w:keepLines w:val="0"/>
        <w:pageBreakBefore w:val="0"/>
        <w:kinsoku/>
        <w:wordWrap/>
        <w:overflowPunct/>
        <w:topLinePunct w:val="0"/>
        <w:bidi w:val="0"/>
        <w:spacing w:line="560" w:lineRule="exact"/>
        <w:rPr>
          <w:rFonts w:hint="eastAsia" w:ascii="宋体" w:hAnsi="宋体" w:cs="宋体"/>
          <w:color w:val="auto"/>
          <w:sz w:val="30"/>
          <w:szCs w:val="30"/>
          <w:highlight w:val="none"/>
        </w:rPr>
      </w:pPr>
      <w:r>
        <w:rPr>
          <w:rFonts w:hint="eastAsia" w:ascii="宋体" w:hAnsi="宋体" w:cs="宋体"/>
          <w:color w:val="auto"/>
          <w:sz w:val="30"/>
          <w:szCs w:val="30"/>
          <w:highlight w:val="none"/>
        </w:rPr>
        <w:br w:type="page"/>
      </w:r>
    </w:p>
    <w:p w14:paraId="5F627B38">
      <w:pPr>
        <w:pStyle w:val="3"/>
        <w:keepNext w:val="0"/>
        <w:keepLines w:val="0"/>
        <w:pageBreakBefore w:val="0"/>
        <w:widowControl w:val="0"/>
        <w:kinsoku/>
        <w:wordWrap/>
        <w:overflowPunct/>
        <w:topLinePunct w:val="0"/>
        <w:bidi w:val="0"/>
        <w:adjustRightInd/>
        <w:snapToGrid/>
        <w:spacing w:line="500" w:lineRule="exact"/>
        <w:ind w:left="420" w:hanging="420"/>
        <w:jc w:val="center"/>
        <w:textAlignment w:val="auto"/>
        <w:rPr>
          <w:rFonts w:hint="eastAsia" w:ascii="宋体" w:hAnsi="宋体" w:cs="宋体"/>
          <w:color w:val="auto"/>
          <w:kern w:val="0"/>
          <w:sz w:val="44"/>
          <w:szCs w:val="44"/>
          <w:highlight w:val="none"/>
          <w:lang w:bidi="ar"/>
        </w:rPr>
      </w:pPr>
      <w:bookmarkStart w:id="15" w:name="_Toc14311"/>
      <w:bookmarkStart w:id="16" w:name="_Toc17532"/>
      <w:r>
        <w:rPr>
          <w:rFonts w:hint="eastAsia" w:ascii="宋体" w:hAnsi="宋体" w:cs="宋体"/>
          <w:color w:val="auto"/>
          <w:kern w:val="0"/>
          <w:sz w:val="44"/>
          <w:szCs w:val="44"/>
          <w:highlight w:val="none"/>
          <w:lang w:bidi="ar"/>
        </w:rPr>
        <w:t>提供社会保险证明</w:t>
      </w:r>
      <w:bookmarkEnd w:id="15"/>
      <w:bookmarkEnd w:id="16"/>
    </w:p>
    <w:p w14:paraId="78F720F4">
      <w:pPr>
        <w:pStyle w:val="23"/>
        <w:keepNext w:val="0"/>
        <w:keepLines w:val="0"/>
        <w:pageBreakBefore w:val="0"/>
        <w:widowControl w:val="0"/>
        <w:kinsoku/>
        <w:wordWrap/>
        <w:overflowPunct/>
        <w:topLinePunct w:val="0"/>
        <w:bidi w:val="0"/>
        <w:adjustRightInd/>
        <w:snapToGrid/>
        <w:spacing w:line="500" w:lineRule="exact"/>
        <w:textAlignment w:val="auto"/>
        <w:rPr>
          <w:color w:val="auto"/>
          <w:highlight w:val="none"/>
        </w:rPr>
      </w:pPr>
    </w:p>
    <w:p w14:paraId="466FBE04">
      <w:pPr>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提供法定代表人最近一个月的社保证明：</w:t>
      </w:r>
    </w:p>
    <w:p w14:paraId="5BCBDFBA">
      <w:pPr>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提供主要经营负责人最近一个月的社保证明：</w:t>
      </w:r>
    </w:p>
    <w:p w14:paraId="42669F68">
      <w:pPr>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项目投标授权代表人最近一个月的社保证明：</w:t>
      </w:r>
    </w:p>
    <w:p w14:paraId="6881C9A7">
      <w:pPr>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提供项目负责人最近一个月的社保证明（如有）：</w:t>
      </w:r>
    </w:p>
    <w:p w14:paraId="77006439">
      <w:pPr>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提供主要技术人员最近一个月的社保证明（如有）：</w:t>
      </w:r>
    </w:p>
    <w:p w14:paraId="02E4E906">
      <w:pPr>
        <w:keepNext w:val="0"/>
        <w:keepLines w:val="0"/>
        <w:pageBreakBefore w:val="0"/>
        <w:widowControl w:val="0"/>
        <w:kinsoku/>
        <w:wordWrap/>
        <w:overflowPunct/>
        <w:topLinePunct w:val="0"/>
        <w:bidi w:val="0"/>
        <w:adjustRightInd/>
        <w:snapToGrid/>
        <w:spacing w:line="500" w:lineRule="exact"/>
        <w:textAlignment w:val="auto"/>
        <w:rPr>
          <w:rFonts w:hint="eastAsia" w:ascii="宋体" w:hAnsi="宋体"/>
          <w:color w:val="auto"/>
          <w:sz w:val="28"/>
          <w:szCs w:val="28"/>
          <w:highlight w:val="none"/>
        </w:rPr>
      </w:pPr>
    </w:p>
    <w:p w14:paraId="11E82BB8">
      <w:pPr>
        <w:pStyle w:val="7"/>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color w:val="auto"/>
          <w:sz w:val="28"/>
          <w:szCs w:val="28"/>
          <w:highlight w:val="none"/>
        </w:rPr>
      </w:pPr>
      <w:r>
        <w:rPr>
          <w:rFonts w:hint="eastAsia"/>
          <w:color w:val="auto"/>
          <w:sz w:val="28"/>
          <w:szCs w:val="28"/>
          <w:highlight w:val="none"/>
        </w:rPr>
        <w:t>注：</w:t>
      </w:r>
    </w:p>
    <w:p w14:paraId="32554A06">
      <w:pPr>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1.法定代表人、主要经营负责人、项目投标授权代表人的社会保险未由投标人单位缴纳，亦须提供相应单位为其缴纳的社会保险证明（须体现投标人的单位信息）。</w:t>
      </w:r>
    </w:p>
    <w:p w14:paraId="31C8DFBF">
      <w:pPr>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2.项目负责人和主要技术人员的社会保险须由投标人单位缴纳（须体现投标人的单位信息）。</w:t>
      </w:r>
    </w:p>
    <w:p w14:paraId="7E90289C">
      <w:pPr>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3.投标人为新成立企业且成立时间不足一个月可提供加盖投标人公章的情况说明或者证明材料亦视为符合。</w:t>
      </w:r>
    </w:p>
    <w:p w14:paraId="532D822B">
      <w:pPr>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4.由于社保部门或税务部门的原因最近一个月的社保证明无法提供的可往前顺延一个月。</w:t>
      </w:r>
    </w:p>
    <w:p w14:paraId="13EB7F78">
      <w:pPr>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5.如依法不需要缴纳社会保险的，应提供相应文件证明；如为退休返聘人员提供退休证明和聘用合同。</w:t>
      </w:r>
    </w:p>
    <w:p w14:paraId="2C27E8E6">
      <w:pPr>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6.若因社保部门原因无法提供的，需提供劳动合同及社保部门官方通知证明（或官网公告截图）。</w:t>
      </w:r>
    </w:p>
    <w:p w14:paraId="14E64FF5">
      <w:pPr>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7.如本项目未安排项目负责人、主要技术人员的，无需提供项目负责人、主要技术人员的社会保险证明。</w:t>
      </w:r>
    </w:p>
    <w:p w14:paraId="26AE89C7">
      <w:pPr>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br w:type="page"/>
      </w:r>
    </w:p>
    <w:p w14:paraId="6CFB8516">
      <w:pPr>
        <w:keepLines w:val="0"/>
        <w:pageBreakBefore w:val="0"/>
        <w:kinsoku/>
        <w:wordWrap/>
        <w:overflowPunct/>
        <w:topLinePunct w:val="0"/>
        <w:bidi w:val="0"/>
        <w:spacing w:line="560" w:lineRule="exact"/>
        <w:jc w:val="both"/>
        <w:rPr>
          <w:rFonts w:hint="eastAsia" w:ascii="宋体" w:hAnsi="宋体" w:cs="宋体"/>
          <w:b/>
          <w:bCs/>
          <w:color w:val="auto"/>
          <w:sz w:val="44"/>
          <w:szCs w:val="44"/>
          <w:highlight w:val="none"/>
        </w:rPr>
      </w:pPr>
    </w:p>
    <w:p w14:paraId="6F13673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黑体"/>
          <w:color w:val="auto"/>
          <w:sz w:val="32"/>
          <w:szCs w:val="32"/>
          <w:highlight w:val="none"/>
        </w:rPr>
      </w:pPr>
      <w:r>
        <w:rPr>
          <w:rFonts w:hint="eastAsia" w:ascii="宋体" w:hAnsi="宋体" w:cs="宋体"/>
          <w:b/>
          <w:bCs/>
          <w:color w:val="auto"/>
          <w:sz w:val="44"/>
          <w:szCs w:val="44"/>
          <w:highlight w:val="none"/>
        </w:rPr>
        <w:t>政府采购优惠政策（根据实际情况提供）</w:t>
      </w:r>
    </w:p>
    <w:p w14:paraId="23BB127E">
      <w:pPr>
        <w:pStyle w:val="4"/>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ascii="黑体" w:hAnsi="黑体" w:eastAsia="黑体" w:cs="黑体"/>
          <w:bCs/>
          <w:color w:val="auto"/>
          <w:sz w:val="28"/>
          <w:szCs w:val="28"/>
          <w:highlight w:val="none"/>
        </w:rPr>
      </w:pPr>
      <w:r>
        <w:rPr>
          <w:rFonts w:ascii="黑体" w:hAnsi="黑体" w:eastAsia="黑体" w:cs="黑体"/>
          <w:color w:val="auto"/>
          <w:sz w:val="28"/>
          <w:szCs w:val="28"/>
          <w:highlight w:val="none"/>
        </w:rPr>
        <w:t>一、投标人情况及资格证明文件</w:t>
      </w:r>
    </w:p>
    <w:p w14:paraId="455A1854">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outlineLvl w:val="3"/>
        <w:rPr>
          <w:rFonts w:hint="eastAsia" w:ascii="楷体" w:hAnsi="楷体" w:eastAsia="楷体" w:cs="楷体"/>
          <w:bCs/>
          <w:color w:val="auto"/>
          <w:sz w:val="28"/>
          <w:szCs w:val="28"/>
          <w:highlight w:val="none"/>
        </w:rPr>
      </w:pPr>
      <w:r>
        <w:rPr>
          <w:rFonts w:hint="eastAsia" w:ascii="楷体" w:hAnsi="楷体" w:eastAsia="楷体" w:cs="楷体"/>
          <w:bCs/>
          <w:color w:val="auto"/>
          <w:sz w:val="28"/>
          <w:szCs w:val="28"/>
          <w:highlight w:val="none"/>
        </w:rPr>
        <w:t>（一）投标人资格证明文件</w:t>
      </w:r>
    </w:p>
    <w:p w14:paraId="3AB84B6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eastAsia="仿宋_GB2312"/>
          <w:b/>
          <w:bCs/>
          <w:color w:val="auto"/>
          <w:sz w:val="28"/>
          <w:szCs w:val="28"/>
          <w:highlight w:val="none"/>
        </w:rPr>
      </w:pPr>
      <w:r>
        <w:rPr>
          <w:rFonts w:hint="eastAsia" w:ascii="仿宋_GB2312" w:hAnsi="仿宋_GB2312" w:eastAsia="仿宋_GB2312" w:cs="仿宋_GB2312"/>
          <w:color w:val="auto"/>
          <w:sz w:val="28"/>
          <w:szCs w:val="28"/>
          <w:highlight w:val="none"/>
        </w:rPr>
        <w:t>[特别提示：投标人须按本招标文件第一册第一章招标公告“申请人的资格要求”（即投标人资格要求）提供相关的资格证明资料，未提供或提供不完整、不符合要求的，将作投标无效处理]</w:t>
      </w:r>
    </w:p>
    <w:p w14:paraId="266DF5E0">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outlineLvl w:val="3"/>
        <w:rPr>
          <w:rFonts w:hint="eastAsia" w:ascii="楷体" w:hAnsi="楷体" w:eastAsia="楷体" w:cs="楷体"/>
          <w:bCs/>
          <w:color w:val="auto"/>
          <w:sz w:val="28"/>
          <w:szCs w:val="28"/>
          <w:highlight w:val="none"/>
        </w:rPr>
      </w:pPr>
      <w:r>
        <w:rPr>
          <w:rFonts w:hint="eastAsia" w:ascii="楷体" w:hAnsi="楷体" w:eastAsia="楷体" w:cs="楷体"/>
          <w:bCs/>
          <w:color w:val="auto"/>
          <w:sz w:val="28"/>
          <w:szCs w:val="28"/>
          <w:highlight w:val="none"/>
        </w:rPr>
        <w:t>（二）中小企业声明函、残疾人福利性单位声明函及监狱企业声明函</w:t>
      </w:r>
    </w:p>
    <w:p w14:paraId="46F621C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填写指引：</w:t>
      </w:r>
    </w:p>
    <w:p w14:paraId="4701E0D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0E5ED4F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2.该部分内容填写需要参考的相关文件：</w:t>
      </w:r>
    </w:p>
    <w:p w14:paraId="6016B4B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（1）财政部《政府采购促进中小企业发展管理办法》（财库〔2020〕46号）；</w:t>
      </w:r>
    </w:p>
    <w:p w14:paraId="6AB39C1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（2）《工业和信息化部、国家统计局、国家发展和改革委员会、财政部关于印发中小企业划型标准规定的通知》（工信部联企业〔2011〕300号，以下简称300号文）；</w:t>
      </w:r>
    </w:p>
    <w:p w14:paraId="4888A89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（3）《政府采购促进中小企业发展管理办法》（财库〔2020〕46号）；</w:t>
      </w:r>
    </w:p>
    <w:p w14:paraId="71BA422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（4）《关于印发中小企业划型标准规定的通知》（工信部联企业〔2011〕300号）；</w:t>
      </w:r>
    </w:p>
    <w:p w14:paraId="4BF5BE67">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color w:val="auto"/>
          <w:sz w:val="28"/>
          <w:szCs w:val="28"/>
          <w:highlight w:val="none"/>
        </w:rPr>
      </w:pPr>
      <w:r>
        <w:rPr>
          <w:rFonts w:hint="eastAsia" w:ascii="仿宋_GB2312" w:hAnsi="仿宋_GB2312" w:eastAsia="仿宋_GB2312" w:cs="仿宋_GB2312"/>
          <w:color w:val="auto"/>
          <w:sz w:val="28"/>
          <w:szCs w:val="28"/>
          <w:highlight w:val="none"/>
        </w:rPr>
        <w:t>（5）《统计上大中小微型企业划分办法（2017）》（国统字〔2017〕213号）；</w:t>
      </w:r>
    </w:p>
    <w:p w14:paraId="319CAFE5">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（6）《关于促进残疾人就业政府采购政策的通知》（财库〔2017〕141号）；</w:t>
      </w:r>
    </w:p>
    <w:p w14:paraId="103E9571">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（7）《关于政府采购支持监狱企业发展有关问题的通知》（财库〔2014〕68号）。</w:t>
      </w:r>
    </w:p>
    <w:p w14:paraId="2ED07803">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3.请依照提供的格式和内容填写声明函，不要随意变更格式；声明函不需要盖章或签字；满足多项优惠政策的投标人，不重复享受多项价格扣除政策。</w:t>
      </w:r>
    </w:p>
    <w:p w14:paraId="72F1F5D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4.声明函具体填写要求：</w:t>
      </w:r>
    </w:p>
    <w:p w14:paraId="30F9C9E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（1）声明是中小企业须填写《中小企业声明函》的以下内容：</w:t>
      </w:r>
    </w:p>
    <w:p w14:paraId="07607C1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第一处，在“单位名称”下划线处如实填写采购人名称（深圳公共资源交易中心不是本项目的采购人，而是组织实施机构）；</w:t>
      </w:r>
    </w:p>
    <w:p w14:paraId="3C14E86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第二处，在“项目名称”下划线处如实填写采购项目名称；</w:t>
      </w:r>
    </w:p>
    <w:p w14:paraId="6DB1B8D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第三处，在“标的名称”下划线处填写所采购货物（标的）的具体名称；如果涉及多项货物（标的）为同一企业制造，“标的名称”下划线处可以如实填写多项货物；</w:t>
      </w:r>
    </w:p>
    <w:p w14:paraId="0600D58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第四处，在“招标文件中明确的所属行业”下划线处填写采购标的对应的中小企业划分标准所属行业；</w:t>
      </w:r>
    </w:p>
    <w:p w14:paraId="46016C3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14:paraId="5AC9D58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（2）声明：残疾人福利性单位须填写《残疾人福利性单位声明函》的相关内容，具体参照以上《中小企业声明函》填写要求执行。</w:t>
      </w:r>
    </w:p>
    <w:p w14:paraId="3FB20F2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（3）声明：监狱企业须填写《监狱企业声明函》的三项内容（填写位置的字体已加粗），具体参照以上《中小企业声明函》填写要求执行。</w:t>
      </w:r>
    </w:p>
    <w:p w14:paraId="3537737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5.声明函的有效性最终由评审委员会判定；如评审委员会判定声明函无效，相关供应商不享受价格扣除（但不作投标无效处理）。</w:t>
      </w:r>
    </w:p>
    <w:p w14:paraId="1F29A357">
      <w:pPr>
        <w:pStyle w:val="4"/>
        <w:keepLines w:val="0"/>
        <w:pageBreakBefore w:val="0"/>
        <w:kinsoku/>
        <w:wordWrap/>
        <w:overflowPunct/>
        <w:topLinePunct w:val="0"/>
        <w:bidi w:val="0"/>
        <w:spacing w:beforeAutospacing="0" w:afterAutospacing="0" w:line="560" w:lineRule="exact"/>
        <w:ind w:firstLine="560" w:firstLineChars="200"/>
        <w:jc w:val="both"/>
        <w:rPr>
          <w:rFonts w:ascii="黑体" w:hAnsi="黑体" w:eastAsia="黑体" w:cs="黑体"/>
          <w:color w:val="auto"/>
          <w:sz w:val="28"/>
          <w:szCs w:val="28"/>
          <w:highlight w:val="none"/>
        </w:rPr>
      </w:pPr>
    </w:p>
    <w:p w14:paraId="116C2EF5">
      <w:pPr>
        <w:pStyle w:val="4"/>
        <w:keepLines w:val="0"/>
        <w:pageBreakBefore w:val="0"/>
        <w:kinsoku/>
        <w:wordWrap/>
        <w:overflowPunct/>
        <w:topLinePunct w:val="0"/>
        <w:bidi w:val="0"/>
        <w:spacing w:beforeAutospacing="0" w:afterAutospacing="0" w:line="560" w:lineRule="exact"/>
        <w:jc w:val="both"/>
        <w:rPr>
          <w:rFonts w:hint="eastAsia"/>
          <w:b/>
          <w:color w:val="auto"/>
          <w:sz w:val="36"/>
          <w:szCs w:val="36"/>
          <w:highlight w:val="none"/>
        </w:rPr>
      </w:pPr>
      <w:r>
        <w:rPr>
          <w:rFonts w:ascii="黑体" w:hAnsi="黑体" w:eastAsia="黑体" w:cs="黑体"/>
          <w:color w:val="auto"/>
          <w:sz w:val="28"/>
          <w:szCs w:val="28"/>
          <w:highlight w:val="none"/>
        </w:rPr>
        <w:t>二、相关模板</w:t>
      </w:r>
    </w:p>
    <w:p w14:paraId="4175D641">
      <w:pPr>
        <w:pStyle w:val="6"/>
        <w:keepLines w:val="0"/>
        <w:pageBreakBefore w:val="0"/>
        <w:kinsoku/>
        <w:wordWrap/>
        <w:overflowPunct/>
        <w:topLinePunct w:val="0"/>
        <w:bidi w:val="0"/>
        <w:adjustRightInd w:val="0"/>
        <w:snapToGrid w:val="0"/>
        <w:spacing w:line="560" w:lineRule="exact"/>
        <w:ind w:firstLine="0"/>
        <w:jc w:val="center"/>
        <w:outlineLvl w:val="3"/>
        <w:rPr>
          <w:rFonts w:hint="eastAsia" w:ascii="仿宋_GB2312" w:hAnsi="仿宋_GB2312" w:eastAsia="仿宋_GB2312" w:cs="仿宋_GB2312"/>
          <w:b/>
          <w:color w:val="auto"/>
          <w:kern w:val="2"/>
          <w:sz w:val="36"/>
          <w:szCs w:val="36"/>
          <w:highlight w:val="none"/>
          <w:lang w:val="en-US" w:eastAsia="zh-CN" w:bidi="ar-SA"/>
        </w:rPr>
      </w:pPr>
      <w:r>
        <w:rPr>
          <w:rFonts w:hint="eastAsia" w:ascii="仿宋_GB2312" w:hAnsi="仿宋_GB2312" w:eastAsia="仿宋_GB2312" w:cs="仿宋_GB2312"/>
          <w:b/>
          <w:color w:val="auto"/>
          <w:kern w:val="2"/>
          <w:sz w:val="36"/>
          <w:szCs w:val="36"/>
          <w:highlight w:val="none"/>
          <w:lang w:val="en-US" w:eastAsia="zh-CN" w:bidi="ar-SA"/>
        </w:rPr>
        <w:t>（一）中小企业声明函</w:t>
      </w:r>
    </w:p>
    <w:p w14:paraId="7675643A">
      <w:pPr>
        <w:pStyle w:val="7"/>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14:paraId="3C4E37E8">
      <w:pPr>
        <w:pStyle w:val="7"/>
        <w:keepLines w:val="0"/>
        <w:pageBreakBefore w:val="0"/>
        <w:kinsoku/>
        <w:wordWrap/>
        <w:overflowPunct/>
        <w:topLinePunct w:val="0"/>
        <w:bidi w:val="0"/>
        <w:spacing w:line="560" w:lineRule="exact"/>
        <w:ind w:firstLine="64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 1.</w:t>
      </w:r>
      <w:r>
        <w:rPr>
          <w:rFonts w:hint="eastAsia" w:ascii="仿宋_GB2312" w:hAnsi="仿宋_GB2312" w:eastAsia="仿宋_GB2312" w:cs="仿宋_GB2312"/>
          <w:color w:val="auto"/>
          <w:kern w:val="2"/>
          <w:sz w:val="28"/>
          <w:szCs w:val="28"/>
          <w:highlight w:val="none"/>
          <w:u w:val="single"/>
          <w:lang w:val="en-US" w:eastAsia="zh-CN" w:bidi="ar-SA"/>
        </w:rPr>
        <w:t xml:space="preserve"> （采购标的名称）</w:t>
      </w:r>
      <w:r>
        <w:rPr>
          <w:rFonts w:hint="eastAsia" w:ascii="仿宋_GB2312" w:hAnsi="仿宋_GB2312" w:eastAsia="仿宋_GB2312" w:cs="仿宋_GB2312"/>
          <w:color w:val="auto"/>
          <w:kern w:val="2"/>
          <w:sz w:val="28"/>
          <w:szCs w:val="28"/>
          <w:highlight w:val="none"/>
          <w:lang w:val="en-US" w:eastAsia="zh-CN" w:bidi="ar-SA"/>
        </w:rPr>
        <w:t>，属于</w:t>
      </w:r>
      <w:r>
        <w:rPr>
          <w:rFonts w:hint="eastAsia" w:ascii="仿宋_GB2312" w:hAnsi="仿宋_GB2312" w:eastAsia="仿宋_GB2312" w:cs="仿宋_GB2312"/>
          <w:color w:val="auto"/>
          <w:kern w:val="2"/>
          <w:sz w:val="28"/>
          <w:szCs w:val="28"/>
          <w:highlight w:val="none"/>
          <w:u w:val="single"/>
          <w:lang w:val="en-US" w:eastAsia="zh-CN" w:bidi="ar-SA"/>
        </w:rPr>
        <w:t xml:space="preserve"> 工业 </w:t>
      </w:r>
      <w:r>
        <w:rPr>
          <w:rFonts w:hint="eastAsia" w:ascii="仿宋_GB2312" w:hAnsi="仿宋_GB2312" w:eastAsia="仿宋_GB2312" w:cs="仿宋_GB2312"/>
          <w:color w:val="auto"/>
          <w:kern w:val="2"/>
          <w:sz w:val="28"/>
          <w:szCs w:val="28"/>
          <w:highlight w:val="none"/>
          <w:lang w:val="en-US" w:eastAsia="zh-CN" w:bidi="ar-SA"/>
        </w:rPr>
        <w:t>行业；制造商为</w:t>
      </w:r>
      <w:r>
        <w:rPr>
          <w:rFonts w:hint="eastAsia" w:ascii="仿宋_GB2312" w:hAnsi="仿宋_GB2312" w:eastAsia="仿宋_GB2312" w:cs="仿宋_GB2312"/>
          <w:color w:val="auto"/>
          <w:kern w:val="2"/>
          <w:sz w:val="28"/>
          <w:szCs w:val="28"/>
          <w:highlight w:val="none"/>
          <w:u w:val="single"/>
          <w:lang w:val="en-US" w:eastAsia="zh-CN" w:bidi="ar-SA"/>
        </w:rPr>
        <w:t>（企业名称）</w:t>
      </w:r>
      <w:r>
        <w:rPr>
          <w:rFonts w:hint="eastAsia" w:ascii="仿宋_GB2312" w:hAnsi="仿宋_GB2312" w:eastAsia="仿宋_GB2312" w:cs="仿宋_GB2312"/>
          <w:color w:val="auto"/>
          <w:kern w:val="2"/>
          <w:sz w:val="28"/>
          <w:szCs w:val="28"/>
          <w:highlight w:val="none"/>
          <w:lang w:val="en-US" w:eastAsia="zh-CN" w:bidi="ar-SA"/>
        </w:rPr>
        <w:t>，从业人员</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single"/>
          <w:lang w:val="en-US" w:eastAsia="zh-CN" w:bidi="ar-SA"/>
        </w:rPr>
        <w:tab/>
      </w:r>
      <w:r>
        <w:rPr>
          <w:rFonts w:hint="eastAsia" w:ascii="仿宋_GB2312" w:hAnsi="仿宋_GB2312" w:eastAsia="仿宋_GB2312" w:cs="仿宋_GB2312"/>
          <w:color w:val="auto"/>
          <w:kern w:val="2"/>
          <w:sz w:val="28"/>
          <w:szCs w:val="28"/>
          <w:highlight w:val="none"/>
          <w:lang w:val="en-US" w:eastAsia="zh-CN" w:bidi="ar-SA"/>
        </w:rPr>
        <w:t>人，营业收入为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single"/>
          <w:lang w:val="en-US" w:eastAsia="zh-CN" w:bidi="ar-SA"/>
        </w:rPr>
        <w:tab/>
      </w:r>
      <w:r>
        <w:rPr>
          <w:rFonts w:hint="eastAsia" w:ascii="仿宋_GB2312" w:hAnsi="仿宋_GB2312" w:eastAsia="仿宋_GB2312" w:cs="仿宋_GB2312"/>
          <w:color w:val="auto"/>
          <w:kern w:val="2"/>
          <w:sz w:val="28"/>
          <w:szCs w:val="28"/>
          <w:highlight w:val="none"/>
          <w:lang w:val="en-US" w:eastAsia="zh-CN" w:bidi="ar-SA"/>
        </w:rPr>
        <w:t>万元，资产总额为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single"/>
          <w:lang w:val="en-US" w:eastAsia="zh-CN" w:bidi="ar-SA"/>
        </w:rPr>
        <w:tab/>
      </w:r>
      <w:r>
        <w:rPr>
          <w:rFonts w:hint="eastAsia" w:ascii="仿宋_GB2312" w:hAnsi="仿宋_GB2312" w:eastAsia="仿宋_GB2312" w:cs="仿宋_GB2312"/>
          <w:color w:val="auto"/>
          <w:kern w:val="2"/>
          <w:sz w:val="28"/>
          <w:szCs w:val="28"/>
          <w:highlight w:val="none"/>
          <w:lang w:val="en-US" w:eastAsia="zh-CN" w:bidi="ar-SA"/>
        </w:rPr>
        <w:t>万元，属于</w:t>
      </w:r>
      <w:r>
        <w:rPr>
          <w:rFonts w:hint="eastAsia" w:ascii="仿宋_GB2312" w:hAnsi="仿宋_GB2312" w:eastAsia="仿宋_GB2312" w:cs="仿宋_GB2312"/>
          <w:color w:val="auto"/>
          <w:kern w:val="2"/>
          <w:sz w:val="28"/>
          <w:szCs w:val="28"/>
          <w:highlight w:val="none"/>
          <w:u w:val="single"/>
          <w:lang w:val="en-US" w:eastAsia="zh-CN" w:bidi="ar-SA"/>
        </w:rPr>
        <w:t>（中型企业、小型企业、微型企业）</w:t>
      </w:r>
      <w:r>
        <w:rPr>
          <w:rFonts w:hint="eastAsia" w:ascii="仿宋_GB2312" w:hAnsi="仿宋_GB2312" w:eastAsia="仿宋_GB2312" w:cs="仿宋_GB2312"/>
          <w:color w:val="auto"/>
          <w:kern w:val="2"/>
          <w:sz w:val="28"/>
          <w:szCs w:val="28"/>
          <w:highlight w:val="none"/>
          <w:lang w:val="en-US" w:eastAsia="zh-CN" w:bidi="ar-SA"/>
        </w:rPr>
        <w:t>；</w:t>
      </w:r>
    </w:p>
    <w:p w14:paraId="621189A8">
      <w:pPr>
        <w:pStyle w:val="7"/>
        <w:keepLines w:val="0"/>
        <w:pageBreakBefore w:val="0"/>
        <w:kinsoku/>
        <w:wordWrap/>
        <w:overflowPunct/>
        <w:topLinePunct w:val="0"/>
        <w:bidi w:val="0"/>
        <w:spacing w:line="560" w:lineRule="exact"/>
        <w:ind w:firstLine="645"/>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以上企业，不属于大企业的分支机构，不存在控股股东为大企业的情形，也不存在与大企业的负责人为同一人的情形。</w:t>
      </w:r>
    </w:p>
    <w:p w14:paraId="4AEBA9D2">
      <w:pPr>
        <w:pStyle w:val="7"/>
        <w:keepLines w:val="0"/>
        <w:pageBreakBefore w:val="0"/>
        <w:kinsoku/>
        <w:wordWrap/>
        <w:overflowPunct/>
        <w:topLinePunct w:val="0"/>
        <w:bidi w:val="0"/>
        <w:spacing w:line="560" w:lineRule="exact"/>
        <w:ind w:firstLine="645"/>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本企业对上述声明内容的真实性负责。如有虚假，将依法承担相应责任。</w:t>
      </w:r>
    </w:p>
    <w:p w14:paraId="3F870267">
      <w:pPr>
        <w:pStyle w:val="7"/>
        <w:keepLines w:val="0"/>
        <w:pageBreakBefore w:val="0"/>
        <w:kinsoku/>
        <w:wordWrap/>
        <w:overflowPunct/>
        <w:topLinePunct w:val="0"/>
        <w:bidi w:val="0"/>
        <w:spacing w:line="560" w:lineRule="exact"/>
        <w:ind w:firstLine="645"/>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                                  </w:t>
      </w:r>
    </w:p>
    <w:p w14:paraId="3E9B2724">
      <w:pPr>
        <w:pStyle w:val="7"/>
        <w:keepLines w:val="0"/>
        <w:pageBreakBefore w:val="0"/>
        <w:kinsoku/>
        <w:wordWrap/>
        <w:overflowPunct/>
        <w:topLinePunct w:val="0"/>
        <w:bidi w:val="0"/>
        <w:spacing w:line="560" w:lineRule="exact"/>
        <w:ind w:firstLine="645"/>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                                      企业名称（盖章）：</w:t>
      </w:r>
    </w:p>
    <w:p w14:paraId="0B9A4BA0">
      <w:pPr>
        <w:pStyle w:val="7"/>
        <w:keepLines w:val="0"/>
        <w:pageBreakBefore w:val="0"/>
        <w:kinsoku/>
        <w:wordWrap/>
        <w:overflowPunct/>
        <w:topLinePunct w:val="0"/>
        <w:bidi w:val="0"/>
        <w:spacing w:line="560" w:lineRule="exact"/>
        <w:ind w:firstLine="645"/>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                                      日期：</w:t>
      </w:r>
    </w:p>
    <w:p w14:paraId="302B2579">
      <w:pPr>
        <w:keepLines w:val="0"/>
        <w:pageBreakBefore w:val="0"/>
        <w:kinsoku/>
        <w:wordWrap/>
        <w:overflowPunct/>
        <w:topLinePunct w:val="0"/>
        <w:bidi w:val="0"/>
        <w:spacing w:line="560" w:lineRule="exact"/>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从业人员、营业收入、资产总额填报上一年度数据，无上一年度数据的新成立企业可不填报。</w:t>
      </w:r>
    </w:p>
    <w:p w14:paraId="39E3A2E9">
      <w:pPr>
        <w:pStyle w:val="7"/>
        <w:keepLines w:val="0"/>
        <w:pageBreakBefore w:val="0"/>
        <w:kinsoku/>
        <w:wordWrap/>
        <w:overflowPunct/>
        <w:topLinePunct w:val="0"/>
        <w:bidi w:val="0"/>
        <w:spacing w:line="560" w:lineRule="exact"/>
        <w:rPr>
          <w:rFonts w:hint="eastAsia"/>
          <w:color w:val="auto"/>
          <w:highlight w:val="none"/>
        </w:rPr>
      </w:pPr>
    </w:p>
    <w:p w14:paraId="598B1105">
      <w:pPr>
        <w:pStyle w:val="7"/>
        <w:keepLines w:val="0"/>
        <w:pageBreakBefore w:val="0"/>
        <w:kinsoku/>
        <w:wordWrap/>
        <w:overflowPunct/>
        <w:topLinePunct w:val="0"/>
        <w:bidi w:val="0"/>
        <w:spacing w:line="560" w:lineRule="exact"/>
        <w:rPr>
          <w:rFonts w:hint="eastAsia"/>
          <w:color w:val="auto"/>
          <w:highlight w:val="none"/>
        </w:rPr>
      </w:pPr>
    </w:p>
    <w:p w14:paraId="183B44D6">
      <w:pPr>
        <w:pStyle w:val="7"/>
        <w:keepLines w:val="0"/>
        <w:pageBreakBefore w:val="0"/>
        <w:kinsoku/>
        <w:wordWrap/>
        <w:overflowPunct/>
        <w:topLinePunct w:val="0"/>
        <w:bidi w:val="0"/>
        <w:spacing w:line="560" w:lineRule="exact"/>
        <w:rPr>
          <w:rFonts w:hint="eastAsia"/>
          <w:color w:val="auto"/>
          <w:highlight w:val="none"/>
        </w:rPr>
      </w:pPr>
    </w:p>
    <w:p w14:paraId="375D9AC6">
      <w:pPr>
        <w:spacing w:line="560" w:lineRule="exact"/>
        <w:rPr>
          <w:rFonts w:hint="eastAsia"/>
          <w:color w:val="auto"/>
          <w:highlight w:val="none"/>
        </w:rPr>
      </w:pPr>
    </w:p>
    <w:p w14:paraId="1BDDF753">
      <w:pPr>
        <w:keepLines w:val="0"/>
        <w:pageBreakBefore w:val="0"/>
        <w:kinsoku/>
        <w:wordWrap/>
        <w:overflowPunct/>
        <w:topLinePunct w:val="0"/>
        <w:bidi w:val="0"/>
        <w:spacing w:line="560" w:lineRule="exact"/>
        <w:jc w:val="center"/>
        <w:rPr>
          <w:b/>
          <w:color w:val="auto"/>
          <w:sz w:val="36"/>
          <w:szCs w:val="36"/>
          <w:highlight w:val="none"/>
        </w:rPr>
      </w:pPr>
      <w:r>
        <w:rPr>
          <w:rFonts w:hint="eastAsia"/>
          <w:b/>
          <w:color w:val="auto"/>
          <w:sz w:val="36"/>
          <w:szCs w:val="36"/>
          <w:highlight w:val="none"/>
        </w:rPr>
        <w:t>（二）残疾人福利性单位声明函</w:t>
      </w:r>
    </w:p>
    <w:p w14:paraId="682F417E">
      <w:pPr>
        <w:keepLines w:val="0"/>
        <w:pageBreakBefore w:val="0"/>
        <w:kinsoku/>
        <w:wordWrap/>
        <w:overflowPunct/>
        <w:topLinePunct w:val="0"/>
        <w:bidi w:val="0"/>
        <w:spacing w:line="560" w:lineRule="exact"/>
        <w:ind w:firstLine="640" w:firstLineChars="200"/>
        <w:jc w:val="left"/>
        <w:rPr>
          <w:rFonts w:hint="eastAsia" w:ascii="仿宋_GB2312" w:hAnsi="仿宋_GB2312" w:eastAsia="仿宋_GB2312" w:cs="仿宋_GB2312"/>
          <w:color w:val="auto"/>
          <w:sz w:val="32"/>
          <w:szCs w:val="32"/>
          <w:highlight w:val="none"/>
        </w:rPr>
      </w:pPr>
    </w:p>
    <w:p w14:paraId="103FC2C3">
      <w:pPr>
        <w:keepLines w:val="0"/>
        <w:pageBreakBefore w:val="0"/>
        <w:kinsoku/>
        <w:wordWrap/>
        <w:overflowPunct/>
        <w:topLinePunct w:val="0"/>
        <w:bidi w:val="0"/>
        <w:spacing w:line="56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本单位知悉《促进残疾人就业政府采购政策的通知》（财库〔2017〕141号）的规定，承诺提供的声明函内容是真实的，如提供声明函内容不实，则依法追究相关法律责任。</w:t>
      </w:r>
    </w:p>
    <w:p w14:paraId="016EF2ED">
      <w:pPr>
        <w:keepLines w:val="0"/>
        <w:pageBreakBefore w:val="0"/>
        <w:kinsoku/>
        <w:wordWrap/>
        <w:overflowPunct/>
        <w:topLinePunct w:val="0"/>
        <w:bidi w:val="0"/>
        <w:spacing w:line="56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6B84BA6">
      <w:pPr>
        <w:keepLines w:val="0"/>
        <w:pageBreakBefore w:val="0"/>
        <w:kinsoku/>
        <w:wordWrap/>
        <w:overflowPunct/>
        <w:topLinePunct w:val="0"/>
        <w:bidi w:val="0"/>
        <w:spacing w:line="56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本单位对上述声明的真实性负责。如有虚假，将依法承担相应责任。</w:t>
      </w:r>
    </w:p>
    <w:p w14:paraId="01A5B8AD">
      <w:pPr>
        <w:pStyle w:val="7"/>
        <w:keepLines w:val="0"/>
        <w:pageBreakBefore w:val="0"/>
        <w:tabs>
          <w:tab w:val="left" w:pos="562"/>
          <w:tab w:val="left" w:pos="3372"/>
          <w:tab w:val="left" w:pos="3653"/>
        </w:tabs>
        <w:kinsoku/>
        <w:wordWrap/>
        <w:overflowPunct/>
        <w:topLinePunct w:val="0"/>
        <w:bidi w:val="0"/>
        <w:spacing w:line="560" w:lineRule="exact"/>
        <w:rPr>
          <w:rFonts w:hint="eastAsia" w:ascii="仿宋_GB2312" w:hAnsi="仿宋_GB2312" w:eastAsia="仿宋_GB2312" w:cs="仿宋_GB2312"/>
          <w:color w:val="auto"/>
          <w:sz w:val="28"/>
          <w:szCs w:val="28"/>
          <w:highlight w:val="none"/>
        </w:rPr>
      </w:pPr>
    </w:p>
    <w:p w14:paraId="41E5EA8D">
      <w:pPr>
        <w:keepLines w:val="0"/>
        <w:pageBreakBefore w:val="0"/>
        <w:kinsoku/>
        <w:wordWrap/>
        <w:overflowPunct/>
        <w:topLinePunct w:val="0"/>
        <w:bidi w:val="0"/>
        <w:spacing w:line="560" w:lineRule="exact"/>
        <w:rPr>
          <w:color w:val="auto"/>
          <w:sz w:val="28"/>
          <w:szCs w:val="28"/>
          <w:highlight w:val="none"/>
        </w:rPr>
      </w:pPr>
    </w:p>
    <w:p w14:paraId="1624FD89">
      <w:pPr>
        <w:keepLines w:val="0"/>
        <w:pageBreakBefore w:val="0"/>
        <w:kinsoku/>
        <w:wordWrap/>
        <w:overflowPunct/>
        <w:topLinePunct w:val="0"/>
        <w:bidi w:val="0"/>
        <w:spacing w:line="560" w:lineRule="exact"/>
        <w:ind w:firstLine="3920" w:firstLineChars="14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单位名称（盖章）：</w:t>
      </w:r>
    </w:p>
    <w:p w14:paraId="6663F28B">
      <w:pPr>
        <w:keepLines w:val="0"/>
        <w:pageBreakBefore w:val="0"/>
        <w:kinsoku/>
        <w:wordWrap/>
        <w:overflowPunct/>
        <w:topLinePunct w:val="0"/>
        <w:bidi w:val="0"/>
        <w:spacing w:line="560" w:lineRule="exact"/>
        <w:ind w:firstLine="3920" w:firstLineChars="14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日  期：</w:t>
      </w:r>
    </w:p>
    <w:p w14:paraId="18200A20">
      <w:pPr>
        <w:keepLines w:val="0"/>
        <w:pageBreakBefore w:val="0"/>
        <w:kinsoku/>
        <w:wordWrap/>
        <w:overflowPunct/>
        <w:topLinePunct w:val="0"/>
        <w:bidi w:val="0"/>
        <w:spacing w:line="560" w:lineRule="exact"/>
        <w:rPr>
          <w:rFonts w:hint="eastAsia" w:ascii="仿宋_GB2312" w:hAnsi="仿宋_GB2312" w:eastAsia="仿宋_GB2312" w:cs="仿宋_GB2312"/>
          <w:color w:val="auto"/>
          <w:sz w:val="32"/>
          <w:szCs w:val="32"/>
          <w:highlight w:val="none"/>
        </w:rPr>
      </w:pPr>
    </w:p>
    <w:p w14:paraId="2F2F494F">
      <w:pPr>
        <w:pStyle w:val="3"/>
        <w:spacing w:line="560" w:lineRule="exact"/>
        <w:rPr>
          <w:rFonts w:hint="eastAsia" w:ascii="仿宋_GB2312" w:hAnsi="仿宋_GB2312" w:eastAsia="仿宋_GB2312" w:cs="仿宋_GB2312"/>
          <w:color w:val="auto"/>
          <w:sz w:val="32"/>
          <w:szCs w:val="32"/>
          <w:highlight w:val="none"/>
        </w:rPr>
      </w:pPr>
    </w:p>
    <w:p w14:paraId="50162734">
      <w:pPr>
        <w:spacing w:line="560" w:lineRule="exact"/>
        <w:rPr>
          <w:rFonts w:hint="eastAsia" w:ascii="仿宋_GB2312" w:hAnsi="仿宋_GB2312" w:eastAsia="仿宋_GB2312" w:cs="仿宋_GB2312"/>
          <w:color w:val="auto"/>
          <w:sz w:val="32"/>
          <w:szCs w:val="32"/>
          <w:highlight w:val="none"/>
        </w:rPr>
      </w:pPr>
    </w:p>
    <w:p w14:paraId="14EAE0B8">
      <w:pPr>
        <w:spacing w:line="560" w:lineRule="exact"/>
        <w:rPr>
          <w:rFonts w:hint="eastAsia" w:ascii="仿宋_GB2312" w:hAnsi="仿宋_GB2312" w:eastAsia="仿宋_GB2312" w:cs="仿宋_GB2312"/>
          <w:color w:val="auto"/>
          <w:sz w:val="32"/>
          <w:szCs w:val="32"/>
          <w:highlight w:val="none"/>
        </w:rPr>
      </w:pPr>
    </w:p>
    <w:p w14:paraId="06873523">
      <w:pPr>
        <w:spacing w:line="560" w:lineRule="exact"/>
        <w:rPr>
          <w:rFonts w:hint="eastAsia" w:ascii="仿宋_GB2312" w:hAnsi="仿宋_GB2312" w:eastAsia="仿宋_GB2312" w:cs="仿宋_GB2312"/>
          <w:color w:val="auto"/>
          <w:sz w:val="32"/>
          <w:szCs w:val="32"/>
          <w:highlight w:val="none"/>
        </w:rPr>
      </w:pPr>
    </w:p>
    <w:p w14:paraId="67CF6AA7">
      <w:pPr>
        <w:spacing w:line="560" w:lineRule="exact"/>
        <w:rPr>
          <w:rFonts w:hint="eastAsia" w:ascii="仿宋_GB2312" w:hAnsi="仿宋_GB2312" w:eastAsia="仿宋_GB2312" w:cs="仿宋_GB2312"/>
          <w:color w:val="auto"/>
          <w:sz w:val="32"/>
          <w:szCs w:val="32"/>
          <w:highlight w:val="none"/>
        </w:rPr>
      </w:pPr>
    </w:p>
    <w:p w14:paraId="0566F818">
      <w:pPr>
        <w:pStyle w:val="3"/>
        <w:spacing w:line="560" w:lineRule="exact"/>
        <w:rPr>
          <w:rFonts w:hint="eastAsia"/>
          <w:color w:val="auto"/>
          <w:highlight w:val="none"/>
        </w:rPr>
      </w:pPr>
    </w:p>
    <w:p w14:paraId="64A3675E">
      <w:pPr>
        <w:keepLines w:val="0"/>
        <w:pageBreakBefore w:val="0"/>
        <w:numPr>
          <w:ilvl w:val="0"/>
          <w:numId w:val="5"/>
        </w:numPr>
        <w:kinsoku/>
        <w:wordWrap/>
        <w:overflowPunct/>
        <w:topLinePunct w:val="0"/>
        <w:bidi w:val="0"/>
        <w:spacing w:line="560" w:lineRule="exact"/>
        <w:jc w:val="center"/>
        <w:rPr>
          <w:b/>
          <w:color w:val="auto"/>
          <w:sz w:val="36"/>
          <w:szCs w:val="36"/>
          <w:highlight w:val="none"/>
        </w:rPr>
      </w:pPr>
      <w:r>
        <w:rPr>
          <w:rFonts w:hint="eastAsia"/>
          <w:b/>
          <w:color w:val="auto"/>
          <w:sz w:val="36"/>
          <w:szCs w:val="36"/>
          <w:highlight w:val="none"/>
        </w:rPr>
        <w:t>监狱企业声明函</w:t>
      </w:r>
    </w:p>
    <w:p w14:paraId="1D026C04">
      <w:pPr>
        <w:pStyle w:val="7"/>
        <w:keepLines w:val="0"/>
        <w:pageBreakBefore w:val="0"/>
        <w:kinsoku/>
        <w:wordWrap/>
        <w:overflowPunct/>
        <w:topLinePunct w:val="0"/>
        <w:bidi w:val="0"/>
        <w:spacing w:line="560" w:lineRule="exact"/>
        <w:rPr>
          <w:rFonts w:hint="eastAsia"/>
          <w:color w:val="auto"/>
          <w:highlight w:val="none"/>
        </w:rPr>
      </w:pPr>
    </w:p>
    <w:p w14:paraId="1B2AE11A">
      <w:pPr>
        <w:keepLines w:val="0"/>
        <w:pageBreakBefore w:val="0"/>
        <w:kinsoku/>
        <w:wordWrap/>
        <w:overflowPunct/>
        <w:topLinePunct w:val="0"/>
        <w:bidi w:val="0"/>
        <w:spacing w:line="56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本单位郑重声明，根据《财政部司法部关于政府采购支持监狱企业发展有关问题的通知》（财库〔2014〕68号）的规定，本单位为符合条件的监狱企业，且本单位参加（采购单位名称） 单位的（采购项目名称）项目采购活动，并提供：□本单位制造的货物；□由本单位承担的工程、提供服务；□提供其他监狱企业制造的货物（承诺人在□处打√）。本条所称货物是指单一产品采购项目中的货物，或者非单一产品采购项目中的核心产品（货物）。</w:t>
      </w:r>
    </w:p>
    <w:p w14:paraId="69DFB578">
      <w:pPr>
        <w:keepLines w:val="0"/>
        <w:pageBreakBefore w:val="0"/>
        <w:kinsoku/>
        <w:wordWrap/>
        <w:overflowPunct/>
        <w:topLinePunct w:val="0"/>
        <w:bidi w:val="0"/>
        <w:spacing w:line="56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本单位对上述声明的真实性负责。如有虚假，将依法承担相应责任。</w:t>
      </w:r>
    </w:p>
    <w:p w14:paraId="0968F336">
      <w:pPr>
        <w:keepLines w:val="0"/>
        <w:pageBreakBefore w:val="0"/>
        <w:kinsoku/>
        <w:wordWrap/>
        <w:overflowPunct/>
        <w:topLinePunct w:val="0"/>
        <w:bidi w:val="0"/>
        <w:spacing w:line="56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附：省级以上监狱管理局、戒毒管理局（含新疆生产建设兵团）出具的监狱企业证明文件。</w:t>
      </w:r>
    </w:p>
    <w:p w14:paraId="2BAAAEE2">
      <w:pPr>
        <w:keepLines w:val="0"/>
        <w:pageBreakBefore w:val="0"/>
        <w:kinsoku/>
        <w:wordWrap/>
        <w:overflowPunct/>
        <w:topLinePunct w:val="0"/>
        <w:bidi w:val="0"/>
        <w:spacing w:line="560" w:lineRule="exact"/>
        <w:ind w:firstLine="560" w:firstLineChars="200"/>
        <w:jc w:val="left"/>
        <w:rPr>
          <w:rFonts w:hint="eastAsia" w:ascii="仿宋_GB2312" w:hAnsi="仿宋_GB2312" w:eastAsia="仿宋_GB2312" w:cs="仿宋_GB2312"/>
          <w:color w:val="auto"/>
          <w:sz w:val="28"/>
          <w:szCs w:val="28"/>
          <w:highlight w:val="none"/>
        </w:rPr>
      </w:pPr>
    </w:p>
    <w:p w14:paraId="4A6DE23F">
      <w:pPr>
        <w:pStyle w:val="7"/>
        <w:keepLines w:val="0"/>
        <w:pageBreakBefore w:val="0"/>
        <w:kinsoku/>
        <w:wordWrap/>
        <w:overflowPunct/>
        <w:topLinePunct w:val="0"/>
        <w:bidi w:val="0"/>
        <w:spacing w:line="560" w:lineRule="exact"/>
        <w:rPr>
          <w:rFonts w:hint="eastAsia"/>
          <w:color w:val="auto"/>
          <w:sz w:val="28"/>
          <w:szCs w:val="28"/>
          <w:highlight w:val="none"/>
        </w:rPr>
      </w:pPr>
    </w:p>
    <w:p w14:paraId="33308E92">
      <w:pPr>
        <w:keepLines w:val="0"/>
        <w:pageBreakBefore w:val="0"/>
        <w:kinsoku/>
        <w:wordWrap/>
        <w:overflowPunct/>
        <w:topLinePunct w:val="0"/>
        <w:bidi w:val="0"/>
        <w:spacing w:line="560" w:lineRule="exact"/>
        <w:ind w:firstLine="4480" w:firstLineChars="16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单位名称（盖章）：</w:t>
      </w:r>
    </w:p>
    <w:p w14:paraId="75D8FD8E">
      <w:pPr>
        <w:keepLines w:val="0"/>
        <w:pageBreakBefore w:val="0"/>
        <w:kinsoku/>
        <w:wordWrap/>
        <w:overflowPunct/>
        <w:topLinePunct w:val="0"/>
        <w:bidi w:val="0"/>
        <w:spacing w:line="560" w:lineRule="exact"/>
        <w:ind w:firstLine="4480" w:firstLineChars="1600"/>
        <w:jc w:val="left"/>
        <w:rPr>
          <w:b/>
          <w:color w:val="auto"/>
          <w:sz w:val="28"/>
          <w:szCs w:val="28"/>
          <w:highlight w:val="none"/>
        </w:rPr>
      </w:pPr>
      <w:r>
        <w:rPr>
          <w:rFonts w:hint="eastAsia" w:ascii="仿宋_GB2312" w:hAnsi="仿宋_GB2312" w:eastAsia="仿宋_GB2312" w:cs="仿宋_GB2312"/>
          <w:color w:val="auto"/>
          <w:sz w:val="28"/>
          <w:szCs w:val="28"/>
          <w:highlight w:val="none"/>
        </w:rPr>
        <w:t>日  期：</w:t>
      </w:r>
    </w:p>
    <w:p w14:paraId="606B9792">
      <w:pPr>
        <w:pStyle w:val="4"/>
        <w:keepLines w:val="0"/>
        <w:pageBreakBefore w:val="0"/>
        <w:kinsoku/>
        <w:wordWrap/>
        <w:overflowPunct/>
        <w:topLinePunct w:val="0"/>
        <w:bidi w:val="0"/>
        <w:spacing w:beforeAutospacing="0" w:afterAutospacing="0" w:line="560" w:lineRule="exact"/>
        <w:ind w:firstLine="643" w:firstLineChars="200"/>
        <w:jc w:val="both"/>
        <w:rPr>
          <w:rFonts w:hint="default" w:ascii="Calibri" w:hAnsi="Calibri" w:cs="黑体"/>
          <w:b/>
          <w:color w:val="auto"/>
          <w:kern w:val="2"/>
          <w:sz w:val="32"/>
          <w:szCs w:val="32"/>
          <w:highlight w:val="none"/>
        </w:rPr>
      </w:pPr>
    </w:p>
    <w:p w14:paraId="5F34CAB2">
      <w:pPr>
        <w:pStyle w:val="4"/>
        <w:keepLines w:val="0"/>
        <w:pageBreakBefore w:val="0"/>
        <w:kinsoku/>
        <w:wordWrap/>
        <w:overflowPunct/>
        <w:topLinePunct w:val="0"/>
        <w:bidi w:val="0"/>
        <w:spacing w:beforeAutospacing="0" w:afterAutospacing="0" w:line="560" w:lineRule="exact"/>
        <w:ind w:firstLine="643" w:firstLineChars="200"/>
        <w:jc w:val="both"/>
        <w:rPr>
          <w:rFonts w:hint="default" w:ascii="Calibri" w:hAnsi="Calibri" w:cs="黑体"/>
          <w:b/>
          <w:color w:val="auto"/>
          <w:kern w:val="2"/>
          <w:sz w:val="32"/>
          <w:szCs w:val="32"/>
          <w:highlight w:val="none"/>
        </w:rPr>
      </w:pPr>
    </w:p>
    <w:p w14:paraId="2423064A">
      <w:pPr>
        <w:keepLines w:val="0"/>
        <w:pageBreakBefore w:val="0"/>
        <w:kinsoku/>
        <w:wordWrap/>
        <w:overflowPunct/>
        <w:topLinePunct w:val="0"/>
        <w:bidi w:val="0"/>
        <w:spacing w:line="560" w:lineRule="exact"/>
        <w:rPr>
          <w:color w:val="auto"/>
          <w:highlight w:val="none"/>
        </w:rPr>
        <w:sectPr>
          <w:headerReference r:id="rId3" w:type="default"/>
          <w:footerReference r:id="rId4" w:type="default"/>
          <w:pgSz w:w="11906" w:h="16838"/>
          <w:pgMar w:top="1587" w:right="1474" w:bottom="1531" w:left="1474" w:header="31" w:footer="1587" w:gutter="0"/>
          <w:pgNumType w:fmt="numberInDash"/>
          <w:cols w:space="720" w:num="1"/>
          <w:docGrid w:type="lines" w:linePitch="312" w:charSpace="0"/>
        </w:sectPr>
      </w:pPr>
    </w:p>
    <w:tbl>
      <w:tblPr>
        <w:tblStyle w:val="18"/>
        <w:tblW w:w="4906" w:type="pct"/>
        <w:tblInd w:w="0" w:type="dxa"/>
        <w:tblLayout w:type="fixed"/>
        <w:tblCellMar>
          <w:top w:w="15" w:type="dxa"/>
          <w:left w:w="15" w:type="dxa"/>
          <w:bottom w:w="15" w:type="dxa"/>
          <w:right w:w="15" w:type="dxa"/>
        </w:tblCellMar>
      </w:tblPr>
      <w:tblGrid>
        <w:gridCol w:w="5340"/>
        <w:gridCol w:w="1987"/>
        <w:gridCol w:w="2040"/>
        <w:gridCol w:w="1891"/>
        <w:gridCol w:w="1959"/>
      </w:tblGrid>
      <w:tr w14:paraId="5118C2DA">
        <w:tblPrEx>
          <w:tblCellMar>
            <w:top w:w="15" w:type="dxa"/>
            <w:left w:w="15" w:type="dxa"/>
            <w:bottom w:w="15" w:type="dxa"/>
            <w:right w:w="15" w:type="dxa"/>
          </w:tblCellMar>
        </w:tblPrEx>
        <w:trPr>
          <w:trHeight w:val="705" w:hRule="atLeast"/>
        </w:trPr>
        <w:tc>
          <w:tcPr>
            <w:tcW w:w="3543" w:type="pct"/>
            <w:gridSpan w:val="3"/>
            <w:noWrap/>
            <w:vAlign w:val="center"/>
          </w:tcPr>
          <w:p w14:paraId="510686B9">
            <w:pPr>
              <w:widowControl/>
              <w:jc w:val="center"/>
              <w:textAlignment w:val="center"/>
              <w:rPr>
                <w:rFonts w:ascii="仿宋" w:hAnsi="仿宋" w:eastAsia="仿宋" w:cs="仿宋"/>
                <w:b/>
                <w:color w:val="000000"/>
                <w:sz w:val="44"/>
                <w:szCs w:val="44"/>
                <w:highlight w:val="none"/>
              </w:rPr>
            </w:pPr>
            <w:r>
              <w:rPr>
                <w:rFonts w:hint="eastAsia" w:ascii="仿宋" w:hAnsi="仿宋" w:eastAsia="仿宋" w:cs="仿宋"/>
                <w:b/>
                <w:color w:val="000000"/>
                <w:kern w:val="0"/>
                <w:sz w:val="44"/>
                <w:szCs w:val="44"/>
                <w:highlight w:val="none"/>
                <w:lang w:val="en-US" w:eastAsia="zh-CN"/>
              </w:rPr>
              <w:t xml:space="preserve">                  </w:t>
            </w:r>
            <w:r>
              <w:rPr>
                <w:rFonts w:hint="eastAsia" w:ascii="仿宋" w:hAnsi="仿宋" w:eastAsia="仿宋" w:cs="仿宋"/>
                <w:b/>
                <w:color w:val="000000"/>
                <w:kern w:val="0"/>
                <w:sz w:val="44"/>
                <w:szCs w:val="44"/>
                <w:highlight w:val="none"/>
              </w:rPr>
              <w:t>开标一览表</w:t>
            </w:r>
          </w:p>
        </w:tc>
        <w:tc>
          <w:tcPr>
            <w:tcW w:w="715" w:type="pct"/>
            <w:noWrap/>
            <w:vAlign w:val="center"/>
          </w:tcPr>
          <w:p w14:paraId="3209269E">
            <w:pPr>
              <w:widowControl/>
              <w:jc w:val="center"/>
              <w:textAlignment w:val="center"/>
              <w:rPr>
                <w:rFonts w:hint="eastAsia" w:ascii="仿宋" w:hAnsi="仿宋" w:eastAsia="仿宋" w:cs="仿宋"/>
                <w:b/>
                <w:color w:val="000000"/>
                <w:kern w:val="0"/>
                <w:sz w:val="44"/>
                <w:szCs w:val="44"/>
                <w:highlight w:val="none"/>
              </w:rPr>
            </w:pPr>
          </w:p>
        </w:tc>
        <w:tc>
          <w:tcPr>
            <w:tcW w:w="741" w:type="pct"/>
            <w:noWrap/>
            <w:vAlign w:val="center"/>
          </w:tcPr>
          <w:p w14:paraId="7DEC5031">
            <w:pPr>
              <w:widowControl/>
              <w:jc w:val="center"/>
              <w:textAlignment w:val="center"/>
              <w:rPr>
                <w:rFonts w:hint="eastAsia" w:ascii="仿宋" w:hAnsi="仿宋" w:eastAsia="仿宋" w:cs="仿宋"/>
                <w:b/>
                <w:color w:val="000000"/>
                <w:kern w:val="0"/>
                <w:sz w:val="44"/>
                <w:szCs w:val="44"/>
                <w:highlight w:val="none"/>
              </w:rPr>
            </w:pPr>
          </w:p>
        </w:tc>
      </w:tr>
      <w:tr w14:paraId="0E80EEB5">
        <w:tblPrEx>
          <w:tblCellMar>
            <w:top w:w="15" w:type="dxa"/>
            <w:left w:w="15" w:type="dxa"/>
            <w:bottom w:w="15" w:type="dxa"/>
            <w:right w:w="15" w:type="dxa"/>
          </w:tblCellMar>
        </w:tblPrEx>
        <w:trPr>
          <w:trHeight w:val="585" w:hRule="atLeast"/>
        </w:trPr>
        <w:tc>
          <w:tcPr>
            <w:tcW w:w="5000" w:type="pct"/>
            <w:gridSpan w:val="5"/>
            <w:tcBorders>
              <w:top w:val="single" w:color="000000" w:sz="4" w:space="0"/>
              <w:left w:val="single" w:color="000000" w:sz="4" w:space="0"/>
              <w:bottom w:val="single" w:color="000000" w:sz="4" w:space="0"/>
              <w:right w:val="single" w:color="000000" w:sz="4" w:space="0"/>
            </w:tcBorders>
            <w:noWrap/>
            <w:vAlign w:val="center"/>
          </w:tcPr>
          <w:p w14:paraId="3B1C2B92">
            <w:pPr>
              <w:widowControl/>
              <w:jc w:val="left"/>
              <w:textAlignment w:val="center"/>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投标人名称：</w:t>
            </w:r>
            <w:r>
              <w:rPr>
                <w:rFonts w:hint="eastAsia" w:ascii="仿宋" w:hAnsi="仿宋" w:eastAsia="仿宋" w:cs="仿宋"/>
                <w:color w:val="000000"/>
                <w:kern w:val="0"/>
                <w:sz w:val="22"/>
                <w:szCs w:val="22"/>
                <w:highlight w:val="none"/>
                <w:lang w:val="en-US" w:eastAsia="zh-CN"/>
              </w:rPr>
              <w:t xml:space="preserve">                                              </w:t>
            </w:r>
            <w:r>
              <w:rPr>
                <w:rFonts w:hint="eastAsia" w:ascii="仿宋" w:hAnsi="仿宋" w:eastAsia="仿宋" w:cs="仿宋"/>
                <w:color w:val="000000"/>
                <w:kern w:val="0"/>
                <w:sz w:val="28"/>
                <w:szCs w:val="28"/>
                <w:highlight w:val="none"/>
              </w:rPr>
              <w:t>采购项目编号:</w:t>
            </w:r>
            <w:r>
              <w:rPr>
                <w:rFonts w:hint="eastAsia" w:ascii="仿宋" w:hAnsi="仿宋" w:eastAsia="仿宋" w:cs="仿宋"/>
                <w:color w:val="000000"/>
                <w:kern w:val="0"/>
                <w:sz w:val="28"/>
                <w:szCs w:val="28"/>
                <w:highlight w:val="none"/>
                <w:lang w:val="en-US" w:eastAsia="zh-CN"/>
              </w:rPr>
              <w:t>深龙七医采[LGQY2026GH002]</w:t>
            </w:r>
          </w:p>
        </w:tc>
      </w:tr>
      <w:tr w14:paraId="5967CE46">
        <w:tblPrEx>
          <w:tblCellMar>
            <w:top w:w="15" w:type="dxa"/>
            <w:left w:w="15" w:type="dxa"/>
            <w:bottom w:w="15" w:type="dxa"/>
            <w:right w:w="15" w:type="dxa"/>
          </w:tblCellMar>
        </w:tblPrEx>
        <w:trPr>
          <w:trHeight w:val="759" w:hRule="atLeast"/>
        </w:trPr>
        <w:tc>
          <w:tcPr>
            <w:tcW w:w="2020" w:type="pct"/>
            <w:tcBorders>
              <w:top w:val="single" w:color="000000" w:sz="4" w:space="0"/>
              <w:left w:val="single" w:color="000000" w:sz="4" w:space="0"/>
              <w:bottom w:val="single" w:color="000000" w:sz="4" w:space="0"/>
              <w:right w:val="single" w:color="000000" w:sz="4" w:space="0"/>
            </w:tcBorders>
            <w:noWrap/>
            <w:vAlign w:val="center"/>
          </w:tcPr>
          <w:p w14:paraId="43D18FD8">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项目名称</w:t>
            </w:r>
          </w:p>
        </w:tc>
        <w:tc>
          <w:tcPr>
            <w:tcW w:w="751" w:type="pct"/>
            <w:tcBorders>
              <w:top w:val="single" w:color="000000" w:sz="4" w:space="0"/>
              <w:left w:val="single" w:color="000000" w:sz="4" w:space="0"/>
              <w:bottom w:val="single" w:color="000000" w:sz="4" w:space="0"/>
              <w:right w:val="single" w:color="000000" w:sz="4" w:space="0"/>
            </w:tcBorders>
            <w:noWrap/>
            <w:vAlign w:val="center"/>
          </w:tcPr>
          <w:p w14:paraId="5072305F">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sz w:val="24"/>
                <w:lang w:val="en-US" w:eastAsia="zh-CN"/>
              </w:rPr>
              <w:t>数量（份）</w:t>
            </w:r>
          </w:p>
        </w:tc>
        <w:tc>
          <w:tcPr>
            <w:tcW w:w="771" w:type="pct"/>
            <w:tcBorders>
              <w:top w:val="single" w:color="000000" w:sz="4" w:space="0"/>
              <w:left w:val="single" w:color="000000" w:sz="4" w:space="0"/>
              <w:bottom w:val="single" w:color="000000" w:sz="4" w:space="0"/>
              <w:right w:val="single" w:color="000000" w:sz="4" w:space="0"/>
            </w:tcBorders>
            <w:noWrap/>
            <w:vAlign w:val="center"/>
          </w:tcPr>
          <w:p w14:paraId="585BDF3F">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rPr>
              <w:t>总价（</w:t>
            </w:r>
            <w:r>
              <w:rPr>
                <w:rFonts w:hint="eastAsia" w:ascii="仿宋" w:hAnsi="仿宋" w:eastAsia="仿宋" w:cs="仿宋"/>
                <w:color w:val="000000"/>
                <w:kern w:val="0"/>
                <w:sz w:val="24"/>
                <w:lang w:val="en-US" w:eastAsia="zh-CN"/>
              </w:rPr>
              <w:t>万</w:t>
            </w:r>
            <w:r>
              <w:rPr>
                <w:rFonts w:hint="eastAsia" w:ascii="仿宋" w:hAnsi="仿宋" w:eastAsia="仿宋" w:cs="仿宋"/>
                <w:color w:val="000000"/>
                <w:kern w:val="0"/>
                <w:sz w:val="24"/>
              </w:rPr>
              <w:t>元）</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1066BBB6">
            <w:pPr>
              <w:widowControl/>
              <w:jc w:val="center"/>
              <w:textAlignment w:val="center"/>
              <w:rPr>
                <w:rFonts w:hint="eastAsia" w:ascii="仿宋" w:hAnsi="仿宋" w:eastAsia="仿宋" w:cs="仿宋"/>
                <w:color w:val="000000"/>
                <w:kern w:val="0"/>
                <w:sz w:val="24"/>
                <w:highlight w:val="none"/>
              </w:rPr>
            </w:pPr>
            <w:r>
              <w:rPr>
                <w:rFonts w:hint="eastAsia" w:ascii="仿宋" w:hAnsi="仿宋" w:eastAsia="仿宋" w:cs="仿宋"/>
                <w:bCs w:val="0"/>
                <w:color w:val="000000"/>
                <w:kern w:val="2"/>
                <w:sz w:val="24"/>
                <w:szCs w:val="24"/>
                <w:highlight w:val="none"/>
              </w:rPr>
              <w:t>投标</w:t>
            </w:r>
            <w:r>
              <w:rPr>
                <w:rFonts w:hint="eastAsia" w:ascii="仿宋" w:hAnsi="仿宋" w:eastAsia="仿宋" w:cs="仿宋"/>
                <w:bCs w:val="0"/>
                <w:color w:val="000000"/>
                <w:kern w:val="2"/>
                <w:sz w:val="24"/>
                <w:szCs w:val="24"/>
                <w:highlight w:val="none"/>
                <w:lang w:val="en-US" w:eastAsia="zh-CN"/>
              </w:rPr>
              <w:t>上浮率</w:t>
            </w:r>
          </w:p>
        </w:tc>
        <w:tc>
          <w:tcPr>
            <w:tcW w:w="741" w:type="pct"/>
            <w:tcBorders>
              <w:top w:val="single" w:color="000000" w:sz="4" w:space="0"/>
              <w:left w:val="single" w:color="000000" w:sz="4" w:space="0"/>
              <w:bottom w:val="single" w:color="000000" w:sz="4" w:space="0"/>
              <w:right w:val="single" w:color="000000" w:sz="4" w:space="0"/>
            </w:tcBorders>
            <w:noWrap/>
            <w:vAlign w:val="center"/>
          </w:tcPr>
          <w:p w14:paraId="14EDE12D">
            <w:pPr>
              <w:widowControl/>
              <w:jc w:val="center"/>
              <w:textAlignment w:val="center"/>
              <w:rPr>
                <w:rFonts w:hint="default"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备注</w:t>
            </w:r>
          </w:p>
        </w:tc>
      </w:tr>
      <w:tr w14:paraId="28B81599">
        <w:tblPrEx>
          <w:tblCellMar>
            <w:top w:w="15" w:type="dxa"/>
            <w:left w:w="15" w:type="dxa"/>
            <w:bottom w:w="15" w:type="dxa"/>
            <w:right w:w="15" w:type="dxa"/>
          </w:tblCellMar>
        </w:tblPrEx>
        <w:trPr>
          <w:trHeight w:val="655" w:hRule="atLeast"/>
        </w:trPr>
        <w:tc>
          <w:tcPr>
            <w:tcW w:w="2020" w:type="pct"/>
            <w:tcBorders>
              <w:top w:val="single" w:color="000000" w:sz="4" w:space="0"/>
              <w:left w:val="single" w:color="000000" w:sz="4" w:space="0"/>
              <w:bottom w:val="single" w:color="000000" w:sz="4" w:space="0"/>
              <w:right w:val="single" w:color="000000" w:sz="4" w:space="0"/>
            </w:tcBorders>
            <w:noWrap/>
            <w:vAlign w:val="center"/>
          </w:tcPr>
          <w:p w14:paraId="0C7AE810">
            <w:pPr>
              <w:pStyle w:val="25"/>
              <w:numPr>
                <w:ilvl w:val="0"/>
                <w:numId w:val="0"/>
              </w:numPr>
              <w:spacing w:line="460" w:lineRule="exact"/>
              <w:jc w:val="both"/>
              <w:rPr>
                <w:highlight w:val="none"/>
              </w:rPr>
            </w:pPr>
            <w:r>
              <w:rPr>
                <w:rFonts w:hint="eastAsia" w:ascii="仿宋" w:hAnsi="仿宋" w:eastAsia="仿宋" w:cs="仿宋"/>
                <w:bCs w:val="0"/>
                <w:color w:val="000000"/>
                <w:kern w:val="2"/>
                <w:sz w:val="28"/>
                <w:szCs w:val="28"/>
                <w:highlight w:val="none"/>
                <w:lang w:val="en-US" w:eastAsia="zh-CN" w:bidi="ar-SA"/>
              </w:rPr>
              <w:t>深圳市龙岗区第七人民医院2026-2027年度工会会员生日蛋糕券采购项目</w:t>
            </w:r>
          </w:p>
        </w:tc>
        <w:tc>
          <w:tcPr>
            <w:tcW w:w="751" w:type="pct"/>
            <w:tcBorders>
              <w:top w:val="single" w:color="000000" w:sz="4" w:space="0"/>
              <w:left w:val="single" w:color="000000" w:sz="4" w:space="0"/>
              <w:bottom w:val="single" w:color="000000" w:sz="4" w:space="0"/>
              <w:right w:val="single" w:color="000000" w:sz="4" w:space="0"/>
            </w:tcBorders>
            <w:noWrap/>
            <w:vAlign w:val="center"/>
          </w:tcPr>
          <w:p w14:paraId="7C8FD4B5">
            <w:pPr>
              <w:jc w:val="center"/>
              <w:rPr>
                <w:rFonts w:hint="default" w:ascii="仿宋" w:hAnsi="仿宋" w:eastAsia="仿宋" w:cs="仿宋"/>
                <w:color w:val="000000"/>
                <w:sz w:val="22"/>
                <w:szCs w:val="22"/>
                <w:highlight w:val="none"/>
                <w:lang w:val="en-US" w:eastAsia="zh-CN"/>
              </w:rPr>
            </w:pPr>
            <w:r>
              <w:rPr>
                <w:rFonts w:hint="eastAsia" w:ascii="仿宋" w:hAnsi="仿宋" w:eastAsia="仿宋" w:cs="仿宋"/>
                <w:color w:val="000000"/>
                <w:sz w:val="22"/>
                <w:szCs w:val="22"/>
                <w:highlight w:val="none"/>
                <w:lang w:val="en-US" w:eastAsia="zh-CN"/>
              </w:rPr>
              <w:t>436</w:t>
            </w:r>
          </w:p>
        </w:tc>
        <w:tc>
          <w:tcPr>
            <w:tcW w:w="771" w:type="pct"/>
            <w:tcBorders>
              <w:top w:val="single" w:color="000000" w:sz="4" w:space="0"/>
              <w:left w:val="single" w:color="000000" w:sz="4" w:space="0"/>
              <w:bottom w:val="single" w:color="000000" w:sz="4" w:space="0"/>
              <w:right w:val="single" w:color="000000" w:sz="4" w:space="0"/>
            </w:tcBorders>
            <w:noWrap/>
            <w:vAlign w:val="center"/>
          </w:tcPr>
          <w:p w14:paraId="2AF6329C">
            <w:pPr>
              <w:jc w:val="center"/>
              <w:rPr>
                <w:rFonts w:hint="default" w:ascii="仿宋" w:hAnsi="仿宋" w:eastAsia="仿宋" w:cs="仿宋"/>
                <w:color w:val="000000"/>
                <w:sz w:val="22"/>
                <w:szCs w:val="22"/>
                <w:highlight w:val="none"/>
                <w:lang w:val="en-US" w:eastAsia="zh-CN"/>
              </w:rPr>
            </w:pPr>
            <w:r>
              <w:rPr>
                <w:rFonts w:hint="eastAsia" w:ascii="仿宋" w:hAnsi="仿宋" w:eastAsia="仿宋" w:cs="仿宋"/>
                <w:color w:val="000000"/>
                <w:sz w:val="22"/>
                <w:szCs w:val="22"/>
                <w:highlight w:val="none"/>
                <w:lang w:val="en-US" w:eastAsia="zh-CN"/>
              </w:rPr>
              <w:t>13.08</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6E328286">
            <w:pPr>
              <w:jc w:val="center"/>
              <w:rPr>
                <w:rFonts w:ascii="仿宋" w:hAnsi="仿宋" w:eastAsia="仿宋" w:cs="仿宋"/>
                <w:color w:val="000000"/>
                <w:sz w:val="22"/>
                <w:szCs w:val="22"/>
                <w:highlight w:val="none"/>
              </w:rPr>
            </w:pPr>
          </w:p>
        </w:tc>
        <w:tc>
          <w:tcPr>
            <w:tcW w:w="741" w:type="pct"/>
            <w:tcBorders>
              <w:top w:val="single" w:color="000000" w:sz="4" w:space="0"/>
              <w:left w:val="single" w:color="000000" w:sz="4" w:space="0"/>
              <w:bottom w:val="single" w:color="000000" w:sz="4" w:space="0"/>
              <w:right w:val="single" w:color="000000" w:sz="4" w:space="0"/>
            </w:tcBorders>
            <w:noWrap/>
            <w:vAlign w:val="center"/>
          </w:tcPr>
          <w:p w14:paraId="313C3C84">
            <w:pPr>
              <w:rPr>
                <w:rFonts w:ascii="仿宋" w:hAnsi="仿宋" w:eastAsia="仿宋" w:cs="仿宋"/>
                <w:color w:val="000000"/>
                <w:sz w:val="22"/>
                <w:szCs w:val="22"/>
                <w:highlight w:val="none"/>
              </w:rPr>
            </w:pPr>
          </w:p>
        </w:tc>
      </w:tr>
    </w:tbl>
    <w:p w14:paraId="769BA484">
      <w:pPr>
        <w:numPr>
          <w:ilvl w:val="0"/>
          <w:numId w:val="6"/>
        </w:numPr>
        <w:spacing w:line="500" w:lineRule="exact"/>
        <w:jc w:val="left"/>
        <w:rPr>
          <w:rFonts w:ascii="仿宋" w:hAnsi="仿宋" w:eastAsia="仿宋" w:cs="仿宋"/>
          <w:sz w:val="28"/>
          <w:szCs w:val="28"/>
          <w:highlight w:val="none"/>
        </w:rPr>
      </w:pPr>
      <w:r>
        <w:rPr>
          <w:rFonts w:hint="eastAsia" w:ascii="仿宋" w:hAnsi="仿宋" w:eastAsia="仿宋" w:cs="仿宋"/>
          <w:sz w:val="28"/>
          <w:szCs w:val="28"/>
          <w:highlight w:val="none"/>
        </w:rPr>
        <w:t>开标一览表格式不得自行改动。</w:t>
      </w:r>
    </w:p>
    <w:p w14:paraId="15BB4E46">
      <w:pPr>
        <w:numPr>
          <w:ilvl w:val="0"/>
          <w:numId w:val="6"/>
        </w:numPr>
        <w:spacing w:line="500" w:lineRule="exact"/>
        <w:jc w:val="left"/>
        <w:rPr>
          <w:rFonts w:ascii="仿宋" w:hAnsi="仿宋" w:eastAsia="仿宋" w:cs="仿宋"/>
          <w:sz w:val="28"/>
          <w:szCs w:val="28"/>
          <w:highlight w:val="none"/>
        </w:rPr>
      </w:pPr>
      <w:r>
        <w:rPr>
          <w:rFonts w:hint="eastAsia" w:ascii="仿宋" w:hAnsi="仿宋" w:eastAsia="仿宋" w:cs="仿宋"/>
          <w:sz w:val="28"/>
          <w:szCs w:val="28"/>
          <w:highlight w:val="none"/>
        </w:rPr>
        <w:t>价格条件为能否满足标书要求的投标报价。</w:t>
      </w:r>
    </w:p>
    <w:p w14:paraId="24CF887C">
      <w:pPr>
        <w:keepLines w:val="0"/>
        <w:pageBreakBefore w:val="0"/>
        <w:kinsoku/>
        <w:wordWrap/>
        <w:overflowPunct/>
        <w:topLinePunct w:val="0"/>
        <w:bidi w:val="0"/>
        <w:spacing w:line="560" w:lineRule="exact"/>
        <w:ind w:left="425" w:hanging="425"/>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无内容空格填“-”。</w:t>
      </w:r>
    </w:p>
    <w:p w14:paraId="0233EEF7">
      <w:pPr>
        <w:pStyle w:val="15"/>
        <w:rPr>
          <w:rFonts w:hint="eastAsia"/>
        </w:rPr>
      </w:pPr>
    </w:p>
    <w:p w14:paraId="3BE91475">
      <w:pPr>
        <w:keepLines w:val="0"/>
        <w:pageBreakBefore w:val="0"/>
        <w:kinsoku/>
        <w:wordWrap/>
        <w:overflowPunct/>
        <w:topLinePunct w:val="0"/>
        <w:bidi w:val="0"/>
        <w:spacing w:line="560" w:lineRule="exact"/>
        <w:rPr>
          <w:rFonts w:hint="eastAsia" w:ascii="仿宋" w:hAnsi="仿宋" w:eastAsia="仿宋" w:cs="仿宋"/>
          <w:color w:val="auto"/>
          <w:sz w:val="28"/>
          <w:szCs w:val="28"/>
          <w:highlight w:val="none"/>
        </w:rPr>
      </w:pPr>
    </w:p>
    <w:p w14:paraId="40D28961">
      <w:pPr>
        <w:keepLines w:val="0"/>
        <w:pageBreakBefore w:val="0"/>
        <w:kinsoku/>
        <w:wordWrap/>
        <w:overflowPunct/>
        <w:topLinePunct w:val="0"/>
        <w:bidi w:val="0"/>
        <w:spacing w:line="560" w:lineRule="exact"/>
        <w:ind w:firstLine="6160" w:firstLineChars="2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法定代表人或其授权代表人（签字）：</w:t>
      </w:r>
    </w:p>
    <w:p w14:paraId="0869D90C">
      <w:pPr>
        <w:keepLines w:val="0"/>
        <w:pageBreakBefore w:val="0"/>
        <w:kinsoku/>
        <w:wordWrap/>
        <w:overflowPunct/>
        <w:topLinePunct w:val="0"/>
        <w:bidi w:val="0"/>
        <w:spacing w:line="5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投标单位全称（加盖公章）：</w:t>
      </w:r>
    </w:p>
    <w:p w14:paraId="24FB04B3">
      <w:pPr>
        <w:keepLines w:val="0"/>
        <w:pageBreakBefore w:val="0"/>
        <w:kinsoku/>
        <w:wordWrap/>
        <w:overflowPunct/>
        <w:topLinePunct w:val="0"/>
        <w:bidi w:val="0"/>
        <w:spacing w:line="5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日期：      年    月    日</w:t>
      </w:r>
    </w:p>
    <w:p w14:paraId="2E9AD395">
      <w:pPr>
        <w:keepLines w:val="0"/>
        <w:pageBreakBefore w:val="0"/>
        <w:kinsoku/>
        <w:wordWrap/>
        <w:overflowPunct/>
        <w:topLinePunct w:val="0"/>
        <w:bidi w:val="0"/>
        <w:spacing w:line="560" w:lineRule="exact"/>
        <w:outlineLvl w:val="2"/>
        <w:rPr>
          <w:rFonts w:hint="eastAsia" w:ascii="宋体" w:cs="宋体"/>
          <w:b/>
          <w:color w:val="auto"/>
          <w:szCs w:val="21"/>
          <w:highlight w:val="none"/>
        </w:rPr>
      </w:pPr>
    </w:p>
    <w:p w14:paraId="4FE94A78">
      <w:pPr>
        <w:keepLines w:val="0"/>
        <w:pageBreakBefore w:val="0"/>
        <w:widowControl/>
        <w:kinsoku/>
        <w:wordWrap/>
        <w:overflowPunct/>
        <w:topLinePunct w:val="0"/>
        <w:bidi w:val="0"/>
        <w:spacing w:line="560" w:lineRule="exact"/>
        <w:jc w:val="center"/>
        <w:textAlignment w:val="center"/>
        <w:rPr>
          <w:rFonts w:hint="eastAsia" w:ascii="仿宋" w:hAnsi="仿宋" w:eastAsia="仿宋" w:cs="仿宋"/>
          <w:b/>
          <w:color w:val="auto"/>
          <w:kern w:val="0"/>
          <w:sz w:val="44"/>
          <w:szCs w:val="44"/>
          <w:highlight w:val="none"/>
          <w:lang w:val="zh-CN"/>
        </w:rPr>
      </w:pPr>
    </w:p>
    <w:p w14:paraId="538E2C69">
      <w:pPr>
        <w:pStyle w:val="3"/>
        <w:spacing w:before="120" w:beforeLines="50" w:after="120" w:afterLines="50"/>
        <w:jc w:val="center"/>
        <w:rPr>
          <w:rFonts w:hint="eastAsia" w:ascii="仿宋" w:hAnsi="仿宋" w:eastAsia="仿宋" w:cs="仿宋"/>
          <w:b/>
          <w:bCs w:val="0"/>
          <w:color w:val="000000"/>
          <w:kern w:val="0"/>
          <w:sz w:val="44"/>
          <w:szCs w:val="44"/>
        </w:rPr>
      </w:pPr>
      <w:r>
        <w:rPr>
          <w:rFonts w:hint="eastAsia" w:ascii="仿宋" w:hAnsi="仿宋" w:eastAsia="仿宋" w:cs="仿宋"/>
          <w:b/>
          <w:bCs w:val="0"/>
          <w:color w:val="000000"/>
          <w:kern w:val="0"/>
          <w:sz w:val="44"/>
          <w:szCs w:val="44"/>
        </w:rPr>
        <w:t>实质性条款</w:t>
      </w:r>
      <w:r>
        <w:rPr>
          <w:rFonts w:hint="eastAsia" w:ascii="仿宋" w:hAnsi="仿宋" w:eastAsia="仿宋" w:cs="仿宋"/>
          <w:b/>
          <w:bCs w:val="0"/>
          <w:color w:val="000000"/>
          <w:kern w:val="0"/>
          <w:sz w:val="44"/>
          <w:szCs w:val="44"/>
          <w:lang w:val="en-US" w:eastAsia="zh-CN"/>
        </w:rPr>
        <w:t>响应表</w:t>
      </w:r>
    </w:p>
    <w:tbl>
      <w:tblPr>
        <w:tblStyle w:val="18"/>
        <w:tblW w:w="510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5642"/>
        <w:gridCol w:w="7646"/>
      </w:tblGrid>
      <w:tr w14:paraId="52176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 w:type="pct"/>
            <w:noWrap w:val="0"/>
            <w:vAlign w:val="center"/>
          </w:tcPr>
          <w:p w14:paraId="08E27D48">
            <w:pPr>
              <w:jc w:val="center"/>
              <w:rPr>
                <w:rFonts w:hint="eastAsia"/>
                <w:sz w:val="24"/>
                <w:szCs w:val="24"/>
              </w:rPr>
            </w:pPr>
            <w:r>
              <w:rPr>
                <w:rFonts w:hint="eastAsia"/>
                <w:sz w:val="24"/>
                <w:szCs w:val="24"/>
              </w:rPr>
              <w:t>序号</w:t>
            </w:r>
          </w:p>
        </w:tc>
        <w:tc>
          <w:tcPr>
            <w:tcW w:w="2022" w:type="pct"/>
            <w:noWrap w:val="0"/>
            <w:vAlign w:val="center"/>
          </w:tcPr>
          <w:p w14:paraId="4D14A807">
            <w:pPr>
              <w:jc w:val="center"/>
              <w:rPr>
                <w:rFonts w:hint="eastAsia"/>
                <w:sz w:val="24"/>
                <w:szCs w:val="24"/>
              </w:rPr>
            </w:pPr>
            <w:r>
              <w:rPr>
                <w:rFonts w:hint="eastAsia" w:ascii="仿宋" w:hAnsi="仿宋" w:eastAsia="仿宋" w:cs="仿宋"/>
                <w:sz w:val="28"/>
                <w:szCs w:val="28"/>
              </w:rPr>
              <w:t>实质性条款具体内容</w:t>
            </w:r>
          </w:p>
        </w:tc>
        <w:tc>
          <w:tcPr>
            <w:tcW w:w="2740" w:type="pct"/>
            <w:noWrap w:val="0"/>
            <w:vAlign w:val="top"/>
          </w:tcPr>
          <w:p w14:paraId="0B255074">
            <w:pPr>
              <w:jc w:val="center"/>
              <w:rPr>
                <w:rFonts w:hint="default" w:ascii="仿宋" w:hAnsi="仿宋" w:eastAsia="仿宋" w:cs="仿宋"/>
                <w:sz w:val="28"/>
                <w:szCs w:val="28"/>
                <w:lang w:val="en-US" w:eastAsia="zh-CN"/>
              </w:rPr>
            </w:pPr>
            <w:r>
              <w:rPr>
                <w:rFonts w:hint="eastAsia" w:ascii="仿宋" w:hAnsi="仿宋" w:eastAsia="仿宋" w:cs="仿宋"/>
                <w:sz w:val="28"/>
                <w:szCs w:val="28"/>
              </w:rPr>
              <w:t>实质性条款</w:t>
            </w:r>
            <w:r>
              <w:rPr>
                <w:rFonts w:hint="eastAsia" w:ascii="仿宋" w:hAnsi="仿宋" w:eastAsia="仿宋" w:cs="仿宋"/>
                <w:sz w:val="28"/>
                <w:szCs w:val="28"/>
                <w:lang w:val="en-US" w:eastAsia="zh-CN"/>
              </w:rPr>
              <w:t>响应情况（是否响应并已提供相应材料）</w:t>
            </w:r>
          </w:p>
        </w:tc>
      </w:tr>
      <w:tr w14:paraId="28C22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 w:type="pct"/>
            <w:noWrap w:val="0"/>
            <w:vAlign w:val="center"/>
          </w:tcPr>
          <w:p w14:paraId="1115FF79">
            <w:pPr>
              <w:jc w:val="center"/>
              <w:rPr>
                <w:rFonts w:hint="eastAsia"/>
              </w:rPr>
            </w:pPr>
            <w:r>
              <w:rPr>
                <w:rFonts w:hint="eastAsia"/>
              </w:rPr>
              <w:t>1</w:t>
            </w:r>
          </w:p>
        </w:tc>
        <w:tc>
          <w:tcPr>
            <w:tcW w:w="2022" w:type="pct"/>
            <w:noWrap w:val="0"/>
            <w:vAlign w:val="top"/>
          </w:tcPr>
          <w:p w14:paraId="2168DA6D">
            <w:pPr>
              <w:pStyle w:val="7"/>
              <w:keepNext w:val="0"/>
              <w:keepLines w:val="0"/>
              <w:pageBreakBefore w:val="0"/>
              <w:widowControl w:val="0"/>
              <w:kinsoku/>
              <w:wordWrap/>
              <w:overflowPunct/>
              <w:topLinePunct w:val="0"/>
              <w:bidi w:val="0"/>
              <w:adjustRightInd/>
              <w:snapToGrid/>
              <w:spacing w:line="560" w:lineRule="exact"/>
              <w:textAlignment w:val="auto"/>
              <w:rPr>
                <w:rFonts w:hint="eastAsia"/>
              </w:rPr>
            </w:pPr>
            <w:r>
              <w:rPr>
                <w:rFonts w:hint="eastAsia" w:ascii="仿宋" w:hAnsi="仿宋" w:eastAsia="仿宋" w:cs="仿宋"/>
                <w:color w:val="auto"/>
                <w:kern w:val="2"/>
                <w:sz w:val="28"/>
                <w:szCs w:val="28"/>
                <w:highlight w:val="none"/>
                <w:lang w:val="en-US" w:eastAsia="zh-CN" w:bidi="ar-SA"/>
              </w:rPr>
              <w:t>★（十二）生日蛋糕券有效期至少为24个月（提供承诺函）。</w:t>
            </w:r>
          </w:p>
        </w:tc>
        <w:tc>
          <w:tcPr>
            <w:tcW w:w="2740" w:type="pct"/>
            <w:noWrap w:val="0"/>
            <w:vAlign w:val="top"/>
          </w:tcPr>
          <w:p w14:paraId="26B6D1B9">
            <w:pPr>
              <w:pStyle w:val="25"/>
              <w:spacing w:line="460" w:lineRule="exact"/>
              <w:ind w:firstLine="0" w:firstLineChars="0"/>
              <w:rPr>
                <w:rFonts w:hint="eastAsia" w:ascii="仿宋_GB2312" w:hAnsi="仿宋_GB2312" w:eastAsia="仿宋_GB2312" w:cs="仿宋_GB2312"/>
                <w:bCs w:val="0"/>
                <w:sz w:val="28"/>
                <w:szCs w:val="28"/>
              </w:rPr>
            </w:pPr>
          </w:p>
        </w:tc>
      </w:tr>
    </w:tbl>
    <w:p w14:paraId="3ADA5EC3">
      <w:pPr>
        <w:jc w:val="left"/>
        <w:rPr>
          <w:rFonts w:hint="eastAsia" w:ascii="仿宋" w:hAnsi="仿宋" w:eastAsia="仿宋" w:cs="仿宋"/>
          <w:sz w:val="28"/>
          <w:szCs w:val="28"/>
        </w:rPr>
      </w:pPr>
      <w:r>
        <w:rPr>
          <w:rFonts w:hint="eastAsia" w:ascii="仿宋" w:hAnsi="仿宋" w:eastAsia="仿宋" w:cs="仿宋"/>
          <w:sz w:val="28"/>
          <w:szCs w:val="28"/>
        </w:rPr>
        <w:t>注：上表所列内容为不可负偏离条款，负偏离将视为未实质性满足招标文件要求作投标无效处理。</w:t>
      </w:r>
    </w:p>
    <w:p w14:paraId="61C6B1C7">
      <w:pPr>
        <w:pStyle w:val="8"/>
        <w:rPr>
          <w:rFonts w:hint="eastAsia"/>
          <w:highlight w:val="none"/>
          <w:lang w:eastAsia="zh-CN"/>
        </w:rPr>
      </w:pPr>
    </w:p>
    <w:p w14:paraId="1994E2CE">
      <w:pPr>
        <w:pStyle w:val="8"/>
        <w:rPr>
          <w:rFonts w:hint="eastAsia"/>
          <w:highlight w:val="none"/>
          <w:lang w:eastAsia="zh-CN"/>
        </w:rPr>
      </w:pPr>
    </w:p>
    <w:p w14:paraId="062E58B6">
      <w:pPr>
        <w:pStyle w:val="8"/>
        <w:rPr>
          <w:rFonts w:hint="eastAsia"/>
          <w:highlight w:val="none"/>
          <w:lang w:eastAsia="zh-CN"/>
        </w:rPr>
      </w:pPr>
    </w:p>
    <w:p w14:paraId="51AF9C16">
      <w:pPr>
        <w:pStyle w:val="8"/>
        <w:rPr>
          <w:rFonts w:hint="eastAsia"/>
          <w:highlight w:val="none"/>
          <w:lang w:eastAsia="zh-CN"/>
        </w:rPr>
      </w:pPr>
    </w:p>
    <w:p w14:paraId="4C21EA78">
      <w:pPr>
        <w:pStyle w:val="8"/>
        <w:rPr>
          <w:rFonts w:hint="eastAsia"/>
          <w:highlight w:val="none"/>
          <w:lang w:eastAsia="zh-CN"/>
        </w:rPr>
      </w:pPr>
    </w:p>
    <w:p w14:paraId="03FCAF7D">
      <w:pPr>
        <w:pStyle w:val="8"/>
        <w:rPr>
          <w:rFonts w:hint="eastAsia"/>
          <w:highlight w:val="none"/>
          <w:lang w:eastAsia="zh-CN"/>
        </w:rPr>
      </w:pPr>
    </w:p>
    <w:p w14:paraId="41C3F969">
      <w:pPr>
        <w:pStyle w:val="8"/>
        <w:rPr>
          <w:rFonts w:hint="eastAsia"/>
          <w:highlight w:val="none"/>
          <w:lang w:eastAsia="zh-CN"/>
        </w:rPr>
      </w:pPr>
    </w:p>
    <w:p w14:paraId="6581093A">
      <w:pPr>
        <w:pStyle w:val="8"/>
        <w:rPr>
          <w:rFonts w:hint="eastAsia"/>
          <w:highlight w:val="none"/>
          <w:lang w:eastAsia="zh-CN"/>
        </w:rPr>
      </w:pPr>
    </w:p>
    <w:p w14:paraId="1509E025">
      <w:pPr>
        <w:pStyle w:val="8"/>
        <w:rPr>
          <w:rFonts w:hint="eastAsia"/>
          <w:highlight w:val="none"/>
          <w:lang w:eastAsia="zh-CN"/>
        </w:rPr>
      </w:pPr>
    </w:p>
    <w:p w14:paraId="04FFF112">
      <w:pPr>
        <w:pStyle w:val="8"/>
        <w:rPr>
          <w:rFonts w:hint="eastAsia"/>
          <w:highlight w:val="none"/>
          <w:lang w:eastAsia="zh-CN"/>
        </w:rPr>
      </w:pPr>
    </w:p>
    <w:p w14:paraId="03C8B001">
      <w:pPr>
        <w:pStyle w:val="8"/>
        <w:rPr>
          <w:rFonts w:hint="eastAsia"/>
          <w:highlight w:val="none"/>
          <w:lang w:eastAsia="zh-CN"/>
        </w:rPr>
      </w:pPr>
    </w:p>
    <w:p w14:paraId="4C3F8B31">
      <w:pPr>
        <w:keepNext w:val="0"/>
        <w:keepLines w:val="0"/>
        <w:widowControl/>
        <w:suppressLineNumbers w:val="0"/>
        <w:jc w:val="center"/>
        <w:rPr>
          <w:rFonts w:hint="eastAsia" w:ascii="仿宋" w:hAnsi="仿宋" w:eastAsia="仿宋" w:cs="仿宋"/>
          <w:b/>
          <w:color w:val="000000"/>
          <w:kern w:val="0"/>
          <w:sz w:val="44"/>
          <w:szCs w:val="44"/>
          <w:lang w:val="en-US" w:eastAsia="zh-CN"/>
        </w:rPr>
      </w:pPr>
      <w:r>
        <w:rPr>
          <w:rFonts w:hint="eastAsia" w:ascii="仿宋" w:hAnsi="仿宋" w:eastAsia="仿宋" w:cs="仿宋"/>
          <w:b/>
          <w:color w:val="000000"/>
          <w:kern w:val="0"/>
          <w:sz w:val="44"/>
          <w:szCs w:val="44"/>
          <w:lang w:val="en-US" w:eastAsia="zh-CN"/>
        </w:rPr>
        <w:t>服务条款响应表</w:t>
      </w:r>
    </w:p>
    <w:p w14:paraId="70599263">
      <w:pPr>
        <w:keepNext w:val="0"/>
        <w:keepLines w:val="0"/>
        <w:widowControl/>
        <w:suppressLineNumbers w:val="0"/>
        <w:jc w:val="both"/>
        <w:rPr>
          <w:rFonts w:hint="eastAsia" w:ascii="宋体" w:hAnsi="宋体" w:eastAsia="宋体" w:cs="宋体"/>
          <w:b w:val="0"/>
          <w:bCs w:val="0"/>
          <w:i w:val="0"/>
          <w:iCs w:val="0"/>
          <w:color w:val="000000"/>
          <w:kern w:val="0"/>
          <w:sz w:val="24"/>
          <w:szCs w:val="24"/>
          <w:lang w:val="en-US" w:eastAsia="zh-CN" w:bidi="ar"/>
        </w:rPr>
      </w:pPr>
    </w:p>
    <w:p w14:paraId="00D2150A">
      <w:pPr>
        <w:keepNext w:val="0"/>
        <w:keepLines w:val="0"/>
        <w:widowControl/>
        <w:suppressLineNumbers w:val="0"/>
        <w:jc w:val="both"/>
      </w:pPr>
      <w:r>
        <w:rPr>
          <w:rFonts w:hint="eastAsia" w:ascii="宋体" w:hAnsi="宋体" w:eastAsia="宋体" w:cs="宋体"/>
          <w:b w:val="0"/>
          <w:bCs w:val="0"/>
          <w:i w:val="0"/>
          <w:iCs w:val="0"/>
          <w:color w:val="000000"/>
          <w:kern w:val="0"/>
          <w:sz w:val="24"/>
          <w:szCs w:val="24"/>
          <w:lang w:val="en-US" w:eastAsia="zh-CN" w:bidi="ar"/>
        </w:rPr>
        <w:t>投标单位（投标人）名称：</w:t>
      </w:r>
    </w:p>
    <w:tbl>
      <w:tblPr>
        <w:tblStyle w:val="18"/>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851"/>
        <w:gridCol w:w="5149"/>
        <w:gridCol w:w="3000"/>
        <w:gridCol w:w="3881"/>
      </w:tblGrid>
      <w:tr w14:paraId="59A9DA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22"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C3B82F2">
            <w:pPr>
              <w:keepNext w:val="0"/>
              <w:keepLines w:val="0"/>
              <w:widowControl/>
              <w:suppressLineNumbers w:val="0"/>
              <w:jc w:val="center"/>
              <w:rPr>
                <w:rFonts w:hint="eastAsia" w:ascii="黑体" w:hAnsi="黑体" w:eastAsia="黑体" w:cs="黑体"/>
                <w:b w:val="0"/>
                <w:bCs w:val="0"/>
                <w:i w:val="0"/>
                <w:iCs w:val="0"/>
                <w:color w:val="000000"/>
                <w:kern w:val="0"/>
                <w:sz w:val="24"/>
                <w:szCs w:val="24"/>
                <w:lang w:val="en-US" w:eastAsia="zh-CN" w:bidi="ar"/>
              </w:rPr>
            </w:pPr>
            <w:r>
              <w:rPr>
                <w:rFonts w:hint="eastAsia" w:ascii="黑体" w:hAnsi="黑体" w:eastAsia="黑体" w:cs="黑体"/>
                <w:b w:val="0"/>
                <w:bCs w:val="0"/>
                <w:i w:val="0"/>
                <w:iCs w:val="0"/>
                <w:color w:val="000000"/>
                <w:kern w:val="0"/>
                <w:sz w:val="24"/>
                <w:szCs w:val="24"/>
                <w:lang w:val="en-US" w:eastAsia="zh-CN" w:bidi="ar"/>
              </w:rPr>
              <w:t>序 号</w:t>
            </w:r>
          </w:p>
        </w:tc>
        <w:tc>
          <w:tcPr>
            <w:tcW w:w="5149" w:type="dxa"/>
            <w:tcBorders>
              <w:top w:val="single" w:color="auto" w:sz="4" w:space="0"/>
              <w:left w:val="single" w:color="auto" w:sz="4" w:space="0"/>
              <w:bottom w:val="single" w:color="auto" w:sz="4" w:space="0"/>
              <w:right w:val="single" w:color="auto" w:sz="4" w:space="0"/>
            </w:tcBorders>
            <w:shd w:val="clear" w:color="auto" w:fill="auto"/>
            <w:vAlign w:val="center"/>
          </w:tcPr>
          <w:p w14:paraId="641BEB89">
            <w:pPr>
              <w:keepNext w:val="0"/>
              <w:keepLines w:val="0"/>
              <w:widowControl/>
              <w:suppressLineNumbers w:val="0"/>
              <w:jc w:val="center"/>
              <w:rPr>
                <w:rFonts w:hint="eastAsia" w:ascii="黑体" w:hAnsi="黑体" w:eastAsia="黑体" w:cs="黑体"/>
                <w:b w:val="0"/>
                <w:bCs w:val="0"/>
                <w:i w:val="0"/>
                <w:iCs w:val="0"/>
                <w:color w:val="000000"/>
                <w:kern w:val="0"/>
                <w:sz w:val="24"/>
                <w:szCs w:val="24"/>
                <w:lang w:val="en-US" w:eastAsia="zh-CN" w:bidi="ar"/>
              </w:rPr>
            </w:pPr>
            <w:r>
              <w:rPr>
                <w:rFonts w:hint="eastAsia" w:ascii="黑体" w:hAnsi="黑体" w:eastAsia="黑体" w:cs="黑体"/>
                <w:b w:val="0"/>
                <w:bCs w:val="0"/>
                <w:i w:val="0"/>
                <w:iCs w:val="0"/>
                <w:color w:val="000000"/>
                <w:kern w:val="0"/>
                <w:sz w:val="24"/>
                <w:szCs w:val="24"/>
                <w:lang w:val="en-US" w:eastAsia="zh-CN" w:bidi="ar"/>
              </w:rPr>
              <w:t>招标文件要求</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A7A56A3">
            <w:pPr>
              <w:keepNext w:val="0"/>
              <w:keepLines w:val="0"/>
              <w:widowControl/>
              <w:suppressLineNumbers w:val="0"/>
              <w:jc w:val="center"/>
              <w:rPr>
                <w:rFonts w:hint="eastAsia" w:ascii="黑体" w:hAnsi="黑体" w:eastAsia="黑体" w:cs="黑体"/>
                <w:b w:val="0"/>
                <w:bCs w:val="0"/>
                <w:i w:val="0"/>
                <w:iCs w:val="0"/>
                <w:color w:val="000000"/>
                <w:kern w:val="0"/>
                <w:sz w:val="24"/>
                <w:szCs w:val="24"/>
                <w:lang w:val="en-US" w:eastAsia="zh-CN" w:bidi="ar"/>
              </w:rPr>
            </w:pPr>
            <w:r>
              <w:rPr>
                <w:rFonts w:hint="eastAsia" w:ascii="黑体" w:hAnsi="黑体" w:eastAsia="黑体" w:cs="黑体"/>
                <w:b w:val="0"/>
                <w:bCs w:val="0"/>
                <w:i w:val="0"/>
                <w:iCs w:val="0"/>
                <w:color w:val="000000"/>
                <w:kern w:val="0"/>
                <w:sz w:val="24"/>
                <w:szCs w:val="24"/>
                <w:lang w:val="en-US" w:eastAsia="zh-CN" w:bidi="ar"/>
              </w:rPr>
              <w:t>投标文件响应</w:t>
            </w:r>
          </w:p>
        </w:tc>
        <w:tc>
          <w:tcPr>
            <w:tcW w:w="3881" w:type="dxa"/>
            <w:tcBorders>
              <w:top w:val="single" w:color="auto" w:sz="4" w:space="0"/>
              <w:left w:val="single" w:color="auto" w:sz="4" w:space="0"/>
              <w:bottom w:val="single" w:color="auto" w:sz="4" w:space="0"/>
              <w:right w:val="single" w:color="auto" w:sz="4" w:space="0"/>
            </w:tcBorders>
            <w:shd w:val="clear" w:color="auto" w:fill="auto"/>
            <w:vAlign w:val="center"/>
          </w:tcPr>
          <w:p w14:paraId="3F5F8687">
            <w:pPr>
              <w:keepNext w:val="0"/>
              <w:keepLines w:val="0"/>
              <w:widowControl/>
              <w:suppressLineNumbers w:val="0"/>
              <w:jc w:val="center"/>
              <w:rPr>
                <w:rFonts w:hint="eastAsia" w:ascii="黑体" w:hAnsi="黑体" w:eastAsia="黑体" w:cs="黑体"/>
                <w:b w:val="0"/>
                <w:bCs w:val="0"/>
                <w:i w:val="0"/>
                <w:iCs w:val="0"/>
                <w:color w:val="000000"/>
                <w:kern w:val="0"/>
                <w:sz w:val="24"/>
                <w:szCs w:val="24"/>
                <w:lang w:val="en-US" w:eastAsia="zh-CN" w:bidi="ar"/>
              </w:rPr>
            </w:pPr>
            <w:r>
              <w:rPr>
                <w:rFonts w:hint="eastAsia" w:ascii="黑体" w:hAnsi="黑体" w:eastAsia="黑体" w:cs="黑体"/>
                <w:b w:val="0"/>
                <w:bCs w:val="0"/>
                <w:i w:val="0"/>
                <w:iCs w:val="0"/>
                <w:color w:val="000000"/>
                <w:kern w:val="0"/>
                <w:sz w:val="24"/>
                <w:szCs w:val="24"/>
                <w:lang w:val="en-US" w:eastAsia="zh-CN" w:bidi="ar"/>
              </w:rPr>
              <w:t>说明</w:t>
            </w:r>
          </w:p>
        </w:tc>
      </w:tr>
      <w:tr w14:paraId="394C0D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F7F42C4">
            <w:pPr>
              <w:keepNext w:val="0"/>
              <w:keepLines w:val="0"/>
              <w:widowControl/>
              <w:suppressLineNumbers w:val="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w:t>
            </w:r>
          </w:p>
        </w:tc>
        <w:tc>
          <w:tcPr>
            <w:tcW w:w="5149" w:type="dxa"/>
            <w:tcBorders>
              <w:top w:val="single" w:color="auto" w:sz="4" w:space="0"/>
              <w:left w:val="single" w:color="auto" w:sz="4" w:space="0"/>
              <w:bottom w:val="single" w:color="auto" w:sz="4" w:space="0"/>
              <w:right w:val="single" w:color="auto" w:sz="4" w:space="0"/>
            </w:tcBorders>
            <w:shd w:val="clear" w:color="auto" w:fill="auto"/>
            <w:vAlign w:val="center"/>
          </w:tcPr>
          <w:p w14:paraId="35853310">
            <w:pPr>
              <w:spacing w:beforeLines="100" w:afterLines="50" w:line="360" w:lineRule="auto"/>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《第二章 院内公开采购项目需求》中所有条款要求。</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6C9D22D">
            <w:pPr>
              <w:keepNext w:val="0"/>
              <w:keepLines w:val="0"/>
              <w:widowControl/>
              <w:suppressLineNumbers w:val="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我公司完全响应满足招</w:t>
            </w:r>
          </w:p>
          <w:p w14:paraId="40888D9E">
            <w:pPr>
              <w:keepNext w:val="0"/>
              <w:keepLines w:val="0"/>
              <w:widowControl/>
              <w:suppressLineNumbers w:val="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标文件中此项要求。</w:t>
            </w:r>
          </w:p>
        </w:tc>
        <w:tc>
          <w:tcPr>
            <w:tcW w:w="3881" w:type="dxa"/>
            <w:tcBorders>
              <w:top w:val="single" w:color="auto" w:sz="4" w:space="0"/>
              <w:left w:val="single" w:color="auto" w:sz="4" w:space="0"/>
              <w:bottom w:val="single" w:color="auto" w:sz="4" w:space="0"/>
              <w:right w:val="single" w:color="auto" w:sz="4" w:space="0"/>
            </w:tcBorders>
            <w:shd w:val="clear" w:color="auto" w:fill="auto"/>
            <w:vAlign w:val="center"/>
          </w:tcPr>
          <w:p w14:paraId="55959344">
            <w:pPr>
              <w:keepNext w:val="0"/>
              <w:keepLines w:val="0"/>
              <w:widowControl/>
              <w:suppressLineNumbers w:val="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无偏离</w:t>
            </w:r>
          </w:p>
        </w:tc>
      </w:tr>
    </w:tbl>
    <w:p w14:paraId="742E052C">
      <w:pPr>
        <w:numPr>
          <w:ilvl w:val="0"/>
          <w:numId w:val="0"/>
        </w:numPr>
        <w:spacing w:line="500" w:lineRule="exact"/>
        <w:ind w:leftChars="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填写说明：</w:t>
      </w:r>
    </w:p>
    <w:p w14:paraId="07FDB86B">
      <w:pPr>
        <w:numPr>
          <w:ilvl w:val="0"/>
          <w:numId w:val="0"/>
        </w:numPr>
        <w:spacing w:line="500" w:lineRule="exact"/>
        <w:ind w:leftChars="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如投标人完全响应满足本表【招标文件要求】栏中内容的，建议投标人在对应的【投标文件响应】栏中填写“我公司完全响应满足招标文件中此项要求”即可，除招标文件另有注明外，不强制要求逐条列出响应；</w:t>
      </w:r>
    </w:p>
    <w:p w14:paraId="603096F9">
      <w:pPr>
        <w:numPr>
          <w:ilvl w:val="0"/>
          <w:numId w:val="0"/>
        </w:numPr>
        <w:spacing w:line="500" w:lineRule="exact"/>
        <w:ind w:leftChars="0"/>
        <w:jc w:val="left"/>
        <w:rPr>
          <w:rFonts w:hint="eastAsia"/>
          <w:lang w:eastAsia="zh-CN"/>
        </w:rPr>
        <w:sectPr>
          <w:pgSz w:w="16838" w:h="11906" w:orient="landscape"/>
          <w:pgMar w:top="1304" w:right="1414" w:bottom="1474" w:left="1984" w:header="851" w:footer="1417" w:gutter="0"/>
          <w:pgNumType w:fmt="numberInDash"/>
          <w:cols w:space="0" w:num="1"/>
          <w:docGrid w:type="lines" w:linePitch="327" w:charSpace="0"/>
        </w:sectPr>
      </w:pPr>
      <w:r>
        <w:rPr>
          <w:rFonts w:hint="eastAsia" w:ascii="仿宋" w:hAnsi="仿宋" w:eastAsia="仿宋" w:cs="仿宋"/>
          <w:sz w:val="28"/>
          <w:szCs w:val="28"/>
          <w:lang w:val="en-US" w:eastAsia="zh-CN"/>
        </w:rPr>
        <w:t xml:space="preserve">2.如投标人响应情况优于或低于招标要求的，应在【投标文件响应】栏中作详细说明。 </w:t>
      </w:r>
    </w:p>
    <w:p w14:paraId="32FEE613">
      <w:pPr>
        <w:pStyle w:val="8"/>
        <w:rPr>
          <w:rFonts w:hint="eastAsia"/>
          <w:highlight w:val="none"/>
        </w:rPr>
      </w:pPr>
    </w:p>
    <w:p w14:paraId="10718F11">
      <w:pPr>
        <w:rPr>
          <w:highlight w:val="none"/>
        </w:rPr>
      </w:pPr>
    </w:p>
    <w:p w14:paraId="46603516">
      <w:pPr>
        <w:keepLines w:val="0"/>
        <w:pageBreakBefore w:val="0"/>
        <w:tabs>
          <w:tab w:val="left" w:pos="0"/>
        </w:tabs>
        <w:kinsoku/>
        <w:wordWrap/>
        <w:overflowPunct/>
        <w:topLinePunct w:val="0"/>
        <w:bidi w:val="0"/>
        <w:snapToGrid w:val="0"/>
        <w:spacing w:line="560" w:lineRule="exact"/>
        <w:rPr>
          <w:rFonts w:hint="eastAsia" w:ascii="仿宋" w:hAnsi="仿宋" w:eastAsia="仿宋" w:cs="仿宋"/>
          <w:b/>
          <w:bCs/>
          <w:color w:val="auto"/>
          <w:sz w:val="32"/>
          <w:szCs w:val="32"/>
          <w:highlight w:val="none"/>
        </w:rPr>
      </w:pPr>
    </w:p>
    <w:p w14:paraId="02352D23">
      <w:pPr>
        <w:keepLines w:val="0"/>
        <w:pageBreakBefore w:val="0"/>
        <w:tabs>
          <w:tab w:val="left" w:pos="0"/>
        </w:tabs>
        <w:kinsoku/>
        <w:wordWrap/>
        <w:overflowPunct/>
        <w:topLinePunct w:val="0"/>
        <w:bidi w:val="0"/>
        <w:snapToGrid w:val="0"/>
        <w:spacing w:line="560" w:lineRule="exact"/>
        <w:rPr>
          <w:rFonts w:ascii="仿宋" w:hAnsi="仿宋" w:eastAsia="仿宋" w:cs="仿宋"/>
          <w:b/>
          <w:color w:val="auto"/>
          <w:kern w:val="0"/>
          <w:sz w:val="28"/>
          <w:szCs w:val="28"/>
          <w:highlight w:val="none"/>
        </w:rPr>
      </w:pPr>
      <w:r>
        <w:rPr>
          <w:rFonts w:hint="eastAsia" w:ascii="仿宋" w:hAnsi="仿宋" w:eastAsia="仿宋" w:cs="仿宋"/>
          <w:b/>
          <w:bCs/>
          <w:color w:val="auto"/>
          <w:sz w:val="32"/>
          <w:szCs w:val="32"/>
          <w:highlight w:val="none"/>
        </w:rPr>
        <w:t>合同模板</w:t>
      </w:r>
      <w:r>
        <w:rPr>
          <w:rFonts w:hint="eastAsia" w:ascii="仿宋" w:hAnsi="仿宋" w:eastAsia="仿宋" w:cs="仿宋"/>
          <w:b/>
          <w:bCs/>
          <w:color w:val="auto"/>
          <w:sz w:val="32"/>
          <w:szCs w:val="32"/>
          <w:highlight w:val="none"/>
          <w:lang w:eastAsia="zh-CN"/>
        </w:rPr>
        <w:t>（</w:t>
      </w:r>
      <w:r>
        <w:rPr>
          <w:rFonts w:hint="eastAsia" w:ascii="仿宋" w:hAnsi="仿宋" w:eastAsia="仿宋" w:cs="仿宋"/>
          <w:b/>
          <w:color w:val="auto"/>
          <w:kern w:val="0"/>
          <w:sz w:val="28"/>
          <w:szCs w:val="28"/>
          <w:highlight w:val="none"/>
        </w:rPr>
        <w:t>合同模板仅供参考，中标人根据招投标文件拟定</w:t>
      </w:r>
      <w:r>
        <w:rPr>
          <w:rFonts w:hint="eastAsia" w:ascii="仿宋" w:hAnsi="仿宋" w:eastAsia="仿宋" w:cs="仿宋"/>
          <w:b/>
          <w:color w:val="auto"/>
          <w:kern w:val="0"/>
          <w:sz w:val="28"/>
          <w:szCs w:val="28"/>
          <w:highlight w:val="none"/>
          <w:lang w:eastAsia="zh-CN"/>
        </w:rPr>
        <w:t>）</w:t>
      </w:r>
    </w:p>
    <w:p w14:paraId="192502F1">
      <w:pPr>
        <w:keepLines w:val="0"/>
        <w:pageBreakBefore w:val="0"/>
        <w:kinsoku/>
        <w:wordWrap/>
        <w:overflowPunct/>
        <w:topLinePunct w:val="0"/>
        <w:bidi w:val="0"/>
        <w:spacing w:line="560" w:lineRule="exact"/>
        <w:rPr>
          <w:color w:val="auto"/>
          <w:highlight w:val="none"/>
        </w:rPr>
      </w:pPr>
    </w:p>
    <w:p w14:paraId="2C9B5FD5">
      <w:pPr>
        <w:keepLines w:val="0"/>
        <w:pageBreakBefore w:val="0"/>
        <w:widowControl/>
        <w:kinsoku/>
        <w:wordWrap/>
        <w:overflowPunct/>
        <w:topLinePunct w:val="0"/>
        <w:bidi w:val="0"/>
        <w:spacing w:line="560" w:lineRule="exact"/>
        <w:jc w:val="center"/>
        <w:textAlignment w:val="center"/>
        <w:rPr>
          <w:color w:val="auto"/>
          <w:highlight w:val="none"/>
        </w:rPr>
      </w:pPr>
      <w:r>
        <w:rPr>
          <w:rFonts w:hint="eastAsia" w:ascii="宋体" w:hAnsi="宋体" w:cs="宋体"/>
          <w:color w:val="auto"/>
          <w:kern w:val="0"/>
          <w:sz w:val="44"/>
          <w:szCs w:val="44"/>
          <w:highlight w:val="none"/>
          <w:lang w:bidi="ar"/>
        </w:rPr>
        <w:t>龙岗区第七人民医院采购合同</w:t>
      </w:r>
    </w:p>
    <w:p w14:paraId="3ED20257">
      <w:pPr>
        <w:keepLines w:val="0"/>
        <w:pageBreakBefore w:val="0"/>
        <w:kinsoku/>
        <w:wordWrap/>
        <w:overflowPunct/>
        <w:topLinePunct w:val="0"/>
        <w:bidi w:val="0"/>
        <w:spacing w:line="560" w:lineRule="exact"/>
        <w:ind w:firstLine="560" w:firstLineChars="200"/>
        <w:rPr>
          <w:rFonts w:ascii="仿宋" w:hAnsi="仿宋" w:eastAsia="仿宋" w:cs="仿宋"/>
          <w:color w:val="auto"/>
          <w:sz w:val="28"/>
          <w:szCs w:val="28"/>
          <w:highlight w:val="none"/>
        </w:rPr>
      </w:pPr>
    </w:p>
    <w:p w14:paraId="0F1B11C3">
      <w:pPr>
        <w:keepLines w:val="0"/>
        <w:pageBreakBefore w:val="0"/>
        <w:kinsoku/>
        <w:wordWrap/>
        <w:overflowPunct/>
        <w:topLinePunct w:val="0"/>
        <w:bidi w:val="0"/>
        <w:spacing w:line="560" w:lineRule="exact"/>
        <w:ind w:left="1959" w:leftChars="266" w:hanging="1400" w:hangingChars="5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项目名称：</w:t>
      </w:r>
      <w:r>
        <w:rPr>
          <w:rFonts w:hint="eastAsia" w:ascii="仿宋_GB2312" w:hAnsi="仿宋_GB2312" w:eastAsia="仿宋_GB2312" w:cs="仿宋_GB2312"/>
          <w:color w:val="auto"/>
          <w:sz w:val="32"/>
          <w:szCs w:val="32"/>
          <w:highlight w:val="none"/>
          <w:lang w:val="en-US" w:eastAsia="zh-CN"/>
        </w:rPr>
        <w:t>深圳市龙岗区第七人民医院XXXXXX采购项目</w:t>
      </w:r>
    </w:p>
    <w:p w14:paraId="3109FBCD">
      <w:pPr>
        <w:keepLines w:val="0"/>
        <w:pageBreakBefore w:val="0"/>
        <w:kinsoku/>
        <w:wordWrap/>
        <w:overflowPunct/>
        <w:topLinePunct w:val="0"/>
        <w:bidi w:val="0"/>
        <w:spacing w:line="560" w:lineRule="exact"/>
        <w:ind w:firstLine="560" w:firstLineChars="2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项目编号：</w:t>
      </w:r>
      <w:r>
        <w:rPr>
          <w:rFonts w:hint="eastAsia" w:ascii="仿宋" w:hAnsi="仿宋" w:eastAsia="仿宋" w:cs="仿宋_GB2312"/>
          <w:color w:val="auto"/>
          <w:sz w:val="28"/>
          <w:szCs w:val="28"/>
          <w:highlight w:val="none"/>
          <w:u w:val="single"/>
        </w:rPr>
        <w:t>深龙七医采【】号</w:t>
      </w:r>
    </w:p>
    <w:p w14:paraId="3A1395A2">
      <w:pPr>
        <w:keepLines w:val="0"/>
        <w:pageBreakBefore w:val="0"/>
        <w:kinsoku/>
        <w:wordWrap/>
        <w:overflowPunct/>
        <w:topLinePunct w:val="0"/>
        <w:bidi w:val="0"/>
        <w:spacing w:line="560" w:lineRule="exact"/>
        <w:ind w:firstLine="560" w:firstLineChars="200"/>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项目类型：</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u w:val="single"/>
          <w:lang w:val="en-US" w:eastAsia="zh-CN"/>
        </w:rPr>
        <w:t>货物类</w:t>
      </w:r>
    </w:p>
    <w:p w14:paraId="20E67E95">
      <w:pPr>
        <w:keepLines w:val="0"/>
        <w:pageBreakBefore w:val="0"/>
        <w:kinsoku/>
        <w:wordWrap/>
        <w:overflowPunct/>
        <w:topLinePunct w:val="0"/>
        <w:bidi w:val="0"/>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采购单位（甲方）：</w:t>
      </w:r>
      <w:r>
        <w:rPr>
          <w:rFonts w:hint="eastAsia" w:ascii="仿宋" w:hAnsi="仿宋" w:eastAsia="仿宋"/>
          <w:color w:val="auto"/>
          <w:sz w:val="28"/>
          <w:szCs w:val="28"/>
          <w:highlight w:val="none"/>
          <w:u w:val="single"/>
        </w:rPr>
        <w:t>深圳市龙岗区第七人民医院</w:t>
      </w:r>
    </w:p>
    <w:p w14:paraId="6066E115">
      <w:pPr>
        <w:keepLines w:val="0"/>
        <w:pageBreakBefore w:val="0"/>
        <w:kinsoku/>
        <w:wordWrap/>
        <w:overflowPunct/>
        <w:topLinePunct w:val="0"/>
        <w:bidi w:val="0"/>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供 应 商（乙方）：</w:t>
      </w:r>
    </w:p>
    <w:p w14:paraId="3D265731">
      <w:pPr>
        <w:keepLines w:val="0"/>
        <w:pageBreakBefore w:val="0"/>
        <w:kinsoku/>
        <w:wordWrap/>
        <w:overflowPunct/>
        <w:topLinePunct w:val="0"/>
        <w:bidi w:val="0"/>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根据《中华人民共和国政府采购法》《中华人民共和国民法典》《深圳经济特区政府采购条例实施细则》《深圳经济特区政府采购条例》等法律法规的规定，甲乙双方按照</w:t>
      </w:r>
      <w:r>
        <w:rPr>
          <w:rFonts w:hint="eastAsia" w:ascii="仿宋" w:hAnsi="仿宋" w:eastAsia="仿宋" w:cs="仿宋"/>
          <w:color w:val="auto"/>
          <w:sz w:val="28"/>
          <w:szCs w:val="28"/>
          <w:highlight w:val="none"/>
          <w:u w:val="single"/>
        </w:rPr>
        <w:t>龙岗区第七人民医院</w:t>
      </w:r>
      <w:r>
        <w:rPr>
          <w:rFonts w:hint="eastAsia" w:ascii="仿宋" w:hAnsi="仿宋" w:eastAsia="仿宋" w:cs="仿宋"/>
          <w:color w:val="auto"/>
          <w:sz w:val="28"/>
          <w:szCs w:val="28"/>
          <w:highlight w:val="none"/>
        </w:rPr>
        <w:t>的招标结果并经双方协商签订本合同。</w:t>
      </w:r>
    </w:p>
    <w:p w14:paraId="6A112B40">
      <w:pPr>
        <w:keepLines w:val="0"/>
        <w:pageBreakBefore w:val="0"/>
        <w:kinsoku/>
        <w:wordWrap/>
        <w:overflowPunct/>
        <w:topLinePunct w:val="0"/>
        <w:bidi w:val="0"/>
        <w:spacing w:line="560" w:lineRule="exact"/>
        <w:ind w:firstLine="562"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第一条  合同标的</w:t>
      </w:r>
    </w:p>
    <w:p w14:paraId="069347D9">
      <w:pPr>
        <w:keepLines w:val="0"/>
        <w:pageBreakBefore w:val="0"/>
        <w:widowControl/>
        <w:kinsoku/>
        <w:wordWrap/>
        <w:overflowPunct/>
        <w:topLinePunct w:val="0"/>
        <w:bidi w:val="0"/>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乙方根据甲方需求提供下列货物：</w:t>
      </w:r>
    </w:p>
    <w:p w14:paraId="5D73F79E">
      <w:pPr>
        <w:keepLines w:val="0"/>
        <w:pageBreakBefore w:val="0"/>
        <w:widowControl/>
        <w:kinsoku/>
        <w:wordWrap/>
        <w:overflowPunct/>
        <w:topLinePunct w:val="0"/>
        <w:bidi w:val="0"/>
        <w:spacing w:line="560" w:lineRule="exact"/>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货物名称、规格及单价</w:t>
      </w:r>
      <w:r>
        <w:rPr>
          <w:rFonts w:hint="eastAsia" w:ascii="仿宋" w:hAnsi="仿宋" w:eastAsia="仿宋" w:cs="宋体"/>
          <w:color w:val="auto"/>
          <w:sz w:val="28"/>
          <w:szCs w:val="28"/>
          <w:highlight w:val="none"/>
          <w:u w:val="single"/>
        </w:rPr>
        <w:t>见附件 “供货一览表”</w:t>
      </w:r>
      <w:r>
        <w:rPr>
          <w:rFonts w:hint="eastAsia" w:ascii="仿宋" w:hAnsi="仿宋" w:eastAsia="仿宋" w:cs="宋体"/>
          <w:color w:val="auto"/>
          <w:sz w:val="28"/>
          <w:szCs w:val="28"/>
          <w:highlight w:val="none"/>
        </w:rPr>
        <w:t>。</w:t>
      </w:r>
    </w:p>
    <w:p w14:paraId="17310B9C">
      <w:pPr>
        <w:keepLines w:val="0"/>
        <w:pageBreakBefore w:val="0"/>
        <w:widowControl/>
        <w:kinsoku/>
        <w:wordWrap/>
        <w:overflowPunct/>
        <w:topLinePunct w:val="0"/>
        <w:bidi w:val="0"/>
        <w:spacing w:line="560" w:lineRule="exact"/>
        <w:ind w:firstLine="562" w:firstLineChars="200"/>
        <w:rPr>
          <w:rFonts w:ascii="仿宋" w:hAnsi="仿宋" w:eastAsia="仿宋" w:cs="仿宋"/>
          <w:color w:val="auto"/>
          <w:sz w:val="28"/>
          <w:szCs w:val="28"/>
          <w:highlight w:val="none"/>
        </w:rPr>
      </w:pPr>
      <w:r>
        <w:rPr>
          <w:rFonts w:hint="eastAsia" w:ascii="仿宋" w:hAnsi="仿宋" w:eastAsia="仿宋" w:cs="仿宋"/>
          <w:b/>
          <w:color w:val="auto"/>
          <w:sz w:val="28"/>
          <w:szCs w:val="28"/>
          <w:highlight w:val="none"/>
        </w:rPr>
        <w:t>第二条  合同总价款</w:t>
      </w:r>
    </w:p>
    <w:p w14:paraId="3CB97A93">
      <w:pPr>
        <w:pStyle w:val="25"/>
        <w:keepLines w:val="0"/>
        <w:pageBreakBefore w:val="0"/>
        <w:kinsoku/>
        <w:wordWrap/>
        <w:overflowPunct/>
        <w:topLinePunct w:val="0"/>
        <w:bidi w:val="0"/>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1.本合同总金额为（大写）人民币</w:t>
      </w:r>
      <w:r>
        <w:rPr>
          <w:rFonts w:hint="eastAsia" w:ascii="仿宋" w:hAnsi="仿宋" w:eastAsia="仿宋" w:cs="宋体"/>
          <w:b/>
          <w:color w:val="auto"/>
          <w:sz w:val="28"/>
          <w:szCs w:val="28"/>
          <w:highlight w:val="none"/>
          <w:u w:val="single"/>
        </w:rPr>
        <w:t xml:space="preserve">     元整</w:t>
      </w:r>
      <w:r>
        <w:rPr>
          <w:rFonts w:hint="eastAsia" w:ascii="仿宋" w:hAnsi="仿宋" w:eastAsia="仿宋" w:cs="仿宋"/>
          <w:color w:val="auto"/>
          <w:sz w:val="28"/>
          <w:szCs w:val="28"/>
          <w:highlight w:val="none"/>
        </w:rPr>
        <w:t>（）。</w:t>
      </w:r>
    </w:p>
    <w:p w14:paraId="74FFADC8">
      <w:pPr>
        <w:pStyle w:val="25"/>
        <w:keepLines w:val="0"/>
        <w:pageBreakBefore w:val="0"/>
        <w:kinsoku/>
        <w:wordWrap/>
        <w:overflowPunct/>
        <w:topLinePunct w:val="0"/>
        <w:bidi w:val="0"/>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 本合同金额</w:t>
      </w:r>
      <w:r>
        <w:rPr>
          <w:rFonts w:hint="eastAsia" w:ascii="仿宋" w:hAnsi="仿宋" w:eastAsia="仿宋" w:cs="仿宋_GB2312"/>
          <w:color w:val="auto"/>
          <w:sz w:val="28"/>
          <w:szCs w:val="28"/>
          <w:highlight w:val="none"/>
        </w:rPr>
        <w:t>包含货物价格及货物的包装费、运输费、保修费、保险费、伴随服务费及货物验收之前的所有含税金额。</w:t>
      </w:r>
    </w:p>
    <w:p w14:paraId="75515DBB">
      <w:pPr>
        <w:pStyle w:val="25"/>
        <w:keepLines w:val="0"/>
        <w:pageBreakBefore w:val="0"/>
        <w:kinsoku/>
        <w:wordWrap/>
        <w:overflowPunct/>
        <w:topLinePunct w:val="0"/>
        <w:bidi w:val="0"/>
        <w:spacing w:line="560" w:lineRule="exact"/>
        <w:ind w:firstLine="562"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第三条  组成本合同的有关文件</w:t>
      </w:r>
    </w:p>
    <w:p w14:paraId="296C75F0">
      <w:pPr>
        <w:pStyle w:val="25"/>
        <w:keepLines w:val="0"/>
        <w:pageBreakBefore w:val="0"/>
        <w:kinsoku/>
        <w:wordWrap/>
        <w:overflowPunct/>
        <w:topLinePunct w:val="0"/>
        <w:bidi w:val="0"/>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下列关于采购（项目编号</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的招投标文件或与本次采购活动方式相适应的文件及有关附件是本合同不可分割的组成部分，与本合同具有同等法律效力，这些文件包括但不限于：</w:t>
      </w:r>
    </w:p>
    <w:p w14:paraId="3BB6BB68">
      <w:pPr>
        <w:pStyle w:val="25"/>
        <w:keepLines w:val="0"/>
        <w:pageBreakBefore w:val="0"/>
        <w:kinsoku/>
        <w:wordWrap/>
        <w:overflowPunct/>
        <w:topLinePunct w:val="0"/>
        <w:bidi w:val="0"/>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（1）乙方提供的投标文件（含澄清文件）和投标报价表；</w:t>
      </w:r>
    </w:p>
    <w:p w14:paraId="7AE06DBB">
      <w:pPr>
        <w:pStyle w:val="25"/>
        <w:keepLines w:val="0"/>
        <w:pageBreakBefore w:val="0"/>
        <w:kinsoku/>
        <w:wordWrap/>
        <w:overflowPunct/>
        <w:topLinePunct w:val="0"/>
        <w:bidi w:val="0"/>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（2）供货一览表；　　    （3）交货地点一览表；</w:t>
      </w:r>
    </w:p>
    <w:p w14:paraId="16FC85E1">
      <w:pPr>
        <w:pStyle w:val="25"/>
        <w:keepLines w:val="0"/>
        <w:pageBreakBefore w:val="0"/>
        <w:kinsoku/>
        <w:wordWrap/>
        <w:overflowPunct/>
        <w:topLinePunct w:val="0"/>
        <w:bidi w:val="0"/>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（4）技术规格响应表；　　（5）投标承诺；</w:t>
      </w:r>
    </w:p>
    <w:p w14:paraId="3D0AFD02">
      <w:pPr>
        <w:pStyle w:val="25"/>
        <w:keepLines w:val="0"/>
        <w:pageBreakBefore w:val="0"/>
        <w:kinsoku/>
        <w:wordWrap/>
        <w:overflowPunct/>
        <w:topLinePunct w:val="0"/>
        <w:bidi w:val="0"/>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（6）服务承诺；　　      （7）中标或成交通知书；</w:t>
      </w:r>
    </w:p>
    <w:p w14:paraId="10F80D6E">
      <w:pPr>
        <w:pStyle w:val="25"/>
        <w:keepLines w:val="0"/>
        <w:pageBreakBefore w:val="0"/>
        <w:kinsoku/>
        <w:wordWrap/>
        <w:overflowPunct/>
        <w:topLinePunct w:val="0"/>
        <w:bidi w:val="0"/>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（8）招标文件（含招标文件补充通知）；</w:t>
      </w:r>
    </w:p>
    <w:p w14:paraId="20E7FECE">
      <w:pPr>
        <w:pStyle w:val="25"/>
        <w:keepLines w:val="0"/>
        <w:pageBreakBefore w:val="0"/>
        <w:widowControl w:val="0"/>
        <w:kinsoku/>
        <w:wordWrap/>
        <w:overflowPunct/>
        <w:topLinePunct w:val="0"/>
        <w:bidi w:val="0"/>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（9）甲乙双方商定的其他合同补充条款或协议。 </w:t>
      </w:r>
    </w:p>
    <w:p w14:paraId="63B099CD">
      <w:pPr>
        <w:keepLines w:val="0"/>
        <w:pageBreakBefore w:val="0"/>
        <w:kinsoku/>
        <w:wordWrap/>
        <w:overflowPunct/>
        <w:topLinePunct w:val="0"/>
        <w:bidi w:val="0"/>
        <w:spacing w:line="560" w:lineRule="exact"/>
        <w:ind w:firstLine="562" w:firstLineChars="200"/>
        <w:rPr>
          <w:rFonts w:ascii="仿宋" w:hAnsi="仿宋" w:eastAsia="仿宋" w:cs="宋体"/>
          <w:b/>
          <w:color w:val="auto"/>
          <w:sz w:val="28"/>
          <w:szCs w:val="28"/>
          <w:highlight w:val="none"/>
        </w:rPr>
      </w:pPr>
      <w:r>
        <w:rPr>
          <w:rFonts w:hint="eastAsia" w:ascii="仿宋" w:hAnsi="仿宋" w:eastAsia="仿宋" w:cs="宋体"/>
          <w:b/>
          <w:color w:val="auto"/>
          <w:sz w:val="28"/>
          <w:szCs w:val="28"/>
          <w:highlight w:val="none"/>
        </w:rPr>
        <w:t>第四条  权利保证</w:t>
      </w:r>
    </w:p>
    <w:p w14:paraId="2AA18C6B">
      <w:pPr>
        <w:keepLines w:val="0"/>
        <w:pageBreakBefore w:val="0"/>
        <w:kinsoku/>
        <w:wordWrap/>
        <w:overflowPunct/>
        <w:topLinePunct w:val="0"/>
        <w:bidi w:val="0"/>
        <w:spacing w:line="560" w:lineRule="exact"/>
        <w:ind w:firstLine="560" w:firstLineChars="200"/>
        <w:rPr>
          <w:rFonts w:ascii="仿宋" w:hAnsi="仿宋" w:eastAsia="仿宋" w:cs="仿宋"/>
          <w:b/>
          <w:color w:val="auto"/>
          <w:sz w:val="28"/>
          <w:szCs w:val="28"/>
          <w:highlight w:val="none"/>
        </w:rPr>
      </w:pPr>
      <w:r>
        <w:rPr>
          <w:rFonts w:hint="eastAsia" w:ascii="仿宋" w:hAnsi="仿宋" w:eastAsia="仿宋" w:cs="宋体"/>
          <w:color w:val="auto"/>
          <w:sz w:val="28"/>
          <w:szCs w:val="28"/>
          <w:highlight w:val="none"/>
        </w:rPr>
        <w:t>乙方应保证甲方在使用、接受本合同货物和服务或其任何一部分时不受第三方提出侵犯其专利权、版权、商标权和工业设计权等知识产权以及所有权、使用权等物权方面的起诉。</w:t>
      </w:r>
      <w:r>
        <w:rPr>
          <w:rFonts w:hint="eastAsia" w:ascii="仿宋" w:hAnsi="仿宋" w:eastAsia="仿宋" w:cs="仿宋"/>
          <w:color w:val="auto"/>
          <w:sz w:val="28"/>
          <w:szCs w:val="28"/>
          <w:highlight w:val="none"/>
        </w:rPr>
        <w:t>一旦出现侵权相关纠纷</w:t>
      </w:r>
      <w:r>
        <w:rPr>
          <w:rFonts w:hint="eastAsia" w:ascii="仿宋" w:hAnsi="仿宋" w:eastAsia="仿宋" w:cs="宋体"/>
          <w:color w:val="auto"/>
          <w:sz w:val="28"/>
          <w:szCs w:val="28"/>
          <w:highlight w:val="none"/>
        </w:rPr>
        <w:t>，</w:t>
      </w:r>
      <w:r>
        <w:rPr>
          <w:rFonts w:hint="eastAsia" w:ascii="仿宋" w:hAnsi="仿宋" w:eastAsia="仿宋" w:cs="仿宋"/>
          <w:color w:val="auto"/>
          <w:sz w:val="28"/>
          <w:szCs w:val="28"/>
          <w:highlight w:val="none"/>
        </w:rPr>
        <w:t>由乙方负全部责任包含因此纠纷甲方支付的全部赔偿和费用。</w:t>
      </w:r>
    </w:p>
    <w:p w14:paraId="74F985E4">
      <w:pPr>
        <w:keepLines w:val="0"/>
        <w:pageBreakBefore w:val="0"/>
        <w:kinsoku/>
        <w:wordWrap/>
        <w:overflowPunct/>
        <w:topLinePunct w:val="0"/>
        <w:bidi w:val="0"/>
        <w:spacing w:line="560" w:lineRule="exact"/>
        <w:ind w:firstLine="562"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第五条  质量保证  </w:t>
      </w:r>
    </w:p>
    <w:p w14:paraId="1D861C5C">
      <w:pPr>
        <w:keepLines w:val="0"/>
        <w:pageBreakBefore w:val="0"/>
        <w:kinsoku/>
        <w:wordWrap/>
        <w:overflowPunct/>
        <w:topLinePunct w:val="0"/>
        <w:bidi w:val="0"/>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1.乙方所提供的货物的技术规格符合招标文件规定的技术规格，货物符合中华人民共和国的设计和制造生产标准或行业标准。</w:t>
      </w:r>
    </w:p>
    <w:p w14:paraId="2AADB64E">
      <w:pPr>
        <w:keepLines w:val="0"/>
        <w:pageBreakBefore w:val="0"/>
        <w:kinsoku/>
        <w:wordWrap/>
        <w:overflowPunct/>
        <w:topLinePunct w:val="0"/>
        <w:bidi w:val="0"/>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2.乙方应保证货物是全新、未使用过的原装合格正品（包括零部件），并完全符合甲方要求的质量、规格和性能的要求。如货物安装或配置了软件的，乙方保证相关软件均为正版软件。</w:t>
      </w:r>
    </w:p>
    <w:p w14:paraId="3EB1D4F2">
      <w:pPr>
        <w:keepLines w:val="0"/>
        <w:pageBreakBefore w:val="0"/>
        <w:kinsoku/>
        <w:wordWrap/>
        <w:overflowPunct/>
        <w:topLinePunct w:val="0"/>
        <w:bidi w:val="0"/>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3.乙方保证交货时一并提供货物的质量合格凭证或文件。</w:t>
      </w:r>
    </w:p>
    <w:p w14:paraId="141FE22F">
      <w:pPr>
        <w:keepLines w:val="0"/>
        <w:pageBreakBefore w:val="0"/>
        <w:kinsoku/>
        <w:wordWrap/>
        <w:overflowPunct/>
        <w:topLinePunct w:val="0"/>
        <w:bidi w:val="0"/>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4.乙方应保证其提供的货物在正确安装、正常使用和保养</w:t>
      </w:r>
      <w:r>
        <w:rPr>
          <w:rFonts w:hint="eastAsia" w:ascii="仿宋" w:hAnsi="仿宋" w:eastAsia="仿宋" w:cs="仿宋"/>
          <w:color w:val="auto"/>
          <w:sz w:val="28"/>
          <w:szCs w:val="28"/>
          <w:highlight w:val="none"/>
          <w:u w:val="none"/>
        </w:rPr>
        <w:t>条件</w:t>
      </w:r>
      <w:r>
        <w:rPr>
          <w:rFonts w:hint="eastAsia" w:ascii="仿宋" w:hAnsi="仿宋" w:eastAsia="仿宋" w:cs="仿宋"/>
          <w:color w:val="auto"/>
          <w:sz w:val="28"/>
          <w:szCs w:val="28"/>
          <w:highlight w:val="none"/>
        </w:rPr>
        <w:t>下，在其使用寿命内具有良好的性能。</w:t>
      </w:r>
    </w:p>
    <w:p w14:paraId="7DD378B0">
      <w:pPr>
        <w:keepLines w:val="0"/>
        <w:pageBreakBefore w:val="0"/>
        <w:kinsoku/>
        <w:wordWrap/>
        <w:overflowPunct/>
        <w:topLinePunct w:val="0"/>
        <w:bidi w:val="0"/>
        <w:spacing w:line="560" w:lineRule="exact"/>
        <w:ind w:firstLine="560" w:firstLineChars="200"/>
        <w:rPr>
          <w:rFonts w:ascii="仿宋" w:hAnsi="仿宋" w:eastAsia="仿宋" w:cs="宋体"/>
          <w:color w:val="auto"/>
          <w:sz w:val="28"/>
          <w:szCs w:val="28"/>
          <w:highlight w:val="none"/>
        </w:rPr>
      </w:pPr>
      <w:r>
        <w:rPr>
          <w:rFonts w:hint="eastAsia" w:ascii="仿宋" w:hAnsi="仿宋" w:eastAsia="仿宋" w:cs="仿宋"/>
          <w:color w:val="auto"/>
          <w:sz w:val="28"/>
          <w:szCs w:val="28"/>
          <w:highlight w:val="none"/>
        </w:rPr>
        <w:t>5.在质量保证期内，乙方应对由于设计、工艺、材料的缺陷或不足发生的质量问题检测、检定等所产生的一切费用负责。</w:t>
      </w:r>
    </w:p>
    <w:p w14:paraId="603E40DF">
      <w:pPr>
        <w:keepLines w:val="0"/>
        <w:pageBreakBefore w:val="0"/>
        <w:kinsoku/>
        <w:wordWrap/>
        <w:overflowPunct/>
        <w:topLinePunct w:val="0"/>
        <w:bidi w:val="0"/>
        <w:spacing w:line="560" w:lineRule="exact"/>
        <w:ind w:firstLine="562" w:firstLineChars="200"/>
        <w:rPr>
          <w:rFonts w:ascii="仿宋" w:hAnsi="仿宋" w:eastAsia="仿宋" w:cs="仿宋"/>
          <w:color w:val="auto"/>
          <w:sz w:val="28"/>
          <w:szCs w:val="28"/>
          <w:highlight w:val="none"/>
        </w:rPr>
      </w:pPr>
      <w:r>
        <w:rPr>
          <w:rFonts w:hint="eastAsia" w:ascii="仿宋" w:hAnsi="仿宋" w:eastAsia="仿宋" w:cs="仿宋"/>
          <w:b/>
          <w:color w:val="auto"/>
          <w:sz w:val="28"/>
          <w:szCs w:val="28"/>
          <w:highlight w:val="none"/>
        </w:rPr>
        <w:t>第六条包装和运输</w:t>
      </w:r>
    </w:p>
    <w:p w14:paraId="2B19FBB3">
      <w:pPr>
        <w:keepLines w:val="0"/>
        <w:pageBreakBefore w:val="0"/>
        <w:kinsoku/>
        <w:wordWrap/>
        <w:overflowPunct/>
        <w:topLinePunct w:val="0"/>
        <w:bidi w:val="0"/>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1.包装要求除双方另有约定外，按照乙方公司或生产厂家包装规范予以包装。</w:t>
      </w:r>
    </w:p>
    <w:p w14:paraId="25013E04">
      <w:pPr>
        <w:keepLines w:val="0"/>
        <w:pageBreakBefore w:val="0"/>
        <w:kinsoku/>
        <w:wordWrap/>
        <w:overflowPunct/>
        <w:topLinePunct w:val="0"/>
        <w:bidi w:val="0"/>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2.乙方供货的包装标准，应满足运输要求并能有效保护货物，乙方应确保运抵甲方处货物的完好性，包装费用由乙方承担。</w:t>
      </w:r>
    </w:p>
    <w:p w14:paraId="53A4EF8D">
      <w:pPr>
        <w:keepLines w:val="0"/>
        <w:pageBreakBefore w:val="0"/>
        <w:kinsoku/>
        <w:wordWrap/>
        <w:overflowPunct/>
        <w:topLinePunct w:val="0"/>
        <w:bidi w:val="0"/>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3.乙方负责送货上门，乙方应确保产品运输的安全性。乙方将货物运至双方约定的交付地点，卸载、摆放至甲方指定的位置，并办理相关交货手续，运费由乙方承担。</w:t>
      </w:r>
    </w:p>
    <w:p w14:paraId="4A7A0706">
      <w:pPr>
        <w:keepLines w:val="0"/>
        <w:pageBreakBefore w:val="0"/>
        <w:kinsoku/>
        <w:wordWrap/>
        <w:overflowPunct/>
        <w:topLinePunct w:val="0"/>
        <w:bidi w:val="0"/>
        <w:spacing w:line="560" w:lineRule="exact"/>
        <w:ind w:firstLine="562" w:firstLineChars="200"/>
        <w:jc w:val="left"/>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第七条 交付和验收 </w:t>
      </w:r>
    </w:p>
    <w:p w14:paraId="392628C8">
      <w:pPr>
        <w:keepLines w:val="0"/>
        <w:pageBreakBefore w:val="0"/>
        <w:kinsoku/>
        <w:wordWrap/>
        <w:overflowPunct/>
        <w:topLinePunct w:val="0"/>
        <w:bidi w:val="0"/>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1.交货时间：合同签订之日起个日历日内。</w:t>
      </w:r>
    </w:p>
    <w:p w14:paraId="16FDCB40">
      <w:pPr>
        <w:keepLines w:val="0"/>
        <w:pageBreakBefore w:val="0"/>
        <w:kinsoku/>
        <w:wordWrap/>
        <w:overflowPunct/>
        <w:topLinePunct w:val="0"/>
        <w:bidi w:val="0"/>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2.交货地点：深圳市龙岗区第七人民医院或指定的其他地点。</w:t>
      </w:r>
    </w:p>
    <w:p w14:paraId="550F3B1A">
      <w:pPr>
        <w:keepLines w:val="0"/>
        <w:pageBreakBefore w:val="0"/>
        <w:kinsoku/>
        <w:wordWrap/>
        <w:overflowPunct/>
        <w:topLinePunct w:val="0"/>
        <w:bidi w:val="0"/>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3.交货方式：乙方按合同或招投标文件规定供货的品种、规格、数量、质量、时间等</w:t>
      </w:r>
      <w:r>
        <w:rPr>
          <w:rFonts w:hint="eastAsia" w:ascii="仿宋" w:hAnsi="仿宋" w:eastAsia="仿宋" w:cs="仿宋_GB2312"/>
          <w:color w:val="auto"/>
          <w:sz w:val="28"/>
          <w:szCs w:val="28"/>
          <w:highlight w:val="none"/>
        </w:rPr>
        <w:t>（具体以合同及采购订单的要求为准）</w:t>
      </w:r>
      <w:r>
        <w:rPr>
          <w:rFonts w:hint="eastAsia" w:ascii="仿宋" w:hAnsi="仿宋" w:eastAsia="仿宋" w:cs="仿宋"/>
          <w:color w:val="auto"/>
          <w:sz w:val="28"/>
          <w:szCs w:val="28"/>
          <w:highlight w:val="none"/>
        </w:rPr>
        <w:t>将所需货物运送到甲方指定地点，所产生的一切费用由乙方负责。</w:t>
      </w:r>
    </w:p>
    <w:p w14:paraId="5C9096BA">
      <w:pPr>
        <w:keepLines w:val="0"/>
        <w:pageBreakBefore w:val="0"/>
        <w:kinsoku/>
        <w:wordWrap/>
        <w:overflowPunct/>
        <w:topLinePunct w:val="0"/>
        <w:bidi w:val="0"/>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4.验收：</w:t>
      </w:r>
    </w:p>
    <w:p w14:paraId="142033DC">
      <w:pPr>
        <w:keepLines w:val="0"/>
        <w:pageBreakBefore w:val="0"/>
        <w:kinsoku/>
        <w:wordWrap/>
        <w:overflowPunct/>
        <w:topLinePunct w:val="0"/>
        <w:bidi w:val="0"/>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（1）乙方交付的货物应当完全符合招投标文件所规定的货物、数量、质量和规格要求。乙方提供的货物不符合招投标文件和合同规定的，甲方有权拒收货物，由此引起的风险，由乙方承担。</w:t>
      </w:r>
    </w:p>
    <w:p w14:paraId="49C9E736">
      <w:pPr>
        <w:keepLines w:val="0"/>
        <w:pageBreakBefore w:val="0"/>
        <w:kinsoku/>
        <w:wordWrap/>
        <w:overflowPunct/>
        <w:topLinePunct w:val="0"/>
        <w:bidi w:val="0"/>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14:paraId="2777E95D">
      <w:pPr>
        <w:keepLines w:val="0"/>
        <w:pageBreakBefore w:val="0"/>
        <w:kinsoku/>
        <w:wordWrap/>
        <w:overflowPunct/>
        <w:topLinePunct w:val="0"/>
        <w:bidi w:val="0"/>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（3）由甲、乙双方及使用科室代表对货物进行验收，需要乙方对货物或系统进行安装调试的，双方应在货物安装调试完毕后的（）个工作日内进行质量验收，在甲方现场验收和培训发生的一切费用由乙方承担。</w:t>
      </w:r>
    </w:p>
    <w:p w14:paraId="2C53DF67">
      <w:pPr>
        <w:keepLines w:val="0"/>
        <w:pageBreakBefore w:val="0"/>
        <w:kinsoku/>
        <w:wordWrap/>
        <w:overflowPunct/>
        <w:topLinePunct w:val="0"/>
        <w:bidi w:val="0"/>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（4）货物的到货验收包括：型号、规格、数量、外观、质量及货物包装是否符合招标、投标文件以及合同等规定的标准。</w:t>
      </w:r>
    </w:p>
    <w:p w14:paraId="68A5662D">
      <w:pPr>
        <w:keepLines w:val="0"/>
        <w:pageBreakBefore w:val="0"/>
        <w:kinsoku/>
        <w:wordWrap/>
        <w:overflowPunct/>
        <w:topLinePunct w:val="0"/>
        <w:bidi w:val="0"/>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验收时以乙方投标文件中的技术规格偏离表为准；产品配置如《合同》中约定的标准与招投标文件不符时，适用标准应以对甲方有利的标准优先适用，甲方有权选择决定适用何种标准，乙方应予以配合。如招投标文件的内容与《合同书》不一致时，甲方有权选择对其有利的约定来要求乙方履行，乙方须予以配合，否则甲方有权解除合同。</w:t>
      </w:r>
    </w:p>
    <w:p w14:paraId="2B49BF83">
      <w:pPr>
        <w:keepLines w:val="0"/>
        <w:pageBreakBefore w:val="0"/>
        <w:kinsoku/>
        <w:wordWrap/>
        <w:overflowPunct/>
        <w:topLinePunct w:val="0"/>
        <w:bidi w:val="0"/>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（6）其他约定：</w:t>
      </w:r>
    </w:p>
    <w:p w14:paraId="268458F9">
      <w:pPr>
        <w:keepLines w:val="0"/>
        <w:pageBreakBefore w:val="0"/>
        <w:kinsoku/>
        <w:wordWrap/>
        <w:overflowPunct/>
        <w:topLinePunct w:val="0"/>
        <w:bidi w:val="0"/>
        <w:spacing w:line="560" w:lineRule="exact"/>
        <w:ind w:firstLine="562"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第八条  伴随服务/售后服务</w:t>
      </w:r>
    </w:p>
    <w:p w14:paraId="3837EE7B">
      <w:pPr>
        <w:pStyle w:val="25"/>
        <w:keepLines w:val="0"/>
        <w:pageBreakBefore w:val="0"/>
        <w:kinsoku/>
        <w:wordWrap/>
        <w:overflowPunct/>
        <w:topLinePunct w:val="0"/>
        <w:bidi w:val="0"/>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1.乙方可能被要求提供下列服务中的一项或全部服务。</w:t>
      </w:r>
    </w:p>
    <w:p w14:paraId="5043D9F1">
      <w:pPr>
        <w:pStyle w:val="25"/>
        <w:keepLines w:val="0"/>
        <w:pageBreakBefore w:val="0"/>
        <w:kinsoku/>
        <w:wordWrap/>
        <w:overflowPunct/>
        <w:topLinePunct w:val="0"/>
        <w:bidi w:val="0"/>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（1）产品的现场搬运或入库；</w:t>
      </w:r>
    </w:p>
    <w:p w14:paraId="0842F436">
      <w:pPr>
        <w:pStyle w:val="25"/>
        <w:keepLines w:val="0"/>
        <w:pageBreakBefore w:val="0"/>
        <w:kinsoku/>
        <w:wordWrap/>
        <w:overflowPunct/>
        <w:topLinePunct w:val="0"/>
        <w:bidi w:val="0"/>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（2）提供产品开箱或分装的用具；</w:t>
      </w:r>
    </w:p>
    <w:p w14:paraId="683D0512">
      <w:pPr>
        <w:pStyle w:val="25"/>
        <w:keepLines w:val="0"/>
        <w:pageBreakBefore w:val="0"/>
        <w:kinsoku/>
        <w:wordWrap/>
        <w:overflowPunct/>
        <w:topLinePunct w:val="0"/>
        <w:bidi w:val="0"/>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（3）对开箱时发现的破损、近效期产品或其他不合格包装产品无条件及时更换；</w:t>
      </w:r>
    </w:p>
    <w:p w14:paraId="19536054">
      <w:pPr>
        <w:pStyle w:val="25"/>
        <w:keepLines w:val="0"/>
        <w:pageBreakBefore w:val="0"/>
        <w:kinsoku/>
        <w:wordWrap/>
        <w:overflowPunct/>
        <w:topLinePunct w:val="0"/>
        <w:bidi w:val="0"/>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（4）其他乙方应提供的相关服务项目。</w:t>
      </w:r>
    </w:p>
    <w:p w14:paraId="530BA7E0">
      <w:pPr>
        <w:keepLines w:val="0"/>
        <w:pageBreakBefore w:val="0"/>
        <w:kinsoku/>
        <w:wordWrap/>
        <w:overflowPunct/>
        <w:topLinePunct w:val="0"/>
        <w:bidi w:val="0"/>
        <w:snapToGrid w:val="0"/>
        <w:spacing w:line="56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2.乙方应保证提供的货物质保期为</w:t>
      </w:r>
      <w:r>
        <w:rPr>
          <w:rFonts w:hint="eastAsia" w:ascii="仿宋" w:hAnsi="仿宋" w:eastAsia="仿宋" w:cs="仿宋_GB2312"/>
          <w:color w:val="auto"/>
          <w:sz w:val="28"/>
          <w:szCs w:val="28"/>
          <w:highlight w:val="none"/>
          <w:u w:val="single"/>
        </w:rPr>
        <w:t xml:space="preserve">       </w:t>
      </w:r>
      <w:r>
        <w:rPr>
          <w:rFonts w:hint="eastAsia" w:ascii="仿宋" w:hAnsi="仿宋" w:eastAsia="仿宋" w:cs="仿宋_GB2312"/>
          <w:color w:val="auto"/>
          <w:sz w:val="28"/>
          <w:szCs w:val="28"/>
          <w:highlight w:val="none"/>
        </w:rPr>
        <w:t>，应按照国家有关 “三包”规定和招标文件要求及乙方投标文件的相关承诺提供保修及其他服务。</w:t>
      </w:r>
    </w:p>
    <w:p w14:paraId="5A837C24">
      <w:pPr>
        <w:keepLines w:val="0"/>
        <w:pageBreakBefore w:val="0"/>
        <w:kinsoku/>
        <w:wordWrap/>
        <w:overflowPunct/>
        <w:topLinePunct w:val="0"/>
        <w:bidi w:val="0"/>
        <w:snapToGrid w:val="0"/>
        <w:spacing w:line="56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3.保修期为</w:t>
      </w:r>
      <w:r>
        <w:rPr>
          <w:rFonts w:hint="eastAsia" w:ascii="仿宋" w:hAnsi="仿宋" w:eastAsia="仿宋" w:cs="仿宋_GB2312"/>
          <w:color w:val="auto"/>
          <w:sz w:val="28"/>
          <w:szCs w:val="28"/>
          <w:highlight w:val="none"/>
          <w:u w:val="single"/>
        </w:rPr>
        <w:t xml:space="preserve">       </w:t>
      </w:r>
      <w:r>
        <w:rPr>
          <w:rFonts w:hint="eastAsia" w:ascii="仿宋" w:hAnsi="仿宋" w:eastAsia="仿宋" w:cs="仿宋_GB2312"/>
          <w:color w:val="auto"/>
          <w:sz w:val="28"/>
          <w:szCs w:val="28"/>
          <w:highlight w:val="none"/>
        </w:rPr>
        <w:t>。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14:paraId="5394A124">
      <w:pPr>
        <w:pStyle w:val="25"/>
        <w:numPr>
          <w:ilvl w:val="0"/>
          <w:numId w:val="0"/>
        </w:numPr>
        <w:spacing w:line="460" w:lineRule="exact"/>
        <w:ind w:firstLine="562"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第九条 </w:t>
      </w:r>
      <w:r>
        <w:rPr>
          <w:rFonts w:hint="eastAsia" w:ascii="仿宋_GB2312" w:hAnsi="仿宋_GB2312" w:eastAsia="仿宋_GB2312" w:cs="仿宋_GB2312"/>
          <w:b/>
          <w:bCs/>
          <w:sz w:val="28"/>
          <w:szCs w:val="28"/>
          <w:highlight w:val="none"/>
          <w:lang w:val="en-US" w:eastAsia="zh-CN"/>
        </w:rPr>
        <w:t>服务</w:t>
      </w:r>
      <w:r>
        <w:rPr>
          <w:rFonts w:hint="eastAsia" w:ascii="仿宋_GB2312" w:hAnsi="仿宋_GB2312" w:eastAsia="仿宋_GB2312" w:cs="仿宋_GB2312"/>
          <w:b/>
          <w:bCs/>
          <w:color w:val="auto"/>
          <w:sz w:val="28"/>
          <w:szCs w:val="28"/>
          <w:highlight w:val="none"/>
          <w:lang w:val="en-US" w:eastAsia="zh-CN"/>
        </w:rPr>
        <w:t>（交货）</w:t>
      </w:r>
      <w:r>
        <w:rPr>
          <w:rFonts w:hint="eastAsia" w:ascii="仿宋_GB2312" w:hAnsi="仿宋_GB2312" w:eastAsia="仿宋_GB2312" w:cs="仿宋_GB2312"/>
          <w:b/>
          <w:bCs/>
          <w:sz w:val="28"/>
          <w:szCs w:val="28"/>
          <w:highlight w:val="none"/>
          <w:lang w:val="en-US" w:eastAsia="zh-CN"/>
        </w:rPr>
        <w:t>期限及付款方式</w:t>
      </w:r>
    </w:p>
    <w:p w14:paraId="757AE6B9">
      <w:pPr>
        <w:pStyle w:val="25"/>
        <w:numPr>
          <w:ilvl w:val="0"/>
          <w:numId w:val="0"/>
        </w:numPr>
        <w:spacing w:line="460" w:lineRule="exact"/>
        <w:ind w:left="559" w:leftChars="266" w:firstLine="0" w:firstLineChars="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lang w:val="en-US" w:eastAsia="zh-CN" w:bidi="ar-SA"/>
        </w:rPr>
        <w:t>1.交货期限：</w:t>
      </w:r>
      <w:r>
        <w:rPr>
          <w:rFonts w:hint="eastAsia" w:ascii="仿宋_GB2312" w:hAnsi="仿宋_GB2312" w:eastAsia="仿宋_GB2312" w:cs="仿宋_GB2312"/>
          <w:kern w:val="2"/>
          <w:sz w:val="28"/>
          <w:szCs w:val="28"/>
          <w:highlight w:val="none"/>
          <w:lang w:val="en-US" w:eastAsia="zh-CN" w:bidi="ar-SA"/>
        </w:rPr>
        <w:t>签订合同后10个工作日内，中标人将蛋糕券送到采购人指定地点</w:t>
      </w:r>
    </w:p>
    <w:p w14:paraId="4887CDEB">
      <w:pPr>
        <w:pStyle w:val="25"/>
        <w:numPr>
          <w:ilvl w:val="0"/>
          <w:numId w:val="0"/>
        </w:numPr>
        <w:spacing w:line="460" w:lineRule="exact"/>
        <w:ind w:firstLine="560" w:firstLineChars="200"/>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2.</w:t>
      </w:r>
      <w:r>
        <w:rPr>
          <w:rFonts w:hint="eastAsia" w:ascii="仿宋_GB2312" w:hAnsi="仿宋_GB2312" w:eastAsia="仿宋_GB2312" w:cs="仿宋_GB2312"/>
          <w:b w:val="0"/>
          <w:bCs w:val="0"/>
          <w:color w:val="auto"/>
          <w:sz w:val="28"/>
          <w:szCs w:val="28"/>
          <w:highlight w:val="none"/>
        </w:rPr>
        <w:t>付款方式：</w:t>
      </w:r>
      <w:bookmarkStart w:id="17" w:name="_GoBack"/>
      <w:bookmarkEnd w:id="17"/>
    </w:p>
    <w:p w14:paraId="7FE75CB7">
      <w:pPr>
        <w:pStyle w:val="25"/>
        <w:numPr>
          <w:ilvl w:val="0"/>
          <w:numId w:val="0"/>
        </w:numPr>
        <w:spacing w:line="460" w:lineRule="exact"/>
        <w:ind w:firstLine="560" w:firstLineChars="200"/>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签订合同后，货物经甲方验收合格并自收到乙方开具的合规发票之日起，10个工作日内支付100%款项。因政府财政部门审批或政策变动等原因而导致价款不能及时到账的，甲方不承担违约责任。乙方不能提供合格发票的，甲方有权延迟付款或拒绝付款，由此产生的法律责任由乙方自行承担。</w:t>
      </w:r>
    </w:p>
    <w:p w14:paraId="5BAC8418">
      <w:pPr>
        <w:pStyle w:val="25"/>
        <w:numPr>
          <w:ilvl w:val="0"/>
          <w:numId w:val="0"/>
        </w:numPr>
        <w:spacing w:line="460" w:lineRule="exact"/>
        <w:ind w:firstLine="560" w:firstLineChars="200"/>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（2）乙方需提供合法合规发票，如提供的发票被税务部门稽查认定为不合规发票，所有责任由乙方承担，乙方应当重新提供合法合规的发票，并按合同票面值支付20%的违约金。</w:t>
      </w:r>
    </w:p>
    <w:p w14:paraId="7BD4DC05">
      <w:pPr>
        <w:keepLines w:val="0"/>
        <w:pageBreakBefore w:val="0"/>
        <w:kinsoku/>
        <w:wordWrap/>
        <w:overflowPunct/>
        <w:topLinePunct w:val="0"/>
        <w:bidi w:val="0"/>
        <w:spacing w:line="560" w:lineRule="exact"/>
        <w:ind w:firstLine="562" w:firstLineChars="200"/>
        <w:rPr>
          <w:rFonts w:ascii="仿宋" w:hAnsi="仿宋" w:eastAsia="仿宋" w:cs="宋体"/>
          <w:color w:val="auto"/>
          <w:sz w:val="28"/>
          <w:szCs w:val="28"/>
          <w:highlight w:val="none"/>
        </w:rPr>
      </w:pPr>
      <w:r>
        <w:rPr>
          <w:rFonts w:hint="eastAsia" w:ascii="仿宋" w:hAnsi="仿宋" w:eastAsia="仿宋" w:cs="宋体"/>
          <w:b/>
          <w:color w:val="auto"/>
          <w:sz w:val="28"/>
          <w:szCs w:val="28"/>
          <w:highlight w:val="none"/>
        </w:rPr>
        <w:t>第十条  合同的变更、终止与转让</w:t>
      </w:r>
    </w:p>
    <w:p w14:paraId="586E8C26">
      <w:pPr>
        <w:keepLines w:val="0"/>
        <w:pageBreakBefore w:val="0"/>
        <w:kinsoku/>
        <w:wordWrap/>
        <w:overflowPunct/>
        <w:topLinePunct w:val="0"/>
        <w:bidi w:val="0"/>
        <w:spacing w:line="560" w:lineRule="exact"/>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1.除《</w:t>
      </w:r>
      <w:r>
        <w:rPr>
          <w:rFonts w:hint="eastAsia" w:ascii="仿宋" w:hAnsi="仿宋" w:eastAsia="仿宋" w:cs="仿宋"/>
          <w:color w:val="auto"/>
          <w:sz w:val="28"/>
          <w:szCs w:val="28"/>
          <w:highlight w:val="none"/>
        </w:rPr>
        <w:t>中华人民共和国政府采购法</w:t>
      </w:r>
      <w:r>
        <w:rPr>
          <w:rFonts w:hint="eastAsia" w:ascii="仿宋" w:hAnsi="仿宋" w:eastAsia="仿宋" w:cs="宋体"/>
          <w:color w:val="auto"/>
          <w:sz w:val="28"/>
          <w:szCs w:val="28"/>
          <w:highlight w:val="none"/>
        </w:rPr>
        <w:t xml:space="preserve">》第49条、第50条第二款规定的情形外，本合同一经签订，甲乙双方不得擅自变更、中止或终止合同。  </w:t>
      </w:r>
    </w:p>
    <w:p w14:paraId="18478CDF">
      <w:pPr>
        <w:keepLines w:val="0"/>
        <w:pageBreakBefore w:val="0"/>
        <w:kinsoku/>
        <w:wordWrap/>
        <w:overflowPunct/>
        <w:topLinePunct w:val="0"/>
        <w:bidi w:val="0"/>
        <w:spacing w:line="560" w:lineRule="exact"/>
        <w:ind w:firstLine="560" w:firstLineChars="200"/>
        <w:rPr>
          <w:rFonts w:ascii="仿宋" w:hAnsi="仿宋" w:eastAsia="仿宋" w:cs="仿宋"/>
          <w:color w:val="auto"/>
          <w:kern w:val="0"/>
          <w:sz w:val="28"/>
          <w:szCs w:val="28"/>
          <w:highlight w:val="none"/>
        </w:rPr>
      </w:pPr>
      <w:r>
        <w:rPr>
          <w:rFonts w:hint="eastAsia" w:ascii="仿宋" w:hAnsi="仿宋" w:eastAsia="仿宋" w:cs="宋体"/>
          <w:color w:val="auto"/>
          <w:sz w:val="28"/>
          <w:szCs w:val="28"/>
          <w:highlight w:val="none"/>
        </w:rPr>
        <w:t>2.乙方不得擅自部分或全部转让其应履行的</w:t>
      </w:r>
      <w:r>
        <w:rPr>
          <w:rFonts w:hint="eastAsia" w:ascii="仿宋" w:hAnsi="仿宋" w:eastAsia="仿宋" w:cs="宋体"/>
          <w:color w:val="auto"/>
          <w:sz w:val="28"/>
          <w:szCs w:val="28"/>
          <w:highlight w:val="none"/>
          <w:u w:val="none"/>
        </w:rPr>
        <w:t>合同义务</w:t>
      </w:r>
      <w:r>
        <w:rPr>
          <w:rFonts w:hint="eastAsia" w:ascii="仿宋" w:hAnsi="仿宋" w:eastAsia="仿宋" w:cs="宋体"/>
          <w:color w:val="auto"/>
          <w:sz w:val="28"/>
          <w:szCs w:val="28"/>
          <w:highlight w:val="none"/>
        </w:rPr>
        <w:t>，否则甲方有权终止合同，并有权要求乙方支付违约金，违约金按本合同总金额的（）%计算。</w:t>
      </w:r>
    </w:p>
    <w:p w14:paraId="3A89E0DC">
      <w:pPr>
        <w:keepLines w:val="0"/>
        <w:pageBreakBefore w:val="0"/>
        <w:kinsoku/>
        <w:wordWrap/>
        <w:overflowPunct/>
        <w:topLinePunct w:val="0"/>
        <w:bidi w:val="0"/>
        <w:spacing w:line="560" w:lineRule="exact"/>
        <w:ind w:firstLine="562" w:firstLineChars="200"/>
        <w:rPr>
          <w:rFonts w:ascii="仿宋" w:hAnsi="仿宋" w:eastAsia="仿宋" w:cs="仿宋"/>
          <w:color w:val="auto"/>
          <w:sz w:val="28"/>
          <w:szCs w:val="28"/>
          <w:highlight w:val="none"/>
        </w:rPr>
      </w:pPr>
      <w:r>
        <w:rPr>
          <w:rFonts w:hint="eastAsia" w:ascii="仿宋" w:hAnsi="仿宋" w:eastAsia="仿宋" w:cs="仿宋"/>
          <w:b/>
          <w:color w:val="auto"/>
          <w:sz w:val="28"/>
          <w:szCs w:val="28"/>
          <w:highlight w:val="none"/>
        </w:rPr>
        <w:t>第十一条  违约责任</w:t>
      </w:r>
    </w:p>
    <w:p w14:paraId="75FBD50E">
      <w:pPr>
        <w:keepLines w:val="0"/>
        <w:pageBreakBefore w:val="0"/>
        <w:widowControl/>
        <w:kinsoku/>
        <w:wordWrap/>
        <w:overflowPunct/>
        <w:topLinePunct w:val="0"/>
        <w:bidi w:val="0"/>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1.甲方无正当理由拒收货物、拒付货物款的，由甲方向乙方偿付拒收货物总价的（）%违约金。</w:t>
      </w:r>
    </w:p>
    <w:p w14:paraId="7428BC43">
      <w:pPr>
        <w:keepLines w:val="0"/>
        <w:pageBreakBefore w:val="0"/>
        <w:widowControl/>
        <w:kinsoku/>
        <w:wordWrap/>
        <w:overflowPunct/>
        <w:topLinePunct w:val="0"/>
        <w:bidi w:val="0"/>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2.甲方未按合同规定的期限向乙方支付货款的，每逾期1天甲方向乙方偿付欠款总额的（）%滞纳金，但累计滞纳金总额不超过欠款总额的（）%。</w:t>
      </w:r>
    </w:p>
    <w:p w14:paraId="4EBF9954">
      <w:pPr>
        <w:keepLines w:val="0"/>
        <w:pageBreakBefore w:val="0"/>
        <w:widowControl/>
        <w:kinsoku/>
        <w:wordWrap/>
        <w:overflowPunct/>
        <w:topLinePunct w:val="0"/>
        <w:bidi w:val="0"/>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3.乙方逾期交付货物的，每逾期1天，乙方向甲方偿付逾期交货部分货款总额的（）%的滞纳金。如超过供货期30天</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甲方有权终止合同，同时乙方应向甲方支付合同总价（</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rPr>
        <w:t>%的违约金。给甲方造成损失的将通过法律程序向乙方进行索赔。</w:t>
      </w:r>
    </w:p>
    <w:p w14:paraId="156D5BF1">
      <w:pPr>
        <w:keepLines w:val="0"/>
        <w:pageBreakBefore w:val="0"/>
        <w:widowControl/>
        <w:kinsoku/>
        <w:wordWrap/>
        <w:overflowPunct/>
        <w:topLinePunct w:val="0"/>
        <w:bidi w:val="0"/>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4.乙方所交付的货物品种、型号、规格不符合合同规定的，甲方有权拒收。甲方拒收的，乙方应向甲方支付货款总额（）%的违约金。</w:t>
      </w:r>
    </w:p>
    <w:p w14:paraId="00E0AA4F">
      <w:pPr>
        <w:keepLines w:val="0"/>
        <w:pageBreakBefore w:val="0"/>
        <w:widowControl/>
        <w:kinsoku/>
        <w:wordWrap/>
        <w:overflowPunct/>
        <w:topLinePunct w:val="0"/>
        <w:bidi w:val="0"/>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5.在乙方承诺的或国家规定的质量保证期内（取两者中最长的期限），如经乙方两次更换，货物仍不能达到合同约定的质量标准，甲方有权退货，乙方应退回全部货款。并解除合同</w:t>
      </w:r>
    </w:p>
    <w:p w14:paraId="43B9D34C">
      <w:pPr>
        <w:keepLines w:val="0"/>
        <w:pageBreakBefore w:val="0"/>
        <w:widowControl/>
        <w:kinsoku/>
        <w:wordWrap/>
        <w:overflowPunct/>
        <w:topLinePunct w:val="0"/>
        <w:bidi w:val="0"/>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6.乙方未按本合同的规定和“服务承诺”提供伴随服务/售后服务的，应按合同总价款的（）%向甲方承担违约责任。</w:t>
      </w:r>
    </w:p>
    <w:p w14:paraId="62B4457B">
      <w:pPr>
        <w:keepLines w:val="0"/>
        <w:pageBreakBefore w:val="0"/>
        <w:widowControl/>
        <w:kinsoku/>
        <w:wordWrap/>
        <w:overflowPunct/>
        <w:topLinePunct w:val="0"/>
        <w:bidi w:val="0"/>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7.</w:t>
      </w:r>
      <w:r>
        <w:rPr>
          <w:rFonts w:hint="eastAsia" w:ascii="仿宋" w:hAnsi="仿宋" w:eastAsia="仿宋" w:cs="仿宋"/>
          <w:color w:val="auto"/>
          <w:sz w:val="28"/>
          <w:szCs w:val="28"/>
          <w:highlight w:val="none"/>
        </w:rPr>
        <w:t>乙方在承担上述3-6款一项或多项违约责任后，仍应继续履行合同规定的义务（甲方解除合同的除外）。甲方未能及时追究乙方的任何一项违约责任并不表明甲方放弃追究乙方该项或其他违约责任。</w:t>
      </w:r>
    </w:p>
    <w:p w14:paraId="4E6A7B7C">
      <w:pPr>
        <w:keepLines w:val="0"/>
        <w:pageBreakBefore w:val="0"/>
        <w:kinsoku/>
        <w:wordWrap/>
        <w:overflowPunct/>
        <w:topLinePunct w:val="0"/>
        <w:bidi w:val="0"/>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8.未列入以上条款的其他违规事项，则按照《中华人民共和国招标投标法》法律责任条款处理。</w:t>
      </w:r>
    </w:p>
    <w:p w14:paraId="4E3ED14F">
      <w:pPr>
        <w:keepLines w:val="0"/>
        <w:pageBreakBefore w:val="0"/>
        <w:widowControl/>
        <w:kinsoku/>
        <w:wordWrap/>
        <w:overflowPunct/>
        <w:topLinePunct w:val="0"/>
        <w:bidi w:val="0"/>
        <w:spacing w:line="560" w:lineRule="exact"/>
        <w:ind w:firstLine="560" w:firstLineChars="200"/>
        <w:rPr>
          <w:rFonts w:ascii="仿宋" w:hAnsi="仿宋" w:eastAsia="仿宋" w:cs="宋体"/>
          <w:color w:val="auto"/>
          <w:sz w:val="28"/>
          <w:szCs w:val="28"/>
          <w:highlight w:val="none"/>
        </w:rPr>
      </w:pPr>
      <w:r>
        <w:rPr>
          <w:rFonts w:hint="eastAsia" w:ascii="仿宋" w:hAnsi="仿宋" w:eastAsia="仿宋" w:cs="仿宋"/>
          <w:color w:val="auto"/>
          <w:sz w:val="28"/>
          <w:szCs w:val="28"/>
          <w:highlight w:val="none"/>
        </w:rPr>
        <w:t>11.其他。</w:t>
      </w:r>
    </w:p>
    <w:p w14:paraId="025C8899">
      <w:pPr>
        <w:keepLines w:val="0"/>
        <w:pageBreakBefore w:val="0"/>
        <w:kinsoku/>
        <w:wordWrap/>
        <w:overflowPunct/>
        <w:topLinePunct w:val="0"/>
        <w:bidi w:val="0"/>
        <w:spacing w:line="560" w:lineRule="exact"/>
        <w:ind w:firstLine="562"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第十二条  免责条款</w:t>
      </w:r>
    </w:p>
    <w:p w14:paraId="783BF148">
      <w:pPr>
        <w:keepLines w:val="0"/>
        <w:pageBreakBefore w:val="0"/>
        <w:kinsoku/>
        <w:wordWrap/>
        <w:overflowPunct/>
        <w:topLinePunct w:val="0"/>
        <w:bidi w:val="0"/>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若甲、乙双方的任何一方由于不可抗力（包括天灾、意外事故、交通运输、政府法令等特殊客观事件）原因造成不能及时履行或不能履行合同时，应及时向对方通报不能履行或不能及时履行的理由，在取得有关证明后，允许延期履行、部分履行或不履行合同，并根据情况，免除相应责任。</w:t>
      </w:r>
    </w:p>
    <w:p w14:paraId="608C12B9">
      <w:pPr>
        <w:keepLines w:val="0"/>
        <w:pageBreakBefore w:val="0"/>
        <w:kinsoku/>
        <w:wordWrap/>
        <w:overflowPunct/>
        <w:topLinePunct w:val="0"/>
        <w:bidi w:val="0"/>
        <w:spacing w:line="560" w:lineRule="exact"/>
        <w:ind w:firstLine="562"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第十三条  合同争议解决</w:t>
      </w:r>
    </w:p>
    <w:p w14:paraId="1C18F31B">
      <w:pPr>
        <w:keepLines w:val="0"/>
        <w:pageBreakBefore w:val="0"/>
        <w:kinsoku/>
        <w:wordWrap/>
        <w:overflowPunct/>
        <w:topLinePunct w:val="0"/>
        <w:bidi w:val="0"/>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1.因货物质量问题发生争议的，应邀请国家认可的质量检测机构对货物质量进行鉴定。货物符合标准的，鉴定费由甲方承担；货物不符合标准的，鉴定费由乙方承担。</w:t>
      </w:r>
    </w:p>
    <w:p w14:paraId="2A587950">
      <w:pPr>
        <w:keepLines w:val="0"/>
        <w:pageBreakBefore w:val="0"/>
        <w:kinsoku/>
        <w:wordWrap/>
        <w:overflowPunct/>
        <w:topLinePunct w:val="0"/>
        <w:bidi w:val="0"/>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2.因履行本合同引起的或与本合同有关的争议，甲乙双方应首先通过友好协商解决。如果协商不能解决，向甲方所在地人民法院提起诉讼。</w:t>
      </w:r>
    </w:p>
    <w:p w14:paraId="3476D495">
      <w:pPr>
        <w:keepLines w:val="0"/>
        <w:pageBreakBefore w:val="0"/>
        <w:kinsoku/>
        <w:wordWrap/>
        <w:overflowPunct/>
        <w:topLinePunct w:val="0"/>
        <w:bidi w:val="0"/>
        <w:spacing w:line="560" w:lineRule="exact"/>
        <w:ind w:firstLine="562"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第十四条  本合同附件</w:t>
      </w:r>
    </w:p>
    <w:p w14:paraId="704412B3">
      <w:pPr>
        <w:keepLines w:val="0"/>
        <w:pageBreakBefore w:val="0"/>
        <w:kinsoku/>
        <w:wordWrap/>
        <w:overflowPunct/>
        <w:topLinePunct w:val="0"/>
        <w:bidi w:val="0"/>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以下附件及乙方投标时提供的投标文件和其他相关资料作为本合同的补充内容，具有同等法律效力。</w:t>
      </w:r>
    </w:p>
    <w:p w14:paraId="3368BCDC">
      <w:pPr>
        <w:keepLines w:val="0"/>
        <w:pageBreakBefore w:val="0"/>
        <w:kinsoku/>
        <w:wordWrap/>
        <w:overflowPunct/>
        <w:topLinePunct w:val="0"/>
        <w:bidi w:val="0"/>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附件1：供货一览表（加盖公章）；</w:t>
      </w:r>
    </w:p>
    <w:p w14:paraId="7737F504">
      <w:pPr>
        <w:keepLines w:val="0"/>
        <w:pageBreakBefore w:val="0"/>
        <w:kinsoku/>
        <w:wordWrap/>
        <w:overflowPunct/>
        <w:topLinePunct w:val="0"/>
        <w:bidi w:val="0"/>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附件2：产品销售廉洁协议书</w:t>
      </w:r>
    </w:p>
    <w:p w14:paraId="02AC34B5">
      <w:pPr>
        <w:keepLines w:val="0"/>
        <w:pageBreakBefore w:val="0"/>
        <w:kinsoku/>
        <w:wordWrap/>
        <w:overflowPunct/>
        <w:topLinePunct w:val="0"/>
        <w:bidi w:val="0"/>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附件3：龙岗区进一步规范政商交往行为告知书；</w:t>
      </w:r>
    </w:p>
    <w:p w14:paraId="68A4CEFC">
      <w:pPr>
        <w:keepLines w:val="0"/>
        <w:pageBreakBefore w:val="0"/>
        <w:kinsoku/>
        <w:wordWrap/>
        <w:overflowPunct/>
        <w:topLinePunct w:val="0"/>
        <w:bidi w:val="0"/>
        <w:spacing w:line="560" w:lineRule="exact"/>
        <w:ind w:firstLine="560" w:firstLineChars="200"/>
        <w:rPr>
          <w:color w:val="auto"/>
          <w:highlight w:val="none"/>
        </w:rPr>
      </w:pPr>
      <w:r>
        <w:rPr>
          <w:rFonts w:hint="eastAsia" w:ascii="仿宋" w:hAnsi="仿宋" w:eastAsia="仿宋" w:cs="仿宋"/>
          <w:color w:val="auto"/>
          <w:sz w:val="28"/>
          <w:szCs w:val="28"/>
          <w:highlight w:val="none"/>
        </w:rPr>
        <w:t>附件4：售后服务承诺（加盖公章）。</w:t>
      </w:r>
    </w:p>
    <w:p w14:paraId="66E9209E">
      <w:pPr>
        <w:keepLines w:val="0"/>
        <w:pageBreakBefore w:val="0"/>
        <w:kinsoku/>
        <w:wordWrap/>
        <w:overflowPunct/>
        <w:topLinePunct w:val="0"/>
        <w:bidi w:val="0"/>
        <w:spacing w:line="560" w:lineRule="exact"/>
        <w:ind w:firstLine="562"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第十五条  合同生效及其他</w:t>
      </w:r>
    </w:p>
    <w:p w14:paraId="33EBDB62">
      <w:pPr>
        <w:keepLines w:val="0"/>
        <w:pageBreakBefore w:val="0"/>
        <w:kinsoku/>
        <w:wordWrap/>
        <w:overflowPunct/>
        <w:topLinePunct w:val="0"/>
        <w:bidi w:val="0"/>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1.合同经双方法定代表人或授权代表人签字并加盖单位公章或合同专用章后生效。</w:t>
      </w:r>
    </w:p>
    <w:p w14:paraId="37A579FC">
      <w:pPr>
        <w:keepLines w:val="0"/>
        <w:pageBreakBefore w:val="0"/>
        <w:kinsoku/>
        <w:wordWrap/>
        <w:overflowPunct/>
        <w:topLinePunct w:val="0"/>
        <w:bidi w:val="0"/>
        <w:spacing w:line="560" w:lineRule="exact"/>
        <w:ind w:firstLine="560" w:firstLineChars="2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2.其他约定条款：</w:t>
      </w:r>
    </w:p>
    <w:p w14:paraId="5F457A4F">
      <w:pPr>
        <w:keepLines w:val="0"/>
        <w:pageBreakBefore w:val="0"/>
        <w:kinsoku/>
        <w:wordWrap/>
        <w:overflowPunct/>
        <w:topLinePunct w:val="0"/>
        <w:bidi w:val="0"/>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3.本合同未尽事宜，遵照《中华人民共和国民法典》有关条文执行。</w:t>
      </w:r>
    </w:p>
    <w:p w14:paraId="7BA18F53">
      <w:pPr>
        <w:keepLines w:val="0"/>
        <w:pageBreakBefore w:val="0"/>
        <w:kinsoku/>
        <w:wordWrap/>
        <w:overflowPunct/>
        <w:topLinePunct w:val="0"/>
        <w:bidi w:val="0"/>
        <w:spacing w:line="560" w:lineRule="exact"/>
        <w:ind w:firstLine="560" w:firstLineChars="200"/>
        <w:rPr>
          <w:color w:val="auto"/>
          <w:highlight w:val="none"/>
        </w:rPr>
      </w:pPr>
      <w:r>
        <w:rPr>
          <w:rFonts w:hint="eastAsia" w:ascii="仿宋" w:hAnsi="仿宋" w:eastAsia="仿宋" w:cs="仿宋"/>
          <w:color w:val="auto"/>
          <w:sz w:val="28"/>
          <w:szCs w:val="28"/>
          <w:highlight w:val="none"/>
        </w:rPr>
        <w:t>4.本合同正本一式</w:t>
      </w:r>
      <w:r>
        <w:rPr>
          <w:rFonts w:hint="eastAsia" w:ascii="仿宋" w:hAnsi="仿宋" w:eastAsia="仿宋" w:cs="仿宋"/>
          <w:color w:val="auto"/>
          <w:sz w:val="28"/>
          <w:szCs w:val="28"/>
          <w:highlight w:val="none"/>
          <w:u w:val="single"/>
        </w:rPr>
        <w:t>肆</w:t>
      </w:r>
      <w:r>
        <w:rPr>
          <w:rFonts w:hint="eastAsia" w:ascii="仿宋" w:hAnsi="仿宋" w:eastAsia="仿宋" w:cs="仿宋"/>
          <w:color w:val="auto"/>
          <w:sz w:val="28"/>
          <w:szCs w:val="28"/>
          <w:highlight w:val="none"/>
        </w:rPr>
        <w:t>份，具有同等法律效力，甲方执</w:t>
      </w:r>
      <w:r>
        <w:rPr>
          <w:rFonts w:hint="eastAsia" w:ascii="仿宋" w:hAnsi="仿宋" w:eastAsia="仿宋" w:cs="仿宋"/>
          <w:color w:val="auto"/>
          <w:sz w:val="28"/>
          <w:szCs w:val="28"/>
          <w:highlight w:val="none"/>
          <w:u w:val="single"/>
        </w:rPr>
        <w:t>叁</w:t>
      </w:r>
      <w:r>
        <w:rPr>
          <w:rFonts w:hint="eastAsia" w:ascii="仿宋" w:hAnsi="仿宋" w:eastAsia="仿宋" w:cs="仿宋"/>
          <w:color w:val="auto"/>
          <w:sz w:val="28"/>
          <w:szCs w:val="28"/>
          <w:highlight w:val="none"/>
        </w:rPr>
        <w:t>份；乙方执</w:t>
      </w:r>
      <w:r>
        <w:rPr>
          <w:rFonts w:hint="eastAsia" w:ascii="仿宋" w:hAnsi="仿宋" w:eastAsia="仿宋" w:cs="仿宋"/>
          <w:color w:val="auto"/>
          <w:sz w:val="28"/>
          <w:szCs w:val="28"/>
          <w:highlight w:val="none"/>
          <w:u w:val="single"/>
        </w:rPr>
        <w:t>壹</w:t>
      </w:r>
      <w:r>
        <w:rPr>
          <w:rFonts w:hint="eastAsia" w:ascii="仿宋" w:hAnsi="仿宋" w:eastAsia="仿宋" w:cs="仿宋"/>
          <w:color w:val="auto"/>
          <w:sz w:val="28"/>
          <w:szCs w:val="28"/>
          <w:highlight w:val="none"/>
        </w:rPr>
        <w:t>份。</w:t>
      </w:r>
    </w:p>
    <w:tbl>
      <w:tblPr>
        <w:tblStyle w:val="19"/>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0"/>
        <w:gridCol w:w="4314"/>
      </w:tblGrid>
      <w:tr w14:paraId="28C14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0" w:type="dxa"/>
            <w:noWrap/>
          </w:tcPr>
          <w:p w14:paraId="46C59A70">
            <w:pPr>
              <w:keepLines w:val="0"/>
              <w:pageBreakBefore w:val="0"/>
              <w:kinsoku/>
              <w:wordWrap/>
              <w:overflowPunct/>
              <w:topLinePunct w:val="0"/>
              <w:bidi w:val="0"/>
              <w:spacing w:line="560" w:lineRule="exact"/>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甲方：深圳市龙岗区第七人民医院</w:t>
            </w:r>
          </w:p>
        </w:tc>
        <w:tc>
          <w:tcPr>
            <w:tcW w:w="4314" w:type="dxa"/>
            <w:noWrap/>
          </w:tcPr>
          <w:p w14:paraId="0DC783C6">
            <w:pPr>
              <w:keepLines w:val="0"/>
              <w:pageBreakBefore w:val="0"/>
              <w:kinsoku/>
              <w:wordWrap/>
              <w:overflowPunct/>
              <w:topLinePunct w:val="0"/>
              <w:bidi w:val="0"/>
              <w:spacing w:line="560" w:lineRule="exact"/>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乙方：</w:t>
            </w:r>
          </w:p>
        </w:tc>
      </w:tr>
      <w:tr w14:paraId="06D2A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0" w:type="dxa"/>
            <w:noWrap/>
          </w:tcPr>
          <w:p w14:paraId="25558960">
            <w:pPr>
              <w:keepLines w:val="0"/>
              <w:pageBreakBefore w:val="0"/>
              <w:kinsoku/>
              <w:wordWrap/>
              <w:overflowPunct/>
              <w:topLinePunct w:val="0"/>
              <w:bidi w:val="0"/>
              <w:spacing w:line="560" w:lineRule="exact"/>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地址：</w:t>
            </w:r>
          </w:p>
        </w:tc>
        <w:tc>
          <w:tcPr>
            <w:tcW w:w="4314" w:type="dxa"/>
            <w:noWrap/>
          </w:tcPr>
          <w:p w14:paraId="77F81FA9">
            <w:pPr>
              <w:keepLines w:val="0"/>
              <w:pageBreakBefore w:val="0"/>
              <w:kinsoku/>
              <w:wordWrap/>
              <w:overflowPunct/>
              <w:topLinePunct w:val="0"/>
              <w:bidi w:val="0"/>
              <w:spacing w:line="560" w:lineRule="exact"/>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地址：</w:t>
            </w:r>
          </w:p>
        </w:tc>
      </w:tr>
      <w:tr w14:paraId="5376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0" w:type="dxa"/>
            <w:noWrap/>
          </w:tcPr>
          <w:p w14:paraId="10197E93">
            <w:pPr>
              <w:keepLines w:val="0"/>
              <w:pageBreakBefore w:val="0"/>
              <w:kinsoku/>
              <w:wordWrap/>
              <w:overflowPunct/>
              <w:topLinePunct w:val="0"/>
              <w:bidi w:val="0"/>
              <w:spacing w:line="560" w:lineRule="exact"/>
              <w:rPr>
                <w:rFonts w:ascii="仿宋" w:hAnsi="仿宋" w:eastAsia="仿宋" w:cs="仿宋"/>
                <w:color w:val="auto"/>
                <w:kern w:val="0"/>
                <w:sz w:val="24"/>
                <w:highlight w:val="none"/>
              </w:rPr>
            </w:pPr>
            <w:r>
              <w:rPr>
                <w:rFonts w:hint="eastAsia" w:ascii="仿宋" w:hAnsi="仿宋" w:eastAsia="仿宋" w:cs="仿宋"/>
                <w:b/>
                <w:bCs/>
                <w:color w:val="auto"/>
                <w:sz w:val="24"/>
                <w:highlight w:val="none"/>
              </w:rPr>
              <w:t>纳税人识别号</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12440307G34813567P</w:t>
            </w:r>
          </w:p>
        </w:tc>
        <w:tc>
          <w:tcPr>
            <w:tcW w:w="4314" w:type="dxa"/>
            <w:noWrap/>
          </w:tcPr>
          <w:p w14:paraId="478CA054">
            <w:pPr>
              <w:keepLines w:val="0"/>
              <w:pageBreakBefore w:val="0"/>
              <w:kinsoku/>
              <w:wordWrap/>
              <w:overflowPunct/>
              <w:topLinePunct w:val="0"/>
              <w:bidi w:val="0"/>
              <w:spacing w:line="560" w:lineRule="exact"/>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纳税人识别号：</w:t>
            </w:r>
          </w:p>
        </w:tc>
      </w:tr>
      <w:tr w14:paraId="1C80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900" w:type="dxa"/>
            <w:noWrap/>
          </w:tcPr>
          <w:p w14:paraId="7418E724">
            <w:pPr>
              <w:keepLines w:val="0"/>
              <w:pageBreakBefore w:val="0"/>
              <w:kinsoku/>
              <w:wordWrap/>
              <w:overflowPunct/>
              <w:topLinePunct w:val="0"/>
              <w:bidi w:val="0"/>
              <w:spacing w:line="560" w:lineRule="exact"/>
              <w:rPr>
                <w:rFonts w:ascii="仿宋" w:hAnsi="仿宋" w:eastAsia="仿宋" w:cs="仿宋"/>
                <w:color w:val="auto"/>
                <w:kern w:val="0"/>
                <w:sz w:val="24"/>
                <w:highlight w:val="none"/>
              </w:rPr>
            </w:pPr>
            <w:r>
              <w:rPr>
                <w:rFonts w:hint="eastAsia" w:ascii="仿宋" w:hAnsi="仿宋" w:eastAsia="仿宋" w:cs="仿宋"/>
                <w:b/>
                <w:bCs/>
                <w:color w:val="auto"/>
                <w:kern w:val="0"/>
                <w:sz w:val="24"/>
                <w:highlight w:val="none"/>
              </w:rPr>
              <w:t>开户银行：</w:t>
            </w:r>
          </w:p>
        </w:tc>
        <w:tc>
          <w:tcPr>
            <w:tcW w:w="4314" w:type="dxa"/>
            <w:noWrap/>
          </w:tcPr>
          <w:p w14:paraId="2CB96B01">
            <w:pPr>
              <w:keepLines w:val="0"/>
              <w:pageBreakBefore w:val="0"/>
              <w:kinsoku/>
              <w:wordWrap/>
              <w:overflowPunct/>
              <w:topLinePunct w:val="0"/>
              <w:bidi w:val="0"/>
              <w:spacing w:line="560" w:lineRule="exact"/>
              <w:rPr>
                <w:rFonts w:ascii="仿宋" w:hAnsi="仿宋" w:eastAsia="仿宋" w:cs="仿宋"/>
                <w:color w:val="auto"/>
                <w:sz w:val="24"/>
                <w:highlight w:val="none"/>
              </w:rPr>
            </w:pPr>
            <w:r>
              <w:rPr>
                <w:rFonts w:hint="eastAsia" w:ascii="仿宋" w:hAnsi="仿宋" w:eastAsia="仿宋" w:cs="仿宋"/>
                <w:b/>
                <w:bCs/>
                <w:color w:val="auto"/>
                <w:sz w:val="24"/>
                <w:highlight w:val="none"/>
              </w:rPr>
              <w:t>开户银行：</w:t>
            </w:r>
          </w:p>
        </w:tc>
      </w:tr>
      <w:tr w14:paraId="7616B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00" w:type="dxa"/>
            <w:noWrap/>
          </w:tcPr>
          <w:p w14:paraId="7889E614">
            <w:pPr>
              <w:keepLines w:val="0"/>
              <w:pageBreakBefore w:val="0"/>
              <w:kinsoku/>
              <w:wordWrap/>
              <w:overflowPunct/>
              <w:topLinePunct w:val="0"/>
              <w:bidi w:val="0"/>
              <w:spacing w:line="560" w:lineRule="exact"/>
              <w:rPr>
                <w:rFonts w:ascii="仿宋" w:hAnsi="仿宋" w:eastAsia="仿宋" w:cs="仿宋"/>
                <w:color w:val="auto"/>
                <w:kern w:val="0"/>
                <w:sz w:val="24"/>
                <w:highlight w:val="none"/>
              </w:rPr>
            </w:pPr>
            <w:r>
              <w:rPr>
                <w:rFonts w:hint="eastAsia" w:ascii="仿宋" w:hAnsi="仿宋" w:eastAsia="仿宋" w:cs="仿宋"/>
                <w:b/>
                <w:bCs/>
                <w:color w:val="auto"/>
                <w:sz w:val="24"/>
                <w:highlight w:val="none"/>
              </w:rPr>
              <w:t>账    号：</w:t>
            </w:r>
          </w:p>
        </w:tc>
        <w:tc>
          <w:tcPr>
            <w:tcW w:w="4314" w:type="dxa"/>
            <w:noWrap/>
          </w:tcPr>
          <w:p w14:paraId="5432098F">
            <w:pPr>
              <w:keepLines w:val="0"/>
              <w:pageBreakBefore w:val="0"/>
              <w:kinsoku/>
              <w:wordWrap/>
              <w:overflowPunct/>
              <w:topLinePunct w:val="0"/>
              <w:bidi w:val="0"/>
              <w:spacing w:line="560" w:lineRule="exact"/>
              <w:rPr>
                <w:rFonts w:ascii="仿宋" w:hAnsi="仿宋" w:eastAsia="仿宋" w:cs="仿宋"/>
                <w:b/>
                <w:bCs/>
                <w:color w:val="auto"/>
                <w:sz w:val="24"/>
                <w:highlight w:val="none"/>
              </w:rPr>
            </w:pPr>
            <w:r>
              <w:rPr>
                <w:rFonts w:hint="eastAsia" w:ascii="仿宋" w:hAnsi="仿宋" w:eastAsia="仿宋" w:cs="仿宋"/>
                <w:b/>
                <w:bCs/>
                <w:color w:val="auto"/>
                <w:sz w:val="24"/>
                <w:highlight w:val="none"/>
              </w:rPr>
              <w:t>账    号：</w:t>
            </w:r>
          </w:p>
        </w:tc>
      </w:tr>
      <w:tr w14:paraId="3D800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900" w:type="dxa"/>
            <w:noWrap/>
          </w:tcPr>
          <w:p w14:paraId="0DBAF093">
            <w:pPr>
              <w:keepLines w:val="0"/>
              <w:pageBreakBefore w:val="0"/>
              <w:kinsoku/>
              <w:wordWrap/>
              <w:overflowPunct/>
              <w:topLinePunct w:val="0"/>
              <w:bidi w:val="0"/>
              <w:spacing w:line="560" w:lineRule="exact"/>
              <w:rPr>
                <w:rFonts w:ascii="仿宋" w:hAnsi="仿宋" w:eastAsia="仿宋" w:cs="仿宋"/>
                <w:b/>
                <w:bCs/>
                <w:color w:val="auto"/>
                <w:kern w:val="0"/>
                <w:sz w:val="24"/>
                <w:highlight w:val="none"/>
              </w:rPr>
            </w:pPr>
            <w:r>
              <w:rPr>
                <w:rFonts w:hint="eastAsia" w:ascii="仿宋" w:hAnsi="仿宋" w:eastAsia="仿宋" w:cs="仿宋"/>
                <w:b/>
                <w:bCs/>
                <w:color w:val="auto"/>
                <w:sz w:val="24"/>
                <w:highlight w:val="none"/>
              </w:rPr>
              <w:t>电话：</w:t>
            </w:r>
          </w:p>
        </w:tc>
        <w:tc>
          <w:tcPr>
            <w:tcW w:w="4314" w:type="dxa"/>
            <w:noWrap/>
          </w:tcPr>
          <w:p w14:paraId="1718B2C8">
            <w:pPr>
              <w:keepLines w:val="0"/>
              <w:pageBreakBefore w:val="0"/>
              <w:kinsoku/>
              <w:wordWrap/>
              <w:overflowPunct/>
              <w:topLinePunct w:val="0"/>
              <w:bidi w:val="0"/>
              <w:spacing w:line="560" w:lineRule="exact"/>
              <w:rPr>
                <w:rFonts w:ascii="仿宋" w:hAnsi="仿宋" w:eastAsia="仿宋" w:cs="仿宋"/>
                <w:b/>
                <w:bCs/>
                <w:color w:val="auto"/>
                <w:sz w:val="24"/>
                <w:highlight w:val="none"/>
              </w:rPr>
            </w:pPr>
            <w:r>
              <w:rPr>
                <w:rFonts w:hint="eastAsia" w:ascii="仿宋" w:hAnsi="仿宋" w:eastAsia="仿宋" w:cs="仿宋"/>
                <w:b/>
                <w:bCs/>
                <w:color w:val="auto"/>
                <w:sz w:val="24"/>
                <w:highlight w:val="none"/>
              </w:rPr>
              <w:t>电话：</w:t>
            </w:r>
          </w:p>
        </w:tc>
      </w:tr>
      <w:tr w14:paraId="47F21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4900" w:type="dxa"/>
            <w:noWrap/>
          </w:tcPr>
          <w:p w14:paraId="774B466F">
            <w:pPr>
              <w:keepLines w:val="0"/>
              <w:pageBreakBefore w:val="0"/>
              <w:kinsoku/>
              <w:wordWrap/>
              <w:overflowPunct/>
              <w:topLinePunct w:val="0"/>
              <w:bidi w:val="0"/>
              <w:spacing w:line="560" w:lineRule="exact"/>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甲方法定代表人（签字）：</w:t>
            </w:r>
          </w:p>
          <w:p w14:paraId="66CB2B41">
            <w:pPr>
              <w:pStyle w:val="6"/>
              <w:keepLines w:val="0"/>
              <w:pageBreakBefore w:val="0"/>
              <w:kinsoku/>
              <w:wordWrap/>
              <w:overflowPunct/>
              <w:topLinePunct w:val="0"/>
              <w:bidi w:val="0"/>
              <w:spacing w:line="560" w:lineRule="exact"/>
              <w:ind w:firstLine="0"/>
              <w:rPr>
                <w:color w:val="auto"/>
                <w:highlight w:val="none"/>
              </w:rPr>
            </w:pPr>
          </w:p>
          <w:p w14:paraId="796C1C72">
            <w:pPr>
              <w:keepLines w:val="0"/>
              <w:pageBreakBefore w:val="0"/>
              <w:kinsoku/>
              <w:wordWrap/>
              <w:overflowPunct/>
              <w:topLinePunct w:val="0"/>
              <w:bidi w:val="0"/>
              <w:spacing w:line="560" w:lineRule="exact"/>
              <w:rPr>
                <w:color w:val="auto"/>
                <w:highlight w:val="none"/>
              </w:rPr>
            </w:pPr>
            <w:r>
              <w:rPr>
                <w:rFonts w:hint="eastAsia" w:ascii="仿宋" w:hAnsi="仿宋" w:eastAsia="仿宋" w:cs="仿宋"/>
                <w:b/>
                <w:bCs/>
                <w:color w:val="auto"/>
                <w:kern w:val="0"/>
                <w:sz w:val="24"/>
                <w:highlight w:val="none"/>
              </w:rPr>
              <w:t>授权人</w:t>
            </w:r>
          </w:p>
        </w:tc>
        <w:tc>
          <w:tcPr>
            <w:tcW w:w="4314" w:type="dxa"/>
            <w:noWrap/>
          </w:tcPr>
          <w:p w14:paraId="61159D44">
            <w:pPr>
              <w:keepLines w:val="0"/>
              <w:pageBreakBefore w:val="0"/>
              <w:kinsoku/>
              <w:wordWrap/>
              <w:overflowPunct/>
              <w:topLinePunct w:val="0"/>
              <w:bidi w:val="0"/>
              <w:spacing w:line="560" w:lineRule="exact"/>
              <w:rPr>
                <w:color w:val="auto"/>
                <w:highlight w:val="none"/>
              </w:rPr>
            </w:pPr>
            <w:r>
              <w:rPr>
                <w:rFonts w:hint="eastAsia" w:ascii="仿宋" w:hAnsi="仿宋" w:eastAsia="仿宋" w:cs="仿宋"/>
                <w:b/>
                <w:bCs/>
                <w:color w:val="auto"/>
                <w:kern w:val="0"/>
                <w:sz w:val="24"/>
                <w:highlight w:val="none"/>
              </w:rPr>
              <w:t>乙方法定代表人（签字）：</w:t>
            </w:r>
          </w:p>
          <w:p w14:paraId="53A72A35">
            <w:pPr>
              <w:pStyle w:val="6"/>
              <w:keepLines w:val="0"/>
              <w:pageBreakBefore w:val="0"/>
              <w:kinsoku/>
              <w:wordWrap/>
              <w:overflowPunct/>
              <w:topLinePunct w:val="0"/>
              <w:bidi w:val="0"/>
              <w:spacing w:line="560" w:lineRule="exact"/>
              <w:ind w:firstLine="0"/>
              <w:rPr>
                <w:color w:val="auto"/>
                <w:highlight w:val="none"/>
              </w:rPr>
            </w:pPr>
          </w:p>
          <w:p w14:paraId="6F1DE7C8">
            <w:pPr>
              <w:keepLines w:val="0"/>
              <w:pageBreakBefore w:val="0"/>
              <w:kinsoku/>
              <w:wordWrap/>
              <w:overflowPunct/>
              <w:topLinePunct w:val="0"/>
              <w:bidi w:val="0"/>
              <w:spacing w:line="560" w:lineRule="exact"/>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授权人（签字）：</w:t>
            </w:r>
          </w:p>
          <w:p w14:paraId="5DE7F391">
            <w:pPr>
              <w:pStyle w:val="6"/>
              <w:keepLines w:val="0"/>
              <w:pageBreakBefore w:val="0"/>
              <w:kinsoku/>
              <w:wordWrap/>
              <w:overflowPunct/>
              <w:topLinePunct w:val="0"/>
              <w:bidi w:val="0"/>
              <w:spacing w:line="560" w:lineRule="exact"/>
              <w:ind w:firstLine="0"/>
              <w:rPr>
                <w:color w:val="auto"/>
                <w:highlight w:val="none"/>
              </w:rPr>
            </w:pPr>
          </w:p>
        </w:tc>
      </w:tr>
      <w:tr w14:paraId="54540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214" w:type="dxa"/>
            <w:gridSpan w:val="2"/>
            <w:noWrap/>
            <w:vAlign w:val="center"/>
          </w:tcPr>
          <w:p w14:paraId="6A7BD312">
            <w:pPr>
              <w:keepLines w:val="0"/>
              <w:pageBreakBefore w:val="0"/>
              <w:kinsoku/>
              <w:wordWrap/>
              <w:overflowPunct/>
              <w:topLinePunct w:val="0"/>
              <w:bidi w:val="0"/>
              <w:spacing w:line="560" w:lineRule="exact"/>
              <w:jc w:val="center"/>
              <w:rPr>
                <w:rFonts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签约时间：    年   月   日</w:t>
            </w:r>
          </w:p>
          <w:p w14:paraId="23C7EC9E">
            <w:pPr>
              <w:keepLines w:val="0"/>
              <w:pageBreakBefore w:val="0"/>
              <w:kinsoku/>
              <w:wordWrap/>
              <w:overflowPunct/>
              <w:topLinePunct w:val="0"/>
              <w:bidi w:val="0"/>
              <w:spacing w:line="560" w:lineRule="exact"/>
              <w:jc w:val="center"/>
              <w:rPr>
                <w:rFonts w:ascii="宋体" w:hAnsi="宋体"/>
                <w:color w:val="auto"/>
                <w:kern w:val="0"/>
                <w:sz w:val="24"/>
                <w:highlight w:val="none"/>
              </w:rPr>
            </w:pPr>
            <w:r>
              <w:rPr>
                <w:rFonts w:hint="eastAsia" w:ascii="仿宋" w:hAnsi="仿宋" w:eastAsia="仿宋" w:cs="仿宋"/>
                <w:b/>
                <w:bCs/>
                <w:color w:val="auto"/>
                <w:kern w:val="0"/>
                <w:sz w:val="28"/>
                <w:szCs w:val="28"/>
                <w:highlight w:val="none"/>
              </w:rPr>
              <w:t>签约地址：深圳市龙岗区第七人民医院</w:t>
            </w:r>
          </w:p>
        </w:tc>
      </w:tr>
    </w:tbl>
    <w:p w14:paraId="5353A456">
      <w:pPr>
        <w:keepLines w:val="0"/>
        <w:pageBreakBefore w:val="0"/>
        <w:tabs>
          <w:tab w:val="left" w:pos="0"/>
        </w:tabs>
        <w:kinsoku/>
        <w:wordWrap/>
        <w:overflowPunct/>
        <w:topLinePunct w:val="0"/>
        <w:bidi w:val="0"/>
        <w:snapToGrid w:val="0"/>
        <w:spacing w:line="560" w:lineRule="exact"/>
        <w:rPr>
          <w:rFonts w:ascii="仿宋" w:hAnsi="仿宋" w:eastAsia="仿宋" w:cs="仿宋"/>
          <w:b/>
          <w:bCs/>
          <w:color w:val="auto"/>
          <w:sz w:val="32"/>
          <w:szCs w:val="32"/>
          <w:highlight w:val="none"/>
        </w:rPr>
        <w:sectPr>
          <w:headerReference r:id="rId5" w:type="default"/>
          <w:footerReference r:id="rId6" w:type="default"/>
          <w:pgSz w:w="11906" w:h="16838"/>
          <w:pgMar w:top="2098" w:right="1474" w:bottom="1984" w:left="1304" w:header="851" w:footer="1417" w:gutter="0"/>
          <w:pgNumType w:fmt="numberInDash"/>
          <w:cols w:space="0" w:num="1"/>
          <w:rtlGutter w:val="0"/>
          <w:docGrid w:type="lines" w:linePitch="338" w:charSpace="0"/>
        </w:sectPr>
      </w:pPr>
    </w:p>
    <w:p w14:paraId="3782AB62">
      <w:pPr>
        <w:keepLines w:val="0"/>
        <w:pageBreakBefore w:val="0"/>
        <w:widowControl/>
        <w:kinsoku/>
        <w:wordWrap/>
        <w:overflowPunct/>
        <w:topLinePunct w:val="0"/>
        <w:bidi w:val="0"/>
        <w:spacing w:line="560" w:lineRule="exact"/>
        <w:jc w:val="center"/>
        <w:textAlignment w:val="center"/>
        <w:rPr>
          <w:rFonts w:ascii="宋体" w:hAnsi="宋体" w:cs="宋体"/>
          <w:color w:val="auto"/>
          <w:kern w:val="0"/>
          <w:sz w:val="44"/>
          <w:szCs w:val="44"/>
          <w:highlight w:val="none"/>
          <w:lang w:bidi="ar"/>
        </w:rPr>
      </w:pPr>
      <w:r>
        <w:rPr>
          <w:rFonts w:hint="eastAsia" w:ascii="宋体" w:hAnsi="宋体" w:cs="宋体"/>
          <w:color w:val="auto"/>
          <w:kern w:val="0"/>
          <w:sz w:val="44"/>
          <w:szCs w:val="44"/>
          <w:highlight w:val="none"/>
          <w:lang w:bidi="ar"/>
        </w:rPr>
        <w:t>深圳市龙岗区第七人民医院廉洁购销合同</w:t>
      </w:r>
    </w:p>
    <w:p w14:paraId="45FD6E3E">
      <w:pPr>
        <w:keepLines w:val="0"/>
        <w:pageBreakBefore w:val="0"/>
        <w:kinsoku/>
        <w:wordWrap/>
        <w:overflowPunct/>
        <w:topLinePunct w:val="0"/>
        <w:bidi w:val="0"/>
        <w:spacing w:line="560" w:lineRule="exact"/>
        <w:rPr>
          <w:rFonts w:ascii="楷体_GB2312" w:hAnsi="ˎ̥" w:eastAsia="楷体_GB2312"/>
          <w:b/>
          <w:color w:val="auto"/>
          <w:sz w:val="32"/>
          <w:szCs w:val="32"/>
          <w:highlight w:val="none"/>
        </w:rPr>
      </w:pPr>
    </w:p>
    <w:p w14:paraId="17BD2A6A">
      <w:pPr>
        <w:keepLines w:val="0"/>
        <w:pageBreakBefore w:val="0"/>
        <w:kinsoku/>
        <w:wordWrap/>
        <w:overflowPunct/>
        <w:topLinePunct w:val="0"/>
        <w:bidi w:val="0"/>
        <w:spacing w:line="560" w:lineRule="exact"/>
        <w:rPr>
          <w:rFonts w:ascii="仿宋_GB2312" w:hAnsi="ˎ̥" w:eastAsia="仿宋_GB2312"/>
          <w:color w:val="auto"/>
          <w:sz w:val="32"/>
          <w:szCs w:val="32"/>
          <w:highlight w:val="none"/>
        </w:rPr>
      </w:pPr>
      <w:r>
        <w:rPr>
          <w:rFonts w:hint="eastAsia" w:ascii="楷体_GB2312" w:hAnsi="ˎ̥" w:eastAsia="楷体_GB2312"/>
          <w:b/>
          <w:color w:val="auto"/>
          <w:sz w:val="32"/>
          <w:szCs w:val="32"/>
          <w:highlight w:val="none"/>
        </w:rPr>
        <w:t>甲方</w:t>
      </w:r>
      <w:r>
        <w:rPr>
          <w:rFonts w:hint="eastAsia" w:ascii="仿宋_GB2312" w:hAnsi="ˎ̥" w:eastAsia="仿宋_GB2312"/>
          <w:color w:val="auto"/>
          <w:sz w:val="32"/>
          <w:szCs w:val="32"/>
          <w:highlight w:val="none"/>
        </w:rPr>
        <w:t>：深圳市龙岗区第七人民医院</w:t>
      </w:r>
    </w:p>
    <w:p w14:paraId="10D1F1D0">
      <w:pPr>
        <w:keepLines w:val="0"/>
        <w:pageBreakBefore w:val="0"/>
        <w:kinsoku/>
        <w:wordWrap/>
        <w:overflowPunct/>
        <w:topLinePunct w:val="0"/>
        <w:bidi w:val="0"/>
        <w:spacing w:line="560" w:lineRule="exact"/>
        <w:rPr>
          <w:rFonts w:ascii="楷体_GB2312" w:hAnsi="ˎ̥" w:eastAsia="楷体_GB2312"/>
          <w:b/>
          <w:color w:val="auto"/>
          <w:sz w:val="32"/>
          <w:szCs w:val="32"/>
          <w:highlight w:val="none"/>
        </w:rPr>
      </w:pPr>
      <w:r>
        <w:rPr>
          <w:rFonts w:hint="eastAsia" w:ascii="楷体_GB2312" w:hAnsi="ˎ̥" w:eastAsia="楷体_GB2312"/>
          <w:b/>
          <w:color w:val="auto"/>
          <w:sz w:val="32"/>
          <w:szCs w:val="32"/>
          <w:highlight w:val="none"/>
        </w:rPr>
        <w:t>乙方</w:t>
      </w:r>
      <w:r>
        <w:rPr>
          <w:rFonts w:hint="eastAsia" w:ascii="仿宋_GB2312" w:hAnsi="ˎ̥" w:eastAsia="仿宋_GB2312"/>
          <w:color w:val="auto"/>
          <w:sz w:val="32"/>
          <w:szCs w:val="32"/>
          <w:highlight w:val="none"/>
        </w:rPr>
        <w:t>：</w:t>
      </w:r>
    </w:p>
    <w:p w14:paraId="0B58228D">
      <w:pPr>
        <w:keepLines w:val="0"/>
        <w:pageBreakBefore w:val="0"/>
        <w:kinsoku/>
        <w:wordWrap/>
        <w:overflowPunct/>
        <w:topLinePunct w:val="0"/>
        <w:bidi w:val="0"/>
        <w:spacing w:line="560" w:lineRule="exact"/>
        <w:rPr>
          <w:rFonts w:hint="eastAsia" w:ascii="仿宋_GB2312" w:hAnsi="仿宋_GB2312" w:eastAsia="仿宋_GB2312" w:cs="仿宋_GB2312"/>
          <w:color w:val="auto"/>
          <w:sz w:val="32"/>
          <w:szCs w:val="32"/>
          <w:highlight w:val="none"/>
          <w:lang w:val="en-US" w:eastAsia="zh-CN"/>
        </w:rPr>
      </w:pPr>
      <w:r>
        <w:rPr>
          <w:rFonts w:hint="eastAsia" w:ascii="楷体_GB2312" w:hAnsi="ˎ̥" w:eastAsia="楷体_GB2312"/>
          <w:b/>
          <w:color w:val="auto"/>
          <w:sz w:val="32"/>
          <w:szCs w:val="32"/>
          <w:highlight w:val="none"/>
        </w:rPr>
        <w:t>项目名称：</w:t>
      </w:r>
    </w:p>
    <w:p w14:paraId="274911C3">
      <w:pPr>
        <w:keepLines w:val="0"/>
        <w:pageBreakBefore w:val="0"/>
        <w:kinsoku/>
        <w:wordWrap/>
        <w:overflowPunct/>
        <w:topLinePunct w:val="0"/>
        <w:bidi w:val="0"/>
        <w:spacing w:line="560" w:lineRule="exact"/>
        <w:rPr>
          <w:rFonts w:ascii="楷体_GB2312" w:hAnsi="ˎ̥" w:eastAsia="楷体_GB2312"/>
          <w:color w:val="auto"/>
          <w:sz w:val="32"/>
          <w:szCs w:val="32"/>
          <w:highlight w:val="none"/>
        </w:rPr>
      </w:pPr>
      <w:r>
        <w:rPr>
          <w:rFonts w:hint="eastAsia" w:ascii="楷体_GB2312" w:hAnsi="ˎ̥" w:eastAsia="楷体_GB2312"/>
          <w:b/>
          <w:color w:val="auto"/>
          <w:sz w:val="32"/>
          <w:szCs w:val="32"/>
          <w:highlight w:val="none"/>
        </w:rPr>
        <w:t>合同总价</w:t>
      </w:r>
      <w:r>
        <w:rPr>
          <w:rFonts w:hint="eastAsia" w:ascii="楷体_GB2312" w:hAnsi="ˎ̥" w:eastAsia="楷体_GB2312"/>
          <w:color w:val="auto"/>
          <w:sz w:val="32"/>
          <w:szCs w:val="32"/>
          <w:highlight w:val="none"/>
        </w:rPr>
        <w:t>：</w:t>
      </w:r>
    </w:p>
    <w:p w14:paraId="438E73D4">
      <w:pPr>
        <w:keepLines w:val="0"/>
        <w:pageBreakBefore w:val="0"/>
        <w:kinsoku/>
        <w:wordWrap/>
        <w:overflowPunct/>
        <w:topLinePunct w:val="0"/>
        <w:bidi w:val="0"/>
        <w:spacing w:line="560" w:lineRule="exact"/>
        <w:rPr>
          <w:rFonts w:ascii="楷体_GB2312" w:hAnsi="ˎ̥" w:eastAsia="楷体_GB2312"/>
          <w:b/>
          <w:color w:val="auto"/>
          <w:sz w:val="32"/>
          <w:szCs w:val="32"/>
          <w:highlight w:val="none"/>
        </w:rPr>
      </w:pPr>
      <w:r>
        <w:rPr>
          <w:rFonts w:hint="eastAsia" w:ascii="楷体_GB2312" w:hAnsi="ˎ̥" w:eastAsia="楷体_GB2312"/>
          <w:b/>
          <w:color w:val="auto"/>
          <w:sz w:val="32"/>
          <w:szCs w:val="32"/>
          <w:highlight w:val="none"/>
        </w:rPr>
        <w:t>主办科室：</w:t>
      </w:r>
    </w:p>
    <w:p w14:paraId="3D1B62D6">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为进一步加强医疗卫生行风建设，规范购销行为，有效防范商业贿赂，营造公平交易、诚实守信的购销环境，经甲、乙双方协商，同意签订本合同，并共同遵守：</w:t>
      </w:r>
    </w:p>
    <w:p w14:paraId="088DB8EB">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一、甲乙双方按照《中华人民共和国民法典》及产品购销合同约定实施购销行为。</w:t>
      </w:r>
    </w:p>
    <w:p w14:paraId="617D2D7A">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二、甲方应当严格执行验收、入库制度，对采购产品及发票进行查验，不得违反有关规定进行合同外采购、违价采购或从非规定渠道采购。</w:t>
      </w:r>
    </w:p>
    <w:p w14:paraId="777274A3">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甲方不得接受乙方以任何名义、形式给予的利益输送，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纪检监察部门反映情况。</w:t>
      </w:r>
    </w:p>
    <w:p w14:paraId="337A24E5">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四、严禁甲方工作人员利用任何途径和方式，非法为乙方统计医师个人及临床科室有关医药产品用量信息，或为乙方统方提供便利。</w:t>
      </w:r>
    </w:p>
    <w:p w14:paraId="3F5DC11A">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五、乙方不得以回扣、宴请等方式影响甲方工作人员采购或使用医药产品的选择权，不得在学术活动中提供旅游、超标准支付食宿费用，以及其他任何形式的利益输送。</w:t>
      </w:r>
    </w:p>
    <w:p w14:paraId="2572129A">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六、乙方指定        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0C839ED2">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七、乙方如违反本合同，一经发现，甲方有权终止产品购销合同，并向有关部门报告。如乙方被列入商业贿赂不良记录，则严格按照《国家卫生计生委关于建立医药购销领域商业贿赂不良记录的规定》（国卫法制发〔2013〕50号）相关规定处理。</w:t>
      </w:r>
    </w:p>
    <w:p w14:paraId="5710F93E">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八、本合同作为产品购销合同的组成部分，与购销合同一并执行，具有同等的法律效力。</w:t>
      </w:r>
    </w:p>
    <w:p w14:paraId="771D012F">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九、本合同一式叁份，甲方贰份（一份随购销主合同存档，一份交医院纪检监察部门），乙方壹份，从签订之日起生效。</w:t>
      </w:r>
    </w:p>
    <w:p w14:paraId="7B5FF9E7">
      <w:pPr>
        <w:keepLines w:val="0"/>
        <w:pageBreakBefore w:val="0"/>
        <w:kinsoku/>
        <w:wordWrap/>
        <w:overflowPunct/>
        <w:topLinePunct w:val="0"/>
        <w:bidi w:val="0"/>
        <w:spacing w:line="560" w:lineRule="exact"/>
        <w:rPr>
          <w:rFonts w:ascii="仿宋_GB2312" w:eastAsia="仿宋_GB2312"/>
          <w:color w:val="auto"/>
          <w:sz w:val="32"/>
          <w:szCs w:val="32"/>
          <w:highlight w:val="none"/>
        </w:rPr>
      </w:pPr>
    </w:p>
    <w:p w14:paraId="65A7F8D8">
      <w:pPr>
        <w:keepLines w:val="0"/>
        <w:pageBreakBefore w:val="0"/>
        <w:kinsoku/>
        <w:wordWrap/>
        <w:overflowPunct/>
        <w:topLinePunct w:val="0"/>
        <w:bidi w:val="0"/>
        <w:spacing w:line="560" w:lineRule="exact"/>
        <w:rPr>
          <w:rFonts w:ascii="楷体_GB2312" w:eastAsia="楷体_GB2312"/>
          <w:b/>
          <w:color w:val="auto"/>
          <w:sz w:val="32"/>
          <w:szCs w:val="32"/>
          <w:highlight w:val="none"/>
        </w:rPr>
      </w:pPr>
      <w:r>
        <w:rPr>
          <w:rFonts w:hint="eastAsia" w:ascii="楷体_GB2312" w:eastAsia="楷体_GB2312"/>
          <w:b/>
          <w:color w:val="auto"/>
          <w:sz w:val="32"/>
          <w:szCs w:val="32"/>
          <w:highlight w:val="none"/>
        </w:rPr>
        <w:t>甲方（盖章）：                  乙方（盖章）：</w:t>
      </w:r>
    </w:p>
    <w:p w14:paraId="666CB501">
      <w:pPr>
        <w:keepLines w:val="0"/>
        <w:pageBreakBefore w:val="0"/>
        <w:kinsoku/>
        <w:wordWrap/>
        <w:overflowPunct/>
        <w:topLinePunct w:val="0"/>
        <w:bidi w:val="0"/>
        <w:spacing w:line="560" w:lineRule="exact"/>
        <w:rPr>
          <w:rFonts w:ascii="楷体_GB2312" w:eastAsia="楷体_GB2312"/>
          <w:b/>
          <w:color w:val="auto"/>
          <w:sz w:val="32"/>
          <w:szCs w:val="32"/>
          <w:highlight w:val="none"/>
        </w:rPr>
      </w:pPr>
      <w:r>
        <w:rPr>
          <w:rFonts w:hint="eastAsia" w:ascii="楷体_GB2312" w:eastAsia="楷体_GB2312"/>
          <w:b/>
          <w:color w:val="auto"/>
          <w:sz w:val="32"/>
          <w:szCs w:val="32"/>
          <w:highlight w:val="none"/>
        </w:rPr>
        <w:t>法定代表人（</w:t>
      </w:r>
      <w:r>
        <w:rPr>
          <w:rFonts w:ascii="楷体_GB2312" w:eastAsia="楷体_GB2312"/>
          <w:b/>
          <w:color w:val="auto"/>
          <w:sz w:val="32"/>
          <w:szCs w:val="32"/>
          <w:highlight w:val="none"/>
        </w:rPr>
        <w:t>负责人</w:t>
      </w:r>
      <w:r>
        <w:rPr>
          <w:rFonts w:hint="eastAsia" w:ascii="楷体_GB2312" w:eastAsia="楷体_GB2312"/>
          <w:b/>
          <w:color w:val="auto"/>
          <w:sz w:val="32"/>
          <w:szCs w:val="32"/>
          <w:highlight w:val="none"/>
        </w:rPr>
        <w:t>）：          法定代表人（</w:t>
      </w:r>
      <w:r>
        <w:rPr>
          <w:rFonts w:ascii="楷体_GB2312" w:eastAsia="楷体_GB2312"/>
          <w:b/>
          <w:color w:val="auto"/>
          <w:sz w:val="32"/>
          <w:szCs w:val="32"/>
          <w:highlight w:val="none"/>
        </w:rPr>
        <w:t>负责人</w:t>
      </w:r>
      <w:r>
        <w:rPr>
          <w:rFonts w:hint="eastAsia" w:ascii="楷体_GB2312" w:eastAsia="楷体_GB2312"/>
          <w:b/>
          <w:color w:val="auto"/>
          <w:sz w:val="32"/>
          <w:szCs w:val="32"/>
          <w:highlight w:val="none"/>
        </w:rPr>
        <w:t>）：</w:t>
      </w:r>
    </w:p>
    <w:p w14:paraId="39C60488">
      <w:pPr>
        <w:keepLines w:val="0"/>
        <w:pageBreakBefore w:val="0"/>
        <w:kinsoku/>
        <w:wordWrap/>
        <w:overflowPunct/>
        <w:topLinePunct w:val="0"/>
        <w:bidi w:val="0"/>
        <w:spacing w:line="560" w:lineRule="exact"/>
        <w:rPr>
          <w:color w:val="auto"/>
          <w:highlight w:val="none"/>
        </w:rPr>
      </w:pPr>
      <w:r>
        <w:rPr>
          <w:rFonts w:hint="eastAsia" w:ascii="楷体_GB2312" w:eastAsia="楷体_GB2312"/>
          <w:b/>
          <w:color w:val="auto"/>
          <w:sz w:val="32"/>
          <w:szCs w:val="32"/>
          <w:highlight w:val="none"/>
          <w:lang w:val="en-US" w:eastAsia="zh-CN"/>
        </w:rPr>
        <w:t>授权</w:t>
      </w:r>
      <w:r>
        <w:rPr>
          <w:rFonts w:hint="eastAsia" w:ascii="楷体_GB2312" w:eastAsia="楷体_GB2312"/>
          <w:b/>
          <w:color w:val="auto"/>
          <w:sz w:val="32"/>
          <w:szCs w:val="32"/>
          <w:highlight w:val="none"/>
        </w:rPr>
        <w:t>代</w:t>
      </w:r>
      <w:r>
        <w:rPr>
          <w:rFonts w:hint="eastAsia" w:ascii="楷体_GB2312" w:eastAsia="楷体_GB2312"/>
          <w:b/>
          <w:color w:val="auto"/>
          <w:sz w:val="32"/>
          <w:szCs w:val="32"/>
          <w:highlight w:val="none"/>
          <w:lang w:val="en-US" w:eastAsia="zh-CN"/>
        </w:rPr>
        <w:t>表</w:t>
      </w:r>
      <w:r>
        <w:rPr>
          <w:rFonts w:hint="eastAsia" w:ascii="楷体_GB2312" w:eastAsia="楷体_GB2312"/>
          <w:b/>
          <w:color w:val="auto"/>
          <w:sz w:val="32"/>
          <w:szCs w:val="32"/>
          <w:highlight w:val="none"/>
        </w:rPr>
        <w:t>人签名：               经办人签名：</w:t>
      </w:r>
    </w:p>
    <w:p w14:paraId="63E2E952">
      <w:pPr>
        <w:keepLines w:val="0"/>
        <w:pageBreakBefore w:val="0"/>
        <w:kinsoku/>
        <w:wordWrap/>
        <w:overflowPunct/>
        <w:topLinePunct w:val="0"/>
        <w:bidi w:val="0"/>
        <w:spacing w:line="560" w:lineRule="exact"/>
        <w:ind w:firstLine="640" w:firstLineChars="200"/>
        <w:rPr>
          <w:rFonts w:ascii="宋体" w:hAnsi="宋体" w:cs="宋体"/>
          <w:color w:val="auto"/>
          <w:kern w:val="0"/>
          <w:sz w:val="44"/>
          <w:szCs w:val="44"/>
          <w:highlight w:val="none"/>
          <w:lang w:bidi="ar"/>
        </w:rPr>
      </w:pPr>
      <w:r>
        <w:rPr>
          <w:rFonts w:hint="eastAsia" w:ascii="仿宋_GB2312" w:eastAsia="仿宋_GB2312"/>
          <w:color w:val="auto"/>
          <w:sz w:val="32"/>
          <w:szCs w:val="32"/>
          <w:highlight w:val="none"/>
        </w:rPr>
        <w:t>年    月   日                 年    月   日</w:t>
      </w:r>
    </w:p>
    <w:p w14:paraId="459439EB">
      <w:pPr>
        <w:keepLines w:val="0"/>
        <w:pageBreakBefore w:val="0"/>
        <w:widowControl/>
        <w:kinsoku/>
        <w:wordWrap/>
        <w:overflowPunct/>
        <w:topLinePunct w:val="0"/>
        <w:bidi w:val="0"/>
        <w:spacing w:line="560" w:lineRule="exact"/>
        <w:jc w:val="center"/>
        <w:textAlignment w:val="center"/>
        <w:rPr>
          <w:rFonts w:hint="eastAsia" w:ascii="宋体" w:hAnsi="宋体" w:cs="宋体"/>
          <w:color w:val="auto"/>
          <w:kern w:val="0"/>
          <w:sz w:val="44"/>
          <w:szCs w:val="44"/>
          <w:highlight w:val="none"/>
          <w:lang w:bidi="ar"/>
        </w:rPr>
        <w:sectPr>
          <w:headerReference r:id="rId7" w:type="default"/>
          <w:footerReference r:id="rId8" w:type="default"/>
          <w:pgSz w:w="11906" w:h="16838"/>
          <w:pgMar w:top="2098" w:right="1474" w:bottom="1984" w:left="1304" w:header="851" w:footer="1417" w:gutter="0"/>
          <w:cols w:space="0" w:num="1"/>
          <w:rtlGutter w:val="0"/>
          <w:docGrid w:type="lines" w:linePitch="338" w:charSpace="0"/>
        </w:sectPr>
      </w:pPr>
    </w:p>
    <w:p w14:paraId="43E2407D">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宋体" w:hAnsi="宋体" w:cs="宋体"/>
          <w:color w:val="auto"/>
          <w:kern w:val="0"/>
          <w:sz w:val="44"/>
          <w:szCs w:val="44"/>
          <w:highlight w:val="none"/>
          <w:lang w:bidi="ar"/>
        </w:rPr>
      </w:pPr>
      <w:r>
        <w:rPr>
          <w:rFonts w:hint="eastAsia" w:ascii="宋体" w:hAnsi="宋体" w:cs="宋体"/>
          <w:color w:val="auto"/>
          <w:kern w:val="0"/>
          <w:sz w:val="44"/>
          <w:szCs w:val="44"/>
          <w:highlight w:val="none"/>
          <w:lang w:bidi="ar"/>
        </w:rPr>
        <w:t>龙岗区进一步规范政商交往行为告知书</w:t>
      </w:r>
    </w:p>
    <w:p w14:paraId="75F4A78A">
      <w:pPr>
        <w:keepNext w:val="0"/>
        <w:keepLines w:val="0"/>
        <w:pageBreakBefore w:val="0"/>
        <w:kinsoku/>
        <w:wordWrap/>
        <w:overflowPunct/>
        <w:topLinePunct w:val="0"/>
        <w:autoSpaceDE/>
        <w:autoSpaceDN/>
        <w:bidi w:val="0"/>
        <w:adjustRightInd/>
        <w:snapToGrid/>
        <w:spacing w:line="480" w:lineRule="exact"/>
        <w:rPr>
          <w:rFonts w:ascii="宋体" w:hAnsi="宋体" w:cs="宋体"/>
          <w:color w:val="auto"/>
          <w:sz w:val="28"/>
          <w:szCs w:val="28"/>
          <w:highlight w:val="none"/>
        </w:rPr>
      </w:pPr>
    </w:p>
    <w:p w14:paraId="540A22E3">
      <w:pPr>
        <w:keepNext w:val="0"/>
        <w:keepLines w:val="0"/>
        <w:pageBreakBefore w:val="0"/>
        <w:kinsoku/>
        <w:wordWrap/>
        <w:overflowPunct/>
        <w:topLinePunct w:val="0"/>
        <w:autoSpaceDE/>
        <w:autoSpaceDN/>
        <w:bidi w:val="0"/>
        <w:adjustRightInd/>
        <w:snapToGrid/>
        <w:spacing w:line="48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为深入构建</w:t>
      </w:r>
      <w:r>
        <w:rPr>
          <w:rFonts w:hint="eastAsia" w:ascii="仿宋_GB2312" w:hAnsi="仿宋_GB2312" w:eastAsia="仿宋_GB2312" w:cs="仿宋_GB2312"/>
          <w:color w:val="auto"/>
          <w:sz w:val="28"/>
          <w:szCs w:val="28"/>
          <w:highlight w:val="none"/>
          <w:lang w:eastAsia="zh-CN"/>
        </w:rPr>
        <w:t>亲清政商关系</w:t>
      </w:r>
      <w:r>
        <w:rPr>
          <w:rFonts w:hint="eastAsia" w:ascii="仿宋_GB2312" w:hAnsi="仿宋_GB2312" w:eastAsia="仿宋_GB2312" w:cs="仿宋_GB2312"/>
          <w:color w:val="auto"/>
          <w:sz w:val="28"/>
          <w:szCs w:val="28"/>
          <w:highlight w:val="none"/>
        </w:rPr>
        <w:t>，努力打造尊商、亲商、助商、安商良好营商环境，龙岗</w:t>
      </w:r>
      <w:r>
        <w:rPr>
          <w:rFonts w:hint="eastAsia" w:ascii="仿宋_GB2312" w:hAnsi="仿宋_GB2312" w:eastAsia="仿宋_GB2312" w:cs="仿宋_GB2312"/>
          <w:color w:val="auto"/>
          <w:sz w:val="28"/>
          <w:szCs w:val="28"/>
          <w:highlight w:val="none"/>
          <w:lang w:eastAsia="zh-CN"/>
        </w:rPr>
        <w:t>区委、区政府</w:t>
      </w:r>
      <w:r>
        <w:rPr>
          <w:rFonts w:hint="eastAsia" w:ascii="仿宋_GB2312" w:hAnsi="仿宋_GB2312" w:eastAsia="仿宋_GB2312" w:cs="仿宋_GB2312"/>
          <w:color w:val="auto"/>
          <w:sz w:val="28"/>
          <w:szCs w:val="28"/>
          <w:highlight w:val="none"/>
        </w:rPr>
        <w:t>制定了《龙岗区公职人员政商交往“十个不准”》，严明公职人员在政商交往中的纪律要求。请参与龙岗建设的广大企业及其从业人员，严格监督我区公职人员落实“十个不准”，并在与我区公职人员交往中切实做到“十个不得”。</w:t>
      </w:r>
    </w:p>
    <w:p w14:paraId="48CB7E56">
      <w:pPr>
        <w:keepNext w:val="0"/>
        <w:keepLines w:val="0"/>
        <w:pageBreakBefore w:val="0"/>
        <w:kinsoku/>
        <w:wordWrap/>
        <w:overflowPunct/>
        <w:topLinePunct w:val="0"/>
        <w:autoSpaceDE/>
        <w:autoSpaceDN/>
        <w:bidi w:val="0"/>
        <w:adjustRightInd/>
        <w:snapToGrid/>
        <w:spacing w:line="48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一、不得向公职人员赠送礼品、礼金、消费卡等财物。</w:t>
      </w:r>
    </w:p>
    <w:p w14:paraId="7027707C">
      <w:pPr>
        <w:keepNext w:val="0"/>
        <w:keepLines w:val="0"/>
        <w:pageBreakBefore w:val="0"/>
        <w:kinsoku/>
        <w:wordWrap/>
        <w:overflowPunct/>
        <w:topLinePunct w:val="0"/>
        <w:autoSpaceDE/>
        <w:autoSpaceDN/>
        <w:bidi w:val="0"/>
        <w:adjustRightInd/>
        <w:snapToGrid/>
        <w:spacing w:line="48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二、不得违规向公职人员提供宴请、旅游、娱乐等安排。</w:t>
      </w:r>
    </w:p>
    <w:p w14:paraId="341ED761">
      <w:pPr>
        <w:keepNext w:val="0"/>
        <w:keepLines w:val="0"/>
        <w:pageBreakBefore w:val="0"/>
        <w:kinsoku/>
        <w:wordWrap/>
        <w:overflowPunct/>
        <w:topLinePunct w:val="0"/>
        <w:autoSpaceDE/>
        <w:autoSpaceDN/>
        <w:bidi w:val="0"/>
        <w:adjustRightInd/>
        <w:snapToGrid/>
        <w:spacing w:line="48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三、不得通过打麻将等形式向公职人员输送利益。</w:t>
      </w:r>
    </w:p>
    <w:p w14:paraId="7ED522FE">
      <w:pPr>
        <w:keepNext w:val="0"/>
        <w:keepLines w:val="0"/>
        <w:pageBreakBefore w:val="0"/>
        <w:kinsoku/>
        <w:wordWrap/>
        <w:overflowPunct/>
        <w:topLinePunct w:val="0"/>
        <w:autoSpaceDE/>
        <w:autoSpaceDN/>
        <w:bidi w:val="0"/>
        <w:adjustRightInd/>
        <w:snapToGrid/>
        <w:spacing w:line="48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四、不得为公职人员报销应由其个人支付的费用。</w:t>
      </w:r>
    </w:p>
    <w:p w14:paraId="3493B443">
      <w:pPr>
        <w:keepNext w:val="0"/>
        <w:keepLines w:val="0"/>
        <w:pageBreakBefore w:val="0"/>
        <w:kinsoku/>
        <w:wordWrap/>
        <w:overflowPunct/>
        <w:topLinePunct w:val="0"/>
        <w:autoSpaceDE/>
        <w:autoSpaceDN/>
        <w:bidi w:val="0"/>
        <w:adjustRightInd/>
        <w:snapToGrid/>
        <w:spacing w:line="48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五、不得违规向公职人员及其亲友借贷款。</w:t>
      </w:r>
    </w:p>
    <w:p w14:paraId="2A1735E4">
      <w:pPr>
        <w:keepNext w:val="0"/>
        <w:keepLines w:val="0"/>
        <w:pageBreakBefore w:val="0"/>
        <w:kinsoku/>
        <w:wordWrap/>
        <w:overflowPunct/>
        <w:topLinePunct w:val="0"/>
        <w:autoSpaceDE/>
        <w:autoSpaceDN/>
        <w:bidi w:val="0"/>
        <w:adjustRightInd/>
        <w:snapToGrid/>
        <w:spacing w:line="48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六、不得违规将车辆、住房等借给公职人员使用。</w:t>
      </w:r>
    </w:p>
    <w:p w14:paraId="05C088D1">
      <w:pPr>
        <w:keepNext w:val="0"/>
        <w:keepLines w:val="0"/>
        <w:pageBreakBefore w:val="0"/>
        <w:kinsoku/>
        <w:wordWrap/>
        <w:overflowPunct/>
        <w:topLinePunct w:val="0"/>
        <w:autoSpaceDE/>
        <w:autoSpaceDN/>
        <w:bidi w:val="0"/>
        <w:adjustRightInd/>
        <w:snapToGrid/>
        <w:spacing w:line="48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七、不得在招投标中与公职人员搞暗箱操作、围标串标。</w:t>
      </w:r>
    </w:p>
    <w:p w14:paraId="32DD2128">
      <w:pPr>
        <w:keepNext w:val="0"/>
        <w:keepLines w:val="0"/>
        <w:pageBreakBefore w:val="0"/>
        <w:kinsoku/>
        <w:wordWrap/>
        <w:overflowPunct/>
        <w:topLinePunct w:val="0"/>
        <w:autoSpaceDE/>
        <w:autoSpaceDN/>
        <w:bidi w:val="0"/>
        <w:adjustRightInd/>
        <w:snapToGrid/>
        <w:spacing w:line="48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八、不得为利益相关人和公职人员牵线搭桥或者代为传递信息、传递财物。</w:t>
      </w:r>
    </w:p>
    <w:p w14:paraId="50E56478">
      <w:pPr>
        <w:keepNext w:val="0"/>
        <w:keepLines w:val="0"/>
        <w:pageBreakBefore w:val="0"/>
        <w:kinsoku/>
        <w:wordWrap/>
        <w:overflowPunct/>
        <w:topLinePunct w:val="0"/>
        <w:autoSpaceDE/>
        <w:autoSpaceDN/>
        <w:bidi w:val="0"/>
        <w:adjustRightInd/>
        <w:snapToGrid/>
        <w:spacing w:line="48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九、不得让公职人员在企业违规兼职取酬。</w:t>
      </w:r>
    </w:p>
    <w:p w14:paraId="3BF1DB8F">
      <w:pPr>
        <w:keepNext w:val="0"/>
        <w:keepLines w:val="0"/>
        <w:pageBreakBefore w:val="0"/>
        <w:kinsoku/>
        <w:wordWrap/>
        <w:overflowPunct/>
        <w:topLinePunct w:val="0"/>
        <w:autoSpaceDE/>
        <w:autoSpaceDN/>
        <w:bidi w:val="0"/>
        <w:adjustRightInd/>
        <w:snapToGrid/>
        <w:spacing w:line="48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十、不得为公职人员亲友违规承揽业务提供便利。</w:t>
      </w:r>
    </w:p>
    <w:p w14:paraId="2EC2AC82">
      <w:pPr>
        <w:keepNext w:val="0"/>
        <w:keepLines w:val="0"/>
        <w:pageBreakBefore w:val="0"/>
        <w:kinsoku/>
        <w:wordWrap/>
        <w:overflowPunct/>
        <w:topLinePunct w:val="0"/>
        <w:autoSpaceDE/>
        <w:autoSpaceDN/>
        <w:bidi w:val="0"/>
        <w:adjustRightInd/>
        <w:snapToGrid/>
        <w:spacing w:line="48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上述“十个不得”，请您严格遵守。同时，在政商交往中，</w:t>
      </w:r>
      <w:r>
        <w:rPr>
          <w:rFonts w:hint="eastAsia" w:ascii="仿宋_GB2312" w:hAnsi="仿宋_GB2312" w:eastAsia="仿宋_GB2312" w:cs="仿宋_GB2312"/>
          <w:color w:val="auto"/>
          <w:sz w:val="28"/>
          <w:szCs w:val="28"/>
          <w:highlight w:val="none"/>
          <w:lang w:eastAsia="zh-CN"/>
        </w:rPr>
        <w:t>如</w:t>
      </w:r>
      <w:r>
        <w:rPr>
          <w:rFonts w:hint="eastAsia" w:ascii="仿宋_GB2312" w:hAnsi="仿宋_GB2312" w:eastAsia="仿宋_GB2312" w:cs="仿宋_GB2312"/>
          <w:color w:val="auto"/>
          <w:sz w:val="28"/>
          <w:szCs w:val="28"/>
          <w:highlight w:val="none"/>
        </w:rPr>
        <w:t>发现我区公职人员存在违反“十个不准”的问题，请及时通过网络举报平台或者12388举报电话等方式，向纪检监察机关反映举报，我们将一律严格保密、一律优先处置、一律严肃查处。</w:t>
      </w:r>
    </w:p>
    <w:p w14:paraId="54097270">
      <w:pPr>
        <w:keepNext w:val="0"/>
        <w:keepLines w:val="0"/>
        <w:pageBreakBefore w:val="0"/>
        <w:kinsoku/>
        <w:wordWrap/>
        <w:overflowPunct/>
        <w:topLinePunct w:val="0"/>
        <w:autoSpaceDE/>
        <w:autoSpaceDN/>
        <w:bidi w:val="0"/>
        <w:adjustRightInd/>
        <w:snapToGrid/>
        <w:spacing w:line="480" w:lineRule="exact"/>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本人已知晓上述告知内容，并愿意遵照执行</w:t>
      </w:r>
      <w:r>
        <w:rPr>
          <w:rFonts w:hint="eastAsia" w:ascii="仿宋_GB2312" w:hAnsi="仿宋_GB2312" w:eastAsia="仿宋_GB2312" w:cs="仿宋_GB2312"/>
          <w:color w:val="auto"/>
          <w:sz w:val="28"/>
          <w:szCs w:val="28"/>
          <w:highlight w:val="none"/>
          <w:lang w:eastAsia="zh-CN"/>
        </w:rPr>
        <w:t>。</w:t>
      </w:r>
    </w:p>
    <w:p w14:paraId="06E965AC">
      <w:pPr>
        <w:keepNext w:val="0"/>
        <w:keepLines w:val="0"/>
        <w:pageBreakBefore w:val="0"/>
        <w:kinsoku/>
        <w:wordWrap/>
        <w:overflowPunct/>
        <w:topLinePunct w:val="0"/>
        <w:autoSpaceDE/>
        <w:autoSpaceDN/>
        <w:bidi w:val="0"/>
        <w:adjustRightInd/>
        <w:snapToGrid/>
        <w:spacing w:line="480" w:lineRule="exact"/>
        <w:ind w:firstLine="5320" w:firstLineChars="19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28"/>
          <w:szCs w:val="28"/>
          <w:highlight w:val="none"/>
        </w:rPr>
        <w:t>（签名）</w:t>
      </w:r>
      <w:r>
        <w:rPr>
          <w:rFonts w:hint="eastAsia" w:ascii="仿宋_GB2312" w:hAnsi="仿宋_GB2312" w:eastAsia="仿宋_GB2312" w:cs="仿宋_GB2312"/>
          <w:color w:val="auto"/>
          <w:sz w:val="32"/>
          <w:szCs w:val="32"/>
          <w:highlight w:val="none"/>
        </w:rPr>
        <w:tab/>
      </w:r>
    </w:p>
    <w:p w14:paraId="20949B79">
      <w:pPr>
        <w:pStyle w:val="11"/>
        <w:keepNext w:val="0"/>
        <w:keepLines w:val="0"/>
        <w:pageBreakBefore w:val="0"/>
        <w:kinsoku/>
        <w:wordWrap/>
        <w:overflowPunct/>
        <w:topLinePunct w:val="0"/>
        <w:autoSpaceDE/>
        <w:autoSpaceDN/>
        <w:bidi w:val="0"/>
        <w:adjustRightInd/>
        <w:snapToGrid/>
        <w:spacing w:line="480" w:lineRule="exact"/>
        <w:jc w:val="center"/>
        <w:rPr>
          <w:rFonts w:hint="default" w:ascii="仿宋_GB2312" w:hAnsi="仿宋_GB2312" w:eastAsia="仿宋_GB2312" w:cs="仿宋_GB2312"/>
          <w:color w:val="auto"/>
          <w:kern w:val="2"/>
          <w:sz w:val="28"/>
          <w:szCs w:val="28"/>
          <w:highlight w:val="none"/>
          <w:lang w:val="en-US" w:eastAsia="zh-CN" w:bidi="ar-SA"/>
        </w:rPr>
      </w:pPr>
      <w:r>
        <w:rPr>
          <w:rFonts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kern w:val="2"/>
          <w:sz w:val="28"/>
          <w:szCs w:val="28"/>
          <w:highlight w:val="none"/>
          <w:lang w:val="en-US" w:eastAsia="zh-CN" w:bidi="ar-SA"/>
        </w:rPr>
        <w:t xml:space="preserve">   单位名称（盖章）：</w:t>
      </w:r>
    </w:p>
    <w:p w14:paraId="46C58889">
      <w:pPr>
        <w:pStyle w:val="11"/>
        <w:keepNext w:val="0"/>
        <w:keepLines w:val="0"/>
        <w:pageBreakBefore w:val="0"/>
        <w:kinsoku/>
        <w:wordWrap/>
        <w:overflowPunct/>
        <w:topLinePunct w:val="0"/>
        <w:autoSpaceDE/>
        <w:autoSpaceDN/>
        <w:bidi w:val="0"/>
        <w:adjustRightInd/>
        <w:snapToGrid/>
        <w:spacing w:line="480" w:lineRule="exact"/>
        <w:jc w:val="center"/>
        <w:rPr>
          <w:rFonts w:hint="eastAsia" w:ascii="宋体" w:cs="宋体"/>
          <w:b/>
          <w:color w:val="auto"/>
          <w:szCs w:val="21"/>
          <w:highlight w:val="none"/>
        </w:rPr>
      </w:pPr>
      <w:r>
        <w:rPr>
          <w:rFonts w:hint="eastAsia" w:ascii="仿宋_GB2312" w:hAnsi="仿宋_GB2312" w:eastAsia="仿宋_GB2312" w:cs="仿宋_GB2312"/>
          <w:color w:val="auto"/>
          <w:kern w:val="2"/>
          <w:sz w:val="28"/>
          <w:szCs w:val="28"/>
          <w:highlight w:val="none"/>
          <w:lang w:val="en-US" w:eastAsia="zh-CN" w:bidi="ar-SA"/>
        </w:rPr>
        <w:t xml:space="preserve">                     年  月  日</w:t>
      </w:r>
    </w:p>
    <w:sectPr>
      <w:pgSz w:w="11906" w:h="16838"/>
      <w:pgMar w:top="2098" w:right="1474" w:bottom="1984" w:left="1304" w:header="851" w:footer="1417" w:gutter="0"/>
      <w:cols w:space="0" w:num="1"/>
      <w:rtlGutter w:val="0"/>
      <w:docGrid w:type="lines" w:linePitch="33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45D8278-D8A6-4FA9-9E31-E61D7887125E}"/>
  </w:font>
  <w:font w:name="黑体">
    <w:panose1 w:val="02010609060101010101"/>
    <w:charset w:val="86"/>
    <w:family w:val="auto"/>
    <w:pitch w:val="default"/>
    <w:sig w:usb0="800002BF" w:usb1="38CF7CFA" w:usb2="00000016" w:usb3="00000000" w:csb0="00040001" w:csb1="00000000"/>
    <w:embedRegular r:id="rId2" w:fontKey="{1FB45DDA-6BF0-429A-8B82-1D0AD5D273D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6D2F1701-BC5A-4232-827B-1A44DCD31964}"/>
  </w:font>
  <w:font w:name="H Yb 2gj">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embedRegular r:id="rId4" w:fontKey="{8AC849C7-024A-4038-A847-D1330B43E08F}"/>
  </w:font>
  <w:font w:name="仿宋_GB2312">
    <w:panose1 w:val="02010609030101010101"/>
    <w:charset w:val="86"/>
    <w:family w:val="modern"/>
    <w:pitch w:val="default"/>
    <w:sig w:usb0="00000001" w:usb1="080E0000" w:usb2="00000000" w:usb3="00000000" w:csb0="00040000" w:csb1="00000000"/>
    <w:embedRegular r:id="rId5" w:fontKey="{7C5F3EB6-191A-4E26-9577-4F7759D7449A}"/>
  </w:font>
  <w:font w:name="方正小标宋简体">
    <w:panose1 w:val="02000000000000000000"/>
    <w:charset w:val="86"/>
    <w:family w:val="auto"/>
    <w:pitch w:val="default"/>
    <w:sig w:usb0="00000001" w:usb1="08000000" w:usb2="00000000" w:usb3="00000000" w:csb0="00040000" w:csb1="00000000"/>
    <w:embedRegular r:id="rId6" w:fontKey="{0ED75E4F-D089-4556-AB63-8A7CBD09737F}"/>
  </w:font>
  <w:font w:name="楷体_GB2312">
    <w:panose1 w:val="02010609030101010101"/>
    <w:charset w:val="86"/>
    <w:family w:val="auto"/>
    <w:pitch w:val="default"/>
    <w:sig w:usb0="00000001" w:usb1="080E0000" w:usb2="00000000" w:usb3="00000000" w:csb0="00040000" w:csb1="00000000"/>
    <w:embedRegular r:id="rId7" w:fontKey="{7456E0AC-B420-49B9-9240-87178E74E063}"/>
  </w:font>
  <w:font w:name="仿宋">
    <w:panose1 w:val="02010609060101010101"/>
    <w:charset w:val="86"/>
    <w:family w:val="auto"/>
    <w:pitch w:val="default"/>
    <w:sig w:usb0="800002BF" w:usb1="38CF7CFA" w:usb2="00000016" w:usb3="00000000" w:csb0="00040001" w:csb1="00000000"/>
    <w:embedRegular r:id="rId8" w:fontKey="{C75D4E57-CAC2-43A5-98A6-963620591082}"/>
  </w:font>
  <w:font w:name="ˎ̥">
    <w:altName w:val="宋体"/>
    <w:panose1 w:val="00000000000000000000"/>
    <w:charset w:val="00"/>
    <w:family w:val="auto"/>
    <w:pitch w:val="default"/>
    <w:sig w:usb0="00000000" w:usb1="00000000" w:usb2="00000000" w:usb3="00000000" w:csb0="00040001" w:csb1="00000000"/>
    <w:embedRegular r:id="rId9" w:fontKey="{8CD87FEE-9D1B-4EC2-9ECC-00D3ACB710A4}"/>
  </w:font>
  <w:font w:name="WPSEMBED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B4E59">
    <w:pPr>
      <w:pStyle w:val="1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126D340D">
                          <w:pPr>
                            <w:pStyle w:val="13"/>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- 48 -</w:t>
                          </w:r>
                          <w:r>
                            <w:rPr>
                              <w:rFonts w:hint="eastAsia" w:ascii="宋体" w:hAnsi="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&#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pQ6mh0QEAAKUDAAAOAAAAAAAAAAEAIAAAACIB&#10;AABkcnMvZTJvRG9jLnhtbFBLBQYAAAAABgAGAFkBAABlBQAAAAA=&#10;">
              <v:fill on="f" focussize="0,0"/>
              <v:stroke on="f" weight="1.25pt"/>
              <v:imagedata o:title=""/>
              <o:lock v:ext="edit" aspectratio="f"/>
              <v:textbox inset="0mm,0mm,0mm,0mm" style="mso-fit-shape-to-text:t;">
                <w:txbxContent>
                  <w:p w14:paraId="126D340D">
                    <w:pPr>
                      <w:pStyle w:val="13"/>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- 48 -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32BC2">
    <w:pPr>
      <w:pStyle w:val="1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53F1FC23">
                          <w:pPr>
                            <w:pStyle w:val="13"/>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47</w:t>
                          </w:r>
                          <w:r>
                            <w:rPr>
                              <w:rFonts w:hint="eastAsia" w:ascii="宋体" w:hAnsi="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&#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NJrTRPQAQAApQMAAA4AAAAAAAAAAQAgAAAAIgEA&#10;AGRycy9lMm9Eb2MueG1sUEsFBgAAAAAGAAYAWQEAAGQFAAAAAA==&#10;">
              <v:fill on="f" focussize="0,0"/>
              <v:stroke on="f" weight="1.25pt"/>
              <v:imagedata o:title=""/>
              <o:lock v:ext="edit" aspectratio="f"/>
              <v:textbox inset="0mm,0mm,0mm,0mm" style="mso-fit-shape-to-text:t;">
                <w:txbxContent>
                  <w:p w14:paraId="53F1FC23">
                    <w:pPr>
                      <w:pStyle w:val="13"/>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47</w:t>
                    </w:r>
                    <w:r>
                      <w:rPr>
                        <w:rFonts w:hint="eastAsia" w:ascii="宋体" w:hAnsi="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13555">
    <w:pPr>
      <w:pStyle w:val="1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CF1B5C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32</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3CF1B5C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4C4DF">
    <w:pPr>
      <w:pStyle w:val="14"/>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29B40">
    <w:pPr>
      <w:pStyle w:val="14"/>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884EB">
    <w:pPr>
      <w:pStyle w:val="14"/>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FB40CF"/>
    <w:multiLevelType w:val="singleLevel"/>
    <w:tmpl w:val="E4FB40CF"/>
    <w:lvl w:ilvl="0" w:tentative="0">
      <w:start w:val="11"/>
      <w:numFmt w:val="chineseCounting"/>
      <w:suff w:val="nothing"/>
      <w:lvlText w:val="%1、"/>
      <w:lvlJc w:val="left"/>
      <w:rPr>
        <w:rFonts w:hint="eastAsia"/>
      </w:rPr>
    </w:lvl>
  </w:abstractNum>
  <w:abstractNum w:abstractNumId="1">
    <w:nsid w:val="22B7BE7E"/>
    <w:multiLevelType w:val="singleLevel"/>
    <w:tmpl w:val="22B7BE7E"/>
    <w:lvl w:ilvl="0" w:tentative="0">
      <w:start w:val="3"/>
      <w:numFmt w:val="chineseCounting"/>
      <w:suff w:val="nothing"/>
      <w:lvlText w:val="（%1）"/>
      <w:lvlJc w:val="left"/>
      <w:rPr>
        <w:rFonts w:hint="eastAsia"/>
      </w:rPr>
    </w:lvl>
  </w:abstractNum>
  <w:abstractNum w:abstractNumId="2">
    <w:nsid w:val="37C1C332"/>
    <w:multiLevelType w:val="singleLevel"/>
    <w:tmpl w:val="37C1C332"/>
    <w:lvl w:ilvl="0" w:tentative="0">
      <w:start w:val="2"/>
      <w:numFmt w:val="chineseCounting"/>
      <w:suff w:val="space"/>
      <w:lvlText w:val="第%1章"/>
      <w:lvlJc w:val="left"/>
      <w:rPr>
        <w:rFonts w:hint="eastAsia"/>
      </w:rPr>
    </w:lvl>
  </w:abstractNum>
  <w:abstractNum w:abstractNumId="3">
    <w:nsid w:val="58C64E55"/>
    <w:multiLevelType w:val="singleLevel"/>
    <w:tmpl w:val="58C64E55"/>
    <w:lvl w:ilvl="0" w:tentative="0">
      <w:start w:val="1"/>
      <w:numFmt w:val="decimal"/>
      <w:lvlText w:val="%1."/>
      <w:lvlJc w:val="left"/>
      <w:pPr>
        <w:ind w:left="425" w:hanging="425"/>
      </w:pPr>
      <w:rPr>
        <w:rFonts w:hint="default"/>
      </w:rPr>
    </w:lvl>
  </w:abstractNum>
  <w:abstractNum w:abstractNumId="4">
    <w:nsid w:val="5BEC3A51"/>
    <w:multiLevelType w:val="multilevel"/>
    <w:tmpl w:val="5BEC3A51"/>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7FED9864"/>
    <w:multiLevelType w:val="singleLevel"/>
    <w:tmpl w:val="7FED9864"/>
    <w:lvl w:ilvl="0" w:tentative="0">
      <w:start w:val="1"/>
      <w:numFmt w:val="chineseCounting"/>
      <w:suff w:val="nothing"/>
      <w:lvlText w:val="%1、"/>
      <w:lvlJc w:val="left"/>
      <w:rPr>
        <w:rFonts w:hint="eastAsia"/>
      </w:rPr>
    </w:lvl>
  </w:abstractNum>
  <w:num w:numId="1">
    <w:abstractNumId w:val="2"/>
  </w:num>
  <w:num w:numId="2">
    <w:abstractNumId w:val="5"/>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6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MmRkYjg1MWYxOTgzYmE0YjcwNjU0NzA5NzU1Y2UifQ=="/>
  </w:docVars>
  <w:rsids>
    <w:rsidRoot w:val="00000000"/>
    <w:rsid w:val="000273CC"/>
    <w:rsid w:val="00043144"/>
    <w:rsid w:val="000D26B7"/>
    <w:rsid w:val="01021383"/>
    <w:rsid w:val="011137C5"/>
    <w:rsid w:val="01132D4E"/>
    <w:rsid w:val="013613FF"/>
    <w:rsid w:val="025F4662"/>
    <w:rsid w:val="03083097"/>
    <w:rsid w:val="03127217"/>
    <w:rsid w:val="035166A0"/>
    <w:rsid w:val="036D47D9"/>
    <w:rsid w:val="0433224A"/>
    <w:rsid w:val="049D275A"/>
    <w:rsid w:val="04E44CBF"/>
    <w:rsid w:val="04F71BD7"/>
    <w:rsid w:val="05182245"/>
    <w:rsid w:val="05243941"/>
    <w:rsid w:val="05FE0636"/>
    <w:rsid w:val="060F45F1"/>
    <w:rsid w:val="067F0EA1"/>
    <w:rsid w:val="0709241E"/>
    <w:rsid w:val="08375DC9"/>
    <w:rsid w:val="086E0768"/>
    <w:rsid w:val="08EB30F3"/>
    <w:rsid w:val="094B5ABE"/>
    <w:rsid w:val="0A3E1E30"/>
    <w:rsid w:val="0A4A3E4A"/>
    <w:rsid w:val="0AE70551"/>
    <w:rsid w:val="0B837613"/>
    <w:rsid w:val="0C3C77C2"/>
    <w:rsid w:val="0C631449"/>
    <w:rsid w:val="0D1F336B"/>
    <w:rsid w:val="0DCB34F3"/>
    <w:rsid w:val="0E0A5DCA"/>
    <w:rsid w:val="0E364E11"/>
    <w:rsid w:val="0E880A30"/>
    <w:rsid w:val="0EA24254"/>
    <w:rsid w:val="0ED463D8"/>
    <w:rsid w:val="0F1F3AF7"/>
    <w:rsid w:val="0F4E7F38"/>
    <w:rsid w:val="0F5A67F4"/>
    <w:rsid w:val="0FEE1638"/>
    <w:rsid w:val="105E118E"/>
    <w:rsid w:val="10702130"/>
    <w:rsid w:val="10D601E5"/>
    <w:rsid w:val="11072A94"/>
    <w:rsid w:val="111073FE"/>
    <w:rsid w:val="114710E3"/>
    <w:rsid w:val="11C7149D"/>
    <w:rsid w:val="11F443AB"/>
    <w:rsid w:val="128D65FD"/>
    <w:rsid w:val="129C348E"/>
    <w:rsid w:val="130A686C"/>
    <w:rsid w:val="13710699"/>
    <w:rsid w:val="137E6912"/>
    <w:rsid w:val="139D4390"/>
    <w:rsid w:val="13CE7899"/>
    <w:rsid w:val="154871D8"/>
    <w:rsid w:val="15F35EDD"/>
    <w:rsid w:val="168406E3"/>
    <w:rsid w:val="169F1079"/>
    <w:rsid w:val="16E55626"/>
    <w:rsid w:val="17656B71"/>
    <w:rsid w:val="17BF1CFD"/>
    <w:rsid w:val="18B057C0"/>
    <w:rsid w:val="192341E3"/>
    <w:rsid w:val="19257F5C"/>
    <w:rsid w:val="19891DC1"/>
    <w:rsid w:val="19EF5AF8"/>
    <w:rsid w:val="19F3005A"/>
    <w:rsid w:val="1A6B4094"/>
    <w:rsid w:val="1AA611B2"/>
    <w:rsid w:val="1AEC0313"/>
    <w:rsid w:val="1AF95B35"/>
    <w:rsid w:val="1B157ABC"/>
    <w:rsid w:val="1B1A1616"/>
    <w:rsid w:val="1B59309C"/>
    <w:rsid w:val="1BAA3FC2"/>
    <w:rsid w:val="1C000F80"/>
    <w:rsid w:val="1D3F5364"/>
    <w:rsid w:val="1D850AA2"/>
    <w:rsid w:val="1E197963"/>
    <w:rsid w:val="1E390005"/>
    <w:rsid w:val="1E3B56D4"/>
    <w:rsid w:val="1E693EC0"/>
    <w:rsid w:val="1F3303C2"/>
    <w:rsid w:val="1F372797"/>
    <w:rsid w:val="1F850FAE"/>
    <w:rsid w:val="1FE87F35"/>
    <w:rsid w:val="1FEE1B49"/>
    <w:rsid w:val="20E56222"/>
    <w:rsid w:val="214007BA"/>
    <w:rsid w:val="217557F8"/>
    <w:rsid w:val="21E84823"/>
    <w:rsid w:val="22434229"/>
    <w:rsid w:val="22CC25C7"/>
    <w:rsid w:val="230778FE"/>
    <w:rsid w:val="230806C2"/>
    <w:rsid w:val="238B6A96"/>
    <w:rsid w:val="23E66539"/>
    <w:rsid w:val="23F027C6"/>
    <w:rsid w:val="241C63FF"/>
    <w:rsid w:val="24795D20"/>
    <w:rsid w:val="250524F8"/>
    <w:rsid w:val="257D2ECD"/>
    <w:rsid w:val="25822292"/>
    <w:rsid w:val="258F3E5B"/>
    <w:rsid w:val="25E24E34"/>
    <w:rsid w:val="262646A2"/>
    <w:rsid w:val="269C578A"/>
    <w:rsid w:val="26B47F5C"/>
    <w:rsid w:val="26D62895"/>
    <w:rsid w:val="27750300"/>
    <w:rsid w:val="27952750"/>
    <w:rsid w:val="27DC64C6"/>
    <w:rsid w:val="27F51441"/>
    <w:rsid w:val="28216F3C"/>
    <w:rsid w:val="28610884"/>
    <w:rsid w:val="287C746C"/>
    <w:rsid w:val="28A6273B"/>
    <w:rsid w:val="28CB21A2"/>
    <w:rsid w:val="2984039C"/>
    <w:rsid w:val="29F85218"/>
    <w:rsid w:val="2A614B6C"/>
    <w:rsid w:val="2AAA6513"/>
    <w:rsid w:val="2AF53506"/>
    <w:rsid w:val="2B593A95"/>
    <w:rsid w:val="2B5B780D"/>
    <w:rsid w:val="2B88437A"/>
    <w:rsid w:val="2B9B40AD"/>
    <w:rsid w:val="2BDE3F9A"/>
    <w:rsid w:val="2C3D6F12"/>
    <w:rsid w:val="2C8E4B7C"/>
    <w:rsid w:val="2CF92803"/>
    <w:rsid w:val="2CFE2B46"/>
    <w:rsid w:val="2D4C45A1"/>
    <w:rsid w:val="2DD5778F"/>
    <w:rsid w:val="2E291833"/>
    <w:rsid w:val="2E6D1C25"/>
    <w:rsid w:val="2E6E5AA9"/>
    <w:rsid w:val="2E7D3F3E"/>
    <w:rsid w:val="2E943223"/>
    <w:rsid w:val="2EB536D8"/>
    <w:rsid w:val="2F194097"/>
    <w:rsid w:val="2F3E12DE"/>
    <w:rsid w:val="2F522419"/>
    <w:rsid w:val="2F8337D6"/>
    <w:rsid w:val="2F927575"/>
    <w:rsid w:val="2FFB336C"/>
    <w:rsid w:val="302F5A11"/>
    <w:rsid w:val="30663F74"/>
    <w:rsid w:val="30CC6B49"/>
    <w:rsid w:val="30F027A5"/>
    <w:rsid w:val="31132938"/>
    <w:rsid w:val="31EE221F"/>
    <w:rsid w:val="32082A62"/>
    <w:rsid w:val="324E1E79"/>
    <w:rsid w:val="328A2F94"/>
    <w:rsid w:val="32A11A16"/>
    <w:rsid w:val="32DC7485"/>
    <w:rsid w:val="33613E2E"/>
    <w:rsid w:val="33995826"/>
    <w:rsid w:val="342310E4"/>
    <w:rsid w:val="350E769E"/>
    <w:rsid w:val="35205C57"/>
    <w:rsid w:val="353043A7"/>
    <w:rsid w:val="3555351F"/>
    <w:rsid w:val="359F2181"/>
    <w:rsid w:val="35D5415D"/>
    <w:rsid w:val="369D517D"/>
    <w:rsid w:val="3726778C"/>
    <w:rsid w:val="37405B09"/>
    <w:rsid w:val="374E2513"/>
    <w:rsid w:val="3787472F"/>
    <w:rsid w:val="38F27C84"/>
    <w:rsid w:val="3A502507"/>
    <w:rsid w:val="3B0B7C37"/>
    <w:rsid w:val="3B253993"/>
    <w:rsid w:val="3B392F9B"/>
    <w:rsid w:val="3BBA2C38"/>
    <w:rsid w:val="3C074E47"/>
    <w:rsid w:val="3C1A001F"/>
    <w:rsid w:val="3C2B43F0"/>
    <w:rsid w:val="3CA64AA0"/>
    <w:rsid w:val="3D000214"/>
    <w:rsid w:val="3D106B23"/>
    <w:rsid w:val="3D5F13DF"/>
    <w:rsid w:val="3D5F5CEB"/>
    <w:rsid w:val="3DE0464F"/>
    <w:rsid w:val="3EBF64A8"/>
    <w:rsid w:val="3EC07C8A"/>
    <w:rsid w:val="3F4C7741"/>
    <w:rsid w:val="41054FBE"/>
    <w:rsid w:val="4157061F"/>
    <w:rsid w:val="415B2A37"/>
    <w:rsid w:val="4173542A"/>
    <w:rsid w:val="42176969"/>
    <w:rsid w:val="42FD131E"/>
    <w:rsid w:val="43790D20"/>
    <w:rsid w:val="438D20D6"/>
    <w:rsid w:val="439E3DD6"/>
    <w:rsid w:val="43BD0C0D"/>
    <w:rsid w:val="43D16DFB"/>
    <w:rsid w:val="441133CA"/>
    <w:rsid w:val="44150A49"/>
    <w:rsid w:val="44634DEC"/>
    <w:rsid w:val="44A92F3F"/>
    <w:rsid w:val="44AB4F09"/>
    <w:rsid w:val="4510737E"/>
    <w:rsid w:val="45967F9C"/>
    <w:rsid w:val="45EE77A4"/>
    <w:rsid w:val="461B1C1B"/>
    <w:rsid w:val="467F03FC"/>
    <w:rsid w:val="46C200B8"/>
    <w:rsid w:val="46E75FA1"/>
    <w:rsid w:val="478832E0"/>
    <w:rsid w:val="47F37767"/>
    <w:rsid w:val="4971555C"/>
    <w:rsid w:val="49925A7D"/>
    <w:rsid w:val="4A0A0C77"/>
    <w:rsid w:val="4A233794"/>
    <w:rsid w:val="4A2A5330"/>
    <w:rsid w:val="4A431964"/>
    <w:rsid w:val="4A6F4C2B"/>
    <w:rsid w:val="4A800BE6"/>
    <w:rsid w:val="4A951D4C"/>
    <w:rsid w:val="4B2B4033"/>
    <w:rsid w:val="4B447018"/>
    <w:rsid w:val="4B7778F3"/>
    <w:rsid w:val="4BB60892"/>
    <w:rsid w:val="4C062E76"/>
    <w:rsid w:val="4C567E51"/>
    <w:rsid w:val="4CA54934"/>
    <w:rsid w:val="4CA74208"/>
    <w:rsid w:val="4CB136A7"/>
    <w:rsid w:val="4CD00139"/>
    <w:rsid w:val="4CE90CC5"/>
    <w:rsid w:val="4D221AE1"/>
    <w:rsid w:val="4D246133"/>
    <w:rsid w:val="4DA223BC"/>
    <w:rsid w:val="4DC1731C"/>
    <w:rsid w:val="4EB96475"/>
    <w:rsid w:val="4EC2357B"/>
    <w:rsid w:val="4EFB6DE2"/>
    <w:rsid w:val="4F6E725F"/>
    <w:rsid w:val="4F950C90"/>
    <w:rsid w:val="4FBF5D0D"/>
    <w:rsid w:val="50060682"/>
    <w:rsid w:val="50477F26"/>
    <w:rsid w:val="50AA47D9"/>
    <w:rsid w:val="50C7131D"/>
    <w:rsid w:val="50D15CF8"/>
    <w:rsid w:val="51857D38"/>
    <w:rsid w:val="51B82A14"/>
    <w:rsid w:val="52173BDE"/>
    <w:rsid w:val="52BA7FE0"/>
    <w:rsid w:val="52C045C2"/>
    <w:rsid w:val="53C102A5"/>
    <w:rsid w:val="53EE45A5"/>
    <w:rsid w:val="53EF9960"/>
    <w:rsid w:val="54640C31"/>
    <w:rsid w:val="548D7284"/>
    <w:rsid w:val="54911254"/>
    <w:rsid w:val="5495703C"/>
    <w:rsid w:val="550C7ACC"/>
    <w:rsid w:val="571050A0"/>
    <w:rsid w:val="58466FCB"/>
    <w:rsid w:val="58A528D5"/>
    <w:rsid w:val="596A0A97"/>
    <w:rsid w:val="598002BB"/>
    <w:rsid w:val="59CC1752"/>
    <w:rsid w:val="59CF1242"/>
    <w:rsid w:val="59EC0C94"/>
    <w:rsid w:val="59F26F59"/>
    <w:rsid w:val="5A0A4028"/>
    <w:rsid w:val="5B0B2544"/>
    <w:rsid w:val="5B7253B2"/>
    <w:rsid w:val="5B751975"/>
    <w:rsid w:val="5BC806C1"/>
    <w:rsid w:val="5BEB1E5A"/>
    <w:rsid w:val="5BEB56DE"/>
    <w:rsid w:val="5C435F5A"/>
    <w:rsid w:val="5C7165E1"/>
    <w:rsid w:val="5D1B4B7A"/>
    <w:rsid w:val="5D514C25"/>
    <w:rsid w:val="5DA86747"/>
    <w:rsid w:val="5DEA03F9"/>
    <w:rsid w:val="5E1A6CE7"/>
    <w:rsid w:val="5F132D8C"/>
    <w:rsid w:val="5F182D44"/>
    <w:rsid w:val="5F2D4A41"/>
    <w:rsid w:val="5F7A48B2"/>
    <w:rsid w:val="5F7A57AC"/>
    <w:rsid w:val="60407D8C"/>
    <w:rsid w:val="60E56871"/>
    <w:rsid w:val="61296C23"/>
    <w:rsid w:val="6175447D"/>
    <w:rsid w:val="62E80C7F"/>
    <w:rsid w:val="63280D60"/>
    <w:rsid w:val="6387310C"/>
    <w:rsid w:val="63C811DC"/>
    <w:rsid w:val="63E7103C"/>
    <w:rsid w:val="63F01D9B"/>
    <w:rsid w:val="645A5BAC"/>
    <w:rsid w:val="64914D1F"/>
    <w:rsid w:val="64FD4FB2"/>
    <w:rsid w:val="65017861"/>
    <w:rsid w:val="650E70C3"/>
    <w:rsid w:val="6562740E"/>
    <w:rsid w:val="660B7819"/>
    <w:rsid w:val="66171FA7"/>
    <w:rsid w:val="661F2C0A"/>
    <w:rsid w:val="667B0788"/>
    <w:rsid w:val="66C13CC1"/>
    <w:rsid w:val="67877971"/>
    <w:rsid w:val="67913794"/>
    <w:rsid w:val="679E072B"/>
    <w:rsid w:val="67C40EBB"/>
    <w:rsid w:val="67CD5355"/>
    <w:rsid w:val="68541290"/>
    <w:rsid w:val="686D2352"/>
    <w:rsid w:val="68727968"/>
    <w:rsid w:val="68B74A09"/>
    <w:rsid w:val="68EA39A3"/>
    <w:rsid w:val="68F309CB"/>
    <w:rsid w:val="695E0300"/>
    <w:rsid w:val="698E432E"/>
    <w:rsid w:val="699F1794"/>
    <w:rsid w:val="6A59526A"/>
    <w:rsid w:val="6AE52674"/>
    <w:rsid w:val="6BA42C8E"/>
    <w:rsid w:val="6C940230"/>
    <w:rsid w:val="6C9A0567"/>
    <w:rsid w:val="6CF272CA"/>
    <w:rsid w:val="6D165BE9"/>
    <w:rsid w:val="6D8A7502"/>
    <w:rsid w:val="6E1E2833"/>
    <w:rsid w:val="6E341EFF"/>
    <w:rsid w:val="6E3D27C7"/>
    <w:rsid w:val="6E865F1C"/>
    <w:rsid w:val="6EA91C0A"/>
    <w:rsid w:val="6F524050"/>
    <w:rsid w:val="6F5A2F04"/>
    <w:rsid w:val="6F8D5088"/>
    <w:rsid w:val="6FCA62DC"/>
    <w:rsid w:val="70DF2FD7"/>
    <w:rsid w:val="71522AC9"/>
    <w:rsid w:val="71FC02A3"/>
    <w:rsid w:val="72943F28"/>
    <w:rsid w:val="729F135A"/>
    <w:rsid w:val="72AE41C5"/>
    <w:rsid w:val="730D7B4F"/>
    <w:rsid w:val="73D2575F"/>
    <w:rsid w:val="73FD4B26"/>
    <w:rsid w:val="759552F3"/>
    <w:rsid w:val="75EFB405"/>
    <w:rsid w:val="75F145C2"/>
    <w:rsid w:val="760065B4"/>
    <w:rsid w:val="771263E5"/>
    <w:rsid w:val="771852A8"/>
    <w:rsid w:val="773651D5"/>
    <w:rsid w:val="776112D4"/>
    <w:rsid w:val="778D031B"/>
    <w:rsid w:val="77972419"/>
    <w:rsid w:val="77E912C9"/>
    <w:rsid w:val="780A0542"/>
    <w:rsid w:val="786C6182"/>
    <w:rsid w:val="789D2404"/>
    <w:rsid w:val="78E350FE"/>
    <w:rsid w:val="792702FB"/>
    <w:rsid w:val="79C505D8"/>
    <w:rsid w:val="7A3A41A1"/>
    <w:rsid w:val="7AEA338E"/>
    <w:rsid w:val="7B4118B2"/>
    <w:rsid w:val="7B5B603A"/>
    <w:rsid w:val="7BDF4EBD"/>
    <w:rsid w:val="7C9C1996"/>
    <w:rsid w:val="7CF077D4"/>
    <w:rsid w:val="7D200C7E"/>
    <w:rsid w:val="7D733B0F"/>
    <w:rsid w:val="7D864CEE"/>
    <w:rsid w:val="7DA168CE"/>
    <w:rsid w:val="7DC13ACC"/>
    <w:rsid w:val="7DDA0140"/>
    <w:rsid w:val="7E576F8D"/>
    <w:rsid w:val="7EB50157"/>
    <w:rsid w:val="7F5C0EA0"/>
    <w:rsid w:val="7F6667E1"/>
    <w:rsid w:val="7FB81CAD"/>
    <w:rsid w:val="7FF8654D"/>
    <w:rsid w:val="ADE75EDF"/>
    <w:rsid w:val="E5F798C8"/>
    <w:rsid w:val="F9DE6A19"/>
    <w:rsid w:val="FDBB34EE"/>
    <w:rsid w:val="FFCD0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semiHidden/>
    <w:unhideWhenUsed/>
    <w:qFormat/>
    <w:uiPriority w:val="0"/>
    <w:pPr>
      <w:outlineLvl w:val="1"/>
    </w:pPr>
    <w:rPr>
      <w:sz w:val="36"/>
      <w:szCs w:val="36"/>
    </w:rPr>
  </w:style>
  <w:style w:type="paragraph" w:styleId="4">
    <w:name w:val="heading 3"/>
    <w:basedOn w:val="1"/>
    <w:next w:val="1"/>
    <w:autoRedefine/>
    <w:qFormat/>
    <w:uiPriority w:val="0"/>
    <w:pPr>
      <w:spacing w:before="260" w:after="260"/>
      <w:outlineLvl w:val="2"/>
    </w:pPr>
    <w:rPr>
      <w:rFonts w:ascii="宋体"/>
      <w:szCs w:val="32"/>
    </w:rPr>
  </w:style>
  <w:style w:type="character" w:default="1" w:styleId="20">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5">
    <w:name w:val="index 8"/>
    <w:basedOn w:val="1"/>
    <w:next w:val="1"/>
    <w:autoRedefine/>
    <w:qFormat/>
    <w:uiPriority w:val="0"/>
    <w:pPr>
      <w:ind w:left="2940"/>
    </w:pPr>
  </w:style>
  <w:style w:type="paragraph" w:styleId="6">
    <w:name w:val="Normal Indent"/>
    <w:basedOn w:val="1"/>
    <w:next w:val="7"/>
    <w:autoRedefine/>
    <w:qFormat/>
    <w:uiPriority w:val="0"/>
    <w:pPr>
      <w:ind w:firstLine="420"/>
    </w:pPr>
    <w:rPr>
      <w:szCs w:val="20"/>
    </w:rPr>
  </w:style>
  <w:style w:type="paragraph" w:styleId="7">
    <w:name w:val="Body Text"/>
    <w:basedOn w:val="1"/>
    <w:next w:val="8"/>
    <w:autoRedefine/>
    <w:qFormat/>
    <w:uiPriority w:val="0"/>
    <w:pPr>
      <w:autoSpaceDE w:val="0"/>
      <w:autoSpaceDN w:val="0"/>
      <w:jc w:val="left"/>
    </w:pPr>
    <w:rPr>
      <w:rFonts w:ascii="宋体" w:hAnsi="宋体"/>
      <w:kern w:val="0"/>
      <w:sz w:val="32"/>
      <w:szCs w:val="32"/>
    </w:rPr>
  </w:style>
  <w:style w:type="paragraph" w:styleId="8">
    <w:name w:val="Body Text 2"/>
    <w:basedOn w:val="1"/>
    <w:autoRedefine/>
    <w:qFormat/>
    <w:uiPriority w:val="0"/>
    <w:pPr>
      <w:spacing w:line="360" w:lineRule="auto"/>
    </w:pPr>
    <w:rPr>
      <w:sz w:val="24"/>
    </w:rPr>
  </w:style>
  <w:style w:type="paragraph" w:styleId="9">
    <w:name w:val="annotation text"/>
    <w:basedOn w:val="1"/>
    <w:autoRedefine/>
    <w:qFormat/>
    <w:uiPriority w:val="99"/>
    <w:pPr>
      <w:jc w:val="left"/>
    </w:pPr>
  </w:style>
  <w:style w:type="paragraph" w:styleId="10">
    <w:name w:val="Body Text Indent"/>
    <w:basedOn w:val="1"/>
    <w:autoRedefine/>
    <w:qFormat/>
    <w:uiPriority w:val="0"/>
    <w:pPr>
      <w:spacing w:line="360" w:lineRule="auto"/>
      <w:ind w:firstLine="420" w:firstLineChars="200"/>
    </w:pPr>
    <w:rPr>
      <w:kern w:val="0"/>
      <w:sz w:val="20"/>
      <w:szCs w:val="24"/>
    </w:rPr>
  </w:style>
  <w:style w:type="paragraph" w:styleId="11">
    <w:name w:val="Plain Text"/>
    <w:basedOn w:val="1"/>
    <w:next w:val="5"/>
    <w:autoRedefine/>
    <w:qFormat/>
    <w:uiPriority w:val="0"/>
    <w:rPr>
      <w:rFonts w:hint="eastAsia" w:ascii="宋体" w:hAnsi="Courier New"/>
      <w:kern w:val="0"/>
      <w:sz w:val="20"/>
      <w:szCs w:val="21"/>
    </w:rPr>
  </w:style>
  <w:style w:type="paragraph" w:styleId="12">
    <w:name w:val="Balloon Text"/>
    <w:basedOn w:val="1"/>
    <w:autoRedefine/>
    <w:qFormat/>
    <w:uiPriority w:val="0"/>
    <w:rPr>
      <w:rFonts w:ascii="Calibri" w:hAnsi="Calibri"/>
      <w:sz w:val="18"/>
      <w:szCs w:val="18"/>
    </w:rPr>
  </w:style>
  <w:style w:type="paragraph" w:styleId="13">
    <w:name w:val="footer"/>
    <w:basedOn w:val="1"/>
    <w:autoRedefine/>
    <w:qFormat/>
    <w:uiPriority w:val="0"/>
    <w:pPr>
      <w:tabs>
        <w:tab w:val="center" w:pos="4153"/>
        <w:tab w:val="right" w:pos="8306"/>
      </w:tabs>
      <w:snapToGrid w:val="0"/>
      <w:jc w:val="left"/>
    </w:pPr>
    <w:rPr>
      <w:sz w:val="18"/>
      <w:szCs w:val="18"/>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nhideWhenUsed/>
    <w:qFormat/>
    <w:uiPriority w:val="39"/>
  </w:style>
  <w:style w:type="paragraph" w:styleId="16">
    <w:name w:val="Normal (Web)"/>
    <w:basedOn w:val="1"/>
    <w:autoRedefine/>
    <w:qFormat/>
    <w:uiPriority w:val="0"/>
    <w:pPr>
      <w:spacing w:beforeAutospacing="1" w:afterAutospacing="1"/>
      <w:jc w:val="left"/>
    </w:pPr>
    <w:rPr>
      <w:kern w:val="0"/>
      <w:sz w:val="24"/>
    </w:rPr>
  </w:style>
  <w:style w:type="paragraph" w:styleId="17">
    <w:name w:val="Body Text First Indent 2"/>
    <w:basedOn w:val="10"/>
    <w:autoRedefine/>
    <w:qFormat/>
    <w:uiPriority w:val="0"/>
    <w:pPr>
      <w:spacing w:after="120" w:line="240" w:lineRule="auto"/>
      <w:ind w:left="420" w:leftChars="200"/>
    </w:pPr>
    <w:rPr>
      <w:rFonts w:ascii="Calibri" w:hAnsi="Calibri"/>
      <w:kern w:val="2"/>
      <w:sz w:val="21"/>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autoRedefine/>
    <w:qFormat/>
    <w:uiPriority w:val="0"/>
    <w:rPr>
      <w:b/>
    </w:rPr>
  </w:style>
  <w:style w:type="character" w:styleId="22">
    <w:name w:val="page number"/>
    <w:autoRedefine/>
    <w:qFormat/>
    <w:uiPriority w:val="0"/>
  </w:style>
  <w:style w:type="paragraph" w:styleId="23">
    <w:name w:val="No Spacing"/>
    <w:basedOn w:val="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24">
    <w:name w:val="Default"/>
    <w:autoRedefine/>
    <w:qFormat/>
    <w:uiPriority w:val="0"/>
    <w:pPr>
      <w:widowControl w:val="0"/>
      <w:autoSpaceDE w:val="0"/>
      <w:autoSpaceDN w:val="0"/>
      <w:adjustRightInd w:val="0"/>
    </w:pPr>
    <w:rPr>
      <w:rFonts w:ascii="H Yb 2gj" w:hAnsi="H Yb 2gj" w:eastAsia="H Yb 2gj" w:cs="H Yb 2gj"/>
      <w:color w:val="000000"/>
      <w:sz w:val="24"/>
      <w:szCs w:val="24"/>
      <w:lang w:val="en-US" w:eastAsia="zh-CN" w:bidi="ar-SA"/>
    </w:rPr>
  </w:style>
  <w:style w:type="paragraph" w:customStyle="1" w:styleId="25">
    <w:name w:val="p0"/>
    <w:basedOn w:val="1"/>
    <w:autoRedefine/>
    <w:qFormat/>
    <w:uiPriority w:val="0"/>
    <w:pPr>
      <w:widowControl/>
    </w:pPr>
    <w:rPr>
      <w:kern w:val="0"/>
      <w:szCs w:val="21"/>
    </w:rPr>
  </w:style>
  <w:style w:type="paragraph" w:customStyle="1" w:styleId="26">
    <w:name w:val="表格文字"/>
    <w:basedOn w:val="1"/>
    <w:autoRedefine/>
    <w:qFormat/>
    <w:uiPriority w:val="0"/>
    <w:pPr>
      <w:spacing w:before="25" w:after="25"/>
    </w:pPr>
    <w:rPr>
      <w:spacing w:val="10"/>
      <w:sz w:val="24"/>
    </w:rPr>
  </w:style>
  <w:style w:type="paragraph" w:customStyle="1" w:styleId="27">
    <w:name w:val="列出段落111"/>
    <w:basedOn w:val="1"/>
    <w:autoRedefine/>
    <w:qFormat/>
    <w:uiPriority w:val="0"/>
    <w:pPr>
      <w:ind w:firstLine="420" w:firstLineChars="200"/>
    </w:pPr>
  </w:style>
  <w:style w:type="paragraph" w:customStyle="1" w:styleId="28">
    <w:name w:val="保留正文"/>
    <w:basedOn w:val="7"/>
    <w:autoRedefine/>
    <w:qFormat/>
    <w:uiPriority w:val="0"/>
    <w:pPr>
      <w:keepNext/>
      <w:tabs>
        <w:tab w:val="left" w:pos="562"/>
        <w:tab w:val="left" w:pos="3372"/>
        <w:tab w:val="left" w:pos="3653"/>
      </w:tabs>
      <w:spacing w:after="160"/>
    </w:pPr>
    <w:rPr>
      <w:sz w:val="21"/>
    </w:rPr>
  </w:style>
  <w:style w:type="character" w:customStyle="1" w:styleId="29">
    <w:name w:val="font31"/>
    <w:basedOn w:val="20"/>
    <w:autoRedefine/>
    <w:qFormat/>
    <w:uiPriority w:val="0"/>
    <w:rPr>
      <w:rFonts w:hint="eastAsia" w:ascii="宋体" w:hAnsi="宋体" w:eastAsia="宋体" w:cs="宋体"/>
      <w:color w:val="000000"/>
      <w:sz w:val="24"/>
      <w:szCs w:val="24"/>
      <w:u w:val="none"/>
    </w:rPr>
  </w:style>
  <w:style w:type="paragraph" w:customStyle="1" w:styleId="30">
    <w:name w:val="列出段落1"/>
    <w:basedOn w:val="1"/>
    <w:autoRedefine/>
    <w:qFormat/>
    <w:uiPriority w:val="34"/>
    <w:pPr>
      <w:ind w:firstLine="420" w:firstLineChars="200"/>
    </w:pPr>
  </w:style>
  <w:style w:type="paragraph" w:customStyle="1" w:styleId="31">
    <w:name w:val="_Style 1"/>
    <w:basedOn w:val="1"/>
    <w:next w:val="1"/>
    <w:autoRedefine/>
    <w:qFormat/>
    <w:uiPriority w:val="99"/>
    <w:pPr>
      <w:ind w:firstLine="420" w:firstLineChars="200"/>
    </w:pPr>
  </w:style>
  <w:style w:type="paragraph" w:customStyle="1" w:styleId="32">
    <w:name w:val="表格小五F4"/>
    <w:basedOn w:val="33"/>
    <w:autoRedefine/>
    <w:qFormat/>
    <w:uiPriority w:val="0"/>
    <w:rPr>
      <w:sz w:val="18"/>
    </w:rPr>
  </w:style>
  <w:style w:type="paragraph" w:customStyle="1" w:styleId="33">
    <w:name w:val="表格F2"/>
    <w:autoRedefine/>
    <w:qFormat/>
    <w:uiPriority w:val="0"/>
    <w:pPr>
      <w:jc w:val="center"/>
    </w:pPr>
    <w:rPr>
      <w:rFonts w:ascii="Times New Roman" w:hAnsi="Times New Roman" w:eastAsia="楷体" w:cs="Times New Roman"/>
      <w:sz w:val="24"/>
      <w:szCs w:val="22"/>
      <w:lang w:val="en-US" w:eastAsia="zh-CN" w:bidi="ar-SA"/>
    </w:rPr>
  </w:style>
  <w:style w:type="paragraph" w:customStyle="1" w:styleId="34">
    <w:name w:val="样式 首行缩进:  2 字符"/>
    <w:autoRedefine/>
    <w:qFormat/>
    <w:uiPriority w:val="0"/>
    <w:pPr>
      <w:widowControl w:val="0"/>
      <w:spacing w:before="120" w:after="120" w:line="360" w:lineRule="auto"/>
      <w:ind w:firstLine="582" w:firstLineChars="200"/>
      <w:jc w:val="both"/>
    </w:pPr>
    <w:rPr>
      <w:rFonts w:ascii="Times New Roman" w:hAnsi="Times New Roman" w:eastAsia="仿宋_GB2312" w:cs="宋体"/>
      <w:kern w:val="10"/>
      <w:sz w:val="28"/>
      <w:szCs w:val="28"/>
      <w:lang w:val="en-US" w:eastAsia="zh-CN" w:bidi="ar-SA"/>
    </w:rPr>
  </w:style>
  <w:style w:type="paragraph" w:customStyle="1" w:styleId="35">
    <w:name w:val="列表段落1"/>
    <w:basedOn w:val="1"/>
    <w:autoRedefine/>
    <w:qFormat/>
    <w:uiPriority w:val="0"/>
    <w:pPr>
      <w:ind w:firstLine="420" w:firstLineChars="200"/>
    </w:pPr>
  </w:style>
  <w:style w:type="paragraph" w:customStyle="1" w:styleId="36">
    <w:name w:val="List Paragraph"/>
    <w:basedOn w:val="1"/>
    <w:autoRedefine/>
    <w:qFormat/>
    <w:uiPriority w:val="34"/>
    <w:pPr>
      <w:ind w:firstLine="420" w:firstLineChars="200"/>
    </w:pPr>
  </w:style>
  <w:style w:type="paragraph" w:customStyle="1" w:styleId="37">
    <w:name w:val="Normal Indent1"/>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4c763fdb-48eb-4ec6-8572-f8219e9991b5</errorID>
      <errorWord xmlns="http://schemas.wps.cn/vas-ai-hub/contract-review">具备的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具备</item>
      </candidateList>
      <explain xmlns="http://schemas.wps.cn/vas-ai-hub/contract-review"/>
      <paraID xmlns="http://schemas.wps.cn/vas-ai-hub/contract-review">5A6F630B</paraID>
      <start xmlns="http://schemas.wps.cn/vas-ai-hub/contract-review">43</start>
      <end xmlns="http://schemas.wps.cn/vas-ai-hub/contract-review">46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18e992e1-8b18-4be2-a4bf-6b6584506ba1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3F222528</paraID>
      <start xmlns="http://schemas.wps.cn/vas-ai-hub/contract-review">9</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47c18a70-dcf9-45a0-8012-9fd765078d4e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标题文本后不使用标点符号。</explain>
      <paraID xmlns="http://schemas.wps.cn/vas-ai-hub/contract-review">2DDF54D3</paraID>
      <start xmlns="http://schemas.wps.cn/vas-ai-hub/contract-review">45</start>
      <end xmlns="http://schemas.wps.cn/vas-ai-hub/contract-review">46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c9365df3-9fd1-4c37-b718-3314b947febd</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标题文本后不使用标点符号。</explain>
      <paraID xmlns="http://schemas.wps.cn/vas-ai-hub/contract-review">163AB987</paraID>
      <start xmlns="http://schemas.wps.cn/vas-ai-hub/contract-review">35</start>
      <end xmlns="http://schemas.wps.cn/vas-ai-hub/contract-review">36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df4809dd-87fa-4a85-9737-230c75198a7d</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标题文本后不使用标点符号。</explain>
      <paraID xmlns="http://schemas.wps.cn/vas-ai-hub/contract-review">2ABF0A1F</paraID>
      <start xmlns="http://schemas.wps.cn/vas-ai-hub/contract-review">22</start>
      <end xmlns="http://schemas.wps.cn/vas-ai-hub/contract-review">23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c4c3459d-c284-4626-84c1-f8c4e26d0da7</errorID>
      <errorWord xmlns="http://schemas.wps.cn/vas-ai-hub/contract-review">碘伏</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碘附</item>
      </candidateList>
      <explain xmlns="http://schemas.wps.cn/vas-ai-hub/contract-review">医学名词[碘伏]为不规范表述或旧称，其规范书面表述为[碘附]。</explain>
      <paraID xmlns="http://schemas.wps.cn/vas-ai-hub/contract-review">645D1250</paraID>
      <start xmlns="http://schemas.wps.cn/vas-ai-hub/contract-review">40</start>
      <end xmlns="http://schemas.wps.cn/vas-ai-hub/contract-review">42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91d14504-f777-4170-9c19-bf59c1c2fa90</errorID>
      <errorWord xmlns="http://schemas.wps.cn/vas-ai-hub/contract-review">碘伏</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碘附</item>
      </candidateList>
      <explain xmlns="http://schemas.wps.cn/vas-ai-hub/contract-review">医学名词[碘伏]为不规范表述或旧称，其规范书面表述为[碘附]。</explain>
      <paraID xmlns="http://schemas.wps.cn/vas-ai-hub/contract-review">645D1250</paraID>
      <start xmlns="http://schemas.wps.cn/vas-ai-hub/contract-review">50</start>
      <end xmlns="http://schemas.wps.cn/vas-ai-hub/contract-review">52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b527b3c5-16c9-4f64-93ef-304438088712</errorID>
      <errorWord xmlns="http://schemas.wps.cn/vas-ai-hub/contract-review">的</errorWord>
      <group xmlns="http://schemas.wps.cn/vas-ai-hub/contract-review">L1_Word</group>
      <groupName xmlns="http://schemas.wps.cn/vas-ai-hub/contract-review">字词问题</groupName>
      <ability xmlns="http://schemas.wps.cn/vas-ai-hub/contract-review">L2_DDD</ability>
      <abilityName xmlns="http://schemas.wps.cn/vas-ai-hub/contract-review">的地得用法</abilityName>
      <candidateList xmlns="http://schemas.wps.cn/vas-ai-hub/contract-review">
        <item xmlns="http://schemas.wps.cn/vas-ai-hub/contract-review">地</item>
      </candidateList>
      <explain xmlns="http://schemas.wps.cn/vas-ai-hub/contract-review">“地”常用于连接修饰语与动词性中心语，表示动作的方式、状态或程度。</explain>
      <paraID xmlns="http://schemas.wps.cn/vas-ai-hub/contract-review">645D1250</paraID>
      <start xmlns="http://schemas.wps.cn/vas-ai-hub/contract-review">113</start>
      <end xmlns="http://schemas.wps.cn/vas-ai-hub/contract-review">114</end>
      <status xmlns="http://schemas.wps.cn/vas-ai-hub/contract-review">modified</status>
      <modifiedWord xmlns="http://schemas.wps.cn/vas-ai-hub/contract-review">地</modifiedWord>
      <trackRevisions xmlns="http://schemas.wps.cn/vas-ai-hub/contract-review">false</trackRevisions>
    </reviewItem>
    <reviewItem xmlns="http://schemas.wps.cn/vas-ai-hub/contract-review">
      <errorID xmlns="http://schemas.wps.cn/vas-ai-hub/contract-review">b65932fc-5909-477b-b50d-7468bf185314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标题文本后不使用标点符号。</explain>
      <paraID xmlns="http://schemas.wps.cn/vas-ai-hub/contract-review">5E5D8422</paraID>
      <start xmlns="http://schemas.wps.cn/vas-ai-hub/contract-review">26</start>
      <end xmlns="http://schemas.wps.cn/vas-ai-hub/contract-review">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7dc4b71f-66e5-4829-8760-8cbf0a60c038</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7048D9B6</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9188b8c2-5da4-45bb-b591-4132487aecb5</errorID>
      <errorWord xmlns="http://schemas.wps.cn/vas-ai-hub/contract-review">死腔</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无效腔</item>
      </candidateList>
      <explain xmlns="http://schemas.wps.cn/vas-ai-hub/contract-review">医学名词[死腔]为不规范表述或旧称，其规范书面表述为[无效腔]。</explain>
      <paraID xmlns="http://schemas.wps.cn/vas-ai-hub/contract-review">4474A89C</paraID>
      <start xmlns="http://schemas.wps.cn/vas-ai-hub/contract-review">3</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eb03a03b-be35-49f7-8952-53864850f9a4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7EB410C9</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2ede0711-7d9f-43ae-aafd-f4a6e25e1e5f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7EB410C9</paraID>
      <start xmlns="http://schemas.wps.cn/vas-ai-hub/contract-review">17</start>
      <end xmlns="http://schemas.wps.cn/vas-ai-hub/contract-review">18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61c0590b-43be-4054-8bf6-b51fc174d185</errorID>
      <errorWord xmlns="http://schemas.wps.cn/vas-ai-hub/contract-review">死腔</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无效腔</item>
      </candidateList>
      <explain xmlns="http://schemas.wps.cn/vas-ai-hub/contract-review">医学名词[死腔]为不规范表述或旧称，其规范书面表述为[无效腔]。</explain>
      <paraID xmlns="http://schemas.wps.cn/vas-ai-hub/contract-review">20EE2DB6</paraID>
      <start xmlns="http://schemas.wps.cn/vas-ai-hub/contract-review">3</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d2c30dda-a42b-47c4-a4d5-9467d0bd2550</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185CAC0B</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d598fd9b-4b16-4c4e-a7d5-ec66abbec6f9</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185CAC0B</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b80f9274-a663-47ce-8a4d-2ce28f0f7ee1</errorID>
      <errorWord xmlns="http://schemas.wps.cn/vas-ai-hub/contract-review">死腔</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无效腔</item>
      </candidateList>
      <explain xmlns="http://schemas.wps.cn/vas-ai-hub/contract-review">医学名词[死腔]为不规范表述或旧称，其规范书面表述为[无效腔]。</explain>
      <paraID xmlns="http://schemas.wps.cn/vas-ai-hub/contract-review">2300880C</paraID>
      <start xmlns="http://schemas.wps.cn/vas-ai-hub/contract-review">3</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00c2f9c9-aa50-4acd-bad9-176847952579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395E5161</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2b921384-8bd3-4b79-9ead-3c7200e69e3e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395E5161</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9f315288-13bf-4432-9a82-48a8a6399fc3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395E5161</paraID>
      <start xmlns="http://schemas.wps.cn/vas-ai-hub/contract-review">16</start>
      <end xmlns="http://schemas.wps.cn/vas-ai-hub/contract-review">17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ab68559d-8e3b-4ea4-a449-39b34848eb8c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395E5161</paraID>
      <start xmlns="http://schemas.wps.cn/vas-ai-hub/contract-review">20</start>
      <end xmlns="http://schemas.wps.cn/vas-ai-hub/contract-review">21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0b5e470a-786f-48f9-825d-ae81f95894f8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1930482</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b2530828-d318-4308-b0b5-068c7009d107</errorID>
      <errorWord xmlns="http://schemas.wps.cn/vas-ai-hub/contract-review">副</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幅</item>
      </candidateList>
      <explain xmlns="http://schemas.wps.cn/vas-ai-hub/contract-review">❶（～儿）〈名〉布帛、呢绒等的宽度：～面｜单～｜双～｜宽～的白布。❷泛指宽度：～度｜～员｜振～。❸（～儿）〈量〉用于布帛、呢绒、图画等：一～画｜用两～布做一个床单儿。</explain>
      <paraID xmlns="http://schemas.wps.cn/vas-ai-hub/contract-review">3D9D835A</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6473ab23-7891-4e63-bcec-5bd5ae1b39de</errorID>
      <errorWord xmlns="http://schemas.wps.cn/vas-ai-hub/contract-review">称</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秤</item>
      </candidateList>
      <explain xmlns="http://schemas.wps.cn/vas-ai-hub/contract-review">存在发音相同字词的误用。</explain>
      <paraID xmlns="http://schemas.wps.cn/vas-ai-hub/contract-review"> 961557A</paraID>
      <start xmlns="http://schemas.wps.cn/vas-ai-hub/contract-review">4</start>
      <end xmlns="http://schemas.wps.cn/vas-ai-hub/contract-review">5</end>
      <status xmlns="http://schemas.wps.cn/vas-ai-hub/contract-review">modified</status>
      <modifiedWord xmlns="http://schemas.wps.cn/vas-ai-hub/contract-review">秤</modifiedWord>
      <trackRevisions xmlns="http://schemas.wps.cn/vas-ai-hub/contract-review">false</trackRevisions>
    </reviewItem>
    <reviewItem xmlns="http://schemas.wps.cn/vas-ai-hub/contract-review">
      <errorID xmlns="http://schemas.wps.cn/vas-ai-hub/contract-review">154053ba-429a-4747-b42e-e6bf90e221e8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3CA60A5F</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d22c5f5f-b855-409e-bc61-a4890ac140e3</errorID>
      <errorWord xmlns="http://schemas.wps.cn/vas-ai-hub/contract-review">最大称量</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最大秤量</item>
      </candidateList>
      <explain xmlns="http://schemas.wps.cn/vas-ai-hub/contract-review"/>
      <paraID xmlns="http://schemas.wps.cn/vas-ai-hub/contract-review">3CA60A5F</paraID>
      <start xmlns="http://schemas.wps.cn/vas-ai-hub/contract-review">7</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471c7894-f142-40b6-a59c-2361a89dcc9e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6089199F</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cf23e97e-c433-411b-955e-87d1f22ba78a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6089199F</paraID>
      <start xmlns="http://schemas.wps.cn/vas-ai-hub/contract-review">13</start>
      <end xmlns="http://schemas.wps.cn/vas-ai-hub/contract-review">14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4009ec7b-46ba-4e2e-9d6b-e7c0290aa086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2C4E61B0</paraID>
      <start xmlns="http://schemas.wps.cn/vas-ai-hub/contract-review">14</start>
      <end xmlns="http://schemas.wps.cn/vas-ai-hub/contract-review">15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3f2756f9-b441-418b-b48d-783d02b24f57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2C4E61B0</paraID>
      <start xmlns="http://schemas.wps.cn/vas-ai-hub/contract-review">21</start>
      <end xmlns="http://schemas.wps.cn/vas-ai-hub/contract-review">22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5ae59564-7a91-44fa-9a70-3b49d0e8fbe9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583562C5</paraID>
      <start xmlns="http://schemas.wps.cn/vas-ai-hub/contract-review">7</start>
      <end xmlns="http://schemas.wps.cn/vas-ai-hub/contract-review">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47d48499-763d-4b9e-9e46-423e35864f58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583562C5</paraID>
      <start xmlns="http://schemas.wps.cn/vas-ai-hub/contract-review">12</start>
      <end xmlns="http://schemas.wps.cn/vas-ai-hub/contract-review">13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870eed0f-391a-4492-9c02-15a9a361f1cb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5E574E48</paraID>
      <start xmlns="http://schemas.wps.cn/vas-ai-hub/contract-review">6</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9af5812d-5e19-4a16-9846-ac846cc680f2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5E574E48</paraID>
      <start xmlns="http://schemas.wps.cn/vas-ai-hub/contract-review">13</start>
      <end xmlns="http://schemas.wps.cn/vas-ai-hub/contract-review">14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0497d10a-505e-4cec-ae3d-381e5f38a798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5862E758</paraID>
      <start xmlns="http://schemas.wps.cn/vas-ai-hub/contract-review">4</start>
      <end xmlns="http://schemas.wps.cn/vas-ai-hub/contract-review">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deee3a5b-e1d1-4d6d-9470-abc899a4aeb6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5862E758</paraID>
      <start xmlns="http://schemas.wps.cn/vas-ai-hub/contract-review">13</start>
      <end xmlns="http://schemas.wps.cn/vas-ai-hub/contract-review">14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3b04c5e6-32c4-4625-9bb1-f6aa7c300b42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699CCDD5</paraID>
      <start xmlns="http://schemas.wps.cn/vas-ai-hub/contract-review">4</start>
      <end xmlns="http://schemas.wps.cn/vas-ai-hub/contract-review">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549e58f6-ffd7-4734-9447-13bf3b786564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1B8B7FF4</paraID>
      <start xmlns="http://schemas.wps.cn/vas-ai-hub/contract-review">4</start>
      <end xmlns="http://schemas.wps.cn/vas-ai-hub/contract-review">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21379b17-dc2d-48dc-96e9-317c11f91017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1B8B7FF4</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2c99bdee-a878-48f8-9f8f-4e8a85582620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B97D6CA</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a1b7cf8f-1499-4cfe-86ab-da7d6034c696</errorID>
      <errorWord xmlns="http://schemas.wps.cn/vas-ai-hub/contract-review">MM</errorWord>
      <group xmlns="http://schemas.wps.cn/vas-ai-hub/contract-review">L1_Official</group>
      <groupName xmlns="http://schemas.wps.cn/vas-ai-hub/contract-review">公文问题</groupName>
      <ability xmlns="http://schemas.wps.cn/vas-ai-hub/contract-review">L2_Official</ability>
      <abilityName xmlns="http://schemas.wps.cn/vas-ai-hub/contract-review">公文问题</abilityName>
      <candidateList xmlns="http://schemas.wps.cn/vas-ai-hub/contract-review"/>
      <explain xmlns="http://schemas.wps.cn/vas-ai-hub/contract-review">公文中禁止出现该词语</explain>
      <paraID xmlns="http://schemas.wps.cn/vas-ai-hub/contract-review"> B97D6CA</paraID>
      <start xmlns="http://schemas.wps.cn/vas-ai-hub/contract-review">12</start>
      <end xmlns="http://schemas.wps.cn/vas-ai-hub/contract-review">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4d7de796-b521-4994-8249-d08e2e8648f8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B97D6CA</paraID>
      <start xmlns="http://schemas.wps.cn/vas-ai-hub/contract-review">20</start>
      <end xmlns="http://schemas.wps.cn/vas-ai-hub/contract-review">21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bce8947c-4ff3-4f2e-8ca0-631ea1ea63c6</errorID>
      <errorWord xmlns="http://schemas.wps.cn/vas-ai-hub/contract-review">MM</errorWord>
      <group xmlns="http://schemas.wps.cn/vas-ai-hub/contract-review">L1_Official</group>
      <groupName xmlns="http://schemas.wps.cn/vas-ai-hub/contract-review">公文问题</groupName>
      <ability xmlns="http://schemas.wps.cn/vas-ai-hub/contract-review">L2_Official</ability>
      <abilityName xmlns="http://schemas.wps.cn/vas-ai-hub/contract-review">公文问题</abilityName>
      <candidateList xmlns="http://schemas.wps.cn/vas-ai-hub/contract-review"/>
      <explain xmlns="http://schemas.wps.cn/vas-ai-hub/contract-review">公文中禁止出现该词语</explain>
      <paraID xmlns="http://schemas.wps.cn/vas-ai-hub/contract-review"> B97D6CA</paraID>
      <start xmlns="http://schemas.wps.cn/vas-ai-hub/contract-review">25</start>
      <end xmlns="http://schemas.wps.cn/vas-ai-hub/contract-review">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83870b62-a250-47c0-8363-512fa98c6a39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6324538A</paraID>
      <start xmlns="http://schemas.wps.cn/vas-ai-hub/contract-review">4</start>
      <end xmlns="http://schemas.wps.cn/vas-ai-hub/contract-review">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e14b5e0e-1279-49a5-9fff-e6cea4fe91e0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168E5DB7</paraID>
      <start xmlns="http://schemas.wps.cn/vas-ai-hub/contract-review">4</start>
      <end xmlns="http://schemas.wps.cn/vas-ai-hub/contract-review">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fbeaac52-1f71-46ee-a592-3abe71731dcb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168E5DB7</paraID>
      <start xmlns="http://schemas.wps.cn/vas-ai-hub/contract-review">16</start>
      <end xmlns="http://schemas.wps.cn/vas-ai-hub/contract-review">17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5a31b190-a2e6-46eb-b49e-3e09386e2bd4</errorID>
      <errorWord xmlns="http://schemas.wps.cn/vas-ai-hub/contract-review">紫外线消毒车</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紫外线消毒灯</item>
      </candidateList>
      <explain xmlns="http://schemas.wps.cn/vas-ai-hub/contract-review"/>
      <paraID xmlns="http://schemas.wps.cn/vas-ai-hub/contract-review">3B304D91</paraID>
      <start xmlns="http://schemas.wps.cn/vas-ai-hub/contract-review">5</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2d10c6fd-83a5-4ba9-9b57-6a4335a7040b</errorID>
      <errorWord xmlns="http://schemas.wps.cn/vas-ai-hub/contract-review">冷乱板</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冷轧板</item>
      </candidateList>
      <explain xmlns="http://schemas.wps.cn/vas-ai-hub/contract-review"/>
      <paraID xmlns="http://schemas.wps.cn/vas-ai-hub/contract-review">652D59F6</paraID>
      <start xmlns="http://schemas.wps.cn/vas-ai-hub/contract-review">8</start>
      <end xmlns="http://schemas.wps.cn/vas-ai-hub/contract-review">11</end>
      <status xmlns="http://schemas.wps.cn/vas-ai-hub/contract-review">modified</status>
      <modifiedWord xmlns="http://schemas.wps.cn/vas-ai-hub/contract-review">冷轧板</modifiedWord>
      <trackRevisions xmlns="http://schemas.wps.cn/vas-ai-hub/contract-review">false</trackRevisions>
    </reviewItem>
    <reviewItem xmlns="http://schemas.wps.cn/vas-ai-hub/contract-review">
      <errorID xmlns="http://schemas.wps.cn/vas-ai-hub/contract-review">6509625c-a213-4d1a-bbed-422a74bd984f</errorID>
      <errorWord xmlns="http://schemas.wps.cn/vas-ai-hub/contract-review">配条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配套</item>
      </candidateList>
      <explain xmlns="http://schemas.wps.cn/vas-ai-hub/contract-review">存在发音相近字词的误用。</explain>
      <paraID xmlns="http://schemas.wps.cn/vas-ai-hub/contract-review">7895F72B</paraID>
      <start xmlns="http://schemas.wps.cn/vas-ai-hub/contract-review">5</start>
      <end xmlns="http://schemas.wps.cn/vas-ai-hub/contract-review">7</end>
      <status xmlns="http://schemas.wps.cn/vas-ai-hub/contract-review">modified</status>
      <modifiedWord xmlns="http://schemas.wps.cn/vas-ai-hub/contract-review">配套</modifiedWord>
      <trackRevisions xmlns="http://schemas.wps.cn/vas-ai-hub/contract-review">false</trackRevisions>
    </reviewItem>
    <reviewItem xmlns="http://schemas.wps.cn/vas-ai-hub/contract-review">
      <errorID xmlns="http://schemas.wps.cn/vas-ai-hub/contract-review">e09617cf-fecd-43e6-aaf1-50099fdc81ef</errorID>
      <errorWord xmlns="http://schemas.wps.cn/vas-ai-hub/contract-review">中科院</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中国科学院</item>
      </candidateList>
      <explain xmlns="http://schemas.wps.cn/vas-ai-hub/contract-review"/>
      <paraID xmlns="http://schemas.wps.cn/vas-ai-hub/contract-review">3BAEE43B</paraID>
      <start xmlns="http://schemas.wps.cn/vas-ai-hub/contract-review">22</start>
      <end xmlns="http://schemas.wps.cn/vas-ai-hub/contract-review">25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2da2dc69-832c-4b55-9c9c-78826d08482b</errorID>
      <errorWord xmlns="http://schemas.wps.cn/vas-ai-hub/contract-review">不可负</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不可</item>
      </candidateList>
      <explain xmlns="http://schemas.wps.cn/vas-ai-hub/contract-review"/>
      <paraID xmlns="http://schemas.wps.cn/vas-ai-hub/contract-review">2AA861C2</paraID>
      <start xmlns="http://schemas.wps.cn/vas-ai-hub/contract-review">82</start>
      <end xmlns="http://schemas.wps.cn/vas-ai-hub/contract-review">85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3a75e245-ce5b-4f22-a86b-667d85fb91c4</errorID>
      <errorWord xmlns="http://schemas.wps.cn/vas-ai-hub/contract-review">签定合同</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签订合同</item>
      </candidateList>
      <explain xmlns="http://schemas.wps.cn/vas-ai-hub/contract-review"/>
      <paraID xmlns="http://schemas.wps.cn/vas-ai-hub/contract-review">6E1539B9</paraID>
      <start xmlns="http://schemas.wps.cn/vas-ai-hub/contract-review">8</start>
      <end xmlns="http://schemas.wps.cn/vas-ai-hub/contract-review">12</end>
      <status xmlns="http://schemas.wps.cn/vas-ai-hub/contract-review">modified</status>
      <modifiedWord xmlns="http://schemas.wps.cn/vas-ai-hub/contract-review">签订合同</modifiedWord>
      <trackRevisions xmlns="http://schemas.wps.cn/vas-ai-hub/contract-review">false</trackRevisions>
    </reviewItem>
    <reviewItem xmlns="http://schemas.wps.cn/vas-ai-hub/contract-review">
      <errorID xmlns="http://schemas.wps.cn/vas-ai-hub/contract-review">2aa359d3-05c7-4118-8be0-dce267051b47</errorID>
      <errorWord xmlns="http://schemas.wps.cn/vas-ai-hub/contract-review">适应</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适用</item>
      </candidateList>
      <explain xmlns="http://schemas.wps.cn/vas-ai-hub/contract-review">〈形〉适合使用：这套耕作方法，在我们这个地区也完全～。</explain>
      <paraID xmlns="http://schemas.wps.cn/vas-ai-hub/contract-review">698E3021</paraID>
      <start xmlns="http://schemas.wps.cn/vas-ai-hub/contract-review">47</start>
      <end xmlns="http://schemas.wps.cn/vas-ai-hub/contract-review">49</end>
      <status xmlns="http://schemas.wps.cn/vas-ai-hub/contract-review">modified</status>
      <modifiedWord xmlns="http://schemas.wps.cn/vas-ai-hub/contract-review">适用</modifiedWord>
      <trackRevisions xmlns="http://schemas.wps.cn/vas-ai-hub/contract-review">false</trackRevisions>
    </reviewItem>
    <reviewItem xmlns="http://schemas.wps.cn/vas-ai-hub/contract-review">
      <errorID xmlns="http://schemas.wps.cn/vas-ai-hub/contract-review">bec9eb79-9014-4556-8758-1f68133ff7f1</errorID>
      <errorWord xmlns="http://schemas.wps.cn/vas-ai-hub/contract-review">格</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格及</item>
      </candidateList>
      <explain xmlns="http://schemas.wps.cn/vas-ai-hub/contract-review"/>
      <paraID xmlns="http://schemas.wps.cn/vas-ai-hub/contract-review">11BCBFEF</paraID>
      <start xmlns="http://schemas.wps.cn/vas-ai-hub/contract-review">114</start>
      <end xmlns="http://schemas.wps.cn/vas-ai-hub/contract-review">115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10898aa5-f325-4b8a-bb9a-5d1d58fa31d0</errorID>
      <errorWord xmlns="http://schemas.wps.cn/vas-ai-hub/contract-review">费</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费用</item>
      </candidateList>
      <explain xmlns="http://schemas.wps.cn/vas-ai-hub/contract-review"/>
      <paraID xmlns="http://schemas.wps.cn/vas-ai-hub/contract-review">11BCBFEF</paraID>
      <start xmlns="http://schemas.wps.cn/vas-ai-hub/contract-review">160</start>
      <end xmlns="http://schemas.wps.cn/vas-ai-hub/contract-review">162</end>
      <status xmlns="http://schemas.wps.cn/vas-ai-hub/contract-review">modified</status>
      <modifiedWord xmlns="http://schemas.wps.cn/vas-ai-hub/contract-review">费用</modifiedWord>
      <trackRevisions xmlns="http://schemas.wps.cn/vas-ai-hub/contract-review">false</trackRevisions>
    </reviewItem>
    <reviewItem xmlns="http://schemas.wps.cn/vas-ai-hub/contract-review">
      <errorID xmlns="http://schemas.wps.cn/vas-ai-hub/contract-review">b9be7087-5fc5-40ac-9159-f25de1c9f014</errorID>
      <errorWord xmlns="http://schemas.wps.cn/vas-ai-hub/contract-review">终生</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终身</item>
      </candidateList>
      <explain xmlns="http://schemas.wps.cn/vas-ai-hub/contract-review"/>
      <paraID xmlns="http://schemas.wps.cn/vas-ai-hub/contract-review">2F02A4E7</paraID>
      <start xmlns="http://schemas.wps.cn/vas-ai-hub/contract-review">56</start>
      <end xmlns="http://schemas.wps.cn/vas-ai-hub/contract-review">58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f79045a9-b9c4-4518-9b89-50e3edf543ae</errorID>
      <errorWord xmlns="http://schemas.wps.cn/vas-ai-hub/contract-review">件</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件中</item>
      </candidateList>
      <explain xmlns="http://schemas.wps.cn/vas-ai-hub/contract-review"/>
      <paraID xmlns="http://schemas.wps.cn/vas-ai-hub/contract-review">5A61E1D4</paraID>
      <start xmlns="http://schemas.wps.cn/vas-ai-hub/contract-review">7</start>
      <end xmlns="http://schemas.wps.cn/vas-ai-hub/contract-review">9</end>
      <status xmlns="http://schemas.wps.cn/vas-ai-hub/contract-review">modified</status>
      <modifiedWord xmlns="http://schemas.wps.cn/vas-ai-hub/contract-review">件中</modifiedWord>
      <trackRevisions xmlns="http://schemas.wps.cn/vas-ai-hub/contract-review">false</trackRevisions>
    </reviewItem>
    <reviewItem xmlns="http://schemas.wps.cn/vas-ai-hub/contract-review">
      <errorID xmlns="http://schemas.wps.cn/vas-ai-hub/contract-review">05e336c8-eca9-48c9-b45c-d5a0b2e58bd7</errorID>
      <errorWord xmlns="http://schemas.wps.cn/vas-ai-hub/contract-review">a、</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a.</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79F667A7</paraID>
      <start xmlns="http://schemas.wps.cn/vas-ai-hub/contract-review">0</start>
      <end xmlns="http://schemas.wps.cn/vas-ai-hub/contract-review">2</end>
      <status xmlns="http://schemas.wps.cn/vas-ai-hub/contract-review">modified</status>
      <modifiedWord xmlns="http://schemas.wps.cn/vas-ai-hub/contract-review">a.</modifiedWord>
      <trackRevisions xmlns="http://schemas.wps.cn/vas-ai-hub/contract-review">false</trackRevisions>
    </reviewItem>
    <reviewItem xmlns="http://schemas.wps.cn/vas-ai-hub/contract-review">
      <errorID xmlns="http://schemas.wps.cn/vas-ai-hub/contract-review">e85192b0-b251-4dd3-88b2-324ed524815c</errorID>
      <errorWord xmlns="http://schemas.wps.cn/vas-ai-hub/contract-review">b、</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b.</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430825D3</paraID>
      <start xmlns="http://schemas.wps.cn/vas-ai-hub/contract-review">0</start>
      <end xmlns="http://schemas.wps.cn/vas-ai-hub/contract-review">2</end>
      <status xmlns="http://schemas.wps.cn/vas-ai-hub/contract-review">modified</status>
      <modifiedWord xmlns="http://schemas.wps.cn/vas-ai-hub/contract-review">b.</modifiedWord>
      <trackRevisions xmlns="http://schemas.wps.cn/vas-ai-hub/contract-review">false</trackRevisions>
    </reviewItem>
    <reviewItem xmlns="http://schemas.wps.cn/vas-ai-hub/contract-review">
      <errorID xmlns="http://schemas.wps.cn/vas-ai-hub/contract-review">711bdb47-3a53-4150-a17b-88609e88acbc</errorID>
      <errorWord xmlns="http://schemas.wps.cn/vas-ai-hub/contract-review">c、</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c.</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422E02B</paraID>
      <start xmlns="http://schemas.wps.cn/vas-ai-hub/contract-review">0</start>
      <end xmlns="http://schemas.wps.cn/vas-ai-hub/contract-review">2</end>
      <status xmlns="http://schemas.wps.cn/vas-ai-hub/contract-review">modified</status>
      <modifiedWord xmlns="http://schemas.wps.cn/vas-ai-hub/contract-review">c.</modifiedWord>
      <trackRevisions xmlns="http://schemas.wps.cn/vas-ai-hub/contract-review">false</trackRevisions>
    </reviewItem>
    <reviewItem xmlns="http://schemas.wps.cn/vas-ai-hub/contract-review">
      <errorID xmlns="http://schemas.wps.cn/vas-ai-hub/contract-review">1b9db588-e31c-4eef-aea9-a1b34d2e4aa2</errorID>
      <errorWord xmlns="http://schemas.wps.cn/vas-ai-hub/contract-review">d、</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d.</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3E3FE25D</paraID>
      <start xmlns="http://schemas.wps.cn/vas-ai-hub/contract-review">0</start>
      <end xmlns="http://schemas.wps.cn/vas-ai-hub/contract-review">2</end>
      <status xmlns="http://schemas.wps.cn/vas-ai-hub/contract-review">modified</status>
      <modifiedWord xmlns="http://schemas.wps.cn/vas-ai-hub/contract-review">d.</modifiedWord>
      <trackRevisions xmlns="http://schemas.wps.cn/vas-ai-hub/contract-review">false</trackRevisions>
    </reviewItem>
    <reviewItem xmlns="http://schemas.wps.cn/vas-ai-hub/contract-review">
      <errorID xmlns="http://schemas.wps.cn/vas-ai-hub/contract-review">3757c7d7-eaf1-4860-ada6-8af8488d25d5</errorID>
      <errorWord xmlns="http://schemas.wps.cn/vas-ai-hub/contract-review">指即</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指</item>
      </candidateList>
      <explain xmlns="http://schemas.wps.cn/vas-ai-hub/contract-review">❶〈名〉手指头：食～｜五～｜屈～｜首屈一～。❷〈量〉一个手指头的宽度叫“一指”，用来计算深浅宽窄等：下了三～雨｜这双鞋大了一～｜两～宽的纸条。❸〈动〉（手指头、物体尖端）对着；向着：用手一～｜时针正～十二点。❹（头发）直立：发～。❺〈动〉指点：～导｜～示｜～出正确方向｜有问题请您～出来。❻〈动〉意思上指着：这不是～你说的，是～他的。</explain>
      <paraID xmlns="http://schemas.wps.cn/vas-ai-hub/contract-review">2EB82659</paraID>
      <start xmlns="http://schemas.wps.cn/vas-ai-hub/contract-review">26</start>
      <end xmlns="http://schemas.wps.cn/vas-ai-hub/contract-review">27</end>
      <status xmlns="http://schemas.wps.cn/vas-ai-hub/contract-review">modified</status>
      <modifiedWord xmlns="http://schemas.wps.cn/vas-ai-hub/contract-review">指</modifiedWord>
      <trackRevisions xmlns="http://schemas.wps.cn/vas-ai-hub/contract-review">false</trackRevisions>
    </reviewItem>
    <reviewItem xmlns="http://schemas.wps.cn/vas-ai-hub/contract-review">
      <errorID xmlns="http://schemas.wps.cn/vas-ai-hub/contract-review">79b7eab2-b7ae-4174-9f98-965ac619f008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7BA20F00</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872fde7b-8405-4969-bb04-78ef3989d9b1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7BA20F00</paraID>
      <start xmlns="http://schemas.wps.cn/vas-ai-hub/contract-review">20</start>
      <end xmlns="http://schemas.wps.cn/vas-ai-hub/contract-review">21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ca8b3264-a585-442b-a821-e5197b6b32e3</errorID>
      <errorWord xmlns="http://schemas.wps.cn/vas-ai-hub/contract-review">【2011】300号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〔2011〕300号</item>
      </candidateList>
      <explain xmlns="http://schemas.wps.cn/vas-ai-hub/contract-review">发文字号格式错误。</explain>
      <paraID xmlns="http://schemas.wps.cn/vas-ai-hub/contract-review">6C097E29</paraID>
      <start xmlns="http://schemas.wps.cn/vas-ai-hub/contract-review">8</start>
      <end xmlns="http://schemas.wps.cn/vas-ai-hub/contract-review">18</end>
      <status xmlns="http://schemas.wps.cn/vas-ai-hub/contract-review">modified</status>
      <modifiedWord xmlns="http://schemas.wps.cn/vas-ai-hub/contract-review">〔2011〕300号</modifiedWord>
      <trackRevisions xmlns="http://schemas.wps.cn/vas-ai-hub/contract-review">false</trackRevisions>
    </reviewItem>
    <reviewItem xmlns="http://schemas.wps.cn/vas-ai-hub/contract-review">
      <errorID xmlns="http://schemas.wps.cn/vas-ai-hub/contract-review">07c45833-2bbc-4f30-8298-6bd030c0dab1</errorID>
      <errorWord xmlns="http://schemas.wps.cn/vas-ai-hub/contract-review">【2011】300号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〔2011〕300号</item>
      </candidateList>
      <explain xmlns="http://schemas.wps.cn/vas-ai-hub/contract-review">发文字号格式错误。</explain>
      <paraID xmlns="http://schemas.wps.cn/vas-ai-hub/contract-review">6FF125CB</paraID>
      <start xmlns="http://schemas.wps.cn/vas-ai-hub/contract-review">12</start>
      <end xmlns="http://schemas.wps.cn/vas-ai-hub/contract-review">22</end>
      <status xmlns="http://schemas.wps.cn/vas-ai-hub/contract-review">modified</status>
      <modifiedWord xmlns="http://schemas.wps.cn/vas-ai-hub/contract-review">〔2011〕300号</modifiedWord>
      <trackRevisions xmlns="http://schemas.wps.cn/vas-ai-hub/contract-review">false</trackRevisions>
    </reviewItem>
    <reviewItem xmlns="http://schemas.wps.cn/vas-ai-hub/contract-review">
      <errorID xmlns="http://schemas.wps.cn/vas-ai-hub/contract-review">c726cf08-3c7d-4790-bedb-144e0ca5e728</errorID>
      <errorWord xmlns="http://schemas.wps.cn/vas-ai-hub/contract-review">[2003]7号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〔2003〕7号</item>
      </candidateList>
      <explain xmlns="http://schemas.wps.cn/vas-ai-hub/contract-review">发文字号格式错误。</explain>
      <paraID xmlns="http://schemas.wps.cn/vas-ai-hub/contract-review"> 8D70005</paraID>
      <start xmlns="http://schemas.wps.cn/vas-ai-hub/contract-review">8</start>
      <end xmlns="http://schemas.wps.cn/vas-ai-hub/contract-review">16</end>
      <status xmlns="http://schemas.wps.cn/vas-ai-hub/contract-review">modified</status>
      <modifiedWord xmlns="http://schemas.wps.cn/vas-ai-hub/contract-review">〔2003〕7号</modifiedWord>
      <trackRevisions xmlns="http://schemas.wps.cn/vas-ai-hub/contract-review">false</trackRevisions>
    </reviewItem>
    <reviewItem xmlns="http://schemas.wps.cn/vas-ai-hub/contract-review">
      <errorID xmlns="http://schemas.wps.cn/vas-ai-hub/contract-review">8f31949d-7075-4a72-9ad7-7db0f0ab185d</errorID>
      <errorWord xmlns="http://schemas.wps.cn/vas-ai-hub/contract-review">[2014]68号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〔2014〕68号</item>
      </candidateList>
      <explain xmlns="http://schemas.wps.cn/vas-ai-hub/contract-review">发文字号格式错误。</explain>
      <paraID xmlns="http://schemas.wps.cn/vas-ai-hub/contract-review"> 8D70005</paraID>
      <start xmlns="http://schemas.wps.cn/vas-ai-hub/contract-review">19</start>
      <end xmlns="http://schemas.wps.cn/vas-ai-hub/contract-review">28</end>
      <status xmlns="http://schemas.wps.cn/vas-ai-hub/contract-review">modified</status>
      <modifiedWord xmlns="http://schemas.wps.cn/vas-ai-hub/contract-review">〔2014〕68号</modifiedWord>
      <trackRevisions xmlns="http://schemas.wps.cn/vas-ai-hub/contract-review">false</trackRevisions>
    </reviewItem>
    <reviewItem xmlns="http://schemas.wps.cn/vas-ai-hub/contract-review">
      <errorID xmlns="http://schemas.wps.cn/vas-ai-hub/contract-review">c6affadd-9eab-409f-9a8a-cb93a3f2650f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标题文本后不使用标点符号。</explain>
      <paraID xmlns="http://schemas.wps.cn/vas-ai-hub/contract-review">18C3123B</paraID>
      <start xmlns="http://schemas.wps.cn/vas-ai-hub/contract-review">21</start>
      <end xmlns="http://schemas.wps.cn/vas-ai-hub/contract-review">22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6f68309d-3809-4b2e-84cc-b28a9c222c8d</errorID>
      <errorWord xmlns="http://schemas.wps.cn/vas-ai-hub/contract-review">明</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明等</item>
      </candidateList>
      <explain xmlns="http://schemas.wps.cn/vas-ai-hub/contract-review"/>
      <paraID xmlns="http://schemas.wps.cn/vas-ai-hub/contract-review">721B6A54</paraID>
      <start xmlns="http://schemas.wps.cn/vas-ai-hub/contract-review">35</start>
      <end xmlns="http://schemas.wps.cn/vas-ai-hub/contract-review">37</end>
      <status xmlns="http://schemas.wps.cn/vas-ai-hub/contract-review">modified</status>
      <modifiedWord xmlns="http://schemas.wps.cn/vas-ai-hub/contract-review">明等</modifiedWord>
      <trackRevisions xmlns="http://schemas.wps.cn/vas-ai-hub/contract-review">false</trackRevisions>
    </reviewItem>
    <reviewItem xmlns="http://schemas.wps.cn/vas-ai-hub/contract-review">
      <errorID xmlns="http://schemas.wps.cn/vas-ai-hub/contract-review">99c4c7d2-141f-4a0b-b0ef-a54739e2a06b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标题文本后不使用标点符号。</explain>
      <paraID xmlns="http://schemas.wps.cn/vas-ai-hub/contract-review">43D274FD</paraID>
      <start xmlns="http://schemas.wps.cn/vas-ai-hub/contract-review">36</start>
      <end xmlns="http://schemas.wps.cn/vas-ai-hub/contract-review">37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e51bd429-b904-4bf2-8cea-7c4a6db575ac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标题文本后不使用标点符号。</explain>
      <paraID xmlns="http://schemas.wps.cn/vas-ai-hub/contract-review">314C3F8C</paraID>
      <start xmlns="http://schemas.wps.cn/vas-ai-hub/contract-review">43</start>
      <end xmlns="http://schemas.wps.cn/vas-ai-hub/contract-review">44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a7938839-d018-4820-9334-4277aef9224c</errorID>
      <errorWord xmlns="http://schemas.wps.cn/vas-ai-hub/contract-review">明</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明等</item>
      </candidateList>
      <explain xmlns="http://schemas.wps.cn/vas-ai-hub/contract-review"/>
      <paraID xmlns="http://schemas.wps.cn/vas-ai-hub/contract-review">25562A9C</paraID>
      <start xmlns="http://schemas.wps.cn/vas-ai-hub/contract-review">35</start>
      <end xmlns="http://schemas.wps.cn/vas-ai-hub/contract-review">37</end>
      <status xmlns="http://schemas.wps.cn/vas-ai-hub/contract-review">modified</status>
      <modifiedWord xmlns="http://schemas.wps.cn/vas-ai-hub/contract-review">明等</modifiedWord>
      <trackRevisions xmlns="http://schemas.wps.cn/vas-ai-hub/contract-review">false</trackRevisions>
    </reviewItem>
    <reviewItem xmlns="http://schemas.wps.cn/vas-ai-hub/contract-review">
      <errorID xmlns="http://schemas.wps.cn/vas-ai-hub/contract-review">28ea8ad3-e0a8-4fc0-a407-335a7ad4db79</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标题文本后不使用标点符号。</explain>
      <paraID xmlns="http://schemas.wps.cn/vas-ai-hub/contract-review"> E67A9D0</paraID>
      <start xmlns="http://schemas.wps.cn/vas-ai-hub/contract-review">36</start>
      <end xmlns="http://schemas.wps.cn/vas-ai-hub/contract-review">37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479990e4-517a-489d-86bb-55cca8d3f683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标题文本后不使用标点符号。</explain>
      <paraID xmlns="http://schemas.wps.cn/vas-ai-hub/contract-review">7D6A01EF</paraID>
      <start xmlns="http://schemas.wps.cn/vas-ai-hub/contract-review">21</start>
      <end xmlns="http://schemas.wps.cn/vas-ai-hub/contract-review">22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156c461c-ca4c-4e3b-8f0d-ac73f7f06a4e</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.在</item>
      </candidateList>
      <explain xmlns="http://schemas.wps.cn/vas-ai-hub/contract-review"/>
      <paraID xmlns="http://schemas.wps.cn/vas-ai-hub/contract-review">1CEC3CB9</paraID>
      <start xmlns="http://schemas.wps.cn/vas-ai-hub/contract-review">1</start>
      <end xmlns="http://schemas.wps.cn/vas-ai-hub/contract-review">3</end>
      <status xmlns="http://schemas.wps.cn/vas-ai-hub/contract-review">modified</status>
      <modifiedWord xmlns="http://schemas.wps.cn/vas-ai-hub/contract-review">.在</modifiedWord>
      <trackRevisions xmlns="http://schemas.wps.cn/vas-ai-hub/contract-review">false</trackRevisions>
    </reviewItem>
    <reviewItem xmlns="http://schemas.wps.cn/vas-ai-hub/contract-review">
      <errorID xmlns="http://schemas.wps.cn/vas-ai-hub/contract-review">1ccbfc19-4a67-44e4-b686-be4c86913cf5</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标题文本后不使用标点符号。</explain>
      <paraID xmlns="http://schemas.wps.cn/vas-ai-hub/contract-review">1CEC3CB9</paraID>
      <start xmlns="http://schemas.wps.cn/vas-ai-hub/contract-review">36</start>
      <end xmlns="http://schemas.wps.cn/vas-ai-hub/contract-review">37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d1521b1a-8ce8-417e-becc-e44fd927b4b1</errorID>
      <errorWord xmlns="http://schemas.wps.cn/vas-ai-hub/contract-review">内容有</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内容</item>
      </candidateList>
      <explain xmlns="http://schemas.wps.cn/vas-ai-hub/contract-review">〈名〉事物内部所含的实质或存在的情况：这次谈话的～牵涉的面很广｜这个刊物～丰富。</explain>
      <paraID xmlns="http://schemas.wps.cn/vas-ai-hub/contract-review">51F1E707</paraID>
      <start xmlns="http://schemas.wps.cn/vas-ai-hub/contract-review">5</start>
      <end xmlns="http://schemas.wps.cn/vas-ai-hub/contract-review">7</end>
      <status xmlns="http://schemas.wps.cn/vas-ai-hub/contract-review">modified</status>
      <modifiedWord xmlns="http://schemas.wps.cn/vas-ai-hub/contract-review">内容</modifiedWord>
      <trackRevisions xmlns="http://schemas.wps.cn/vas-ai-hub/contract-review">false</trackRevisions>
    </reviewItem>
    <reviewItem xmlns="http://schemas.wps.cn/vas-ai-hub/contract-review">
      <errorID xmlns="http://schemas.wps.cn/vas-ai-hub/contract-review">275ac17c-1a60-4692-9c69-1fb87cd2d896</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、具</item>
      </candidateList>
      <explain xmlns="http://schemas.wps.cn/vas-ai-hub/contract-review"/>
      <paraID xmlns="http://schemas.wps.cn/vas-ai-hub/contract-review">2A1E3490</paraID>
      <start xmlns="http://schemas.wps.cn/vas-ai-hub/contract-review">10</start>
      <end xmlns="http://schemas.wps.cn/vas-ai-hub/contract-review">12</end>
      <status xmlns="http://schemas.wps.cn/vas-ai-hub/contract-review">modified</status>
      <modifiedWord xmlns="http://schemas.wps.cn/vas-ai-hub/contract-review">、具</modifiedWord>
      <trackRevisions xmlns="http://schemas.wps.cn/vas-ai-hub/contract-review">false</trackRevisions>
    </reviewItem>
    <reviewItem xmlns="http://schemas.wps.cn/vas-ai-hub/contract-review">
      <errorID xmlns="http://schemas.wps.cn/vas-ai-hub/contract-review">e5f482fc-46be-46f6-8de7-94b1a02a1529</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标题文本后不使用标点符号。</explain>
      <paraID xmlns="http://schemas.wps.cn/vas-ai-hub/contract-review">292BDE26</paraID>
      <start xmlns="http://schemas.wps.cn/vas-ai-hub/contract-review">7</start>
      <end xmlns="http://schemas.wps.cn/vas-ai-hub/contract-review">7</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24d46d14-7a4d-42c4-82f0-990f6671e371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B68275</paraID>
      <start xmlns="http://schemas.wps.cn/vas-ai-hub/contract-review">41</start>
      <end xmlns="http://schemas.wps.cn/vas-ai-hub/contract-review">42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72ff0fd2-cfa7-475c-95f8-18b6cd44eaf8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B68275</paraID>
      <start xmlns="http://schemas.wps.cn/vas-ai-hub/contract-review">63</start>
      <end xmlns="http://schemas.wps.cn/vas-ai-hub/contract-review">64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6cd78a14-0d25-4e55-adaf-9cf00b9f0743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标题文本后不使用标点符号。</explain>
      <paraID xmlns="http://schemas.wps.cn/vas-ai-hub/contract-review"> 6ED8BA3</paraID>
      <start xmlns="http://schemas.wps.cn/vas-ai-hub/contract-review">7</start>
      <end xmlns="http://schemas.wps.cn/vas-ai-hub/contract-review">7</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fcca9dd6-82dc-4573-91b9-50ead9744435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1FD86241</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b051ec46-6fa8-41f8-baed-6a11427bf09e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1FD86241</paraID>
      <start xmlns="http://schemas.wps.cn/vas-ai-hub/contract-review">28</start>
      <end xmlns="http://schemas.wps.cn/vas-ai-hub/contract-review">29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8086967f-bc12-4bb6-acb4-18480e662671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1FD86241</paraID>
      <start xmlns="http://schemas.wps.cn/vas-ai-hub/contract-review">37</start>
      <end xmlns="http://schemas.wps.cn/vas-ai-hub/contract-review">38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175aff04-5e7b-46d7-a977-6f2d01766d7c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1FD86241</paraID>
      <start xmlns="http://schemas.wps.cn/vas-ai-hub/contract-review">82</start>
      <end xmlns="http://schemas.wps.cn/vas-ai-hub/contract-review">83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c5d0e3de-a077-4bc4-93b0-6257604bfa2b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标题文本后不使用标点符号。</explain>
      <paraID xmlns="http://schemas.wps.cn/vas-ai-hub/contract-review">1F4021D6</paraID>
      <start xmlns="http://schemas.wps.cn/vas-ai-hub/contract-review">7</start>
      <end xmlns="http://schemas.wps.cn/vas-ai-hub/contract-review">7</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3a47e0d0-5bf0-46dc-ad79-40786df4459f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标题文本后不使用标点符号。</explain>
      <paraID xmlns="http://schemas.wps.cn/vas-ai-hub/contract-review">28F144E1</paraID>
      <start xmlns="http://schemas.wps.cn/vas-ai-hub/contract-review">7</start>
      <end xmlns="http://schemas.wps.cn/vas-ai-hub/contract-review">7</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3dc079ea-8217-4774-8f5c-152ead1c86be</errorID>
      <errorWord xmlns="http://schemas.wps.cn/vas-ai-hub/contract-review">&lt;</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38153C49</paraID>
      <start xmlns="http://schemas.wps.cn/vas-ai-hub/contract-review">13</start>
      <end xmlns="http://schemas.wps.cn/vas-ai-hub/contract-review">14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864f0084-e18d-4de1-9258-5ef075497824</errorID>
      <errorWord xmlns="http://schemas.wps.cn/vas-ai-hub/contract-review">&gt;的通知》</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〉的通知》</item>
      </candidateList>
      <explain xmlns="http://schemas.wps.cn/vas-ai-hub/contract-review"/>
      <paraID xmlns="http://schemas.wps.cn/vas-ai-hub/contract-review">38153C49</paraID>
      <start xmlns="http://schemas.wps.cn/vas-ai-hub/contract-review">35</start>
      <end xmlns="http://schemas.wps.cn/vas-ai-hub/contract-review">40</end>
      <status xmlns="http://schemas.wps.cn/vas-ai-hub/contract-review">modified</status>
      <modifiedWord xmlns="http://schemas.wps.cn/vas-ai-hub/contract-review">〉的通知》</modifiedWord>
      <trackRevisions xmlns="http://schemas.wps.cn/vas-ai-hub/contract-review">false</trackRevisions>
    </reviewItem>
    <reviewItem xmlns="http://schemas.wps.cn/vas-ai-hub/contract-review">
      <errorID xmlns="http://schemas.wps.cn/vas-ai-hub/contract-review">5cfe3870-88b0-4a83-8523-c20954e6a7e3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标题文本后不使用标点符号。</explain>
      <paraID xmlns="http://schemas.wps.cn/vas-ai-hub/contract-review">6B3603DA</paraID>
      <start xmlns="http://schemas.wps.cn/vas-ai-hub/contract-review">7</start>
      <end xmlns="http://schemas.wps.cn/vas-ai-hub/contract-review">7</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adeb05b8-05f1-4671-a65a-1b40a94d77b5</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7BDE8CC8</paraID>
      <start xmlns="http://schemas.wps.cn/vas-ai-hub/contract-review">0</start>
      <end xmlns="http://schemas.wps.cn/vas-ai-hub/contract-review">2</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5dc35adc-9353-450c-9641-05c463b13339</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7958A8C5</paraID>
      <start xmlns="http://schemas.wps.cn/vas-ai-hub/contract-review">0</start>
      <end xmlns="http://schemas.wps.cn/vas-ai-hub/contract-review">2</end>
      <status xmlns="http://schemas.wps.cn/vas-ai-hub/contract-review">modified</status>
      <modifiedWord xmlns="http://schemas.wps.cn/vas-ai-hub/contract-review">2.</modifiedWord>
      <trackRevisions xmlns="http://schemas.wps.cn/vas-ai-hub/contract-review">false</trackRevisions>
    </reviewItem>
    <reviewItem xmlns="http://schemas.wps.cn/vas-ai-hub/contract-review">
      <errorID xmlns="http://schemas.wps.cn/vas-ai-hub/contract-review">1e7c86e8-439c-425d-ba9a-82cde3f654ed</errorID>
      <errorWord xmlns="http://schemas.wps.cn/vas-ai-hub/contract-review">聚道</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渠道</item>
      </candidateList>
      <explain xmlns="http://schemas.wps.cn/vas-ai-hub/contract-review"/>
      <paraID xmlns="http://schemas.wps.cn/vas-ai-hub/contract-review">7958A8C5</paraID>
      <start xmlns="http://schemas.wps.cn/vas-ai-hub/contract-review">16</start>
      <end xmlns="http://schemas.wps.cn/vas-ai-hub/contract-review">18</end>
      <status xmlns="http://schemas.wps.cn/vas-ai-hub/contract-review">modified</status>
      <modifiedWord xmlns="http://schemas.wps.cn/vas-ai-hub/contract-review">渠道</modifiedWord>
      <trackRevisions xmlns="http://schemas.wps.cn/vas-ai-hub/contract-review">false</trackRevisions>
    </reviewItem>
    <reviewItem xmlns="http://schemas.wps.cn/vas-ai-hub/contract-review">
      <errorID xmlns="http://schemas.wps.cn/vas-ai-hub/contract-review">bc5cc16e-6cc7-45f0-ac8c-8d753f0ef6f9</errorID>
      <errorWord xmlns="http://schemas.wps.cn/vas-ai-hub/contract-review">如须</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如需</item>
      </candidateList>
      <explain xmlns="http://schemas.wps.cn/vas-ai-hub/contract-review"/>
      <paraID xmlns="http://schemas.wps.cn/vas-ai-hub/contract-review">3220453A</paraID>
      <start xmlns="http://schemas.wps.cn/vas-ai-hub/contract-review">119</start>
      <end xmlns="http://schemas.wps.cn/vas-ai-hub/contract-review">121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97e93bc1-2e04-4078-9a94-16edacdc39be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标题文本后不使用标点符号。</explain>
      <paraID xmlns="http://schemas.wps.cn/vas-ai-hub/contract-review">589CFA85</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0588f862-c95f-4f7d-b3cf-1a7cf659bfba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标题文本后不使用标点符号。</explain>
      <paraID xmlns="http://schemas.wps.cn/vas-ai-hub/contract-review">6A7E0CE8</paraID>
      <start xmlns="http://schemas.wps.cn/vas-ai-hub/contract-review">36</start>
      <end xmlns="http://schemas.wps.cn/vas-ai-hub/contract-review">37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bc122926-671f-40b4-ab55-90b0dadbf337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标题文本后不使用标点符号。</explain>
      <paraID xmlns="http://schemas.wps.cn/vas-ai-hub/contract-review"> 7BD4AC5</paraID>
      <start xmlns="http://schemas.wps.cn/vas-ai-hub/contract-review">27</start>
      <end xmlns="http://schemas.wps.cn/vas-ai-hub/contract-review">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98f4b231-8c80-4419-8eb0-c2508275e5de</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》和</item>
      </candidateList>
      <explain xmlns="http://schemas.wps.cn/vas-ai-hub/contract-review"/>
      <paraID xmlns="http://schemas.wps.cn/vas-ai-hub/contract-review">15F795BC</paraID>
      <start xmlns="http://schemas.wps.cn/vas-ai-hub/contract-review">19</start>
      <end xmlns="http://schemas.wps.cn/vas-ai-hub/contract-review">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8955d71e-ed2f-4d29-be9e-5bd174df79a7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标题文本后不使用标点符号。</explain>
      <paraID xmlns="http://schemas.wps.cn/vas-ai-hub/contract-review">6A75D2DB</paraID>
      <start xmlns="http://schemas.wps.cn/vas-ai-hub/contract-review">34</start>
      <end xmlns="http://schemas.wps.cn/vas-ai-hub/contract-review">35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0582fd8d-95f3-4241-8e8c-ebdf98009d59</errorID>
      <errorWord xmlns="http://schemas.wps.cn/vas-ai-hub/contract-review">分行</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分项</item>
      </candidateList>
      <explain xmlns="http://schemas.wps.cn/vas-ai-hub/contract-review">存在发音相近字词的误用。</explain>
      <paraID xmlns="http://schemas.wps.cn/vas-ai-hub/contract-review">5722D04E</paraID>
      <start xmlns="http://schemas.wps.cn/vas-ai-hub/contract-review">23</start>
      <end xmlns="http://schemas.wps.cn/vas-ai-hub/contract-review">25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1c178525-6b1b-4cc8-bcf6-db6783cb3594</errorID>
      <errorWord xmlns="http://schemas.wps.cn/vas-ai-hub/contract-review">股东大会</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股东会</item>
      </candidateList>
      <explain xmlns="http://schemas.wps.cn/vas-ai-hub/contract-review"/>
      <paraID xmlns="http://schemas.wps.cn/vas-ai-hub/contract-review">4A64F11E</paraID>
      <start xmlns="http://schemas.wps.cn/vas-ai-hub/contract-review">102</start>
      <end xmlns="http://schemas.wps.cn/vas-ai-hub/contract-review">106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5b147bb4-1386-47f7-ba65-28dd476b9bee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标题文本后不使用标点符号。</explain>
      <paraID xmlns="http://schemas.wps.cn/vas-ai-hub/contract-review">62E0D5E0</paraID>
      <start xmlns="http://schemas.wps.cn/vas-ai-hub/contract-review">47</start>
      <end xmlns="http://schemas.wps.cn/vas-ai-hub/contract-review">48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346486f1-282d-41c5-afc0-48ae6401e46e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标题文本后不使用标点符号。</explain>
      <paraID xmlns="http://schemas.wps.cn/vas-ai-hub/contract-review">7C171688</paraID>
      <start xmlns="http://schemas.wps.cn/vas-ai-hub/contract-review">18</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68d36920-d8a8-4f28-b00a-33e695cf5f07</errorID>
      <errorWord xmlns="http://schemas.wps.cn/vas-ai-hub/contract-review">称</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秤</item>
      </candidateList>
      <explain xmlns="http://schemas.wps.cn/vas-ai-hub/contract-review">存在发音相同字词的误用。</explain>
      <paraID xmlns="http://schemas.wps.cn/vas-ai-hub/contract-review">633272AF</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010281dc-bd36-426a-bda3-5e1c6c0f051e</errorID>
      <errorWord xmlns="http://schemas.wps.cn/vas-ai-hub/contract-review">况</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况下</item>
      </candidateList>
      <explain xmlns="http://schemas.wps.cn/vas-ai-hub/contract-review"/>
      <paraID xmlns="http://schemas.wps.cn/vas-ai-hub/contract-review">5BC13195</paraID>
      <start xmlns="http://schemas.wps.cn/vas-ai-hub/contract-review">60</start>
      <end xmlns="http://schemas.wps.cn/vas-ai-hub/contract-review">62</end>
      <status xmlns="http://schemas.wps.cn/vas-ai-hub/contract-review">modified</status>
      <modifiedWord xmlns="http://schemas.wps.cn/vas-ai-hub/contract-review">况下</modifiedWord>
      <trackRevisions xmlns="http://schemas.wps.cn/vas-ai-hub/contract-review">false</trackRevisions>
    </reviewItem>
    <reviewItem xmlns="http://schemas.wps.cn/vas-ai-hub/contract-review">
      <errorID xmlns="http://schemas.wps.cn/vas-ai-hub/contract-review">6679dda1-a913-496e-9af2-b8bca76fc852</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1B5AF98E</paraID>
      <start xmlns="http://schemas.wps.cn/vas-ai-hub/contract-review">9</start>
      <end xmlns="http://schemas.wps.cn/vas-ai-hub/contract-review">10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c3a21a4a-7068-46e2-bb86-94c4fb71728c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35C33F3B</paraID>
      <start xmlns="http://schemas.wps.cn/vas-ai-hub/contract-review">8</start>
      <end xmlns="http://schemas.wps.cn/vas-ai-hub/contract-review">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1609c5cb-ef96-4d20-8131-6fc36c015211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56725627</paraID>
      <start xmlns="http://schemas.wps.cn/vas-ai-hub/contract-review">23</start>
      <end xmlns="http://schemas.wps.cn/vas-ai-hub/contract-review">24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ab683fa6-5579-48dd-9167-6d649b388220</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1050EEE9</paraID>
      <start xmlns="http://schemas.wps.cn/vas-ai-hub/contract-review">9</start>
      <end xmlns="http://schemas.wps.cn/vas-ai-hub/contract-review">10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080444ea-414e-47a9-bd00-efe875cebad7</errorID>
      <errorWord xmlns="http://schemas.wps.cn/vas-ai-hub/contract-review">牵引勾</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牵引钩</item>
      </candidateList>
      <explain xmlns="http://schemas.wps.cn/vas-ai-hub/contract-review"/>
      <paraID xmlns="http://schemas.wps.cn/vas-ai-hub/contract-review"> 2F88005</paraID>
      <start xmlns="http://schemas.wps.cn/vas-ai-hub/contract-review">12</start>
      <end xmlns="http://schemas.wps.cn/vas-ai-hub/contract-review">15</end>
      <status xmlns="http://schemas.wps.cn/vas-ai-hub/contract-review">modified</status>
      <modifiedWord xmlns="http://schemas.wps.cn/vas-ai-hub/contract-review">牵引钩</modifiedWord>
      <trackRevisions xmlns="http://schemas.wps.cn/vas-ai-hub/contract-review">false</trackRevisions>
    </reviewItem>
    <reviewItem xmlns="http://schemas.wps.cn/vas-ai-hub/contract-review">
      <errorID xmlns="http://schemas.wps.cn/vas-ai-hub/contract-review">491981b7-c9ab-4b07-9f35-36641c8f7cdd</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2228C6DF</paraID>
      <start xmlns="http://schemas.wps.cn/vas-ai-hub/contract-review">25</start>
      <end xmlns="http://schemas.wps.cn/vas-ai-hub/contract-review">26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596dbb43-5dc8-444d-9d04-a20c92ee55fc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2A4869DF</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ba6fdcee-18fc-49af-91d6-0db7a346a20f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2C95E04F</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8a1af995-9c58-4ab4-910e-a527adede581</errorID>
      <errorWord xmlns="http://schemas.wps.cn/vas-ai-hub/contract-review">碘伏</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碘附</item>
      </candidateList>
      <explain xmlns="http://schemas.wps.cn/vas-ai-hub/contract-review">医学名词[碘伏]为不规范表述或旧称，其规范书面表述为[碘附]。</explain>
      <paraID xmlns="http://schemas.wps.cn/vas-ai-hub/contract-review">45C61118</paraID>
      <start xmlns="http://schemas.wps.cn/vas-ai-hub/contract-review">40</start>
      <end xmlns="http://schemas.wps.cn/vas-ai-hub/contract-review">42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a182e666-ad55-4049-83c6-10612c1e2b11</errorID>
      <errorWord xmlns="http://schemas.wps.cn/vas-ai-hub/contract-review">碘伏</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碘附</item>
      </candidateList>
      <explain xmlns="http://schemas.wps.cn/vas-ai-hub/contract-review">医学名词[碘伏]为不规范表述或旧称，其规范书面表述为[碘附]。</explain>
      <paraID xmlns="http://schemas.wps.cn/vas-ai-hub/contract-review">45C61118</paraID>
      <start xmlns="http://schemas.wps.cn/vas-ai-hub/contract-review">50</start>
      <end xmlns="http://schemas.wps.cn/vas-ai-hub/contract-review">52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9203833d-a810-4156-8496-8941ddc029a5</errorID>
      <errorWord xmlns="http://schemas.wps.cn/vas-ai-hub/contract-review">的</errorWord>
      <group xmlns="http://schemas.wps.cn/vas-ai-hub/contract-review">L1_Word</group>
      <groupName xmlns="http://schemas.wps.cn/vas-ai-hub/contract-review">字词问题</groupName>
      <ability xmlns="http://schemas.wps.cn/vas-ai-hub/contract-review">L2_DDD</ability>
      <abilityName xmlns="http://schemas.wps.cn/vas-ai-hub/contract-review">的地得用法</abilityName>
      <candidateList xmlns="http://schemas.wps.cn/vas-ai-hub/contract-review">
        <item xmlns="http://schemas.wps.cn/vas-ai-hub/contract-review">地</item>
      </candidateList>
      <explain xmlns="http://schemas.wps.cn/vas-ai-hub/contract-review">“地”常用于连接修饰语与动词性中心语，表示动作的方式、状态或程度。</explain>
      <paraID xmlns="http://schemas.wps.cn/vas-ai-hub/contract-review">45C61118</paraID>
      <start xmlns="http://schemas.wps.cn/vas-ai-hub/contract-review">113</start>
      <end xmlns="http://schemas.wps.cn/vas-ai-hub/contract-review">114</end>
      <status xmlns="http://schemas.wps.cn/vas-ai-hub/contract-review">modified</status>
      <modifiedWord xmlns="http://schemas.wps.cn/vas-ai-hub/contract-review">地</modifiedWord>
      <trackRevisions xmlns="http://schemas.wps.cn/vas-ai-hub/contract-review">false</trackRevisions>
    </reviewItem>
    <reviewItem xmlns="http://schemas.wps.cn/vas-ai-hub/contract-review">
      <errorID xmlns="http://schemas.wps.cn/vas-ai-hub/contract-review">1a7511ed-3f6c-4cb3-ac9a-a49fc8baa910</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713C2675</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f5a91de3-0a59-4992-b0a0-3683b8ebe13a</errorID>
      <errorWord xmlns="http://schemas.wps.cn/vas-ai-hub/contract-review">死腔</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无效腔</item>
      </candidateList>
      <explain xmlns="http://schemas.wps.cn/vas-ai-hub/contract-review">医学名词[死腔]为不规范表述或旧称，其规范书面表述为[无效腔]。</explain>
      <paraID xmlns="http://schemas.wps.cn/vas-ai-hub/contract-review">27B996B9</paraID>
      <start xmlns="http://schemas.wps.cn/vas-ai-hub/contract-review">3</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6f4015b9-efa5-411f-91a9-884f0f70afd5</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212ECBCA</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c40956d4-18ff-4be7-a8be-13090f8ba8c4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212ECBCA</paraID>
      <start xmlns="http://schemas.wps.cn/vas-ai-hub/contract-review">17</start>
      <end xmlns="http://schemas.wps.cn/vas-ai-hub/contract-review">18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7f7b0711-09cd-4a4d-ad52-e8ab44e5d25d</errorID>
      <errorWord xmlns="http://schemas.wps.cn/vas-ai-hub/contract-review">死腔</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无效腔</item>
      </candidateList>
      <explain xmlns="http://schemas.wps.cn/vas-ai-hub/contract-review">医学名词[死腔]为不规范表述或旧称，其规范书面表述为[无效腔]。</explain>
      <paraID xmlns="http://schemas.wps.cn/vas-ai-hub/contract-review"> C4A1F40</paraID>
      <start xmlns="http://schemas.wps.cn/vas-ai-hub/contract-review">3</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5c11c6fc-be5d-4991-be0c-2142066eaff8</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 21B23F4</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06d5dbd6-4f9a-47e7-b1fb-62b2140dda01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 21B23F4</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47c20f6c-d938-4395-a0c5-552c879b36d8</errorID>
      <errorWord xmlns="http://schemas.wps.cn/vas-ai-hub/contract-review">死腔</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无效腔</item>
      </candidateList>
      <explain xmlns="http://schemas.wps.cn/vas-ai-hub/contract-review">医学名词[死腔]为不规范表述或旧称，其规范书面表述为[无效腔]。</explain>
      <paraID xmlns="http://schemas.wps.cn/vas-ai-hub/contract-review">34D34D24</paraID>
      <start xmlns="http://schemas.wps.cn/vas-ai-hub/contract-review">3</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46c5595c-cc52-4227-92cc-49275c174d06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56BB3A17</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bbeb5901-426c-4518-9052-1e7f901d7275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56BB3A17</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e72bf92e-c7c8-43e1-b18d-0db6415063d8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56BB3A17</paraID>
      <start xmlns="http://schemas.wps.cn/vas-ai-hub/contract-review">16</start>
      <end xmlns="http://schemas.wps.cn/vas-ai-hub/contract-review">17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25c12b26-f569-4bcc-8a7f-77c7c4eb0ff5</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56BB3A17</paraID>
      <start xmlns="http://schemas.wps.cn/vas-ai-hub/contract-review">20</start>
      <end xmlns="http://schemas.wps.cn/vas-ai-hub/contract-review">21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3cee3da5-52c2-4de8-9a32-2d2b7f472b5c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5CDAED22</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0db23477-2cbd-47cc-81f0-b0a4171ca9b3</errorID>
      <errorWord xmlns="http://schemas.wps.cn/vas-ai-hub/contract-review">副</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幅</item>
      </candidateList>
      <explain xmlns="http://schemas.wps.cn/vas-ai-hub/contract-review">❶（～儿）〈名〉布帛、呢绒等的宽度：～面｜单～｜双～｜宽～的白布。❷泛指宽度：～度｜～员｜振～。❸（～儿）〈量〉用于布帛、呢绒、图画等：一～画｜用两～布做一个床单儿。</explain>
      <paraID xmlns="http://schemas.wps.cn/vas-ai-hub/contract-review">12333C29</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1e675bf4-70e0-428c-9c1c-95a3db2a6c05</errorID>
      <errorWord xmlns="http://schemas.wps.cn/vas-ai-hub/contract-review">称</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秤</item>
      </candidateList>
      <explain xmlns="http://schemas.wps.cn/vas-ai-hub/contract-review">存在发音相同字词的误用。</explain>
      <paraID xmlns="http://schemas.wps.cn/vas-ai-hub/contract-review">4D351997</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60dd39c4-d131-4ea6-ba80-5c3211a57124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49F3B13C</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88115024-4de9-4948-9a59-e28dc50501b7</errorID>
      <errorWord xmlns="http://schemas.wps.cn/vas-ai-hub/contract-review">最大称量</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最大秤量</item>
      </candidateList>
      <explain xmlns="http://schemas.wps.cn/vas-ai-hub/contract-review"/>
      <paraID xmlns="http://schemas.wps.cn/vas-ai-hub/contract-review">49F3B13C</paraID>
      <start xmlns="http://schemas.wps.cn/vas-ai-hub/contract-review">7</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9bfff8f7-e607-430d-a128-cffd5c3bfcf9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2E4E4F5</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2d186bc0-d102-4cdb-8637-21c925623caf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 2E4E4F5</paraID>
      <start xmlns="http://schemas.wps.cn/vas-ai-hub/contract-review">13</start>
      <end xmlns="http://schemas.wps.cn/vas-ai-hub/contract-review">14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1025f90b-e65a-498c-9e99-2b3bc33b0382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445910D9</paraID>
      <start xmlns="http://schemas.wps.cn/vas-ai-hub/contract-review">14</start>
      <end xmlns="http://schemas.wps.cn/vas-ai-hub/contract-review">15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255b8c55-2e16-4602-b84c-936b7c14d73a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445910D9</paraID>
      <start xmlns="http://schemas.wps.cn/vas-ai-hub/contract-review">21</start>
      <end xmlns="http://schemas.wps.cn/vas-ai-hub/contract-review">22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c51dce5b-9787-41b7-9507-c48b8c18d33b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4321B150</paraID>
      <start xmlns="http://schemas.wps.cn/vas-ai-hub/contract-review">7</start>
      <end xmlns="http://schemas.wps.cn/vas-ai-hub/contract-review">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cde7b3f3-6249-45e2-a5ba-96e0e024cf7a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4321B150</paraID>
      <start xmlns="http://schemas.wps.cn/vas-ai-hub/contract-review">12</start>
      <end xmlns="http://schemas.wps.cn/vas-ai-hub/contract-review">13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ed063c26-d094-48b6-8831-77398192c23a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3A80B964</paraID>
      <start xmlns="http://schemas.wps.cn/vas-ai-hub/contract-review">6</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ad68fbd6-b243-4722-bcb7-2a3deebc64c0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3A80B964</paraID>
      <start xmlns="http://schemas.wps.cn/vas-ai-hub/contract-review">13</start>
      <end xmlns="http://schemas.wps.cn/vas-ai-hub/contract-review">14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4200cdd1-df7f-4d66-95e3-85435cde383d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40F5F744</paraID>
      <start xmlns="http://schemas.wps.cn/vas-ai-hub/contract-review">4</start>
      <end xmlns="http://schemas.wps.cn/vas-ai-hub/contract-review">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20c346b4-9789-4b86-8baf-54ffa37684dd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40F5F744</paraID>
      <start xmlns="http://schemas.wps.cn/vas-ai-hub/contract-review">13</start>
      <end xmlns="http://schemas.wps.cn/vas-ai-hub/contract-review">14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7a90e37c-9a27-4d79-acb2-ae53f52dd702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2D0AFFF0</paraID>
      <start xmlns="http://schemas.wps.cn/vas-ai-hub/contract-review">4</start>
      <end xmlns="http://schemas.wps.cn/vas-ai-hub/contract-review">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f90ebe0a-352b-4227-ad59-2b3e12675bb2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78AE73F5</paraID>
      <start xmlns="http://schemas.wps.cn/vas-ai-hub/contract-review">4</start>
      <end xmlns="http://schemas.wps.cn/vas-ai-hub/contract-review">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f7cc2ccf-e9a5-48d7-be23-507789175fe7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78AE73F5</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764d017a-7268-471a-a301-d553dda63b85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5ED5DD82</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79709700-7a14-474e-8b74-abeae8e4918b</errorID>
      <errorWord xmlns="http://schemas.wps.cn/vas-ai-hub/contract-review">MM</errorWord>
      <group xmlns="http://schemas.wps.cn/vas-ai-hub/contract-review">L1_Official</group>
      <groupName xmlns="http://schemas.wps.cn/vas-ai-hub/contract-review">公文问题</groupName>
      <ability xmlns="http://schemas.wps.cn/vas-ai-hub/contract-review">L2_Official</ability>
      <abilityName xmlns="http://schemas.wps.cn/vas-ai-hub/contract-review">公文问题</abilityName>
      <candidateList xmlns="http://schemas.wps.cn/vas-ai-hub/contract-review"/>
      <explain xmlns="http://schemas.wps.cn/vas-ai-hub/contract-review">公文中禁止出现该词语</explain>
      <paraID xmlns="http://schemas.wps.cn/vas-ai-hub/contract-review">5ED5DD82</paraID>
      <start xmlns="http://schemas.wps.cn/vas-ai-hub/contract-review">12</start>
      <end xmlns="http://schemas.wps.cn/vas-ai-hub/contract-review">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07dc88b4-f7cc-4fa4-8ad2-cb4efd4b19fb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5ED5DD82</paraID>
      <start xmlns="http://schemas.wps.cn/vas-ai-hub/contract-review">20</start>
      <end xmlns="http://schemas.wps.cn/vas-ai-hub/contract-review">21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2241fdc8-6d6e-43cb-9665-52d14a01edd7</errorID>
      <errorWord xmlns="http://schemas.wps.cn/vas-ai-hub/contract-review">MM</errorWord>
      <group xmlns="http://schemas.wps.cn/vas-ai-hub/contract-review">L1_Official</group>
      <groupName xmlns="http://schemas.wps.cn/vas-ai-hub/contract-review">公文问题</groupName>
      <ability xmlns="http://schemas.wps.cn/vas-ai-hub/contract-review">L2_Official</ability>
      <abilityName xmlns="http://schemas.wps.cn/vas-ai-hub/contract-review">公文问题</abilityName>
      <candidateList xmlns="http://schemas.wps.cn/vas-ai-hub/contract-review"/>
      <explain xmlns="http://schemas.wps.cn/vas-ai-hub/contract-review">公文中禁止出现该词语</explain>
      <paraID xmlns="http://schemas.wps.cn/vas-ai-hub/contract-review">5ED5DD82</paraID>
      <start xmlns="http://schemas.wps.cn/vas-ai-hub/contract-review">25</start>
      <end xmlns="http://schemas.wps.cn/vas-ai-hub/contract-review">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95a3ea50-72d7-46e9-a397-469093f08dab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2F3E81CB</paraID>
      <start xmlns="http://schemas.wps.cn/vas-ai-hub/contract-review">4</start>
      <end xmlns="http://schemas.wps.cn/vas-ai-hub/contract-review">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bb79f7a0-be1d-4b8f-95ae-2b8c66c198a3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2F3E81CB</paraID>
      <start xmlns="http://schemas.wps.cn/vas-ai-hub/contract-review">10</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6713a1f9-2aa2-486f-b806-1892fefc965e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6B3621CC</paraID>
      <start xmlns="http://schemas.wps.cn/vas-ai-hub/contract-review">4</start>
      <end xmlns="http://schemas.wps.cn/vas-ai-hub/contract-review">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7945ae35-656b-4ce5-a8b3-e6544dee944f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6B3621CC</paraID>
      <start xmlns="http://schemas.wps.cn/vas-ai-hub/contract-review">16</start>
      <end xmlns="http://schemas.wps.cn/vas-ai-hub/contract-review">17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efe22bdf-a98d-4ebe-bde9-479f7c613230</errorID>
      <errorWord xmlns="http://schemas.wps.cn/vas-ai-hub/contract-review">紫外线消毒车</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紫外线消毒灯</item>
      </candidateList>
      <explain xmlns="http://schemas.wps.cn/vas-ai-hub/contract-review"/>
      <paraID xmlns="http://schemas.wps.cn/vas-ai-hub/contract-review">277547AC</paraID>
      <start xmlns="http://schemas.wps.cn/vas-ai-hub/contract-review">5</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513fa962-0544-49d9-a5fe-ad854adee252</errorID>
      <errorWord xmlns="http://schemas.wps.cn/vas-ai-hub/contract-review">冷乱板</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冷轧板</item>
      </candidateList>
      <explain xmlns="http://schemas.wps.cn/vas-ai-hub/contract-review"/>
      <paraID xmlns="http://schemas.wps.cn/vas-ai-hub/contract-review">360230B1</paraID>
      <start xmlns="http://schemas.wps.cn/vas-ai-hub/contract-review">8</start>
      <end xmlns="http://schemas.wps.cn/vas-ai-hub/contract-review">11</end>
      <status xmlns="http://schemas.wps.cn/vas-ai-hub/contract-review">modified</status>
      <modifiedWord xmlns="http://schemas.wps.cn/vas-ai-hub/contract-review">冷轧板</modifiedWord>
      <trackRevisions xmlns="http://schemas.wps.cn/vas-ai-hub/contract-review">false</trackRevisions>
    </reviewItem>
    <reviewItem xmlns="http://schemas.wps.cn/vas-ai-hub/contract-review">
      <errorID xmlns="http://schemas.wps.cn/vas-ai-hub/contract-review">e34acdaa-142c-4990-8207-32d27ad278c1</errorID>
      <errorWord xmlns="http://schemas.wps.cn/vas-ai-hub/contract-review">配条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配套</item>
      </candidateList>
      <explain xmlns="http://schemas.wps.cn/vas-ai-hub/contract-review">存在发音相近字词的误用。</explain>
      <paraID xmlns="http://schemas.wps.cn/vas-ai-hub/contract-review">1545A70F</paraID>
      <start xmlns="http://schemas.wps.cn/vas-ai-hub/contract-review">5</start>
      <end xmlns="http://schemas.wps.cn/vas-ai-hub/contract-review">7</end>
      <status xmlns="http://schemas.wps.cn/vas-ai-hub/contract-review">modified</status>
      <modifiedWord xmlns="http://schemas.wps.cn/vas-ai-hub/contract-review">配套</modifiedWord>
      <trackRevisions xmlns="http://schemas.wps.cn/vas-ai-hub/contract-review">false</trackRevisions>
    </reviewItem>
    <reviewItem xmlns="http://schemas.wps.cn/vas-ai-hub/contract-review">
      <errorID xmlns="http://schemas.wps.cn/vas-ai-hub/contract-review">9ef64b63-d41c-4e0d-a448-5047de3a397e</errorID>
      <errorWord xmlns="http://schemas.wps.cn/vas-ai-hub/contract-review">中科院</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中国科学院</item>
      </candidateList>
      <explain xmlns="http://schemas.wps.cn/vas-ai-hub/contract-review"/>
      <paraID xmlns="http://schemas.wps.cn/vas-ai-hub/contract-review">2B320E9C</paraID>
      <start xmlns="http://schemas.wps.cn/vas-ai-hub/contract-review">22</start>
      <end xmlns="http://schemas.wps.cn/vas-ai-hub/contract-review">25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75c92b5f-eef2-41a8-9051-426d50a7cdaa</errorID>
      <errorWord xmlns="http://schemas.wps.cn/vas-ai-hub/contract-review">签定合同</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签订合同</item>
      </candidateList>
      <explain xmlns="http://schemas.wps.cn/vas-ai-hub/contract-review"/>
      <paraID xmlns="http://schemas.wps.cn/vas-ai-hub/contract-review">4BD97CD7</paraID>
      <start xmlns="http://schemas.wps.cn/vas-ai-hub/contract-review">8</start>
      <end xmlns="http://schemas.wps.cn/vas-ai-hub/contract-review">12</end>
      <status xmlns="http://schemas.wps.cn/vas-ai-hub/contract-review">modified</status>
      <modifiedWord xmlns="http://schemas.wps.cn/vas-ai-hub/contract-review">签订合同</modifiedWord>
      <trackRevisions xmlns="http://schemas.wps.cn/vas-ai-hub/contract-review">false</trackRevisions>
    </reviewItem>
    <reviewItem xmlns="http://schemas.wps.cn/vas-ai-hub/contract-review">
      <errorID xmlns="http://schemas.wps.cn/vas-ai-hub/contract-review">f31deb8e-c05a-4a33-98d5-2f5307c706c1</errorID>
      <errorWord xmlns="http://schemas.wps.cn/vas-ai-hub/contract-review">适应</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适用</item>
      </candidateList>
      <explain xmlns="http://schemas.wps.cn/vas-ai-hub/contract-review">〈形〉适合使用：这套耕作方法，在我们这个地区也完全～。</explain>
      <paraID xmlns="http://schemas.wps.cn/vas-ai-hub/contract-review">6E221361</paraID>
      <start xmlns="http://schemas.wps.cn/vas-ai-hub/contract-review">47</start>
      <end xmlns="http://schemas.wps.cn/vas-ai-hub/contract-review">49</end>
      <status xmlns="http://schemas.wps.cn/vas-ai-hub/contract-review">modified</status>
      <modifiedWord xmlns="http://schemas.wps.cn/vas-ai-hub/contract-review">适用</modifiedWord>
      <trackRevisions xmlns="http://schemas.wps.cn/vas-ai-hub/contract-review">false</trackRevisions>
    </reviewItem>
    <reviewItem xmlns="http://schemas.wps.cn/vas-ai-hub/contract-review">
      <errorID xmlns="http://schemas.wps.cn/vas-ai-hub/contract-review">1d0fbacb-9480-4c65-a96e-5317e23c82d8</errorID>
      <errorWord xmlns="http://schemas.wps.cn/vas-ai-hub/contract-review">格</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格及</item>
      </candidateList>
      <explain xmlns="http://schemas.wps.cn/vas-ai-hub/contract-review"/>
      <paraID xmlns="http://schemas.wps.cn/vas-ai-hub/contract-review">7EB12F14</paraID>
      <start xmlns="http://schemas.wps.cn/vas-ai-hub/contract-review">114</start>
      <end xmlns="http://schemas.wps.cn/vas-ai-hub/contract-review">115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aff9bf91-45d3-49cc-b29c-54af1d44c18c</errorID>
      <errorWord xmlns="http://schemas.wps.cn/vas-ai-hub/contract-review">费</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费用</item>
      </candidateList>
      <explain xmlns="http://schemas.wps.cn/vas-ai-hub/contract-review"/>
      <paraID xmlns="http://schemas.wps.cn/vas-ai-hub/contract-review">7EB12F14</paraID>
      <start xmlns="http://schemas.wps.cn/vas-ai-hub/contract-review">160</start>
      <end xmlns="http://schemas.wps.cn/vas-ai-hub/contract-review">162</end>
      <status xmlns="http://schemas.wps.cn/vas-ai-hub/contract-review">modified</status>
      <modifiedWord xmlns="http://schemas.wps.cn/vas-ai-hub/contract-review">费用</modifiedWord>
      <trackRevisions xmlns="http://schemas.wps.cn/vas-ai-hub/contract-review">false</trackRevisions>
    </reviewItem>
    <reviewItem xmlns="http://schemas.wps.cn/vas-ai-hub/contract-review">
      <errorID xmlns="http://schemas.wps.cn/vas-ai-hub/contract-review">e8a17be4-6654-486a-98c0-dfdf61d84081</errorID>
      <errorWord xmlns="http://schemas.wps.cn/vas-ai-hub/contract-review">件</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件中</item>
      </candidateList>
      <explain xmlns="http://schemas.wps.cn/vas-ai-hub/contract-review"/>
      <paraID xmlns="http://schemas.wps.cn/vas-ai-hub/contract-review">37964EB4</paraID>
      <start xmlns="http://schemas.wps.cn/vas-ai-hub/contract-review">7</start>
      <end xmlns="http://schemas.wps.cn/vas-ai-hub/contract-review">9</end>
      <status xmlns="http://schemas.wps.cn/vas-ai-hub/contract-review">modified</status>
      <modifiedWord xmlns="http://schemas.wps.cn/vas-ai-hub/contract-review">件中</modifiedWord>
      <trackRevisions xmlns="http://schemas.wps.cn/vas-ai-hub/contract-review">false</trackRevisions>
    </reviewItem>
    <reviewItem xmlns="http://schemas.wps.cn/vas-ai-hub/contract-review">
      <errorID xmlns="http://schemas.wps.cn/vas-ai-hub/contract-review">b9610a4c-7ff5-431e-b518-0333ea1f6edd</errorID>
      <errorWord xmlns="http://schemas.wps.cn/vas-ai-hub/contract-review">a、</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a.</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4449632B</paraID>
      <start xmlns="http://schemas.wps.cn/vas-ai-hub/contract-review">0</start>
      <end xmlns="http://schemas.wps.cn/vas-ai-hub/contract-review">2</end>
      <status xmlns="http://schemas.wps.cn/vas-ai-hub/contract-review">modified</status>
      <modifiedWord xmlns="http://schemas.wps.cn/vas-ai-hub/contract-review">a.</modifiedWord>
      <trackRevisions xmlns="http://schemas.wps.cn/vas-ai-hub/contract-review">false</trackRevisions>
    </reviewItem>
    <reviewItem xmlns="http://schemas.wps.cn/vas-ai-hub/contract-review">
      <errorID xmlns="http://schemas.wps.cn/vas-ai-hub/contract-review">69de79c1-706c-4f49-a3eb-3a50cfca4ffa</errorID>
      <errorWord xmlns="http://schemas.wps.cn/vas-ai-hub/contract-review">b、</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b.</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1FC8044A</paraID>
      <start xmlns="http://schemas.wps.cn/vas-ai-hub/contract-review">0</start>
      <end xmlns="http://schemas.wps.cn/vas-ai-hub/contract-review">2</end>
      <status xmlns="http://schemas.wps.cn/vas-ai-hub/contract-review">modified</status>
      <modifiedWord xmlns="http://schemas.wps.cn/vas-ai-hub/contract-review">b.</modifiedWord>
      <trackRevisions xmlns="http://schemas.wps.cn/vas-ai-hub/contract-review">false</trackRevisions>
    </reviewItem>
    <reviewItem xmlns="http://schemas.wps.cn/vas-ai-hub/contract-review">
      <errorID xmlns="http://schemas.wps.cn/vas-ai-hub/contract-review">be5016e8-8357-4efa-88b8-47fc64c3cffb</errorID>
      <errorWord xmlns="http://schemas.wps.cn/vas-ai-hub/contract-review">c、</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c.</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72690771</paraID>
      <start xmlns="http://schemas.wps.cn/vas-ai-hub/contract-review">0</start>
      <end xmlns="http://schemas.wps.cn/vas-ai-hub/contract-review">2</end>
      <status xmlns="http://schemas.wps.cn/vas-ai-hub/contract-review">modified</status>
      <modifiedWord xmlns="http://schemas.wps.cn/vas-ai-hub/contract-review">c.</modifiedWord>
      <trackRevisions xmlns="http://schemas.wps.cn/vas-ai-hub/contract-review">false</trackRevisions>
    </reviewItem>
    <reviewItem xmlns="http://schemas.wps.cn/vas-ai-hub/contract-review">
      <errorID xmlns="http://schemas.wps.cn/vas-ai-hub/contract-review">dec52349-3be7-4253-ae6e-1a207ca66a3e</errorID>
      <errorWord xmlns="http://schemas.wps.cn/vas-ai-hub/contract-review">d、</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d.</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18F8819A</paraID>
      <start xmlns="http://schemas.wps.cn/vas-ai-hub/contract-review">0</start>
      <end xmlns="http://schemas.wps.cn/vas-ai-hub/contract-review">2</end>
      <status xmlns="http://schemas.wps.cn/vas-ai-hub/contract-review">modified</status>
      <modifiedWord xmlns="http://schemas.wps.cn/vas-ai-hub/contract-review">d.</modifiedWord>
      <trackRevisions xmlns="http://schemas.wps.cn/vas-ai-hub/contract-review">false</trackRevisions>
    </reviewItem>
    <reviewItem xmlns="http://schemas.wps.cn/vas-ai-hub/contract-review">
      <errorID xmlns="http://schemas.wps.cn/vas-ai-hub/contract-review">6688add9-aafe-4038-ba04-c6253371a5ad</errorID>
      <errorWord xmlns="http://schemas.wps.cn/vas-ai-hub/contract-review">赔偿和</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赔偿</item>
      </candidateList>
      <explain xmlns="http://schemas.wps.cn/vas-ai-hub/contract-review"/>
      <paraID xmlns="http://schemas.wps.cn/vas-ai-hub/contract-review"> FE45518</paraID>
      <start xmlns="http://schemas.wps.cn/vas-ai-hub/contract-review">110</start>
      <end xmlns="http://schemas.wps.cn/vas-ai-hub/contract-review">113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37bf5634-f7a0-4df3-9120-520d6706cd50</errorID>
      <errorWord xmlns="http://schemas.wps.cn/vas-ai-hub/contract-review">第49条</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第四十九条</item>
      </candidateList>
      <explain xmlns="http://schemas.wps.cn/vas-ai-hub/contract-review"/>
      <paraID xmlns="http://schemas.wps.cn/vas-ai-hub/contract-review">130367D3</paraID>
      <start xmlns="http://schemas.wps.cn/vas-ai-hub/contract-review">17</start>
      <end xmlns="http://schemas.wps.cn/vas-ai-hub/contract-review">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1d820eb6-42e3-4aee-af56-ceb08d3d2064</errorID>
      <errorWord xmlns="http://schemas.wps.cn/vas-ai-hub/contract-review">监察部</errorWord>
      <group xmlns="http://schemas.wps.cn/vas-ai-hub/contract-review">L1_Knowledge</group>
      <groupName xmlns="http://schemas.wps.cn/vas-ai-hub/contract-review">知识性问题</groupName>
      <ability xmlns="http://schemas.wps.cn/vas-ai-hub/contract-review">L2_Organization</ability>
      <abilityName xmlns="http://schemas.wps.cn/vas-ai-hub/contract-review">机构检查</abilityName>
      <candidateList xmlns="http://schemas.wps.cn/vas-ai-hub/contract-review">
        <item xmlns="http://schemas.wps.cn/vas-ai-hub/contract-review">国家监察委员会</item>
      </candidateList>
      <explain xmlns="http://schemas.wps.cn/vas-ai-hub/contract-review">2018年3月，中共中央印发了《深化党和国家机构改革方案》，将监察部的职责整合到新组建的国家监察委员会。不再保留监察部。</explain>
      <paraID xmlns="http://schemas.wps.cn/vas-ai-hub/contract-review">71DFFB5A</paraID>
      <start xmlns="http://schemas.wps.cn/vas-ai-hub/contract-review">136</start>
      <end xmlns="http://schemas.wps.cn/vas-ai-hub/contract-review">139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ddf54ac8-5c68-40bb-8b01-3caa47ddc509</errorID>
      <errorWord xmlns="http://schemas.wps.cn/vas-ai-hub/contract-review">监察部</errorWord>
      <group xmlns="http://schemas.wps.cn/vas-ai-hub/contract-review">L1_Knowledge</group>
      <groupName xmlns="http://schemas.wps.cn/vas-ai-hub/contract-review">知识性问题</groupName>
      <ability xmlns="http://schemas.wps.cn/vas-ai-hub/contract-review">L2_Organization</ability>
      <abilityName xmlns="http://schemas.wps.cn/vas-ai-hub/contract-review">机构检查</abilityName>
      <candidateList xmlns="http://schemas.wps.cn/vas-ai-hub/contract-review">
        <item xmlns="http://schemas.wps.cn/vas-ai-hub/contract-review">国家监察委员会</item>
      </candidateList>
      <explain xmlns="http://schemas.wps.cn/vas-ai-hub/contract-review">2018年3月，中共中央印发了《深化党和国家机构改革方案》，将监察部的职责整合到新组建的国家监察委员会。不再保留监察部。</explain>
      <paraID xmlns="http://schemas.wps.cn/vas-ai-hub/contract-review">1EAB17A2</paraID>
      <start xmlns="http://schemas.wps.cn/vas-ai-hub/contract-review">33</start>
      <end xmlns="http://schemas.wps.cn/vas-ai-hub/contract-review">36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dba87182-caf8-4da5-9780-9923f91b99f5</errorID>
      <errorWord xmlns="http://schemas.wps.cn/vas-ai-hub/contract-review">如有</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如</item>
      </candidateList>
      <explain xmlns="http://schemas.wps.cn/vas-ai-hub/contract-review"/>
      <paraID xmlns="http://schemas.wps.cn/vas-ai-hub/contract-review">7B7BA09F</paraID>
      <start xmlns="http://schemas.wps.cn/vas-ai-hub/contract-review">26</start>
      <end xmlns="http://schemas.wps.cn/vas-ai-hub/contract-review">27</end>
      <status xmlns="http://schemas.wps.cn/vas-ai-hub/contract-review">modified</status>
      <modifiedWord xmlns="http://schemas.wps.cn/vas-ai-hub/contract-review">如</modifiedWord>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0cdb11-93c4-4ca2-9e1a-917a5b35c74e}">
  <ds:schemaRefs/>
</ds:datastoreItem>
</file>

<file path=docProps/app.xml><?xml version="1.0" encoding="utf-8"?>
<Properties xmlns="http://schemas.openxmlformats.org/officeDocument/2006/extended-properties" xmlns:vt="http://schemas.openxmlformats.org/officeDocument/2006/docPropsVTypes">
  <Template>Normal.dotm</Template>
  <Pages>55</Pages>
  <Words>8854</Words>
  <Characters>9173</Characters>
  <Lines>0</Lines>
  <Paragraphs>0</Paragraphs>
  <TotalTime>10</TotalTime>
  <ScaleCrop>false</ScaleCrop>
  <LinksUpToDate>false</LinksUpToDate>
  <CharactersWithSpaces>9214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2025-12-17T01:57:00Z</dcterms:created>
  <dc:creator>Administrator</dc:creator>
  <cp:lastModifiedBy>Administrator</cp:lastModifiedBy>
  <dcterms:modified xsi:type="dcterms:W3CDTF">2026-07-17T07:32:56Z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eyJoZGlkIjoiZDg1ZmUyN2M3YzE0YWYwY2U3YTY0NDM1ZTI1OGNhZjkiLCJ1c2VySWQiOiI0MzM4ODMwMDQifQ==</vt:lpwstr>
  </property>
  <property fmtid="{D5CDD505-2E9C-101B-9397-08002B2CF9AE}" pid="4" name="ICV">
    <vt:lpwstr>CF0B7388E0DFFC516B48576A5F7EB49C_43</vt:lpwstr>
  </property>
</Properties>
</file>