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53FFD">
      <w:pPr>
        <w:rPr>
          <w:rFonts w:hint="eastAsia"/>
          <w:lang w:eastAsia="zh-CN"/>
        </w:rPr>
      </w:pPr>
      <w:r>
        <w:rPr>
          <w:rFonts w:hint="eastAsia" w:ascii="仿宋_GB2312" w:eastAsia="仿宋_GB2312"/>
          <w:b/>
          <w:bCs/>
          <w:sz w:val="30"/>
          <w:szCs w:val="30"/>
        </w:rPr>
        <w:t>附件</w:t>
      </w:r>
      <w:r>
        <w:rPr>
          <w:rFonts w:hint="eastAsia" w:ascii="仿宋_GB2312" w:eastAsia="仿宋_GB2312"/>
          <w:b/>
          <w:bCs/>
          <w:sz w:val="30"/>
          <w:szCs w:val="30"/>
          <w:lang w:val="en-US" w:eastAsia="zh-CN"/>
        </w:rPr>
        <w:t>2</w:t>
      </w:r>
      <w:r>
        <w:rPr>
          <w:rFonts w:hint="eastAsia" w:ascii="仿宋_GB2312" w:eastAsia="仿宋_GB2312"/>
          <w:b/>
          <w:bCs/>
          <w:sz w:val="30"/>
          <w:szCs w:val="30"/>
        </w:rPr>
        <w:t>：</w:t>
      </w:r>
      <w:r>
        <w:rPr>
          <w:rFonts w:hint="eastAsia" w:ascii="仿宋_GB2312" w:eastAsia="仿宋_GB2312"/>
          <w:b/>
          <w:bCs/>
          <w:sz w:val="30"/>
          <w:szCs w:val="30"/>
          <w:lang w:eastAsia="zh-CN"/>
        </w:rPr>
        <w:t>综合评分表</w:t>
      </w:r>
    </w:p>
    <w:p w14:paraId="604AED1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sz w:val="36"/>
          <w:szCs w:val="36"/>
        </w:rPr>
      </w:pPr>
      <w:r>
        <w:rPr>
          <w:rFonts w:hint="eastAsia" w:eastAsia="PingFang SC Regular"/>
          <w:sz w:val="36"/>
          <w:szCs w:val="36"/>
          <w:lang w:val="en-US" w:eastAsia="zh-CN"/>
        </w:rPr>
        <w:t>龙岗区城投集团董事、高级管理人员责任险服务</w:t>
      </w:r>
    </w:p>
    <w:p w14:paraId="541451B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bookmarkStart w:id="0" w:name="_GoBack"/>
      <w:bookmarkEnd w:id="0"/>
    </w:p>
    <w:tbl>
      <w:tblPr>
        <w:tblStyle w:val="5"/>
        <w:tblW w:w="9632" w:type="dxa"/>
        <w:tblInd w:w="-246" w:type="dxa"/>
        <w:tblLayout w:type="fixed"/>
        <w:tblCellMar>
          <w:top w:w="0" w:type="dxa"/>
          <w:left w:w="108" w:type="dxa"/>
          <w:bottom w:w="0" w:type="dxa"/>
          <w:right w:w="108" w:type="dxa"/>
        </w:tblCellMar>
      </w:tblPr>
      <w:tblGrid>
        <w:gridCol w:w="570"/>
        <w:gridCol w:w="771"/>
        <w:gridCol w:w="1521"/>
        <w:gridCol w:w="543"/>
        <w:gridCol w:w="5447"/>
        <w:gridCol w:w="780"/>
      </w:tblGrid>
      <w:tr w14:paraId="28D91643">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vAlign w:val="center"/>
          </w:tcPr>
          <w:p w14:paraId="183E89F2">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序号</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3989164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评分项</w:t>
            </w:r>
          </w:p>
        </w:tc>
        <w:tc>
          <w:tcPr>
            <w:tcW w:w="543" w:type="dxa"/>
            <w:tcBorders>
              <w:top w:val="single" w:color="auto" w:sz="4" w:space="0"/>
              <w:left w:val="single" w:color="auto" w:sz="4" w:space="0"/>
              <w:bottom w:val="single" w:color="auto" w:sz="4" w:space="0"/>
              <w:right w:val="single" w:color="auto" w:sz="4" w:space="0"/>
            </w:tcBorders>
            <w:vAlign w:val="center"/>
          </w:tcPr>
          <w:p w14:paraId="4C1E6C9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分值</w:t>
            </w:r>
          </w:p>
        </w:tc>
        <w:tc>
          <w:tcPr>
            <w:tcW w:w="5447" w:type="dxa"/>
            <w:tcBorders>
              <w:top w:val="single" w:color="auto" w:sz="4" w:space="0"/>
              <w:left w:val="single" w:color="auto" w:sz="4" w:space="0"/>
              <w:bottom w:val="single" w:color="auto" w:sz="4" w:space="0"/>
              <w:right w:val="single" w:color="auto" w:sz="4" w:space="0"/>
            </w:tcBorders>
            <w:vAlign w:val="center"/>
          </w:tcPr>
          <w:p w14:paraId="1084004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评分规则</w:t>
            </w:r>
          </w:p>
        </w:tc>
        <w:tc>
          <w:tcPr>
            <w:tcW w:w="780" w:type="dxa"/>
            <w:tcBorders>
              <w:top w:val="single" w:color="auto" w:sz="4" w:space="0"/>
              <w:left w:val="nil"/>
              <w:bottom w:val="single" w:color="auto" w:sz="4" w:space="0"/>
              <w:right w:val="single" w:color="auto" w:sz="4" w:space="0"/>
            </w:tcBorders>
            <w:vAlign w:val="center"/>
          </w:tcPr>
          <w:p w14:paraId="7E664162">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备注</w:t>
            </w:r>
          </w:p>
        </w:tc>
      </w:tr>
      <w:tr w14:paraId="4A330D7C">
        <w:tblPrEx>
          <w:tblCellMar>
            <w:top w:w="0" w:type="dxa"/>
            <w:left w:w="108" w:type="dxa"/>
            <w:bottom w:w="0" w:type="dxa"/>
            <w:right w:w="108" w:type="dxa"/>
          </w:tblCellMar>
        </w:tblPrEx>
        <w:trPr>
          <w:trHeight w:val="766" w:hRule="atLeast"/>
        </w:trPr>
        <w:tc>
          <w:tcPr>
            <w:tcW w:w="570" w:type="dxa"/>
            <w:tcBorders>
              <w:top w:val="nil"/>
              <w:left w:val="single" w:color="auto" w:sz="4" w:space="0"/>
              <w:bottom w:val="single" w:color="auto" w:sz="4" w:space="0"/>
              <w:right w:val="single" w:color="auto" w:sz="4" w:space="0"/>
            </w:tcBorders>
            <w:vAlign w:val="center"/>
          </w:tcPr>
          <w:p w14:paraId="4467DC4B">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1</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099CEB43">
            <w:pPr>
              <w:keepLines w:val="0"/>
              <w:pageBreakBefore w:val="0"/>
              <w:widowControl w:val="0"/>
              <w:tabs>
                <w:tab w:val="left" w:pos="900"/>
              </w:tabs>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报价</w:t>
            </w:r>
          </w:p>
        </w:tc>
        <w:tc>
          <w:tcPr>
            <w:tcW w:w="543" w:type="dxa"/>
            <w:tcBorders>
              <w:top w:val="single" w:color="auto" w:sz="4" w:space="0"/>
              <w:left w:val="single" w:color="auto" w:sz="4" w:space="0"/>
              <w:bottom w:val="single" w:color="auto" w:sz="4" w:space="0"/>
              <w:right w:val="single" w:color="auto" w:sz="4" w:space="0"/>
            </w:tcBorders>
            <w:vAlign w:val="center"/>
          </w:tcPr>
          <w:p w14:paraId="7DDF7195">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sz w:val="21"/>
                <w:szCs w:val="21"/>
                <w:lang w:val="en-US"/>
              </w:rPr>
            </w:pPr>
            <w:r>
              <w:rPr>
                <w:rFonts w:hint="eastAsia" w:ascii="方正楷体_GBK" w:hAnsi="方正楷体_GBK" w:eastAsia="方正楷体_GBK" w:cs="方正楷体_GBK"/>
                <w:b w:val="0"/>
                <w:bCs/>
                <w:sz w:val="21"/>
                <w:szCs w:val="21"/>
                <w:lang w:val="en-US" w:eastAsia="zh-CN"/>
              </w:rPr>
              <w:t>25</w:t>
            </w:r>
          </w:p>
        </w:tc>
        <w:tc>
          <w:tcPr>
            <w:tcW w:w="5447" w:type="dxa"/>
            <w:tcBorders>
              <w:top w:val="single" w:color="auto" w:sz="4" w:space="0"/>
              <w:left w:val="single" w:color="auto" w:sz="4" w:space="0"/>
              <w:bottom w:val="single" w:color="auto" w:sz="4" w:space="0"/>
              <w:right w:val="single" w:color="auto" w:sz="4" w:space="0"/>
            </w:tcBorders>
            <w:vAlign w:val="center"/>
          </w:tcPr>
          <w:p w14:paraId="3AB4E9AC">
            <w:pPr>
              <w:keepLines w:val="0"/>
              <w:pageBreakBefore w:val="0"/>
              <w:widowControl w:val="0"/>
              <w:kinsoku/>
              <w:overflowPunct/>
              <w:topLinePunct w:val="0"/>
              <w:autoSpaceDE/>
              <w:autoSpaceDN/>
              <w:bidi w:val="0"/>
              <w:adjustRightInd w:val="0"/>
              <w:snapToGrid w:val="0"/>
              <w:spacing w:line="240" w:lineRule="auto"/>
              <w:ind w:left="0"/>
              <w:jc w:val="left"/>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价格分计算方法：报价为平均数的为最高分即满分。</w:t>
            </w:r>
          </w:p>
          <w:p w14:paraId="2F255CD4">
            <w:pPr>
              <w:keepLines w:val="0"/>
              <w:pageBreakBefore w:val="0"/>
              <w:widowControl w:val="0"/>
              <w:kinsoku/>
              <w:overflowPunct/>
              <w:topLinePunct w:val="0"/>
              <w:autoSpaceDE/>
              <w:autoSpaceDN/>
              <w:bidi w:val="0"/>
              <w:adjustRightInd w:val="0"/>
              <w:snapToGrid w:val="0"/>
              <w:spacing w:line="240" w:lineRule="auto"/>
              <w:ind w:left="0"/>
              <w:jc w:val="left"/>
              <w:textAlignment w:val="auto"/>
              <w:rPr>
                <w:rFonts w:hint="eastAsia" w:ascii="方正楷体_GBK" w:hAnsi="方正楷体_GBK" w:eastAsia="方正楷体_GBK" w:cs="方正楷体_GBK"/>
                <w:b w:val="0"/>
                <w:bCs/>
                <w:sz w:val="21"/>
                <w:szCs w:val="21"/>
                <w:lang w:eastAsia="zh-CN"/>
              </w:rPr>
            </w:pPr>
            <w:r>
              <w:rPr>
                <w:rFonts w:hint="eastAsia" w:ascii="方正楷体_GBK" w:hAnsi="方正楷体_GBK" w:eastAsia="方正楷体_GBK" w:cs="方正楷体_GBK"/>
                <w:b w:val="0"/>
                <w:bCs/>
                <w:sz w:val="21"/>
                <w:szCs w:val="21"/>
                <w:lang w:val="en-US" w:eastAsia="zh-CN"/>
              </w:rPr>
              <w:t>假设供应商的</w:t>
            </w:r>
            <w:r>
              <w:rPr>
                <w:rFonts w:hint="eastAsia" w:ascii="方正楷体_GBK" w:hAnsi="方正楷体_GBK" w:eastAsia="方正楷体_GBK" w:cs="方正楷体_GBK"/>
                <w:b w:val="0"/>
                <w:bCs/>
                <w:sz w:val="21"/>
                <w:szCs w:val="21"/>
              </w:rPr>
              <w:t>报价结果分别为B1、B2</w:t>
            </w:r>
            <w:r>
              <w:rPr>
                <w:rFonts w:hint="eastAsia" w:ascii="方正楷体_GBK" w:hAnsi="方正楷体_GBK" w:eastAsia="方正楷体_GBK" w:cs="方正楷体_GBK"/>
                <w:b w:val="0"/>
                <w:bCs/>
                <w:sz w:val="21"/>
                <w:szCs w:val="21"/>
                <w:lang w:eastAsia="zh-CN"/>
              </w:rPr>
              <w:t>、</w:t>
            </w:r>
            <w:r>
              <w:rPr>
                <w:rFonts w:hint="eastAsia" w:ascii="方正楷体_GBK" w:hAnsi="方正楷体_GBK" w:eastAsia="方正楷体_GBK" w:cs="方正楷体_GBK"/>
                <w:b w:val="0"/>
                <w:bCs/>
                <w:sz w:val="21"/>
                <w:szCs w:val="21"/>
              </w:rPr>
              <w:t>B3……Bn，则报价的平均</w:t>
            </w:r>
            <w:r>
              <w:rPr>
                <w:rFonts w:hint="eastAsia" w:ascii="方正楷体_GBK" w:hAnsi="方正楷体_GBK" w:eastAsia="方正楷体_GBK" w:cs="方正楷体_GBK"/>
                <w:b w:val="0"/>
                <w:bCs/>
                <w:sz w:val="21"/>
                <w:szCs w:val="21"/>
                <w:lang w:val="en-US" w:eastAsia="zh-CN"/>
              </w:rPr>
              <w:t>数</w:t>
            </w:r>
            <w:r>
              <w:rPr>
                <w:rFonts w:hint="eastAsia" w:ascii="方正楷体_GBK" w:hAnsi="方正楷体_GBK" w:eastAsia="方正楷体_GBK" w:cs="方正楷体_GBK"/>
                <w:b w:val="0"/>
                <w:bCs/>
                <w:sz w:val="21"/>
                <w:szCs w:val="21"/>
              </w:rPr>
              <w:t>为C=[B1＋B2＋B3＋……＋Bn]÷n</w:t>
            </w:r>
            <w:r>
              <w:rPr>
                <w:rFonts w:hint="eastAsia" w:ascii="方正楷体_GBK" w:hAnsi="方正楷体_GBK" w:eastAsia="方正楷体_GBK" w:cs="方正楷体_GBK"/>
                <w:b w:val="0"/>
                <w:bCs/>
                <w:sz w:val="21"/>
                <w:szCs w:val="21"/>
                <w:lang w:eastAsia="zh-CN"/>
              </w:rPr>
              <w:t>，</w:t>
            </w:r>
            <w:r>
              <w:rPr>
                <w:rFonts w:hint="eastAsia" w:ascii="方正楷体_GBK" w:hAnsi="方正楷体_GBK" w:eastAsia="方正楷体_GBK" w:cs="方正楷体_GBK"/>
                <w:b w:val="0"/>
                <w:bCs/>
                <w:sz w:val="21"/>
                <w:szCs w:val="21"/>
              </w:rPr>
              <w:t>供应商</w:t>
            </w:r>
            <w:r>
              <w:rPr>
                <w:rFonts w:hint="eastAsia" w:ascii="方正楷体_GBK" w:hAnsi="方正楷体_GBK" w:eastAsia="方正楷体_GBK" w:cs="方正楷体_GBK"/>
                <w:b w:val="0"/>
                <w:bCs/>
                <w:sz w:val="21"/>
                <w:szCs w:val="21"/>
                <w:lang w:val="en-US" w:eastAsia="zh-CN"/>
              </w:rPr>
              <w:t>n的</w:t>
            </w:r>
            <w:r>
              <w:rPr>
                <w:rFonts w:hint="eastAsia" w:ascii="方正楷体_GBK" w:hAnsi="方正楷体_GBK" w:eastAsia="方正楷体_GBK" w:cs="方正楷体_GBK"/>
                <w:b w:val="0"/>
                <w:bCs/>
                <w:sz w:val="21"/>
                <w:szCs w:val="21"/>
              </w:rPr>
              <w:t>报价得分=</w:t>
            </w:r>
            <w:r>
              <w:rPr>
                <w:rFonts w:hint="eastAsia" w:ascii="方正楷体_GBK" w:hAnsi="方正楷体_GBK" w:eastAsia="方正楷体_GBK" w:cs="方正楷体_GBK"/>
                <w:b w:val="0"/>
                <w:bCs/>
                <w:sz w:val="21"/>
                <w:szCs w:val="21"/>
                <w:lang w:val="en-US" w:eastAsia="zh-CN"/>
              </w:rPr>
              <w:t>25×</w:t>
            </w:r>
            <w:r>
              <w:rPr>
                <w:rFonts w:hint="eastAsia" w:ascii="方正楷体_GBK" w:hAnsi="方正楷体_GBK" w:eastAsia="方正楷体_GBK" w:cs="方正楷体_GBK"/>
                <w:b w:val="0"/>
                <w:bCs/>
                <w:sz w:val="21"/>
                <w:szCs w:val="21"/>
              </w:rPr>
              <w:t>{1-(∣Bn－C∣)÷C}</w:t>
            </w:r>
            <w:r>
              <w:rPr>
                <w:rFonts w:hint="eastAsia" w:ascii="方正楷体_GBK" w:hAnsi="方正楷体_GBK" w:eastAsia="方正楷体_GBK" w:cs="方正楷体_GBK"/>
                <w:b w:val="0"/>
                <w:bCs/>
                <w:sz w:val="21"/>
                <w:szCs w:val="21"/>
                <w:lang w:eastAsia="zh-CN"/>
              </w:rPr>
              <w:t>。</w:t>
            </w:r>
          </w:p>
        </w:tc>
        <w:tc>
          <w:tcPr>
            <w:tcW w:w="780" w:type="dxa"/>
            <w:tcBorders>
              <w:top w:val="single" w:color="auto" w:sz="4" w:space="0"/>
              <w:left w:val="single" w:color="auto" w:sz="4" w:space="0"/>
              <w:bottom w:val="single" w:color="auto" w:sz="4" w:space="0"/>
              <w:right w:val="single" w:color="auto" w:sz="4" w:space="0"/>
            </w:tcBorders>
            <w:vAlign w:val="center"/>
          </w:tcPr>
          <w:p w14:paraId="18F83DD1">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4F51877C">
        <w:tblPrEx>
          <w:tblCellMar>
            <w:top w:w="0" w:type="dxa"/>
            <w:left w:w="108" w:type="dxa"/>
            <w:bottom w:w="0" w:type="dxa"/>
            <w:right w:w="108" w:type="dxa"/>
          </w:tblCellMar>
        </w:tblPrEx>
        <w:trPr>
          <w:trHeight w:val="90" w:hRule="atLeast"/>
        </w:trPr>
        <w:tc>
          <w:tcPr>
            <w:tcW w:w="570" w:type="dxa"/>
            <w:tcBorders>
              <w:top w:val="single" w:color="auto" w:sz="4" w:space="0"/>
              <w:left w:val="single" w:color="auto" w:sz="4" w:space="0"/>
              <w:bottom w:val="single" w:color="auto" w:sz="4" w:space="0"/>
              <w:right w:val="single" w:color="auto" w:sz="4" w:space="0"/>
            </w:tcBorders>
            <w:vAlign w:val="center"/>
          </w:tcPr>
          <w:p w14:paraId="20A98B52">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eastAsia="zh-CN"/>
              </w:rPr>
            </w:pPr>
            <w:r>
              <w:rPr>
                <w:rFonts w:hint="eastAsia" w:ascii="方正楷体_GBK" w:hAnsi="方正楷体_GBK" w:eastAsia="方正楷体_GBK" w:cs="方正楷体_GBK"/>
                <w:b w:val="0"/>
                <w:bCs/>
                <w:sz w:val="21"/>
                <w:szCs w:val="21"/>
                <w:lang w:val="en-US" w:eastAsia="zh-CN"/>
              </w:rPr>
              <w:t>2</w:t>
            </w:r>
          </w:p>
        </w:tc>
        <w:tc>
          <w:tcPr>
            <w:tcW w:w="2292" w:type="dxa"/>
            <w:gridSpan w:val="2"/>
            <w:tcBorders>
              <w:left w:val="single" w:color="auto" w:sz="4" w:space="0"/>
              <w:bottom w:val="single" w:color="auto" w:sz="4" w:space="0"/>
              <w:right w:val="single" w:color="auto" w:sz="4" w:space="0"/>
            </w:tcBorders>
            <w:shd w:val="clear" w:color="auto" w:fill="auto"/>
            <w:vAlign w:val="center"/>
          </w:tcPr>
          <w:p w14:paraId="6326F7A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保险费收入</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40F3B00A">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70E41A50">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投标人（如投标人为分支机构，则其所在省级机构2025年全险种保费收入）：</w:t>
            </w:r>
          </w:p>
          <w:p w14:paraId="1289DCEF">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≥150亿元人民币的得10分；</w:t>
            </w:r>
          </w:p>
          <w:p w14:paraId="1A5BD165">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≥100亿元人民币的得7分；</w:t>
            </w:r>
          </w:p>
          <w:p w14:paraId="489FF6B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≥70亿元人民币的得5分；</w:t>
            </w:r>
          </w:p>
          <w:p w14:paraId="2A36A18B">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≥50亿元人民币的得2分；</w:t>
            </w:r>
          </w:p>
          <w:p w14:paraId="636DC3C5">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≥20亿元人民币的得1分；</w:t>
            </w:r>
          </w:p>
          <w:p w14:paraId="22CD2C4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&lt;20亿元人民币的不得分；</w:t>
            </w:r>
          </w:p>
          <w:p w14:paraId="52A912D4">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注：须提供投标人最近一年度会计师事务所审计的财务报告或相关证明材料，并用显著方式标注。</w:t>
            </w:r>
          </w:p>
        </w:tc>
        <w:tc>
          <w:tcPr>
            <w:tcW w:w="780" w:type="dxa"/>
            <w:tcBorders>
              <w:top w:val="single" w:color="auto" w:sz="4" w:space="0"/>
              <w:left w:val="single" w:color="auto" w:sz="4" w:space="0"/>
              <w:bottom w:val="single" w:color="auto" w:sz="4" w:space="0"/>
              <w:right w:val="single" w:color="auto" w:sz="4" w:space="0"/>
            </w:tcBorders>
            <w:vAlign w:val="center"/>
          </w:tcPr>
          <w:p w14:paraId="213325B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53A75E70">
        <w:tblPrEx>
          <w:tblCellMar>
            <w:top w:w="0" w:type="dxa"/>
            <w:left w:w="108" w:type="dxa"/>
            <w:bottom w:w="0" w:type="dxa"/>
            <w:right w:w="108" w:type="dxa"/>
          </w:tblCellMar>
        </w:tblPrEx>
        <w:trPr>
          <w:trHeight w:val="1060" w:hRule="atLeast"/>
        </w:trPr>
        <w:tc>
          <w:tcPr>
            <w:tcW w:w="570" w:type="dxa"/>
            <w:tcBorders>
              <w:top w:val="single" w:color="auto" w:sz="4" w:space="0"/>
              <w:left w:val="single" w:color="auto" w:sz="4" w:space="0"/>
              <w:bottom w:val="single" w:color="auto" w:sz="4" w:space="0"/>
              <w:right w:val="single" w:color="auto" w:sz="4" w:space="0"/>
            </w:tcBorders>
            <w:vAlign w:val="center"/>
          </w:tcPr>
          <w:p w14:paraId="4C31274E">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eastAsia="zh-CN"/>
              </w:rPr>
            </w:pPr>
            <w:r>
              <w:rPr>
                <w:rFonts w:hint="eastAsia" w:ascii="方正楷体_GBK" w:hAnsi="方正楷体_GBK" w:eastAsia="方正楷体_GBK" w:cs="方正楷体_GBK"/>
                <w:b w:val="0"/>
                <w:bCs/>
                <w:sz w:val="21"/>
                <w:szCs w:val="21"/>
                <w:lang w:val="en-US" w:eastAsia="zh-CN"/>
              </w:rPr>
              <w:t>3</w:t>
            </w:r>
          </w:p>
        </w:tc>
        <w:tc>
          <w:tcPr>
            <w:tcW w:w="2292" w:type="dxa"/>
            <w:gridSpan w:val="2"/>
            <w:tcBorders>
              <w:top w:val="single" w:color="auto" w:sz="4" w:space="0"/>
              <w:left w:val="single" w:color="auto" w:sz="4" w:space="0"/>
              <w:right w:val="single" w:color="auto" w:sz="4" w:space="0"/>
            </w:tcBorders>
            <w:shd w:val="clear" w:color="auto" w:fill="auto"/>
            <w:vAlign w:val="center"/>
          </w:tcPr>
          <w:p w14:paraId="1CA7FF06">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综合偿付能力充足率</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6B98F524">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52D0C94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投标人（总公司）最近一年的综合偿付能力充足率：</w:t>
            </w:r>
          </w:p>
          <w:p w14:paraId="2F189A8D">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≥200%，得10分；</w:t>
            </w:r>
          </w:p>
          <w:p w14:paraId="0D87E1A1">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≥180%，得6分；</w:t>
            </w:r>
          </w:p>
          <w:p w14:paraId="78E64A1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≥150%，得4分；</w:t>
            </w:r>
          </w:p>
          <w:p w14:paraId="77B8085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≥120%，得2分；</w:t>
            </w:r>
          </w:p>
          <w:p w14:paraId="28F0093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低于120%不得分。</w:t>
            </w:r>
          </w:p>
          <w:p w14:paraId="044556D3">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注：需提供各投标人最近一期经第三方会计师事务所出具的审计偿付能力报告的相关证明材料，并用显著方式标注。</w:t>
            </w:r>
          </w:p>
        </w:tc>
        <w:tc>
          <w:tcPr>
            <w:tcW w:w="780" w:type="dxa"/>
            <w:tcBorders>
              <w:top w:val="single" w:color="auto" w:sz="4" w:space="0"/>
              <w:left w:val="single" w:color="auto" w:sz="4" w:space="0"/>
              <w:bottom w:val="single" w:color="auto" w:sz="4" w:space="0"/>
              <w:right w:val="single" w:color="auto" w:sz="4" w:space="0"/>
            </w:tcBorders>
            <w:vAlign w:val="center"/>
          </w:tcPr>
          <w:p w14:paraId="6E9EF941">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76D179E2">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vAlign w:val="center"/>
          </w:tcPr>
          <w:p w14:paraId="24046E6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sz w:val="21"/>
                <w:szCs w:val="21"/>
                <w:lang w:val="en-US" w:eastAsia="zh-CN"/>
              </w:rPr>
              <w:t>4</w:t>
            </w:r>
          </w:p>
        </w:tc>
        <w:tc>
          <w:tcPr>
            <w:tcW w:w="2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BA19C">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承保机构（省级）董责险承保经验</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69BF0C55">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3DE29A4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1.承保董责险项目（含上市公司，下同）超30个，得10分；</w:t>
            </w:r>
          </w:p>
          <w:p w14:paraId="08833D1F">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2.承保董责险项目超20个，得5分；</w:t>
            </w:r>
          </w:p>
          <w:p w14:paraId="49B8CCB4">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3.承保董责险项目超15个，得3分；</w:t>
            </w:r>
          </w:p>
          <w:p w14:paraId="5BF372E9">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4.承保董责险项目不超过10个，不得分；</w:t>
            </w:r>
          </w:p>
          <w:p w14:paraId="6D41D57F">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注：须提供2025年度保险合同或服务协议等有效证明材料关键页或招投标信息（包括但不限于承保时间、保额/赔偿限额、签字盖章等，涉及敏感信息可脱敏处理）；如承保机构董责险承保经验因涉密或数量过多不便列举，可自拟格式证明文件并加盖公章，并自备证明材料待后续查验。</w:t>
            </w:r>
          </w:p>
        </w:tc>
        <w:tc>
          <w:tcPr>
            <w:tcW w:w="780" w:type="dxa"/>
            <w:tcBorders>
              <w:left w:val="single" w:color="auto" w:sz="4" w:space="0"/>
              <w:bottom w:val="single" w:color="auto" w:sz="4" w:space="0"/>
              <w:right w:val="single" w:color="auto" w:sz="4" w:space="0"/>
            </w:tcBorders>
            <w:vAlign w:val="center"/>
          </w:tcPr>
          <w:p w14:paraId="575158F3">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10BA357C">
        <w:tblPrEx>
          <w:tblCellMar>
            <w:top w:w="0" w:type="dxa"/>
            <w:left w:w="108" w:type="dxa"/>
            <w:bottom w:w="0" w:type="dxa"/>
            <w:right w:w="108" w:type="dxa"/>
          </w:tblCellMar>
        </w:tblPrEx>
        <w:trPr>
          <w:trHeight w:val="280" w:hRule="atLeast"/>
        </w:trPr>
        <w:tc>
          <w:tcPr>
            <w:tcW w:w="570" w:type="dxa"/>
            <w:vMerge w:val="restart"/>
            <w:tcBorders>
              <w:top w:val="single" w:color="auto" w:sz="4" w:space="0"/>
              <w:left w:val="single" w:color="auto" w:sz="4" w:space="0"/>
              <w:right w:val="single" w:color="auto" w:sz="4" w:space="0"/>
            </w:tcBorders>
            <w:vAlign w:val="center"/>
          </w:tcPr>
          <w:p w14:paraId="2F533B2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r>
              <w:rPr>
                <w:rFonts w:hint="eastAsia" w:ascii="方正楷体_GBK" w:hAnsi="方正楷体_GBK" w:eastAsia="方正楷体_GBK" w:cs="方正楷体_GBK"/>
                <w:b w:val="0"/>
                <w:bCs/>
                <w:sz w:val="21"/>
                <w:szCs w:val="21"/>
                <w:lang w:val="en-US" w:eastAsia="zh-CN"/>
              </w:rPr>
              <w:t>5</w:t>
            </w:r>
          </w:p>
        </w:tc>
        <w:tc>
          <w:tcPr>
            <w:tcW w:w="771" w:type="dxa"/>
            <w:vMerge w:val="restart"/>
            <w:tcBorders>
              <w:top w:val="single" w:color="auto" w:sz="4" w:space="0"/>
              <w:left w:val="single" w:color="auto" w:sz="4" w:space="0"/>
              <w:right w:val="single" w:color="auto" w:sz="4" w:space="0"/>
            </w:tcBorders>
            <w:shd w:val="clear" w:color="auto" w:fill="auto"/>
            <w:vAlign w:val="center"/>
          </w:tcPr>
          <w:p w14:paraId="4A637AB8">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保险方案</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F5B52A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保障范围</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5526B571">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16</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67C15B98">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根据参与单位提供的保险方案中的承保范围进行评价，保险条款明确载明以下保险责任，否则不得分</w:t>
            </w:r>
          </w:p>
          <w:p w14:paraId="56E73930">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1.被保险个人保障：</w:t>
            </w:r>
          </w:p>
          <w:p w14:paraId="54C6768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（1）因不当行为遭受赔偿请求所引起的损失，得2分；</w:t>
            </w:r>
          </w:p>
          <w:p w14:paraId="0610553D">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（2）协助及配合核查与稽查、调查所引起的费用，得2分；</w:t>
            </w:r>
          </w:p>
          <w:p w14:paraId="77F9FFA4">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2.被保险公司的保障：</w:t>
            </w:r>
          </w:p>
          <w:p w14:paraId="166DA9A4">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（1）有价证券赔偿请求而引起的损失，得2分；</w:t>
            </w:r>
          </w:p>
          <w:p w14:paraId="3E26B90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（2）协助监管机构的核查与稽查、调查所引起的费用，得2分；</w:t>
            </w:r>
          </w:p>
          <w:p w14:paraId="76B80DDB">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（3）因不当雇佣行为赔偿请求所引起的损失，得2分；</w:t>
            </w:r>
          </w:p>
          <w:p w14:paraId="5F7AF4D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（4）承担危机事件管理费用，得2分；</w:t>
            </w:r>
          </w:p>
          <w:p w14:paraId="73DE0FC3">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3.被保险人的保障：</w:t>
            </w:r>
          </w:p>
          <w:p w14:paraId="0C196C89">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（1）裁判或和解前危机管理费用得2分；</w:t>
            </w:r>
          </w:p>
          <w:p w14:paraId="1F61138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（2）裁判后名誉恢复费用得2分。</w:t>
            </w:r>
          </w:p>
        </w:tc>
        <w:tc>
          <w:tcPr>
            <w:tcW w:w="780" w:type="dxa"/>
            <w:tcBorders>
              <w:top w:val="single" w:color="auto" w:sz="4" w:space="0"/>
              <w:left w:val="single" w:color="auto" w:sz="4" w:space="0"/>
              <w:bottom w:val="single" w:color="auto" w:sz="4" w:space="0"/>
              <w:right w:val="single" w:color="auto" w:sz="4" w:space="0"/>
            </w:tcBorders>
            <w:vAlign w:val="center"/>
          </w:tcPr>
          <w:p w14:paraId="305D7744">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00DD45EA">
        <w:tblPrEx>
          <w:tblCellMar>
            <w:top w:w="0" w:type="dxa"/>
            <w:left w:w="108" w:type="dxa"/>
            <w:bottom w:w="0" w:type="dxa"/>
            <w:right w:w="108" w:type="dxa"/>
          </w:tblCellMar>
        </w:tblPrEx>
        <w:trPr>
          <w:trHeight w:val="321" w:hRule="atLeast"/>
        </w:trPr>
        <w:tc>
          <w:tcPr>
            <w:tcW w:w="570" w:type="dxa"/>
            <w:vMerge w:val="continue"/>
            <w:tcBorders>
              <w:left w:val="single" w:color="auto" w:sz="4" w:space="0"/>
              <w:right w:val="single" w:color="auto" w:sz="4" w:space="0"/>
            </w:tcBorders>
            <w:vAlign w:val="center"/>
          </w:tcPr>
          <w:p w14:paraId="5C45A15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right w:val="single" w:color="auto" w:sz="4" w:space="0"/>
            </w:tcBorders>
            <w:shd w:val="clear" w:color="auto" w:fill="auto"/>
            <w:vAlign w:val="center"/>
          </w:tcPr>
          <w:p w14:paraId="6CF0FB57">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6D9F6992">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针对新《中华人民共和国公司法》特别保障</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4D92FD6C">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253B844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保险条款或保险附加条款有相应保障，</w:t>
            </w:r>
            <w:r>
              <w:rPr>
                <w:rFonts w:hint="eastAsia" w:ascii="方正楷体_GBK" w:hAnsi="方正楷体_GBK" w:eastAsia="方正楷体_GBK" w:cs="方正楷体_GBK"/>
                <w:b w:val="0"/>
                <w:bCs/>
                <w:spacing w:val="-3"/>
                <w:sz w:val="21"/>
                <w:szCs w:val="21"/>
              </w:rPr>
              <w:t>得4</w:t>
            </w:r>
            <w:r>
              <w:rPr>
                <w:rFonts w:hint="eastAsia" w:ascii="方正楷体_GBK" w:hAnsi="方正楷体_GBK" w:eastAsia="方正楷体_GBK" w:cs="方正楷体_GBK"/>
                <w:b w:val="0"/>
                <w:bCs/>
                <w:spacing w:val="-4"/>
                <w:sz w:val="21"/>
                <w:szCs w:val="21"/>
              </w:rPr>
              <w:t>分</w:t>
            </w:r>
            <w:r>
              <w:rPr>
                <w:rFonts w:hint="eastAsia" w:ascii="方正楷体_GBK" w:hAnsi="方正楷体_GBK" w:eastAsia="方正楷体_GBK" w:cs="方正楷体_GBK"/>
                <w:b w:val="0"/>
                <w:bCs/>
                <w:spacing w:val="-4"/>
                <w:sz w:val="21"/>
                <w:szCs w:val="21"/>
                <w:lang w:eastAsia="zh-CN"/>
              </w:rPr>
              <w:t>。</w:t>
            </w:r>
          </w:p>
        </w:tc>
        <w:tc>
          <w:tcPr>
            <w:tcW w:w="780" w:type="dxa"/>
            <w:tcBorders>
              <w:top w:val="single" w:color="auto" w:sz="4" w:space="0"/>
              <w:left w:val="single" w:color="auto" w:sz="4" w:space="0"/>
              <w:bottom w:val="single" w:color="auto" w:sz="4" w:space="0"/>
              <w:right w:val="single" w:color="auto" w:sz="4" w:space="0"/>
            </w:tcBorders>
            <w:vAlign w:val="center"/>
          </w:tcPr>
          <w:p w14:paraId="059E0D8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4F25774D">
        <w:tblPrEx>
          <w:tblCellMar>
            <w:top w:w="0" w:type="dxa"/>
            <w:left w:w="108" w:type="dxa"/>
            <w:bottom w:w="0" w:type="dxa"/>
            <w:right w:w="108" w:type="dxa"/>
          </w:tblCellMar>
        </w:tblPrEx>
        <w:trPr>
          <w:trHeight w:val="174" w:hRule="atLeast"/>
        </w:trPr>
        <w:tc>
          <w:tcPr>
            <w:tcW w:w="570" w:type="dxa"/>
            <w:vMerge w:val="continue"/>
            <w:tcBorders>
              <w:left w:val="single" w:color="auto" w:sz="4" w:space="0"/>
              <w:bottom w:val="single" w:color="auto" w:sz="4" w:space="0"/>
              <w:right w:val="single" w:color="auto" w:sz="4" w:space="0"/>
            </w:tcBorders>
            <w:vAlign w:val="center"/>
          </w:tcPr>
          <w:p w14:paraId="4E046A63">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right w:val="single" w:color="auto" w:sz="4" w:space="0"/>
            </w:tcBorders>
            <w:shd w:val="clear" w:color="auto" w:fill="auto"/>
            <w:vAlign w:val="center"/>
          </w:tcPr>
          <w:p w14:paraId="21156681">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7ABD896">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免赔额</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0F3B65F5">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4C8147B1">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保单主保险条款和附加条款单一赔偿限额≤5万元，得1分</w:t>
            </w:r>
          </w:p>
        </w:tc>
        <w:tc>
          <w:tcPr>
            <w:tcW w:w="780" w:type="dxa"/>
            <w:tcBorders>
              <w:top w:val="single" w:color="auto" w:sz="4" w:space="0"/>
              <w:left w:val="single" w:color="auto" w:sz="4" w:space="0"/>
              <w:bottom w:val="single" w:color="auto" w:sz="4" w:space="0"/>
              <w:right w:val="single" w:color="auto" w:sz="4" w:space="0"/>
            </w:tcBorders>
            <w:vAlign w:val="center"/>
          </w:tcPr>
          <w:p w14:paraId="3441D3A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55258DAE">
        <w:tblPrEx>
          <w:tblCellMar>
            <w:top w:w="0" w:type="dxa"/>
            <w:left w:w="108" w:type="dxa"/>
            <w:bottom w:w="0" w:type="dxa"/>
            <w:right w:w="108" w:type="dxa"/>
          </w:tblCellMar>
        </w:tblPrEx>
        <w:trPr>
          <w:trHeight w:val="169" w:hRule="atLeast"/>
        </w:trPr>
        <w:tc>
          <w:tcPr>
            <w:tcW w:w="570" w:type="dxa"/>
            <w:vMerge w:val="continue"/>
            <w:tcBorders>
              <w:left w:val="single" w:color="auto" w:sz="4" w:space="0"/>
              <w:bottom w:val="single" w:color="auto" w:sz="4" w:space="0"/>
              <w:right w:val="single" w:color="auto" w:sz="4" w:space="0"/>
            </w:tcBorders>
            <w:vAlign w:val="center"/>
          </w:tcPr>
          <w:p w14:paraId="4405F224">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right w:val="single" w:color="auto" w:sz="4" w:space="0"/>
            </w:tcBorders>
            <w:shd w:val="clear" w:color="auto" w:fill="auto"/>
            <w:vAlign w:val="center"/>
          </w:tcPr>
          <w:p w14:paraId="470938CB">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BF9D254">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可分性</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3D2946D7">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0DECA06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保险条款明确载明：</w:t>
            </w:r>
          </w:p>
          <w:p w14:paraId="5D36C3A1">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1.被保险个人之间具备完整可分性：得1分</w:t>
            </w:r>
          </w:p>
          <w:p w14:paraId="48D3A6F6">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2.被保险公司之间具备完整可分性，得1分</w:t>
            </w:r>
          </w:p>
        </w:tc>
        <w:tc>
          <w:tcPr>
            <w:tcW w:w="780" w:type="dxa"/>
            <w:tcBorders>
              <w:top w:val="single" w:color="auto" w:sz="4" w:space="0"/>
              <w:left w:val="single" w:color="auto" w:sz="4" w:space="0"/>
              <w:bottom w:val="single" w:color="auto" w:sz="4" w:space="0"/>
              <w:right w:val="single" w:color="auto" w:sz="4" w:space="0"/>
            </w:tcBorders>
            <w:vAlign w:val="center"/>
          </w:tcPr>
          <w:p w14:paraId="32DB4018">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65F51CDC">
        <w:tblPrEx>
          <w:tblCellMar>
            <w:top w:w="0" w:type="dxa"/>
            <w:left w:w="108" w:type="dxa"/>
            <w:bottom w:w="0" w:type="dxa"/>
            <w:right w:w="108" w:type="dxa"/>
          </w:tblCellMar>
        </w:tblPrEx>
        <w:trPr>
          <w:trHeight w:val="970" w:hRule="atLeast"/>
        </w:trPr>
        <w:tc>
          <w:tcPr>
            <w:tcW w:w="570" w:type="dxa"/>
            <w:vMerge w:val="continue"/>
            <w:tcBorders>
              <w:left w:val="single" w:color="auto" w:sz="4" w:space="0"/>
              <w:bottom w:val="single" w:color="auto" w:sz="4" w:space="0"/>
              <w:right w:val="single" w:color="auto" w:sz="4" w:space="0"/>
            </w:tcBorders>
            <w:vAlign w:val="center"/>
          </w:tcPr>
          <w:p w14:paraId="14ADFFFE">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bottom w:val="single" w:color="auto" w:sz="4" w:space="0"/>
              <w:right w:val="single" w:color="auto" w:sz="4" w:space="0"/>
            </w:tcBorders>
            <w:shd w:val="clear" w:color="auto" w:fill="auto"/>
            <w:vAlign w:val="center"/>
          </w:tcPr>
          <w:p w14:paraId="1CDBE587">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FFBD25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保障对象</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4B658BFD">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734EA5B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保险条款明确载明以下保障，否则不得分：</w:t>
            </w:r>
          </w:p>
          <w:p w14:paraId="011B8788">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1.保障对象同时涵盖董事、高级管理人员个人（含有管理职责雇员），得1分；</w:t>
            </w:r>
          </w:p>
          <w:p w14:paraId="2F715B3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2.保障对象同时涵盖法定代表人、破产清算人、实控人、控股股东，得1分；</w:t>
            </w:r>
          </w:p>
          <w:p w14:paraId="2D34CDC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3.保障对象涵盖新子公司，且新子公司≤主被保险公司合并总资产100%且未上市可自动承保，无需增加保费，得1分。</w:t>
            </w:r>
          </w:p>
        </w:tc>
        <w:tc>
          <w:tcPr>
            <w:tcW w:w="780" w:type="dxa"/>
            <w:tcBorders>
              <w:top w:val="single" w:color="auto" w:sz="4" w:space="0"/>
              <w:left w:val="single" w:color="auto" w:sz="4" w:space="0"/>
              <w:bottom w:val="single" w:color="auto" w:sz="4" w:space="0"/>
              <w:right w:val="single" w:color="auto" w:sz="4" w:space="0"/>
            </w:tcBorders>
            <w:vAlign w:val="center"/>
          </w:tcPr>
          <w:p w14:paraId="1A42C23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642CD8CC">
        <w:tblPrEx>
          <w:tblCellMar>
            <w:top w:w="0" w:type="dxa"/>
            <w:left w:w="108" w:type="dxa"/>
            <w:bottom w:w="0" w:type="dxa"/>
            <w:right w:w="108" w:type="dxa"/>
          </w:tblCellMar>
        </w:tblPrEx>
        <w:trPr>
          <w:trHeight w:val="1218" w:hRule="atLeast"/>
        </w:trPr>
        <w:tc>
          <w:tcPr>
            <w:tcW w:w="570" w:type="dxa"/>
            <w:vMerge w:val="continue"/>
            <w:tcBorders>
              <w:left w:val="single" w:color="auto" w:sz="4" w:space="0"/>
              <w:bottom w:val="single" w:color="auto" w:sz="4" w:space="0"/>
              <w:right w:val="single" w:color="auto" w:sz="4" w:space="0"/>
            </w:tcBorders>
            <w:vAlign w:val="center"/>
          </w:tcPr>
          <w:p w14:paraId="394FFF0C">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bottom w:val="single" w:color="auto" w:sz="4" w:space="0"/>
              <w:right w:val="single" w:color="auto" w:sz="4" w:space="0"/>
            </w:tcBorders>
            <w:shd w:val="clear" w:color="auto" w:fill="auto"/>
            <w:vAlign w:val="center"/>
          </w:tcPr>
          <w:p w14:paraId="385C0C7F">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C6B0B50">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附加差异性保障服务</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75067F08">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03EB4EC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参与单位有明显优于其他参与单位的，附加权益和服务，例如企业管理咨询、合规培训等，每项附加服务可给予2分，合计最高不超过4分。</w:t>
            </w:r>
          </w:p>
        </w:tc>
        <w:tc>
          <w:tcPr>
            <w:tcW w:w="780" w:type="dxa"/>
            <w:tcBorders>
              <w:top w:val="single" w:color="auto" w:sz="4" w:space="0"/>
              <w:left w:val="single" w:color="auto" w:sz="4" w:space="0"/>
              <w:bottom w:val="single" w:color="auto" w:sz="4" w:space="0"/>
              <w:right w:val="single" w:color="auto" w:sz="4" w:space="0"/>
            </w:tcBorders>
            <w:vAlign w:val="center"/>
          </w:tcPr>
          <w:p w14:paraId="1B756560">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181843B9">
        <w:tblPrEx>
          <w:tblCellMar>
            <w:top w:w="0" w:type="dxa"/>
            <w:left w:w="108" w:type="dxa"/>
            <w:bottom w:w="0" w:type="dxa"/>
            <w:right w:w="108" w:type="dxa"/>
          </w:tblCellMar>
        </w:tblPrEx>
        <w:trPr>
          <w:trHeight w:val="471" w:hRule="atLeast"/>
        </w:trPr>
        <w:tc>
          <w:tcPr>
            <w:tcW w:w="570" w:type="dxa"/>
            <w:tcBorders>
              <w:top w:val="single" w:color="auto" w:sz="4" w:space="0"/>
              <w:left w:val="single" w:color="auto" w:sz="4" w:space="0"/>
              <w:bottom w:val="single" w:color="auto" w:sz="4" w:space="0"/>
              <w:right w:val="single" w:color="auto" w:sz="4" w:space="0"/>
            </w:tcBorders>
            <w:vAlign w:val="center"/>
          </w:tcPr>
          <w:p w14:paraId="1A2218E4">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sz w:val="21"/>
                <w:szCs w:val="21"/>
                <w:lang w:val="en-US" w:eastAsia="zh-CN"/>
              </w:rPr>
              <w:t>6</w:t>
            </w:r>
          </w:p>
        </w:tc>
        <w:tc>
          <w:tcPr>
            <w:tcW w:w="2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760663">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服务承诺</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5B95107E">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5</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17D5B7D9">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提供的增值服务评分，根据增值服务的三个维度评分：实用性、合理性、专业性，进行评分。</w:t>
            </w:r>
          </w:p>
          <w:p w14:paraId="74E6CA4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（1）优，且保险条款明确载明，得5分；</w:t>
            </w:r>
          </w:p>
          <w:p w14:paraId="246DE36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（2）良，得3分；</w:t>
            </w:r>
          </w:p>
          <w:p w14:paraId="4B51C2B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（3）一般，得1分；</w:t>
            </w:r>
          </w:p>
          <w:p w14:paraId="12D42D7B">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（4）其他不得分。</w:t>
            </w:r>
          </w:p>
        </w:tc>
        <w:tc>
          <w:tcPr>
            <w:tcW w:w="780" w:type="dxa"/>
            <w:tcBorders>
              <w:top w:val="single" w:color="auto" w:sz="4" w:space="0"/>
              <w:left w:val="single" w:color="auto" w:sz="4" w:space="0"/>
              <w:bottom w:val="single" w:color="auto" w:sz="4" w:space="0"/>
              <w:right w:val="single" w:color="auto" w:sz="4" w:space="0"/>
            </w:tcBorders>
            <w:vAlign w:val="center"/>
          </w:tcPr>
          <w:p w14:paraId="33634DFE">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r>
      <w:tr w14:paraId="3485E55E">
        <w:tblPrEx>
          <w:tblCellMar>
            <w:top w:w="0" w:type="dxa"/>
            <w:left w:w="108" w:type="dxa"/>
            <w:bottom w:w="0" w:type="dxa"/>
            <w:right w:w="108" w:type="dxa"/>
          </w:tblCellMar>
        </w:tblPrEx>
        <w:trPr>
          <w:trHeight w:val="378" w:hRule="atLeast"/>
        </w:trPr>
        <w:tc>
          <w:tcPr>
            <w:tcW w:w="570" w:type="dxa"/>
            <w:tcBorders>
              <w:top w:val="single" w:color="auto" w:sz="4" w:space="0"/>
              <w:left w:val="single" w:color="auto" w:sz="4" w:space="0"/>
              <w:bottom w:val="single" w:color="auto" w:sz="4" w:space="0"/>
              <w:right w:val="single" w:color="auto" w:sz="4" w:space="0"/>
            </w:tcBorders>
            <w:vAlign w:val="center"/>
          </w:tcPr>
          <w:p w14:paraId="6D64595B">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r>
              <w:rPr>
                <w:rFonts w:hint="eastAsia" w:ascii="方正楷体_GBK" w:hAnsi="方正楷体_GBK" w:eastAsia="方正楷体_GBK" w:cs="方正楷体_GBK"/>
                <w:b w:val="0"/>
                <w:bCs/>
                <w:sz w:val="21"/>
                <w:szCs w:val="21"/>
                <w:lang w:val="en-US" w:eastAsia="zh-CN"/>
              </w:rPr>
              <w:t>7</w:t>
            </w:r>
          </w:p>
        </w:tc>
        <w:tc>
          <w:tcPr>
            <w:tcW w:w="2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EF155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（总部）理赔经验</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6CC4E621">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79F6B17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提供的董责险理赔服务项目≥5个，得10分；</w:t>
            </w:r>
          </w:p>
          <w:p w14:paraId="190F6019">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提供的董责险理赔服务项目≥3个，得5分</w:t>
            </w:r>
          </w:p>
          <w:p w14:paraId="5561DA9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提供的董责险理赔服务项目&lt;3个，不得分</w:t>
            </w:r>
          </w:p>
          <w:p w14:paraId="1DE5235B">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注：须提供理赔通知书或理赔通知邮件等有效证明材料关键页（包括但不限于保单号码、可赔情况或理赔情况等，涉及敏感信息可脱敏处理）</w:t>
            </w:r>
          </w:p>
        </w:tc>
        <w:tc>
          <w:tcPr>
            <w:tcW w:w="780" w:type="dxa"/>
            <w:tcBorders>
              <w:top w:val="single" w:color="auto" w:sz="4" w:space="0"/>
              <w:left w:val="single" w:color="auto" w:sz="4" w:space="0"/>
              <w:bottom w:val="single" w:color="auto" w:sz="4" w:space="0"/>
              <w:right w:val="single" w:color="auto" w:sz="4" w:space="0"/>
            </w:tcBorders>
            <w:vAlign w:val="center"/>
          </w:tcPr>
          <w:p w14:paraId="70F5B5EE">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r>
      <w:tr w14:paraId="0F8C0602">
        <w:tblPrEx>
          <w:tblCellMar>
            <w:top w:w="0" w:type="dxa"/>
            <w:left w:w="108" w:type="dxa"/>
            <w:bottom w:w="0" w:type="dxa"/>
            <w:right w:w="108" w:type="dxa"/>
          </w:tblCellMar>
        </w:tblPrEx>
        <w:trPr>
          <w:trHeight w:val="674" w:hRule="atLeast"/>
        </w:trPr>
        <w:tc>
          <w:tcPr>
            <w:tcW w:w="570" w:type="dxa"/>
            <w:tcBorders>
              <w:top w:val="single" w:color="auto" w:sz="4" w:space="0"/>
              <w:left w:val="single" w:color="auto" w:sz="4" w:space="0"/>
              <w:bottom w:val="single" w:color="auto" w:sz="4" w:space="0"/>
              <w:right w:val="single" w:color="auto" w:sz="4" w:space="0"/>
            </w:tcBorders>
            <w:vAlign w:val="center"/>
          </w:tcPr>
          <w:p w14:paraId="7A445028">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6C248A3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合计</w:t>
            </w:r>
          </w:p>
        </w:tc>
        <w:tc>
          <w:tcPr>
            <w:tcW w:w="543" w:type="dxa"/>
            <w:tcBorders>
              <w:top w:val="single" w:color="auto" w:sz="4" w:space="0"/>
              <w:left w:val="single" w:color="auto" w:sz="4" w:space="0"/>
              <w:bottom w:val="single" w:color="auto" w:sz="4" w:space="0"/>
              <w:right w:val="single" w:color="auto" w:sz="4" w:space="0"/>
            </w:tcBorders>
            <w:vAlign w:val="center"/>
          </w:tcPr>
          <w:p w14:paraId="331AB673">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100</w:t>
            </w:r>
          </w:p>
        </w:tc>
        <w:tc>
          <w:tcPr>
            <w:tcW w:w="5447" w:type="dxa"/>
            <w:tcBorders>
              <w:top w:val="single" w:color="auto" w:sz="4" w:space="0"/>
              <w:left w:val="single" w:color="auto" w:sz="4" w:space="0"/>
              <w:bottom w:val="single" w:color="auto" w:sz="4" w:space="0"/>
              <w:right w:val="single" w:color="auto" w:sz="4" w:space="0"/>
            </w:tcBorders>
            <w:vAlign w:val="center"/>
          </w:tcPr>
          <w:p w14:paraId="2795D95F">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c>
          <w:tcPr>
            <w:tcW w:w="780" w:type="dxa"/>
            <w:tcBorders>
              <w:top w:val="nil"/>
              <w:left w:val="nil"/>
              <w:bottom w:val="single" w:color="auto" w:sz="4" w:space="0"/>
              <w:right w:val="single" w:color="auto" w:sz="4" w:space="0"/>
            </w:tcBorders>
            <w:vAlign w:val="center"/>
          </w:tcPr>
          <w:p w14:paraId="08A6C2B0">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bl>
    <w:p w14:paraId="4DBA4DA7">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both"/>
        <w:rPr>
          <w:rFonts w:ascii="黑体" w:hAnsi="黑体" w:eastAsia="黑体" w:cs="黑体"/>
          <w:kern w:val="2"/>
          <w:sz w:val="21"/>
          <w:szCs w:val="21"/>
        </w:rPr>
      </w:pPr>
    </w:p>
    <w:p w14:paraId="64E8738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firstLineChars="20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14:paraId="777944D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w:t>
      </w:r>
      <w:r>
        <w:rPr>
          <w:rFonts w:hint="eastAsia" w:ascii="黑体" w:hAnsi="黑体" w:eastAsia="黑体" w:cs="黑体"/>
          <w:kern w:val="2"/>
          <w:sz w:val="21"/>
          <w:szCs w:val="21"/>
          <w:lang w:eastAsia="zh-CN"/>
        </w:rPr>
        <w:t>中标</w:t>
      </w:r>
      <w:r>
        <w:rPr>
          <w:rFonts w:ascii="黑体" w:hAnsi="黑体" w:eastAsia="黑体" w:cs="黑体"/>
          <w:kern w:val="2"/>
          <w:sz w:val="21"/>
          <w:szCs w:val="21"/>
        </w:rPr>
        <w:t>候选供应商票数相同的情况，以未推荐上述单位的评审专家对并列第一的候选供应商既定打分排序作为最终选定依据。</w:t>
      </w:r>
    </w:p>
    <w:p w14:paraId="36D360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modern"/>
    <w:pitch w:val="default"/>
    <w:sig w:usb0="00000001" w:usb1="080E0000" w:usb2="00000000" w:usb3="00000000" w:csb0="00040000" w:csb1="00000000"/>
  </w:font>
  <w:font w:name="PingFang SC Regular">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楷体_GBK">
    <w:altName w:val="楷体_GB2312"/>
    <w:panose1 w:val="02000000000000000000"/>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zVhMDlhOTk3ZTc4ZWFhYjJiOGFiYTU2ZTVjMzEifQ=="/>
  </w:docVars>
  <w:rsids>
    <w:rsidRoot w:val="5AB00F04"/>
    <w:rsid w:val="09440A55"/>
    <w:rsid w:val="109D44D0"/>
    <w:rsid w:val="2AEA5506"/>
    <w:rsid w:val="2DD02B28"/>
    <w:rsid w:val="2DF3032B"/>
    <w:rsid w:val="362D7FF8"/>
    <w:rsid w:val="3E76F33A"/>
    <w:rsid w:val="3F9F46CC"/>
    <w:rsid w:val="3FD7572F"/>
    <w:rsid w:val="42AE556F"/>
    <w:rsid w:val="496E5696"/>
    <w:rsid w:val="4BD75B0A"/>
    <w:rsid w:val="544333A3"/>
    <w:rsid w:val="5AB00F04"/>
    <w:rsid w:val="5FFD0D45"/>
    <w:rsid w:val="64EB45D2"/>
    <w:rsid w:val="66051C6E"/>
    <w:rsid w:val="6861575B"/>
    <w:rsid w:val="6BDB75D3"/>
    <w:rsid w:val="6E510020"/>
    <w:rsid w:val="78BEA607"/>
    <w:rsid w:val="7C847596"/>
    <w:rsid w:val="7DCE833A"/>
    <w:rsid w:val="7FE74FAD"/>
    <w:rsid w:val="7FF79E47"/>
    <w:rsid w:val="7FFF1A36"/>
    <w:rsid w:val="8F7ED425"/>
    <w:rsid w:val="9DF51CFF"/>
    <w:rsid w:val="BBFF92AD"/>
    <w:rsid w:val="BDCB6565"/>
    <w:rsid w:val="BFAF6F56"/>
    <w:rsid w:val="BFF51FB7"/>
    <w:rsid w:val="BFFF84D2"/>
    <w:rsid w:val="FFE7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835</Words>
  <Characters>878</Characters>
  <Lines>0</Lines>
  <Paragraphs>0</Paragraphs>
  <TotalTime>0</TotalTime>
  <ScaleCrop>false</ScaleCrop>
  <LinksUpToDate>false</LinksUpToDate>
  <CharactersWithSpaces>941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2021-04-07T17:41:00Z</dcterms:created>
  <dc:creator>苏述超</dc:creator>
  <cp:lastModifiedBy>實誠</cp:lastModifiedBy>
  <dcterms:modified xsi:type="dcterms:W3CDTF">2026-07-16T15:16:30Z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800C77DB2FB6444F81A178C03576ACFD</vt:lpwstr>
  </property>
  <property fmtid="{D5CDD505-2E9C-101B-9397-08002B2CF9AE}" pid="4" name="KSOTemplateDocerSaveRecord">
    <vt:lpwstr>eyJoZGlkIjoiZDVjOTM1OWRjMjJjZjIyOWE5NDg2NjkxMjM2N2UwOTciLCJ1c2VySWQiOiIyNjQ5OTkyIn0=</vt:lpwstr>
  </property>
</Properties>
</file>