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03170">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w:t>
      </w:r>
      <w:bookmarkStart w:id="0" w:name="OLE_LINK4"/>
      <w:r>
        <w:rPr>
          <w:rFonts w:hint="eastAsia" w:ascii="方正小标宋简体" w:hAnsi="方正小标宋简体" w:eastAsia="方正小标宋简体" w:cs="方正小标宋简体"/>
          <w:b w:val="0"/>
          <w:bCs w:val="0"/>
          <w:color w:val="auto"/>
          <w:sz w:val="44"/>
          <w:szCs w:val="44"/>
          <w:lang w:val="en-US" w:eastAsia="zh-CN"/>
        </w:rPr>
        <w:t>湾东智算公司知识产权代理服务</w:t>
      </w:r>
      <w:bookmarkEnd w:id="0"/>
    </w:p>
    <w:p w14:paraId="66811767">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的采购公告</w:t>
      </w:r>
    </w:p>
    <w:p w14:paraId="0BB4DEAB">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color w:val="auto"/>
          <w:sz w:val="32"/>
          <w:szCs w:val="32"/>
          <w:lang w:eastAsia="zh-CN"/>
        </w:rPr>
      </w:pPr>
    </w:p>
    <w:p w14:paraId="2C0737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snapToGrid w:val="0"/>
          <w:color w:val="auto"/>
          <w:kern w:val="0"/>
          <w:sz w:val="32"/>
          <w:szCs w:val="32"/>
          <w:lang w:val="en-US" w:eastAsia="zh-CN" w:bidi="ar-SA"/>
        </w:rPr>
      </w:pPr>
      <w:r>
        <w:rPr>
          <w:rFonts w:hint="eastAsia" w:ascii="黑体" w:hAnsi="黑体" w:eastAsia="黑体" w:cs="黑体"/>
          <w:color w:val="auto"/>
          <w:sz w:val="32"/>
          <w:szCs w:val="32"/>
          <w:lang w:val="en-US" w:eastAsia="zh-CN"/>
        </w:rPr>
        <w:t>一、项目概况</w:t>
      </w:r>
    </w:p>
    <w:p w14:paraId="7B225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Times New Roman" w:hAnsi="Times New Roman" w:eastAsia="仿宋_GB2312" w:cs="Times New Roman"/>
          <w:snapToGrid w:val="0"/>
          <w:color w:val="auto"/>
          <w:kern w:val="0"/>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bidi="ar-SA"/>
        </w:rPr>
        <w:t>为顺利推进公司国家高新技术企业认定申报及资质维护工作，满足《高新技术企业认定管理办法》及</w:t>
      </w:r>
      <w:r>
        <w:rPr>
          <w:rFonts w:hint="eastAsia" w:ascii="Times New Roman" w:hAnsi="Times New Roman" w:eastAsia="仿宋_GB2312" w:cs="Times New Roman"/>
          <w:snapToGrid w:val="0"/>
          <w:color w:val="auto"/>
          <w:kern w:val="0"/>
          <w:sz w:val="32"/>
          <w:szCs w:val="32"/>
          <w:lang w:val="en-US" w:eastAsia="zh-CN"/>
        </w:rPr>
        <w:t>深圳市最新申报指引要求</w:t>
      </w:r>
      <w:r>
        <w:rPr>
          <w:rFonts w:hint="eastAsia" w:ascii="Times New Roman" w:hAnsi="Times New Roman" w:eastAsia="仿宋_GB2312" w:cs="Times New Roman"/>
          <w:snapToGrid w:val="0"/>
          <w:color w:val="auto"/>
          <w:kern w:val="0"/>
          <w:sz w:val="32"/>
          <w:szCs w:val="32"/>
          <w:lang w:val="en-US" w:eastAsia="zh-CN" w:bidi="ar-SA"/>
        </w:rPr>
        <w:t>中对知识产权数量、类型与技术相关性的硬性要求，现拟聘请专业合规的知识产权代理服务机构，协助公司完成知识产权规划、申请与维护，并系统梳理与知识产权相关的科研项目立项、科技成果转化及研发组织管理等方面的证明材料。</w:t>
      </w:r>
    </w:p>
    <w:p w14:paraId="0EC4D85C">
      <w:pPr>
        <w:pStyle w:val="8"/>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国标黑体-GB/T 2312" w:hAnsi="国标黑体-GB/T 2312" w:eastAsia="国标黑体-GB/T 2312" w:cs="国标黑体-GB/T 2312"/>
          <w:b w:val="0"/>
          <w:bCs w:val="0"/>
          <w:color w:val="auto"/>
          <w:sz w:val="32"/>
          <w:szCs w:val="32"/>
          <w:lang w:val="en-US" w:eastAsia="zh-CN"/>
        </w:rPr>
      </w:pPr>
      <w:r>
        <w:rPr>
          <w:rFonts w:hint="eastAsia" w:ascii="国标黑体-GB/T 2312" w:hAnsi="国标黑体-GB/T 2312" w:eastAsia="国标黑体-GB/T 2312" w:cs="国标黑体-GB/T 2312"/>
          <w:b w:val="0"/>
          <w:bCs w:val="0"/>
          <w:color w:val="auto"/>
          <w:sz w:val="32"/>
          <w:szCs w:val="32"/>
          <w:lang w:val="en-US" w:eastAsia="zh-CN"/>
        </w:rPr>
        <w:t>二、主要工作内容</w:t>
      </w:r>
    </w:p>
    <w:p w14:paraId="3FF04EFA">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bidi="ar-SA"/>
        </w:rPr>
        <w:t>本次知识产权服务涵盖协助公司完成知识产权规划、申请与维护，并系统梳理与知识产权相关的科研项目立项、科技成果转化及研发组织管理等方面的证明材料。</w:t>
      </w:r>
      <w:r>
        <w:rPr>
          <w:rFonts w:hint="eastAsia" w:ascii="仿宋_GB2312" w:hAnsi="仿宋_GB2312" w:eastAsia="仿宋_GB2312" w:cs="仿宋_GB2312"/>
          <w:color w:val="auto"/>
          <w:sz w:val="32"/>
          <w:szCs w:val="32"/>
          <w:highlight w:val="none"/>
          <w:lang w:val="en-US" w:eastAsia="zh-CN"/>
        </w:rPr>
        <w:t>（详见附件5）。</w:t>
      </w:r>
    </w:p>
    <w:p w14:paraId="6476C8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三、成果要求</w:t>
      </w:r>
    </w:p>
    <w:p w14:paraId="0BD0D25B">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rPr>
      </w:pPr>
      <w:r>
        <w:rPr>
          <w:rFonts w:hint="eastAsia" w:ascii="国标楷体-GB/T 2312" w:hAnsi="国标楷体-GB/T 2312" w:eastAsia="国标楷体-GB/T 2312" w:cs="国标楷体-GB/T 2312"/>
          <w:color w:val="auto"/>
          <w:kern w:val="0"/>
          <w:sz w:val="32"/>
          <w:szCs w:val="32"/>
        </w:rPr>
        <w:t>（一）文件交付</w:t>
      </w:r>
    </w:p>
    <w:p w14:paraId="63C70BD5">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rPr>
        <w:t>按双方约定数量，</w:t>
      </w:r>
      <w:r>
        <w:rPr>
          <w:rFonts w:hint="eastAsia" w:ascii="仿宋_GB2312" w:hAnsi="仿宋_GB2312" w:eastAsia="仿宋_GB2312" w:cs="仿宋_GB2312"/>
          <w:color w:val="auto"/>
          <w:kern w:val="0"/>
          <w:sz w:val="32"/>
          <w:szCs w:val="32"/>
          <w:highlight w:val="none"/>
        </w:rPr>
        <w:t>分别交付全套专利申请文件（可编辑Word版及PDF版）和软著登记申请文件（可编辑Word版、PDF版及源代码电子版，源代码需符合登记格式要求）。</w:t>
      </w:r>
    </w:p>
    <w:p w14:paraId="3C9BA355">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highlight w:val="none"/>
        </w:rPr>
      </w:pPr>
      <w:r>
        <w:rPr>
          <w:rFonts w:hint="eastAsia" w:ascii="国标楷体-GB/T 2312" w:hAnsi="国标楷体-GB/T 2312" w:eastAsia="国标楷体-GB/T 2312" w:cs="国标楷体-GB/T 2312"/>
          <w:color w:val="auto"/>
          <w:kern w:val="0"/>
          <w:sz w:val="32"/>
          <w:szCs w:val="32"/>
          <w:highlight w:val="none"/>
        </w:rPr>
        <w:t>（二）官方证明文件提供</w:t>
      </w:r>
    </w:p>
    <w:p w14:paraId="51569077">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提供所有知识产权（包括专利、著作权）申请的官方受理通知书、授权证书（专利）、登记证书（软著）等证明文件的电子版；若申请过程中涉及官方出具的补正通知书、审查意见通知书等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也一并提供。</w:t>
      </w:r>
    </w:p>
    <w:p w14:paraId="2A2E4B1A">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rPr>
      </w:pPr>
      <w:r>
        <w:rPr>
          <w:rFonts w:hint="eastAsia" w:ascii="国标楷体-GB/T 2312" w:hAnsi="国标楷体-GB/T 2312" w:eastAsia="国标楷体-GB/T 2312" w:cs="国标楷体-GB/T 2312"/>
          <w:color w:val="auto"/>
          <w:kern w:val="0"/>
          <w:sz w:val="32"/>
          <w:szCs w:val="32"/>
        </w:rPr>
        <w:t>（三）进度报告提交</w:t>
      </w:r>
    </w:p>
    <w:p w14:paraId="5B39C702">
      <w:pPr>
        <w:pStyle w:val="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定期（具体周期由双方协商确定）提供专利申请进度报告与软著登记进度报告，详细说明各知识产权申请所处的流程阶段、已完成工作、下一步计划及可能存在的风险与应对建议。</w:t>
      </w:r>
    </w:p>
    <w:p w14:paraId="1D3A6101">
      <w:pPr>
        <w:pStyle w:val="5"/>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lang w:val="en-US" w:eastAsia="zh-CN"/>
        </w:rPr>
      </w:pPr>
      <w:r>
        <w:rPr>
          <w:rFonts w:hint="eastAsia" w:ascii="国标楷体-GB/T 2312" w:hAnsi="国标楷体-GB/T 2312" w:eastAsia="国标楷体-GB/T 2312" w:cs="国标楷体-GB/T 2312"/>
          <w:color w:val="auto"/>
          <w:kern w:val="0"/>
          <w:sz w:val="32"/>
          <w:szCs w:val="32"/>
          <w:lang w:eastAsia="zh-CN"/>
        </w:rPr>
        <w:t>（四）发明专利申请数量</w:t>
      </w:r>
    </w:p>
    <w:p w14:paraId="73CFB609">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合同履行期间，发明专利申请提交总数上限为20件。需在2026年12月31日前至少提交10件发明专利申请，剩余发明专利申请须于合同签订之日起一年内全部提交，所有申请的发明专利需保障后续顺利取得授权证书，具体申报节奏遵照委托方需求执行。本合同服务期自合同签订之日起，至前述申请的发明专利全部授权下证，或委托方书面通知终止服务之日止。</w:t>
      </w:r>
    </w:p>
    <w:p w14:paraId="6A39E83E">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lang w:eastAsia="zh-CN"/>
        </w:rPr>
      </w:pPr>
      <w:r>
        <w:rPr>
          <w:rFonts w:hint="eastAsia" w:ascii="国标楷体-GB/T 2312" w:hAnsi="国标楷体-GB/T 2312" w:eastAsia="国标楷体-GB/T 2312" w:cs="国标楷体-GB/T 2312"/>
          <w:color w:val="auto"/>
          <w:kern w:val="0"/>
          <w:sz w:val="32"/>
          <w:szCs w:val="32"/>
          <w:lang w:eastAsia="zh-CN"/>
        </w:rPr>
        <w:t>（五）</w:t>
      </w:r>
      <w:r>
        <w:rPr>
          <w:rFonts w:hint="eastAsia" w:ascii="国标楷体-GB/T 2312" w:hAnsi="国标楷体-GB/T 2312" w:eastAsia="国标楷体-GB/T 2312" w:cs="国标楷体-GB/T 2312"/>
          <w:color w:val="auto"/>
          <w:kern w:val="0"/>
          <w:sz w:val="32"/>
          <w:szCs w:val="32"/>
        </w:rPr>
        <w:t>软件著作权</w:t>
      </w:r>
      <w:r>
        <w:rPr>
          <w:rFonts w:hint="eastAsia" w:ascii="国标楷体-GB/T 2312" w:hAnsi="国标楷体-GB/T 2312" w:eastAsia="国标楷体-GB/T 2312" w:cs="国标楷体-GB/T 2312"/>
          <w:color w:val="auto"/>
          <w:kern w:val="0"/>
          <w:sz w:val="32"/>
          <w:szCs w:val="32"/>
          <w:lang w:eastAsia="zh-CN"/>
        </w:rPr>
        <w:t>登记数量</w:t>
      </w:r>
    </w:p>
    <w:p w14:paraId="25034BB9">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合同履行期间，办理软件著作权登记总数上限为20件。需在2026年12月31日前至少提交</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件软件著作权申请（加急案件），剩余软件著作权（非加急案件）申请须于合同签订之日起一年内全部提交，所有申请登记的软件著作权需保障后续顺利取得授权证书，具体申请节奏遵照委托方需求执行。本合同服务期自合同签订之日起，至前述申请登记的软件著作权全部授权下证，或委托方书面通知终止服务之日止。</w:t>
      </w:r>
    </w:p>
    <w:p w14:paraId="77A75023">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p>
    <w:p w14:paraId="435BEDF5">
      <w:pPr>
        <w:pStyle w:val="5"/>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lang w:eastAsia="zh-CN"/>
        </w:rPr>
      </w:pPr>
      <w:r>
        <w:rPr>
          <w:rFonts w:hint="eastAsia" w:ascii="国标楷体-GB/T 2312" w:hAnsi="国标楷体-GB/T 2312" w:eastAsia="国标楷体-GB/T 2312" w:cs="国标楷体-GB/T 2312"/>
          <w:color w:val="auto"/>
          <w:kern w:val="0"/>
          <w:sz w:val="32"/>
          <w:szCs w:val="32"/>
          <w:lang w:eastAsia="zh-CN"/>
        </w:rPr>
        <w:t>（六）知识产权维护与全周期管理服务</w:t>
      </w:r>
    </w:p>
    <w:p w14:paraId="105E9214">
      <w:pPr>
        <w:pStyle w:val="5"/>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协助公司维护知识产权权益，在知识产权有效期内，若公司需办理知识产权变更、转让、续展等手续，提供咨询与代理服务（相关费用另行协商）；定期提醒公司关注知识产权的保护期限，为后续权益延续提供建议。</w:t>
      </w:r>
    </w:p>
    <w:p w14:paraId="4D2B6A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四、公开招标（自主）上限价</w:t>
      </w:r>
    </w:p>
    <w:p w14:paraId="33CD4C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本次采购控制价（最高限价）为40.2万元。</w:t>
      </w:r>
    </w:p>
    <w:p w14:paraId="75331D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五、报价要求</w:t>
      </w:r>
    </w:p>
    <w:p w14:paraId="030CB8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国标仿宋-GB/T 2312" w:hAnsi="国标仿宋-GB/T 2312" w:eastAsia="国标仿宋-GB/T 2312" w:cs="国标仿宋-GB/T 2312"/>
          <w:color w:val="auto"/>
          <w:sz w:val="32"/>
          <w:szCs w:val="32"/>
          <w:highlight w:val="none"/>
          <w:lang w:val="en-US" w:eastAsia="zh-CN"/>
        </w:rPr>
      </w:pPr>
      <w:r>
        <w:rPr>
          <w:rFonts w:hint="eastAsia" w:ascii="国标仿宋-GB/T 2312" w:hAnsi="国标仿宋-GB/T 2312" w:eastAsia="国标仿宋-GB/T 2312" w:cs="国标仿宋-GB/T 2312"/>
          <w:color w:val="auto"/>
          <w:sz w:val="32"/>
          <w:szCs w:val="32"/>
          <w:highlight w:val="none"/>
          <w:lang w:val="en-US" w:eastAsia="zh-CN"/>
        </w:rPr>
        <w:t>响应单位在此限额下自行报价；成交供应商的响应报价即为最终合同价，根据合同节点阶段支付。</w:t>
      </w:r>
    </w:p>
    <w:p w14:paraId="4EF8CEDD">
      <w:pPr>
        <w:pStyle w:val="8"/>
        <w:keepNext w:val="0"/>
        <w:keepLines w:val="0"/>
        <w:pageBreakBefore w:val="0"/>
        <w:widowControl w:val="0"/>
        <w:kinsoku/>
        <w:wordWrap/>
        <w:overflowPunct/>
        <w:topLinePunct w:val="0"/>
        <w:autoSpaceDE/>
        <w:autoSpaceDN/>
        <w:bidi w:val="0"/>
        <w:spacing w:line="560" w:lineRule="exact"/>
        <w:ind w:left="0" w:leftChars="0" w:firstLine="640"/>
        <w:textAlignment w:val="auto"/>
        <w:rPr>
          <w:rFonts w:hint="eastAsia" w:ascii="国标黑体-GB/T 2312" w:hAnsi="国标黑体-GB/T 2312" w:eastAsia="国标黑体-GB/T 2312" w:cs="国标黑体-GB/T 2312"/>
          <w:b w:val="0"/>
          <w:bCs w:val="0"/>
          <w:color w:val="auto"/>
          <w:lang w:eastAsia="zh-CN"/>
        </w:rPr>
      </w:pPr>
      <w:r>
        <w:rPr>
          <w:rFonts w:hint="eastAsia" w:ascii="国标黑体-GB/T 2312" w:hAnsi="国标黑体-GB/T 2312" w:eastAsia="国标黑体-GB/T 2312" w:cs="国标黑体-GB/T 2312"/>
          <w:b w:val="0"/>
          <w:bCs w:val="0"/>
          <w:color w:val="auto"/>
          <w:lang w:eastAsia="zh-CN"/>
        </w:rPr>
        <w:t>六、</w:t>
      </w:r>
      <w:r>
        <w:rPr>
          <w:rFonts w:hint="eastAsia" w:ascii="国标黑体-GB/T 2312" w:hAnsi="国标黑体-GB/T 2312" w:eastAsia="国标黑体-GB/T 2312" w:cs="国标黑体-GB/T 2312"/>
          <w:b w:val="0"/>
          <w:bCs w:val="0"/>
          <w:color w:val="auto"/>
          <w:sz w:val="32"/>
          <w:szCs w:val="32"/>
          <w:lang w:eastAsia="zh-CN"/>
        </w:rPr>
        <w:t>响应单位资格要求</w:t>
      </w:r>
    </w:p>
    <w:p w14:paraId="3DEA9062">
      <w:pPr>
        <w:keepNext w:val="0"/>
        <w:keepLines w:val="0"/>
        <w:pageBreakBefore w:val="0"/>
        <w:widowControl/>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企业具备有效的《专利代理机构执业许可证》（由国家知识产权局颁发），并经营范围内包含知识产权代理或相关服务。</w:t>
      </w:r>
    </w:p>
    <w:p w14:paraId="23A54C17">
      <w:pPr>
        <w:keepNext w:val="0"/>
        <w:keepLines w:val="0"/>
        <w:pageBreakBefore w:val="0"/>
        <w:widowControl/>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（二）本项目不接受联合体投标，投标方不得将项目转包或分包</w:t>
      </w:r>
      <w:r>
        <w:rPr>
          <w:rFonts w:hint="eastAsia" w:ascii="仿宋_GB2312" w:hAnsi="仿宋_GB2312" w:eastAsia="仿宋_GB2312" w:cs="仿宋_GB2312"/>
          <w:color w:val="auto"/>
          <w:kern w:val="2"/>
          <w:sz w:val="32"/>
          <w:szCs w:val="32"/>
          <w:highlight w:val="none"/>
          <w:lang w:val="en-US" w:eastAsia="zh-CN" w:bidi="ar-SA"/>
        </w:rPr>
        <w:t>给其他单位或个人。</w:t>
      </w:r>
    </w:p>
    <w:p w14:paraId="0D700849">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七、其他要求</w:t>
      </w:r>
    </w:p>
    <w:p w14:paraId="4B385A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指派的专利代理师须具有合法的执业资格(持有《专利代理师资格证》及《专利代理师执业证》)。</w:t>
      </w:r>
    </w:p>
    <w:p w14:paraId="13430B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仿宋_GB2312" w:hAnsi="仿宋_GB2312" w:eastAsia="仿宋_GB2312" w:cs="仿宋_GB2312"/>
          <w:color w:val="auto"/>
          <w:kern w:val="0"/>
          <w:sz w:val="32"/>
          <w:szCs w:val="32"/>
        </w:rPr>
        <w:t>具备专业的技术团队和咨询团队，团队成员应拥有丰富的知识产权工作经验。</w:t>
      </w:r>
    </w:p>
    <w:p w14:paraId="16509DD2">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八、</w:t>
      </w:r>
      <w:r>
        <w:rPr>
          <w:rFonts w:hint="eastAsia" w:ascii="黑体" w:hAnsi="黑体" w:eastAsia="黑体" w:cs="黑体"/>
          <w:b w:val="0"/>
          <w:bCs/>
          <w:color w:val="auto"/>
          <w:sz w:val="32"/>
          <w:szCs w:val="32"/>
        </w:rPr>
        <w:t>评审方法</w:t>
      </w:r>
    </w:p>
    <w:p w14:paraId="190C5EFF">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采用综合评分法评审，经评审小组在有效响应单位中比选，评审人员在分别对响应供应商进行打分后推荐得</w:t>
      </w:r>
      <w:r>
        <w:rPr>
          <w:rFonts w:hint="eastAsia" w:ascii="仿宋_GB2312" w:hAnsi="仿宋_GB2312" w:eastAsia="仿宋_GB2312" w:cs="仿宋_GB2312"/>
          <w:color w:val="auto"/>
          <w:sz w:val="32"/>
          <w:szCs w:val="32"/>
          <w:lang w:val="en-US" w:eastAsia="zh-CN"/>
        </w:rPr>
        <w:t>票</w:t>
      </w:r>
      <w:r>
        <w:rPr>
          <w:rFonts w:hint="eastAsia" w:ascii="仿宋_GB2312" w:hAnsi="仿宋_GB2312" w:eastAsia="仿宋_GB2312" w:cs="仿宋_GB2312"/>
          <w:color w:val="auto"/>
          <w:sz w:val="32"/>
          <w:szCs w:val="32"/>
        </w:rPr>
        <w:t>最高的为成交候选供应商。</w:t>
      </w:r>
    </w:p>
    <w:p w14:paraId="294E6928">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九、合同支付方式</w:t>
      </w:r>
    </w:p>
    <w:p w14:paraId="36AF5382">
      <w:pPr>
        <w:pStyle w:val="15"/>
        <w:numPr>
          <w:ilvl w:val="255"/>
          <w:numId w:val="0"/>
        </w:numPr>
        <w:spacing w:line="560" w:lineRule="exact"/>
        <w:ind w:firstLine="640" w:firstLineChars="200"/>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sz w:val="32"/>
          <w:szCs w:val="32"/>
          <w:lang w:val="en-US" w:eastAsia="zh-CN"/>
        </w:rPr>
        <w:t>1.本合同签订后，</w:t>
      </w:r>
      <w:r>
        <w:rPr>
          <w:rFonts w:hint="eastAsia" w:ascii="国标仿宋-GB/T 2312" w:hAnsi="国标仿宋-GB/T 2312" w:eastAsia="国标仿宋-GB/T 2312" w:cs="国标仿宋-GB/T 2312"/>
          <w:sz w:val="32"/>
          <w:szCs w:val="32"/>
        </w:rPr>
        <w:t>双方每</w:t>
      </w:r>
      <w:r>
        <w:rPr>
          <w:rFonts w:hint="eastAsia" w:ascii="国标仿宋-GB/T 2312" w:hAnsi="国标仿宋-GB/T 2312" w:eastAsia="国标仿宋-GB/T 2312" w:cs="国标仿宋-GB/T 2312"/>
          <w:sz w:val="32"/>
          <w:szCs w:val="32"/>
          <w:lang w:val="en-US" w:eastAsia="zh-CN"/>
        </w:rPr>
        <w:t>三个月就当期申请的专利和软件著作权</w:t>
      </w:r>
      <w:r>
        <w:rPr>
          <w:rFonts w:hint="eastAsia" w:ascii="国标仿宋-GB/T 2312" w:hAnsi="国标仿宋-GB/T 2312" w:eastAsia="国标仿宋-GB/T 2312" w:cs="国标仿宋-GB/T 2312"/>
          <w:sz w:val="32"/>
          <w:szCs w:val="32"/>
        </w:rPr>
        <w:t>对账一次，乙方</w:t>
      </w:r>
      <w:r>
        <w:rPr>
          <w:rFonts w:hint="eastAsia" w:ascii="国标仿宋-GB/T 2312" w:hAnsi="国标仿宋-GB/T 2312" w:eastAsia="国标仿宋-GB/T 2312" w:cs="国标仿宋-GB/T 2312"/>
          <w:sz w:val="32"/>
          <w:szCs w:val="32"/>
          <w:lang w:val="en-US" w:eastAsia="zh-CN"/>
        </w:rPr>
        <w:t>应向甲方</w:t>
      </w:r>
      <w:r>
        <w:rPr>
          <w:rFonts w:hint="eastAsia" w:ascii="国标仿宋-GB/T 2312" w:hAnsi="国标仿宋-GB/T 2312" w:eastAsia="国标仿宋-GB/T 2312" w:cs="国标仿宋-GB/T 2312"/>
          <w:sz w:val="32"/>
          <w:szCs w:val="32"/>
        </w:rPr>
        <w:t>提交</w:t>
      </w:r>
      <w:r>
        <w:rPr>
          <w:rFonts w:hint="eastAsia" w:ascii="国标仿宋-GB/T 2312" w:hAnsi="国标仿宋-GB/T 2312" w:eastAsia="国标仿宋-GB/T 2312" w:cs="国标仿宋-GB/T 2312"/>
          <w:sz w:val="32"/>
          <w:szCs w:val="32"/>
          <w:lang w:val="en-US" w:eastAsia="zh-CN"/>
        </w:rPr>
        <w:t>书面函件确认</w:t>
      </w:r>
      <w:r>
        <w:rPr>
          <w:rFonts w:hint="eastAsia" w:ascii="国标仿宋-GB/T 2312" w:hAnsi="国标仿宋-GB/T 2312" w:eastAsia="国标仿宋-GB/T 2312" w:cs="国标仿宋-GB/T 2312"/>
          <w:sz w:val="32"/>
          <w:szCs w:val="32"/>
        </w:rPr>
        <w:t>当</w:t>
      </w:r>
      <w:r>
        <w:rPr>
          <w:rFonts w:hint="eastAsia" w:ascii="国标仿宋-GB/T 2312" w:hAnsi="国标仿宋-GB/T 2312" w:eastAsia="国标仿宋-GB/T 2312" w:cs="国标仿宋-GB/T 2312"/>
          <w:sz w:val="32"/>
          <w:szCs w:val="32"/>
          <w:lang w:val="en-US" w:eastAsia="zh-CN"/>
        </w:rPr>
        <w:t>期取得的</w:t>
      </w:r>
      <w:r>
        <w:rPr>
          <w:rFonts w:hint="eastAsia" w:ascii="国标仿宋-GB/T 2312" w:hAnsi="国标仿宋-GB/T 2312" w:eastAsia="国标仿宋-GB/T 2312" w:cs="国标仿宋-GB/T 2312"/>
          <w:sz w:val="32"/>
          <w:szCs w:val="32"/>
        </w:rPr>
        <w:t>受理通知书（专利）和回执（软件著作权登记）</w:t>
      </w:r>
      <w:r>
        <w:rPr>
          <w:rFonts w:hint="eastAsia" w:ascii="国标仿宋-GB/T 2312" w:hAnsi="国标仿宋-GB/T 2312" w:eastAsia="国标仿宋-GB/T 2312" w:cs="国标仿宋-GB/T 2312"/>
          <w:sz w:val="32"/>
          <w:szCs w:val="32"/>
          <w:lang w:val="en-US" w:eastAsia="zh-CN"/>
        </w:rPr>
        <w:t>数量及</w:t>
      </w:r>
      <w:r>
        <w:rPr>
          <w:rFonts w:hint="eastAsia" w:ascii="国标仿宋-GB/T 2312" w:hAnsi="国标仿宋-GB/T 2312" w:eastAsia="国标仿宋-GB/T 2312" w:cs="国标仿宋-GB/T 2312"/>
          <w:sz w:val="32"/>
          <w:szCs w:val="32"/>
        </w:rPr>
        <w:t>材料，甲方按当</w:t>
      </w:r>
      <w:r>
        <w:rPr>
          <w:rFonts w:hint="eastAsia" w:ascii="国标仿宋-GB/T 2312" w:hAnsi="国标仿宋-GB/T 2312" w:eastAsia="国标仿宋-GB/T 2312" w:cs="国标仿宋-GB/T 2312"/>
          <w:sz w:val="32"/>
          <w:szCs w:val="32"/>
          <w:lang w:val="en-US" w:eastAsia="zh-CN"/>
        </w:rPr>
        <w:t>期</w:t>
      </w:r>
      <w:r>
        <w:rPr>
          <w:rFonts w:hint="eastAsia" w:ascii="国标仿宋-GB/T 2312" w:hAnsi="国标仿宋-GB/T 2312" w:eastAsia="国标仿宋-GB/T 2312" w:cs="国标仿宋-GB/T 2312"/>
          <w:sz w:val="32"/>
          <w:szCs w:val="32"/>
        </w:rPr>
        <w:t>实际的申请数量核算</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lang w:val="en-US" w:eastAsia="zh-CN"/>
        </w:rPr>
        <w:t>甲方在双方对账确认后15个工作日内，</w:t>
      </w:r>
      <w:r>
        <w:rPr>
          <w:rFonts w:hint="eastAsia" w:ascii="国标仿宋-GB/T 2312" w:hAnsi="国标仿宋-GB/T 2312" w:eastAsia="国标仿宋-GB/T 2312" w:cs="国标仿宋-GB/T 2312"/>
          <w:sz w:val="32"/>
          <w:szCs w:val="32"/>
        </w:rPr>
        <w:t>向乙方支付</w:t>
      </w:r>
      <w:r>
        <w:rPr>
          <w:rFonts w:hint="eastAsia" w:ascii="国标仿宋-GB/T 2312" w:hAnsi="国标仿宋-GB/T 2312" w:eastAsia="国标仿宋-GB/T 2312" w:cs="国标仿宋-GB/T 2312"/>
          <w:sz w:val="32"/>
          <w:szCs w:val="32"/>
          <w:lang w:val="en-US" w:eastAsia="zh-CN"/>
        </w:rPr>
        <w:t>当期服务</w:t>
      </w:r>
      <w:r>
        <w:rPr>
          <w:rFonts w:hint="eastAsia" w:ascii="国标仿宋-GB/T 2312" w:hAnsi="国标仿宋-GB/T 2312" w:eastAsia="国标仿宋-GB/T 2312" w:cs="国标仿宋-GB/T 2312"/>
          <w:sz w:val="32"/>
          <w:szCs w:val="32"/>
        </w:rPr>
        <w:t>费用</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lang w:val="en-US" w:eastAsia="zh-CN"/>
        </w:rPr>
        <w:t>当期服务费用=（当期取得受理通知书的发明专利件数×发明专利服务费单价+当期取得回执的软件著作权加急案件件数×软件著作权加急案件服务费单价+当期取得回执的软件著作权非加急案件件数×软件著作权非加急案件服务费单价）×60%</w:t>
      </w:r>
      <w:r>
        <w:rPr>
          <w:rFonts w:hint="eastAsia" w:ascii="国标仿宋-GB/T 2312" w:hAnsi="国标仿宋-GB/T 2312" w:eastAsia="国标仿宋-GB/T 2312" w:cs="国标仿宋-GB/T 2312"/>
          <w:sz w:val="32"/>
          <w:szCs w:val="32"/>
          <w:lang w:eastAsia="zh-CN"/>
        </w:rPr>
        <w:t>；</w:t>
      </w:r>
    </w:p>
    <w:p w14:paraId="153994FC">
      <w:pPr>
        <w:pStyle w:val="15"/>
        <w:numPr>
          <w:ilvl w:val="255"/>
          <w:numId w:val="0"/>
        </w:numPr>
        <w:spacing w:line="560" w:lineRule="exact"/>
        <w:ind w:firstLine="640" w:firstLineChars="200"/>
        <w:rPr>
          <w:rFonts w:hint="eastAsia" w:ascii="国标仿宋-GB/T 2312" w:hAnsi="国标仿宋-GB/T 2312" w:eastAsia="国标仿宋-GB/T 2312" w:cs="国标仿宋-GB/T 2312"/>
          <w:sz w:val="32"/>
          <w:szCs w:val="32"/>
          <w:highlight w:val="none"/>
          <w:lang w:val="en-US" w:eastAsia="zh-CN"/>
        </w:rPr>
      </w:pPr>
      <w:r>
        <w:rPr>
          <w:rFonts w:hint="eastAsia" w:ascii="国标仿宋-GB/T 2312" w:hAnsi="国标仿宋-GB/T 2312" w:eastAsia="国标仿宋-GB/T 2312" w:cs="国标仿宋-GB/T 2312"/>
          <w:sz w:val="32"/>
          <w:szCs w:val="32"/>
          <w:lang w:val="en-US" w:eastAsia="zh-CN"/>
        </w:rPr>
        <w:t>2.本合同签订后，双方每三个月就当期实际取得的</w:t>
      </w:r>
      <w:r>
        <w:rPr>
          <w:rFonts w:hint="eastAsia" w:ascii="国标仿宋-GB/T 2312" w:hAnsi="国标仿宋-GB/T 2312" w:eastAsia="国标仿宋-GB/T 2312" w:cs="国标仿宋-GB/T 2312"/>
          <w:sz w:val="32"/>
          <w:szCs w:val="32"/>
          <w:highlight w:val="none"/>
        </w:rPr>
        <w:t>专利</w:t>
      </w:r>
      <w:r>
        <w:rPr>
          <w:rFonts w:hint="eastAsia" w:ascii="国标仿宋-GB/T 2312" w:hAnsi="国标仿宋-GB/T 2312" w:eastAsia="国标仿宋-GB/T 2312" w:cs="国标仿宋-GB/T 2312"/>
          <w:sz w:val="32"/>
          <w:szCs w:val="32"/>
          <w:highlight w:val="none"/>
          <w:lang w:val="en-US" w:eastAsia="zh-CN"/>
        </w:rPr>
        <w:t>的授权通知书</w:t>
      </w:r>
      <w:r>
        <w:rPr>
          <w:rFonts w:hint="eastAsia" w:ascii="国标仿宋-GB/T 2312" w:hAnsi="国标仿宋-GB/T 2312" w:eastAsia="国标仿宋-GB/T 2312" w:cs="国标仿宋-GB/T 2312"/>
          <w:sz w:val="32"/>
          <w:szCs w:val="32"/>
          <w:highlight w:val="none"/>
        </w:rPr>
        <w:t>和软件著作权的</w:t>
      </w:r>
      <w:r>
        <w:rPr>
          <w:rFonts w:hint="eastAsia" w:ascii="国标仿宋-GB/T 2312" w:hAnsi="国标仿宋-GB/T 2312" w:eastAsia="国标仿宋-GB/T 2312" w:cs="国标仿宋-GB/T 2312"/>
          <w:sz w:val="32"/>
          <w:szCs w:val="32"/>
          <w:highlight w:val="none"/>
          <w:lang w:val="en-US" w:eastAsia="zh-CN"/>
        </w:rPr>
        <w:t>登记证书对账一次，乙方应向甲方提交书面函件确认当期实际取得的授权通知书（专利）和登记证书（软件著作权）数量和材料，甲方按当期实际取得的授权通知书（专利）和登记证书（软件著作权）数量核算，甲方在双方对账确认后15个工作日内，向乙方支付当期服务费用。当期服务费用=（当期取得授权通知书的发明专利件数×发明专利服务费单价+当期取得登记证书的软件著作权加急案件件数×软件著作权加急案件服务费单价+当期取得登记证书的软件著作权非加急案件件数×软件著作权非加急案件服务费单价）×30%；</w:t>
      </w:r>
    </w:p>
    <w:p w14:paraId="5FD16261">
      <w:pPr>
        <w:pStyle w:val="15"/>
        <w:numPr>
          <w:ilvl w:val="255"/>
          <w:numId w:val="0"/>
        </w:numPr>
        <w:spacing w:line="560" w:lineRule="exact"/>
        <w:ind w:firstLine="640" w:firstLineChars="20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3.</w:t>
      </w:r>
      <w:r>
        <w:rPr>
          <w:rFonts w:hint="eastAsia" w:ascii="国标仿宋-GB/T 2312" w:hAnsi="国标仿宋-GB/T 2312" w:eastAsia="国标仿宋-GB/T 2312" w:cs="国标仿宋-GB/T 2312"/>
          <w:sz w:val="32"/>
          <w:szCs w:val="32"/>
        </w:rPr>
        <w:t>本合同履行完毕后，甲方对乙方进行履约评价，履约评价标准见附件，甲方根据乙方的合同履约情况以及合同最终结算后，根据履约评价结果一次性支付剩余最终总服务费用金额。评价结果为80分（含）以上时，支付最终总服务费用的10%；评价结果为60分（含）以上80分（不含）以下时，甲方将扣除最终总服务费用的5%，不予支付；评价结果为60分（不含）以下时，视为乙方未正常履约，甲方将扣除最终总服务费用的10%，不予支付。</w:t>
      </w:r>
    </w:p>
    <w:p w14:paraId="17B1CA29">
      <w:pPr>
        <w:pStyle w:val="15"/>
        <w:numPr>
          <w:ilvl w:val="255"/>
          <w:numId w:val="0"/>
        </w:numPr>
        <w:spacing w:line="560" w:lineRule="exact"/>
        <w:ind w:firstLine="641" w:firstLineChars="20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b/>
          <w:bCs/>
          <w:sz w:val="32"/>
          <w:szCs w:val="32"/>
        </w:rPr>
        <w:t>最终</w:t>
      </w:r>
      <w:r>
        <w:rPr>
          <w:rFonts w:hint="eastAsia" w:ascii="国标仿宋-GB/T 2312" w:hAnsi="国标仿宋-GB/T 2312" w:eastAsia="国标仿宋-GB/T 2312" w:cs="国标仿宋-GB/T 2312"/>
          <w:b/>
          <w:bCs/>
          <w:sz w:val="32"/>
          <w:szCs w:val="32"/>
          <w:lang w:val="en-US" w:eastAsia="zh-CN"/>
        </w:rPr>
        <w:t>总服务费用</w:t>
      </w:r>
      <w:r>
        <w:rPr>
          <w:rFonts w:hint="eastAsia" w:ascii="国标仿宋-GB/T 2312" w:hAnsi="国标仿宋-GB/T 2312" w:eastAsia="国标仿宋-GB/T 2312" w:cs="国标仿宋-GB/T 2312"/>
          <w:sz w:val="32"/>
          <w:szCs w:val="32"/>
        </w:rPr>
        <w:t>=乙方有效提交并取得授权通知书的发明专利件数×发明</w:t>
      </w:r>
      <w:r>
        <w:rPr>
          <w:rFonts w:hint="eastAsia" w:ascii="国标仿宋-GB/T 2312" w:hAnsi="国标仿宋-GB/T 2312" w:eastAsia="国标仿宋-GB/T 2312" w:cs="国标仿宋-GB/T 2312"/>
          <w:sz w:val="32"/>
          <w:szCs w:val="32"/>
          <w:lang w:val="en-US" w:eastAsia="zh-CN"/>
        </w:rPr>
        <w:t>专利服务费单价</w:t>
      </w:r>
      <w:r>
        <w:rPr>
          <w:rFonts w:hint="eastAsia" w:ascii="国标仿宋-GB/T 2312" w:hAnsi="国标仿宋-GB/T 2312" w:eastAsia="国标仿宋-GB/T 2312" w:cs="国标仿宋-GB/T 2312"/>
          <w:sz w:val="32"/>
          <w:szCs w:val="32"/>
        </w:rPr>
        <w:t>+乙方有效提交并取得登记证书</w:t>
      </w:r>
      <w:r>
        <w:rPr>
          <w:rFonts w:hint="eastAsia" w:ascii="国标仿宋-GB/T 2312" w:hAnsi="国标仿宋-GB/T 2312" w:eastAsia="国标仿宋-GB/T 2312" w:cs="国标仿宋-GB/T 2312"/>
          <w:sz w:val="32"/>
          <w:szCs w:val="32"/>
          <w:lang w:val="en-US" w:eastAsia="zh-CN"/>
        </w:rPr>
        <w:t>的软件著作权加急案件</w:t>
      </w:r>
      <w:r>
        <w:rPr>
          <w:rFonts w:hint="eastAsia" w:ascii="国标仿宋-GB/T 2312" w:hAnsi="国标仿宋-GB/T 2312" w:eastAsia="国标仿宋-GB/T 2312" w:cs="国标仿宋-GB/T 2312"/>
          <w:sz w:val="32"/>
          <w:szCs w:val="32"/>
        </w:rPr>
        <w:t>件数×软件著作权加急案件</w:t>
      </w:r>
      <w:r>
        <w:rPr>
          <w:rFonts w:hint="eastAsia" w:ascii="国标仿宋-GB/T 2312" w:hAnsi="国标仿宋-GB/T 2312" w:eastAsia="国标仿宋-GB/T 2312" w:cs="国标仿宋-GB/T 2312"/>
          <w:sz w:val="32"/>
          <w:szCs w:val="32"/>
          <w:lang w:val="en-US" w:eastAsia="zh-CN"/>
        </w:rPr>
        <w:t>服务费单价+乙方有效提交并取得登记证书的软件著作权非加急案件件数×软件著作权非加急案件服务费单价。</w:t>
      </w:r>
      <w:r>
        <w:rPr>
          <w:rFonts w:hint="eastAsia" w:ascii="国标仿宋-GB/T 2312" w:hAnsi="国标仿宋-GB/T 2312" w:eastAsia="国标仿宋-GB/T 2312" w:cs="国标仿宋-GB/T 2312"/>
          <w:sz w:val="32"/>
          <w:szCs w:val="32"/>
        </w:rPr>
        <w:t>未成功受理、专利申请被驳回/视为撤回</w:t>
      </w:r>
      <w:r>
        <w:rPr>
          <w:rFonts w:hint="eastAsia" w:ascii="国标仿宋-GB/T 2312" w:hAnsi="国标仿宋-GB/T 2312" w:eastAsia="国标仿宋-GB/T 2312" w:cs="国标仿宋-GB/T 2312"/>
          <w:sz w:val="32"/>
          <w:szCs w:val="32"/>
          <w:lang w:eastAsia="zh-CN"/>
        </w:rPr>
        <w:t>、软件著作权登记申请不予登记</w:t>
      </w:r>
      <w:r>
        <w:rPr>
          <w:rFonts w:hint="eastAsia" w:ascii="国标仿宋-GB/T 2312" w:hAnsi="国标仿宋-GB/T 2312" w:eastAsia="国标仿宋-GB/T 2312" w:cs="国标仿宋-GB/T 2312"/>
          <w:sz w:val="32"/>
          <w:szCs w:val="32"/>
        </w:rPr>
        <w:t>的不计入结算数量。</w:t>
      </w:r>
    </w:p>
    <w:p w14:paraId="36F09949">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rPr>
        <w:t>响应文件要求</w:t>
      </w:r>
    </w:p>
    <w:p w14:paraId="4C1FE713">
      <w:pPr>
        <w:keepNext w:val="0"/>
        <w:keepLines w:val="0"/>
        <w:pageBreakBefore w:val="0"/>
        <w:kinsoku/>
        <w:wordWrap/>
        <w:overflowPunct/>
        <w:topLinePunct w:val="0"/>
        <w:autoSpaceDE/>
        <w:autoSpaceDN/>
        <w:bidi w:val="0"/>
        <w:adjustRightInd w:val="0"/>
        <w:snapToGrid w:val="0"/>
        <w:spacing w:line="560" w:lineRule="exact"/>
        <w:ind w:left="0" w:leftChars="0" w:firstLine="729" w:firstLineChars="228"/>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1.本次公告时间从</w:t>
      </w:r>
      <w:r>
        <w:rPr>
          <w:rFonts w:hint="eastAsia" w:ascii="仿宋_GB2312" w:hAnsi="仿宋_GB2312" w:eastAsia="仿宋_GB2312" w:cs="仿宋_GB2312"/>
          <w:b/>
          <w:bCs/>
          <w:color w:val="auto"/>
          <w:sz w:val="32"/>
          <w:szCs w:val="32"/>
          <w:highlight w:val="none"/>
        </w:rPr>
        <w:t>20</w:t>
      </w:r>
      <w:r>
        <w:rPr>
          <w:rFonts w:hint="eastAsia" w:ascii="仿宋_GB2312" w:hAnsi="仿宋_GB2312" w:eastAsia="仿宋_GB2312" w:cs="仿宋_GB2312"/>
          <w:b/>
          <w:bCs/>
          <w:color w:val="auto"/>
          <w:sz w:val="32"/>
          <w:szCs w:val="32"/>
          <w:highlight w:val="none"/>
          <w:lang w:val="en-US" w:eastAsia="zh-CN"/>
        </w:rPr>
        <w:t>26</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16</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val="en-US" w:eastAsia="zh-CN"/>
        </w:rPr>
        <w:t xml:space="preserve"> 7</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22</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color w:val="auto"/>
          <w:sz w:val="32"/>
          <w:szCs w:val="32"/>
          <w:highlight w:val="none"/>
        </w:rPr>
        <w:t>止，响应供应商应于</w:t>
      </w: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b/>
          <w:bCs/>
          <w:color w:val="auto"/>
          <w:sz w:val="32"/>
          <w:szCs w:val="32"/>
          <w:highlight w:val="none"/>
        </w:rPr>
        <w:t>17:00</w:t>
      </w:r>
      <w:r>
        <w:rPr>
          <w:rFonts w:hint="eastAsia" w:ascii="仿宋_GB2312" w:hAnsi="仿宋_GB2312" w:eastAsia="仿宋_GB2312" w:cs="仿宋_GB2312"/>
          <w:color w:val="auto"/>
          <w:sz w:val="32"/>
          <w:szCs w:val="32"/>
          <w:highlight w:val="none"/>
        </w:rPr>
        <w:t>前将响应文件1正4副密封（统一密封，密封处加盖公章；项目名称必须注明具体的标段，如“</w:t>
      </w:r>
      <w:r>
        <w:rPr>
          <w:rFonts w:hint="eastAsia" w:ascii="仿宋_GB2312" w:hAnsi="仿宋_GB2312" w:eastAsia="仿宋_GB2312" w:cs="仿宋_GB2312"/>
          <w:color w:val="auto"/>
          <w:sz w:val="32"/>
          <w:szCs w:val="32"/>
          <w:highlight w:val="none"/>
          <w:lang w:val="en-US" w:eastAsia="zh-CN"/>
        </w:rPr>
        <w:t>湾东智算公司知识产权代理服务</w:t>
      </w:r>
      <w:r>
        <w:rPr>
          <w:rFonts w:hint="eastAsia" w:ascii="仿宋_GB2312" w:hAnsi="仿宋_GB2312" w:eastAsia="仿宋_GB2312" w:cs="仿宋_GB2312"/>
          <w:color w:val="auto"/>
          <w:sz w:val="32"/>
          <w:szCs w:val="32"/>
          <w:highlight w:val="none"/>
        </w:rPr>
        <w:t>”送交或邮寄（不接受到付）到深圳市龙岗区中心城腾飞路创投大厦22楼22</w:t>
      </w: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曾女士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89890169</w:t>
      </w:r>
      <w:r>
        <w:rPr>
          <w:rFonts w:hint="eastAsia" w:ascii="仿宋_GB2312" w:hAnsi="仿宋_GB2312" w:eastAsia="仿宋_GB2312" w:cs="仿宋_GB2312"/>
          <w:color w:val="auto"/>
          <w:sz w:val="32"/>
          <w:szCs w:val="32"/>
          <w:highlight w:val="none"/>
        </w:rPr>
        <w:t>），逾期送达或未按要求密封将予以拒收或原封退回。</w:t>
      </w:r>
    </w:p>
    <w:p w14:paraId="6CE40D8C">
      <w:pPr>
        <w:keepNext w:val="0"/>
        <w:keepLines w:val="0"/>
        <w:pageBreakBefore w:val="0"/>
        <w:kinsoku/>
        <w:wordWrap/>
        <w:overflowPunct/>
        <w:topLinePunct w:val="0"/>
        <w:autoSpaceDE/>
        <w:autoSpaceDN/>
        <w:bidi w:val="0"/>
        <w:spacing w:line="560" w:lineRule="exact"/>
        <w:ind w:left="0" w:leftChars="0" w:firstLine="729" w:firstLineChars="228"/>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2.响应文件包含承诺函、采购人要求提供的资料等，详见附件。</w:t>
      </w:r>
    </w:p>
    <w:p w14:paraId="7E38E1B7">
      <w:pPr>
        <w:keepNext w:val="0"/>
        <w:keepLines w:val="0"/>
        <w:pageBreakBefore w:val="0"/>
        <w:kinsoku/>
        <w:wordWrap/>
        <w:overflowPunct/>
        <w:topLinePunct w:val="0"/>
        <w:autoSpaceDE/>
        <w:autoSpaceDN/>
        <w:bidi w:val="0"/>
        <w:spacing w:line="560" w:lineRule="exact"/>
        <w:ind w:left="0" w:leftChars="0" w:firstLine="729" w:firstLineChars="228"/>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公告期满后，若有效响应单位不足3家的，应发布二次公告（原则不少于一次公告发布时间的50%），若二次公告期满后，有效响应单位仅有2家的，可选择继续评审或组织谈判，有效响应单位仅有1家的，可直接选定成交单位。</w:t>
      </w:r>
    </w:p>
    <w:p w14:paraId="7DA43F58">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十一、公开招标（自主）</w:t>
      </w:r>
      <w:r>
        <w:rPr>
          <w:rFonts w:hint="eastAsia" w:ascii="黑体" w:hAnsi="黑体" w:eastAsia="黑体" w:cs="黑体"/>
          <w:b w:val="0"/>
          <w:bCs/>
          <w:color w:val="auto"/>
          <w:sz w:val="32"/>
          <w:szCs w:val="32"/>
        </w:rPr>
        <w:t>结果公示</w:t>
      </w:r>
    </w:p>
    <w:p w14:paraId="7FE86161">
      <w:pPr>
        <w:keepNext w:val="0"/>
        <w:keepLines w:val="0"/>
        <w:pageBreakBefore w:val="0"/>
        <w:kinsoku/>
        <w:wordWrap/>
        <w:overflowPunct/>
        <w:topLinePunct w:val="0"/>
        <w:autoSpaceDE/>
        <w:autoSpaceDN/>
        <w:bidi w:val="0"/>
        <w:spacing w:line="560" w:lineRule="exact"/>
        <w:ind w:left="0" w:leftChars="0"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递交响应文件截止后，采购人将自行组织响应文件开启、评审等工作，确定成交服务单位后将在龙岗区城投企业网站进行公示。</w:t>
      </w:r>
    </w:p>
    <w:p w14:paraId="6059B76A">
      <w:pPr>
        <w:keepNext w:val="0"/>
        <w:keepLines w:val="0"/>
        <w:pageBreakBefore w:val="0"/>
        <w:kinsoku/>
        <w:wordWrap/>
        <w:overflowPunct/>
        <w:topLinePunct w:val="0"/>
        <w:autoSpaceDE/>
        <w:autoSpaceDN/>
        <w:bidi w:val="0"/>
        <w:spacing w:line="560" w:lineRule="exact"/>
        <w:ind w:left="1687" w:leftChars="0" w:hanging="1687" w:hangingChars="600"/>
        <w:textAlignment w:val="auto"/>
        <w:rPr>
          <w:rFonts w:ascii="仿宋_GB2312" w:hAnsi="仿宋_GB2312" w:eastAsia="仿宋_GB2312" w:cs="仿宋_GB2312"/>
          <w:b/>
          <w:bCs/>
          <w:color w:val="auto"/>
          <w:sz w:val="28"/>
          <w:szCs w:val="28"/>
          <w:highlight w:val="none"/>
        </w:rPr>
      </w:pPr>
    </w:p>
    <w:p w14:paraId="3406DF83">
      <w:pPr>
        <w:keepNext w:val="0"/>
        <w:keepLines w:val="0"/>
        <w:pageBreakBefore w:val="0"/>
        <w:kinsoku/>
        <w:wordWrap/>
        <w:overflowPunct/>
        <w:topLinePunct w:val="0"/>
        <w:autoSpaceDE/>
        <w:autoSpaceDN/>
        <w:bidi w:val="0"/>
        <w:spacing w:line="560" w:lineRule="exact"/>
        <w:ind w:left="0"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特别说明：1.响应单位资格不符合要求的不能进入比选程序。</w:t>
      </w:r>
    </w:p>
    <w:p w14:paraId="1AA5C622">
      <w:pPr>
        <w:keepNext w:val="0"/>
        <w:keepLines w:val="0"/>
        <w:pageBreakBefore w:val="0"/>
        <w:kinsoku/>
        <w:wordWrap/>
        <w:overflowPunct/>
        <w:topLinePunct w:val="0"/>
        <w:autoSpaceDE/>
        <w:autoSpaceDN/>
        <w:bidi w:val="0"/>
        <w:spacing w:line="560" w:lineRule="exact"/>
        <w:ind w:left="2291" w:leftChars="1000" w:hanging="191" w:hangingChars="68"/>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2.所有响应单位视为同意上述公告内容，确定为成交服务单位后按公告约定与采购人签署合同。</w:t>
      </w:r>
    </w:p>
    <w:p w14:paraId="76A4DF78">
      <w:pPr>
        <w:keepNext w:val="0"/>
        <w:keepLines w:val="0"/>
        <w:pageBreakBefore w:val="0"/>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auto"/>
          <w:sz w:val="32"/>
          <w:szCs w:val="32"/>
          <w:highlight w:val="none"/>
        </w:rPr>
      </w:pPr>
    </w:p>
    <w:p w14:paraId="6103B8EE">
      <w:pPr>
        <w:pStyle w:val="4"/>
        <w:keepNext w:val="0"/>
        <w:keepLines w:val="0"/>
        <w:pageBreakBefore w:val="0"/>
        <w:kinsoku/>
        <w:wordWrap/>
        <w:overflowPunct/>
        <w:topLinePunct w:val="0"/>
        <w:autoSpaceDE/>
        <w:autoSpaceDN/>
        <w:bidi w:val="0"/>
        <w:spacing w:line="560" w:lineRule="exact"/>
        <w:ind w:left="0" w:leftChars="0"/>
        <w:textAlignment w:val="auto"/>
        <w:rPr>
          <w:rFonts w:hint="eastAsia"/>
          <w:b w:val="0"/>
          <w:bCs w:val="0"/>
          <w:color w:val="auto"/>
        </w:rPr>
      </w:pPr>
    </w:p>
    <w:p w14:paraId="3E56CBA9">
      <w:pPr>
        <w:keepNext w:val="0"/>
        <w:keepLines w:val="0"/>
        <w:pageBreakBefore w:val="0"/>
        <w:kinsoku/>
        <w:wordWrap/>
        <w:overflowPunct/>
        <w:topLinePunct w:val="0"/>
        <w:autoSpaceDE/>
        <w:autoSpaceDN/>
        <w:bidi w:val="0"/>
        <w:spacing w:line="560" w:lineRule="exact"/>
        <w:ind w:left="0" w:leftChars="0" w:firstLine="48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b w:val="0"/>
          <w:bCs w:val="0"/>
          <w:color w:val="auto"/>
          <w:sz w:val="28"/>
          <w:szCs w:val="28"/>
          <w:highlight w:val="none"/>
        </w:rPr>
        <w:t xml:space="preserve">      </w:t>
      </w:r>
      <w:r>
        <w:rPr>
          <w:rFonts w:hint="eastAsia" w:ascii="仿宋_GB2312" w:hAnsi="仿宋_GB2312" w:eastAsia="仿宋_GB2312" w:cs="仿宋_GB2312"/>
          <w:b w:val="0"/>
          <w:bCs w:val="0"/>
          <w:color w:val="auto"/>
          <w:sz w:val="32"/>
          <w:szCs w:val="32"/>
          <w:highlight w:val="none"/>
        </w:rPr>
        <w:t>采购人：</w:t>
      </w:r>
      <w:bookmarkStart w:id="1" w:name="OLE_LINK6"/>
      <w:r>
        <w:rPr>
          <w:rFonts w:hint="eastAsia" w:ascii="仿宋_GB2312" w:hAnsi="仿宋_GB2312" w:eastAsia="仿宋_GB2312" w:cs="仿宋_GB2312"/>
          <w:b w:val="0"/>
          <w:bCs w:val="0"/>
          <w:color w:val="auto"/>
          <w:sz w:val="32"/>
          <w:szCs w:val="32"/>
          <w:highlight w:val="none"/>
          <w:lang w:val="en-US" w:eastAsia="zh-CN"/>
        </w:rPr>
        <w:t>深圳市湾东智算科技有限公司</w:t>
      </w:r>
      <w:bookmarkEnd w:id="1"/>
      <w:r>
        <w:rPr>
          <w:rFonts w:hint="eastAsia" w:ascii="仿宋_GB2312" w:hAnsi="仿宋_GB2312" w:eastAsia="仿宋_GB2312" w:cs="仿宋_GB2312"/>
          <w:b w:val="0"/>
          <w:bCs w:val="0"/>
          <w:color w:val="auto"/>
          <w:sz w:val="32"/>
          <w:szCs w:val="32"/>
          <w:highlight w:val="none"/>
        </w:rPr>
        <w:t xml:space="preserve">                                    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日</w:t>
      </w:r>
    </w:p>
    <w:p w14:paraId="645533F6">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br w:type="page"/>
      </w:r>
      <w:bookmarkStart w:id="2" w:name="_GoBack"/>
      <w:bookmarkEnd w:id="2"/>
    </w:p>
    <w:p w14:paraId="57406C92">
      <w:pPr>
        <w:spacing w:line="560" w:lineRule="exact"/>
        <w:ind w:firstLine="480"/>
        <w:rPr>
          <w:rFonts w:ascii="仿宋_GB2312" w:eastAsia="仿宋_GB2312"/>
          <w:b/>
          <w:bCs/>
          <w:color w:val="auto"/>
          <w:sz w:val="30"/>
          <w:szCs w:val="30"/>
          <w:highlight w:val="none"/>
        </w:rPr>
      </w:pPr>
      <w:r>
        <w:rPr>
          <w:rFonts w:hint="eastAsia" w:ascii="仿宋_GB2312" w:eastAsia="仿宋_GB2312"/>
          <w:b/>
          <w:bCs/>
          <w:color w:val="auto"/>
          <w:sz w:val="30"/>
          <w:szCs w:val="30"/>
          <w:highlight w:val="none"/>
        </w:rPr>
        <w:t>附件</w:t>
      </w:r>
      <w:r>
        <w:rPr>
          <w:rFonts w:hint="eastAsia" w:ascii="仿宋_GB2312" w:eastAsia="仿宋_GB2312"/>
          <w:b/>
          <w:bCs/>
          <w:color w:val="auto"/>
          <w:sz w:val="30"/>
          <w:szCs w:val="30"/>
          <w:highlight w:val="none"/>
          <w:lang w:val="en-US" w:eastAsia="zh-CN"/>
        </w:rPr>
        <w:t>1</w:t>
      </w:r>
      <w:r>
        <w:rPr>
          <w:rFonts w:hint="eastAsia" w:ascii="仿宋_GB2312" w:eastAsia="仿宋_GB2312"/>
          <w:b/>
          <w:bCs/>
          <w:color w:val="auto"/>
          <w:sz w:val="30"/>
          <w:szCs w:val="30"/>
          <w:highlight w:val="none"/>
        </w:rPr>
        <w:t>：响应文件</w:t>
      </w:r>
      <w:r>
        <w:rPr>
          <w:rFonts w:hint="eastAsia" w:ascii="仿宋_GB2312" w:eastAsia="仿宋_GB2312"/>
          <w:b/>
          <w:bCs/>
          <w:color w:val="auto"/>
          <w:sz w:val="30"/>
          <w:szCs w:val="30"/>
          <w:highlight w:val="none"/>
          <w:lang w:eastAsia="zh-CN"/>
        </w:rPr>
        <w:t>要求</w:t>
      </w:r>
      <w:r>
        <w:rPr>
          <w:rFonts w:hint="eastAsia" w:ascii="仿宋_GB2312" w:eastAsia="仿宋_GB2312"/>
          <w:b/>
          <w:bCs/>
          <w:color w:val="auto"/>
          <w:sz w:val="30"/>
          <w:szCs w:val="30"/>
          <w:highlight w:val="none"/>
        </w:rPr>
        <w:t>一览表</w:t>
      </w:r>
    </w:p>
    <w:p w14:paraId="5CB3E7B4">
      <w:pPr>
        <w:pStyle w:val="12"/>
        <w:widowControl/>
        <w:spacing w:line="560" w:lineRule="exact"/>
        <w:rPr>
          <w:rFonts w:ascii="仿宋" w:hAnsi="仿宋" w:eastAsia="仿宋"/>
          <w:b/>
          <w:color w:val="auto"/>
          <w:sz w:val="30"/>
          <w:szCs w:val="30"/>
        </w:rPr>
      </w:pPr>
    </w:p>
    <w:p w14:paraId="02C914B9">
      <w:pPr>
        <w:pStyle w:val="12"/>
        <w:widowControl/>
        <w:spacing w:line="560" w:lineRule="exact"/>
        <w:rPr>
          <w:rFonts w:hint="default" w:ascii="仿宋" w:hAnsi="仿宋" w:eastAsia="仿宋"/>
          <w:color w:val="auto"/>
          <w:sz w:val="30"/>
          <w:szCs w:val="30"/>
        </w:rPr>
      </w:pPr>
      <w:r>
        <w:rPr>
          <w:rFonts w:ascii="仿宋" w:hAnsi="仿宋" w:eastAsia="仿宋"/>
          <w:b/>
          <w:color w:val="auto"/>
          <w:sz w:val="30"/>
          <w:szCs w:val="30"/>
        </w:rPr>
        <w:t>响应</w:t>
      </w:r>
      <w:r>
        <w:rPr>
          <w:rFonts w:hint="default" w:ascii="仿宋" w:hAnsi="仿宋" w:eastAsia="仿宋"/>
          <w:b/>
          <w:color w:val="auto"/>
          <w:sz w:val="30"/>
          <w:szCs w:val="30"/>
        </w:rPr>
        <w:t>文件要求一览</w:t>
      </w:r>
      <w:r>
        <w:rPr>
          <w:rFonts w:ascii="仿宋" w:hAnsi="仿宋" w:eastAsia="仿宋"/>
          <w:b/>
          <w:color w:val="auto"/>
          <w:sz w:val="30"/>
          <w:szCs w:val="30"/>
        </w:rPr>
        <w:t>表</w:t>
      </w:r>
    </w:p>
    <w:tbl>
      <w:tblPr>
        <w:tblStyle w:val="9"/>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478"/>
        <w:gridCol w:w="4518"/>
      </w:tblGrid>
      <w:tr w14:paraId="0988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1035" w:type="dxa"/>
            <w:noWrap w:val="0"/>
            <w:vAlign w:val="center"/>
          </w:tcPr>
          <w:p w14:paraId="775971D4">
            <w:pPr>
              <w:pStyle w:val="13"/>
              <w:spacing w:line="360" w:lineRule="exact"/>
              <w:ind w:firstLine="0" w:firstLineChars="0"/>
              <w:jc w:val="center"/>
              <w:rPr>
                <w:rFonts w:ascii="宋体" w:hAnsi="宋体"/>
                <w:color w:val="auto"/>
                <w:sz w:val="24"/>
              </w:rPr>
            </w:pPr>
            <w:r>
              <w:rPr>
                <w:rFonts w:hint="eastAsia" w:ascii="宋体" w:hAnsi="宋体"/>
                <w:color w:val="auto"/>
                <w:sz w:val="24"/>
              </w:rPr>
              <w:t>序号</w:t>
            </w:r>
          </w:p>
        </w:tc>
        <w:tc>
          <w:tcPr>
            <w:tcW w:w="3478" w:type="dxa"/>
            <w:noWrap w:val="0"/>
            <w:vAlign w:val="center"/>
          </w:tcPr>
          <w:p w14:paraId="61DA1E00">
            <w:pPr>
              <w:pStyle w:val="13"/>
              <w:spacing w:line="360" w:lineRule="exact"/>
              <w:ind w:firstLine="0" w:firstLineChars="0"/>
              <w:jc w:val="center"/>
              <w:rPr>
                <w:rFonts w:ascii="宋体" w:hAnsi="宋体"/>
                <w:color w:val="auto"/>
                <w:sz w:val="24"/>
              </w:rPr>
            </w:pPr>
            <w:r>
              <w:rPr>
                <w:rFonts w:ascii="宋体" w:hAnsi="宋体"/>
                <w:color w:val="auto"/>
                <w:sz w:val="24"/>
              </w:rPr>
              <w:t>文件名称</w:t>
            </w:r>
          </w:p>
        </w:tc>
        <w:tc>
          <w:tcPr>
            <w:tcW w:w="4518" w:type="dxa"/>
            <w:noWrap w:val="0"/>
            <w:vAlign w:val="center"/>
          </w:tcPr>
          <w:p w14:paraId="35FFDA42">
            <w:pPr>
              <w:pStyle w:val="13"/>
              <w:spacing w:line="360" w:lineRule="exact"/>
              <w:ind w:firstLine="0" w:firstLineChars="0"/>
              <w:jc w:val="center"/>
              <w:rPr>
                <w:rFonts w:ascii="宋体" w:hAnsi="宋体"/>
                <w:color w:val="auto"/>
                <w:sz w:val="24"/>
              </w:rPr>
            </w:pPr>
            <w:r>
              <w:rPr>
                <w:rFonts w:ascii="宋体" w:hAnsi="宋体"/>
                <w:color w:val="auto"/>
                <w:sz w:val="24"/>
              </w:rPr>
              <w:t>要求说明</w:t>
            </w:r>
          </w:p>
        </w:tc>
      </w:tr>
      <w:tr w14:paraId="37DE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1035" w:type="dxa"/>
            <w:noWrap w:val="0"/>
            <w:vAlign w:val="center"/>
          </w:tcPr>
          <w:p w14:paraId="5A3A8DB5">
            <w:pPr>
              <w:pStyle w:val="13"/>
              <w:spacing w:line="360" w:lineRule="exact"/>
              <w:ind w:firstLine="0" w:firstLineChars="0"/>
              <w:jc w:val="center"/>
              <w:rPr>
                <w:rFonts w:ascii="宋体" w:hAnsi="宋体"/>
                <w:color w:val="auto"/>
                <w:szCs w:val="21"/>
              </w:rPr>
            </w:pPr>
            <w:r>
              <w:rPr>
                <w:rFonts w:hint="eastAsia" w:ascii="宋体" w:hAnsi="宋体"/>
                <w:color w:val="auto"/>
                <w:szCs w:val="21"/>
              </w:rPr>
              <w:t>1</w:t>
            </w:r>
          </w:p>
        </w:tc>
        <w:tc>
          <w:tcPr>
            <w:tcW w:w="3478" w:type="dxa"/>
            <w:noWrap w:val="0"/>
            <w:vAlign w:val="center"/>
          </w:tcPr>
          <w:p w14:paraId="512763F0">
            <w:pPr>
              <w:adjustRightInd w:val="0"/>
              <w:snapToGrid w:val="0"/>
              <w:spacing w:line="580" w:lineRule="exact"/>
              <w:jc w:val="left"/>
              <w:rPr>
                <w:rFonts w:ascii="宋体" w:hAnsi="宋体"/>
                <w:color w:val="auto"/>
                <w:szCs w:val="21"/>
              </w:rPr>
            </w:pPr>
            <w:r>
              <w:rPr>
                <w:rFonts w:hint="eastAsia" w:ascii="宋体" w:hAnsi="宋体"/>
                <w:color w:val="auto"/>
                <w:szCs w:val="21"/>
              </w:rPr>
              <w:t>基本情况资料</w:t>
            </w:r>
          </w:p>
        </w:tc>
        <w:tc>
          <w:tcPr>
            <w:tcW w:w="4518" w:type="dxa"/>
            <w:noWrap w:val="0"/>
            <w:vAlign w:val="center"/>
          </w:tcPr>
          <w:p w14:paraId="361C09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olor w:val="auto"/>
                <w:szCs w:val="21"/>
                <w:lang w:val="en-US" w:eastAsia="zh-CN"/>
              </w:rPr>
            </w:pPr>
            <w:r>
              <w:rPr>
                <w:rFonts w:hint="eastAsia" w:ascii="宋体" w:hAnsi="宋体"/>
                <w:color w:val="auto"/>
                <w:szCs w:val="21"/>
              </w:rPr>
              <w:t>提</w:t>
            </w:r>
            <w:r>
              <w:rPr>
                <w:rFonts w:hint="eastAsia" w:ascii="宋体" w:hAnsi="宋体"/>
                <w:color w:val="auto"/>
                <w:szCs w:val="21"/>
                <w:highlight w:val="none"/>
              </w:rPr>
              <w:t>供</w:t>
            </w:r>
            <w:r>
              <w:rPr>
                <w:rFonts w:hint="eastAsia" w:ascii="宋体" w:hAnsi="宋体"/>
                <w:color w:val="auto"/>
                <w:szCs w:val="21"/>
                <w:highlight w:val="none"/>
                <w:lang w:val="en-US" w:eastAsia="zh-CN"/>
              </w:rPr>
              <w:t>执业许可证</w:t>
            </w:r>
            <w:r>
              <w:rPr>
                <w:rFonts w:hint="eastAsia" w:ascii="宋体" w:hAnsi="宋体"/>
                <w:color w:val="auto"/>
                <w:szCs w:val="21"/>
                <w:highlight w:val="none"/>
              </w:rPr>
              <w:t>、</w:t>
            </w:r>
            <w:r>
              <w:rPr>
                <w:rFonts w:hint="eastAsia" w:ascii="宋体" w:hAnsi="宋体"/>
                <w:color w:val="auto"/>
                <w:szCs w:val="21"/>
                <w:highlight w:val="none"/>
                <w:lang w:val="en-US" w:eastAsia="zh-CN"/>
              </w:rPr>
              <w:t>负责人</w:t>
            </w:r>
            <w:r>
              <w:rPr>
                <w:rFonts w:hint="eastAsia" w:ascii="宋体" w:hAnsi="宋体"/>
                <w:color w:val="auto"/>
                <w:szCs w:val="21"/>
                <w:highlight w:val="none"/>
              </w:rPr>
              <w:t>证明书及身份证复印件、</w:t>
            </w:r>
            <w:r>
              <w:rPr>
                <w:rFonts w:hint="eastAsia" w:ascii="宋体" w:hAnsi="宋体"/>
                <w:color w:val="auto"/>
                <w:szCs w:val="21"/>
                <w:highlight w:val="none"/>
                <w:lang w:val="en-US" w:eastAsia="zh-CN"/>
              </w:rPr>
              <w:t>负责</w:t>
            </w:r>
            <w:r>
              <w:rPr>
                <w:rFonts w:hint="eastAsia" w:ascii="宋体" w:hAnsi="宋体"/>
                <w:color w:val="auto"/>
                <w:szCs w:val="21"/>
                <w:highlight w:val="none"/>
              </w:rPr>
              <w:t>人授权委托书及</w:t>
            </w:r>
            <w:r>
              <w:rPr>
                <w:rFonts w:hint="eastAsia" w:ascii="宋体" w:hAnsi="宋体"/>
                <w:color w:val="auto"/>
                <w:szCs w:val="21"/>
                <w:highlight w:val="none"/>
                <w:lang w:val="en-US" w:eastAsia="zh-CN"/>
              </w:rPr>
              <w:t>经办人</w:t>
            </w:r>
            <w:r>
              <w:rPr>
                <w:rFonts w:hint="eastAsia" w:ascii="宋体" w:hAnsi="宋体"/>
                <w:color w:val="auto"/>
                <w:szCs w:val="21"/>
                <w:highlight w:val="none"/>
              </w:rPr>
              <w:t>身份证复印件。</w:t>
            </w:r>
          </w:p>
        </w:tc>
      </w:tr>
      <w:tr w14:paraId="0CB8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1035" w:type="dxa"/>
            <w:noWrap w:val="0"/>
            <w:vAlign w:val="center"/>
          </w:tcPr>
          <w:p w14:paraId="4A2D5BF2">
            <w:pPr>
              <w:pStyle w:val="13"/>
              <w:spacing w:line="360" w:lineRule="exact"/>
              <w:ind w:firstLine="0" w:firstLineChars="0"/>
              <w:jc w:val="center"/>
              <w:rPr>
                <w:rFonts w:hint="default" w:ascii="宋体" w:hAnsi="宋体"/>
                <w:color w:val="auto"/>
                <w:kern w:val="2"/>
                <w:sz w:val="21"/>
                <w:szCs w:val="21"/>
                <w:lang w:val="en-US" w:eastAsia="zh-CN" w:bidi="ar-SA"/>
              </w:rPr>
            </w:pPr>
            <w:r>
              <w:rPr>
                <w:rFonts w:hint="eastAsia" w:ascii="宋体" w:hAnsi="宋体"/>
                <w:color w:val="auto"/>
                <w:kern w:val="2"/>
                <w:sz w:val="21"/>
                <w:szCs w:val="21"/>
                <w:lang w:val="en-US" w:eastAsia="zh-CN" w:bidi="ar-SA"/>
              </w:rPr>
              <w:t>2</w:t>
            </w:r>
          </w:p>
        </w:tc>
        <w:tc>
          <w:tcPr>
            <w:tcW w:w="3478" w:type="dxa"/>
            <w:noWrap w:val="0"/>
            <w:vAlign w:val="center"/>
          </w:tcPr>
          <w:p w14:paraId="16A0979E">
            <w:pPr>
              <w:adjustRightInd w:val="0"/>
              <w:snapToGrid w:val="0"/>
              <w:spacing w:line="580" w:lineRule="exact"/>
              <w:jc w:val="left"/>
              <w:rPr>
                <w:rFonts w:hint="eastAsia" w:ascii="宋体" w:hAnsi="宋体" w:eastAsia="宋体"/>
                <w:color w:val="auto"/>
                <w:szCs w:val="21"/>
                <w:lang w:val="en-US" w:eastAsia="zh-CN"/>
              </w:rPr>
            </w:pPr>
            <w:r>
              <w:rPr>
                <w:rFonts w:hint="eastAsia" w:ascii="宋体" w:hAnsi="宋体"/>
                <w:color w:val="auto"/>
                <w:szCs w:val="21"/>
                <w:lang w:val="en-US" w:eastAsia="zh-CN"/>
              </w:rPr>
              <w:t>报价表</w:t>
            </w:r>
          </w:p>
        </w:tc>
        <w:tc>
          <w:tcPr>
            <w:tcW w:w="4518" w:type="dxa"/>
            <w:noWrap w:val="0"/>
            <w:vAlign w:val="center"/>
          </w:tcPr>
          <w:p w14:paraId="404FC3BC">
            <w:pPr>
              <w:pStyle w:val="1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根据采购公告附件所列报价表样式进行报价（加盖公章）。</w:t>
            </w:r>
          </w:p>
        </w:tc>
      </w:tr>
      <w:tr w14:paraId="6B6F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1035" w:type="dxa"/>
            <w:noWrap w:val="0"/>
            <w:vAlign w:val="center"/>
          </w:tcPr>
          <w:p w14:paraId="1DA9D33F">
            <w:pPr>
              <w:pStyle w:val="13"/>
              <w:spacing w:line="360" w:lineRule="exact"/>
              <w:ind w:firstLine="0" w:firstLineChars="0"/>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3</w:t>
            </w:r>
          </w:p>
        </w:tc>
        <w:tc>
          <w:tcPr>
            <w:tcW w:w="3478" w:type="dxa"/>
            <w:noWrap w:val="0"/>
            <w:vAlign w:val="center"/>
          </w:tcPr>
          <w:p w14:paraId="29BEFE1F">
            <w:pPr>
              <w:adjustRightInd w:val="0"/>
              <w:snapToGrid w:val="0"/>
              <w:spacing w:line="580" w:lineRule="exact"/>
              <w:jc w:val="left"/>
              <w:rPr>
                <w:rFonts w:hint="default" w:ascii="宋体" w:hAnsi="宋体" w:eastAsia="宋体" w:cs="Times New Roman"/>
                <w:color w:val="auto"/>
                <w:kern w:val="2"/>
                <w:sz w:val="21"/>
                <w:szCs w:val="21"/>
                <w:lang w:val="en-US" w:eastAsia="zh-CN" w:bidi="ar-SA"/>
              </w:rPr>
            </w:pPr>
            <w:r>
              <w:rPr>
                <w:rFonts w:hint="eastAsia" w:ascii="宋体" w:hAnsi="宋体"/>
                <w:color w:val="auto"/>
                <w:szCs w:val="21"/>
              </w:rPr>
              <w:t>承诺函</w:t>
            </w:r>
          </w:p>
        </w:tc>
        <w:tc>
          <w:tcPr>
            <w:tcW w:w="4518" w:type="dxa"/>
            <w:noWrap w:val="0"/>
            <w:vAlign w:val="center"/>
          </w:tcPr>
          <w:p w14:paraId="07C288CA">
            <w:pPr>
              <w:pStyle w:val="1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s="仿宋"/>
                <w:color w:val="auto"/>
                <w:szCs w:val="21"/>
              </w:rPr>
              <w:t>报价不得超过</w:t>
            </w:r>
            <w:r>
              <w:rPr>
                <w:rFonts w:hint="eastAsia" w:ascii="宋体" w:hAnsi="宋体" w:cs="仿宋"/>
                <w:color w:val="auto"/>
                <w:szCs w:val="21"/>
                <w:lang w:eastAsia="zh-CN"/>
              </w:rPr>
              <w:t>公开招标（自主）上</w:t>
            </w:r>
            <w:r>
              <w:rPr>
                <w:rFonts w:hint="eastAsia" w:ascii="宋体" w:hAnsi="宋体" w:cs="仿宋"/>
                <w:color w:val="auto"/>
                <w:szCs w:val="21"/>
              </w:rPr>
              <w:t>限价，保留小数点后</w:t>
            </w:r>
            <w:r>
              <w:rPr>
                <w:rFonts w:hint="eastAsia" w:ascii="宋体" w:hAnsi="宋体" w:cs="仿宋"/>
                <w:color w:val="auto"/>
                <w:szCs w:val="21"/>
                <w:lang w:val="en-US" w:eastAsia="zh-CN"/>
              </w:rPr>
              <w:t>2</w:t>
            </w:r>
            <w:r>
              <w:rPr>
                <w:rFonts w:hint="eastAsia" w:ascii="宋体" w:hAnsi="宋体" w:cs="仿宋"/>
                <w:color w:val="auto"/>
                <w:szCs w:val="21"/>
              </w:rPr>
              <w:t>位，格式后附。</w:t>
            </w:r>
          </w:p>
        </w:tc>
      </w:tr>
      <w:tr w14:paraId="2A06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1035" w:type="dxa"/>
            <w:noWrap w:val="0"/>
            <w:vAlign w:val="center"/>
          </w:tcPr>
          <w:p w14:paraId="501F9680">
            <w:pPr>
              <w:pStyle w:val="13"/>
              <w:spacing w:line="360" w:lineRule="exact"/>
              <w:ind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4</w:t>
            </w:r>
          </w:p>
        </w:tc>
        <w:tc>
          <w:tcPr>
            <w:tcW w:w="3478" w:type="dxa"/>
            <w:noWrap w:val="0"/>
            <w:vAlign w:val="center"/>
          </w:tcPr>
          <w:p w14:paraId="6ECCCCF8">
            <w:pPr>
              <w:pStyle w:val="13"/>
              <w:spacing w:line="360" w:lineRule="exact"/>
              <w:ind w:firstLine="0" w:firstLineChars="0"/>
              <w:jc w:val="left"/>
              <w:rPr>
                <w:rFonts w:hint="default" w:ascii="宋体" w:hAnsi="宋体" w:eastAsia="宋体" w:cs="宋体"/>
                <w:color w:val="auto"/>
                <w:kern w:val="0"/>
                <w:sz w:val="21"/>
                <w:szCs w:val="21"/>
                <w:lang w:val="en-US" w:eastAsia="zh-CN" w:bidi="ar-SA"/>
              </w:rPr>
            </w:pPr>
            <w:r>
              <w:rPr>
                <w:rFonts w:hint="eastAsia" w:ascii="Calibri" w:hAnsi="Calibri" w:eastAsia="宋体" w:cs="Times New Roman"/>
                <w:bCs/>
                <w:color w:val="auto"/>
                <w:kern w:val="2"/>
                <w:sz w:val="21"/>
                <w:szCs w:val="21"/>
                <w:lang w:val="en-US" w:eastAsia="zh-CN" w:bidi="ar-SA"/>
              </w:rPr>
              <w:t>企业资质</w:t>
            </w:r>
          </w:p>
        </w:tc>
        <w:tc>
          <w:tcPr>
            <w:tcW w:w="4518" w:type="dxa"/>
            <w:noWrap w:val="0"/>
            <w:vAlign w:val="center"/>
          </w:tcPr>
          <w:p w14:paraId="437AD0F5">
            <w:pPr>
              <w:pStyle w:val="1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Times New Roman"/>
                <w:color w:val="auto"/>
                <w:kern w:val="2"/>
                <w:sz w:val="21"/>
                <w:szCs w:val="21"/>
                <w:lang w:val="en-US" w:eastAsia="zh-CN" w:bidi="ar-SA"/>
              </w:rPr>
            </w:pPr>
            <w:r>
              <w:rPr>
                <w:rFonts w:hint="eastAsia"/>
                <w:color w:val="auto"/>
              </w:rPr>
              <w:t>根据评审表要求提供。</w:t>
            </w:r>
          </w:p>
        </w:tc>
      </w:tr>
      <w:tr w14:paraId="03A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1035" w:type="dxa"/>
            <w:noWrap w:val="0"/>
            <w:vAlign w:val="center"/>
          </w:tcPr>
          <w:p w14:paraId="44B7601C">
            <w:pPr>
              <w:pStyle w:val="13"/>
              <w:spacing w:line="360" w:lineRule="exact"/>
              <w:ind w:firstLine="0" w:firstLineChars="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5</w:t>
            </w:r>
          </w:p>
        </w:tc>
        <w:tc>
          <w:tcPr>
            <w:tcW w:w="3478" w:type="dxa"/>
            <w:noWrap w:val="0"/>
            <w:vAlign w:val="center"/>
          </w:tcPr>
          <w:p w14:paraId="7954273F">
            <w:pPr>
              <w:pStyle w:val="13"/>
              <w:spacing w:line="360" w:lineRule="exact"/>
              <w:ind w:firstLine="0" w:firstLineChars="0"/>
              <w:jc w:val="left"/>
              <w:rPr>
                <w:rFonts w:hint="eastAsia" w:ascii="宋体" w:hAnsi="宋体" w:eastAsia="宋体" w:cs="宋体"/>
                <w:color w:val="auto"/>
                <w:kern w:val="0"/>
                <w:sz w:val="21"/>
                <w:szCs w:val="21"/>
                <w:lang w:val="en-US" w:eastAsia="zh-CN" w:bidi="ar-SA"/>
              </w:rPr>
            </w:pPr>
            <w:r>
              <w:rPr>
                <w:rFonts w:hint="eastAsia" w:ascii="Calibri" w:hAnsi="Calibri" w:eastAsia="宋体" w:cs="Times New Roman"/>
                <w:bCs/>
                <w:color w:val="auto"/>
                <w:szCs w:val="21"/>
                <w:lang w:val="en-US" w:eastAsia="zh-CN"/>
              </w:rPr>
              <w:t>企业业绩</w:t>
            </w:r>
          </w:p>
        </w:tc>
        <w:tc>
          <w:tcPr>
            <w:tcW w:w="4518" w:type="dxa"/>
            <w:noWrap w:val="0"/>
            <w:vAlign w:val="center"/>
          </w:tcPr>
          <w:p w14:paraId="408FADFF">
            <w:pPr>
              <w:pStyle w:val="13"/>
              <w:spacing w:line="360" w:lineRule="exact"/>
              <w:ind w:firstLine="0" w:firstLineChars="0"/>
              <w:jc w:val="left"/>
              <w:rPr>
                <w:rFonts w:hint="eastAsia" w:ascii="宋体" w:hAnsi="宋体" w:eastAsia="宋体" w:cs="Times New Roman"/>
                <w:color w:val="auto"/>
                <w:kern w:val="2"/>
                <w:sz w:val="21"/>
                <w:szCs w:val="21"/>
                <w:lang w:val="en-US" w:eastAsia="zh-CN" w:bidi="ar-SA"/>
              </w:rPr>
            </w:pPr>
            <w:r>
              <w:rPr>
                <w:rFonts w:hint="eastAsia"/>
                <w:color w:val="auto"/>
              </w:rPr>
              <w:t>根据评审表要求提供。</w:t>
            </w:r>
          </w:p>
        </w:tc>
      </w:tr>
      <w:tr w14:paraId="60EA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35" w:type="dxa"/>
            <w:noWrap w:val="0"/>
            <w:vAlign w:val="center"/>
          </w:tcPr>
          <w:p w14:paraId="102870A0">
            <w:pPr>
              <w:pStyle w:val="13"/>
              <w:spacing w:line="36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6</w:t>
            </w:r>
          </w:p>
        </w:tc>
        <w:tc>
          <w:tcPr>
            <w:tcW w:w="3478" w:type="dxa"/>
            <w:noWrap w:val="0"/>
            <w:vAlign w:val="center"/>
          </w:tcPr>
          <w:p w14:paraId="71E0A9CD">
            <w:pPr>
              <w:adjustRightInd w:val="0"/>
              <w:snapToGrid w:val="0"/>
              <w:jc w:val="both"/>
              <w:rPr>
                <w:rFonts w:hint="eastAsia" w:ascii="宋体" w:hAnsi="宋体" w:eastAsia="宋体" w:cs="宋体"/>
                <w:color w:val="auto"/>
                <w:kern w:val="0"/>
                <w:sz w:val="21"/>
                <w:szCs w:val="21"/>
                <w:lang w:val="en-US" w:eastAsia="zh-CN" w:bidi="ar-SA"/>
              </w:rPr>
            </w:pPr>
            <w:r>
              <w:rPr>
                <w:rFonts w:hint="eastAsia" w:ascii="Calibri" w:hAnsi="Calibri" w:eastAsia="宋体" w:cs="Times New Roman"/>
                <w:bCs/>
                <w:color w:val="auto"/>
                <w:szCs w:val="21"/>
                <w:lang w:eastAsia="zh-Hans"/>
              </w:rPr>
              <w:t>项目负责人</w:t>
            </w:r>
            <w:r>
              <w:rPr>
                <w:rFonts w:hint="eastAsia" w:cs="Times New Roman"/>
                <w:bCs/>
                <w:color w:val="auto"/>
                <w:szCs w:val="21"/>
              </w:rPr>
              <w:t>经验</w:t>
            </w:r>
          </w:p>
        </w:tc>
        <w:tc>
          <w:tcPr>
            <w:tcW w:w="4518" w:type="dxa"/>
            <w:noWrap w:val="0"/>
            <w:vAlign w:val="center"/>
          </w:tcPr>
          <w:p w14:paraId="19959DFE">
            <w:pPr>
              <w:wordWrap w:val="0"/>
              <w:rPr>
                <w:rFonts w:hint="eastAsia" w:ascii="宋体" w:hAnsi="宋体" w:eastAsia="宋体" w:cs="Times New Roman"/>
                <w:color w:val="auto"/>
                <w:kern w:val="2"/>
                <w:sz w:val="21"/>
                <w:szCs w:val="21"/>
                <w:lang w:val="en-US" w:eastAsia="zh-CN" w:bidi="ar-SA"/>
              </w:rPr>
            </w:pPr>
            <w:r>
              <w:rPr>
                <w:rFonts w:hint="eastAsia"/>
                <w:color w:val="auto"/>
              </w:rPr>
              <w:t>根据评审表要求提供。</w:t>
            </w:r>
          </w:p>
        </w:tc>
      </w:tr>
      <w:tr w14:paraId="2396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1035" w:type="dxa"/>
            <w:noWrap w:val="0"/>
            <w:vAlign w:val="center"/>
          </w:tcPr>
          <w:p w14:paraId="72C0C76E">
            <w:pPr>
              <w:pStyle w:val="13"/>
              <w:spacing w:line="36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7</w:t>
            </w:r>
          </w:p>
        </w:tc>
        <w:tc>
          <w:tcPr>
            <w:tcW w:w="3478" w:type="dxa"/>
            <w:noWrap w:val="0"/>
            <w:vAlign w:val="center"/>
          </w:tcPr>
          <w:p w14:paraId="574BD994">
            <w:pPr>
              <w:adjustRightInd w:val="0"/>
              <w:snapToGrid w:val="0"/>
              <w:spacing w:line="580" w:lineRule="exact"/>
              <w:jc w:val="left"/>
              <w:rPr>
                <w:rFonts w:hint="eastAsia" w:ascii="宋体" w:hAnsi="宋体" w:eastAsia="宋体" w:cs="Times New Roman"/>
                <w:color w:val="auto"/>
                <w:kern w:val="2"/>
                <w:sz w:val="21"/>
                <w:szCs w:val="21"/>
                <w:lang w:val="en-US" w:eastAsia="zh-CN" w:bidi="ar-SA"/>
              </w:rPr>
            </w:pPr>
            <w:r>
              <w:rPr>
                <w:rFonts w:hint="eastAsia"/>
                <w:bCs/>
                <w:color w:val="auto"/>
                <w:szCs w:val="21"/>
                <w:lang w:eastAsia="zh-Hans"/>
              </w:rPr>
              <w:t>项目团队</w:t>
            </w:r>
            <w:r>
              <w:rPr>
                <w:rFonts w:hint="eastAsia"/>
                <w:bCs/>
                <w:color w:val="auto"/>
                <w:szCs w:val="21"/>
                <w:lang w:eastAsia="zh-CN"/>
              </w:rPr>
              <w:t>（</w:t>
            </w:r>
            <w:r>
              <w:rPr>
                <w:rFonts w:hint="eastAsia"/>
                <w:bCs/>
                <w:color w:val="auto"/>
                <w:szCs w:val="21"/>
                <w:lang w:val="en-US" w:eastAsia="zh-CN"/>
              </w:rPr>
              <w:t>项目负责人除外</w:t>
            </w:r>
            <w:r>
              <w:rPr>
                <w:rFonts w:hint="eastAsia"/>
                <w:bCs/>
                <w:color w:val="auto"/>
                <w:szCs w:val="21"/>
                <w:lang w:eastAsia="zh-CN"/>
              </w:rPr>
              <w:t>）</w:t>
            </w:r>
          </w:p>
        </w:tc>
        <w:tc>
          <w:tcPr>
            <w:tcW w:w="4518" w:type="dxa"/>
            <w:noWrap w:val="0"/>
            <w:vAlign w:val="center"/>
          </w:tcPr>
          <w:p w14:paraId="61A39879">
            <w:pPr>
              <w:pStyle w:val="1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Times New Roman"/>
                <w:color w:val="auto"/>
                <w:kern w:val="2"/>
                <w:sz w:val="21"/>
                <w:szCs w:val="21"/>
                <w:lang w:val="en-US" w:eastAsia="zh-CN" w:bidi="ar-SA"/>
              </w:rPr>
            </w:pPr>
            <w:r>
              <w:rPr>
                <w:rFonts w:hint="eastAsia"/>
                <w:color w:val="auto"/>
              </w:rPr>
              <w:t>根据评审表要求提供。</w:t>
            </w:r>
          </w:p>
        </w:tc>
      </w:tr>
      <w:tr w14:paraId="500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1035" w:type="dxa"/>
            <w:noWrap w:val="0"/>
            <w:vAlign w:val="center"/>
          </w:tcPr>
          <w:p w14:paraId="56FFE726">
            <w:pPr>
              <w:pStyle w:val="13"/>
              <w:spacing w:line="36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8</w:t>
            </w:r>
          </w:p>
        </w:tc>
        <w:tc>
          <w:tcPr>
            <w:tcW w:w="3478" w:type="dxa"/>
            <w:noWrap w:val="0"/>
            <w:vAlign w:val="center"/>
          </w:tcPr>
          <w:p w14:paraId="1168C4C9">
            <w:pPr>
              <w:pStyle w:val="13"/>
              <w:spacing w:line="360" w:lineRule="exact"/>
              <w:ind w:firstLine="0" w:firstLineChars="0"/>
              <w:jc w:val="left"/>
              <w:rPr>
                <w:rFonts w:hint="eastAsia" w:ascii="宋体" w:hAnsi="宋体" w:eastAsia="宋体" w:cs="宋体"/>
                <w:color w:val="auto"/>
                <w:kern w:val="0"/>
                <w:sz w:val="21"/>
                <w:szCs w:val="21"/>
                <w:lang w:val="en-US" w:eastAsia="zh-CN" w:bidi="ar-SA"/>
              </w:rPr>
            </w:pPr>
            <w:r>
              <w:rPr>
                <w:rFonts w:hint="eastAsia" w:ascii="Calibri" w:hAnsi="Calibri" w:eastAsia="宋体" w:cs="Times New Roman"/>
                <w:bCs/>
                <w:color w:val="auto"/>
                <w:szCs w:val="21"/>
                <w:highlight w:val="none"/>
                <w:lang w:eastAsia="zh-Hans"/>
              </w:rPr>
              <w:t>本项目实施方案</w:t>
            </w:r>
          </w:p>
        </w:tc>
        <w:tc>
          <w:tcPr>
            <w:tcW w:w="4518" w:type="dxa"/>
            <w:noWrap w:val="0"/>
            <w:vAlign w:val="center"/>
          </w:tcPr>
          <w:p w14:paraId="511163AE">
            <w:pPr>
              <w:wordWrap w:val="0"/>
              <w:rPr>
                <w:rFonts w:hint="eastAsia" w:ascii="宋体" w:hAnsi="宋体" w:eastAsia="宋体" w:cs="Times New Roman"/>
                <w:color w:val="auto"/>
                <w:kern w:val="2"/>
                <w:sz w:val="21"/>
                <w:szCs w:val="21"/>
                <w:lang w:val="en-US" w:eastAsia="zh-CN" w:bidi="ar-SA"/>
              </w:rPr>
            </w:pPr>
            <w:r>
              <w:rPr>
                <w:rFonts w:hint="eastAsia"/>
                <w:color w:val="auto"/>
              </w:rPr>
              <w:t>根据评审表要求提供。</w:t>
            </w:r>
          </w:p>
        </w:tc>
      </w:tr>
      <w:tr w14:paraId="59AD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035" w:type="dxa"/>
            <w:noWrap w:val="0"/>
            <w:vAlign w:val="center"/>
          </w:tcPr>
          <w:p w14:paraId="6F90CD64">
            <w:pPr>
              <w:pStyle w:val="13"/>
              <w:spacing w:line="36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9</w:t>
            </w:r>
          </w:p>
        </w:tc>
        <w:tc>
          <w:tcPr>
            <w:tcW w:w="3478" w:type="dxa"/>
            <w:noWrap w:val="0"/>
            <w:vAlign w:val="center"/>
          </w:tcPr>
          <w:p w14:paraId="578A29D7">
            <w:pPr>
              <w:pStyle w:val="13"/>
              <w:spacing w:line="360" w:lineRule="exact"/>
              <w:ind w:firstLine="0" w:firstLineChars="0"/>
              <w:jc w:val="left"/>
              <w:rPr>
                <w:rFonts w:hint="eastAsia" w:ascii="宋体" w:hAnsi="宋体" w:eastAsia="宋体" w:cs="宋体"/>
                <w:color w:val="auto"/>
                <w:kern w:val="0"/>
                <w:sz w:val="21"/>
                <w:szCs w:val="21"/>
                <w:lang w:val="en-US" w:eastAsia="zh-CN" w:bidi="ar-SA"/>
              </w:rPr>
            </w:pPr>
            <w:r>
              <w:rPr>
                <w:rFonts w:hint="eastAsia" w:ascii="Calibri" w:hAnsi="Calibri" w:eastAsia="宋体" w:cs="Times New Roman"/>
                <w:bCs/>
                <w:color w:val="auto"/>
                <w:szCs w:val="21"/>
                <w:lang w:eastAsia="zh-Hans"/>
              </w:rPr>
              <w:t>质量保证措施</w:t>
            </w:r>
          </w:p>
        </w:tc>
        <w:tc>
          <w:tcPr>
            <w:tcW w:w="4518" w:type="dxa"/>
            <w:noWrap w:val="0"/>
            <w:vAlign w:val="center"/>
          </w:tcPr>
          <w:p w14:paraId="5EF77F45">
            <w:pPr>
              <w:pStyle w:val="13"/>
              <w:spacing w:line="360" w:lineRule="exact"/>
              <w:ind w:firstLine="0" w:firstLineChars="0"/>
              <w:jc w:val="left"/>
              <w:rPr>
                <w:rFonts w:hint="eastAsia" w:ascii="宋体" w:hAnsi="宋体" w:eastAsia="宋体" w:cs="Times New Roman"/>
                <w:color w:val="auto"/>
                <w:kern w:val="2"/>
                <w:sz w:val="21"/>
                <w:szCs w:val="21"/>
                <w:lang w:val="en-US" w:eastAsia="zh-CN" w:bidi="ar-SA"/>
              </w:rPr>
            </w:pPr>
            <w:r>
              <w:rPr>
                <w:rFonts w:hint="eastAsia"/>
                <w:color w:val="auto"/>
              </w:rPr>
              <w:t>根据评审表要求提供。</w:t>
            </w:r>
          </w:p>
        </w:tc>
      </w:tr>
      <w:tr w14:paraId="2095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1035" w:type="dxa"/>
            <w:noWrap w:val="0"/>
            <w:vAlign w:val="center"/>
          </w:tcPr>
          <w:p w14:paraId="2F24F95D">
            <w:pPr>
              <w:pStyle w:val="13"/>
              <w:spacing w:line="360" w:lineRule="exact"/>
              <w:ind w:firstLine="0" w:firstLineChars="0"/>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10</w:t>
            </w:r>
          </w:p>
        </w:tc>
        <w:tc>
          <w:tcPr>
            <w:tcW w:w="3478" w:type="dxa"/>
            <w:noWrap w:val="0"/>
            <w:vAlign w:val="center"/>
          </w:tcPr>
          <w:p w14:paraId="3BC9911D">
            <w:pPr>
              <w:pStyle w:val="13"/>
              <w:spacing w:line="360" w:lineRule="exact"/>
              <w:ind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报价人认为需要加以说明的其他内容</w:t>
            </w:r>
          </w:p>
        </w:tc>
        <w:tc>
          <w:tcPr>
            <w:tcW w:w="4518" w:type="dxa"/>
            <w:noWrap w:val="0"/>
            <w:vAlign w:val="center"/>
          </w:tcPr>
          <w:p w14:paraId="25580331">
            <w:pPr>
              <w:pStyle w:val="13"/>
              <w:spacing w:line="360" w:lineRule="exact"/>
              <w:ind w:firstLine="0" w:firstLineChars="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如有。</w:t>
            </w:r>
          </w:p>
        </w:tc>
      </w:tr>
    </w:tbl>
    <w:p w14:paraId="796BA2ED">
      <w:pPr>
        <w:rPr>
          <w:color w:val="auto"/>
        </w:rPr>
      </w:pPr>
    </w:p>
    <w:p w14:paraId="5AE82FBE">
      <w:pPr>
        <w:rPr>
          <w:rFonts w:ascii="仿宋_GB2312" w:eastAsia="仿宋_GB2312"/>
          <w:b/>
          <w:bCs/>
          <w:color w:val="auto"/>
          <w:sz w:val="32"/>
          <w:szCs w:val="32"/>
        </w:rPr>
      </w:pPr>
    </w:p>
    <w:p w14:paraId="79873F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注：1.以上材料均需加盖公章，未加盖公章资料视为无效资料。</w:t>
      </w:r>
    </w:p>
    <w:p w14:paraId="4E21AE33">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4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2.整套文件</w:t>
      </w:r>
      <w:r>
        <w:rPr>
          <w:rFonts w:hint="eastAsia" w:ascii="宋体" w:hAnsi="宋体" w:eastAsia="宋体" w:cs="宋体"/>
          <w:b/>
          <w:bCs/>
          <w:color w:val="auto"/>
          <w:sz w:val="24"/>
          <w:szCs w:val="24"/>
          <w:highlight w:val="none"/>
          <w:lang w:val="en-US" w:eastAsia="zh-CN"/>
        </w:rPr>
        <w:t>1正4副密封（密封处加盖公章）</w:t>
      </w:r>
    </w:p>
    <w:p w14:paraId="346B7E20">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466DB6B8">
      <w:pPr>
        <w:rPr>
          <w:rFonts w:hint="eastAsia" w:ascii="仿宋_GB2312" w:eastAsia="仿宋_GB2312"/>
          <w:b/>
          <w:bCs/>
          <w:sz w:val="30"/>
          <w:szCs w:val="30"/>
        </w:rPr>
      </w:pPr>
    </w:p>
    <w:p w14:paraId="5224C08A">
      <w:pPr>
        <w:rPr>
          <w:rFonts w:ascii="仿宋_GB2312" w:eastAsia="仿宋_GB2312"/>
          <w:b/>
          <w:bCs/>
          <w:sz w:val="30"/>
          <w:szCs w:val="30"/>
        </w:rPr>
      </w:pPr>
      <w:r>
        <w:rPr>
          <w:rFonts w:hint="eastAsia" w:ascii="仿宋_GB2312" w:eastAsia="仿宋_GB2312"/>
          <w:b/>
          <w:bCs/>
          <w:sz w:val="30"/>
          <w:szCs w:val="30"/>
        </w:rPr>
        <w:t>附件2：综合评分表</w:t>
      </w:r>
    </w:p>
    <w:p w14:paraId="607D60AE">
      <w:pPr>
        <w:pStyle w:val="5"/>
      </w:pPr>
    </w:p>
    <w:p w14:paraId="1A469B8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ascii="国标仿宋-GB/T 2312" w:hAnsi="国标仿宋-GB/T 2312" w:eastAsia="国标仿宋-GB/T 2312" w:cs="国标仿宋-GB/T 2312"/>
          <w:sz w:val="36"/>
          <w:szCs w:val="36"/>
        </w:rPr>
      </w:pPr>
      <w:r>
        <w:rPr>
          <w:rFonts w:hint="eastAsia" w:ascii="国标仿宋-GB/T 2312" w:hAnsi="国标仿宋-GB/T 2312" w:eastAsia="国标仿宋-GB/T 2312" w:cs="国标仿宋-GB/T 2312"/>
          <w:sz w:val="36"/>
          <w:szCs w:val="36"/>
        </w:rPr>
        <w:t>关于</w:t>
      </w:r>
      <w:r>
        <w:rPr>
          <w:rFonts w:hint="eastAsia" w:ascii="国标仿宋-GB/T 2312" w:hAnsi="国标仿宋-GB/T 2312" w:eastAsia="国标仿宋-GB/T 2312" w:cs="国标仿宋-GB/T 2312"/>
          <w:sz w:val="36"/>
          <w:szCs w:val="36"/>
          <w:lang w:val="en-US" w:eastAsia="zh-CN"/>
        </w:rPr>
        <w:t>湾东智算公司知识产权代理</w:t>
      </w:r>
      <w:r>
        <w:rPr>
          <w:rFonts w:hint="eastAsia" w:ascii="国标仿宋-GB/T 2312" w:hAnsi="国标仿宋-GB/T 2312" w:eastAsia="国标仿宋-GB/T 2312" w:cs="国标仿宋-GB/T 2312"/>
          <w:sz w:val="36"/>
          <w:szCs w:val="36"/>
        </w:rPr>
        <w:t>服务</w:t>
      </w:r>
      <w:r>
        <w:rPr>
          <w:rFonts w:hint="eastAsia" w:ascii="国标仿宋-GB/T 2312" w:hAnsi="国标仿宋-GB/T 2312" w:eastAsia="国标仿宋-GB/T 2312" w:cs="国标仿宋-GB/T 2312"/>
          <w:sz w:val="36"/>
          <w:szCs w:val="36"/>
          <w:lang w:val="en-US" w:eastAsia="zh-CN"/>
        </w:rPr>
        <w:t>的</w:t>
      </w:r>
      <w:r>
        <w:rPr>
          <w:rFonts w:hint="eastAsia" w:ascii="国标仿宋-GB/T 2312" w:hAnsi="国标仿宋-GB/T 2312" w:eastAsia="国标仿宋-GB/T 2312" w:cs="国标仿宋-GB/T 2312"/>
          <w:sz w:val="36"/>
          <w:szCs w:val="36"/>
        </w:rPr>
        <w:t>综合评分表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5"/>
        <w:gridCol w:w="1021"/>
        <w:gridCol w:w="6853"/>
        <w:gridCol w:w="680"/>
      </w:tblGrid>
      <w:tr w14:paraId="5C1E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blHeader/>
          <w:jc w:val="center"/>
        </w:trPr>
        <w:tc>
          <w:tcPr>
            <w:tcW w:w="247" w:type="pct"/>
            <w:noWrap w:val="0"/>
            <w:tcMar>
              <w:top w:w="80" w:type="dxa"/>
              <w:left w:w="80" w:type="dxa"/>
              <w:bottom w:w="80" w:type="dxa"/>
              <w:right w:w="80" w:type="dxa"/>
            </w:tcMar>
            <w:vAlign w:val="center"/>
          </w:tcPr>
          <w:p w14:paraId="037406FB">
            <w:pPr>
              <w:keepLines w:val="0"/>
              <w:pageBreakBefore w:val="0"/>
              <w:widowControl w:val="0"/>
              <w:tabs>
                <w:tab w:val="left" w:pos="420"/>
              </w:tabs>
              <w:kinsoku/>
              <w:wordWrap/>
              <w:overflowPunct/>
              <w:topLinePunct w:val="0"/>
              <w:autoSpaceDE/>
              <w:autoSpaceDN/>
              <w:bidi w:val="0"/>
              <w:spacing w:before="0" w:line="240" w:lineRule="auto"/>
              <w:jc w:val="center"/>
              <w:textAlignment w:val="auto"/>
              <w:rPr>
                <w:rFonts w:hint="default"/>
                <w:color w:val="auto"/>
              </w:rPr>
            </w:pPr>
            <w:r>
              <w:rPr>
                <w:rFonts w:ascii="宋体" w:hAnsi="宋体" w:eastAsia="宋体" w:cs="宋体"/>
                <w:b/>
                <w:bCs/>
                <w:color w:val="auto"/>
                <w:kern w:val="2"/>
                <w:sz w:val="21"/>
                <w:szCs w:val="21"/>
              </w:rPr>
              <w:t>序号</w:t>
            </w:r>
          </w:p>
        </w:tc>
        <w:tc>
          <w:tcPr>
            <w:tcW w:w="567" w:type="pct"/>
            <w:noWrap w:val="0"/>
            <w:tcMar>
              <w:top w:w="80" w:type="dxa"/>
              <w:left w:w="80" w:type="dxa"/>
              <w:bottom w:w="80" w:type="dxa"/>
              <w:right w:w="80" w:type="dxa"/>
            </w:tcMar>
            <w:vAlign w:val="center"/>
          </w:tcPr>
          <w:p w14:paraId="6A64E031">
            <w:pPr>
              <w:keepLines w:val="0"/>
              <w:pageBreakBefore w:val="0"/>
              <w:widowControl w:val="0"/>
              <w:tabs>
                <w:tab w:val="left" w:pos="420"/>
              </w:tabs>
              <w:kinsoku/>
              <w:wordWrap/>
              <w:overflowPunct/>
              <w:topLinePunct w:val="0"/>
              <w:autoSpaceDE/>
              <w:autoSpaceDN/>
              <w:bidi w:val="0"/>
              <w:spacing w:before="0" w:line="240" w:lineRule="auto"/>
              <w:jc w:val="center"/>
              <w:textAlignment w:val="auto"/>
              <w:rPr>
                <w:rFonts w:hint="default"/>
                <w:color w:val="auto"/>
              </w:rPr>
            </w:pPr>
            <w:r>
              <w:rPr>
                <w:rFonts w:hint="eastAsia"/>
                <w:b/>
                <w:szCs w:val="21"/>
              </w:rPr>
              <w:t>评分项</w:t>
            </w:r>
          </w:p>
        </w:tc>
        <w:tc>
          <w:tcPr>
            <w:tcW w:w="3806" w:type="pct"/>
            <w:noWrap w:val="0"/>
            <w:tcMar>
              <w:top w:w="80" w:type="dxa"/>
              <w:left w:w="80" w:type="dxa"/>
              <w:bottom w:w="80" w:type="dxa"/>
              <w:right w:w="80" w:type="dxa"/>
            </w:tcMar>
            <w:vAlign w:val="center"/>
          </w:tcPr>
          <w:p w14:paraId="152DAD8D">
            <w:pPr>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spacing w:before="0" w:line="240" w:lineRule="auto"/>
              <w:jc w:val="center"/>
              <w:textAlignment w:val="auto"/>
              <w:rPr>
                <w:rFonts w:hint="default"/>
                <w:color w:val="auto"/>
              </w:rPr>
            </w:pPr>
            <w:r>
              <w:rPr>
                <w:rFonts w:hint="eastAsia"/>
                <w:b/>
                <w:szCs w:val="21"/>
              </w:rPr>
              <w:t>评分规则</w:t>
            </w:r>
          </w:p>
        </w:tc>
        <w:tc>
          <w:tcPr>
            <w:tcW w:w="378" w:type="pct"/>
            <w:noWrap w:val="0"/>
            <w:tcMar>
              <w:top w:w="80" w:type="dxa"/>
              <w:left w:w="80" w:type="dxa"/>
              <w:bottom w:w="80" w:type="dxa"/>
              <w:right w:w="80" w:type="dxa"/>
            </w:tcMar>
            <w:vAlign w:val="center"/>
          </w:tcPr>
          <w:p w14:paraId="01962016">
            <w:pPr>
              <w:keepLines w:val="0"/>
              <w:pageBreakBefore w:val="0"/>
              <w:widowControl w:val="0"/>
              <w:tabs>
                <w:tab w:val="left" w:pos="420"/>
                <w:tab w:val="left" w:pos="840"/>
                <w:tab w:val="left" w:pos="1260"/>
              </w:tabs>
              <w:kinsoku/>
              <w:wordWrap/>
              <w:overflowPunct/>
              <w:topLinePunct w:val="0"/>
              <w:autoSpaceDE/>
              <w:autoSpaceDN/>
              <w:bidi w:val="0"/>
              <w:spacing w:before="0" w:line="240" w:lineRule="auto"/>
              <w:jc w:val="center"/>
              <w:textAlignment w:val="auto"/>
              <w:rPr>
                <w:rFonts w:hint="eastAsia" w:eastAsia="等线"/>
                <w:color w:val="auto"/>
                <w:lang w:eastAsia="zh-CN"/>
              </w:rPr>
            </w:pPr>
            <w:r>
              <w:rPr>
                <w:rFonts w:hint="eastAsia" w:ascii="宋体" w:hAnsi="宋体" w:eastAsia="宋体" w:cs="宋体"/>
                <w:b/>
                <w:bCs/>
                <w:color w:val="auto"/>
                <w:kern w:val="2"/>
                <w:sz w:val="21"/>
                <w:szCs w:val="21"/>
                <w:lang w:val="en-US" w:eastAsia="zh-CN"/>
              </w:rPr>
              <w:t>分值</w:t>
            </w:r>
          </w:p>
        </w:tc>
      </w:tr>
      <w:tr w14:paraId="4537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247" w:type="pct"/>
            <w:noWrap w:val="0"/>
            <w:tcMar>
              <w:top w:w="80" w:type="dxa"/>
              <w:left w:w="80" w:type="dxa"/>
              <w:bottom w:w="80" w:type="dxa"/>
              <w:right w:w="80" w:type="dxa"/>
            </w:tcMar>
            <w:vAlign w:val="center"/>
          </w:tcPr>
          <w:p w14:paraId="5B46B485">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1</w:t>
            </w:r>
          </w:p>
        </w:tc>
        <w:tc>
          <w:tcPr>
            <w:tcW w:w="567" w:type="pct"/>
            <w:noWrap w:val="0"/>
            <w:tcMar>
              <w:top w:w="80" w:type="dxa"/>
              <w:left w:w="80" w:type="dxa"/>
              <w:bottom w:w="80" w:type="dxa"/>
              <w:right w:w="80" w:type="dxa"/>
            </w:tcMar>
            <w:vAlign w:val="center"/>
          </w:tcPr>
          <w:p w14:paraId="145A9745">
            <w:pPr>
              <w:shd w:val="clear" w:color="auto" w:fill="auto"/>
              <w:tabs>
                <w:tab w:val="left" w:pos="900"/>
              </w:tabs>
              <w:jc w:val="center"/>
              <w:rPr>
                <w:rFonts w:hint="eastAsia" w:ascii="等线" w:hAnsi="等线" w:eastAsia="等线" w:cs="Times New Roman"/>
                <w:bCs/>
                <w:color w:val="000000"/>
                <w:kern w:val="2"/>
                <w:sz w:val="21"/>
                <w:szCs w:val="21"/>
                <w:highlight w:val="none"/>
                <w:shd w:val="clear" w:color="auto" w:fill="auto"/>
                <w:lang w:val="en-US" w:eastAsia="zh-CN" w:bidi="ar-SA"/>
              </w:rPr>
            </w:pPr>
            <w:r>
              <w:rPr>
                <w:rFonts w:hint="eastAsia"/>
                <w:bCs/>
                <w:color w:val="000000"/>
                <w:szCs w:val="21"/>
                <w:highlight w:val="none"/>
                <w:shd w:val="clear" w:color="auto" w:fill="auto"/>
              </w:rPr>
              <w:t>报价</w:t>
            </w:r>
          </w:p>
        </w:tc>
        <w:tc>
          <w:tcPr>
            <w:tcW w:w="3806" w:type="pct"/>
            <w:noWrap w:val="0"/>
            <w:tcMar>
              <w:top w:w="80" w:type="dxa"/>
              <w:left w:w="80" w:type="dxa"/>
              <w:bottom w:w="80" w:type="dxa"/>
              <w:right w:w="80" w:type="dxa"/>
            </w:tcMar>
            <w:vAlign w:val="center"/>
          </w:tcPr>
          <w:p w14:paraId="6B5E22DC">
            <w:pPr>
              <w:shd w:val="clear" w:color="auto" w:fill="auto"/>
              <w:adjustRightInd w:val="0"/>
              <w:snapToGrid w:val="0"/>
              <w:jc w:val="left"/>
              <w:rPr>
                <w:rFonts w:hint="eastAsia" w:ascii="宋体" w:hAnsi="宋体" w:eastAsia="宋体" w:cs="宋体"/>
                <w:bCs/>
                <w:color w:val="00000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en-US" w:eastAsia="zh-CN" w:bidi="ar"/>
              </w:rPr>
              <w:t>评审标准：</w:t>
            </w:r>
          </w:p>
          <w:p w14:paraId="6939945B">
            <w:pPr>
              <w:shd w:val="clear" w:color="auto" w:fill="auto"/>
              <w:adjustRightInd w:val="0"/>
              <w:snapToGrid w:val="0"/>
              <w:jc w:val="left"/>
              <w:rPr>
                <w:rFonts w:hint="eastAsia" w:ascii="宋体" w:hAnsi="宋体" w:eastAsia="宋体" w:cs="宋体"/>
                <w:bCs/>
                <w:color w:val="000000"/>
                <w:sz w:val="21"/>
                <w:szCs w:val="21"/>
                <w:highlight w:val="none"/>
                <w:shd w:val="clear" w:color="auto" w:fill="auto"/>
                <w:lang w:eastAsia="zh-CN"/>
              </w:rPr>
            </w:pPr>
            <w:r>
              <w:rPr>
                <w:rFonts w:hint="eastAsia" w:ascii="宋体" w:hAnsi="宋体" w:eastAsia="宋体" w:cs="宋体"/>
                <w:bCs/>
                <w:color w:val="000000"/>
                <w:sz w:val="21"/>
                <w:szCs w:val="21"/>
                <w:highlight w:val="none"/>
                <w:shd w:val="clear" w:color="auto" w:fill="auto"/>
              </w:rPr>
              <w:t>所有有效投标报价（总价）的算数平均值为基准价</w:t>
            </w:r>
            <w:r>
              <w:rPr>
                <w:rFonts w:hint="eastAsia" w:ascii="宋体" w:hAnsi="宋体" w:cs="宋体"/>
                <w:bCs/>
                <w:color w:val="000000"/>
                <w:sz w:val="21"/>
                <w:szCs w:val="21"/>
                <w:highlight w:val="none"/>
                <w:shd w:val="clear" w:color="auto" w:fill="auto"/>
                <w:lang w:eastAsia="zh-CN"/>
              </w:rPr>
              <w:t>，</w:t>
            </w:r>
          </w:p>
          <w:p w14:paraId="0CEAABF8">
            <w:pPr>
              <w:shd w:val="clear" w:color="auto" w:fill="auto"/>
              <w:adjustRightInd w:val="0"/>
              <w:snapToGrid w:val="0"/>
              <w:jc w:val="left"/>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 w:val="21"/>
                <w:szCs w:val="21"/>
                <w:highlight w:val="none"/>
                <w:shd w:val="clear" w:color="auto" w:fill="auto"/>
              </w:rPr>
              <w:t>投标报价得分 =（评标基准价／投标报价）×</w:t>
            </w:r>
            <w:r>
              <w:rPr>
                <w:rFonts w:hint="eastAsia" w:ascii="宋体" w:hAnsi="宋体" w:cs="宋体"/>
                <w:bCs/>
                <w:color w:val="000000"/>
                <w:sz w:val="21"/>
                <w:szCs w:val="21"/>
                <w:highlight w:val="none"/>
                <w:shd w:val="clear" w:color="auto" w:fill="auto"/>
                <w:lang w:val="en-US" w:eastAsia="zh-CN"/>
              </w:rPr>
              <w:t>20</w:t>
            </w:r>
            <w:r>
              <w:rPr>
                <w:rFonts w:hint="eastAsia" w:ascii="宋体" w:hAnsi="宋体" w:cs="宋体"/>
                <w:bCs/>
                <w:color w:val="000000"/>
                <w:sz w:val="21"/>
                <w:szCs w:val="21"/>
                <w:highlight w:val="none"/>
                <w:shd w:val="clear" w:color="auto" w:fill="auto"/>
                <w:lang w:eastAsia="zh-CN"/>
              </w:rPr>
              <w:t>。</w:t>
            </w:r>
          </w:p>
        </w:tc>
        <w:tc>
          <w:tcPr>
            <w:tcW w:w="378" w:type="pct"/>
            <w:noWrap w:val="0"/>
            <w:tcMar>
              <w:top w:w="80" w:type="dxa"/>
              <w:left w:w="80" w:type="dxa"/>
              <w:bottom w:w="80" w:type="dxa"/>
              <w:right w:w="80" w:type="dxa"/>
            </w:tcMar>
            <w:vAlign w:val="center"/>
          </w:tcPr>
          <w:p w14:paraId="23F6B8CF">
            <w:pPr>
              <w:shd w:val="clear" w:color="auto" w:fill="auto"/>
              <w:jc w:val="center"/>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Cs w:val="21"/>
                <w:highlight w:val="none"/>
                <w:shd w:val="clear" w:color="auto" w:fill="auto"/>
                <w:lang w:val="en-US" w:eastAsia="zh-CN"/>
              </w:rPr>
              <w:t>2</w:t>
            </w:r>
            <w:r>
              <w:rPr>
                <w:rFonts w:hint="eastAsia" w:ascii="宋体" w:hAnsi="宋体" w:eastAsia="宋体" w:cs="宋体"/>
                <w:bCs/>
                <w:color w:val="000000"/>
                <w:szCs w:val="21"/>
                <w:highlight w:val="none"/>
                <w:shd w:val="clear" w:color="auto" w:fill="auto"/>
              </w:rPr>
              <w:t>0</w:t>
            </w:r>
          </w:p>
        </w:tc>
      </w:tr>
      <w:tr w14:paraId="39EE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47" w:type="pct"/>
            <w:noWrap w:val="0"/>
            <w:tcMar>
              <w:top w:w="80" w:type="dxa"/>
              <w:left w:w="80" w:type="dxa"/>
              <w:bottom w:w="80" w:type="dxa"/>
              <w:right w:w="80" w:type="dxa"/>
            </w:tcMar>
            <w:vAlign w:val="center"/>
          </w:tcPr>
          <w:p w14:paraId="6BA0916F">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2</w:t>
            </w:r>
          </w:p>
        </w:tc>
        <w:tc>
          <w:tcPr>
            <w:tcW w:w="567" w:type="pct"/>
            <w:noWrap w:val="0"/>
            <w:tcMar>
              <w:top w:w="80" w:type="dxa"/>
              <w:left w:w="80" w:type="dxa"/>
              <w:bottom w:w="80" w:type="dxa"/>
              <w:right w:w="80" w:type="dxa"/>
            </w:tcMar>
            <w:vAlign w:val="center"/>
          </w:tcPr>
          <w:p w14:paraId="57415063">
            <w:pPr>
              <w:shd w:val="clear" w:color="auto" w:fill="auto"/>
              <w:adjustRightInd w:val="0"/>
              <w:snapToGrid w:val="0"/>
              <w:jc w:val="center"/>
              <w:rPr>
                <w:rFonts w:hint="eastAsia" w:ascii="Calibri" w:hAnsi="Calibri" w:eastAsia="宋体" w:cs="Times New Roman"/>
                <w:bCs/>
                <w:color w:val="auto"/>
                <w:kern w:val="2"/>
                <w:sz w:val="21"/>
                <w:szCs w:val="21"/>
                <w:highlight w:val="none"/>
                <w:shd w:val="clear" w:color="auto" w:fill="auto"/>
                <w:lang w:val="en-US" w:eastAsia="zh-CN" w:bidi="ar-SA"/>
              </w:rPr>
            </w:pPr>
            <w:r>
              <w:rPr>
                <w:rFonts w:hint="eastAsia" w:ascii="Calibri" w:hAnsi="Calibri" w:eastAsia="宋体" w:cs="Times New Roman"/>
                <w:bCs/>
                <w:color w:val="auto"/>
                <w:kern w:val="2"/>
                <w:sz w:val="21"/>
                <w:szCs w:val="21"/>
                <w:highlight w:val="none"/>
                <w:shd w:val="clear" w:color="auto" w:fill="auto"/>
                <w:lang w:val="en-US" w:eastAsia="zh-CN" w:bidi="ar-SA"/>
              </w:rPr>
              <w:t>企业信息</w:t>
            </w:r>
          </w:p>
        </w:tc>
        <w:tc>
          <w:tcPr>
            <w:tcW w:w="3806" w:type="pct"/>
            <w:noWrap w:val="0"/>
            <w:tcMar>
              <w:top w:w="80" w:type="dxa"/>
              <w:left w:w="80" w:type="dxa"/>
              <w:bottom w:w="80" w:type="dxa"/>
              <w:right w:w="80" w:type="dxa"/>
            </w:tcMar>
            <w:vAlign w:val="center"/>
          </w:tcPr>
          <w:p w14:paraId="357FC6D0">
            <w:pPr>
              <w:shd w:val="clear" w:color="auto" w:fill="auto"/>
              <w:adjustRightInd w:val="0"/>
              <w:snapToGrid w:val="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en-US" w:eastAsia="zh-CN" w:bidi="ar"/>
              </w:rPr>
              <w:t>评审标准：</w:t>
            </w:r>
          </w:p>
          <w:p w14:paraId="5330F150">
            <w:pPr>
              <w:shd w:val="clear" w:color="auto" w:fill="auto"/>
              <w:wordWrap w:val="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专利代理机构执业审批年限：审批设立年限≥5年，得10分，3年≤审批设立年限＜5年，得6分，其余得2分。</w:t>
            </w:r>
          </w:p>
          <w:p w14:paraId="5DD93078">
            <w:pPr>
              <w:shd w:val="clear" w:color="auto" w:fill="auto"/>
              <w:wordWrap w:val="0"/>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证明</w:t>
            </w:r>
            <w:r>
              <w:rPr>
                <w:rFonts w:hint="eastAsia" w:ascii="宋体" w:hAnsi="宋体" w:eastAsia="宋体" w:cs="宋体"/>
                <w:b/>
                <w:bCs/>
                <w:color w:val="auto"/>
                <w:sz w:val="21"/>
                <w:szCs w:val="21"/>
                <w:highlight w:val="none"/>
                <w:shd w:val="clear" w:color="auto" w:fill="auto"/>
                <w:lang w:val="en-US" w:eastAsia="zh-CN"/>
              </w:rPr>
              <w:t>材料</w:t>
            </w:r>
            <w:r>
              <w:rPr>
                <w:rFonts w:hint="eastAsia" w:ascii="宋体" w:hAnsi="宋体" w:eastAsia="宋体" w:cs="宋体"/>
                <w:b/>
                <w:bCs/>
                <w:color w:val="auto"/>
                <w:sz w:val="21"/>
                <w:szCs w:val="21"/>
                <w:highlight w:val="none"/>
                <w:shd w:val="clear" w:color="auto" w:fill="auto"/>
              </w:rPr>
              <w:t>:</w:t>
            </w:r>
          </w:p>
          <w:p w14:paraId="316A2568">
            <w:pPr>
              <w:pStyle w:val="4"/>
              <w:tabs>
                <w:tab w:val="left" w:pos="562"/>
                <w:tab w:val="left" w:pos="3372"/>
                <w:tab w:val="left" w:pos="3653"/>
              </w:tabs>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国家知识产权局审批设立专利代理机构名录截图</w:t>
            </w:r>
          </w:p>
        </w:tc>
        <w:tc>
          <w:tcPr>
            <w:tcW w:w="378" w:type="pct"/>
            <w:noWrap w:val="0"/>
            <w:tcMar>
              <w:top w:w="80" w:type="dxa"/>
              <w:left w:w="80" w:type="dxa"/>
              <w:bottom w:w="80" w:type="dxa"/>
              <w:right w:w="80" w:type="dxa"/>
            </w:tcMar>
            <w:vAlign w:val="center"/>
          </w:tcPr>
          <w:p w14:paraId="5FB92F17">
            <w:pPr>
              <w:shd w:val="clear" w:color="auto" w:fill="auto"/>
              <w:tabs>
                <w:tab w:val="left" w:pos="4287"/>
              </w:tabs>
              <w:ind w:right="-73" w:rightChars="-35"/>
              <w:jc w:val="center"/>
              <w:rPr>
                <w:rFonts w:hint="default"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Cs w:val="21"/>
                <w:highlight w:val="none"/>
                <w:shd w:val="clear" w:color="auto" w:fill="auto"/>
                <w:lang w:val="en-US" w:eastAsia="zh-CN"/>
              </w:rPr>
              <w:t>10</w:t>
            </w:r>
          </w:p>
        </w:tc>
      </w:tr>
      <w:tr w14:paraId="75E4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7" w:type="pct"/>
            <w:noWrap w:val="0"/>
            <w:tcMar>
              <w:top w:w="80" w:type="dxa"/>
              <w:left w:w="80" w:type="dxa"/>
              <w:bottom w:w="80" w:type="dxa"/>
              <w:right w:w="80" w:type="dxa"/>
            </w:tcMar>
            <w:vAlign w:val="center"/>
          </w:tcPr>
          <w:p w14:paraId="561D2DD8">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eastAsia="宋体"/>
                <w:color w:val="000000"/>
                <w:highlight w:val="none"/>
                <w:shd w:val="clear" w:color="auto" w:fill="auto"/>
                <w:lang w:val="en-US" w:eastAsia="zh-CN"/>
              </w:rPr>
            </w:pPr>
            <w:r>
              <w:rPr>
                <w:rFonts w:hint="eastAsia" w:eastAsia="宋体"/>
                <w:color w:val="000000"/>
                <w:highlight w:val="none"/>
                <w:shd w:val="clear" w:color="auto" w:fill="auto"/>
                <w:lang w:val="en-US" w:eastAsia="zh-CN"/>
              </w:rPr>
              <w:t>3</w:t>
            </w:r>
          </w:p>
        </w:tc>
        <w:tc>
          <w:tcPr>
            <w:tcW w:w="567" w:type="pct"/>
            <w:noWrap w:val="0"/>
            <w:tcMar>
              <w:top w:w="80" w:type="dxa"/>
              <w:left w:w="80" w:type="dxa"/>
              <w:bottom w:w="80" w:type="dxa"/>
              <w:right w:w="80" w:type="dxa"/>
            </w:tcMar>
            <w:vAlign w:val="center"/>
          </w:tcPr>
          <w:p w14:paraId="68C40BA1">
            <w:pPr>
              <w:shd w:val="clear" w:color="auto" w:fill="auto"/>
              <w:adjustRightInd w:val="0"/>
              <w:snapToGrid w:val="0"/>
              <w:jc w:val="center"/>
              <w:rPr>
                <w:rFonts w:hint="default" w:ascii="Calibri" w:hAnsi="Calibri" w:eastAsia="宋体" w:cs="Times New Roman"/>
                <w:bCs/>
                <w:color w:val="000000"/>
                <w:kern w:val="2"/>
                <w:sz w:val="21"/>
                <w:szCs w:val="21"/>
                <w:highlight w:val="none"/>
                <w:shd w:val="clear" w:color="auto" w:fill="auto"/>
                <w:lang w:val="en-US" w:eastAsia="zh-CN" w:bidi="ar-SA"/>
              </w:rPr>
            </w:pPr>
            <w:r>
              <w:rPr>
                <w:rFonts w:hint="eastAsia" w:ascii="Calibri" w:hAnsi="Calibri" w:eastAsia="宋体" w:cs="Times New Roman"/>
                <w:bCs/>
                <w:color w:val="000000"/>
                <w:szCs w:val="21"/>
                <w:highlight w:val="none"/>
                <w:shd w:val="clear" w:color="auto" w:fill="auto"/>
                <w:lang w:val="en-US" w:eastAsia="zh-CN"/>
              </w:rPr>
              <w:t>企业业绩</w:t>
            </w:r>
          </w:p>
        </w:tc>
        <w:tc>
          <w:tcPr>
            <w:tcW w:w="3806" w:type="pct"/>
            <w:noWrap w:val="0"/>
            <w:tcMar>
              <w:top w:w="80" w:type="dxa"/>
              <w:left w:w="80" w:type="dxa"/>
              <w:bottom w:w="80" w:type="dxa"/>
              <w:right w:w="80" w:type="dxa"/>
            </w:tcMar>
            <w:vAlign w:val="center"/>
          </w:tcPr>
          <w:p w14:paraId="05187504">
            <w:pPr>
              <w:shd w:val="clear" w:color="auto" w:fill="auto"/>
              <w:spacing w:line="300" w:lineRule="exact"/>
              <w:jc w:val="left"/>
              <w:rPr>
                <w:rFonts w:hint="eastAsia" w:ascii="宋体" w:hAnsi="宋体" w:eastAsia="宋体" w:cs="宋体"/>
                <w:b/>
                <w:bCs/>
                <w:color w:val="000000"/>
                <w:kern w:val="0"/>
                <w:sz w:val="21"/>
                <w:szCs w:val="21"/>
                <w:highlight w:val="none"/>
                <w:shd w:val="clear" w:color="auto" w:fill="auto"/>
                <w:lang w:val="en-US" w:eastAsia="zh-CN" w:bidi="ar"/>
              </w:rPr>
            </w:pPr>
            <w:r>
              <w:rPr>
                <w:rFonts w:hint="eastAsia" w:ascii="宋体" w:hAnsi="宋体" w:eastAsia="宋体" w:cs="宋体"/>
                <w:b/>
                <w:bCs/>
                <w:color w:val="000000"/>
                <w:kern w:val="0"/>
                <w:sz w:val="21"/>
                <w:szCs w:val="21"/>
                <w:highlight w:val="none"/>
                <w:shd w:val="clear" w:color="auto" w:fill="auto"/>
                <w:lang w:val="en-US" w:eastAsia="zh-CN" w:bidi="ar"/>
              </w:rPr>
              <w:t>评审标准：</w:t>
            </w:r>
          </w:p>
          <w:p w14:paraId="457829EA">
            <w:pPr>
              <w:shd w:val="clear" w:color="auto" w:fill="auto"/>
              <w:spacing w:line="300" w:lineRule="exact"/>
              <w:jc w:val="left"/>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提供投标人</w:t>
            </w:r>
            <w:r>
              <w:rPr>
                <w:rFonts w:hint="eastAsia" w:ascii="宋体" w:hAnsi="宋体" w:eastAsia="宋体" w:cs="宋体"/>
                <w:color w:val="000000"/>
                <w:sz w:val="21"/>
                <w:szCs w:val="21"/>
                <w:highlight w:val="none"/>
                <w:shd w:val="clear" w:color="auto" w:fill="auto"/>
                <w:lang w:val="en-US" w:eastAsia="zh-CN"/>
              </w:rPr>
              <w:t>202</w:t>
            </w:r>
            <w:r>
              <w:rPr>
                <w:rFonts w:hint="eastAsia" w:ascii="宋体" w:hAnsi="宋体" w:cs="宋体"/>
                <w:color w:val="000000"/>
                <w:sz w:val="21"/>
                <w:szCs w:val="21"/>
                <w:highlight w:val="none"/>
                <w:shd w:val="clear" w:color="auto" w:fill="auto"/>
                <w:lang w:val="en-US" w:eastAsia="zh-CN"/>
              </w:rPr>
              <w:t>3</w:t>
            </w:r>
            <w:r>
              <w:rPr>
                <w:rFonts w:hint="eastAsia" w:ascii="宋体" w:hAnsi="宋体" w:eastAsia="宋体" w:cs="宋体"/>
                <w:color w:val="000000"/>
                <w:sz w:val="21"/>
                <w:szCs w:val="21"/>
                <w:highlight w:val="none"/>
                <w:shd w:val="clear" w:color="auto" w:fill="auto"/>
              </w:rPr>
              <w:t>年</w:t>
            </w:r>
            <w:r>
              <w:rPr>
                <w:rFonts w:hint="eastAsia" w:ascii="宋体" w:hAnsi="宋体" w:cs="宋体"/>
                <w:color w:val="000000"/>
                <w:sz w:val="21"/>
                <w:szCs w:val="21"/>
                <w:highlight w:val="none"/>
                <w:shd w:val="clear" w:color="auto" w:fill="auto"/>
                <w:lang w:val="en-US" w:eastAsia="zh-CN"/>
              </w:rPr>
              <w:t>7</w:t>
            </w:r>
            <w:r>
              <w:rPr>
                <w:rFonts w:hint="eastAsia" w:ascii="宋体" w:hAnsi="宋体" w:eastAsia="宋体" w:cs="宋体"/>
                <w:color w:val="000000"/>
                <w:sz w:val="21"/>
                <w:szCs w:val="21"/>
                <w:highlight w:val="none"/>
                <w:shd w:val="clear" w:color="auto" w:fill="auto"/>
              </w:rPr>
              <w:t>月1日至本项目投标截止之日，供应商曾担任过数据或算力或人工智能发明专利申请代理机构，每提供</w:t>
            </w:r>
            <w:r>
              <w:rPr>
                <w:rFonts w:hint="eastAsia" w:ascii="宋体" w:hAnsi="宋体" w:eastAsia="宋体" w:cs="宋体"/>
                <w:color w:val="000000"/>
                <w:sz w:val="21"/>
                <w:szCs w:val="21"/>
                <w:highlight w:val="none"/>
                <w:shd w:val="clear" w:color="auto" w:fill="auto"/>
                <w:lang w:val="en-US" w:eastAsia="zh-CN"/>
              </w:rPr>
              <w:t>一项</w:t>
            </w:r>
            <w:r>
              <w:rPr>
                <w:rFonts w:hint="eastAsia" w:ascii="宋体" w:hAnsi="宋体" w:eastAsia="宋体" w:cs="宋体"/>
                <w:color w:val="000000"/>
                <w:sz w:val="21"/>
                <w:szCs w:val="21"/>
                <w:highlight w:val="none"/>
                <w:shd w:val="clear" w:color="auto" w:fill="auto"/>
              </w:rPr>
              <w:t>得</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分，最高不超过</w:t>
            </w:r>
            <w:r>
              <w:rPr>
                <w:rFonts w:hint="eastAsia" w:ascii="宋体" w:hAnsi="宋体" w:eastAsia="宋体" w:cs="宋体"/>
                <w:color w:val="000000"/>
                <w:sz w:val="21"/>
                <w:szCs w:val="21"/>
                <w:highlight w:val="none"/>
                <w:shd w:val="clear" w:color="auto" w:fill="auto"/>
                <w:lang w:val="en-US" w:eastAsia="zh-CN"/>
              </w:rPr>
              <w:t>30</w:t>
            </w:r>
            <w:r>
              <w:rPr>
                <w:rFonts w:hint="eastAsia" w:ascii="宋体" w:hAnsi="宋体" w:eastAsia="宋体" w:cs="宋体"/>
                <w:color w:val="000000"/>
                <w:sz w:val="21"/>
                <w:szCs w:val="21"/>
                <w:highlight w:val="none"/>
                <w:shd w:val="clear" w:color="auto" w:fill="auto"/>
              </w:rPr>
              <w:t>分。</w:t>
            </w:r>
          </w:p>
          <w:p w14:paraId="1302316A">
            <w:pPr>
              <w:shd w:val="clear" w:color="auto" w:fill="auto"/>
              <w:wordWrap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p>
          <w:p w14:paraId="6BE76B6A">
            <w:pPr>
              <w:keepNext/>
              <w:shd w:val="clear" w:color="auto" w:fill="auto"/>
              <w:adjustRightInd w:val="0"/>
              <w:snapToGrid w:val="0"/>
              <w:rPr>
                <w:rFonts w:hint="eastAsia"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color w:val="000000"/>
                <w:sz w:val="21"/>
                <w:szCs w:val="21"/>
                <w:highlight w:val="none"/>
                <w:shd w:val="clear" w:color="auto" w:fill="auto"/>
                <w:lang w:val="en-US" w:eastAsia="zh-CN"/>
              </w:rPr>
              <w:t>国家知识产权局官方</w:t>
            </w:r>
            <w:r>
              <w:rPr>
                <w:rFonts w:hint="eastAsia" w:ascii="宋体" w:hAnsi="宋体" w:eastAsia="宋体" w:cs="宋体"/>
                <w:color w:val="000000"/>
                <w:sz w:val="21"/>
                <w:szCs w:val="21"/>
                <w:highlight w:val="none"/>
                <w:shd w:val="clear" w:color="auto" w:fill="auto"/>
              </w:rPr>
              <w:t>的证明材料扫描件。如未按要求提供证明材料，或所提供的证明材料未能体现上述评分内容的，视为该证明材料无效。</w:t>
            </w:r>
          </w:p>
        </w:tc>
        <w:tc>
          <w:tcPr>
            <w:tcW w:w="378" w:type="pct"/>
            <w:noWrap w:val="0"/>
            <w:tcMar>
              <w:top w:w="80" w:type="dxa"/>
              <w:left w:w="80" w:type="dxa"/>
              <w:bottom w:w="80" w:type="dxa"/>
              <w:right w:w="80" w:type="dxa"/>
            </w:tcMar>
            <w:vAlign w:val="center"/>
          </w:tcPr>
          <w:p w14:paraId="6A7156F9">
            <w:pPr>
              <w:shd w:val="clear" w:color="auto" w:fill="auto"/>
              <w:jc w:val="center"/>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Cs w:val="21"/>
                <w:highlight w:val="none"/>
                <w:shd w:val="clear" w:color="auto" w:fill="auto"/>
                <w:lang w:val="en-US" w:eastAsia="zh-CN"/>
              </w:rPr>
              <w:t>30</w:t>
            </w:r>
          </w:p>
        </w:tc>
      </w:tr>
      <w:tr w14:paraId="4838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7" w:type="pct"/>
            <w:noWrap w:val="0"/>
            <w:tcMar>
              <w:top w:w="80" w:type="dxa"/>
              <w:left w:w="80" w:type="dxa"/>
              <w:bottom w:w="80" w:type="dxa"/>
              <w:right w:w="80" w:type="dxa"/>
            </w:tcMar>
            <w:vAlign w:val="center"/>
          </w:tcPr>
          <w:p w14:paraId="25A14531">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4</w:t>
            </w:r>
          </w:p>
        </w:tc>
        <w:tc>
          <w:tcPr>
            <w:tcW w:w="567" w:type="pct"/>
            <w:noWrap w:val="0"/>
            <w:tcMar>
              <w:top w:w="80" w:type="dxa"/>
              <w:left w:w="80" w:type="dxa"/>
              <w:bottom w:w="80" w:type="dxa"/>
              <w:right w:w="80" w:type="dxa"/>
            </w:tcMar>
            <w:vAlign w:val="center"/>
          </w:tcPr>
          <w:p w14:paraId="5BDD1225">
            <w:pPr>
              <w:shd w:val="clear" w:color="auto" w:fill="auto"/>
              <w:adjustRightInd w:val="0"/>
              <w:snapToGrid w:val="0"/>
              <w:jc w:val="center"/>
              <w:rPr>
                <w:rFonts w:hint="default" w:ascii="Calibri" w:hAnsi="Calibri" w:eastAsia="宋体" w:cs="Times New Roman"/>
                <w:bCs/>
                <w:color w:val="000000"/>
                <w:kern w:val="2"/>
                <w:sz w:val="21"/>
                <w:szCs w:val="21"/>
                <w:highlight w:val="none"/>
                <w:shd w:val="clear" w:color="auto" w:fill="auto"/>
                <w:lang w:val="en-US" w:eastAsia="zh-CN" w:bidi="ar-SA"/>
              </w:rPr>
            </w:pPr>
            <w:r>
              <w:rPr>
                <w:rFonts w:hint="eastAsia" w:ascii="Calibri" w:hAnsi="Calibri" w:eastAsia="宋体" w:cs="Times New Roman"/>
                <w:bCs/>
                <w:color w:val="000000"/>
                <w:szCs w:val="21"/>
                <w:highlight w:val="none"/>
                <w:shd w:val="clear" w:color="auto" w:fill="auto"/>
                <w:lang w:eastAsia="zh-CN"/>
              </w:rPr>
              <w:t>项目负责人</w:t>
            </w:r>
            <w:r>
              <w:rPr>
                <w:rFonts w:hint="eastAsia" w:ascii="Calibri" w:hAnsi="Calibri" w:eastAsia="宋体" w:cs="Times New Roman"/>
                <w:bCs/>
                <w:color w:val="000000"/>
                <w:szCs w:val="21"/>
                <w:highlight w:val="none"/>
                <w:shd w:val="clear" w:color="auto" w:fill="auto"/>
                <w:lang w:val="en-US" w:eastAsia="zh-CN"/>
              </w:rPr>
              <w:t>经验</w:t>
            </w:r>
          </w:p>
        </w:tc>
        <w:tc>
          <w:tcPr>
            <w:tcW w:w="3806" w:type="pct"/>
            <w:noWrap w:val="0"/>
            <w:tcMar>
              <w:top w:w="80" w:type="dxa"/>
              <w:left w:w="80" w:type="dxa"/>
              <w:bottom w:w="80" w:type="dxa"/>
              <w:right w:w="80" w:type="dxa"/>
            </w:tcMar>
            <w:vAlign w:val="center"/>
          </w:tcPr>
          <w:p w14:paraId="5E37A6FA">
            <w:pPr>
              <w:keepNext/>
              <w:numPr>
                <w:ilvl w:val="0"/>
                <w:numId w:val="0"/>
              </w:numPr>
              <w:shd w:val="clear" w:color="auto" w:fill="auto"/>
              <w:adjustRightInd w:val="0"/>
              <w:snapToGrid w:val="0"/>
              <w:rPr>
                <w:rFonts w:hint="eastAsia" w:ascii="宋体" w:hAnsi="宋体" w:eastAsia="宋体" w:cs="宋体"/>
                <w:b/>
                <w:bCs/>
                <w:color w:val="000000"/>
                <w:kern w:val="0"/>
                <w:sz w:val="21"/>
                <w:szCs w:val="21"/>
                <w:highlight w:val="none"/>
                <w:shd w:val="clear" w:color="auto" w:fill="auto"/>
                <w:lang w:val="en-US" w:eastAsia="zh-CN" w:bidi="ar"/>
              </w:rPr>
            </w:pPr>
            <w:r>
              <w:rPr>
                <w:rFonts w:hint="eastAsia" w:ascii="宋体" w:hAnsi="宋体" w:eastAsia="宋体" w:cs="宋体"/>
                <w:b w:val="0"/>
                <w:bCs w:val="0"/>
                <w:i w:val="0"/>
                <w:iCs w:val="0"/>
                <w:color w:val="000000"/>
                <w:kern w:val="0"/>
                <w:sz w:val="21"/>
                <w:szCs w:val="21"/>
                <w:highlight w:val="none"/>
                <w:u w:val="none"/>
                <w:shd w:val="clear" w:color="auto" w:fill="auto"/>
                <w:lang w:val="en-US" w:eastAsia="zh-CN" w:bidi="ar"/>
              </w:rPr>
              <w:t>拟安排的</w:t>
            </w:r>
            <w:r>
              <w:rPr>
                <w:rFonts w:hint="eastAsia" w:asciiTheme="minorEastAsia" w:hAnsiTheme="minorEastAsia" w:cstheme="minorEastAsia"/>
                <w:b w:val="0"/>
                <w:bCs w:val="0"/>
                <w:color w:val="auto"/>
                <w:kern w:val="0"/>
                <w:sz w:val="21"/>
                <w:szCs w:val="21"/>
                <w:lang w:eastAsia="zh-CN"/>
              </w:rPr>
              <w:t>项目负责人（仅限一人）</w:t>
            </w:r>
            <w:r>
              <w:rPr>
                <w:rFonts w:hint="eastAsia" w:ascii="宋体" w:hAnsi="宋体" w:eastAsia="宋体" w:cs="宋体"/>
                <w:b w:val="0"/>
                <w:bCs w:val="0"/>
                <w:i w:val="0"/>
                <w:iCs w:val="0"/>
                <w:color w:val="000000"/>
                <w:kern w:val="0"/>
                <w:sz w:val="21"/>
                <w:szCs w:val="21"/>
                <w:highlight w:val="none"/>
                <w:u w:val="none"/>
                <w:shd w:val="clear" w:color="auto" w:fill="auto"/>
                <w:lang w:val="en-US" w:eastAsia="zh-CN" w:bidi="ar"/>
              </w:rPr>
              <w:t>是投标人自有员工，</w:t>
            </w:r>
            <w:r>
              <w:rPr>
                <w:rFonts w:hint="eastAsia" w:asciiTheme="minorEastAsia" w:hAnsiTheme="minorEastAsia" w:cstheme="minorEastAsia"/>
                <w:b w:val="0"/>
                <w:bCs w:val="0"/>
                <w:color w:val="auto"/>
                <w:kern w:val="0"/>
                <w:sz w:val="21"/>
                <w:szCs w:val="21"/>
                <w:lang w:eastAsia="zh-CN"/>
              </w:rPr>
              <w:t>项目负责人必须是专利代理师，且</w:t>
            </w:r>
            <w:r>
              <w:rPr>
                <w:rFonts w:hint="eastAsia" w:asciiTheme="minorEastAsia" w:hAnsiTheme="minorEastAsia" w:eastAsiaTheme="minorEastAsia" w:cstheme="minorEastAsia"/>
                <w:b w:val="0"/>
                <w:bCs w:val="0"/>
                <w:color w:val="auto"/>
                <w:kern w:val="0"/>
                <w:sz w:val="21"/>
                <w:szCs w:val="21"/>
              </w:rPr>
              <w:t>须具有合法的执业资格(持有《专利代理师资格证》及《专利代理师执业证》)</w:t>
            </w:r>
            <w:r>
              <w:rPr>
                <w:rFonts w:hint="eastAsia" w:asciiTheme="minorEastAsia" w:hAnsiTheme="minorEastAsia" w:cstheme="minorEastAsia"/>
                <w:b w:val="0"/>
                <w:bCs w:val="0"/>
                <w:color w:val="auto"/>
                <w:kern w:val="0"/>
                <w:sz w:val="21"/>
                <w:szCs w:val="21"/>
                <w:lang w:eastAsia="zh-CN"/>
              </w:rPr>
              <w:t>；项目负责人</w:t>
            </w:r>
            <w:r>
              <w:rPr>
                <w:rFonts w:hint="eastAsia" w:ascii="宋体" w:hAnsi="宋体" w:eastAsia="宋体" w:cs="宋体"/>
                <w:b w:val="0"/>
                <w:bCs w:val="0"/>
                <w:i w:val="0"/>
                <w:iCs w:val="0"/>
                <w:color w:val="000000"/>
                <w:kern w:val="0"/>
                <w:sz w:val="21"/>
                <w:szCs w:val="21"/>
                <w:highlight w:val="none"/>
                <w:u w:val="none"/>
                <w:shd w:val="clear" w:color="auto" w:fill="auto"/>
                <w:lang w:val="en-US" w:eastAsia="zh-CN" w:bidi="ar"/>
              </w:rPr>
              <w:t>须提供相应的资格证书复印件，并提供原件以备查验。在此基础上</w:t>
            </w:r>
            <w:r>
              <w:rPr>
                <w:rFonts w:hint="eastAsia" w:ascii="宋体" w:hAnsi="宋体" w:eastAsia="宋体" w:cs="宋体"/>
                <w:b/>
                <w:bCs/>
                <w:color w:val="000000"/>
                <w:kern w:val="0"/>
                <w:sz w:val="21"/>
                <w:szCs w:val="21"/>
                <w:highlight w:val="none"/>
                <w:shd w:val="clear" w:color="auto" w:fill="auto"/>
                <w:lang w:val="en-US" w:eastAsia="zh-CN" w:bidi="ar"/>
              </w:rPr>
              <w:t>：</w:t>
            </w:r>
          </w:p>
          <w:p w14:paraId="081A9502">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center"/>
              <w:rPr>
                <w:rFonts w:hint="eastAsia"/>
                <w:lang w:val="en-US" w:eastAsia="zh-CN"/>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具有硕士及以上学历的，得</w:t>
            </w:r>
            <w:r>
              <w:rPr>
                <w:rFonts w:hint="eastAsia" w:ascii="宋体" w:hAnsi="宋体" w:cs="宋体"/>
                <w:i w:val="0"/>
                <w:iCs w:val="0"/>
                <w:color w:val="000000"/>
                <w:kern w:val="0"/>
                <w:sz w:val="21"/>
                <w:szCs w:val="21"/>
                <w:highlight w:val="none"/>
                <w:u w:val="none"/>
                <w:shd w:val="clear" w:color="auto" w:fill="auto"/>
                <w:lang w:val="en-US" w:eastAsia="zh-CN" w:bidi="ar"/>
              </w:rPr>
              <w:t>5</w:t>
            </w:r>
            <w:r>
              <w:rPr>
                <w:rFonts w:hint="eastAsia" w:ascii="宋体" w:hAnsi="宋体" w:eastAsia="宋体" w:cs="宋体"/>
                <w:i w:val="0"/>
                <w:iCs w:val="0"/>
                <w:color w:val="000000"/>
                <w:kern w:val="0"/>
                <w:sz w:val="21"/>
                <w:szCs w:val="21"/>
                <w:highlight w:val="none"/>
                <w:u w:val="none"/>
                <w:shd w:val="clear" w:color="auto" w:fill="auto"/>
                <w:lang w:val="en-US" w:eastAsia="zh-CN" w:bidi="ar"/>
              </w:rPr>
              <w:t>分；具有本科学历的，得</w:t>
            </w:r>
            <w:r>
              <w:rPr>
                <w:rFonts w:hint="eastAsia" w:ascii="宋体" w:hAnsi="宋体" w:cs="宋体"/>
                <w:i w:val="0"/>
                <w:iCs w:val="0"/>
                <w:color w:val="000000"/>
                <w:kern w:val="0"/>
                <w:sz w:val="21"/>
                <w:szCs w:val="21"/>
                <w:highlight w:val="none"/>
                <w:u w:val="none"/>
                <w:shd w:val="clear" w:color="auto" w:fill="auto"/>
                <w:lang w:val="en-US" w:eastAsia="zh-CN" w:bidi="ar"/>
              </w:rPr>
              <w:t>3</w:t>
            </w:r>
            <w:r>
              <w:rPr>
                <w:rFonts w:hint="eastAsia" w:ascii="宋体" w:hAnsi="宋体" w:eastAsia="宋体" w:cs="宋体"/>
                <w:i w:val="0"/>
                <w:iCs w:val="0"/>
                <w:color w:val="000000"/>
                <w:kern w:val="0"/>
                <w:sz w:val="21"/>
                <w:szCs w:val="21"/>
                <w:highlight w:val="none"/>
                <w:u w:val="none"/>
                <w:shd w:val="clear" w:color="auto" w:fill="auto"/>
                <w:lang w:val="en-US" w:eastAsia="zh-CN" w:bidi="ar"/>
              </w:rPr>
              <w:t>分；具有</w:t>
            </w:r>
            <w:r>
              <w:rPr>
                <w:rFonts w:hint="eastAsia" w:ascii="宋体" w:hAnsi="宋体" w:cs="宋体"/>
                <w:i w:val="0"/>
                <w:iCs w:val="0"/>
                <w:color w:val="000000"/>
                <w:kern w:val="0"/>
                <w:sz w:val="21"/>
                <w:szCs w:val="21"/>
                <w:highlight w:val="none"/>
                <w:u w:val="none"/>
                <w:shd w:val="clear" w:color="auto" w:fill="auto"/>
                <w:lang w:val="en-US" w:eastAsia="zh-CN" w:bidi="ar"/>
              </w:rPr>
              <w:t>本科</w:t>
            </w:r>
            <w:r>
              <w:rPr>
                <w:rFonts w:hint="eastAsia" w:ascii="宋体" w:hAnsi="宋体" w:eastAsia="宋体" w:cs="宋体"/>
                <w:i w:val="0"/>
                <w:iCs w:val="0"/>
                <w:color w:val="000000"/>
                <w:kern w:val="0"/>
                <w:sz w:val="21"/>
                <w:szCs w:val="21"/>
                <w:highlight w:val="none"/>
                <w:u w:val="none"/>
                <w:shd w:val="clear" w:color="auto" w:fill="auto"/>
                <w:lang w:val="en-US" w:eastAsia="zh-CN" w:bidi="ar"/>
              </w:rPr>
              <w:t>学历</w:t>
            </w:r>
            <w:r>
              <w:rPr>
                <w:rFonts w:hint="eastAsia" w:ascii="宋体" w:hAnsi="宋体" w:cs="宋体"/>
                <w:i w:val="0"/>
                <w:iCs w:val="0"/>
                <w:color w:val="000000"/>
                <w:kern w:val="0"/>
                <w:sz w:val="21"/>
                <w:szCs w:val="21"/>
                <w:highlight w:val="none"/>
                <w:u w:val="none"/>
                <w:shd w:val="clear" w:color="auto" w:fill="auto"/>
                <w:lang w:val="en-US" w:eastAsia="zh-CN" w:bidi="ar"/>
              </w:rPr>
              <w:t>以下</w:t>
            </w:r>
            <w:r>
              <w:rPr>
                <w:rFonts w:hint="eastAsia" w:ascii="宋体" w:hAnsi="宋体" w:eastAsia="宋体" w:cs="宋体"/>
                <w:i w:val="0"/>
                <w:iCs w:val="0"/>
                <w:color w:val="000000"/>
                <w:kern w:val="0"/>
                <w:sz w:val="21"/>
                <w:szCs w:val="21"/>
                <w:highlight w:val="none"/>
                <w:u w:val="none"/>
                <w:shd w:val="clear" w:color="auto" w:fill="auto"/>
                <w:lang w:val="en-US" w:eastAsia="zh-CN" w:bidi="ar"/>
              </w:rPr>
              <w:t>的，得0分。</w:t>
            </w:r>
            <w:r>
              <w:rPr>
                <w:rFonts w:hint="eastAsia" w:asciiTheme="minorEastAsia" w:hAnsiTheme="minorEastAsia" w:cstheme="minorEastAsia"/>
                <w:b w:val="0"/>
                <w:bCs w:val="0"/>
                <w:color w:val="auto"/>
                <w:kern w:val="0"/>
                <w:sz w:val="21"/>
                <w:szCs w:val="21"/>
                <w:lang w:eastAsia="zh-CN"/>
              </w:rPr>
              <w:t>项目负责人</w:t>
            </w:r>
            <w:r>
              <w:rPr>
                <w:rFonts w:hint="eastAsia" w:ascii="宋体" w:hAnsi="宋体" w:eastAsia="宋体" w:cs="宋体"/>
                <w:i w:val="0"/>
                <w:iCs w:val="0"/>
                <w:color w:val="000000"/>
                <w:kern w:val="0"/>
                <w:sz w:val="21"/>
                <w:szCs w:val="21"/>
                <w:highlight w:val="none"/>
                <w:u w:val="none"/>
                <w:shd w:val="clear" w:color="auto" w:fill="auto"/>
                <w:lang w:val="en-US" w:eastAsia="zh-CN" w:bidi="ar"/>
              </w:rPr>
              <w:t>须提供相应的学历、学位证书复印件，并提供原件以备查验。</w:t>
            </w:r>
          </w:p>
          <w:p w14:paraId="59AEEB3A">
            <w:pPr>
              <w:shd w:val="clear" w:color="auto" w:fill="auto"/>
              <w:wordWrap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p>
          <w:p w14:paraId="6059F561">
            <w:pPr>
              <w:shd w:val="clear" w:color="auto" w:fill="auto"/>
              <w:ind w:left="-78" w:leftChars="-37" w:right="-73" w:rightChars="-35"/>
              <w:jc w:val="left"/>
              <w:rPr>
                <w:rFonts w:hint="eastAsia"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rPr>
              <w:t>学历证明</w:t>
            </w:r>
            <w:r>
              <w:rPr>
                <w:rFonts w:hint="eastAsia" w:ascii="宋体" w:hAnsi="宋体" w:eastAsia="宋体" w:cs="宋体"/>
                <w:color w:val="000000"/>
                <w:sz w:val="21"/>
                <w:szCs w:val="21"/>
                <w:highlight w:val="none"/>
                <w:shd w:val="clear" w:color="auto" w:fill="auto"/>
              </w:rPr>
              <w:br w:type="textWrapping"/>
            </w:r>
            <w:r>
              <w:rPr>
                <w:rFonts w:hint="eastAsia" w:ascii="宋体" w:hAnsi="宋体" w:eastAsia="宋体" w:cs="宋体"/>
                <w:color w:val="000000"/>
                <w:sz w:val="21"/>
                <w:szCs w:val="21"/>
                <w:highlight w:val="none"/>
                <w:shd w:val="clear" w:color="auto" w:fill="auto"/>
                <w:lang w:val="en-US" w:eastAsia="zh-CN"/>
              </w:rPr>
              <w:t>2.</w:t>
            </w:r>
            <w:r>
              <w:rPr>
                <w:rFonts w:hint="eastAsia" w:ascii="宋体" w:hAnsi="宋体" w:eastAsia="宋体" w:cs="宋体"/>
                <w:color w:val="000000"/>
                <w:kern w:val="0"/>
                <w:sz w:val="21"/>
                <w:szCs w:val="21"/>
                <w:lang w:val="en-US" w:eastAsia="zh-CN"/>
              </w:rPr>
              <w:t>专利证书相关扫描件</w:t>
            </w:r>
            <w:r>
              <w:rPr>
                <w:rFonts w:hint="eastAsia" w:ascii="宋体" w:hAnsi="宋体" w:eastAsia="宋体" w:cs="宋体"/>
                <w:color w:val="000000"/>
                <w:sz w:val="21"/>
                <w:szCs w:val="21"/>
                <w:highlight w:val="none"/>
                <w:shd w:val="clear" w:color="auto" w:fill="auto"/>
                <w:lang w:eastAsia="zh-CN"/>
              </w:rPr>
              <w:t>。</w:t>
            </w:r>
          </w:p>
        </w:tc>
        <w:tc>
          <w:tcPr>
            <w:tcW w:w="378" w:type="pct"/>
            <w:noWrap w:val="0"/>
            <w:tcMar>
              <w:top w:w="80" w:type="dxa"/>
              <w:left w:w="80" w:type="dxa"/>
              <w:bottom w:w="80" w:type="dxa"/>
              <w:right w:w="80" w:type="dxa"/>
            </w:tcMar>
            <w:vAlign w:val="center"/>
          </w:tcPr>
          <w:p w14:paraId="2163EE11">
            <w:pPr>
              <w:shd w:val="clear" w:color="auto" w:fill="auto"/>
              <w:jc w:val="center"/>
              <w:rPr>
                <w:rFonts w:hint="default" w:ascii="宋体" w:hAnsi="宋体" w:eastAsia="宋体" w:cs="宋体"/>
                <w:bCs/>
                <w:color w:val="000000"/>
                <w:kern w:val="2"/>
                <w:sz w:val="21"/>
                <w:szCs w:val="21"/>
                <w:highlight w:val="none"/>
                <w:shd w:val="clear" w:color="auto" w:fill="auto"/>
                <w:lang w:val="en-US" w:eastAsia="zh-CN" w:bidi="ar-SA"/>
              </w:rPr>
            </w:pPr>
            <w:r>
              <w:rPr>
                <w:rFonts w:hint="eastAsia" w:ascii="宋体" w:hAnsi="宋体" w:cs="宋体"/>
                <w:bCs/>
                <w:color w:val="000000"/>
                <w:szCs w:val="21"/>
                <w:highlight w:val="none"/>
                <w:shd w:val="clear" w:color="auto" w:fill="auto"/>
                <w:lang w:val="en-US" w:eastAsia="zh-CN"/>
              </w:rPr>
              <w:t>5</w:t>
            </w:r>
          </w:p>
        </w:tc>
      </w:tr>
      <w:tr w14:paraId="672C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7" w:type="pct"/>
            <w:noWrap w:val="0"/>
            <w:tcMar>
              <w:top w:w="80" w:type="dxa"/>
              <w:left w:w="80" w:type="dxa"/>
              <w:bottom w:w="80" w:type="dxa"/>
              <w:right w:w="80" w:type="dxa"/>
            </w:tcMar>
            <w:vAlign w:val="center"/>
          </w:tcPr>
          <w:p w14:paraId="2B10682F">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5</w:t>
            </w:r>
          </w:p>
        </w:tc>
        <w:tc>
          <w:tcPr>
            <w:tcW w:w="567" w:type="pct"/>
            <w:noWrap w:val="0"/>
            <w:tcMar>
              <w:top w:w="80" w:type="dxa"/>
              <w:left w:w="80" w:type="dxa"/>
              <w:bottom w:w="80" w:type="dxa"/>
              <w:right w:w="80" w:type="dxa"/>
            </w:tcMar>
            <w:vAlign w:val="center"/>
          </w:tcPr>
          <w:p w14:paraId="6B0B612A">
            <w:pPr>
              <w:shd w:val="clear" w:color="auto" w:fill="auto"/>
              <w:adjustRightInd w:val="0"/>
              <w:snapToGrid w:val="0"/>
              <w:jc w:val="both"/>
              <w:rPr>
                <w:rFonts w:hint="default" w:ascii="Calibri" w:hAnsi="Calibri" w:eastAsia="宋体" w:cs="Times New Roman"/>
                <w:bCs/>
                <w:color w:val="000000"/>
                <w:szCs w:val="21"/>
                <w:highlight w:val="none"/>
                <w:shd w:val="clear" w:color="auto" w:fill="auto"/>
                <w:lang w:val="en-US" w:eastAsia="zh-CN"/>
              </w:rPr>
            </w:pPr>
            <w:r>
              <w:rPr>
                <w:rFonts w:hint="eastAsia" w:ascii="Calibri" w:hAnsi="Calibri" w:eastAsia="宋体" w:cs="Times New Roman"/>
                <w:bCs/>
                <w:color w:val="000000"/>
                <w:szCs w:val="21"/>
                <w:highlight w:val="none"/>
                <w:shd w:val="clear" w:color="auto" w:fill="auto"/>
                <w:lang w:val="en-US" w:eastAsia="zh-CN"/>
              </w:rPr>
              <w:t>项目团队人员经验（除项目负责人）</w:t>
            </w:r>
          </w:p>
        </w:tc>
        <w:tc>
          <w:tcPr>
            <w:tcW w:w="3806" w:type="pct"/>
            <w:noWrap w:val="0"/>
            <w:tcMar>
              <w:top w:w="80" w:type="dxa"/>
              <w:left w:w="80" w:type="dxa"/>
              <w:bottom w:w="80" w:type="dxa"/>
              <w:right w:w="80" w:type="dxa"/>
            </w:tcMar>
            <w:vAlign w:val="center"/>
          </w:tcPr>
          <w:p w14:paraId="4D3789FB">
            <w:pPr>
              <w:shd w:val="clear" w:color="auto" w:fill="auto"/>
              <w:spacing w:line="300" w:lineRule="exact"/>
              <w:jc w:val="left"/>
              <w:rPr>
                <w:rFonts w:hint="eastAsia" w:ascii="宋体" w:hAnsi="宋体" w:eastAsia="宋体" w:cs="宋体"/>
                <w:b/>
                <w:bCs/>
                <w:color w:val="000000"/>
                <w:kern w:val="0"/>
                <w:sz w:val="21"/>
                <w:szCs w:val="21"/>
                <w:highlight w:val="none"/>
                <w:shd w:val="clear" w:color="auto" w:fill="auto"/>
                <w:lang w:val="en-US" w:eastAsia="zh-CN" w:bidi="ar"/>
              </w:rPr>
            </w:pPr>
            <w:r>
              <w:rPr>
                <w:rFonts w:hint="eastAsia" w:ascii="宋体" w:hAnsi="宋体" w:eastAsia="宋体" w:cs="宋体"/>
                <w:b/>
                <w:bCs/>
                <w:color w:val="000000"/>
                <w:kern w:val="0"/>
                <w:sz w:val="21"/>
                <w:szCs w:val="21"/>
                <w:highlight w:val="none"/>
                <w:shd w:val="clear" w:color="auto" w:fill="auto"/>
                <w:lang w:val="en-US" w:eastAsia="zh-CN" w:bidi="ar"/>
              </w:rPr>
              <w:t>评审标准：</w:t>
            </w:r>
          </w:p>
          <w:p w14:paraId="523F3A41">
            <w:pPr>
              <w:shd w:val="clear" w:color="auto" w:fill="auto"/>
              <w:ind w:left="-78" w:leftChars="-37" w:right="-73" w:rightChars="-35"/>
              <w:jc w:val="left"/>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Calibri" w:hAnsi="Calibri" w:eastAsia="宋体" w:cs="Times New Roman"/>
                <w:bCs/>
                <w:color w:val="000000"/>
                <w:szCs w:val="21"/>
                <w:highlight w:val="none"/>
                <w:shd w:val="clear" w:color="auto" w:fill="auto"/>
                <w:lang w:val="en-US" w:eastAsia="zh-CN"/>
              </w:rPr>
              <w:t>项目团队人员（除项目负责人）</w:t>
            </w:r>
            <w:r>
              <w:rPr>
                <w:rFonts w:hint="eastAsia" w:asciiTheme="minorEastAsia" w:hAnsiTheme="minorEastAsia" w:cstheme="minorEastAsia"/>
                <w:color w:val="auto"/>
                <w:kern w:val="0"/>
                <w:sz w:val="21"/>
                <w:szCs w:val="21"/>
                <w:lang w:eastAsia="zh-CN"/>
              </w:rPr>
              <w:t>持有</w:t>
            </w:r>
            <w:r>
              <w:rPr>
                <w:rFonts w:hint="eastAsia" w:ascii="宋体" w:hAnsi="宋体" w:eastAsia="宋体" w:cs="宋体"/>
                <w:i w:val="0"/>
                <w:iCs w:val="0"/>
                <w:color w:val="000000"/>
                <w:kern w:val="0"/>
                <w:sz w:val="21"/>
                <w:szCs w:val="21"/>
                <w:highlight w:val="none"/>
                <w:u w:val="none"/>
                <w:shd w:val="clear" w:color="auto" w:fill="auto"/>
                <w:lang w:val="en-US" w:eastAsia="zh-CN" w:bidi="ar"/>
              </w:rPr>
              <w:t>与知识产权申请等相关专业证书的，得</w:t>
            </w:r>
            <w:r>
              <w:rPr>
                <w:rFonts w:hint="eastAsia" w:ascii="宋体" w:hAnsi="宋体" w:cs="宋体"/>
                <w:i w:val="0"/>
                <w:iCs w:val="0"/>
                <w:color w:val="000000"/>
                <w:kern w:val="0"/>
                <w:sz w:val="21"/>
                <w:szCs w:val="21"/>
                <w:highlight w:val="none"/>
                <w:u w:val="none"/>
                <w:shd w:val="clear" w:color="auto" w:fill="auto"/>
                <w:lang w:val="en-US" w:eastAsia="zh-CN" w:bidi="ar"/>
              </w:rPr>
              <w:t>5</w:t>
            </w:r>
            <w:r>
              <w:rPr>
                <w:rFonts w:hint="eastAsia" w:ascii="宋体" w:hAnsi="宋体" w:eastAsia="宋体" w:cs="宋体"/>
                <w:i w:val="0"/>
                <w:iCs w:val="0"/>
                <w:color w:val="000000"/>
                <w:kern w:val="0"/>
                <w:sz w:val="21"/>
                <w:szCs w:val="21"/>
                <w:highlight w:val="none"/>
                <w:u w:val="none"/>
                <w:shd w:val="clear" w:color="auto" w:fill="auto"/>
                <w:lang w:val="en-US" w:eastAsia="zh-CN" w:bidi="ar"/>
              </w:rPr>
              <w:t>分；未持有相关证书的，得0分。</w:t>
            </w:r>
          </w:p>
          <w:p w14:paraId="5941CAD4">
            <w:pPr>
              <w:shd w:val="clear" w:color="auto" w:fill="auto"/>
              <w:wordWrap w:val="0"/>
              <w:rPr>
                <w:rFonts w:hint="eastAsia"/>
                <w:lang w:val="en-US" w:eastAsia="zh-CN"/>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color w:val="000000"/>
                <w:kern w:val="0"/>
                <w:sz w:val="21"/>
                <w:szCs w:val="21"/>
                <w:lang w:val="en-US" w:eastAsia="zh-CN"/>
              </w:rPr>
              <w:t>专利证书相关扫描件</w:t>
            </w:r>
            <w:r>
              <w:rPr>
                <w:rFonts w:hint="eastAsia" w:ascii="宋体" w:hAnsi="宋体" w:eastAsia="宋体" w:cs="宋体"/>
                <w:color w:val="000000"/>
                <w:sz w:val="21"/>
                <w:szCs w:val="21"/>
                <w:highlight w:val="none"/>
                <w:shd w:val="clear" w:color="auto" w:fill="auto"/>
                <w:lang w:eastAsia="zh-CN"/>
              </w:rPr>
              <w:t>。</w:t>
            </w:r>
          </w:p>
        </w:tc>
        <w:tc>
          <w:tcPr>
            <w:tcW w:w="378" w:type="pct"/>
            <w:noWrap w:val="0"/>
            <w:tcMar>
              <w:top w:w="80" w:type="dxa"/>
              <w:left w:w="80" w:type="dxa"/>
              <w:bottom w:w="80" w:type="dxa"/>
              <w:right w:w="80" w:type="dxa"/>
            </w:tcMar>
            <w:vAlign w:val="center"/>
          </w:tcPr>
          <w:p w14:paraId="208EA327">
            <w:pPr>
              <w:shd w:val="clear" w:color="auto" w:fill="auto"/>
              <w:jc w:val="center"/>
              <w:rPr>
                <w:rFonts w:hint="default" w:ascii="宋体" w:hAnsi="宋体" w:cs="宋体"/>
                <w:bCs/>
                <w:color w:val="000000"/>
                <w:szCs w:val="21"/>
                <w:highlight w:val="none"/>
                <w:shd w:val="clear" w:color="auto" w:fill="auto"/>
                <w:lang w:val="en-US" w:eastAsia="zh-CN"/>
              </w:rPr>
            </w:pPr>
            <w:r>
              <w:rPr>
                <w:rFonts w:hint="eastAsia" w:ascii="宋体" w:hAnsi="宋体" w:cs="宋体"/>
                <w:bCs/>
                <w:color w:val="000000"/>
                <w:szCs w:val="21"/>
                <w:highlight w:val="none"/>
                <w:shd w:val="clear" w:color="auto" w:fill="auto"/>
                <w:lang w:val="en-US" w:eastAsia="zh-CN"/>
              </w:rPr>
              <w:t>5</w:t>
            </w:r>
          </w:p>
        </w:tc>
      </w:tr>
      <w:tr w14:paraId="0BF1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6" w:hRule="atLeast"/>
          <w:jc w:val="center"/>
        </w:trPr>
        <w:tc>
          <w:tcPr>
            <w:tcW w:w="247" w:type="pct"/>
            <w:noWrap w:val="0"/>
            <w:tcMar>
              <w:top w:w="80" w:type="dxa"/>
              <w:left w:w="80" w:type="dxa"/>
              <w:bottom w:w="80" w:type="dxa"/>
              <w:right w:w="80" w:type="dxa"/>
            </w:tcMar>
            <w:vAlign w:val="center"/>
          </w:tcPr>
          <w:p w14:paraId="390CF0E0">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6</w:t>
            </w:r>
          </w:p>
        </w:tc>
        <w:tc>
          <w:tcPr>
            <w:tcW w:w="567" w:type="pct"/>
            <w:noWrap w:val="0"/>
            <w:tcMar>
              <w:top w:w="80" w:type="dxa"/>
              <w:left w:w="80" w:type="dxa"/>
              <w:bottom w:w="80" w:type="dxa"/>
              <w:right w:w="80" w:type="dxa"/>
            </w:tcMar>
            <w:vAlign w:val="center"/>
          </w:tcPr>
          <w:p w14:paraId="6750370C">
            <w:pPr>
              <w:shd w:val="clear" w:color="auto" w:fill="auto"/>
              <w:adjustRightInd w:val="0"/>
              <w:snapToGrid w:val="0"/>
              <w:jc w:val="center"/>
              <w:rPr>
                <w:rFonts w:hint="eastAsia" w:ascii="Calibri" w:hAnsi="Calibri" w:eastAsia="宋体" w:cs="Times New Roman"/>
                <w:bCs/>
                <w:color w:val="auto"/>
                <w:kern w:val="2"/>
                <w:sz w:val="21"/>
                <w:szCs w:val="21"/>
                <w:highlight w:val="none"/>
                <w:shd w:val="clear" w:color="auto" w:fill="auto"/>
                <w:lang w:val="en-US" w:eastAsia="zh-CN" w:bidi="ar-SA"/>
              </w:rPr>
            </w:pPr>
            <w:r>
              <w:rPr>
                <w:rFonts w:hint="eastAsia" w:ascii="Calibri" w:hAnsi="Calibri" w:eastAsia="宋体" w:cs="Times New Roman"/>
                <w:bCs/>
                <w:color w:val="auto"/>
                <w:szCs w:val="21"/>
                <w:highlight w:val="none"/>
                <w:shd w:val="clear" w:color="auto" w:fill="auto"/>
                <w:lang w:eastAsia="zh-Hans"/>
              </w:rPr>
              <w:t>本项目</w:t>
            </w:r>
            <w:r>
              <w:rPr>
                <w:rFonts w:hint="eastAsia" w:ascii="Calibri" w:hAnsi="Calibri" w:eastAsia="宋体" w:cs="Times New Roman"/>
                <w:bCs/>
                <w:color w:val="auto"/>
                <w:szCs w:val="21"/>
                <w:highlight w:val="none"/>
                <w:shd w:val="clear" w:color="auto" w:fill="auto"/>
                <w:lang w:val="en-US" w:eastAsia="zh-CN"/>
              </w:rPr>
              <w:t>规划实施</w:t>
            </w:r>
            <w:r>
              <w:rPr>
                <w:rFonts w:hint="eastAsia" w:ascii="Calibri" w:hAnsi="Calibri" w:eastAsia="宋体" w:cs="Times New Roman"/>
                <w:bCs/>
                <w:color w:val="auto"/>
                <w:szCs w:val="21"/>
                <w:highlight w:val="none"/>
                <w:shd w:val="clear" w:color="auto" w:fill="auto"/>
                <w:lang w:eastAsia="zh-Hans"/>
              </w:rPr>
              <w:t>方案</w:t>
            </w:r>
          </w:p>
        </w:tc>
        <w:tc>
          <w:tcPr>
            <w:tcW w:w="3806" w:type="pct"/>
            <w:noWrap w:val="0"/>
            <w:tcMar>
              <w:top w:w="80" w:type="dxa"/>
              <w:left w:w="80" w:type="dxa"/>
              <w:bottom w:w="80" w:type="dxa"/>
              <w:right w:w="80" w:type="dxa"/>
            </w:tcMar>
            <w:vAlign w:val="center"/>
          </w:tcPr>
          <w:p w14:paraId="71E8FFB2">
            <w:pPr>
              <w:pStyle w:val="4"/>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 xml:space="preserve">评审细项： </w:t>
            </w:r>
          </w:p>
          <w:p w14:paraId="777C7269">
            <w:pPr>
              <w:pStyle w:val="4"/>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 xml:space="preserve">投标人根据招标要求，对项目进行理解规划，主要规划维度需包括： </w:t>
            </w:r>
          </w:p>
          <w:p w14:paraId="1BEDABDE">
            <w:pPr>
              <w:pStyle w:val="4"/>
              <w:rPr>
                <w:rFonts w:hint="eastAsia" w:ascii="宋体" w:hAnsi="宋体" w:eastAsia="宋体" w:cs="宋体"/>
                <w:bCs/>
                <w:color w:val="auto"/>
                <w:sz w:val="21"/>
                <w:szCs w:val="21"/>
                <w:highlight w:val="none"/>
                <w:shd w:val="clear" w:color="auto" w:fill="auto"/>
                <w:lang w:val="en-US"/>
              </w:rPr>
            </w:pPr>
            <w:r>
              <w:rPr>
                <w:rFonts w:hint="eastAsia" w:ascii="宋体" w:hAnsi="宋体" w:eastAsia="宋体" w:cs="宋体"/>
                <w:bCs/>
                <w:color w:val="auto"/>
                <w:sz w:val="21"/>
                <w:szCs w:val="21"/>
                <w:highlight w:val="none"/>
                <w:shd w:val="clear" w:color="auto" w:fill="auto"/>
                <w:lang w:val="en-US" w:eastAsia="zh-CN"/>
              </w:rPr>
              <w:t>1.</w:t>
            </w:r>
            <w:r>
              <w:rPr>
                <w:rFonts w:hint="eastAsia" w:ascii="宋体" w:hAnsi="宋体" w:eastAsia="宋体" w:cs="宋体"/>
                <w:sz w:val="21"/>
                <w:szCs w:val="21"/>
              </w:rPr>
              <w:t>根据企业的研发方向与技术特点，确定专利申请的重点领域与方向，为企业撰写专利申请文件，加快专利申请进度</w:t>
            </w:r>
            <w:r>
              <w:rPr>
                <w:rFonts w:hint="eastAsia" w:ascii="宋体" w:hAnsi="宋体" w:eastAsia="宋体" w:cs="宋体"/>
                <w:bCs/>
                <w:color w:val="auto"/>
                <w:sz w:val="21"/>
                <w:szCs w:val="21"/>
                <w:highlight w:val="none"/>
                <w:shd w:val="clear" w:color="auto" w:fill="auto"/>
                <w:lang w:val="en-US" w:eastAsia="zh-CN"/>
              </w:rPr>
              <w:t>；</w:t>
            </w:r>
          </w:p>
          <w:p w14:paraId="4714E3AA">
            <w:pPr>
              <w:pStyle w:val="4"/>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2.</w:t>
            </w:r>
            <w:r>
              <w:rPr>
                <w:rFonts w:hint="eastAsia" w:ascii="宋体" w:hAnsi="宋体" w:eastAsia="宋体" w:cs="宋体"/>
                <w:sz w:val="21"/>
                <w:szCs w:val="21"/>
              </w:rPr>
              <w:t>对于软件企业，指导其及时进行软件著作权登记，提高知识产权数量与质量</w:t>
            </w:r>
            <w:r>
              <w:rPr>
                <w:rFonts w:hint="eastAsia" w:ascii="宋体" w:hAnsi="宋体" w:eastAsia="宋体" w:cs="宋体"/>
                <w:bCs/>
                <w:color w:val="auto"/>
                <w:sz w:val="21"/>
                <w:szCs w:val="21"/>
                <w:highlight w:val="none"/>
                <w:shd w:val="clear" w:color="auto" w:fill="auto"/>
                <w:lang w:val="en-US" w:eastAsia="zh-CN"/>
              </w:rPr>
              <w:t xml:space="preserve">； </w:t>
            </w:r>
          </w:p>
          <w:p w14:paraId="39DC813F">
            <w:pPr>
              <w:pStyle w:val="4"/>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sz w:val="21"/>
                <w:szCs w:val="21"/>
              </w:rPr>
              <w:t>对已授权的知识产权进行维护与管理，确保知识产权的有效性与稳定性，避免因未按时缴纳年费、未进行续展等原因导致知识产权失效</w:t>
            </w:r>
            <w:r>
              <w:rPr>
                <w:rFonts w:hint="eastAsia" w:ascii="宋体" w:hAnsi="宋体" w:eastAsia="宋体" w:cs="宋体"/>
                <w:bCs/>
                <w:color w:val="auto"/>
                <w:sz w:val="21"/>
                <w:szCs w:val="21"/>
                <w:highlight w:val="none"/>
                <w:shd w:val="clear" w:color="auto" w:fill="auto"/>
                <w:lang w:val="en-US" w:eastAsia="zh-CN"/>
              </w:rPr>
              <w:t>：</w:t>
            </w:r>
            <w:r>
              <w:rPr>
                <w:rFonts w:hint="eastAsia" w:ascii="宋体" w:hAnsi="宋体" w:eastAsia="宋体" w:cs="宋体"/>
                <w:bCs/>
                <w:color w:val="auto"/>
                <w:sz w:val="21"/>
                <w:szCs w:val="21"/>
                <w:highlight w:val="none"/>
                <w:shd w:val="clear" w:color="auto" w:fill="auto"/>
                <w:lang w:val="en-US" w:eastAsia="zh-CN"/>
              </w:rPr>
              <w:br w:type="textWrapping"/>
            </w:r>
            <w:r>
              <w:rPr>
                <w:rFonts w:hint="eastAsia" w:ascii="宋体" w:hAnsi="宋体" w:eastAsia="宋体" w:cs="宋体"/>
                <w:b/>
                <w:bCs/>
                <w:color w:val="auto"/>
                <w:sz w:val="21"/>
                <w:szCs w:val="21"/>
                <w:highlight w:val="none"/>
                <w:shd w:val="clear" w:color="auto" w:fill="auto"/>
                <w:lang w:val="en-US" w:eastAsia="zh-CN"/>
              </w:rPr>
              <w:t xml:space="preserve">评审标准： </w:t>
            </w:r>
          </w:p>
          <w:p w14:paraId="7208F276">
            <w:pPr>
              <w:pStyle w:val="4"/>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投标人提供以上全部3项内容得9分，提供2项得6分，提供1项得3分，其余情况不得分。 </w:t>
            </w:r>
          </w:p>
          <w:p w14:paraId="05988213">
            <w:pPr>
              <w:pStyle w:val="4"/>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在此基础上，以内容的详尽程度、全面性、可操作性优劣进行评审：</w:t>
            </w:r>
          </w:p>
          <w:p w14:paraId="5817190C">
            <w:pPr>
              <w:pStyle w:val="4"/>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1.实施方案整体科学合理、针对性强、可操作性强，评为优秀，得11分；</w:t>
            </w:r>
          </w:p>
          <w:p w14:paraId="39FCC3D0">
            <w:pPr>
              <w:pStyle w:val="4"/>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2.实施方案较合理、有一定针对性、一定可操作性，评为良好，得7分；</w:t>
            </w:r>
          </w:p>
          <w:p w14:paraId="1A3ED706">
            <w:pPr>
              <w:pStyle w:val="4"/>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3.实施方案基本合理、针对性一般、可操作性一般，评为中等，得3分；</w:t>
            </w:r>
          </w:p>
          <w:p w14:paraId="1F707660">
            <w:pPr>
              <w:pStyle w:val="4"/>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4.实施方案较一般或不尽合理、针对性差、可操作性差，评为不符合，不得分。</w:t>
            </w:r>
          </w:p>
        </w:tc>
        <w:tc>
          <w:tcPr>
            <w:tcW w:w="378" w:type="pct"/>
            <w:noWrap w:val="0"/>
            <w:tcMar>
              <w:top w:w="80" w:type="dxa"/>
              <w:left w:w="80" w:type="dxa"/>
              <w:bottom w:w="80" w:type="dxa"/>
              <w:right w:w="80" w:type="dxa"/>
            </w:tcMar>
            <w:vAlign w:val="center"/>
          </w:tcPr>
          <w:p w14:paraId="70354523">
            <w:pPr>
              <w:shd w:val="clear" w:color="auto" w:fill="auto"/>
              <w:jc w:val="center"/>
              <w:rPr>
                <w:rFonts w:hint="eastAsia" w:ascii="宋体" w:hAnsi="宋体" w:eastAsia="宋体" w:cs="宋体"/>
                <w:bCs/>
                <w:color w:val="auto"/>
                <w:kern w:val="2"/>
                <w:sz w:val="21"/>
                <w:szCs w:val="21"/>
                <w:highlight w:val="none"/>
                <w:shd w:val="clear" w:color="auto" w:fill="auto"/>
                <w:lang w:val="en-US" w:eastAsia="zh-CN" w:bidi="ar-SA"/>
              </w:rPr>
            </w:pPr>
            <w:r>
              <w:rPr>
                <w:rFonts w:hint="eastAsia" w:ascii="宋体" w:hAnsi="宋体" w:cs="宋体"/>
                <w:bCs/>
                <w:color w:val="auto"/>
                <w:szCs w:val="21"/>
                <w:highlight w:val="none"/>
                <w:shd w:val="clear" w:color="auto" w:fill="auto"/>
                <w:lang w:val="en-US" w:eastAsia="zh-CN"/>
              </w:rPr>
              <w:t>20</w:t>
            </w:r>
          </w:p>
        </w:tc>
      </w:tr>
      <w:tr w14:paraId="2F8E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247" w:type="pct"/>
            <w:noWrap w:val="0"/>
            <w:tcMar>
              <w:top w:w="80" w:type="dxa"/>
              <w:left w:w="80" w:type="dxa"/>
              <w:bottom w:w="80" w:type="dxa"/>
              <w:right w:w="80" w:type="dxa"/>
            </w:tcMar>
            <w:vAlign w:val="center"/>
          </w:tcPr>
          <w:p w14:paraId="725D93D6">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7</w:t>
            </w:r>
          </w:p>
        </w:tc>
        <w:tc>
          <w:tcPr>
            <w:tcW w:w="567" w:type="pct"/>
            <w:noWrap w:val="0"/>
            <w:tcMar>
              <w:top w:w="80" w:type="dxa"/>
              <w:left w:w="80" w:type="dxa"/>
              <w:bottom w:w="80" w:type="dxa"/>
              <w:right w:w="80" w:type="dxa"/>
            </w:tcMar>
            <w:vAlign w:val="center"/>
          </w:tcPr>
          <w:p w14:paraId="20301D5D">
            <w:pPr>
              <w:shd w:val="clear" w:color="auto" w:fill="auto"/>
              <w:adjustRightInd w:val="0"/>
              <w:snapToGrid w:val="0"/>
              <w:jc w:val="center"/>
              <w:rPr>
                <w:rFonts w:hint="eastAsia" w:ascii="Calibri" w:hAnsi="Calibri" w:eastAsia="宋体" w:cs="Times New Roman"/>
                <w:bCs/>
                <w:color w:val="000000"/>
                <w:kern w:val="2"/>
                <w:sz w:val="21"/>
                <w:szCs w:val="21"/>
                <w:highlight w:val="none"/>
                <w:shd w:val="clear" w:color="auto" w:fill="auto"/>
                <w:lang w:val="en-US" w:eastAsia="zh-Hans" w:bidi="ar-SA"/>
              </w:rPr>
            </w:pPr>
            <w:r>
              <w:rPr>
                <w:rFonts w:hint="eastAsia" w:ascii="Calibri" w:hAnsi="Calibri" w:eastAsia="宋体" w:cs="Times New Roman"/>
                <w:bCs/>
                <w:color w:val="000000"/>
                <w:szCs w:val="21"/>
                <w:highlight w:val="none"/>
                <w:shd w:val="clear" w:color="auto" w:fill="auto"/>
                <w:lang w:eastAsia="zh-Hans"/>
              </w:rPr>
              <w:t>质量保证措施</w:t>
            </w:r>
          </w:p>
        </w:tc>
        <w:tc>
          <w:tcPr>
            <w:tcW w:w="3806" w:type="pct"/>
            <w:noWrap w:val="0"/>
            <w:tcMar>
              <w:top w:w="80" w:type="dxa"/>
              <w:left w:w="80" w:type="dxa"/>
              <w:bottom w:w="80" w:type="dxa"/>
              <w:right w:w="80" w:type="dxa"/>
            </w:tcMar>
            <w:vAlign w:val="center"/>
          </w:tcPr>
          <w:p w14:paraId="6D94B3DF">
            <w:pPr>
              <w:shd w:val="clear" w:color="auto" w:fill="auto"/>
              <w:wordWrap w:val="0"/>
              <w:rPr>
                <w:rFonts w:hint="eastAsia" w:ascii="宋体" w:hAnsi="宋体" w:eastAsia="宋体" w:cs="宋体"/>
                <w:b/>
                <w:bCs/>
                <w:color w:val="000000"/>
                <w:sz w:val="21"/>
                <w:szCs w:val="21"/>
                <w:highlight w:val="none"/>
                <w:shd w:val="clear" w:color="auto" w:fill="auto"/>
                <w:lang w:val="en-US" w:eastAsia="zh-CN"/>
              </w:rPr>
            </w:pPr>
            <w:r>
              <w:rPr>
                <w:rFonts w:hint="eastAsia" w:ascii="宋体" w:hAnsi="宋体" w:eastAsia="宋体" w:cs="宋体"/>
                <w:b/>
                <w:bCs/>
                <w:color w:val="000000"/>
                <w:sz w:val="21"/>
                <w:szCs w:val="21"/>
                <w:highlight w:val="none"/>
                <w:shd w:val="clear" w:color="auto" w:fill="auto"/>
                <w:lang w:val="en-US" w:eastAsia="zh-CN"/>
              </w:rPr>
              <w:t>评审标准：</w:t>
            </w:r>
          </w:p>
          <w:p w14:paraId="382E1A41">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1.承诺提供发明专利技术检索报告，得6分；</w:t>
            </w:r>
          </w:p>
          <w:p w14:paraId="276E35F6">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2.有应急响应措施，响应时间在1个工作日内，得4分；</w:t>
            </w:r>
          </w:p>
          <w:p w14:paraId="09749B61">
            <w:pPr>
              <w:shd w:val="clear" w:color="auto" w:fill="auto"/>
              <w:wordWrap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p>
          <w:p w14:paraId="1881FF7B">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 xml:space="preserve">1.提供书面承诺函（格式自拟）； </w:t>
            </w:r>
          </w:p>
          <w:p w14:paraId="6489A1B2">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 xml:space="preserve">2.未提供或未按要求提供或提供的不清晰导致专家无法判断 </w:t>
            </w:r>
          </w:p>
          <w:p w14:paraId="77413C56">
            <w:pPr>
              <w:shd w:val="clear" w:color="auto" w:fill="auto"/>
              <w:ind w:left="-78" w:leftChars="-37" w:right="-73" w:rightChars="-35"/>
              <w:jc w:val="left"/>
              <w:rPr>
                <w:rFonts w:hint="eastAsia"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color w:val="000000"/>
                <w:sz w:val="21"/>
                <w:szCs w:val="21"/>
                <w:highlight w:val="none"/>
                <w:shd w:val="clear" w:color="auto" w:fill="auto"/>
                <w:lang w:val="en-US" w:eastAsia="zh-CN"/>
              </w:rPr>
              <w:t>的，不得分。</w:t>
            </w:r>
          </w:p>
        </w:tc>
        <w:tc>
          <w:tcPr>
            <w:tcW w:w="378" w:type="pct"/>
            <w:noWrap w:val="0"/>
            <w:tcMar>
              <w:top w:w="80" w:type="dxa"/>
              <w:left w:w="80" w:type="dxa"/>
              <w:bottom w:w="80" w:type="dxa"/>
              <w:right w:w="80" w:type="dxa"/>
            </w:tcMar>
            <w:vAlign w:val="center"/>
          </w:tcPr>
          <w:p w14:paraId="2005E1F6">
            <w:pPr>
              <w:shd w:val="clear" w:color="auto" w:fill="auto"/>
              <w:jc w:val="center"/>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Cs w:val="21"/>
                <w:highlight w:val="none"/>
                <w:shd w:val="clear" w:color="auto" w:fill="auto"/>
              </w:rPr>
              <w:t>10</w:t>
            </w:r>
          </w:p>
        </w:tc>
      </w:tr>
      <w:tr w14:paraId="2CAE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4621" w:type="pct"/>
            <w:gridSpan w:val="3"/>
            <w:noWrap w:val="0"/>
            <w:tcMar>
              <w:top w:w="80" w:type="dxa"/>
              <w:left w:w="80" w:type="dxa"/>
              <w:bottom w:w="80" w:type="dxa"/>
              <w:right w:w="80" w:type="dxa"/>
            </w:tcMar>
            <w:vAlign w:val="center"/>
          </w:tcPr>
          <w:p w14:paraId="207D85D5">
            <w:p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highlight w:val="none"/>
                <w:shd w:val="clear" w:color="auto" w:fill="auto"/>
              </w:rPr>
            </w:pPr>
            <w:r>
              <w:rPr>
                <w:rFonts w:ascii="宋体" w:hAnsi="宋体" w:eastAsia="宋体" w:cs="宋体"/>
                <w:color w:val="auto"/>
                <w:kern w:val="2"/>
                <w:sz w:val="21"/>
                <w:szCs w:val="21"/>
                <w:highlight w:val="none"/>
                <w:shd w:val="clear" w:color="auto" w:fill="auto"/>
              </w:rPr>
              <w:t>合计</w:t>
            </w:r>
          </w:p>
        </w:tc>
        <w:tc>
          <w:tcPr>
            <w:tcW w:w="378" w:type="pct"/>
            <w:noWrap w:val="0"/>
            <w:tcMar>
              <w:top w:w="80" w:type="dxa"/>
              <w:left w:w="80" w:type="dxa"/>
              <w:bottom w:w="80" w:type="dxa"/>
              <w:right w:w="80" w:type="dxa"/>
            </w:tcMar>
            <w:vAlign w:val="center"/>
          </w:tcPr>
          <w:p w14:paraId="59E14CB0">
            <w:p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ascii="宋体" w:hAnsi="宋体" w:eastAsia="宋体" w:cs="宋体"/>
                <w:color w:val="auto"/>
                <w:kern w:val="2"/>
                <w:sz w:val="21"/>
                <w:szCs w:val="21"/>
                <w:highlight w:val="none"/>
                <w:shd w:val="clear" w:color="auto" w:fill="auto"/>
                <w:lang w:val="en-US" w:eastAsia="zh-CN" w:bidi="ar-SA"/>
              </w:rPr>
            </w:pPr>
            <w:r>
              <w:rPr>
                <w:rFonts w:hint="eastAsia"/>
                <w:color w:val="auto"/>
                <w:highlight w:val="none"/>
                <w:shd w:val="clear" w:color="auto" w:fill="auto"/>
                <w:lang w:val="en-US" w:eastAsia="zh-CN"/>
              </w:rPr>
              <w:t>100</w:t>
            </w:r>
          </w:p>
        </w:tc>
      </w:tr>
    </w:tbl>
    <w:p w14:paraId="000E4B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cs="宋体"/>
          <w:sz w:val="36"/>
          <w:szCs w:val="36"/>
        </w:rPr>
      </w:pPr>
    </w:p>
    <w:p w14:paraId="06F7A04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hint="eastAsia" w:ascii="黑体" w:hAnsi="黑体" w:eastAsia="黑体" w:cs="黑体"/>
          <w:szCs w:val="21"/>
        </w:rPr>
      </w:pPr>
      <w:r>
        <w:rPr>
          <w:rFonts w:ascii="黑体" w:hAnsi="黑体" w:eastAsia="黑体" w:cs="黑体"/>
          <w:szCs w:val="21"/>
        </w:rPr>
        <w:t>备注：1.各项评审打分按照四舍五入，小数点后保留2位进行计算；</w:t>
      </w:r>
    </w:p>
    <w:p w14:paraId="75BAB2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50" w:hanging="1050"/>
        <w:rPr>
          <w:rFonts w:ascii="黑体" w:hAnsi="黑体" w:eastAsia="黑体" w:cs="黑体"/>
          <w:szCs w:val="21"/>
        </w:rPr>
      </w:pPr>
      <w:r>
        <w:rPr>
          <w:rFonts w:ascii="黑体" w:hAnsi="黑体" w:eastAsia="黑体" w:cs="黑体"/>
          <w:szCs w:val="21"/>
        </w:rPr>
        <w:t xml:space="preserve">          2.若出现拟推荐成交候选供应商票数相同的情况，以未推荐上述单位的评审专家对并列第一的候选供应商既定打分排序作为最终选定依据。</w:t>
      </w:r>
    </w:p>
    <w:p w14:paraId="3D7D9168">
      <w:pPr>
        <w:rPr>
          <w:rFonts w:ascii="黑体" w:hAnsi="黑体" w:eastAsia="黑体" w:cs="黑体"/>
          <w:szCs w:val="21"/>
        </w:rPr>
      </w:pPr>
      <w:r>
        <w:rPr>
          <w:rFonts w:ascii="黑体" w:hAnsi="黑体" w:eastAsia="黑体" w:cs="黑体"/>
          <w:szCs w:val="21"/>
        </w:rPr>
        <w:br w:type="page"/>
      </w:r>
    </w:p>
    <w:p w14:paraId="45160881">
      <w:pPr>
        <w:rPr>
          <w:rFonts w:hint="eastAsia" w:ascii="仿宋_GB2312" w:eastAsia="仿宋_GB2312"/>
          <w:b/>
          <w:bCs/>
          <w:color w:val="auto"/>
          <w:sz w:val="30"/>
          <w:szCs w:val="30"/>
          <w:lang w:eastAsia="zh-CN"/>
        </w:rPr>
      </w:pPr>
      <w:r>
        <w:rPr>
          <w:rFonts w:hint="eastAsia" w:ascii="仿宋_GB2312" w:eastAsia="仿宋_GB2312"/>
          <w:b/>
          <w:bCs/>
          <w:color w:val="auto"/>
          <w:sz w:val="30"/>
          <w:szCs w:val="30"/>
        </w:rPr>
        <w:t>附件</w:t>
      </w:r>
      <w:r>
        <w:rPr>
          <w:rFonts w:hint="eastAsia" w:ascii="仿宋_GB2312" w:eastAsia="仿宋_GB2312"/>
          <w:b/>
          <w:bCs/>
          <w:color w:val="auto"/>
          <w:sz w:val="30"/>
          <w:szCs w:val="30"/>
          <w:lang w:val="en-US" w:eastAsia="zh-CN"/>
        </w:rPr>
        <w:t>3</w:t>
      </w:r>
      <w:r>
        <w:rPr>
          <w:rFonts w:hint="eastAsia" w:ascii="仿宋_GB2312" w:eastAsia="仿宋_GB2312"/>
          <w:b/>
          <w:bCs/>
          <w:color w:val="auto"/>
          <w:sz w:val="30"/>
          <w:szCs w:val="30"/>
        </w:rPr>
        <w:t>：</w:t>
      </w:r>
      <w:r>
        <w:rPr>
          <w:rFonts w:hint="eastAsia" w:ascii="仿宋_GB2312" w:eastAsia="仿宋_GB2312"/>
          <w:b/>
          <w:bCs/>
          <w:color w:val="auto"/>
          <w:sz w:val="30"/>
          <w:szCs w:val="30"/>
          <w:lang w:eastAsia="zh-CN"/>
        </w:rPr>
        <w:t>报价表</w:t>
      </w:r>
    </w:p>
    <w:p w14:paraId="2B529F6C">
      <w:pPr>
        <w:numPr>
          <w:ilvl w:val="0"/>
          <w:numId w:val="1"/>
        </w:numPr>
        <w:spacing w:line="480" w:lineRule="auto"/>
        <w:rPr>
          <w:rFonts w:hint="eastAsia" w:asciiTheme="minorEastAsia" w:hAnsiTheme="minorEastAsia"/>
          <w:b/>
          <w:bCs/>
          <w:sz w:val="24"/>
          <w:u w:val="single"/>
        </w:rPr>
      </w:pPr>
      <w:r>
        <w:rPr>
          <w:rFonts w:hint="eastAsia" w:asciiTheme="minorEastAsia" w:hAnsiTheme="minorEastAsia"/>
          <w:b/>
          <w:bCs/>
          <w:sz w:val="24"/>
        </w:rPr>
        <w:t>总报价：</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9"/>
        <w:gridCol w:w="2261"/>
        <w:gridCol w:w="2121"/>
        <w:gridCol w:w="1397"/>
      </w:tblGrid>
      <w:tr w14:paraId="425A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810" w:type="pct"/>
            <w:tcBorders>
              <w:right w:val="single" w:color="auto" w:sz="2" w:space="0"/>
            </w:tcBorders>
            <w:shd w:val="clear" w:color="auto" w:fill="DAE3F4" w:themeFill="accent1" w:themeFillTint="33"/>
            <w:vAlign w:val="center"/>
          </w:tcPr>
          <w:p w14:paraId="5026E562">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项目</w:t>
            </w:r>
          </w:p>
          <w:p w14:paraId="7041583C">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名称</w:t>
            </w:r>
          </w:p>
        </w:tc>
        <w:tc>
          <w:tcPr>
            <w:tcW w:w="1248" w:type="pct"/>
            <w:tcBorders>
              <w:left w:val="single" w:color="auto" w:sz="2" w:space="0"/>
              <w:right w:val="single" w:color="auto" w:sz="2" w:space="0"/>
            </w:tcBorders>
            <w:shd w:val="clear" w:color="auto" w:fill="DAE3F4" w:themeFill="accent1" w:themeFillTint="33"/>
            <w:vAlign w:val="center"/>
          </w:tcPr>
          <w:p w14:paraId="3A7A2F7E">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报价人名称</w:t>
            </w:r>
          </w:p>
        </w:tc>
        <w:tc>
          <w:tcPr>
            <w:tcW w:w="1171" w:type="pct"/>
            <w:tcBorders>
              <w:left w:val="single" w:color="auto" w:sz="2" w:space="0"/>
            </w:tcBorders>
            <w:shd w:val="clear" w:color="auto" w:fill="DAE3F4" w:themeFill="accent1" w:themeFillTint="33"/>
            <w:vAlign w:val="center"/>
          </w:tcPr>
          <w:p w14:paraId="0B446C02">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总价</w:t>
            </w:r>
          </w:p>
          <w:p w14:paraId="22C0D5F5">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（人民币/元）</w:t>
            </w:r>
          </w:p>
        </w:tc>
        <w:tc>
          <w:tcPr>
            <w:tcW w:w="771" w:type="pct"/>
            <w:shd w:val="clear" w:color="auto" w:fill="DAE3F4" w:themeFill="accent1" w:themeFillTint="33"/>
            <w:vAlign w:val="center"/>
          </w:tcPr>
          <w:p w14:paraId="15CA0A10">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2743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10" w:type="pct"/>
            <w:tcBorders>
              <w:right w:val="single" w:color="auto" w:sz="2" w:space="0"/>
            </w:tcBorders>
            <w:vAlign w:val="center"/>
          </w:tcPr>
          <w:p w14:paraId="4F32228B">
            <w:pPr>
              <w:autoSpaceDE w:val="0"/>
              <w:autoSpaceDN w:val="0"/>
              <w:adjustRightInd w:val="0"/>
              <w:snapToGrid w:val="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湾东智算公司知识产权代理</w:t>
            </w:r>
            <w:r>
              <w:rPr>
                <w:rFonts w:hint="eastAsia" w:ascii="宋体" w:hAnsi="宋体" w:eastAsia="宋体" w:cs="宋体"/>
                <w:kern w:val="0"/>
                <w:szCs w:val="21"/>
              </w:rPr>
              <w:t>服务</w:t>
            </w:r>
            <w:r>
              <w:rPr>
                <w:rFonts w:hint="eastAsia" w:ascii="宋体" w:hAnsi="宋体" w:eastAsia="宋体" w:cs="宋体"/>
                <w:kern w:val="0"/>
                <w:szCs w:val="21"/>
                <w:lang w:val="en-US" w:eastAsia="zh-CN"/>
              </w:rPr>
              <w:t>项目</w:t>
            </w:r>
          </w:p>
        </w:tc>
        <w:tc>
          <w:tcPr>
            <w:tcW w:w="1248" w:type="pct"/>
            <w:tcBorders>
              <w:left w:val="single" w:color="auto" w:sz="2" w:space="0"/>
              <w:right w:val="single" w:color="auto" w:sz="2" w:space="0"/>
            </w:tcBorders>
            <w:vAlign w:val="center"/>
          </w:tcPr>
          <w:p w14:paraId="61D73F4C">
            <w:pPr>
              <w:autoSpaceDE w:val="0"/>
              <w:autoSpaceDN w:val="0"/>
              <w:adjustRightInd w:val="0"/>
              <w:snapToGrid w:val="0"/>
              <w:jc w:val="center"/>
              <w:rPr>
                <w:rFonts w:hint="eastAsia" w:ascii="宋体" w:hAnsi="宋体" w:eastAsia="宋体" w:cs="宋体"/>
                <w:kern w:val="0"/>
                <w:szCs w:val="21"/>
              </w:rPr>
            </w:pPr>
          </w:p>
        </w:tc>
        <w:tc>
          <w:tcPr>
            <w:tcW w:w="1171" w:type="pct"/>
            <w:tcBorders>
              <w:left w:val="single" w:color="auto" w:sz="2" w:space="0"/>
            </w:tcBorders>
            <w:vAlign w:val="center"/>
          </w:tcPr>
          <w:p w14:paraId="035D8694">
            <w:pPr>
              <w:autoSpaceDE w:val="0"/>
              <w:autoSpaceDN w:val="0"/>
              <w:adjustRightInd w:val="0"/>
              <w:snapToGrid w:val="0"/>
              <w:jc w:val="center"/>
              <w:rPr>
                <w:rFonts w:hint="eastAsia" w:ascii="宋体" w:hAnsi="宋体" w:eastAsia="宋体" w:cs="宋体"/>
                <w:kern w:val="0"/>
                <w:szCs w:val="21"/>
              </w:rPr>
            </w:pPr>
          </w:p>
        </w:tc>
        <w:tc>
          <w:tcPr>
            <w:tcW w:w="771" w:type="pct"/>
            <w:vAlign w:val="center"/>
          </w:tcPr>
          <w:p w14:paraId="5D62C70C">
            <w:pPr>
              <w:autoSpaceDE w:val="0"/>
              <w:autoSpaceDN w:val="0"/>
              <w:adjustRightInd w:val="0"/>
              <w:snapToGrid w:val="0"/>
              <w:rPr>
                <w:rFonts w:hint="eastAsia" w:ascii="宋体" w:hAnsi="宋体" w:eastAsia="宋体" w:cs="宋体"/>
                <w:szCs w:val="21"/>
              </w:rPr>
            </w:pPr>
          </w:p>
        </w:tc>
      </w:tr>
    </w:tbl>
    <w:p w14:paraId="4EC67940">
      <w:pPr>
        <w:autoSpaceDE w:val="0"/>
        <w:autoSpaceDN w:val="0"/>
        <w:adjustRightInd w:val="0"/>
        <w:snapToGrid w:val="0"/>
        <w:spacing w:line="360" w:lineRule="auto"/>
        <w:jc w:val="left"/>
        <w:rPr>
          <w:rFonts w:hint="eastAsia" w:ascii="宋体" w:hAnsi="宋体"/>
          <w:b/>
          <w:szCs w:val="21"/>
        </w:rPr>
      </w:pPr>
    </w:p>
    <w:p w14:paraId="6B8CB238">
      <w:pPr>
        <w:numPr>
          <w:ilvl w:val="0"/>
          <w:numId w:val="1"/>
        </w:numPr>
        <w:spacing w:line="480" w:lineRule="auto"/>
        <w:rPr>
          <w:rFonts w:hint="default" w:asciiTheme="minorEastAsia" w:hAnsiTheme="minorEastAsia"/>
          <w:b/>
          <w:bCs/>
          <w:sz w:val="24"/>
          <w:lang w:val="en-US" w:eastAsia="zh-CN"/>
        </w:rPr>
      </w:pPr>
      <w:r>
        <w:rPr>
          <w:rFonts w:hint="eastAsia" w:asciiTheme="minorEastAsia" w:hAnsiTheme="minorEastAsia"/>
          <w:b/>
          <w:bCs/>
          <w:sz w:val="24"/>
          <w:lang w:val="en-US" w:eastAsia="zh-CN"/>
        </w:rPr>
        <w:t>分项报价：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1"/>
        <w:gridCol w:w="2154"/>
        <w:gridCol w:w="2154"/>
        <w:gridCol w:w="1417"/>
      </w:tblGrid>
      <w:tr w14:paraId="2DE9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839" w:type="pct"/>
            <w:tcBorders>
              <w:right w:val="single" w:color="auto" w:sz="2" w:space="0"/>
            </w:tcBorders>
            <w:shd w:val="clear" w:color="auto" w:fill="DAE3F4" w:themeFill="accent1" w:themeFillTint="33"/>
            <w:vAlign w:val="center"/>
          </w:tcPr>
          <w:p w14:paraId="53D3F0CF">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项目</w:t>
            </w:r>
          </w:p>
          <w:p w14:paraId="33B1D5EF">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名称</w:t>
            </w:r>
          </w:p>
        </w:tc>
        <w:tc>
          <w:tcPr>
            <w:tcW w:w="1189" w:type="pct"/>
            <w:tcBorders>
              <w:left w:val="single" w:color="auto" w:sz="2" w:space="0"/>
            </w:tcBorders>
            <w:shd w:val="clear" w:color="auto" w:fill="DAE3F4" w:themeFill="accent1" w:themeFillTint="33"/>
            <w:vAlign w:val="center"/>
          </w:tcPr>
          <w:p w14:paraId="38D46213">
            <w:pPr>
              <w:autoSpaceDE w:val="0"/>
              <w:autoSpaceDN w:val="0"/>
              <w:adjustRightInd w:val="0"/>
              <w:snapToGrid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单价</w:t>
            </w:r>
          </w:p>
          <w:p w14:paraId="64B45B67">
            <w:pPr>
              <w:autoSpaceDE w:val="0"/>
              <w:autoSpaceDN w:val="0"/>
              <w:adjustRightInd w:val="0"/>
              <w:snapToGrid w:val="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（人民币/元/件）</w:t>
            </w:r>
          </w:p>
        </w:tc>
        <w:tc>
          <w:tcPr>
            <w:tcW w:w="1189" w:type="pct"/>
            <w:tcBorders>
              <w:left w:val="single" w:color="auto" w:sz="2" w:space="0"/>
            </w:tcBorders>
            <w:shd w:val="clear" w:color="auto" w:fill="DAE3F4" w:themeFill="accent1" w:themeFillTint="33"/>
            <w:vAlign w:val="center"/>
          </w:tcPr>
          <w:p w14:paraId="3C64C9BD">
            <w:pPr>
              <w:autoSpaceDE w:val="0"/>
              <w:autoSpaceDN w:val="0"/>
              <w:adjustRightInd w:val="0"/>
              <w:snapToGrid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分项总价</w:t>
            </w:r>
          </w:p>
          <w:p w14:paraId="73FBE87C">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（人民币/元）</w:t>
            </w:r>
          </w:p>
        </w:tc>
        <w:tc>
          <w:tcPr>
            <w:tcW w:w="782" w:type="pct"/>
            <w:shd w:val="clear" w:color="auto" w:fill="DAE3F4" w:themeFill="accent1" w:themeFillTint="33"/>
            <w:vAlign w:val="center"/>
          </w:tcPr>
          <w:p w14:paraId="369B73EB">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20C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839" w:type="pct"/>
            <w:tcBorders>
              <w:right w:val="single" w:color="auto" w:sz="2" w:space="0"/>
            </w:tcBorders>
            <w:vAlign w:val="center"/>
          </w:tcPr>
          <w:p w14:paraId="3DB726B0">
            <w:pPr>
              <w:autoSpaceDE w:val="0"/>
              <w:autoSpaceDN w:val="0"/>
              <w:adjustRightInd w:val="0"/>
              <w:snapToGrid w:val="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发明专利（20件上限）</w:t>
            </w:r>
          </w:p>
        </w:tc>
        <w:tc>
          <w:tcPr>
            <w:tcW w:w="1189" w:type="pct"/>
            <w:tcBorders>
              <w:left w:val="single" w:color="auto" w:sz="2" w:space="0"/>
            </w:tcBorders>
            <w:vAlign w:val="center"/>
          </w:tcPr>
          <w:p w14:paraId="15C6AC1D">
            <w:pPr>
              <w:autoSpaceDE w:val="0"/>
              <w:autoSpaceDN w:val="0"/>
              <w:adjustRightInd w:val="0"/>
              <w:snapToGrid w:val="0"/>
              <w:jc w:val="center"/>
              <w:rPr>
                <w:rFonts w:hint="eastAsia" w:ascii="宋体" w:hAnsi="宋体" w:eastAsia="宋体" w:cs="宋体"/>
                <w:kern w:val="0"/>
                <w:szCs w:val="21"/>
              </w:rPr>
            </w:pPr>
          </w:p>
        </w:tc>
        <w:tc>
          <w:tcPr>
            <w:tcW w:w="1189" w:type="pct"/>
            <w:tcBorders>
              <w:left w:val="single" w:color="auto" w:sz="2" w:space="0"/>
            </w:tcBorders>
            <w:vAlign w:val="center"/>
          </w:tcPr>
          <w:p w14:paraId="46188AA5">
            <w:pPr>
              <w:autoSpaceDE w:val="0"/>
              <w:autoSpaceDN w:val="0"/>
              <w:adjustRightInd w:val="0"/>
              <w:snapToGrid w:val="0"/>
              <w:jc w:val="center"/>
              <w:rPr>
                <w:rFonts w:hint="eastAsia" w:ascii="宋体" w:hAnsi="宋体" w:eastAsia="宋体" w:cs="宋体"/>
                <w:kern w:val="0"/>
                <w:szCs w:val="21"/>
              </w:rPr>
            </w:pPr>
          </w:p>
        </w:tc>
        <w:tc>
          <w:tcPr>
            <w:tcW w:w="782" w:type="pct"/>
            <w:vAlign w:val="center"/>
          </w:tcPr>
          <w:p w14:paraId="75B79F28">
            <w:pPr>
              <w:autoSpaceDE w:val="0"/>
              <w:autoSpaceDN w:val="0"/>
              <w:adjustRightInd w:val="0"/>
              <w:snapToGrid w:val="0"/>
              <w:rPr>
                <w:rFonts w:hint="eastAsia" w:ascii="宋体" w:hAnsi="宋体" w:eastAsia="宋体" w:cs="宋体"/>
                <w:szCs w:val="21"/>
              </w:rPr>
            </w:pPr>
          </w:p>
        </w:tc>
      </w:tr>
      <w:tr w14:paraId="7467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39" w:type="pct"/>
            <w:tcBorders>
              <w:right w:val="single" w:color="auto" w:sz="2" w:space="0"/>
            </w:tcBorders>
            <w:vAlign w:val="center"/>
          </w:tcPr>
          <w:p w14:paraId="0EDBF886">
            <w:pPr>
              <w:tabs>
                <w:tab w:val="center" w:pos="1618"/>
                <w:tab w:val="right" w:pos="3116"/>
              </w:tabs>
              <w:autoSpaceDE w:val="0"/>
              <w:autoSpaceDN w:val="0"/>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ab/>
            </w:r>
            <w:r>
              <w:rPr>
                <w:rFonts w:hint="eastAsia" w:ascii="宋体" w:hAnsi="宋体" w:eastAsia="宋体" w:cs="宋体"/>
                <w:kern w:val="0"/>
                <w:szCs w:val="21"/>
                <w:lang w:val="en-US" w:eastAsia="zh-CN"/>
              </w:rPr>
              <w:t>软件著作权（10件）-加急案件</w:t>
            </w:r>
            <w:r>
              <w:rPr>
                <w:rFonts w:hint="eastAsia" w:ascii="宋体" w:hAnsi="宋体" w:eastAsia="宋体" w:cs="宋体"/>
                <w:kern w:val="0"/>
                <w:szCs w:val="21"/>
                <w:lang w:val="en-US" w:eastAsia="zh-CN"/>
              </w:rPr>
              <w:tab/>
            </w:r>
          </w:p>
        </w:tc>
        <w:tc>
          <w:tcPr>
            <w:tcW w:w="1189" w:type="pct"/>
            <w:tcBorders>
              <w:left w:val="single" w:color="auto" w:sz="2" w:space="0"/>
            </w:tcBorders>
            <w:vAlign w:val="center"/>
          </w:tcPr>
          <w:p w14:paraId="1ED917B1">
            <w:pPr>
              <w:autoSpaceDE w:val="0"/>
              <w:autoSpaceDN w:val="0"/>
              <w:adjustRightInd w:val="0"/>
              <w:snapToGrid w:val="0"/>
              <w:jc w:val="center"/>
              <w:rPr>
                <w:rFonts w:hint="eastAsia" w:ascii="宋体" w:hAnsi="宋体" w:eastAsia="宋体" w:cs="宋体"/>
                <w:kern w:val="0"/>
                <w:szCs w:val="21"/>
              </w:rPr>
            </w:pPr>
          </w:p>
        </w:tc>
        <w:tc>
          <w:tcPr>
            <w:tcW w:w="1189" w:type="pct"/>
            <w:tcBorders>
              <w:left w:val="single" w:color="auto" w:sz="2" w:space="0"/>
            </w:tcBorders>
            <w:vAlign w:val="center"/>
          </w:tcPr>
          <w:p w14:paraId="11E94D11">
            <w:pPr>
              <w:autoSpaceDE w:val="0"/>
              <w:autoSpaceDN w:val="0"/>
              <w:adjustRightInd w:val="0"/>
              <w:snapToGrid w:val="0"/>
              <w:jc w:val="center"/>
              <w:rPr>
                <w:rFonts w:hint="eastAsia" w:ascii="宋体" w:hAnsi="宋体" w:eastAsia="宋体" w:cs="宋体"/>
                <w:kern w:val="0"/>
                <w:szCs w:val="21"/>
              </w:rPr>
            </w:pPr>
          </w:p>
        </w:tc>
        <w:tc>
          <w:tcPr>
            <w:tcW w:w="782" w:type="pct"/>
            <w:vAlign w:val="center"/>
          </w:tcPr>
          <w:p w14:paraId="779DD5D6">
            <w:pPr>
              <w:autoSpaceDE w:val="0"/>
              <w:autoSpaceDN w:val="0"/>
              <w:adjustRightInd w:val="0"/>
              <w:snapToGrid w:val="0"/>
              <w:rPr>
                <w:rFonts w:hint="eastAsia" w:ascii="宋体" w:hAnsi="宋体" w:eastAsia="宋体" w:cs="宋体"/>
                <w:szCs w:val="21"/>
              </w:rPr>
            </w:pPr>
          </w:p>
        </w:tc>
      </w:tr>
      <w:tr w14:paraId="44A0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839" w:type="pct"/>
            <w:tcBorders>
              <w:right w:val="single" w:color="auto" w:sz="2" w:space="0"/>
            </w:tcBorders>
            <w:vAlign w:val="center"/>
          </w:tcPr>
          <w:p w14:paraId="009B1A90">
            <w:pPr>
              <w:autoSpaceDE w:val="0"/>
              <w:autoSpaceDN w:val="0"/>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软件著作权（10件上限）-非加急案件</w:t>
            </w:r>
          </w:p>
        </w:tc>
        <w:tc>
          <w:tcPr>
            <w:tcW w:w="1189" w:type="pct"/>
            <w:tcBorders>
              <w:left w:val="single" w:color="auto" w:sz="2" w:space="0"/>
            </w:tcBorders>
            <w:vAlign w:val="center"/>
          </w:tcPr>
          <w:p w14:paraId="51ADD321">
            <w:pPr>
              <w:autoSpaceDE w:val="0"/>
              <w:autoSpaceDN w:val="0"/>
              <w:adjustRightInd w:val="0"/>
              <w:snapToGrid w:val="0"/>
              <w:jc w:val="center"/>
              <w:rPr>
                <w:rFonts w:hint="eastAsia" w:ascii="宋体" w:hAnsi="宋体" w:eastAsia="宋体" w:cs="宋体"/>
                <w:kern w:val="0"/>
                <w:szCs w:val="21"/>
              </w:rPr>
            </w:pPr>
          </w:p>
        </w:tc>
        <w:tc>
          <w:tcPr>
            <w:tcW w:w="1189" w:type="pct"/>
            <w:tcBorders>
              <w:left w:val="single" w:color="auto" w:sz="2" w:space="0"/>
            </w:tcBorders>
            <w:vAlign w:val="center"/>
          </w:tcPr>
          <w:p w14:paraId="2FF09F98">
            <w:pPr>
              <w:autoSpaceDE w:val="0"/>
              <w:autoSpaceDN w:val="0"/>
              <w:adjustRightInd w:val="0"/>
              <w:snapToGrid w:val="0"/>
              <w:jc w:val="center"/>
              <w:rPr>
                <w:rFonts w:hint="eastAsia" w:ascii="宋体" w:hAnsi="宋体" w:eastAsia="宋体" w:cs="宋体"/>
                <w:kern w:val="0"/>
                <w:szCs w:val="21"/>
              </w:rPr>
            </w:pPr>
          </w:p>
        </w:tc>
        <w:tc>
          <w:tcPr>
            <w:tcW w:w="782" w:type="pct"/>
            <w:vAlign w:val="center"/>
          </w:tcPr>
          <w:p w14:paraId="02776783">
            <w:pPr>
              <w:autoSpaceDE w:val="0"/>
              <w:autoSpaceDN w:val="0"/>
              <w:adjustRightInd w:val="0"/>
              <w:snapToGrid w:val="0"/>
              <w:rPr>
                <w:rFonts w:hint="eastAsia" w:ascii="宋体" w:hAnsi="宋体" w:eastAsia="宋体" w:cs="宋体"/>
                <w:szCs w:val="21"/>
                <w:lang w:eastAsia="zh-CN"/>
              </w:rPr>
            </w:pPr>
            <w:r>
              <w:rPr>
                <w:rFonts w:hint="eastAsia" w:ascii="宋体" w:hAnsi="宋体" w:eastAsia="宋体" w:cs="宋体"/>
                <w:szCs w:val="21"/>
                <w:lang w:eastAsia="zh-CN"/>
              </w:rPr>
              <w:t>以实际交付数量结算相应费用</w:t>
            </w:r>
          </w:p>
        </w:tc>
      </w:tr>
    </w:tbl>
    <w:p w14:paraId="41729740">
      <w:pPr>
        <w:autoSpaceDE w:val="0"/>
        <w:autoSpaceDN w:val="0"/>
        <w:adjustRightInd w:val="0"/>
        <w:snapToGrid w:val="0"/>
        <w:spacing w:line="360" w:lineRule="auto"/>
        <w:jc w:val="left"/>
        <w:rPr>
          <w:rFonts w:hint="eastAsia" w:ascii="宋体" w:hAnsi="宋体"/>
          <w:b/>
          <w:szCs w:val="21"/>
        </w:rPr>
      </w:pPr>
    </w:p>
    <w:p w14:paraId="41C229C9">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填报说明：</w:t>
      </w:r>
    </w:p>
    <w:p w14:paraId="55980D87">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1.上述总价中须包括完成本项目需求书要求的所有费用。报价人</w:t>
      </w:r>
      <w:r>
        <w:rPr>
          <w:rFonts w:ascii="宋体" w:hAnsi="宋体"/>
          <w:szCs w:val="21"/>
        </w:rPr>
        <w:t>对可能产生的困难以及将发生的</w:t>
      </w:r>
      <w:r>
        <w:rPr>
          <w:rFonts w:hint="eastAsia" w:ascii="宋体" w:hAnsi="宋体"/>
          <w:szCs w:val="21"/>
        </w:rPr>
        <w:t>风险及相关</w:t>
      </w:r>
      <w:r>
        <w:rPr>
          <w:rFonts w:ascii="宋体" w:hAnsi="宋体"/>
          <w:szCs w:val="21"/>
        </w:rPr>
        <w:t>费用充分估计，计入报价中。</w:t>
      </w:r>
    </w:p>
    <w:p w14:paraId="6CE96D1E">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2.所有报价货币类型为人民币，保留小数点后2位。</w:t>
      </w:r>
    </w:p>
    <w:p w14:paraId="46E6E1A6">
      <w:pPr>
        <w:autoSpaceDE w:val="0"/>
        <w:autoSpaceDN w:val="0"/>
        <w:adjustRightInd w:val="0"/>
        <w:snapToGrid w:val="0"/>
        <w:spacing w:line="360" w:lineRule="auto"/>
        <w:jc w:val="left"/>
      </w:pPr>
      <w:r>
        <w:rPr>
          <w:rFonts w:hint="eastAsia" w:ascii="宋体" w:hAnsi="宋体"/>
          <w:szCs w:val="21"/>
        </w:rPr>
        <w:t>3.本次询价结果仅供询价人相关项目定价参考，询价人不作任何中标承诺。</w:t>
      </w:r>
    </w:p>
    <w:p w14:paraId="244A8C83">
      <w:r>
        <w:rPr>
          <w:rFonts w:ascii="黑体" w:hAnsi="黑体" w:eastAsia="黑体" w:cs="黑体"/>
          <w:szCs w:val="21"/>
        </w:rPr>
        <w:br w:type="page"/>
      </w:r>
    </w:p>
    <w:p w14:paraId="1086BBAD">
      <w:pPr>
        <w:rPr>
          <w:rFonts w:ascii="仿宋_GB2312" w:eastAsia="仿宋_GB2312"/>
          <w:b/>
          <w:bCs/>
          <w:color w:val="auto"/>
          <w:sz w:val="30"/>
          <w:szCs w:val="30"/>
        </w:rPr>
      </w:pPr>
      <w:r>
        <w:rPr>
          <w:rFonts w:hint="eastAsia" w:ascii="仿宋_GB2312" w:eastAsia="仿宋_GB2312"/>
          <w:b/>
          <w:bCs/>
          <w:color w:val="auto"/>
          <w:sz w:val="30"/>
          <w:szCs w:val="30"/>
        </w:rPr>
        <w:t>附件</w:t>
      </w:r>
      <w:r>
        <w:rPr>
          <w:rFonts w:hint="eastAsia" w:ascii="仿宋_GB2312" w:eastAsia="仿宋_GB2312"/>
          <w:b/>
          <w:bCs/>
          <w:color w:val="auto"/>
          <w:sz w:val="30"/>
          <w:szCs w:val="30"/>
          <w:lang w:val="en-US" w:eastAsia="zh-CN"/>
        </w:rPr>
        <w:t>4</w:t>
      </w:r>
      <w:r>
        <w:rPr>
          <w:rFonts w:hint="eastAsia" w:ascii="仿宋_GB2312" w:eastAsia="仿宋_GB2312"/>
          <w:b/>
          <w:bCs/>
          <w:color w:val="auto"/>
          <w:sz w:val="30"/>
          <w:szCs w:val="30"/>
        </w:rPr>
        <w:t>：承诺函</w:t>
      </w:r>
    </w:p>
    <w:p w14:paraId="1E069C83">
      <w:pPr>
        <w:pStyle w:val="5"/>
        <w:spacing w:line="360" w:lineRule="auto"/>
        <w:jc w:val="center"/>
        <w:rPr>
          <w:rFonts w:hint="eastAsia" w:hAnsi="宋体"/>
          <w:bCs/>
          <w:color w:val="auto"/>
          <w:sz w:val="24"/>
          <w:szCs w:val="24"/>
        </w:rPr>
      </w:pPr>
      <w:r>
        <w:rPr>
          <w:rFonts w:hint="eastAsia" w:hAnsi="宋体"/>
          <w:color w:val="auto"/>
          <w:sz w:val="36"/>
          <w:szCs w:val="36"/>
        </w:rPr>
        <w:t>承诺函</w:t>
      </w:r>
    </w:p>
    <w:p w14:paraId="41E55720">
      <w:pPr>
        <w:pStyle w:val="5"/>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宋体"/>
          <w:bCs/>
          <w:color w:val="auto"/>
          <w:kern w:val="2"/>
          <w:sz w:val="24"/>
          <w:szCs w:val="24"/>
          <w:lang w:val="en-US" w:eastAsia="zh-CN" w:bidi="ar-SA"/>
        </w:rPr>
      </w:pPr>
      <w:r>
        <w:rPr>
          <w:rFonts w:hint="eastAsia" w:hAnsi="宋体"/>
          <w:bCs/>
          <w:color w:val="auto"/>
          <w:sz w:val="24"/>
          <w:szCs w:val="24"/>
        </w:rPr>
        <w:t>致采购人:</w:t>
      </w:r>
      <w:r>
        <w:rPr>
          <w:rFonts w:hint="eastAsia" w:ascii="Times New Roman" w:hAnsi="宋体"/>
          <w:bCs/>
          <w:color w:val="auto"/>
          <w:kern w:val="2"/>
          <w:sz w:val="24"/>
          <w:szCs w:val="24"/>
          <w:lang w:val="en-US" w:eastAsia="zh-CN" w:bidi="ar-SA"/>
        </w:rPr>
        <w:t xml:space="preserve"> </w:t>
      </w:r>
      <w:r>
        <w:rPr>
          <w:rFonts w:hint="eastAsia" w:ascii="Times New Roman" w:hAnsi="宋体"/>
          <w:bCs/>
          <w:color w:val="auto"/>
          <w:kern w:val="2"/>
          <w:sz w:val="24"/>
          <w:szCs w:val="24"/>
          <w:u w:val="single"/>
          <w:lang w:val="en-US" w:eastAsia="zh-CN" w:bidi="ar-SA"/>
        </w:rPr>
        <w:t>深圳市湾东智算科技有限公司</w:t>
      </w:r>
    </w:p>
    <w:p w14:paraId="1C4D8F82">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Ansi="宋体"/>
          <w:bCs/>
          <w:color w:val="auto"/>
          <w:sz w:val="24"/>
          <w:szCs w:val="24"/>
        </w:rPr>
      </w:pPr>
      <w:r>
        <w:rPr>
          <w:rFonts w:hint="eastAsia" w:hAnsi="宋体"/>
          <w:bCs/>
          <w:color w:val="auto"/>
          <w:sz w:val="24"/>
          <w:szCs w:val="24"/>
          <w:lang w:val="en-US" w:eastAsia="zh-CN"/>
        </w:rPr>
        <w:t xml:space="preserve">    </w:t>
      </w:r>
      <w:r>
        <w:rPr>
          <w:rFonts w:hint="eastAsia" w:hAnsi="宋体"/>
          <w:bCs/>
          <w:color w:val="auto"/>
          <w:sz w:val="24"/>
          <w:szCs w:val="24"/>
        </w:rPr>
        <w:t>为了确保本项目工作顺利进行，我方将严格执行建设工程招标投标管理的法律法规，并完全接受</w:t>
      </w:r>
      <w:r>
        <w:rPr>
          <w:rFonts w:hint="eastAsia" w:hAnsi="宋体"/>
          <w:bCs/>
          <w:color w:val="auto"/>
          <w:sz w:val="24"/>
          <w:szCs w:val="24"/>
          <w:u w:val="single"/>
          <w:lang w:val="en-US" w:eastAsia="zh-CN"/>
        </w:rPr>
        <w:t>湾东智算公司知识产权代理服务</w:t>
      </w:r>
      <w:r>
        <w:rPr>
          <w:rFonts w:hint="eastAsia" w:hAnsi="宋体"/>
          <w:bCs/>
          <w:color w:val="auto"/>
          <w:sz w:val="24"/>
          <w:szCs w:val="24"/>
          <w:u w:val="none"/>
          <w:lang w:val="en-US" w:eastAsia="zh-CN"/>
        </w:rPr>
        <w:t>采购</w:t>
      </w:r>
      <w:r>
        <w:rPr>
          <w:rFonts w:hint="eastAsia" w:hAnsi="宋体"/>
          <w:bCs/>
          <w:color w:val="auto"/>
          <w:sz w:val="24"/>
          <w:szCs w:val="24"/>
        </w:rPr>
        <w:t>公告的所有内容及要求，为此作出如下承诺：</w:t>
      </w:r>
    </w:p>
    <w:p w14:paraId="16268F6E">
      <w:pPr>
        <w:pStyle w:val="5"/>
        <w:keepNext w:val="0"/>
        <w:keepLines w:val="0"/>
        <w:pageBreakBefore w:val="0"/>
        <w:widowControl w:val="0"/>
        <w:numPr>
          <w:ilvl w:val="0"/>
          <w:numId w:val="2"/>
        </w:numPr>
        <w:kinsoku/>
        <w:wordWrap/>
        <w:overflowPunct/>
        <w:topLinePunct w:val="0"/>
        <w:autoSpaceDE/>
        <w:autoSpaceDN/>
        <w:bidi w:val="0"/>
        <w:spacing w:line="500" w:lineRule="exact"/>
        <w:ind w:firstLine="480" w:firstLineChars="200"/>
        <w:textAlignment w:val="auto"/>
        <w:rPr>
          <w:rFonts w:hint="eastAsia" w:hAnsi="宋体"/>
          <w:b/>
          <w:color w:val="auto"/>
          <w:sz w:val="24"/>
          <w:szCs w:val="24"/>
        </w:rPr>
      </w:pPr>
      <w:r>
        <w:rPr>
          <w:rFonts w:hint="eastAsia" w:hAnsi="宋体"/>
          <w:b/>
          <w:bCs/>
          <w:color w:val="auto"/>
          <w:sz w:val="24"/>
          <w:szCs w:val="24"/>
        </w:rPr>
        <w:t>根</w:t>
      </w:r>
      <w:r>
        <w:rPr>
          <w:rFonts w:hint="eastAsia" w:hAnsi="宋体"/>
          <w:b/>
          <w:color w:val="auto"/>
          <w:sz w:val="24"/>
          <w:szCs w:val="24"/>
        </w:rPr>
        <w:t>据企业自身情况，理性报价，不会以低于成本的报价竞标，并愿以</w:t>
      </w:r>
      <w:r>
        <w:rPr>
          <w:rFonts w:hint="eastAsia" w:hAnsi="宋体"/>
          <w:b/>
          <w:color w:val="auto"/>
          <w:sz w:val="24"/>
          <w:szCs w:val="24"/>
          <w:u w:val="single"/>
        </w:rPr>
        <w:t xml:space="preserve">       万元</w:t>
      </w:r>
      <w:r>
        <w:rPr>
          <w:rFonts w:hint="eastAsia" w:hAnsi="宋体"/>
          <w:b/>
          <w:color w:val="auto"/>
          <w:sz w:val="24"/>
          <w:szCs w:val="24"/>
        </w:rPr>
        <w:t>，按照采购人要求承包本项目工作，并签署服务合同。否则，我方愿意承担任何风险。（响应供应商填写）</w:t>
      </w:r>
    </w:p>
    <w:p w14:paraId="653DEB76">
      <w:pPr>
        <w:pStyle w:val="5"/>
        <w:keepNext w:val="0"/>
        <w:keepLines w:val="0"/>
        <w:pageBreakBefore w:val="0"/>
        <w:widowControl w:val="0"/>
        <w:numPr>
          <w:ilvl w:val="0"/>
          <w:numId w:val="2"/>
        </w:numPr>
        <w:kinsoku/>
        <w:wordWrap/>
        <w:overflowPunct/>
        <w:topLinePunct w:val="0"/>
        <w:autoSpaceDE/>
        <w:autoSpaceDN/>
        <w:bidi w:val="0"/>
        <w:spacing w:line="500" w:lineRule="exact"/>
        <w:ind w:firstLine="480" w:firstLineChars="200"/>
        <w:textAlignment w:val="auto"/>
        <w:rPr>
          <w:rFonts w:hAnsi="宋体"/>
          <w:bCs/>
          <w:color w:val="auto"/>
          <w:sz w:val="24"/>
          <w:szCs w:val="24"/>
        </w:rPr>
      </w:pPr>
      <w:r>
        <w:rPr>
          <w:rFonts w:hint="eastAsia" w:hAnsi="宋体"/>
          <w:bCs/>
          <w:color w:val="auto"/>
          <w:sz w:val="24"/>
          <w:szCs w:val="24"/>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7F4EF754">
      <w:pPr>
        <w:pStyle w:val="5"/>
        <w:keepNext w:val="0"/>
        <w:keepLines w:val="0"/>
        <w:pageBreakBefore w:val="0"/>
        <w:widowControl w:val="0"/>
        <w:numPr>
          <w:ilvl w:val="0"/>
          <w:numId w:val="2"/>
        </w:numPr>
        <w:kinsoku/>
        <w:wordWrap/>
        <w:overflowPunct/>
        <w:topLinePunct w:val="0"/>
        <w:autoSpaceDE/>
        <w:autoSpaceDN/>
        <w:bidi w:val="0"/>
        <w:spacing w:line="500" w:lineRule="exact"/>
        <w:ind w:firstLine="480" w:firstLineChars="200"/>
        <w:textAlignment w:val="auto"/>
        <w:rPr>
          <w:rFonts w:hint="eastAsia" w:hAnsi="宋体"/>
          <w:bCs/>
          <w:color w:val="auto"/>
          <w:sz w:val="24"/>
          <w:szCs w:val="24"/>
        </w:rPr>
      </w:pPr>
      <w:r>
        <w:rPr>
          <w:rFonts w:hint="eastAsia" w:hAnsi="宋体"/>
          <w:bCs/>
          <w:color w:val="auto"/>
          <w:sz w:val="24"/>
          <w:szCs w:val="24"/>
        </w:rPr>
        <w:t>我方承诺履行项目管理班子配备义务，不擅自更换</w:t>
      </w:r>
      <w:r>
        <w:rPr>
          <w:rFonts w:hint="eastAsia" w:hAnsi="宋体"/>
          <w:bCs/>
          <w:color w:val="auto"/>
          <w:sz w:val="24"/>
          <w:szCs w:val="24"/>
          <w:lang w:eastAsia="zh-CN"/>
        </w:rPr>
        <w:t>公开招标（自主）</w:t>
      </w:r>
      <w:r>
        <w:rPr>
          <w:rFonts w:hint="eastAsia" w:hAnsi="宋体"/>
          <w:bCs/>
          <w:color w:val="auto"/>
          <w:sz w:val="24"/>
          <w:szCs w:val="24"/>
        </w:rPr>
        <w:t>时的项目团队（注册执业人员），如不能继续履行职责确需更换的，所更换人员为我单位职工，其从业资格不低于</w:t>
      </w:r>
      <w:r>
        <w:rPr>
          <w:rFonts w:hint="eastAsia" w:hAnsi="宋体"/>
          <w:bCs/>
          <w:color w:val="auto"/>
          <w:sz w:val="24"/>
          <w:szCs w:val="24"/>
          <w:lang w:eastAsia="zh-CN"/>
        </w:rPr>
        <w:t>公开招标（自主）</w:t>
      </w:r>
      <w:r>
        <w:rPr>
          <w:rFonts w:hint="eastAsia" w:hAnsi="宋体"/>
          <w:bCs/>
          <w:color w:val="auto"/>
          <w:sz w:val="24"/>
          <w:szCs w:val="24"/>
        </w:rPr>
        <w:t>时承诺条件。</w:t>
      </w:r>
    </w:p>
    <w:p w14:paraId="69D2D115">
      <w:pPr>
        <w:pStyle w:val="5"/>
        <w:keepNext w:val="0"/>
        <w:keepLines w:val="0"/>
        <w:pageBreakBefore w:val="0"/>
        <w:widowControl w:val="0"/>
        <w:numPr>
          <w:ilvl w:val="0"/>
          <w:numId w:val="2"/>
        </w:numPr>
        <w:kinsoku/>
        <w:wordWrap/>
        <w:overflowPunct/>
        <w:topLinePunct w:val="0"/>
        <w:autoSpaceDE/>
        <w:autoSpaceDN/>
        <w:bidi w:val="0"/>
        <w:spacing w:line="500" w:lineRule="exact"/>
        <w:ind w:firstLine="480" w:firstLineChars="200"/>
        <w:textAlignment w:val="auto"/>
        <w:rPr>
          <w:rFonts w:hAnsi="宋体"/>
          <w:bCs/>
          <w:color w:val="auto"/>
          <w:sz w:val="24"/>
          <w:szCs w:val="24"/>
        </w:rPr>
      </w:pPr>
      <w:r>
        <w:rPr>
          <w:rFonts w:hint="eastAsia" w:hAnsi="宋体"/>
          <w:bCs/>
          <w:color w:val="auto"/>
          <w:sz w:val="24"/>
          <w:szCs w:val="24"/>
        </w:rPr>
        <w:t>如果违反本承诺书中任何条款，我方愿意接受：</w:t>
      </w:r>
    </w:p>
    <w:p w14:paraId="32D50AD7">
      <w:pPr>
        <w:pStyle w:val="5"/>
        <w:keepNext w:val="0"/>
        <w:keepLines w:val="0"/>
        <w:pageBreakBefore w:val="0"/>
        <w:widowControl w:val="0"/>
        <w:kinsoku/>
        <w:wordWrap/>
        <w:overflowPunct/>
        <w:topLinePunct w:val="0"/>
        <w:autoSpaceDE/>
        <w:autoSpaceDN/>
        <w:bidi w:val="0"/>
        <w:spacing w:line="500" w:lineRule="exact"/>
        <w:ind w:firstLine="480" w:firstLineChars="200"/>
        <w:textAlignment w:val="auto"/>
        <w:rPr>
          <w:rFonts w:hAnsi="宋体"/>
          <w:bCs/>
          <w:color w:val="auto"/>
          <w:sz w:val="24"/>
          <w:szCs w:val="24"/>
        </w:rPr>
      </w:pPr>
      <w:r>
        <w:rPr>
          <w:rFonts w:hint="eastAsia" w:hAnsi="宋体"/>
          <w:bCs/>
          <w:color w:val="auto"/>
          <w:sz w:val="24"/>
          <w:szCs w:val="24"/>
        </w:rPr>
        <w:t>（1）视作我方单方面违约，并按照合同规定向贵方支付违约金或解除合同；</w:t>
      </w:r>
    </w:p>
    <w:p w14:paraId="2F15C291">
      <w:pPr>
        <w:pStyle w:val="5"/>
        <w:keepNext w:val="0"/>
        <w:keepLines w:val="0"/>
        <w:pageBreakBefore w:val="0"/>
        <w:widowControl w:val="0"/>
        <w:kinsoku/>
        <w:wordWrap/>
        <w:overflowPunct/>
        <w:topLinePunct w:val="0"/>
        <w:autoSpaceDE/>
        <w:autoSpaceDN/>
        <w:bidi w:val="0"/>
        <w:spacing w:line="500" w:lineRule="exact"/>
        <w:ind w:firstLine="480" w:firstLineChars="200"/>
        <w:textAlignment w:val="auto"/>
        <w:rPr>
          <w:rFonts w:hAnsi="宋体"/>
          <w:bCs/>
          <w:color w:val="auto"/>
          <w:sz w:val="24"/>
          <w:szCs w:val="24"/>
        </w:rPr>
      </w:pPr>
      <w:r>
        <w:rPr>
          <w:rFonts w:hint="eastAsia" w:hAnsi="宋体"/>
          <w:bCs/>
          <w:color w:val="auto"/>
          <w:sz w:val="24"/>
          <w:szCs w:val="24"/>
        </w:rPr>
        <w:t>（2）履约评价评定为合格及以下；</w:t>
      </w:r>
    </w:p>
    <w:p w14:paraId="7C3B50F7">
      <w:pPr>
        <w:pStyle w:val="5"/>
        <w:keepNext w:val="0"/>
        <w:keepLines w:val="0"/>
        <w:pageBreakBefore w:val="0"/>
        <w:widowControl w:val="0"/>
        <w:kinsoku/>
        <w:wordWrap/>
        <w:overflowPunct/>
        <w:topLinePunct w:val="0"/>
        <w:autoSpaceDE/>
        <w:autoSpaceDN/>
        <w:bidi w:val="0"/>
        <w:spacing w:line="500" w:lineRule="exact"/>
        <w:ind w:firstLine="480" w:firstLineChars="200"/>
        <w:textAlignment w:val="auto"/>
        <w:rPr>
          <w:rFonts w:hAnsi="宋体"/>
          <w:bCs/>
          <w:color w:val="auto"/>
          <w:sz w:val="24"/>
          <w:szCs w:val="24"/>
        </w:rPr>
      </w:pPr>
      <w:r>
        <w:rPr>
          <w:rFonts w:hint="eastAsia" w:hAnsi="宋体"/>
          <w:bCs/>
          <w:color w:val="auto"/>
          <w:sz w:val="24"/>
          <w:szCs w:val="24"/>
        </w:rPr>
        <w:t>（3）贵方今后可拒绝我方参与投标；</w:t>
      </w:r>
    </w:p>
    <w:p w14:paraId="0EFC58CC">
      <w:pPr>
        <w:pStyle w:val="5"/>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bCs/>
          <w:color w:val="auto"/>
          <w:sz w:val="24"/>
        </w:rPr>
      </w:pPr>
      <w:r>
        <w:rPr>
          <w:rFonts w:hint="eastAsia" w:hAnsi="宋体"/>
          <w:bCs/>
          <w:color w:val="auto"/>
          <w:sz w:val="24"/>
          <w:szCs w:val="24"/>
        </w:rPr>
        <w:t>（4）建设行政主管部门或相关主管部门的不良行为记录、行政处罚。</w:t>
      </w:r>
    </w:p>
    <w:p w14:paraId="282C6F52">
      <w:pPr>
        <w:spacing w:line="600" w:lineRule="exact"/>
        <w:rPr>
          <w:rFonts w:hint="eastAsia" w:ascii="宋体" w:hAnsi="宋体"/>
          <w:bCs/>
          <w:color w:val="auto"/>
          <w:sz w:val="24"/>
        </w:rPr>
      </w:pPr>
    </w:p>
    <w:p w14:paraId="3EFD04DE">
      <w:pPr>
        <w:spacing w:line="600" w:lineRule="exact"/>
        <w:ind w:firstLine="3600" w:firstLineChars="1500"/>
        <w:rPr>
          <w:rFonts w:hint="eastAsia" w:ascii="宋体" w:hAnsi="宋体"/>
          <w:bCs/>
          <w:color w:val="auto"/>
          <w:sz w:val="24"/>
        </w:rPr>
      </w:pPr>
      <w:r>
        <w:rPr>
          <w:rFonts w:hint="eastAsia" w:ascii="宋体" w:hAnsi="宋体"/>
          <w:bCs/>
          <w:color w:val="auto"/>
          <w:sz w:val="24"/>
        </w:rPr>
        <w:t>承诺单位（盖章）：</w:t>
      </w:r>
    </w:p>
    <w:p w14:paraId="12C7C8A7">
      <w:pPr>
        <w:spacing w:line="600" w:lineRule="exact"/>
        <w:ind w:firstLine="3600" w:firstLineChars="1500"/>
        <w:rPr>
          <w:rFonts w:hint="eastAsia" w:ascii="宋体" w:hAnsi="宋体"/>
          <w:bCs/>
          <w:color w:val="auto"/>
          <w:sz w:val="24"/>
        </w:rPr>
      </w:pPr>
      <w:r>
        <w:rPr>
          <w:rFonts w:hint="eastAsia" w:ascii="宋体" w:hAnsi="宋体"/>
          <w:bCs/>
          <w:color w:val="auto"/>
          <w:sz w:val="24"/>
        </w:rPr>
        <w:t>法定代表人或授权委托人（签字或盖私章）：</w:t>
      </w:r>
    </w:p>
    <w:p w14:paraId="4F41C1C9">
      <w:pPr>
        <w:spacing w:line="600" w:lineRule="exact"/>
        <w:ind w:firstLine="3600" w:firstLineChars="1500"/>
        <w:rPr>
          <w:rFonts w:hint="eastAsia" w:ascii="宋体" w:hAnsi="宋体"/>
          <w:bCs/>
          <w:color w:val="auto"/>
          <w:sz w:val="24"/>
        </w:rPr>
      </w:pPr>
      <w:r>
        <w:rPr>
          <w:rFonts w:hint="eastAsia" w:ascii="宋体" w:hAnsi="宋体"/>
          <w:bCs/>
          <w:color w:val="auto"/>
          <w:sz w:val="24"/>
        </w:rPr>
        <w:t>签署日期：    年    月    日</w:t>
      </w:r>
    </w:p>
    <w:p w14:paraId="0F43B15A">
      <w:pPr>
        <w:rPr>
          <w:rFonts w:hint="eastAsia" w:ascii="宋体" w:hAnsi="宋体"/>
          <w:bCs/>
          <w:color w:val="auto"/>
          <w:sz w:val="24"/>
        </w:rPr>
      </w:pPr>
      <w:r>
        <w:rPr>
          <w:rFonts w:hint="eastAsia" w:ascii="宋体" w:hAnsi="宋体"/>
          <w:bCs/>
          <w:color w:val="auto"/>
          <w:sz w:val="24"/>
        </w:rPr>
        <w:br w:type="page"/>
      </w:r>
    </w:p>
    <w:p w14:paraId="31FC3E00">
      <w:pPr>
        <w:rPr>
          <w:rFonts w:hint="eastAsia" w:ascii="黑体" w:hAnsi="黑体" w:eastAsia="黑体" w:cs="黑体"/>
          <w:b/>
          <w:bCs/>
          <w:color w:val="auto"/>
          <w:kern w:val="0"/>
          <w:sz w:val="32"/>
          <w:szCs w:val="32"/>
        </w:rPr>
      </w:pPr>
      <w:r>
        <w:rPr>
          <w:rFonts w:hint="eastAsia" w:ascii="仿宋_GB2312" w:hAnsi="Times New Roman" w:eastAsia="仿宋_GB2312" w:cs="Times New Roman"/>
          <w:b/>
          <w:bCs/>
          <w:color w:val="auto"/>
          <w:sz w:val="30"/>
          <w:szCs w:val="30"/>
          <w:lang w:val="en-US" w:eastAsia="zh-CN"/>
        </w:rPr>
        <w:t>附件5：项目需求书</w:t>
      </w:r>
    </w:p>
    <w:p w14:paraId="24598C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一、项目背景</w:t>
      </w:r>
    </w:p>
    <w:p w14:paraId="65D40F34">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eastAsia="仿宋_GB2312" w:hAnsiTheme="minorHAnsi"/>
          <w:color w:val="auto"/>
          <w:sz w:val="32"/>
          <w:szCs w:val="32"/>
        </w:rPr>
        <w:t>为筑牢深圳市湾东智算科技有限公司知识产权</w:t>
      </w:r>
      <w:r>
        <w:rPr>
          <w:rFonts w:hint="eastAsia" w:ascii="仿宋_GB2312" w:eastAsia="仿宋_GB2312" w:hAnsiTheme="minorHAnsi"/>
          <w:color w:val="auto"/>
          <w:sz w:val="32"/>
          <w:szCs w:val="32"/>
          <w:lang w:eastAsia="zh-CN"/>
        </w:rPr>
        <w:t>技术</w:t>
      </w:r>
      <w:r>
        <w:rPr>
          <w:rFonts w:hint="eastAsia" w:ascii="仿宋_GB2312" w:eastAsia="仿宋_GB2312" w:hAnsiTheme="minorHAnsi"/>
          <w:color w:val="auto"/>
          <w:sz w:val="32"/>
          <w:szCs w:val="32"/>
        </w:rPr>
        <w:t>壁垒</w:t>
      </w:r>
      <w:r>
        <w:rPr>
          <w:rFonts w:hint="eastAsia" w:ascii="仿宋_GB2312" w:eastAsia="仿宋_GB2312" w:hAnsiTheme="minorHAnsi"/>
          <w:color w:val="auto"/>
          <w:sz w:val="32"/>
          <w:szCs w:val="32"/>
          <w:lang w:eastAsia="zh-CN"/>
        </w:rPr>
        <w:t>，系统</w:t>
      </w:r>
      <w:r>
        <w:rPr>
          <w:rFonts w:hint="eastAsia" w:ascii="仿宋_GB2312" w:eastAsia="仿宋_GB2312" w:hAnsiTheme="minorHAnsi"/>
          <w:color w:val="auto"/>
          <w:sz w:val="32"/>
          <w:szCs w:val="32"/>
        </w:rPr>
        <w:t>构建核心技术与软件成果</w:t>
      </w:r>
      <w:r>
        <w:rPr>
          <w:rFonts w:hint="eastAsia" w:ascii="仿宋_GB2312" w:eastAsia="仿宋_GB2312" w:hAnsiTheme="minorHAnsi"/>
          <w:color w:val="auto"/>
          <w:sz w:val="32"/>
          <w:szCs w:val="32"/>
          <w:lang w:eastAsia="zh-CN"/>
        </w:rPr>
        <w:t>体系</w:t>
      </w:r>
      <w:r>
        <w:rPr>
          <w:rFonts w:hint="eastAsia" w:ascii="仿宋_GB2312" w:eastAsia="仿宋_GB2312" w:hAnsiTheme="minorHAnsi"/>
          <w:color w:val="auto"/>
          <w:sz w:val="32"/>
          <w:szCs w:val="32"/>
        </w:rPr>
        <w:t>，</w:t>
      </w:r>
      <w:r>
        <w:rPr>
          <w:rFonts w:hint="eastAsia" w:ascii="仿宋_GB2312" w:eastAsia="仿宋_GB2312" w:hAnsiTheme="minorHAnsi"/>
          <w:color w:val="auto"/>
          <w:sz w:val="32"/>
          <w:szCs w:val="32"/>
          <w:lang w:eastAsia="zh-CN"/>
        </w:rPr>
        <w:t>有力</w:t>
      </w:r>
      <w:r>
        <w:rPr>
          <w:rFonts w:hint="eastAsia" w:ascii="仿宋_GB2312" w:eastAsia="仿宋_GB2312" w:hAnsiTheme="minorHAnsi"/>
          <w:color w:val="auto"/>
          <w:sz w:val="32"/>
          <w:szCs w:val="32"/>
        </w:rPr>
        <w:t>支撑国家高新技术企业等资质申报</w:t>
      </w:r>
      <w:r>
        <w:rPr>
          <w:rFonts w:hint="eastAsia" w:ascii="仿宋_GB2312" w:eastAsia="仿宋_GB2312" w:hAnsiTheme="minorHAnsi"/>
          <w:color w:val="auto"/>
          <w:sz w:val="32"/>
          <w:szCs w:val="32"/>
          <w:lang w:eastAsia="zh-CN"/>
        </w:rPr>
        <w:t>及复审</w:t>
      </w:r>
      <w:r>
        <w:rPr>
          <w:rFonts w:hint="eastAsia" w:ascii="仿宋_GB2312" w:eastAsia="仿宋_GB2312" w:hAnsiTheme="minorHAnsi"/>
          <w:color w:val="auto"/>
          <w:sz w:val="32"/>
          <w:szCs w:val="32"/>
        </w:rPr>
        <w:t>，现需委托专业知识产权代理机构，为公司提供发明专利、软件著作权（以下简称“软著”）等知识产权申请代理服务。</w:t>
      </w:r>
    </w:p>
    <w:p w14:paraId="5575577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二、工作内容及要求</w:t>
      </w:r>
    </w:p>
    <w:p w14:paraId="5B6EB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olor w:val="auto"/>
          <w:sz w:val="32"/>
          <w:szCs w:val="32"/>
        </w:rPr>
      </w:pPr>
      <w:r>
        <w:rPr>
          <w:rFonts w:hint="eastAsia" w:ascii="楷体" w:hAnsi="楷体" w:eastAsia="楷体"/>
          <w:color w:val="auto"/>
          <w:sz w:val="32"/>
          <w:szCs w:val="32"/>
        </w:rPr>
        <w:t>（一）知识产权服务前期准备工作</w:t>
      </w:r>
    </w:p>
    <w:p w14:paraId="6B0FF2D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1</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组建专业团队</w:t>
      </w:r>
    </w:p>
    <w:p w14:paraId="08098F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安排至少一位专职知识产权顾问</w:t>
      </w:r>
      <w:r>
        <w:rPr>
          <w:rFonts w:hint="eastAsia" w:ascii="仿宋_GB2312" w:eastAsia="仿宋_GB2312"/>
          <w:color w:val="auto"/>
          <w:sz w:val="32"/>
          <w:szCs w:val="32"/>
          <w:lang w:val="en-US" w:eastAsia="zh-CN"/>
        </w:rPr>
        <w:t>及一位专利代理师</w:t>
      </w:r>
      <w:r>
        <w:rPr>
          <w:rFonts w:hint="eastAsia" w:ascii="仿宋_GB2312" w:eastAsia="仿宋_GB2312"/>
          <w:color w:val="auto"/>
          <w:sz w:val="32"/>
          <w:szCs w:val="32"/>
        </w:rPr>
        <w:t>。知识产权顾问负责知识产权规划与申请指导</w:t>
      </w:r>
      <w:r>
        <w:rPr>
          <w:rFonts w:hint="eastAsia" w:ascii="仿宋_GB2312" w:eastAsia="仿宋_GB2312"/>
          <w:color w:val="auto"/>
          <w:sz w:val="32"/>
          <w:szCs w:val="32"/>
          <w:lang w:val="en-US" w:eastAsia="zh-CN"/>
        </w:rPr>
        <w:t>等工作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专利代理师负责专利申请文件撰写与修改等工作。</w:t>
      </w:r>
    </w:p>
    <w:p w14:paraId="37AFE4D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2</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知识产权对接和培训</w:t>
      </w:r>
    </w:p>
    <w:p w14:paraId="038794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为企业提供知识产权申请培训，通过线上线下相结合的方式，向研发人员讲解知识产权申请要点、申请流程及注意事项，确保企业研发人员对知识产权工作有清晰的认识。</w:t>
      </w:r>
    </w:p>
    <w:p w14:paraId="0593BD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3</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企业基础信息收集</w:t>
      </w:r>
    </w:p>
    <w:p w14:paraId="1CDAFF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协助企业收集整理与知识产权申请相关的基础信息，包括企业研发项目信息（技术交底书和技术要点等）、产品清单、专利布局方向等。</w:t>
      </w:r>
    </w:p>
    <w:p w14:paraId="393C54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对收集到的信息进行初步梳理与分析，找出可能存在的问题与不足，为后续的申请工作提供依据。</w:t>
      </w:r>
    </w:p>
    <w:p w14:paraId="4339BC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olor w:val="auto"/>
          <w:sz w:val="32"/>
          <w:szCs w:val="32"/>
        </w:rPr>
      </w:pPr>
      <w:r>
        <w:rPr>
          <w:rFonts w:hint="eastAsia" w:ascii="楷体" w:hAnsi="楷体" w:eastAsia="楷体"/>
          <w:color w:val="auto"/>
          <w:sz w:val="32"/>
          <w:szCs w:val="32"/>
        </w:rPr>
        <w:t>（二）知识产权规划</w:t>
      </w:r>
    </w:p>
    <w:p w14:paraId="6C0D64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制定知识产权规划方案，指导企业高效申请专利与软件著作权。例如，根据企业的研发方向与技术特点，确定专利申请的重点领域与方向，为企业撰写专利申请文件，加快专利申请进度；对于软件企业，指导其及时进行软件著作权登记，提高知识产权数量与质量。</w:t>
      </w:r>
    </w:p>
    <w:p w14:paraId="7BDC97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对已授权的知识产权进行维护与管理，确保知识产权的有效性与稳定性，避免因未按时缴纳年费、未进行续展等原因导致知识产权失效，影响申请评分。</w:t>
      </w:r>
    </w:p>
    <w:p w14:paraId="4B9164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建立知识产权管理台账，对企业的知识产权进行动态管理，记录知识产权的基本信息、权利状态、使用情况等，便于及时掌握知识产权的变化情况。</w:t>
      </w:r>
    </w:p>
    <w:p w14:paraId="21B8E6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olor w:val="auto"/>
          <w:sz w:val="32"/>
          <w:szCs w:val="32"/>
        </w:rPr>
      </w:pPr>
      <w:r>
        <w:rPr>
          <w:rFonts w:hint="eastAsia" w:ascii="楷体" w:hAnsi="楷体" w:eastAsia="楷体"/>
          <w:color w:val="auto"/>
          <w:sz w:val="32"/>
          <w:szCs w:val="32"/>
        </w:rPr>
        <w:t>（三）申请材料编制与审核</w:t>
      </w:r>
    </w:p>
    <w:p w14:paraId="43C8B9C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1</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材料撰写</w:t>
      </w:r>
    </w:p>
    <w:p w14:paraId="1AFE5F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根据国家知识产权局的要求，结合企业实际情况，撰写完整的知识产权申请材料。</w:t>
      </w:r>
    </w:p>
    <w:p w14:paraId="7F405E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在材料撰写过程中，注重内容的逻辑性与完整性，确保各项数据与信息准确无误。</w:t>
      </w:r>
    </w:p>
    <w:p w14:paraId="1BCDD77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2</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材料审核</w:t>
      </w:r>
    </w:p>
    <w:p w14:paraId="02DA7B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在撰写完成知识产权申请相关材料后，将完成稿件反馈到企业，并向企业沟通讲解完成材料审核工作。</w:t>
      </w:r>
    </w:p>
    <w:p w14:paraId="106F2F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olor w:val="auto"/>
          <w:sz w:val="32"/>
          <w:szCs w:val="32"/>
        </w:rPr>
      </w:pPr>
      <w:r>
        <w:rPr>
          <w:rFonts w:hint="eastAsia" w:ascii="楷体" w:hAnsi="楷体" w:eastAsia="楷体"/>
          <w:color w:val="auto"/>
          <w:sz w:val="32"/>
          <w:szCs w:val="32"/>
        </w:rPr>
        <w:t>（四）提交流程规范操作</w:t>
      </w:r>
    </w:p>
    <w:p w14:paraId="137250D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1</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材料提交前的准备工作</w:t>
      </w:r>
    </w:p>
    <w:p w14:paraId="684B3F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在申请材料提交前，再次对材料进行检查与核对，确保材料齐全、格式规范、数据准确、签字盖章完整。</w:t>
      </w:r>
    </w:p>
    <w:p w14:paraId="429AA5B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2</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材料提交</w:t>
      </w:r>
    </w:p>
    <w:p w14:paraId="5F716E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按照国家知识产权局管理部门的要求，通过线上申请系统提交电子版申请材料。</w:t>
      </w:r>
    </w:p>
    <w:p w14:paraId="3DDDB8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在提交过程中，注意保存提交记录与凭证，以便后续查询与跟踪。</w:t>
      </w:r>
    </w:p>
    <w:p w14:paraId="00DD07F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3</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提交后的跟进工作</w:t>
      </w:r>
    </w:p>
    <w:p w14:paraId="0B57AA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关注申请材料的受理情况，及时与管理部门沟通，了解材料审核进度与反馈意见。</w:t>
      </w:r>
    </w:p>
    <w:p w14:paraId="206345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根据认定管理部门的反馈意见，及时补充或修改申请材料，确保申请工作顺利进行。</w:t>
      </w:r>
    </w:p>
    <w:p w14:paraId="4C117255">
      <w:pPr>
        <w:keepNext w:val="0"/>
        <w:keepLines w:val="0"/>
        <w:pageBreakBefore w:val="0"/>
        <w:widowControl/>
        <w:kinsoku/>
        <w:wordWrap/>
        <w:overflowPunct/>
        <w:topLinePunct w:val="0"/>
        <w:autoSpaceDE/>
        <w:autoSpaceDN/>
        <w:bidi w:val="0"/>
        <w:adjustRightInd/>
        <w:snapToGrid/>
        <w:spacing w:line="560" w:lineRule="exact"/>
        <w:ind w:firstLine="641" w:firstLineChars="200"/>
        <w:textAlignment w:val="auto"/>
        <w:outlineLvl w:val="0"/>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三、成果要求</w:t>
      </w:r>
    </w:p>
    <w:p w14:paraId="37C20308">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color w:val="auto"/>
          <w:kern w:val="0"/>
          <w:sz w:val="32"/>
          <w:szCs w:val="32"/>
        </w:rPr>
      </w:pPr>
      <w:r>
        <w:rPr>
          <w:rFonts w:hint="eastAsia" w:ascii="国标楷体-GB/T 2312" w:hAnsi="国标楷体-GB/T 2312" w:eastAsia="国标楷体-GB/T 2312" w:cs="国标楷体-GB/T 2312"/>
          <w:color w:val="auto"/>
          <w:kern w:val="0"/>
          <w:sz w:val="32"/>
          <w:szCs w:val="32"/>
        </w:rPr>
        <w:t>（一）文件交付</w:t>
      </w:r>
    </w:p>
    <w:p w14:paraId="3F67E19B">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rPr>
        <w:t>按双方约定数量，</w:t>
      </w:r>
      <w:r>
        <w:rPr>
          <w:rFonts w:hint="eastAsia" w:ascii="仿宋_GB2312" w:hAnsi="仿宋_GB2312" w:eastAsia="仿宋_GB2312" w:cs="仿宋_GB2312"/>
          <w:color w:val="auto"/>
          <w:kern w:val="0"/>
          <w:sz w:val="32"/>
          <w:szCs w:val="32"/>
          <w:highlight w:val="none"/>
        </w:rPr>
        <w:t>分别交付全套专利申请文件（可编辑Word版及PDF版）和软著登记申请文件（可编辑Word版、PDF版及源代码电子版，源代码需符合登记格式要求）。</w:t>
      </w:r>
    </w:p>
    <w:p w14:paraId="4603BAF3">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color w:val="auto"/>
          <w:kern w:val="0"/>
          <w:sz w:val="32"/>
          <w:szCs w:val="32"/>
          <w:highlight w:val="none"/>
        </w:rPr>
      </w:pPr>
      <w:r>
        <w:rPr>
          <w:rFonts w:hint="eastAsia" w:ascii="国标楷体-GB/T 2312" w:hAnsi="国标楷体-GB/T 2312" w:eastAsia="国标楷体-GB/T 2312" w:cs="国标楷体-GB/T 2312"/>
          <w:color w:val="auto"/>
          <w:kern w:val="0"/>
          <w:sz w:val="32"/>
          <w:szCs w:val="32"/>
          <w:highlight w:val="none"/>
        </w:rPr>
        <w:t>（二）官方证明文件提供</w:t>
      </w:r>
    </w:p>
    <w:p w14:paraId="673099FF">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提供所有知识产权（包括专利、著作权）申请的官方受理通知书、授权证书（专利）、登记证书（软著）等证明文件的电子版；若申请过程中涉及官方出具的补正通知书、审查意见通知书等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也一并提供。</w:t>
      </w:r>
    </w:p>
    <w:p w14:paraId="27E98383">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color w:val="auto"/>
          <w:kern w:val="0"/>
          <w:sz w:val="32"/>
          <w:szCs w:val="32"/>
        </w:rPr>
      </w:pPr>
      <w:r>
        <w:rPr>
          <w:rFonts w:hint="eastAsia" w:ascii="国标楷体-GB/T 2312" w:hAnsi="国标楷体-GB/T 2312" w:eastAsia="国标楷体-GB/T 2312" w:cs="国标楷体-GB/T 2312"/>
          <w:color w:val="auto"/>
          <w:kern w:val="0"/>
          <w:sz w:val="32"/>
          <w:szCs w:val="32"/>
        </w:rPr>
        <w:t>（三）进度报告提交</w:t>
      </w:r>
    </w:p>
    <w:p w14:paraId="49F9E651">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定期（具体周期由双方协商确定）提供专利申请进度报告与软著登记进度报告，详细说明各知识产权申请所处的流程阶段、已完成工作、下一步计划及可能存在的风险与应对建议。</w:t>
      </w:r>
    </w:p>
    <w:p w14:paraId="417F738C">
      <w:pPr>
        <w:pStyle w:val="5"/>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国标楷体-GB/T 2312" w:hAnsi="国标楷体-GB/T 2312" w:eastAsia="国标楷体-GB/T 2312" w:cs="国标楷体-GB/T 2312"/>
          <w:color w:val="auto"/>
          <w:kern w:val="0"/>
          <w:sz w:val="32"/>
          <w:szCs w:val="32"/>
          <w:lang w:val="en-US" w:eastAsia="zh-CN"/>
        </w:rPr>
      </w:pPr>
      <w:r>
        <w:rPr>
          <w:rFonts w:hint="eastAsia" w:ascii="国标楷体-GB/T 2312" w:hAnsi="国标楷体-GB/T 2312" w:eastAsia="国标楷体-GB/T 2312" w:cs="国标楷体-GB/T 2312"/>
          <w:color w:val="auto"/>
          <w:kern w:val="0"/>
          <w:sz w:val="32"/>
          <w:szCs w:val="32"/>
          <w:lang w:eastAsia="zh-CN"/>
        </w:rPr>
        <w:t>（四）发明专利申请数量</w:t>
      </w:r>
    </w:p>
    <w:p w14:paraId="42C9F554">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合同履行期间，发明专利申请提交总数上限为20件。需在2026年12月31日前至少提交10件发明专利申请，剩余发明专利申请须于合同签订之日起一年内全部提交，所有申请的发明专利需保障后续顺利取得授权证书，具体申报节奏遵照委托方需求执行。本合同服务期自合同签订之日起，至前述申请的发明专利全部授权下证，或委托方书面通知终止服务之日止。</w:t>
      </w:r>
    </w:p>
    <w:p w14:paraId="6AE5C178">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lang w:eastAsia="zh-CN"/>
        </w:rPr>
      </w:pPr>
      <w:r>
        <w:rPr>
          <w:rFonts w:hint="eastAsia" w:ascii="国标楷体-GB/T 2312" w:hAnsi="国标楷体-GB/T 2312" w:eastAsia="国标楷体-GB/T 2312" w:cs="国标楷体-GB/T 2312"/>
          <w:color w:val="auto"/>
          <w:kern w:val="0"/>
          <w:sz w:val="32"/>
          <w:szCs w:val="32"/>
          <w:lang w:eastAsia="zh-CN"/>
        </w:rPr>
        <w:t>（五）</w:t>
      </w:r>
      <w:r>
        <w:rPr>
          <w:rFonts w:hint="eastAsia" w:ascii="国标楷体-GB/T 2312" w:hAnsi="国标楷体-GB/T 2312" w:eastAsia="国标楷体-GB/T 2312" w:cs="国标楷体-GB/T 2312"/>
          <w:color w:val="auto"/>
          <w:kern w:val="0"/>
          <w:sz w:val="32"/>
          <w:szCs w:val="32"/>
        </w:rPr>
        <w:t>软件著作权</w:t>
      </w:r>
      <w:r>
        <w:rPr>
          <w:rFonts w:hint="eastAsia" w:ascii="国标楷体-GB/T 2312" w:hAnsi="国标楷体-GB/T 2312" w:eastAsia="国标楷体-GB/T 2312" w:cs="国标楷体-GB/T 2312"/>
          <w:color w:val="auto"/>
          <w:kern w:val="0"/>
          <w:sz w:val="32"/>
          <w:szCs w:val="32"/>
          <w:lang w:eastAsia="zh-CN"/>
        </w:rPr>
        <w:t>登记数量</w:t>
      </w:r>
    </w:p>
    <w:p w14:paraId="00B9723F">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合同履行期间，办理软件著作权登记总数上限为20件。需在2026年12月31日前至少提交</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件软件著作权申请（加急案件），剩余软件著作权（非加急案件）申请须于合同签订之日起一年内全部提交，所有申请登记的软件著作权需保障后续顺利取得授权证书，具体申请节奏遵照委托方需求执行。本合同服务期自合同签订之日起，至前述申请登记的软件著作权全部授权下证，或委托方书面通知终止服务之日止。</w:t>
      </w:r>
    </w:p>
    <w:p w14:paraId="0EBB1CE3">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p>
    <w:p w14:paraId="70525A67">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国标楷体-GB/T 2312" w:hAnsi="国标楷体-GB/T 2312" w:eastAsia="国标楷体-GB/T 2312" w:cs="国标楷体-GB/T 2312"/>
          <w:color w:val="auto"/>
          <w:kern w:val="0"/>
          <w:sz w:val="32"/>
          <w:szCs w:val="32"/>
          <w:lang w:eastAsia="zh-CN"/>
        </w:rPr>
      </w:pPr>
      <w:r>
        <w:rPr>
          <w:rFonts w:hint="eastAsia" w:ascii="国标楷体-GB/T 2312" w:hAnsi="国标楷体-GB/T 2312" w:eastAsia="国标楷体-GB/T 2312" w:cs="国标楷体-GB/T 2312"/>
          <w:color w:val="auto"/>
          <w:kern w:val="0"/>
          <w:sz w:val="32"/>
          <w:szCs w:val="32"/>
          <w:lang w:eastAsia="zh-CN"/>
        </w:rPr>
        <w:t>（六）知识产权维护与全周期管理服务</w:t>
      </w:r>
    </w:p>
    <w:p w14:paraId="0E19B750">
      <w:pPr>
        <w:pStyle w:val="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协助公司维护知识产权权益，在知识产权有效期内，若公司需办理知识产权变更、转让、续展等手续，提供咨询与代理服务（相关费用另行协商）；定期提醒公司关注知识产权的保护期限，为后续权益延续提供建议。</w:t>
      </w:r>
    </w:p>
    <w:p w14:paraId="2A9419D9">
      <w:pPr>
        <w:keepNext w:val="0"/>
        <w:keepLines w:val="0"/>
        <w:pageBreakBefore w:val="0"/>
        <w:widowControl/>
        <w:kinsoku/>
        <w:wordWrap/>
        <w:overflowPunct/>
        <w:topLinePunct w:val="0"/>
        <w:autoSpaceDE/>
        <w:autoSpaceDN/>
        <w:bidi w:val="0"/>
        <w:adjustRightInd/>
        <w:snapToGrid/>
        <w:spacing w:line="560" w:lineRule="exact"/>
        <w:ind w:firstLine="641" w:firstLineChars="200"/>
        <w:textAlignment w:val="auto"/>
        <w:outlineLvl w:val="0"/>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四、资质要求</w:t>
      </w:r>
    </w:p>
    <w:p w14:paraId="2994EF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（一）企业具备有效的《专利代理机构执业许可证》（由国家知识产权局颁发），并经营范围内包含知识产权代理或相关服务。</w:t>
      </w:r>
    </w:p>
    <w:p w14:paraId="36DA26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（二）本项目不接受联合体投标，投标方不得将项目转包或分包给其他单位或个人。</w:t>
      </w:r>
    </w:p>
    <w:p w14:paraId="7B7442CB">
      <w:pPr>
        <w:keepNext w:val="0"/>
        <w:keepLines w:val="0"/>
        <w:pageBreakBefore w:val="0"/>
        <w:widowControl/>
        <w:kinsoku/>
        <w:wordWrap/>
        <w:overflowPunct/>
        <w:topLinePunct w:val="0"/>
        <w:autoSpaceDE/>
        <w:autoSpaceDN/>
        <w:bidi w:val="0"/>
        <w:adjustRightInd/>
        <w:snapToGrid/>
        <w:spacing w:line="560" w:lineRule="exact"/>
        <w:ind w:firstLine="641" w:firstLineChars="200"/>
        <w:textAlignment w:val="auto"/>
        <w:outlineLvl w:val="0"/>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五、其他要求</w:t>
      </w:r>
    </w:p>
    <w:p w14:paraId="6231F8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指派的专利代理师须具有合法的执业资格(持有《专利代理师资格证》及《专利代理师执业证》)。</w:t>
      </w:r>
    </w:p>
    <w:p w14:paraId="626715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具备专业的技术团队和咨询团队，团队成员应拥有丰富的知识产权工作经验。</w:t>
      </w:r>
    </w:p>
    <w:p w14:paraId="56AA58DA">
      <w:pPr>
        <w:pStyle w:val="8"/>
        <w:rPr>
          <w:highlight w:val="yellow"/>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
    <w:altName w:val="仿宋_GB2312"/>
    <w:panose1 w:val="02010609060101010101"/>
    <w:charset w:val="00"/>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国标黑体-GB/T 2312">
    <w:panose1 w:val="02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abstractNum w:abstractNumId="1">
    <w:nsid w:val="0EFC7982"/>
    <w:multiLevelType w:val="multilevel"/>
    <w:tmpl w:val="0EFC7982"/>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8BD646"/>
    <w:rsid w:val="39FA1EBF"/>
    <w:rsid w:val="3F79E02D"/>
    <w:rsid w:val="5DEF61D0"/>
    <w:rsid w:val="6D36EAA7"/>
    <w:rsid w:val="6EAA3AFA"/>
    <w:rsid w:val="7F5D1215"/>
    <w:rsid w:val="7FF7DDE8"/>
    <w:rsid w:val="8BA6CFE2"/>
    <w:rsid w:val="97796CE5"/>
    <w:rsid w:val="DF2FDD56"/>
    <w:rsid w:val="EE8BD646"/>
    <w:rsid w:val="FC2AB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2"/>
    <w:unhideWhenUsed/>
    <w:qFormat/>
    <w:uiPriority w:val="99"/>
    <w:rPr>
      <w:rFonts w:ascii="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spacing w:line="600" w:lineRule="exact"/>
      <w:ind w:firstLine="880" w:firstLineChars="200"/>
    </w:pPr>
    <w:rPr>
      <w:rFonts w:eastAsia="仿宋_GB2312"/>
      <w:sz w:val="32"/>
    </w:r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正文文本缩进 21"/>
    <w:qFormat/>
    <w:uiPriority w:val="0"/>
    <w:pPr>
      <w:widowControl w:val="0"/>
      <w:spacing w:line="360" w:lineRule="exact"/>
      <w:ind w:firstLine="480"/>
      <w:jc w:val="both"/>
    </w:pPr>
    <w:rPr>
      <w:rFonts w:ascii="华文宋体" w:hAnsi="华文宋体" w:eastAsia="华文宋体" w:cs="华文宋体"/>
      <w:color w:val="000000"/>
      <w:kern w:val="2"/>
      <w:sz w:val="24"/>
      <w:szCs w:val="24"/>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8</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2026-07-10T10:36:00Z</dcterms:created>
  <dc:creator>曾泽怡</dc:creator>
  <cp:lastModifiedBy>實誠</cp:lastModifiedBy>
  <cp:lastPrinted>2026-07-14T10:40:00Z</cp:lastPrinted>
  <dcterms:modified xsi:type="dcterms:W3CDTF">2026-07-16T15:09:03Z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96F65A658BEAB8A47E894F6AC7F43B7B_43</vt:lpwstr>
  </property>
</Properties>
</file>