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24"/>
        </w:rPr>
      </w:pPr>
      <w:bookmarkStart w:id="0" w:name="OLE_LINK12"/>
      <w:r>
        <w:rPr>
          <w:rFonts w:hint="eastAsia" w:ascii="仿宋_GB2312" w:hAnsi="仿宋_GB2312" w:eastAsia="仿宋_GB2312" w:cs="仿宋_GB2312"/>
          <w:b/>
          <w:sz w:val="24"/>
        </w:rPr>
        <w:t>附件二：</w:t>
      </w:r>
    </w:p>
    <w:p>
      <w:pPr>
        <w:jc w:val="center"/>
        <w:rPr>
          <w:rFonts w:hint="eastAsia" w:ascii="微软雅黑" w:hAnsi="微软雅黑" w:eastAsia="微软雅黑"/>
          <w:b/>
          <w:sz w:val="44"/>
          <w:szCs w:val="44"/>
        </w:rPr>
      </w:pPr>
      <w:r>
        <w:rPr>
          <w:rFonts w:hint="eastAsia" w:ascii="微软雅黑" w:hAnsi="微软雅黑" w:eastAsia="微软雅黑"/>
          <w:b/>
          <w:sz w:val="44"/>
          <w:szCs w:val="44"/>
        </w:rPr>
        <w:t>全球智能硬件谷一</w:t>
      </w:r>
      <w:bookmarkStart w:id="2" w:name="_GoBack"/>
      <w:bookmarkEnd w:id="2"/>
      <w:r>
        <w:rPr>
          <w:rFonts w:hint="eastAsia" w:ascii="微软雅黑" w:hAnsi="微软雅黑" w:eastAsia="微软雅黑"/>
          <w:b/>
          <w:sz w:val="44"/>
          <w:szCs w:val="44"/>
        </w:rPr>
        <w:t>期规划调整研究</w:t>
      </w:r>
      <w:bookmarkEnd w:id="0"/>
    </w:p>
    <w:p>
      <w:pPr>
        <w:jc w:val="center"/>
        <w:rPr>
          <w:rFonts w:ascii="微软雅黑" w:hAnsi="微软雅黑" w:eastAsia="微软雅黑"/>
          <w:b/>
          <w:sz w:val="44"/>
          <w:szCs w:val="44"/>
        </w:rPr>
      </w:pPr>
      <w:r>
        <w:rPr>
          <w:rFonts w:hint="eastAsia" w:ascii="微软雅黑" w:hAnsi="微软雅黑" w:eastAsia="微软雅黑"/>
          <w:b/>
          <w:sz w:val="44"/>
          <w:szCs w:val="44"/>
        </w:rPr>
        <w:t>工作任务书</w:t>
      </w:r>
    </w:p>
    <w:p>
      <w:pPr>
        <w:rPr>
          <w:rFonts w:ascii="微软雅黑" w:hAnsi="微软雅黑" w:eastAsia="微软雅黑"/>
          <w:b/>
          <w:sz w:val="32"/>
          <w:szCs w:val="32"/>
        </w:rPr>
      </w:pPr>
      <w:r>
        <w:rPr>
          <w:rFonts w:hint="eastAsia" w:ascii="微软雅黑" w:hAnsi="微软雅黑" w:eastAsia="微软雅黑"/>
          <w:b/>
          <w:sz w:val="32"/>
          <w:szCs w:val="32"/>
        </w:rPr>
        <w:t>一、项目背景</w:t>
      </w:r>
    </w:p>
    <w:p>
      <w:pPr>
        <w:ind w:firstLine="640" w:firstLineChars="200"/>
        <w:rPr>
          <w:rFonts w:ascii="仿宋" w:hAnsi="仿宋" w:eastAsia="仿宋"/>
          <w:sz w:val="32"/>
          <w:szCs w:val="32"/>
        </w:rPr>
      </w:pPr>
      <w:r>
        <w:rPr>
          <w:rFonts w:ascii="仿宋" w:hAnsi="仿宋" w:eastAsia="仿宋"/>
          <w:sz w:val="32"/>
          <w:szCs w:val="32"/>
        </w:rPr>
        <w:t>“全球智能硬件谷”（AI Hub），选址龙城街道嶂背片区，规划用地约41万平方米，总建筑面积约130万平方米，致力建设集研发办公、智慧工厂、创新平台及生活配套于一体的全球顶尖智能硬件产业基地。</w:t>
      </w:r>
    </w:p>
    <w:p>
      <w:pPr>
        <w:ind w:firstLine="640" w:firstLineChars="200"/>
        <w:rPr>
          <w:rFonts w:ascii="仿宋" w:hAnsi="仿宋" w:eastAsia="仿宋"/>
          <w:sz w:val="32"/>
          <w:szCs w:val="32"/>
        </w:rPr>
      </w:pPr>
      <w:r>
        <w:rPr>
          <w:rFonts w:hint="eastAsia" w:ascii="仿宋" w:hAnsi="仿宋" w:eastAsia="仿宋"/>
          <w:sz w:val="32"/>
          <w:szCs w:val="32"/>
        </w:rPr>
        <w:t>本项目为“全球智能硬件谷”项目一期，规划调整范围约</w:t>
      </w:r>
      <w:r>
        <w:rPr>
          <w:rFonts w:ascii="仿宋" w:hAnsi="仿宋" w:eastAsia="仿宋"/>
          <w:sz w:val="32"/>
          <w:szCs w:val="32"/>
        </w:rPr>
        <w:t>32.29公顷</w:t>
      </w:r>
      <w:r>
        <w:rPr>
          <w:rFonts w:hint="eastAsia" w:ascii="仿宋" w:hAnsi="仿宋" w:eastAsia="仿宋"/>
          <w:sz w:val="32"/>
          <w:szCs w:val="32"/>
        </w:rPr>
        <w:t>、研究范围约</w:t>
      </w:r>
      <w:r>
        <w:rPr>
          <w:rFonts w:ascii="仿宋" w:hAnsi="仿宋" w:eastAsia="仿宋"/>
          <w:sz w:val="32"/>
          <w:szCs w:val="32"/>
        </w:rPr>
        <w:t>221公顷</w:t>
      </w:r>
      <w:r>
        <w:rPr>
          <w:rFonts w:hint="eastAsia" w:ascii="仿宋" w:hAnsi="仿宋" w:eastAsia="仿宋"/>
          <w:sz w:val="32"/>
          <w:szCs w:val="32"/>
        </w:rPr>
        <w:t>，</w:t>
      </w:r>
      <w:r>
        <w:rPr>
          <w:rFonts w:ascii="仿宋" w:hAnsi="仿宋" w:eastAsia="仿宋"/>
          <w:sz w:val="32"/>
          <w:szCs w:val="32"/>
        </w:rPr>
        <w:t>是推动全球智能硬件谷落地实施的前置性基础工作。现行法定图则对该片区用地规划与产业</w:t>
      </w:r>
      <w:r>
        <w:rPr>
          <w:rFonts w:hint="eastAsia" w:ascii="仿宋" w:hAnsi="仿宋" w:eastAsia="仿宋"/>
          <w:sz w:val="32"/>
          <w:szCs w:val="32"/>
        </w:rPr>
        <w:t>实际</w:t>
      </w:r>
      <w:r>
        <w:rPr>
          <w:rFonts w:ascii="仿宋" w:hAnsi="仿宋" w:eastAsia="仿宋"/>
          <w:sz w:val="32"/>
          <w:szCs w:val="32"/>
        </w:rPr>
        <w:t>所需</w:t>
      </w:r>
      <w:r>
        <w:rPr>
          <w:rFonts w:hint="eastAsia" w:ascii="仿宋" w:hAnsi="仿宋" w:eastAsia="仿宋"/>
          <w:sz w:val="32"/>
          <w:szCs w:val="32"/>
        </w:rPr>
        <w:t>空间</w:t>
      </w:r>
      <w:r>
        <w:rPr>
          <w:rFonts w:ascii="仿宋" w:hAnsi="仿宋" w:eastAsia="仿宋"/>
          <w:sz w:val="32"/>
          <w:szCs w:val="32"/>
        </w:rPr>
        <w:t>存在</w:t>
      </w:r>
      <w:r>
        <w:rPr>
          <w:rFonts w:hint="eastAsia" w:ascii="仿宋" w:hAnsi="仿宋" w:eastAsia="仿宋"/>
          <w:sz w:val="32"/>
          <w:szCs w:val="32"/>
        </w:rPr>
        <w:t>差异</w:t>
      </w:r>
      <w:r>
        <w:rPr>
          <w:rFonts w:ascii="仿宋" w:hAnsi="仿宋" w:eastAsia="仿宋"/>
          <w:sz w:val="32"/>
          <w:szCs w:val="32"/>
        </w:rPr>
        <w:t>，</w:t>
      </w:r>
      <w:r>
        <w:rPr>
          <w:rFonts w:hint="eastAsia" w:ascii="仿宋" w:hAnsi="仿宋" w:eastAsia="仿宋"/>
          <w:sz w:val="32"/>
          <w:szCs w:val="32"/>
        </w:rPr>
        <w:t>需通过法定图则个案调整予以统筹解决；同时，片区公共服务设施及市政基础设施配套有待进一步完善，需结合产业人口导入需求和高标准厂房建设要求进行系统性评估与优化。开展规划调整研究，有利于明确用地性质及开发强度，统筹配套布局，提升市政交通支撑能力，为项目合法合规供地及高品质开发提供坚实保障。</w:t>
      </w:r>
    </w:p>
    <w:p>
      <w:pPr>
        <w:rPr>
          <w:rFonts w:ascii="仿宋" w:hAnsi="仿宋" w:eastAsia="仿宋"/>
          <w:sz w:val="32"/>
          <w:szCs w:val="32"/>
        </w:rPr>
      </w:pPr>
      <w:r>
        <w:rPr>
          <w:rFonts w:ascii="仿宋" w:hAnsi="仿宋" w:eastAsia="仿宋"/>
          <w:sz w:val="32"/>
          <w:szCs w:val="32"/>
        </w:rPr>
        <w:drawing>
          <wp:inline distT="0" distB="0" distL="0" distR="0">
            <wp:extent cx="5084445" cy="360299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84445" cy="3602990"/>
                    </a:xfrm>
                    <a:prstGeom prst="rect">
                      <a:avLst/>
                    </a:prstGeom>
                    <a:noFill/>
                  </pic:spPr>
                </pic:pic>
              </a:graphicData>
            </a:graphic>
          </wp:inline>
        </w:drawing>
      </w:r>
    </w:p>
    <w:p>
      <w:pPr>
        <w:rPr>
          <w:rFonts w:ascii="微软雅黑" w:hAnsi="微软雅黑" w:eastAsia="微软雅黑"/>
          <w:b/>
          <w:sz w:val="32"/>
          <w:szCs w:val="32"/>
        </w:rPr>
      </w:pPr>
      <w:r>
        <w:rPr>
          <w:rFonts w:hint="eastAsia" w:ascii="微软雅黑" w:hAnsi="微软雅黑" w:eastAsia="微软雅黑"/>
          <w:b/>
          <w:sz w:val="32"/>
          <w:szCs w:val="32"/>
        </w:rPr>
        <w:t>二、工作内容</w:t>
      </w:r>
    </w:p>
    <w:p>
      <w:pPr>
        <w:ind w:firstLine="707" w:firstLineChars="221"/>
        <w:rPr>
          <w:rFonts w:hint="eastAsia" w:ascii="仿宋" w:hAnsi="仿宋" w:eastAsia="仿宋"/>
          <w:bCs/>
          <w:sz w:val="32"/>
          <w:szCs w:val="32"/>
          <w:lang w:eastAsia="zh-CN"/>
        </w:rPr>
      </w:pPr>
      <w:r>
        <w:rPr>
          <w:rFonts w:hint="eastAsia" w:ascii="仿宋" w:hAnsi="仿宋" w:eastAsia="仿宋"/>
          <w:bCs/>
          <w:sz w:val="32"/>
          <w:szCs w:val="32"/>
        </w:rPr>
        <w:t>全球智能硬件谷一期规划调整研究</w:t>
      </w:r>
      <w:r>
        <w:rPr>
          <w:rFonts w:hint="eastAsia" w:ascii="仿宋" w:hAnsi="仿宋" w:eastAsia="仿宋"/>
          <w:bCs/>
          <w:sz w:val="32"/>
          <w:szCs w:val="32"/>
          <w:lang w:eastAsia="zh-CN"/>
        </w:rPr>
        <w:t>，</w:t>
      </w:r>
      <w:r>
        <w:rPr>
          <w:rFonts w:hint="eastAsia" w:ascii="仿宋" w:hAnsi="仿宋" w:eastAsia="仿宋"/>
          <w:bCs/>
          <w:sz w:val="32"/>
          <w:szCs w:val="32"/>
        </w:rPr>
        <w:t>包括</w:t>
      </w:r>
      <w:r>
        <w:rPr>
          <w:rFonts w:ascii="仿宋" w:hAnsi="仿宋" w:eastAsia="仿宋"/>
          <w:bCs/>
          <w:sz w:val="32"/>
          <w:szCs w:val="32"/>
        </w:rPr>
        <w:t>1个规划调整研究和3个专题研究</w:t>
      </w:r>
      <w:r>
        <w:rPr>
          <w:rFonts w:hint="eastAsia" w:ascii="仿宋" w:hAnsi="仿宋" w:eastAsia="仿宋"/>
          <w:bCs/>
          <w:sz w:val="32"/>
          <w:szCs w:val="32"/>
          <w:lang w:eastAsia="zh-CN"/>
        </w:rPr>
        <w:t>：</w:t>
      </w:r>
    </w:p>
    <w:p>
      <w:pPr>
        <w:ind w:firstLine="709" w:firstLineChars="221"/>
        <w:rPr>
          <w:rFonts w:ascii="楷体" w:hAnsi="楷体" w:eastAsia="楷体"/>
          <w:b/>
          <w:sz w:val="32"/>
          <w:szCs w:val="32"/>
        </w:rPr>
      </w:pPr>
      <w:r>
        <w:rPr>
          <w:rFonts w:hint="eastAsia" w:ascii="楷体" w:hAnsi="楷体" w:eastAsia="楷体"/>
          <w:b/>
          <w:sz w:val="32"/>
          <w:szCs w:val="32"/>
        </w:rPr>
        <w:t>（一）全球智能硬件谷一期规划调整研究</w:t>
      </w:r>
    </w:p>
    <w:p>
      <w:pPr>
        <w:ind w:firstLine="709" w:firstLineChars="221"/>
        <w:rPr>
          <w:rFonts w:ascii="仿宋" w:hAnsi="仿宋" w:eastAsia="仿宋"/>
          <w:bCs/>
          <w:sz w:val="32"/>
          <w:szCs w:val="32"/>
        </w:rPr>
      </w:pPr>
      <w:r>
        <w:rPr>
          <w:rFonts w:hint="eastAsia" w:ascii="仿宋" w:hAnsi="仿宋" w:eastAsia="仿宋"/>
          <w:b/>
          <w:sz w:val="32"/>
          <w:szCs w:val="32"/>
          <w:lang w:val="en-US" w:eastAsia="zh-CN"/>
        </w:rPr>
        <w:t>1.</w:t>
      </w:r>
      <w:r>
        <w:rPr>
          <w:rFonts w:hint="eastAsia" w:ascii="仿宋" w:hAnsi="仿宋" w:eastAsia="仿宋"/>
          <w:b/>
          <w:sz w:val="32"/>
          <w:szCs w:val="32"/>
        </w:rPr>
        <w:t>现状调查研究及资料收集。</w:t>
      </w:r>
      <w:r>
        <w:rPr>
          <w:rFonts w:hint="eastAsia" w:ascii="仿宋" w:hAnsi="仿宋" w:eastAsia="仿宋"/>
          <w:bCs/>
          <w:sz w:val="32"/>
          <w:szCs w:val="32"/>
        </w:rPr>
        <w:t>梳理项目规划背景和政策依据，系统收集片区土地利用、权属关系、道路交通等基础资料；对相关规划进行系统解读，为规划调整提供政策支撑。</w:t>
      </w:r>
    </w:p>
    <w:p>
      <w:pPr>
        <w:ind w:firstLine="709" w:firstLineChars="221"/>
        <w:rPr>
          <w:rFonts w:ascii="仿宋" w:hAnsi="仿宋" w:eastAsia="仿宋"/>
          <w:bCs/>
          <w:sz w:val="32"/>
          <w:szCs w:val="32"/>
        </w:rPr>
      </w:pPr>
      <w:r>
        <w:rPr>
          <w:rFonts w:hint="eastAsia" w:ascii="仿宋" w:hAnsi="仿宋" w:eastAsia="仿宋"/>
          <w:b/>
          <w:sz w:val="32"/>
          <w:szCs w:val="32"/>
          <w:lang w:val="en-US" w:eastAsia="zh-CN"/>
        </w:rPr>
        <w:t>2.</w:t>
      </w:r>
      <w:r>
        <w:rPr>
          <w:rFonts w:hint="eastAsia" w:ascii="仿宋" w:hAnsi="仿宋" w:eastAsia="仿宋"/>
          <w:b/>
          <w:sz w:val="32"/>
          <w:szCs w:val="32"/>
        </w:rPr>
        <w:t>片区用地布局规划研究。</w:t>
      </w:r>
      <w:r>
        <w:rPr>
          <w:rFonts w:hint="eastAsia" w:ascii="仿宋" w:hAnsi="仿宋" w:eastAsia="仿宋"/>
          <w:bCs/>
          <w:sz w:val="32"/>
          <w:szCs w:val="32"/>
        </w:rPr>
        <w:t>以标准单元为研究范围（面积约</w:t>
      </w:r>
      <w:r>
        <w:rPr>
          <w:rFonts w:ascii="仿宋" w:hAnsi="仿宋" w:eastAsia="仿宋"/>
          <w:bCs/>
          <w:sz w:val="32"/>
          <w:szCs w:val="32"/>
        </w:rPr>
        <w:t>221公顷），对用地功能结构、产业布局、生态绿地系统、公共设施等进行综合分析，研判一期开发建设对片区整体规划指标的影响，指导地块规划调整方向。</w:t>
      </w:r>
    </w:p>
    <w:p>
      <w:pPr>
        <w:ind w:firstLine="709" w:firstLineChars="221"/>
        <w:rPr>
          <w:rFonts w:ascii="仿宋" w:hAnsi="仿宋" w:eastAsia="仿宋"/>
          <w:bCs/>
          <w:sz w:val="32"/>
          <w:szCs w:val="32"/>
        </w:rPr>
      </w:pPr>
      <w:r>
        <w:rPr>
          <w:rFonts w:hint="eastAsia" w:ascii="仿宋" w:hAnsi="仿宋" w:eastAsia="仿宋"/>
          <w:b/>
          <w:sz w:val="32"/>
          <w:szCs w:val="32"/>
          <w:lang w:val="en-US" w:eastAsia="zh-CN"/>
        </w:rPr>
        <w:t>3.</w:t>
      </w:r>
      <w:r>
        <w:rPr>
          <w:rFonts w:hint="eastAsia" w:ascii="仿宋" w:hAnsi="仿宋" w:eastAsia="仿宋"/>
          <w:b/>
          <w:sz w:val="32"/>
          <w:szCs w:val="32"/>
        </w:rPr>
        <w:t>调整可行性研究。</w:t>
      </w:r>
      <w:r>
        <w:rPr>
          <w:rFonts w:hint="eastAsia" w:ascii="仿宋" w:hAnsi="仿宋" w:eastAsia="仿宋"/>
          <w:bCs/>
          <w:sz w:val="32"/>
          <w:szCs w:val="32"/>
        </w:rPr>
        <w:t>从产业发展、规划管控、相关规范等多维度论证规划调整的必要性与可行性，包括与国土空间规划“一张图”的符合性分析等，确保调整方案具备充分规划技术依据。</w:t>
      </w:r>
    </w:p>
    <w:p>
      <w:pPr>
        <w:ind w:firstLine="709" w:firstLineChars="221"/>
        <w:rPr>
          <w:rFonts w:ascii="仿宋" w:hAnsi="仿宋" w:eastAsia="仿宋"/>
          <w:bCs/>
          <w:sz w:val="32"/>
          <w:szCs w:val="32"/>
        </w:rPr>
      </w:pPr>
      <w:r>
        <w:rPr>
          <w:rFonts w:hint="eastAsia" w:ascii="仿宋" w:hAnsi="仿宋" w:eastAsia="仿宋"/>
          <w:b/>
          <w:sz w:val="32"/>
          <w:szCs w:val="32"/>
          <w:lang w:val="en-US" w:eastAsia="zh-CN"/>
        </w:rPr>
        <w:t>4.</w:t>
      </w:r>
      <w:r>
        <w:rPr>
          <w:rFonts w:hint="eastAsia" w:ascii="仿宋" w:hAnsi="仿宋" w:eastAsia="仿宋"/>
          <w:b/>
          <w:sz w:val="32"/>
          <w:szCs w:val="32"/>
        </w:rPr>
        <w:t>规划调整方案。</w:t>
      </w:r>
      <w:r>
        <w:rPr>
          <w:rFonts w:hint="eastAsia" w:ascii="仿宋" w:hAnsi="仿宋" w:eastAsia="仿宋"/>
          <w:bCs/>
          <w:sz w:val="32"/>
          <w:szCs w:val="32"/>
        </w:rPr>
        <w:t>按照深圳市法定图则个案调整报批深度要求，</w:t>
      </w:r>
      <w:r>
        <w:rPr>
          <w:rFonts w:hint="eastAsia" w:ascii="仿宋" w:hAnsi="仿宋" w:eastAsia="仿宋"/>
          <w:sz w:val="32"/>
          <w:szCs w:val="32"/>
        </w:rPr>
        <w:t>形成完整的规划调整方案文本材料，</w:t>
      </w:r>
      <w:r>
        <w:rPr>
          <w:rFonts w:hint="eastAsia" w:ascii="仿宋" w:hAnsi="仿宋" w:eastAsia="仿宋"/>
          <w:bCs/>
          <w:sz w:val="32"/>
          <w:szCs w:val="32"/>
        </w:rPr>
        <w:t>成果须达到修建性详细规划层面。</w:t>
      </w:r>
    </w:p>
    <w:p>
      <w:pPr>
        <w:ind w:firstLine="709" w:firstLineChars="221"/>
        <w:rPr>
          <w:rFonts w:ascii="楷体" w:hAnsi="楷体" w:eastAsia="楷体"/>
          <w:b/>
          <w:sz w:val="32"/>
          <w:szCs w:val="32"/>
        </w:rPr>
      </w:pPr>
      <w:r>
        <w:rPr>
          <w:rFonts w:hint="eastAsia" w:ascii="楷体" w:hAnsi="楷体" w:eastAsia="楷体"/>
          <w:b/>
          <w:sz w:val="32"/>
          <w:szCs w:val="32"/>
        </w:rPr>
        <w:t>（二）公共配套专题研究</w:t>
      </w:r>
    </w:p>
    <w:p>
      <w:pPr>
        <w:ind w:firstLine="709" w:firstLineChars="221"/>
        <w:rPr>
          <w:rFonts w:ascii="仿宋" w:hAnsi="仿宋" w:eastAsia="仿宋"/>
          <w:sz w:val="32"/>
          <w:szCs w:val="32"/>
        </w:rPr>
      </w:pPr>
      <w:r>
        <w:rPr>
          <w:rFonts w:hint="eastAsia" w:ascii="仿宋" w:hAnsi="仿宋" w:eastAsia="仿宋"/>
          <w:b/>
          <w:sz w:val="32"/>
          <w:szCs w:val="32"/>
          <w:lang w:val="en-US" w:eastAsia="zh-CN"/>
        </w:rPr>
        <w:t>1.</w:t>
      </w:r>
      <w:r>
        <w:rPr>
          <w:rFonts w:ascii="仿宋" w:hAnsi="仿宋" w:eastAsia="仿宋"/>
          <w:b/>
          <w:sz w:val="32"/>
          <w:szCs w:val="32"/>
        </w:rPr>
        <w:t>现状分析。</w:t>
      </w:r>
      <w:r>
        <w:rPr>
          <w:rFonts w:ascii="仿宋" w:hAnsi="仿宋" w:eastAsia="仿宋"/>
          <w:sz w:val="32"/>
          <w:szCs w:val="32"/>
        </w:rPr>
        <w:t>对标准单元内的医疗、文体、社区服务等公共服务设施进行系统性摸查，与《深圳市城市规划标准与准则》对标，识别现状设施提升空间。</w:t>
      </w:r>
    </w:p>
    <w:p>
      <w:pPr>
        <w:ind w:firstLine="709" w:firstLineChars="221"/>
        <w:rPr>
          <w:rFonts w:ascii="仿宋" w:hAnsi="仿宋" w:eastAsia="仿宋"/>
          <w:sz w:val="32"/>
          <w:szCs w:val="32"/>
        </w:rPr>
      </w:pPr>
      <w:r>
        <w:rPr>
          <w:rFonts w:hint="eastAsia" w:ascii="仿宋" w:hAnsi="仿宋" w:eastAsia="仿宋"/>
          <w:b/>
          <w:sz w:val="32"/>
          <w:szCs w:val="32"/>
          <w:lang w:val="en-US" w:eastAsia="zh-CN"/>
        </w:rPr>
        <w:t>2.</w:t>
      </w:r>
      <w:r>
        <w:rPr>
          <w:rFonts w:hint="eastAsia" w:ascii="仿宋" w:hAnsi="仿宋" w:eastAsia="仿宋"/>
          <w:b/>
          <w:sz w:val="32"/>
          <w:szCs w:val="32"/>
        </w:rPr>
        <w:t>公共配套设施承载力评估。</w:t>
      </w:r>
      <w:r>
        <w:rPr>
          <w:rFonts w:ascii="仿宋" w:hAnsi="仿宋" w:eastAsia="仿宋"/>
          <w:sz w:val="32"/>
          <w:szCs w:val="32"/>
        </w:rPr>
        <w:t>结合一期规划调整方案的建筑总量</w:t>
      </w:r>
      <w:r>
        <w:rPr>
          <w:rFonts w:hint="eastAsia" w:ascii="仿宋" w:hAnsi="仿宋" w:eastAsia="仿宋"/>
          <w:sz w:val="32"/>
          <w:szCs w:val="32"/>
        </w:rPr>
        <w:t>及</w:t>
      </w:r>
      <w:r>
        <w:rPr>
          <w:rFonts w:ascii="仿宋" w:hAnsi="仿宋" w:eastAsia="仿宋"/>
          <w:sz w:val="32"/>
          <w:szCs w:val="32"/>
        </w:rPr>
        <w:t>功能构成，预测片区人口规模及设施需求，评估现状设施承载力，量化缺口规模，明确提升重点方向。</w:t>
      </w:r>
    </w:p>
    <w:p>
      <w:pPr>
        <w:ind w:firstLine="709" w:firstLineChars="221"/>
        <w:rPr>
          <w:rFonts w:ascii="仿宋" w:hAnsi="仿宋" w:eastAsia="仿宋"/>
          <w:sz w:val="32"/>
          <w:szCs w:val="32"/>
        </w:rPr>
      </w:pPr>
      <w:r>
        <w:rPr>
          <w:rFonts w:hint="eastAsia" w:ascii="仿宋" w:hAnsi="仿宋" w:eastAsia="仿宋"/>
          <w:b/>
          <w:sz w:val="32"/>
          <w:szCs w:val="32"/>
          <w:lang w:val="en-US" w:eastAsia="zh-CN"/>
        </w:rPr>
        <w:t>3.</w:t>
      </w:r>
      <w:r>
        <w:rPr>
          <w:rFonts w:hint="eastAsia" w:ascii="仿宋" w:hAnsi="仿宋" w:eastAsia="仿宋"/>
          <w:b/>
          <w:sz w:val="32"/>
          <w:szCs w:val="32"/>
        </w:rPr>
        <w:t>公共配套设施布局规划。</w:t>
      </w:r>
      <w:r>
        <w:rPr>
          <w:rFonts w:ascii="仿宋" w:hAnsi="仿宋" w:eastAsia="仿宋"/>
          <w:sz w:val="32"/>
          <w:szCs w:val="32"/>
        </w:rPr>
        <w:t>依据深标要求，提出公共服务设施布局优化方案及用地预控方案，确保各类设施覆盖要求达标。</w:t>
      </w:r>
    </w:p>
    <w:p>
      <w:pPr>
        <w:ind w:firstLine="709" w:firstLineChars="221"/>
        <w:rPr>
          <w:rFonts w:ascii="仿宋" w:hAnsi="仿宋" w:eastAsia="仿宋"/>
          <w:sz w:val="32"/>
          <w:szCs w:val="32"/>
        </w:rPr>
      </w:pPr>
      <w:r>
        <w:rPr>
          <w:rFonts w:hint="eastAsia" w:ascii="仿宋" w:hAnsi="仿宋" w:eastAsia="仿宋"/>
          <w:b/>
          <w:sz w:val="32"/>
          <w:szCs w:val="32"/>
          <w:lang w:val="en-US" w:eastAsia="zh-CN"/>
        </w:rPr>
        <w:t>4.</w:t>
      </w:r>
      <w:r>
        <w:rPr>
          <w:rFonts w:hint="eastAsia" w:ascii="仿宋" w:hAnsi="仿宋" w:eastAsia="仿宋"/>
          <w:b/>
          <w:sz w:val="32"/>
          <w:szCs w:val="32"/>
        </w:rPr>
        <w:t>公园绿地及公共配套设施占补调整方案。</w:t>
      </w:r>
      <w:r>
        <w:rPr>
          <w:rFonts w:ascii="仿宋" w:hAnsi="仿宋" w:eastAsia="仿宋"/>
          <w:sz w:val="32"/>
          <w:szCs w:val="32"/>
        </w:rPr>
        <w:t>针对涉及</w:t>
      </w:r>
      <w:r>
        <w:rPr>
          <w:rFonts w:hint="eastAsia" w:ascii="仿宋" w:hAnsi="仿宋" w:eastAsia="仿宋"/>
          <w:sz w:val="32"/>
          <w:szCs w:val="32"/>
        </w:rPr>
        <w:t>先行图则规划</w:t>
      </w:r>
      <w:r>
        <w:rPr>
          <w:rFonts w:ascii="仿宋" w:hAnsi="仿宋" w:eastAsia="仿宋"/>
          <w:sz w:val="32"/>
          <w:szCs w:val="32"/>
        </w:rPr>
        <w:t>绿地及公配设施用地占用的情形，开展占补平衡研究，确保“等量等质”补入，满足法定图则报批技术要求。</w:t>
      </w:r>
    </w:p>
    <w:p>
      <w:pPr>
        <w:ind w:firstLine="709" w:firstLineChars="221"/>
        <w:rPr>
          <w:rFonts w:ascii="楷体" w:hAnsi="楷体" w:eastAsia="楷体"/>
          <w:b/>
          <w:sz w:val="32"/>
          <w:szCs w:val="32"/>
        </w:rPr>
      </w:pPr>
      <w:r>
        <w:rPr>
          <w:rFonts w:hint="eastAsia" w:ascii="楷体" w:hAnsi="楷体" w:eastAsia="楷体"/>
          <w:b/>
          <w:sz w:val="32"/>
          <w:szCs w:val="32"/>
        </w:rPr>
        <w:t>（三）市政专题研究</w:t>
      </w:r>
    </w:p>
    <w:p>
      <w:pPr>
        <w:ind w:firstLine="707" w:firstLineChars="221"/>
        <w:rPr>
          <w:rFonts w:ascii="仿宋" w:hAnsi="仿宋" w:eastAsia="仿宋"/>
          <w:sz w:val="32"/>
          <w:szCs w:val="32"/>
        </w:rPr>
      </w:pPr>
      <w:r>
        <w:rPr>
          <w:rFonts w:hint="eastAsia" w:ascii="仿宋" w:hAnsi="仿宋" w:eastAsia="仿宋"/>
          <w:sz w:val="32"/>
          <w:szCs w:val="32"/>
        </w:rPr>
        <w:t>覆盖给水、雨水及防洪排涝、污水、电力、通信、燃气、环卫</w:t>
      </w:r>
      <w:r>
        <w:rPr>
          <w:rFonts w:ascii="仿宋" w:hAnsi="仿宋" w:eastAsia="仿宋"/>
          <w:sz w:val="32"/>
          <w:szCs w:val="32"/>
        </w:rPr>
        <w:t>7个市政专业。</w:t>
      </w:r>
    </w:p>
    <w:p>
      <w:pPr>
        <w:ind w:firstLine="709" w:firstLineChars="221"/>
        <w:rPr>
          <w:rFonts w:ascii="仿宋" w:hAnsi="仿宋" w:eastAsia="仿宋"/>
          <w:sz w:val="32"/>
          <w:szCs w:val="32"/>
        </w:rPr>
      </w:pPr>
      <w:r>
        <w:rPr>
          <w:rFonts w:hint="eastAsia" w:ascii="仿宋" w:hAnsi="仿宋" w:eastAsia="仿宋"/>
          <w:b/>
          <w:sz w:val="32"/>
          <w:szCs w:val="32"/>
          <w:lang w:val="en-US" w:eastAsia="zh-CN"/>
        </w:rPr>
        <w:t>1.</w:t>
      </w:r>
      <w:r>
        <w:rPr>
          <w:rFonts w:ascii="仿宋" w:hAnsi="仿宋" w:eastAsia="仿宋"/>
          <w:b/>
          <w:sz w:val="32"/>
          <w:szCs w:val="32"/>
        </w:rPr>
        <w:t>资料收集与现状梳理。</w:t>
      </w:r>
      <w:r>
        <w:rPr>
          <w:rFonts w:ascii="仿宋" w:hAnsi="仿宋" w:eastAsia="仿宋"/>
          <w:sz w:val="32"/>
          <w:szCs w:val="32"/>
        </w:rPr>
        <w:t>收集各类市政设施现状及规划资料，梳理各专业系统现状构成与能力，评估与本次规划调整方案的衔接情况。</w:t>
      </w:r>
    </w:p>
    <w:p>
      <w:pPr>
        <w:ind w:firstLine="709" w:firstLineChars="221"/>
        <w:rPr>
          <w:rFonts w:ascii="仿宋" w:hAnsi="仿宋" w:eastAsia="仿宋"/>
          <w:sz w:val="32"/>
          <w:szCs w:val="32"/>
        </w:rPr>
      </w:pPr>
      <w:r>
        <w:rPr>
          <w:rFonts w:hint="eastAsia" w:ascii="仿宋" w:hAnsi="仿宋" w:eastAsia="仿宋"/>
          <w:b/>
          <w:sz w:val="32"/>
          <w:szCs w:val="32"/>
          <w:lang w:val="en-US" w:eastAsia="zh-CN"/>
        </w:rPr>
        <w:t>2.</w:t>
      </w:r>
      <w:r>
        <w:rPr>
          <w:rFonts w:ascii="仿宋" w:hAnsi="仿宋" w:eastAsia="仿宋"/>
          <w:b/>
          <w:sz w:val="32"/>
          <w:szCs w:val="32"/>
        </w:rPr>
        <w:t>市政负荷预测。</w:t>
      </w:r>
      <w:r>
        <w:rPr>
          <w:rFonts w:ascii="仿宋" w:hAnsi="仿宋" w:eastAsia="仿宋"/>
          <w:sz w:val="32"/>
          <w:szCs w:val="32"/>
        </w:rPr>
        <w:t>结合一期用地功能和建筑总量，参照深标预测各类市政负荷需求，评估对上位专项规划的影响。</w:t>
      </w:r>
    </w:p>
    <w:p>
      <w:pPr>
        <w:ind w:firstLine="709" w:firstLineChars="221"/>
        <w:rPr>
          <w:rFonts w:ascii="仿宋" w:hAnsi="仿宋" w:eastAsia="仿宋"/>
          <w:sz w:val="32"/>
          <w:szCs w:val="32"/>
        </w:rPr>
      </w:pPr>
      <w:r>
        <w:rPr>
          <w:rFonts w:hint="eastAsia" w:ascii="仿宋" w:hAnsi="仿宋" w:eastAsia="仿宋"/>
          <w:b/>
          <w:sz w:val="32"/>
          <w:szCs w:val="32"/>
          <w:lang w:val="en-US" w:eastAsia="zh-CN"/>
        </w:rPr>
        <w:t>3.</w:t>
      </w:r>
      <w:r>
        <w:rPr>
          <w:rFonts w:ascii="仿宋" w:hAnsi="仿宋" w:eastAsia="仿宋"/>
          <w:b/>
          <w:sz w:val="32"/>
          <w:szCs w:val="32"/>
        </w:rPr>
        <w:t>市政设施评估与整合。</w:t>
      </w:r>
      <w:r>
        <w:rPr>
          <w:rFonts w:ascii="仿宋" w:hAnsi="仿宋" w:eastAsia="仿宋"/>
          <w:sz w:val="32"/>
          <w:szCs w:val="32"/>
        </w:rPr>
        <w:t>校核评估各类场站设施，确定需新增或扩建的设施类型及位置，提出设施建设时序与规模建议。</w:t>
      </w:r>
    </w:p>
    <w:p>
      <w:pPr>
        <w:ind w:firstLine="709" w:firstLineChars="221"/>
        <w:rPr>
          <w:rFonts w:ascii="仿宋" w:hAnsi="仿宋" w:eastAsia="仿宋"/>
          <w:sz w:val="32"/>
          <w:szCs w:val="32"/>
        </w:rPr>
      </w:pPr>
      <w:r>
        <w:rPr>
          <w:rFonts w:hint="eastAsia" w:ascii="仿宋" w:hAnsi="仿宋" w:eastAsia="仿宋"/>
          <w:b/>
          <w:sz w:val="32"/>
          <w:szCs w:val="32"/>
          <w:lang w:val="en-US" w:eastAsia="zh-CN"/>
        </w:rPr>
        <w:t>4.</w:t>
      </w:r>
      <w:r>
        <w:rPr>
          <w:rFonts w:ascii="仿宋" w:hAnsi="仿宋" w:eastAsia="仿宋"/>
          <w:b/>
          <w:sz w:val="32"/>
          <w:szCs w:val="32"/>
        </w:rPr>
        <w:t>市政管网系统优化。</w:t>
      </w:r>
      <w:r>
        <w:rPr>
          <w:rFonts w:ascii="仿宋" w:hAnsi="仿宋" w:eastAsia="仿宋"/>
          <w:sz w:val="32"/>
          <w:szCs w:val="32"/>
        </w:rPr>
        <w:t>系统梳理各专业管网现状服务能力，结合用地功能和道路线网调整，提出分专业、成体系的管网优化方案。</w:t>
      </w:r>
    </w:p>
    <w:p>
      <w:pPr>
        <w:ind w:firstLine="709" w:firstLineChars="221"/>
        <w:rPr>
          <w:rFonts w:ascii="楷体" w:hAnsi="楷体" w:eastAsia="楷体"/>
          <w:b/>
          <w:sz w:val="32"/>
          <w:szCs w:val="32"/>
        </w:rPr>
      </w:pPr>
      <w:r>
        <w:rPr>
          <w:rFonts w:hint="eastAsia" w:ascii="楷体" w:hAnsi="楷体" w:eastAsia="楷体"/>
          <w:b/>
          <w:sz w:val="32"/>
          <w:szCs w:val="32"/>
        </w:rPr>
        <w:t>（四）交通专题研究</w:t>
      </w:r>
    </w:p>
    <w:p>
      <w:pPr>
        <w:ind w:firstLine="709" w:firstLineChars="221"/>
        <w:rPr>
          <w:rFonts w:ascii="仿宋" w:hAnsi="仿宋" w:eastAsia="仿宋"/>
          <w:sz w:val="32"/>
          <w:szCs w:val="32"/>
        </w:rPr>
      </w:pPr>
      <w:r>
        <w:rPr>
          <w:rFonts w:hint="eastAsia" w:ascii="仿宋" w:hAnsi="仿宋" w:eastAsia="仿宋"/>
          <w:b/>
          <w:sz w:val="32"/>
          <w:szCs w:val="32"/>
          <w:lang w:val="en-US" w:eastAsia="zh-CN"/>
        </w:rPr>
        <w:t>1.</w:t>
      </w:r>
      <w:r>
        <w:rPr>
          <w:rFonts w:ascii="仿宋" w:hAnsi="仿宋" w:eastAsia="仿宋"/>
          <w:b/>
          <w:sz w:val="32"/>
          <w:szCs w:val="32"/>
        </w:rPr>
        <w:t>周边用地及交通现状调查与规划分析。</w:t>
      </w:r>
      <w:r>
        <w:rPr>
          <w:rFonts w:ascii="仿宋" w:hAnsi="仿宋" w:eastAsia="仿宋"/>
          <w:sz w:val="32"/>
          <w:szCs w:val="32"/>
        </w:rPr>
        <w:t>调查项目周边土地利用及道路、公交等交通基础设施现状，收集相关规划资料，掌握区域交通规划情况。</w:t>
      </w:r>
    </w:p>
    <w:p>
      <w:pPr>
        <w:ind w:firstLine="709" w:firstLineChars="221"/>
        <w:rPr>
          <w:rFonts w:ascii="仿宋" w:hAnsi="仿宋" w:eastAsia="仿宋"/>
          <w:sz w:val="32"/>
          <w:szCs w:val="32"/>
        </w:rPr>
      </w:pPr>
      <w:r>
        <w:rPr>
          <w:rFonts w:hint="eastAsia" w:ascii="仿宋" w:hAnsi="仿宋" w:eastAsia="仿宋"/>
          <w:b/>
          <w:sz w:val="32"/>
          <w:szCs w:val="32"/>
          <w:lang w:val="en-US" w:eastAsia="zh-CN"/>
        </w:rPr>
        <w:t>2.</w:t>
      </w:r>
      <w:r>
        <w:rPr>
          <w:rFonts w:ascii="仿宋" w:hAnsi="仿宋" w:eastAsia="仿宋"/>
          <w:b/>
          <w:sz w:val="32"/>
          <w:szCs w:val="32"/>
        </w:rPr>
        <w:t>交通需求预测。</w:t>
      </w:r>
      <w:r>
        <w:rPr>
          <w:rFonts w:ascii="仿宋" w:hAnsi="仿宋" w:eastAsia="仿宋"/>
          <w:sz w:val="32"/>
          <w:szCs w:val="32"/>
        </w:rPr>
        <w:t>预测项目建成后高峰小时交通发生与吸引量、方式划分及空间分布，计算公交、慢行客流及机动车交通规模；结合现状数据预测规划年背景交通运行情况。</w:t>
      </w:r>
    </w:p>
    <w:p>
      <w:pPr>
        <w:ind w:firstLine="709" w:firstLineChars="221"/>
        <w:rPr>
          <w:rFonts w:ascii="仿宋" w:hAnsi="仿宋" w:eastAsia="仿宋"/>
          <w:sz w:val="32"/>
          <w:szCs w:val="32"/>
        </w:rPr>
      </w:pPr>
      <w:r>
        <w:rPr>
          <w:rFonts w:hint="eastAsia" w:ascii="仿宋" w:hAnsi="仿宋" w:eastAsia="仿宋"/>
          <w:b/>
          <w:sz w:val="32"/>
          <w:szCs w:val="32"/>
          <w:lang w:val="en-US" w:eastAsia="zh-CN"/>
        </w:rPr>
        <w:t>3.</w:t>
      </w:r>
      <w:r>
        <w:rPr>
          <w:rFonts w:ascii="仿宋" w:hAnsi="仿宋" w:eastAsia="仿宋"/>
          <w:b/>
          <w:sz w:val="32"/>
          <w:szCs w:val="32"/>
        </w:rPr>
        <w:t>路网调整分析。</w:t>
      </w:r>
      <w:r>
        <w:rPr>
          <w:rFonts w:ascii="仿宋" w:hAnsi="仿宋" w:eastAsia="仿宋"/>
          <w:sz w:val="32"/>
          <w:szCs w:val="32"/>
        </w:rPr>
        <w:t>分析既有规划在路网结构、实施难度等方面的问题，从路网结构、道路等级、横断面、交通组织等提出优化方案并评估影响。</w:t>
      </w:r>
    </w:p>
    <w:p>
      <w:pPr>
        <w:ind w:firstLine="709" w:firstLineChars="221"/>
        <w:rPr>
          <w:rFonts w:ascii="仿宋" w:hAnsi="仿宋" w:eastAsia="仿宋"/>
          <w:sz w:val="32"/>
          <w:szCs w:val="32"/>
        </w:rPr>
      </w:pPr>
      <w:r>
        <w:rPr>
          <w:rFonts w:hint="eastAsia" w:ascii="仿宋" w:hAnsi="仿宋" w:eastAsia="仿宋"/>
          <w:b/>
          <w:sz w:val="32"/>
          <w:szCs w:val="32"/>
          <w:lang w:val="en-US" w:eastAsia="zh-CN"/>
        </w:rPr>
        <w:t>4.</w:t>
      </w:r>
      <w:r>
        <w:rPr>
          <w:rFonts w:ascii="仿宋" w:hAnsi="仿宋" w:eastAsia="仿宋"/>
          <w:b/>
          <w:sz w:val="32"/>
          <w:szCs w:val="32"/>
        </w:rPr>
        <w:t>既有规划方案评估。</w:t>
      </w:r>
      <w:r>
        <w:rPr>
          <w:rFonts w:ascii="仿宋" w:hAnsi="仿宋" w:eastAsia="仿宋"/>
          <w:sz w:val="32"/>
          <w:szCs w:val="32"/>
        </w:rPr>
        <w:t>对比“有”“无”项目两种情形，评估项目对周边道路交通的影响；评估既有规划中停车配建、出入口及内部交通组织流线的符合性与合理性。</w:t>
      </w:r>
    </w:p>
    <w:p>
      <w:pPr>
        <w:ind w:firstLine="709" w:firstLineChars="221"/>
        <w:rPr>
          <w:rFonts w:ascii="仿宋" w:hAnsi="仿宋" w:eastAsia="仿宋"/>
          <w:sz w:val="32"/>
          <w:szCs w:val="32"/>
        </w:rPr>
      </w:pPr>
      <w:r>
        <w:rPr>
          <w:rFonts w:hint="eastAsia" w:ascii="仿宋" w:hAnsi="仿宋" w:eastAsia="仿宋"/>
          <w:b/>
          <w:sz w:val="32"/>
          <w:szCs w:val="32"/>
          <w:lang w:val="en-US" w:eastAsia="zh-CN"/>
        </w:rPr>
        <w:t>5.</w:t>
      </w:r>
      <w:r>
        <w:rPr>
          <w:rFonts w:ascii="仿宋" w:hAnsi="仿宋" w:eastAsia="仿宋"/>
          <w:b/>
          <w:sz w:val="32"/>
          <w:szCs w:val="32"/>
        </w:rPr>
        <w:t>交通改善方案及保障措施。</w:t>
      </w:r>
      <w:r>
        <w:rPr>
          <w:rFonts w:ascii="仿宋" w:hAnsi="仿宋" w:eastAsia="仿宋"/>
          <w:sz w:val="32"/>
          <w:szCs w:val="32"/>
        </w:rPr>
        <w:t>基于评估分析提出外部路网及内部交通改善建议，针对可能涉及的交通问题制定相应保障措施。</w:t>
      </w:r>
    </w:p>
    <w:p>
      <w:pPr>
        <w:ind w:firstLine="642" w:firstLineChars="200"/>
        <w:rPr>
          <w:rFonts w:ascii="微软雅黑" w:hAnsi="微软雅黑" w:eastAsia="微软雅黑"/>
          <w:b/>
          <w:sz w:val="32"/>
          <w:szCs w:val="32"/>
        </w:rPr>
      </w:pPr>
      <w:r>
        <w:rPr>
          <w:rFonts w:hint="eastAsia" w:ascii="微软雅黑" w:hAnsi="微软雅黑" w:eastAsia="微软雅黑"/>
          <w:b/>
          <w:sz w:val="32"/>
          <w:szCs w:val="32"/>
        </w:rPr>
        <w:t>三、工作成果</w:t>
      </w:r>
    </w:p>
    <w:p>
      <w:pPr>
        <w:ind w:firstLine="640" w:firstLineChars="200"/>
      </w:pPr>
      <w:bookmarkStart w:id="1" w:name="OLE_LINK4"/>
      <w:r>
        <w:rPr>
          <w:rFonts w:hint="eastAsia" w:ascii="仿宋" w:hAnsi="仿宋" w:eastAsia="仿宋"/>
          <w:sz w:val="32"/>
          <w:szCs w:val="32"/>
        </w:rPr>
        <w:t>《龙岗区全球智能硬件谷一期规划调整研究》方案本（含公共配套、市政、交通专篇）</w:t>
      </w:r>
      <w:r>
        <w:rPr>
          <w:rFonts w:hint="eastAsia" w:ascii="Times New Roman" w:hAnsi="Times New Roman" w:eastAsia="仿宋_GB2312" w:cs="仿宋_GB2312"/>
          <w:sz w:val="32"/>
          <w:szCs w:val="32"/>
        </w:rPr>
        <w:t>及各阶段汇报演示文件</w:t>
      </w:r>
      <w:r>
        <w:rPr>
          <w:rFonts w:hint="eastAsia" w:ascii="仿宋" w:hAnsi="仿宋" w:eastAsia="仿宋"/>
          <w:sz w:val="32"/>
          <w:szCs w:val="32"/>
          <w:lang w:eastAsia="zh-CN"/>
        </w:rPr>
        <w:t>。</w:t>
      </w:r>
      <w:r>
        <w:rPr>
          <w:rFonts w:hint="eastAsia" w:ascii="Times New Roman" w:hAnsi="Times New Roman" w:eastAsia="仿宋_GB2312" w:cs="仿宋_GB2312"/>
          <w:sz w:val="32"/>
          <w:szCs w:val="32"/>
        </w:rPr>
        <w:t>所有成果应满足深圳市相关法规及标准规范的要求，应符合城市规划行政主管部门有关规划成果报批和管理的要求。各阶段提交成果除政府相关部门需要数量外需另提供委托方不少于1套纸质文件及一份电子文件，其中最终成果文件应不少于</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套纸质文件及</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份电子文件。</w:t>
      </w:r>
    </w:p>
    <w:bookmarkEnd w:id="1"/>
    <w:p>
      <w:pPr>
        <w:ind w:firstLine="642" w:firstLineChars="200"/>
        <w:rPr>
          <w:rFonts w:ascii="微软雅黑" w:hAnsi="微软雅黑" w:eastAsia="微软雅黑"/>
          <w:b/>
          <w:sz w:val="32"/>
          <w:szCs w:val="32"/>
        </w:rPr>
      </w:pPr>
      <w:r>
        <w:rPr>
          <w:rFonts w:hint="eastAsia" w:ascii="微软雅黑" w:hAnsi="微软雅黑" w:eastAsia="微软雅黑"/>
          <w:b/>
          <w:sz w:val="32"/>
          <w:szCs w:val="32"/>
        </w:rPr>
        <w:t>四、</w:t>
      </w:r>
      <w:r>
        <w:rPr>
          <w:rFonts w:hint="eastAsia" w:ascii="微软雅黑" w:hAnsi="微软雅黑" w:eastAsia="微软雅黑"/>
          <w:b/>
          <w:sz w:val="32"/>
          <w:szCs w:val="32"/>
          <w:lang w:eastAsia="zh-CN"/>
        </w:rPr>
        <w:t>服务期限</w:t>
      </w:r>
      <w:r>
        <w:rPr>
          <w:rFonts w:hint="eastAsia" w:ascii="微软雅黑" w:hAnsi="微软雅黑" w:eastAsia="微软雅黑"/>
          <w:b/>
          <w:sz w:val="32"/>
          <w:szCs w:val="32"/>
        </w:rPr>
        <w:t>要求</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合同签署后</w:t>
      </w:r>
      <w:r>
        <w:rPr>
          <w:rFonts w:ascii="仿宋" w:hAnsi="仿宋" w:eastAsia="仿宋"/>
          <w:sz w:val="32"/>
          <w:szCs w:val="32"/>
        </w:rPr>
        <w:t>6</w:t>
      </w:r>
      <w:r>
        <w:rPr>
          <w:rFonts w:hint="eastAsia" w:ascii="仿宋" w:hAnsi="仿宋" w:eastAsia="仿宋"/>
          <w:sz w:val="32"/>
          <w:szCs w:val="32"/>
        </w:rPr>
        <w:t>个月内完成工作成果的交付与验收（不包括政府</w:t>
      </w:r>
      <w:r>
        <w:rPr>
          <w:rFonts w:hint="eastAsia" w:ascii="仿宋" w:hAnsi="仿宋" w:eastAsia="仿宋"/>
          <w:sz w:val="32"/>
          <w:szCs w:val="32"/>
          <w:lang w:eastAsia="zh-CN"/>
        </w:rPr>
        <w:t>主管部门</w:t>
      </w:r>
      <w:r>
        <w:rPr>
          <w:rFonts w:hint="eastAsia" w:ascii="仿宋" w:hAnsi="仿宋" w:eastAsia="仿宋"/>
          <w:sz w:val="32"/>
          <w:szCs w:val="32"/>
        </w:rPr>
        <w:t>排会和审查时间）</w:t>
      </w:r>
      <w:r>
        <w:rPr>
          <w:rFonts w:hint="eastAsia" w:ascii="仿宋" w:hAnsi="仿宋" w:eastAsia="仿宋"/>
          <w:sz w:val="32"/>
          <w:szCs w:val="32"/>
          <w:lang w:eastAsia="zh-CN"/>
        </w:rPr>
        <w:t>，</w:t>
      </w:r>
      <w:r>
        <w:rPr>
          <w:rFonts w:hint="eastAsia" w:ascii="仿宋" w:hAnsi="仿宋" w:eastAsia="仿宋"/>
          <w:sz w:val="32"/>
          <w:szCs w:val="32"/>
        </w:rPr>
        <w:t>具体工作节点以</w:t>
      </w:r>
      <w:r>
        <w:rPr>
          <w:rFonts w:hint="eastAsia" w:ascii="仿宋" w:hAnsi="仿宋" w:eastAsia="仿宋" w:cstheme="minorBidi"/>
          <w:sz w:val="32"/>
          <w:szCs w:val="32"/>
          <w:lang w:val="en-US" w:eastAsia="zh-CN"/>
        </w:rPr>
        <w:t>委托方</w:t>
      </w:r>
      <w:r>
        <w:rPr>
          <w:rFonts w:hint="eastAsia" w:ascii="仿宋" w:hAnsi="仿宋" w:eastAsia="仿宋"/>
          <w:sz w:val="32"/>
          <w:szCs w:val="32"/>
        </w:rPr>
        <w:t>及各</w:t>
      </w:r>
      <w:r>
        <w:rPr>
          <w:rFonts w:hint="eastAsia" w:ascii="仿宋" w:hAnsi="仿宋" w:eastAsia="仿宋"/>
          <w:sz w:val="32"/>
          <w:szCs w:val="32"/>
          <w:lang w:eastAsia="zh-CN"/>
        </w:rPr>
        <w:t>主管</w:t>
      </w:r>
      <w:r>
        <w:rPr>
          <w:rFonts w:hint="eastAsia" w:ascii="仿宋" w:hAnsi="仿宋" w:eastAsia="仿宋"/>
          <w:sz w:val="32"/>
          <w:szCs w:val="32"/>
        </w:rPr>
        <w:t>部门要求为准。</w:t>
      </w:r>
      <w:r>
        <w:rPr>
          <w:rFonts w:hint="eastAsia" w:ascii="仿宋" w:hAnsi="仿宋" w:eastAsia="仿宋"/>
          <w:sz w:val="32"/>
          <w:szCs w:val="32"/>
          <w:lang w:eastAsia="zh-CN"/>
        </w:rPr>
        <w:t>服务方</w:t>
      </w:r>
      <w:r>
        <w:rPr>
          <w:rFonts w:hint="eastAsia" w:ascii="仿宋" w:hAnsi="仿宋" w:eastAsia="仿宋"/>
          <w:sz w:val="32"/>
          <w:szCs w:val="32"/>
        </w:rPr>
        <w:t>需密切配合委托方，根据委托方需求及时提交相关文件</w:t>
      </w:r>
      <w:r>
        <w:rPr>
          <w:rFonts w:hint="eastAsia" w:ascii="仿宋" w:hAnsi="仿宋" w:eastAsia="仿宋"/>
          <w:sz w:val="32"/>
          <w:szCs w:val="32"/>
          <w:lang w:eastAsia="zh-CN"/>
        </w:rPr>
        <w:t>，</w:t>
      </w:r>
      <w:r>
        <w:rPr>
          <w:rFonts w:hint="eastAsia" w:ascii="仿宋" w:hAnsi="仿宋" w:eastAsia="仿宋"/>
          <w:sz w:val="32"/>
          <w:szCs w:val="32"/>
        </w:rPr>
        <w:t>配合委托方与政府相关部门协调沟通。</w:t>
      </w:r>
    </w:p>
    <w:p>
      <w:pPr>
        <w:adjustRightInd/>
        <w:snapToGrid/>
        <w:spacing w:line="240" w:lineRule="auto"/>
        <w:ind w:firstLine="642" w:firstLineChars="200"/>
        <w:rPr>
          <w:rFonts w:hint="eastAsia" w:ascii="微软雅黑" w:hAnsi="微软雅黑" w:eastAsia="微软雅黑" w:cstheme="minorBidi"/>
          <w:b/>
          <w:bCs w:val="0"/>
          <w:kern w:val="2"/>
          <w:sz w:val="32"/>
          <w:szCs w:val="32"/>
          <w:lang w:val="en-US" w:eastAsia="zh-CN"/>
        </w:rPr>
      </w:pPr>
      <w:r>
        <w:rPr>
          <w:rFonts w:hint="eastAsia" w:ascii="微软雅黑" w:hAnsi="微软雅黑" w:eastAsia="微软雅黑" w:cstheme="minorBidi"/>
          <w:b/>
          <w:bCs w:val="0"/>
          <w:kern w:val="2"/>
          <w:sz w:val="32"/>
          <w:szCs w:val="32"/>
          <w:lang w:val="en-US" w:eastAsia="zh-CN"/>
        </w:rPr>
        <w:t>五、费用支付与履约考核</w:t>
      </w:r>
    </w:p>
    <w:p>
      <w:pPr>
        <w:ind w:firstLine="640" w:firstLineChars="20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1.合同签订后，服务方提出工作计划书，委托方支付合同总额的20%；</w:t>
      </w:r>
    </w:p>
    <w:p>
      <w:pPr>
        <w:ind w:firstLine="640" w:firstLineChars="20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2.项目相关研究成果通过龙岗区规划主管部门审批，服务方提出书面申请，委托方支付合同总额的30%；</w:t>
      </w:r>
    </w:p>
    <w:p>
      <w:pPr>
        <w:ind w:firstLine="640" w:firstLineChars="20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3.项目相关研究成果通过深圳市规划主管部门审批，服务方提出书面申请，委托方支付合同总额的40%；</w:t>
      </w:r>
    </w:p>
    <w:p>
      <w:pPr>
        <w:ind w:firstLine="640" w:firstLineChars="200"/>
        <w:rPr>
          <w:rFonts w:hint="eastAsia" w:ascii="仿宋" w:hAnsi="仿宋" w:eastAsia="仿宋" w:cstheme="minorBidi"/>
          <w:sz w:val="32"/>
          <w:szCs w:val="32"/>
          <w:lang w:val="en-US" w:eastAsia="zh-CN"/>
        </w:rPr>
      </w:pPr>
      <w:r>
        <w:rPr>
          <w:rFonts w:hint="eastAsia" w:ascii="仿宋" w:hAnsi="仿宋" w:eastAsia="仿宋" w:cstheme="minorBidi"/>
          <w:sz w:val="32"/>
          <w:szCs w:val="32"/>
          <w:lang w:val="en-US" w:eastAsia="zh-CN"/>
        </w:rPr>
        <w:t>4.剩余合同价的10%为履约考核评价费，服务方根据履约考核评价结果进行支付，在服务完成后启动履约评价，根据履约评价得分支付，履约考核评价为合格或以上等级的，支付全部；履约考核评价为不合格的，不予支付。服务方参与投标、签订合同视为接受委托方的单方履约评价结果，同意由委托方根据单方履约评价结果支付履约考核评价费。</w:t>
      </w:r>
    </w:p>
    <w:p>
      <w:pPr>
        <w:pStyle w:val="2"/>
        <w:ind w:firstLine="642" w:firstLineChars="200"/>
        <w:rPr>
          <w:rFonts w:hint="eastAsia"/>
          <w:lang w:val="en-US" w:eastAsia="zh-CN"/>
        </w:rPr>
      </w:pPr>
      <w:r>
        <w:rPr>
          <w:rFonts w:hint="eastAsia" w:ascii="仿宋" w:hAnsi="仿宋" w:eastAsia="仿宋" w:cstheme="minorBidi"/>
          <w:b/>
          <w:bCs/>
          <w:sz w:val="32"/>
          <w:szCs w:val="32"/>
          <w:lang w:val="en-US" w:eastAsia="zh-CN"/>
        </w:rPr>
        <w:t>备注</w:t>
      </w:r>
      <w:r>
        <w:rPr>
          <w:rFonts w:hint="eastAsia" w:ascii="仿宋" w:hAnsi="仿宋" w:eastAsia="仿宋" w:cstheme="minorBidi"/>
          <w:sz w:val="32"/>
          <w:szCs w:val="32"/>
          <w:lang w:val="en-US" w:eastAsia="zh-CN"/>
        </w:rPr>
        <w:t>：在合同履行期间，如因委托方需要或项目推进要求，需对相关阶段性成果或最终成果组织专家评审的，相关评审费用（若有）包含在报价之内，委托方不另行支付。</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Light">
    <w:altName w:val="华文中宋"/>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129"/>
    <w:rsid w:val="000205CE"/>
    <w:rsid w:val="000C6CA5"/>
    <w:rsid w:val="00146BB0"/>
    <w:rsid w:val="00287129"/>
    <w:rsid w:val="0049061A"/>
    <w:rsid w:val="006915EE"/>
    <w:rsid w:val="008533D3"/>
    <w:rsid w:val="00924E7B"/>
    <w:rsid w:val="00934BAD"/>
    <w:rsid w:val="00D15A52"/>
    <w:rsid w:val="00F635AE"/>
    <w:rsid w:val="07FFFF00"/>
    <w:rsid w:val="0DDEEC26"/>
    <w:rsid w:val="0FFC1522"/>
    <w:rsid w:val="12FB59A2"/>
    <w:rsid w:val="17B7CF04"/>
    <w:rsid w:val="19F4639A"/>
    <w:rsid w:val="1BEF0FDF"/>
    <w:rsid w:val="1BFBD205"/>
    <w:rsid w:val="23EF241A"/>
    <w:rsid w:val="253FC92D"/>
    <w:rsid w:val="272C2677"/>
    <w:rsid w:val="2C8FD1B7"/>
    <w:rsid w:val="2DBEA5E7"/>
    <w:rsid w:val="2FB70AC1"/>
    <w:rsid w:val="377B3225"/>
    <w:rsid w:val="39FFF084"/>
    <w:rsid w:val="3BE77657"/>
    <w:rsid w:val="3BFD779F"/>
    <w:rsid w:val="3F3F22C3"/>
    <w:rsid w:val="3FB7B781"/>
    <w:rsid w:val="3FDD545F"/>
    <w:rsid w:val="3FFA3B02"/>
    <w:rsid w:val="3FFB1101"/>
    <w:rsid w:val="46BF0B32"/>
    <w:rsid w:val="46EF8A48"/>
    <w:rsid w:val="4F7D0E80"/>
    <w:rsid w:val="4F7F087B"/>
    <w:rsid w:val="4FDF997C"/>
    <w:rsid w:val="55F180A8"/>
    <w:rsid w:val="56FE640C"/>
    <w:rsid w:val="5AF71B04"/>
    <w:rsid w:val="5AFEB324"/>
    <w:rsid w:val="5BFEB1AD"/>
    <w:rsid w:val="5DED8543"/>
    <w:rsid w:val="5F6B1ED0"/>
    <w:rsid w:val="5F7FE7B3"/>
    <w:rsid w:val="5F95F507"/>
    <w:rsid w:val="5FBB075B"/>
    <w:rsid w:val="5FDADF98"/>
    <w:rsid w:val="5FDB193D"/>
    <w:rsid w:val="5FF985A7"/>
    <w:rsid w:val="639F8220"/>
    <w:rsid w:val="65DF058E"/>
    <w:rsid w:val="66F67D09"/>
    <w:rsid w:val="66F73084"/>
    <w:rsid w:val="67027561"/>
    <w:rsid w:val="67FFD3C1"/>
    <w:rsid w:val="69EF2263"/>
    <w:rsid w:val="6AED2F95"/>
    <w:rsid w:val="6B8FE7CC"/>
    <w:rsid w:val="6C7FBBDC"/>
    <w:rsid w:val="6EDF6D6A"/>
    <w:rsid w:val="6F7C840D"/>
    <w:rsid w:val="6FF4BBFB"/>
    <w:rsid w:val="72DF143E"/>
    <w:rsid w:val="73BE1221"/>
    <w:rsid w:val="7567F228"/>
    <w:rsid w:val="75F262C9"/>
    <w:rsid w:val="763BEBC9"/>
    <w:rsid w:val="77DF9989"/>
    <w:rsid w:val="77E7767F"/>
    <w:rsid w:val="79FBC847"/>
    <w:rsid w:val="7B141E90"/>
    <w:rsid w:val="7B635B18"/>
    <w:rsid w:val="7BFAE467"/>
    <w:rsid w:val="7BFF5789"/>
    <w:rsid w:val="7CFB368C"/>
    <w:rsid w:val="7D2BF6C7"/>
    <w:rsid w:val="7DFE6ED8"/>
    <w:rsid w:val="7DFFFE75"/>
    <w:rsid w:val="7EFF2716"/>
    <w:rsid w:val="7EFF67E7"/>
    <w:rsid w:val="7F6D033D"/>
    <w:rsid w:val="7FBEFEC0"/>
    <w:rsid w:val="7FCB10A4"/>
    <w:rsid w:val="7FD706AF"/>
    <w:rsid w:val="7FDFD540"/>
    <w:rsid w:val="7FEB63C8"/>
    <w:rsid w:val="7FEF3AA0"/>
    <w:rsid w:val="7FEF662F"/>
    <w:rsid w:val="7FFA5BAA"/>
    <w:rsid w:val="7FFC532C"/>
    <w:rsid w:val="7FFD53E4"/>
    <w:rsid w:val="7FFE28BD"/>
    <w:rsid w:val="7FFF5106"/>
    <w:rsid w:val="8CFEA056"/>
    <w:rsid w:val="8DE9C46E"/>
    <w:rsid w:val="8FF3B6BF"/>
    <w:rsid w:val="8FFD725E"/>
    <w:rsid w:val="93E69E12"/>
    <w:rsid w:val="9FFF39E0"/>
    <w:rsid w:val="AD6F3B35"/>
    <w:rsid w:val="ADADA0C5"/>
    <w:rsid w:val="B6FD107D"/>
    <w:rsid w:val="B7FFF500"/>
    <w:rsid w:val="BB778919"/>
    <w:rsid w:val="BBF135B0"/>
    <w:rsid w:val="BBFFAD28"/>
    <w:rsid w:val="BCFF62F1"/>
    <w:rsid w:val="BF1F3441"/>
    <w:rsid w:val="BF3A3DA5"/>
    <w:rsid w:val="BF9F55F1"/>
    <w:rsid w:val="BFCF8781"/>
    <w:rsid w:val="C7FAEAC6"/>
    <w:rsid w:val="CF7BBD68"/>
    <w:rsid w:val="D69FEFAA"/>
    <w:rsid w:val="D7E7D849"/>
    <w:rsid w:val="D7FA2D55"/>
    <w:rsid w:val="D7FE0D7B"/>
    <w:rsid w:val="DA7FC3D9"/>
    <w:rsid w:val="DBF9CDE4"/>
    <w:rsid w:val="DDEE382D"/>
    <w:rsid w:val="DDFCD298"/>
    <w:rsid w:val="DF56BD9E"/>
    <w:rsid w:val="DF791631"/>
    <w:rsid w:val="DFDB3480"/>
    <w:rsid w:val="DFDDD2CE"/>
    <w:rsid w:val="DFDF2E58"/>
    <w:rsid w:val="DFEE1F97"/>
    <w:rsid w:val="EBA7BE88"/>
    <w:rsid w:val="ED2F0304"/>
    <w:rsid w:val="EDFF4EB5"/>
    <w:rsid w:val="EF3AD89E"/>
    <w:rsid w:val="EFBBA3DC"/>
    <w:rsid w:val="EFF1A19F"/>
    <w:rsid w:val="EFFB41B1"/>
    <w:rsid w:val="EFFFDC23"/>
    <w:rsid w:val="F3ECFCE8"/>
    <w:rsid w:val="F45A93A1"/>
    <w:rsid w:val="F5BD4097"/>
    <w:rsid w:val="F5E77C45"/>
    <w:rsid w:val="F6DDB1F1"/>
    <w:rsid w:val="F76E4644"/>
    <w:rsid w:val="F7EA5E20"/>
    <w:rsid w:val="F86791DA"/>
    <w:rsid w:val="F8AF2BA1"/>
    <w:rsid w:val="F8FB40CE"/>
    <w:rsid w:val="F9EFAAAE"/>
    <w:rsid w:val="FBEC4CD7"/>
    <w:rsid w:val="FBEE4544"/>
    <w:rsid w:val="FBEEB13A"/>
    <w:rsid w:val="FBFA4115"/>
    <w:rsid w:val="FBFF5C45"/>
    <w:rsid w:val="FC7B68BC"/>
    <w:rsid w:val="FCCFD9B2"/>
    <w:rsid w:val="FD7B485D"/>
    <w:rsid w:val="FDC58D5A"/>
    <w:rsid w:val="FDCF0DD3"/>
    <w:rsid w:val="FDEF643C"/>
    <w:rsid w:val="FDFE48F5"/>
    <w:rsid w:val="FEB785EF"/>
    <w:rsid w:val="FEF3A2BE"/>
    <w:rsid w:val="FEFCF243"/>
    <w:rsid w:val="FF2B451F"/>
    <w:rsid w:val="FF7671D8"/>
    <w:rsid w:val="FF7A8C4B"/>
    <w:rsid w:val="FF7E55DC"/>
    <w:rsid w:val="FF9F4368"/>
    <w:rsid w:val="FFABE5EB"/>
    <w:rsid w:val="FFDBD400"/>
    <w:rsid w:val="FFDED365"/>
    <w:rsid w:val="FFF48C0A"/>
    <w:rsid w:val="FFFE6801"/>
    <w:rsid w:val="FFFEFFC1"/>
    <w:rsid w:val="FFFFB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4">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5">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6">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7">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8">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9">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10">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unhideWhenUsed/>
    <w:qFormat/>
    <w:uiPriority w:val="0"/>
    <w:rPr>
      <w:rFonts w:ascii="宋体" w:hAnsi="Courier New"/>
      <w:kern w:val="0"/>
      <w:sz w:val="20"/>
      <w:szCs w:val="21"/>
    </w:rPr>
  </w:style>
  <w:style w:type="paragraph" w:styleId="3">
    <w:name w:val="index 8"/>
    <w:basedOn w:val="1"/>
    <w:next w:val="1"/>
    <w:semiHidden/>
    <w:qFormat/>
    <w:uiPriority w:val="0"/>
    <w:pPr>
      <w:ind w:left="1680" w:hanging="210"/>
      <w:jc w:val="left"/>
    </w:pPr>
    <w:rPr>
      <w:sz w:val="20"/>
    </w:rPr>
  </w:style>
  <w:style w:type="paragraph" w:styleId="13">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3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4"/>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5"/>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6"/>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7"/>
    <w:semiHidden/>
    <w:qFormat/>
    <w:uiPriority w:val="9"/>
    <w:rPr>
      <w:rFonts w:cstheme="majorBidi"/>
      <w:color w:val="2F5597" w:themeColor="accent1" w:themeShade="BF"/>
      <w:sz w:val="28"/>
      <w:szCs w:val="28"/>
    </w:rPr>
  </w:style>
  <w:style w:type="character" w:customStyle="1" w:styleId="23">
    <w:name w:val="标题 5 字符"/>
    <w:basedOn w:val="18"/>
    <w:link w:val="8"/>
    <w:semiHidden/>
    <w:qFormat/>
    <w:uiPriority w:val="9"/>
    <w:rPr>
      <w:rFonts w:cstheme="majorBidi"/>
      <w:color w:val="2F5597" w:themeColor="accent1" w:themeShade="BF"/>
      <w:sz w:val="24"/>
    </w:rPr>
  </w:style>
  <w:style w:type="character" w:customStyle="1" w:styleId="24">
    <w:name w:val="标题 6 字符"/>
    <w:basedOn w:val="18"/>
    <w:link w:val="9"/>
    <w:semiHidden/>
    <w:qFormat/>
    <w:uiPriority w:val="9"/>
    <w:rPr>
      <w:rFonts w:cstheme="majorBidi"/>
      <w:b/>
      <w:bCs/>
      <w:color w:val="2F5597" w:themeColor="accent1" w:themeShade="BF"/>
    </w:rPr>
  </w:style>
  <w:style w:type="character" w:customStyle="1" w:styleId="25">
    <w:name w:val="标题 7 字符"/>
    <w:basedOn w:val="18"/>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4"/>
    <w:qFormat/>
    <w:uiPriority w:val="99"/>
    <w:rPr>
      <w:kern w:val="2"/>
      <w:sz w:val="18"/>
      <w:szCs w:val="18"/>
      <w14:ligatures w14:val="standardContextual"/>
    </w:rPr>
  </w:style>
  <w:style w:type="character" w:customStyle="1" w:styleId="38">
    <w:name w:val="页脚 字符"/>
    <w:basedOn w:val="18"/>
    <w:link w:val="13"/>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277</Words>
  <Characters>1583</Characters>
  <Lines>13</Lines>
  <Paragraphs>3</Paragraphs>
  <TotalTime>3</TotalTime>
  <ScaleCrop>false</ScaleCrop>
  <LinksUpToDate>false</LinksUpToDate>
  <CharactersWithSpaces>1857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2026-07-09T17:23:00Z</dcterms:created>
  <dc:creator>x</dc:creator>
  <cp:lastModifiedBy>罗淑华</cp:lastModifiedBy>
  <dcterms:modified xsi:type="dcterms:W3CDTF">2026-07-14T16:16:02Z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74D5FD777F435FA584104E6A1160908A</vt:lpwstr>
  </property>
</Properties>
</file>