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444D2">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44"/>
          <w:szCs w:val="44"/>
          <w:highlight w:val="none"/>
          <w:lang w:eastAsia="zh-CN"/>
        </w:rPr>
      </w:pPr>
      <w:r>
        <w:rPr>
          <w:rFonts w:hint="eastAsia" w:ascii="仿宋_GB2312" w:hAnsi="仿宋_GB2312" w:eastAsia="仿宋_GB2312" w:cs="仿宋_GB2312"/>
          <w:sz w:val="44"/>
          <w:szCs w:val="44"/>
          <w:highlight w:val="none"/>
          <w:lang w:eastAsia="zh-CN"/>
        </w:rPr>
        <w:t>某项目资产收并购专项法律服务询价公告</w:t>
      </w:r>
    </w:p>
    <w:p w14:paraId="1788A7D6">
      <w:pPr>
        <w:pStyle w:val="2"/>
        <w:keepNext w:val="0"/>
        <w:keepLines w:val="0"/>
        <w:pageBreakBefore w:val="0"/>
        <w:widowControl w:val="0"/>
        <w:numPr>
          <w:ilvl w:val="0"/>
          <w:numId w:val="0"/>
        </w:numPr>
        <w:shd w:val="clear"/>
        <w:kinsoku/>
        <w:overflowPunct/>
        <w:topLinePunct w:val="0"/>
        <w:autoSpaceDE/>
        <w:autoSpaceDN/>
        <w:bidi w:val="0"/>
        <w:adjustRightInd/>
        <w:snapToGrid/>
        <w:spacing w:line="560" w:lineRule="exact"/>
        <w:jc w:val="both"/>
        <w:textAlignment w:val="auto"/>
        <w:rPr>
          <w:rFonts w:hint="eastAsia"/>
          <w:highlight w:val="none"/>
          <w:lang w:val="en-US" w:eastAsia="zh-CN"/>
        </w:rPr>
      </w:pPr>
      <w:r>
        <w:rPr>
          <w:rFonts w:hint="eastAsia"/>
          <w:highlight w:val="none"/>
          <w:lang w:val="en-US" w:eastAsia="zh-CN"/>
        </w:rPr>
        <w:t xml:space="preserve">    </w:t>
      </w:r>
    </w:p>
    <w:p w14:paraId="5F081909">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深圳市</w:t>
      </w:r>
      <w:r>
        <w:rPr>
          <w:rFonts w:hint="eastAsia" w:ascii="仿宋_GB2312" w:hAnsi="仿宋_GB2312" w:eastAsia="仿宋_GB2312" w:cs="仿宋_GB2312"/>
          <w:sz w:val="32"/>
          <w:szCs w:val="32"/>
          <w:highlight w:val="none"/>
          <w:lang w:eastAsia="zh-CN"/>
        </w:rPr>
        <w:t>龙岗区城投置地开发</w:t>
      </w:r>
      <w:r>
        <w:rPr>
          <w:rFonts w:hint="eastAsia" w:ascii="仿宋_GB2312" w:hAnsi="仿宋_GB2312" w:eastAsia="仿宋_GB2312" w:cs="仿宋_GB2312"/>
          <w:sz w:val="32"/>
          <w:szCs w:val="32"/>
          <w:highlight w:val="none"/>
        </w:rPr>
        <w:t>有限公司</w:t>
      </w:r>
      <w:r>
        <w:rPr>
          <w:rFonts w:hint="eastAsia" w:ascii="仿宋_GB2312" w:hAnsi="仿宋_GB2312" w:eastAsia="仿宋_GB2312" w:cs="仿宋_GB2312"/>
          <w:sz w:val="32"/>
          <w:szCs w:val="32"/>
          <w:highlight w:val="none"/>
          <w:lang w:eastAsia="zh-CN"/>
        </w:rPr>
        <w:t>拟</w:t>
      </w:r>
      <w:r>
        <w:rPr>
          <w:rFonts w:hint="eastAsia" w:ascii="仿宋_GB2312" w:hAnsi="仿宋_GB2312" w:eastAsia="仿宋_GB2312" w:cs="仿宋_GB2312"/>
          <w:sz w:val="32"/>
          <w:szCs w:val="32"/>
          <w:highlight w:val="none"/>
          <w:lang w:val="en-US" w:eastAsia="zh-CN"/>
        </w:rPr>
        <w:t>就某项目资产收并购专项法律服务</w:t>
      </w:r>
      <w:r>
        <w:rPr>
          <w:rFonts w:hint="eastAsia" w:ascii="仿宋_GB2312" w:hAnsi="仿宋_GB2312" w:eastAsia="仿宋_GB2312" w:cs="仿宋_GB2312"/>
          <w:sz w:val="32"/>
          <w:szCs w:val="32"/>
          <w:highlight w:val="none"/>
        </w:rPr>
        <w:t>公开询价，以便开展下一步相关内容的招标工作。</w:t>
      </w:r>
    </w:p>
    <w:p w14:paraId="6EBB4737">
      <w:pPr>
        <w:keepNext w:val="0"/>
        <w:keepLines w:val="0"/>
        <w:pageBreakBefore w:val="0"/>
        <w:widowControl w:val="0"/>
        <w:numPr>
          <w:ilvl w:val="0"/>
          <w:numId w:val="1"/>
        </w:numPr>
        <w:shd w:val="clea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项目概况</w:t>
      </w:r>
    </w:p>
    <w:p w14:paraId="7623755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项目为城市更新项目，位于深圳市龙岗区，标的物业占地面积约4万㎡，剩余可售面积约17万㎡。标的物业目前为封顶状态，已取得预售许可证。具体以实际情况为准。</w:t>
      </w:r>
    </w:p>
    <w:p w14:paraId="0CE4521D">
      <w:pPr>
        <w:pStyle w:val="2"/>
        <w:keepNext w:val="0"/>
        <w:keepLines w:val="0"/>
        <w:pageBreakBefore w:val="0"/>
        <w:widowControl w:val="0"/>
        <w:numPr>
          <w:ilvl w:val="0"/>
          <w:numId w:val="0"/>
        </w:numPr>
        <w:shd w:val="clear"/>
        <w:kinsoku/>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24"/>
          <w:highlight w:val="none"/>
          <w:lang w:val="en-US" w:eastAsia="zh-CN" w:bidi="ar-SA"/>
        </w:rPr>
      </w:pPr>
      <w:r>
        <w:rPr>
          <w:rFonts w:hint="eastAsia" w:ascii="黑体" w:hAnsi="黑体" w:eastAsia="黑体" w:cs="黑体"/>
          <w:kern w:val="2"/>
          <w:sz w:val="32"/>
          <w:szCs w:val="24"/>
          <w:highlight w:val="none"/>
          <w:lang w:val="en-US" w:eastAsia="zh-CN" w:bidi="ar-SA"/>
        </w:rPr>
        <w:t>二、服务内容</w:t>
      </w:r>
    </w:p>
    <w:p w14:paraId="4AA9856D">
      <w:pPr>
        <w:pStyle w:val="2"/>
        <w:keepNext w:val="0"/>
        <w:keepLines w:val="0"/>
        <w:pageBreakBefore w:val="0"/>
        <w:widowControl w:val="0"/>
        <w:numPr>
          <w:ilvl w:val="0"/>
          <w:numId w:val="0"/>
        </w:numPr>
        <w:shd w:val="clear"/>
        <w:kinsoku/>
        <w:overflowPunct/>
        <w:topLinePunct w:val="0"/>
        <w:autoSpaceDE/>
        <w:autoSpaceDN/>
        <w:bidi w:val="0"/>
        <w:adjustRightInd/>
        <w:snapToGrid/>
        <w:spacing w:line="560" w:lineRule="exact"/>
        <w:ind w:firstLine="640" w:firstLineChars="200"/>
        <w:textAlignment w:val="auto"/>
        <w:rPr>
          <w:rFonts w:hint="default" w:cs="Times New Roman"/>
          <w:kern w:val="2"/>
          <w:sz w:val="32"/>
          <w:szCs w:val="24"/>
          <w:highlight w:val="none"/>
          <w:lang w:val="en-US" w:eastAsia="zh-CN" w:bidi="ar-SA"/>
        </w:rPr>
      </w:pPr>
      <w:r>
        <w:rPr>
          <w:rFonts w:hint="eastAsia" w:cs="Times New Roman"/>
          <w:kern w:val="2"/>
          <w:sz w:val="32"/>
          <w:szCs w:val="24"/>
          <w:highlight w:val="none"/>
          <w:lang w:val="en-US" w:eastAsia="zh-CN" w:bidi="ar-SA"/>
        </w:rPr>
        <w:t>提供交易全过程所需的法律服务（如提供法律咨询、出具法律意见书、起草相关协议文件、参与相关会议及其他与项目相关的法律事务等），包括但不限于：</w:t>
      </w:r>
    </w:p>
    <w:p w14:paraId="06B992C2">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3" w:firstLineChars="200"/>
        <w:jc w:val="both"/>
        <w:textAlignment w:val="auto"/>
        <w:rPr>
          <w:rFonts w:hint="eastAsia" w:eastAsia="仿宋_GB2312" w:cs="Times New Roman"/>
          <w:b/>
          <w:bCs/>
          <w:kern w:val="2"/>
          <w:sz w:val="32"/>
          <w:szCs w:val="24"/>
          <w:highlight w:val="none"/>
          <w:lang w:val="en-US" w:eastAsia="zh-CN" w:bidi="ar-SA"/>
        </w:rPr>
      </w:pPr>
      <w:r>
        <w:rPr>
          <w:rFonts w:hint="eastAsia" w:eastAsia="仿宋_GB2312" w:cs="Times New Roman"/>
          <w:b/>
          <w:bCs/>
          <w:kern w:val="2"/>
          <w:sz w:val="32"/>
          <w:szCs w:val="24"/>
          <w:highlight w:val="none"/>
          <w:lang w:val="en-US" w:eastAsia="zh-CN" w:bidi="ar-SA"/>
        </w:rPr>
        <w:t>（一）尽职调查及交易模式</w:t>
      </w:r>
    </w:p>
    <w:p w14:paraId="424B041B">
      <w:pPr>
        <w:pStyle w:val="2"/>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cs="Times New Roman"/>
          <w:kern w:val="2"/>
          <w:sz w:val="32"/>
          <w:szCs w:val="24"/>
          <w:highlight w:val="none"/>
          <w:lang w:val="en-US" w:eastAsia="zh-CN" w:bidi="ar-SA"/>
        </w:rPr>
      </w:pPr>
      <w:r>
        <w:rPr>
          <w:rFonts w:hint="eastAsia" w:cs="Times New Roman"/>
          <w:kern w:val="2"/>
          <w:sz w:val="32"/>
          <w:szCs w:val="24"/>
          <w:highlight w:val="none"/>
          <w:lang w:val="en-US" w:eastAsia="zh-CN" w:bidi="ar-SA"/>
        </w:rPr>
        <w:t>1.对目标公司及拟收购资产开展全面尽职调查，调查方式包括自行调查及目标公司主动披露，调查内容包括但不限于：</w:t>
      </w:r>
    </w:p>
    <w:p w14:paraId="1DBB58B6">
      <w:pPr>
        <w:pStyle w:val="2"/>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cs="Times New Roman"/>
          <w:kern w:val="2"/>
          <w:sz w:val="32"/>
          <w:szCs w:val="24"/>
          <w:highlight w:val="none"/>
          <w:lang w:val="en-US" w:eastAsia="zh-CN" w:bidi="ar-SA"/>
        </w:rPr>
      </w:pPr>
      <w:r>
        <w:rPr>
          <w:rFonts w:hint="eastAsia" w:cs="Times New Roman"/>
          <w:kern w:val="2"/>
          <w:sz w:val="32"/>
          <w:szCs w:val="24"/>
          <w:highlight w:val="none"/>
          <w:lang w:val="en-US" w:eastAsia="zh-CN" w:bidi="ar-SA"/>
        </w:rPr>
        <w:t>（1）</w:t>
      </w:r>
      <w:r>
        <w:rPr>
          <w:rFonts w:hint="eastAsia" w:ascii="仿宋_GB2312" w:hAnsi="仿宋_GB2312" w:eastAsia="仿宋_GB2312" w:cs="仿宋_GB2312"/>
          <w:sz w:val="32"/>
          <w:szCs w:val="32"/>
          <w:highlight w:val="none"/>
        </w:rPr>
        <w:t>目标公司的</w:t>
      </w:r>
      <w:r>
        <w:rPr>
          <w:rFonts w:hint="eastAsia" w:ascii="仿宋_GB2312" w:hAnsi="仿宋_GB2312" w:eastAsia="仿宋_GB2312" w:cs="仿宋_GB2312"/>
          <w:sz w:val="32"/>
          <w:szCs w:val="32"/>
          <w:highlight w:val="none"/>
          <w:lang w:eastAsia="zh-Hans"/>
        </w:rPr>
        <w:t>基本情况、对外投资情况、治理结构、资质情况；</w:t>
      </w:r>
    </w:p>
    <w:p w14:paraId="08CE43A4">
      <w:pPr>
        <w:pStyle w:val="2"/>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cs="Times New Roman"/>
          <w:kern w:val="2"/>
          <w:sz w:val="32"/>
          <w:szCs w:val="24"/>
          <w:highlight w:val="none"/>
          <w:lang w:val="en-US" w:eastAsia="zh-CN" w:bidi="ar-SA"/>
        </w:rPr>
      </w:pPr>
      <w:r>
        <w:rPr>
          <w:rFonts w:hint="eastAsia" w:cs="Times New Roman"/>
          <w:kern w:val="2"/>
          <w:sz w:val="32"/>
          <w:szCs w:val="24"/>
          <w:highlight w:val="none"/>
          <w:lang w:val="en-US" w:eastAsia="zh-CN" w:bidi="ar-SA"/>
        </w:rPr>
        <w:t>（2）目标公司资产（权属沿革及抵押、查封等权利负担状态）及潜在风险分析、建设工程等项目进度和合法合规性；</w:t>
      </w:r>
    </w:p>
    <w:p w14:paraId="056D892E">
      <w:pPr>
        <w:pStyle w:val="2"/>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cs="Times New Roman"/>
          <w:kern w:val="2"/>
          <w:sz w:val="32"/>
          <w:szCs w:val="24"/>
          <w:highlight w:val="none"/>
          <w:lang w:val="en-US" w:eastAsia="zh-CN" w:bidi="ar-SA"/>
        </w:rPr>
      </w:pPr>
      <w:r>
        <w:rPr>
          <w:rFonts w:hint="eastAsia" w:cs="Times New Roman"/>
          <w:kern w:val="2"/>
          <w:sz w:val="32"/>
          <w:szCs w:val="24"/>
          <w:highlight w:val="none"/>
          <w:lang w:val="en-US" w:eastAsia="zh-CN" w:bidi="ar-SA"/>
        </w:rPr>
        <w:t>（3）目标公司及与项目相关的重大合同签署及履行情况，如银行贷款合同、合作开发合同、勘察设计合同、建设施工合同等；</w:t>
      </w:r>
    </w:p>
    <w:p w14:paraId="217A9CD7">
      <w:pPr>
        <w:pStyle w:val="2"/>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cs="Times New Roman"/>
          <w:kern w:val="2"/>
          <w:sz w:val="32"/>
          <w:szCs w:val="24"/>
          <w:highlight w:val="none"/>
          <w:lang w:val="en-US" w:eastAsia="zh-CN" w:bidi="ar-SA"/>
        </w:rPr>
      </w:pPr>
      <w:r>
        <w:rPr>
          <w:rFonts w:hint="eastAsia" w:cs="Times New Roman"/>
          <w:kern w:val="2"/>
          <w:sz w:val="32"/>
          <w:szCs w:val="24"/>
          <w:highlight w:val="none"/>
          <w:lang w:val="en-US" w:eastAsia="zh-CN" w:bidi="ar-SA"/>
        </w:rPr>
        <w:t>（4）目标公司劳动用工、重大债权债务、关联交易及对外担保、税务风险等情况；</w:t>
      </w:r>
    </w:p>
    <w:p w14:paraId="31FC4A54">
      <w:pPr>
        <w:pStyle w:val="2"/>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cs="Times New Roman"/>
          <w:kern w:val="2"/>
          <w:sz w:val="32"/>
          <w:szCs w:val="24"/>
          <w:highlight w:val="none"/>
          <w:lang w:val="en-US" w:eastAsia="zh-CN" w:bidi="ar-SA"/>
        </w:rPr>
      </w:pPr>
      <w:r>
        <w:rPr>
          <w:rFonts w:hint="eastAsia" w:cs="Times New Roman"/>
          <w:kern w:val="2"/>
          <w:sz w:val="32"/>
          <w:szCs w:val="24"/>
          <w:highlight w:val="none"/>
          <w:lang w:val="en-US" w:eastAsia="zh-CN" w:bidi="ar-SA"/>
        </w:rPr>
        <w:t>（5）目标公司诉讼仲裁和行政处罚等；</w:t>
      </w:r>
    </w:p>
    <w:p w14:paraId="1AC6301C">
      <w:pPr>
        <w:pStyle w:val="2"/>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cs="Times New Roman"/>
          <w:kern w:val="2"/>
          <w:sz w:val="32"/>
          <w:szCs w:val="24"/>
          <w:highlight w:val="none"/>
          <w:lang w:val="en-US" w:eastAsia="zh-CN" w:bidi="ar-SA"/>
        </w:rPr>
      </w:pPr>
      <w:r>
        <w:rPr>
          <w:rFonts w:hint="eastAsia" w:cs="Times New Roman"/>
          <w:kern w:val="2"/>
          <w:sz w:val="32"/>
          <w:szCs w:val="24"/>
          <w:highlight w:val="none"/>
          <w:lang w:val="en-US" w:eastAsia="zh-CN" w:bidi="ar-SA"/>
        </w:rPr>
        <w:t>（6）研判并充分披露收购存在的重大风险、潜在风险及制定可采取的应对措施；</w:t>
      </w:r>
    </w:p>
    <w:p w14:paraId="6904FFF3">
      <w:pPr>
        <w:pStyle w:val="2"/>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default" w:cs="Times New Roman"/>
          <w:kern w:val="2"/>
          <w:sz w:val="32"/>
          <w:szCs w:val="24"/>
          <w:highlight w:val="none"/>
          <w:lang w:val="en-US" w:eastAsia="zh-CN" w:bidi="ar-SA"/>
        </w:rPr>
      </w:pPr>
      <w:r>
        <w:rPr>
          <w:rFonts w:hint="eastAsia" w:cs="Times New Roman"/>
          <w:kern w:val="2"/>
          <w:sz w:val="32"/>
          <w:szCs w:val="24"/>
          <w:highlight w:val="none"/>
          <w:lang w:val="en-US" w:eastAsia="zh-CN" w:bidi="ar-SA"/>
        </w:rPr>
        <w:t>（7）穿透目标公司的上层股权架构，核查与目标公司及其资产相关的合同文件；</w:t>
      </w:r>
    </w:p>
    <w:p w14:paraId="46404012">
      <w:pPr>
        <w:pStyle w:val="2"/>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cs="Times New Roman"/>
          <w:kern w:val="2"/>
          <w:sz w:val="32"/>
          <w:szCs w:val="24"/>
          <w:highlight w:val="none"/>
          <w:lang w:val="en-US" w:eastAsia="zh-CN" w:bidi="ar-SA"/>
        </w:rPr>
      </w:pPr>
      <w:r>
        <w:rPr>
          <w:rFonts w:hint="eastAsia" w:cs="Times New Roman"/>
          <w:kern w:val="2"/>
          <w:sz w:val="32"/>
          <w:szCs w:val="24"/>
          <w:highlight w:val="none"/>
          <w:lang w:val="en-US" w:eastAsia="zh-CN" w:bidi="ar-SA"/>
        </w:rPr>
        <w:t>（8）其他与尽调相关的事项。</w:t>
      </w:r>
    </w:p>
    <w:p w14:paraId="69669A25">
      <w:pPr>
        <w:pStyle w:val="2"/>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ascii="Calibri" w:hAnsi="Calibri" w:eastAsia="仿宋_GB2312" w:cs="Times New Roman"/>
          <w:kern w:val="2"/>
          <w:sz w:val="32"/>
          <w:szCs w:val="24"/>
          <w:highlight w:val="none"/>
          <w:lang w:val="en-US" w:eastAsia="zh-CN" w:bidi="ar-SA"/>
        </w:rPr>
      </w:pPr>
      <w:r>
        <w:rPr>
          <w:rFonts w:hint="eastAsia" w:cs="Times New Roman"/>
          <w:kern w:val="2"/>
          <w:sz w:val="32"/>
          <w:szCs w:val="24"/>
          <w:highlight w:val="none"/>
          <w:lang w:val="en-US" w:eastAsia="zh-CN" w:bidi="ar-SA"/>
        </w:rPr>
        <w:t>2.初步设计</w:t>
      </w:r>
      <w:r>
        <w:rPr>
          <w:rFonts w:hint="eastAsia" w:ascii="Calibri" w:hAnsi="Calibri" w:eastAsia="仿宋_GB2312" w:cs="Times New Roman"/>
          <w:kern w:val="2"/>
          <w:sz w:val="32"/>
          <w:szCs w:val="24"/>
          <w:highlight w:val="none"/>
          <w:lang w:val="en-US" w:eastAsia="zh-CN" w:bidi="ar-SA"/>
        </w:rPr>
        <w:t>交易</w:t>
      </w:r>
      <w:r>
        <w:rPr>
          <w:rFonts w:hint="eastAsia" w:cs="Times New Roman"/>
          <w:kern w:val="2"/>
          <w:sz w:val="32"/>
          <w:szCs w:val="24"/>
          <w:highlight w:val="none"/>
          <w:lang w:val="en-US" w:eastAsia="zh-CN" w:bidi="ar-SA"/>
        </w:rPr>
        <w:t>模式，针对交易生效条件、交易主体的合法有效性、交易对价的支付安排、交付标准、风险隔离、退出机制等提出法律意见。</w:t>
      </w:r>
    </w:p>
    <w:p w14:paraId="49D64BC9">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bCs/>
          <w:kern w:val="2"/>
          <w:sz w:val="32"/>
          <w:szCs w:val="24"/>
          <w:highlight w:val="none"/>
          <w:lang w:val="en-US" w:eastAsia="zh-CN" w:bidi="ar-SA"/>
        </w:rPr>
      </w:pPr>
      <w:r>
        <w:rPr>
          <w:rFonts w:hint="eastAsia" w:eastAsia="仿宋_GB2312" w:cs="Times New Roman"/>
          <w:b/>
          <w:bCs/>
          <w:kern w:val="2"/>
          <w:sz w:val="32"/>
          <w:szCs w:val="24"/>
          <w:highlight w:val="none"/>
          <w:lang w:val="en-US" w:eastAsia="zh-CN" w:bidi="ar-SA"/>
        </w:rPr>
        <w:t>（二）深化交易架构及配套文件</w:t>
      </w:r>
    </w:p>
    <w:p w14:paraId="5448BFC3">
      <w:pPr>
        <w:pStyle w:val="2"/>
        <w:keepNext w:val="0"/>
        <w:keepLines w:val="0"/>
        <w:pageBreakBefore w:val="0"/>
        <w:widowControl w:val="0"/>
        <w:numPr>
          <w:ilvl w:val="0"/>
          <w:numId w:val="0"/>
        </w:numPr>
        <w:shd w:val="clear"/>
        <w:kinsoku/>
        <w:overflowPunct/>
        <w:topLinePunct w:val="0"/>
        <w:autoSpaceDE/>
        <w:autoSpaceDN/>
        <w:bidi w:val="0"/>
        <w:adjustRightInd/>
        <w:snapToGrid/>
        <w:spacing w:line="560" w:lineRule="exact"/>
        <w:ind w:firstLine="640" w:firstLineChars="200"/>
        <w:textAlignment w:val="auto"/>
        <w:rPr>
          <w:rFonts w:hint="default" w:cs="Times New Roman"/>
          <w:kern w:val="2"/>
          <w:sz w:val="32"/>
          <w:szCs w:val="24"/>
          <w:highlight w:val="none"/>
          <w:lang w:val="en-US" w:eastAsia="zh-CN" w:bidi="ar-SA"/>
        </w:rPr>
      </w:pPr>
      <w:r>
        <w:rPr>
          <w:rFonts w:hint="eastAsia" w:cs="Times New Roman"/>
          <w:kern w:val="2"/>
          <w:sz w:val="32"/>
          <w:szCs w:val="24"/>
          <w:highlight w:val="none"/>
          <w:lang w:val="en-US" w:eastAsia="zh-CN" w:bidi="ar-SA"/>
        </w:rPr>
        <w:t>1.协助开展交易前风险排除措施，包括但不限于参与相关债权人的协商谈判、拟定相关文件等。</w:t>
      </w:r>
    </w:p>
    <w:p w14:paraId="12F56E9F">
      <w:pPr>
        <w:pStyle w:val="2"/>
        <w:keepNext w:val="0"/>
        <w:keepLines w:val="0"/>
        <w:pageBreakBefore w:val="0"/>
        <w:widowControl w:val="0"/>
        <w:numPr>
          <w:ilvl w:val="0"/>
          <w:numId w:val="0"/>
        </w:numPr>
        <w:shd w:val="clear"/>
        <w:kinsoku/>
        <w:overflowPunct/>
        <w:topLinePunct w:val="0"/>
        <w:autoSpaceDE/>
        <w:autoSpaceDN/>
        <w:bidi w:val="0"/>
        <w:adjustRightInd/>
        <w:snapToGrid/>
        <w:spacing w:line="560" w:lineRule="exact"/>
        <w:ind w:firstLine="640" w:firstLineChars="200"/>
        <w:textAlignment w:val="auto"/>
        <w:rPr>
          <w:rFonts w:hint="eastAsia" w:cs="Times New Roman"/>
          <w:kern w:val="2"/>
          <w:sz w:val="32"/>
          <w:szCs w:val="24"/>
          <w:highlight w:val="none"/>
          <w:lang w:val="en-US" w:eastAsia="zh-CN" w:bidi="ar-SA"/>
        </w:rPr>
      </w:pPr>
      <w:r>
        <w:rPr>
          <w:rFonts w:hint="eastAsia" w:cs="Times New Roman"/>
          <w:kern w:val="2"/>
          <w:sz w:val="32"/>
          <w:szCs w:val="24"/>
          <w:highlight w:val="none"/>
          <w:lang w:val="en-US" w:eastAsia="zh-CN" w:bidi="ar-SA"/>
        </w:rPr>
        <w:t>2.参与合同法律、商务谈判，制作谈判备忘录，明确存在的问题及下一步工作建议等。</w:t>
      </w:r>
    </w:p>
    <w:p w14:paraId="39A5A439">
      <w:pPr>
        <w:pStyle w:val="2"/>
        <w:keepNext w:val="0"/>
        <w:keepLines w:val="0"/>
        <w:pageBreakBefore w:val="0"/>
        <w:widowControl w:val="0"/>
        <w:numPr>
          <w:ilvl w:val="0"/>
          <w:numId w:val="0"/>
        </w:numPr>
        <w:shd w:val="clear"/>
        <w:kinsoku/>
        <w:overflowPunct/>
        <w:topLinePunct w:val="0"/>
        <w:autoSpaceDE/>
        <w:autoSpaceDN/>
        <w:bidi w:val="0"/>
        <w:adjustRightInd/>
        <w:snapToGrid/>
        <w:spacing w:line="560" w:lineRule="exact"/>
        <w:ind w:firstLine="640" w:firstLineChars="200"/>
        <w:textAlignment w:val="auto"/>
        <w:rPr>
          <w:rFonts w:hint="default" w:ascii="Calibri" w:hAnsi="Calibri" w:eastAsia="仿宋_GB2312" w:cs="Times New Roman"/>
          <w:kern w:val="2"/>
          <w:sz w:val="32"/>
          <w:szCs w:val="24"/>
          <w:highlight w:val="none"/>
          <w:lang w:val="en-US" w:eastAsia="zh-CN" w:bidi="ar-SA"/>
        </w:rPr>
      </w:pPr>
      <w:r>
        <w:rPr>
          <w:rFonts w:hint="eastAsia" w:cs="Times New Roman"/>
          <w:kern w:val="2"/>
          <w:sz w:val="32"/>
          <w:szCs w:val="24"/>
          <w:highlight w:val="none"/>
          <w:lang w:val="en-US" w:eastAsia="zh-CN" w:bidi="ar-SA"/>
        </w:rPr>
        <w:t>3</w:t>
      </w:r>
      <w:r>
        <w:rPr>
          <w:rFonts w:hint="eastAsia" w:ascii="Calibri" w:hAnsi="Calibri" w:eastAsia="仿宋_GB2312" w:cs="Times New Roman"/>
          <w:kern w:val="2"/>
          <w:sz w:val="32"/>
          <w:szCs w:val="24"/>
          <w:highlight w:val="none"/>
          <w:lang w:val="en-US" w:eastAsia="zh-CN" w:bidi="ar-SA"/>
        </w:rPr>
        <w:t>.</w:t>
      </w:r>
      <w:r>
        <w:rPr>
          <w:rFonts w:hint="eastAsia" w:cs="Times New Roman"/>
          <w:kern w:val="2"/>
          <w:sz w:val="32"/>
          <w:szCs w:val="24"/>
          <w:highlight w:val="none"/>
          <w:lang w:val="en-US" w:eastAsia="zh-CN" w:bidi="ar-SA"/>
        </w:rPr>
        <w:t>根据谈判结果及最新的风险研判情况，起草、审核、修改相关交易文件，包括但不限于资产收购协议、资金共管协议及相关协议文件。</w:t>
      </w:r>
    </w:p>
    <w:p w14:paraId="3132CC72">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bCs/>
          <w:kern w:val="2"/>
          <w:sz w:val="32"/>
          <w:szCs w:val="24"/>
          <w:highlight w:val="none"/>
          <w:lang w:val="en-US" w:eastAsia="zh-CN" w:bidi="ar-SA"/>
        </w:rPr>
      </w:pPr>
      <w:r>
        <w:rPr>
          <w:rFonts w:hint="eastAsia" w:eastAsia="仿宋_GB2312" w:cs="Times New Roman"/>
          <w:b/>
          <w:bCs/>
          <w:kern w:val="2"/>
          <w:sz w:val="32"/>
          <w:szCs w:val="24"/>
          <w:highlight w:val="none"/>
          <w:lang w:val="en-US" w:eastAsia="zh-CN" w:bidi="ar-SA"/>
        </w:rPr>
        <w:t>（三）交易合同签订及履行</w:t>
      </w:r>
    </w:p>
    <w:p w14:paraId="4205F7ED">
      <w:pPr>
        <w:pStyle w:val="2"/>
        <w:keepNext w:val="0"/>
        <w:keepLines w:val="0"/>
        <w:pageBreakBefore w:val="0"/>
        <w:widowControl w:val="0"/>
        <w:numPr>
          <w:ilvl w:val="0"/>
          <w:numId w:val="0"/>
        </w:numPr>
        <w:shd w:val="clear"/>
        <w:kinsoku/>
        <w:overflowPunct/>
        <w:topLinePunct w:val="0"/>
        <w:autoSpaceDE/>
        <w:autoSpaceDN/>
        <w:bidi w:val="0"/>
        <w:adjustRightInd/>
        <w:snapToGrid/>
        <w:spacing w:line="560" w:lineRule="exact"/>
        <w:ind w:firstLine="640" w:firstLineChars="200"/>
        <w:textAlignment w:val="auto"/>
        <w:rPr>
          <w:rFonts w:hint="default" w:ascii="Calibri" w:hAnsi="Calibri" w:eastAsia="仿宋_GB2312" w:cs="Times New Roman"/>
          <w:kern w:val="2"/>
          <w:sz w:val="32"/>
          <w:szCs w:val="24"/>
          <w:highlight w:val="none"/>
          <w:lang w:val="en-US" w:eastAsia="zh-CN" w:bidi="ar-SA"/>
        </w:rPr>
      </w:pPr>
      <w:r>
        <w:rPr>
          <w:rFonts w:hint="eastAsia" w:cs="Times New Roman"/>
          <w:kern w:val="2"/>
          <w:sz w:val="32"/>
          <w:szCs w:val="24"/>
          <w:highlight w:val="none"/>
          <w:lang w:val="en-US" w:eastAsia="zh-CN" w:bidi="ar-SA"/>
        </w:rPr>
        <w:t>1.</w:t>
      </w:r>
      <w:r>
        <w:rPr>
          <w:rFonts w:hint="eastAsia" w:ascii="Calibri" w:hAnsi="Calibri" w:eastAsia="仿宋_GB2312" w:cs="Times New Roman"/>
          <w:kern w:val="2"/>
          <w:sz w:val="32"/>
          <w:szCs w:val="24"/>
          <w:highlight w:val="none"/>
          <w:lang w:val="en-US" w:eastAsia="zh-CN" w:bidi="ar-SA"/>
        </w:rPr>
        <w:t>协助合同</w:t>
      </w:r>
      <w:r>
        <w:rPr>
          <w:rFonts w:hint="eastAsia" w:cs="Times New Roman"/>
          <w:kern w:val="2"/>
          <w:sz w:val="32"/>
          <w:szCs w:val="24"/>
          <w:highlight w:val="none"/>
          <w:lang w:val="en-US" w:eastAsia="zh-CN" w:bidi="ar-SA"/>
        </w:rPr>
        <w:t>完成签署，确保合同合法有效。</w:t>
      </w:r>
    </w:p>
    <w:p w14:paraId="063E27F9">
      <w:pPr>
        <w:pStyle w:val="2"/>
        <w:keepNext w:val="0"/>
        <w:keepLines w:val="0"/>
        <w:pageBreakBefore w:val="0"/>
        <w:widowControl w:val="0"/>
        <w:numPr>
          <w:ilvl w:val="0"/>
          <w:numId w:val="0"/>
        </w:numPr>
        <w:shd w:val="clear"/>
        <w:kinsoku/>
        <w:overflowPunct/>
        <w:topLinePunct w:val="0"/>
        <w:autoSpaceDE/>
        <w:autoSpaceDN/>
        <w:bidi w:val="0"/>
        <w:adjustRightInd/>
        <w:snapToGrid/>
        <w:spacing w:line="560" w:lineRule="exact"/>
        <w:ind w:firstLine="640" w:firstLineChars="200"/>
        <w:textAlignment w:val="auto"/>
        <w:rPr>
          <w:rFonts w:hint="eastAsia" w:cs="Times New Roman"/>
          <w:kern w:val="2"/>
          <w:sz w:val="32"/>
          <w:szCs w:val="24"/>
          <w:highlight w:val="none"/>
          <w:lang w:val="en-US" w:eastAsia="zh-CN" w:bidi="ar-SA"/>
        </w:rPr>
      </w:pPr>
      <w:r>
        <w:rPr>
          <w:rFonts w:hint="eastAsia" w:cs="Times New Roman"/>
          <w:kern w:val="2"/>
          <w:sz w:val="32"/>
          <w:szCs w:val="24"/>
          <w:highlight w:val="none"/>
          <w:lang w:val="en-US" w:eastAsia="zh-CN" w:bidi="ar-SA"/>
        </w:rPr>
        <w:t>2.协助办理网签备案、预告登记，跟进住建部门及不动产登记中心的审批流程等。</w:t>
      </w:r>
    </w:p>
    <w:p w14:paraId="1DB03CB2">
      <w:pPr>
        <w:pStyle w:val="2"/>
        <w:keepNext w:val="0"/>
        <w:keepLines w:val="0"/>
        <w:pageBreakBefore w:val="0"/>
        <w:widowControl w:val="0"/>
        <w:numPr>
          <w:ilvl w:val="0"/>
          <w:numId w:val="0"/>
        </w:numPr>
        <w:shd w:val="clear"/>
        <w:kinsoku/>
        <w:overflowPunct/>
        <w:topLinePunct w:val="0"/>
        <w:autoSpaceDE/>
        <w:autoSpaceDN/>
        <w:bidi w:val="0"/>
        <w:adjustRightInd/>
        <w:snapToGrid/>
        <w:spacing w:line="560" w:lineRule="exact"/>
        <w:ind w:firstLine="640" w:firstLineChars="200"/>
        <w:textAlignment w:val="auto"/>
        <w:rPr>
          <w:rFonts w:hint="eastAsia" w:cs="Times New Roman"/>
          <w:kern w:val="2"/>
          <w:sz w:val="32"/>
          <w:szCs w:val="24"/>
          <w:highlight w:val="none"/>
          <w:lang w:val="en-US" w:eastAsia="zh-CN" w:bidi="ar-SA"/>
        </w:rPr>
      </w:pPr>
      <w:r>
        <w:rPr>
          <w:rFonts w:hint="eastAsia" w:cs="Times New Roman"/>
          <w:kern w:val="2"/>
          <w:sz w:val="32"/>
          <w:szCs w:val="24"/>
          <w:highlight w:val="none"/>
          <w:lang w:val="en-US" w:eastAsia="zh-CN" w:bidi="ar-SA"/>
        </w:rPr>
        <w:t>3.协助设立共管账户、对交易对价的支付合规性进行审查。</w:t>
      </w:r>
    </w:p>
    <w:p w14:paraId="77DA2E44">
      <w:pPr>
        <w:pStyle w:val="2"/>
        <w:keepNext w:val="0"/>
        <w:keepLines w:val="0"/>
        <w:pageBreakBefore w:val="0"/>
        <w:widowControl w:val="0"/>
        <w:numPr>
          <w:ilvl w:val="0"/>
          <w:numId w:val="0"/>
        </w:numPr>
        <w:shd w:val="clear"/>
        <w:kinsoku/>
        <w:overflowPunct/>
        <w:topLinePunct w:val="0"/>
        <w:autoSpaceDE/>
        <w:autoSpaceDN/>
        <w:bidi w:val="0"/>
        <w:adjustRightInd/>
        <w:snapToGrid/>
        <w:spacing w:line="560" w:lineRule="exact"/>
        <w:ind w:firstLine="640" w:firstLineChars="200"/>
        <w:textAlignment w:val="auto"/>
        <w:rPr>
          <w:rFonts w:hint="eastAsia" w:cs="Times New Roman"/>
          <w:kern w:val="2"/>
          <w:sz w:val="32"/>
          <w:szCs w:val="24"/>
          <w:highlight w:val="none"/>
          <w:lang w:val="en-US" w:eastAsia="zh-CN" w:bidi="ar-SA"/>
        </w:rPr>
      </w:pPr>
      <w:r>
        <w:rPr>
          <w:rFonts w:hint="eastAsia" w:cs="Times New Roman"/>
          <w:kern w:val="2"/>
          <w:sz w:val="32"/>
          <w:szCs w:val="24"/>
          <w:highlight w:val="none"/>
          <w:lang w:val="en-US" w:eastAsia="zh-CN" w:bidi="ar-SA"/>
        </w:rPr>
        <w:t>4.动态查询标的物业及交易相对方名下的新增司法查封与冻结信息。若有第三人对标的物业主张权利，协助协调解除权利负担。</w:t>
      </w:r>
    </w:p>
    <w:p w14:paraId="0988AF42">
      <w:pPr>
        <w:keepNext w:val="0"/>
        <w:keepLines w:val="0"/>
        <w:pageBreakBefore w:val="0"/>
        <w:widowControl w:val="0"/>
        <w:shd w:val="clear"/>
        <w:kinsoku/>
        <w:overflowPunct/>
        <w:topLinePunct w:val="0"/>
        <w:autoSpaceDE/>
        <w:autoSpaceDN/>
        <w:bidi w:val="0"/>
        <w:adjustRightInd/>
        <w:snapToGrid/>
        <w:spacing w:line="560" w:lineRule="exact"/>
        <w:ind w:firstLine="640" w:firstLineChars="200"/>
        <w:textAlignment w:val="auto"/>
        <w:rPr>
          <w:rFonts w:hint="default" w:ascii="Calibri" w:hAnsi="Calibri" w:eastAsia="仿宋_GB2312" w:cs="Times New Roman"/>
          <w:kern w:val="2"/>
          <w:sz w:val="32"/>
          <w:szCs w:val="24"/>
          <w:highlight w:val="none"/>
          <w:lang w:val="en-US" w:eastAsia="zh-CN" w:bidi="ar-SA"/>
        </w:rPr>
      </w:pPr>
      <w:r>
        <w:rPr>
          <w:rFonts w:hint="eastAsia" w:eastAsia="仿宋_GB2312" w:cs="Times New Roman"/>
          <w:kern w:val="2"/>
          <w:sz w:val="32"/>
          <w:szCs w:val="24"/>
          <w:highlight w:val="none"/>
          <w:lang w:val="en-US" w:eastAsia="zh-CN" w:bidi="ar-SA"/>
        </w:rPr>
        <w:t>5.</w:t>
      </w:r>
      <w:r>
        <w:rPr>
          <w:rFonts w:hint="default" w:ascii="Calibri" w:hAnsi="Calibri" w:eastAsia="仿宋_GB2312" w:cs="Times New Roman"/>
          <w:kern w:val="2"/>
          <w:sz w:val="32"/>
          <w:szCs w:val="24"/>
          <w:highlight w:val="none"/>
          <w:lang w:val="en-US" w:eastAsia="zh-CN" w:bidi="ar-SA"/>
        </w:rPr>
        <w:t>列席重要工程例会，审查各分项工程验收文件，确保工程质量合规。</w:t>
      </w:r>
    </w:p>
    <w:p w14:paraId="3BF1998E">
      <w:pPr>
        <w:keepNext w:val="0"/>
        <w:keepLines w:val="0"/>
        <w:pageBreakBefore w:val="0"/>
        <w:widowControl w:val="0"/>
        <w:shd w:val="clear"/>
        <w:kinsoku/>
        <w:wordWrap/>
        <w:overflowPunct/>
        <w:topLinePunct w:val="0"/>
        <w:autoSpaceDE/>
        <w:autoSpaceDN/>
        <w:bidi w:val="0"/>
        <w:adjustRightInd/>
        <w:snapToGrid/>
        <w:spacing w:line="560" w:lineRule="exact"/>
        <w:ind w:firstLine="643" w:firstLineChars="200"/>
        <w:textAlignment w:val="auto"/>
        <w:rPr>
          <w:rFonts w:hint="default" w:eastAsia="仿宋_GB2312" w:cs="Times New Roman"/>
          <w:b/>
          <w:bCs/>
          <w:kern w:val="2"/>
          <w:sz w:val="32"/>
          <w:szCs w:val="24"/>
          <w:highlight w:val="none"/>
          <w:lang w:val="en-US" w:eastAsia="zh-CN" w:bidi="ar-SA"/>
        </w:rPr>
      </w:pPr>
      <w:r>
        <w:rPr>
          <w:rFonts w:hint="eastAsia" w:eastAsia="仿宋_GB2312" w:cs="Times New Roman"/>
          <w:b/>
          <w:bCs/>
          <w:kern w:val="2"/>
          <w:sz w:val="32"/>
          <w:szCs w:val="24"/>
          <w:highlight w:val="none"/>
          <w:lang w:val="en-US" w:eastAsia="zh-CN" w:bidi="ar-SA"/>
        </w:rPr>
        <w:t>（四）物业交付及办证</w:t>
      </w:r>
    </w:p>
    <w:p w14:paraId="6FDB9E72">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kern w:val="2"/>
          <w:sz w:val="32"/>
          <w:szCs w:val="24"/>
          <w:highlight w:val="none"/>
          <w:lang w:val="en-US" w:eastAsia="zh-CN" w:bidi="ar-SA"/>
        </w:rPr>
      </w:pPr>
      <w:r>
        <w:rPr>
          <w:rFonts w:hint="eastAsia" w:eastAsia="仿宋_GB2312" w:cs="Times New Roman"/>
          <w:kern w:val="2"/>
          <w:sz w:val="32"/>
          <w:szCs w:val="24"/>
          <w:highlight w:val="none"/>
          <w:lang w:val="en-US" w:eastAsia="zh-CN" w:bidi="ar-SA"/>
        </w:rPr>
        <w:t>1.审核收楼文件、协助办理相关收楼手续。</w:t>
      </w:r>
    </w:p>
    <w:p w14:paraId="17A0E7FC">
      <w:pPr>
        <w:pStyle w:val="2"/>
        <w:keepNext w:val="0"/>
        <w:keepLines w:val="0"/>
        <w:pageBreakBefore w:val="0"/>
        <w:widowControl w:val="0"/>
        <w:numPr>
          <w:ilvl w:val="0"/>
          <w:numId w:val="0"/>
        </w:numPr>
        <w:shd w:val="clear"/>
        <w:kinsoku/>
        <w:overflowPunct/>
        <w:topLinePunct w:val="0"/>
        <w:autoSpaceDE/>
        <w:autoSpaceDN/>
        <w:bidi w:val="0"/>
        <w:adjustRightInd/>
        <w:snapToGrid/>
        <w:spacing w:line="560" w:lineRule="exact"/>
        <w:ind w:firstLine="640"/>
        <w:textAlignment w:val="auto"/>
        <w:rPr>
          <w:rFonts w:hint="eastAsia"/>
          <w:highlight w:val="none"/>
          <w:lang w:val="en-US" w:eastAsia="zh-CN"/>
        </w:rPr>
      </w:pPr>
      <w:r>
        <w:rPr>
          <w:rFonts w:hint="eastAsia"/>
          <w:highlight w:val="none"/>
          <w:lang w:val="en-US" w:eastAsia="zh-CN"/>
        </w:rPr>
        <w:t>2.协助审查规划、消防、人防、节能及竣工验收备案等全套手续的法律文件。</w:t>
      </w:r>
    </w:p>
    <w:p w14:paraId="2002D9C7">
      <w:pPr>
        <w:pStyle w:val="2"/>
        <w:keepNext w:val="0"/>
        <w:keepLines w:val="0"/>
        <w:pageBreakBefore w:val="0"/>
        <w:widowControl w:val="0"/>
        <w:numPr>
          <w:ilvl w:val="0"/>
          <w:numId w:val="0"/>
        </w:numPr>
        <w:shd w:val="clear"/>
        <w:kinsoku/>
        <w:overflowPunct/>
        <w:topLinePunct w:val="0"/>
        <w:autoSpaceDE/>
        <w:autoSpaceDN/>
        <w:bidi w:val="0"/>
        <w:adjustRightInd/>
        <w:snapToGrid/>
        <w:spacing w:line="560" w:lineRule="exact"/>
        <w:ind w:firstLine="640"/>
        <w:textAlignment w:val="auto"/>
        <w:rPr>
          <w:rFonts w:hint="eastAsia"/>
          <w:highlight w:val="none"/>
          <w:lang w:val="en-US" w:eastAsia="zh-CN"/>
        </w:rPr>
      </w:pPr>
      <w:r>
        <w:rPr>
          <w:rFonts w:hint="eastAsia"/>
          <w:highlight w:val="none"/>
          <w:lang w:val="en-US" w:eastAsia="zh-CN"/>
        </w:rPr>
        <w:t>3.协助办理不动产权证书。</w:t>
      </w:r>
    </w:p>
    <w:p w14:paraId="4F0FFA1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b w:val="0"/>
          <w:bCs w:val="0"/>
          <w:kern w:val="2"/>
          <w:sz w:val="32"/>
          <w:szCs w:val="24"/>
          <w:highlight w:val="none"/>
          <w:lang w:val="en-US" w:eastAsia="zh-CN" w:bidi="ar-SA"/>
        </w:rPr>
      </w:pPr>
      <w:r>
        <w:rPr>
          <w:rFonts w:hint="eastAsia" w:eastAsia="仿宋_GB2312" w:cs="Times New Roman"/>
          <w:b w:val="0"/>
          <w:bCs w:val="0"/>
          <w:kern w:val="2"/>
          <w:sz w:val="32"/>
          <w:szCs w:val="24"/>
          <w:highlight w:val="none"/>
          <w:lang w:val="en-US" w:eastAsia="zh-CN" w:bidi="ar-SA"/>
        </w:rPr>
        <w:t>服务终止后，整理已完成的全部法律文件，编制详细的项目法律档案目录，形成电子及纸质档案移交甲方存档。</w:t>
      </w:r>
    </w:p>
    <w:p w14:paraId="0C13F6C2">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三、服务期限</w:t>
      </w:r>
    </w:p>
    <w:p w14:paraId="1FB74A1A">
      <w:pPr>
        <w:pStyle w:val="2"/>
        <w:keepNext w:val="0"/>
        <w:keepLines w:val="0"/>
        <w:pageBreakBefore w:val="0"/>
        <w:widowControl w:val="0"/>
        <w:numPr>
          <w:ilvl w:val="0"/>
          <w:numId w:val="0"/>
        </w:numPr>
        <w:shd w:val="clear"/>
        <w:kinsoku/>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自签订合同之日起至</w:t>
      </w:r>
      <w:r>
        <w:rPr>
          <w:rFonts w:hint="eastAsia" w:ascii="仿宋_GB2312" w:hAnsi="仿宋_GB2312" w:cs="仿宋_GB2312"/>
          <w:sz w:val="32"/>
          <w:szCs w:val="32"/>
          <w:highlight w:val="none"/>
          <w:lang w:val="en-US" w:eastAsia="zh-CN"/>
        </w:rPr>
        <w:t>收购物业办理完毕产权证书之日止。</w:t>
      </w:r>
    </w:p>
    <w:p w14:paraId="3F4AAEA3">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leftChars="0"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eastAsia="zh-CN"/>
        </w:rPr>
        <w:t>四、</w:t>
      </w:r>
      <w:r>
        <w:rPr>
          <w:rFonts w:hint="eastAsia" w:ascii="黑体" w:hAnsi="黑体" w:eastAsia="黑体" w:cs="黑体"/>
          <w:b w:val="0"/>
          <w:bCs w:val="0"/>
          <w:sz w:val="32"/>
          <w:szCs w:val="32"/>
          <w:highlight w:val="none"/>
        </w:rPr>
        <w:t>报价单位资格要求</w:t>
      </w:r>
    </w:p>
    <w:p w14:paraId="38153EF4">
      <w:pPr>
        <w:keepNext w:val="0"/>
        <w:keepLines w:val="0"/>
        <w:pageBreakBefore w:val="0"/>
        <w:widowControl w:val="0"/>
        <w:numPr>
          <w:ilvl w:val="0"/>
          <w:numId w:val="0"/>
        </w:numPr>
        <w:shd w:val="clear"/>
        <w:kinsoku/>
        <w:overflowPunct/>
        <w:topLinePunct w:val="0"/>
        <w:autoSpaceDE/>
        <w:autoSpaceDN/>
        <w:bidi w:val="0"/>
        <w:adjustRightInd/>
        <w:snapToGrid/>
        <w:spacing w:line="560" w:lineRule="exact"/>
        <w:ind w:firstLine="640" w:firstLineChars="200"/>
        <w:textAlignment w:val="auto"/>
        <w:outlineLvl w:val="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具备律所执业许可证或律所分所执业许可证。</w:t>
      </w:r>
    </w:p>
    <w:p w14:paraId="0FACFB92">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参与本项目投标前三年内，在经营活动中没有重大违法记录；响应单位未被列入失信被执行人、重大税收违法案件当事人名单、企业经营异常名录、联合惩戒清单或严重违法失信企业名单。注：“信用中国”“中国政府采购网”以及“深圳市政府采购监管网”为信用信息的查询渠道，相关信息以报价前上述任一网站查询结果为准。</w:t>
      </w:r>
    </w:p>
    <w:p w14:paraId="7DAB8927">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参与本项目投标活动时，与其他响应单位不存在单位负责人为同一人或者存在直接控股、管理关系。</w:t>
      </w:r>
    </w:p>
    <w:p w14:paraId="79776FB0">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leftChars="0" w:firstLine="640" w:firstLineChars="20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五、报价要求</w:t>
      </w:r>
    </w:p>
    <w:p w14:paraId="684312C5">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报价单位</w:t>
      </w:r>
      <w:r>
        <w:rPr>
          <w:rFonts w:hint="eastAsia" w:ascii="仿宋_GB2312" w:hAnsi="仿宋_GB2312" w:eastAsia="仿宋_GB2312" w:cs="仿宋_GB2312"/>
          <w:sz w:val="32"/>
          <w:szCs w:val="32"/>
          <w:highlight w:val="none"/>
          <w:lang w:eastAsia="zh-CN"/>
        </w:rPr>
        <w:t>按一次性</w:t>
      </w:r>
      <w:r>
        <w:rPr>
          <w:rFonts w:hint="eastAsia" w:ascii="仿宋_GB2312" w:hAnsi="仿宋_GB2312" w:eastAsia="仿宋_GB2312" w:cs="仿宋_GB2312"/>
          <w:sz w:val="32"/>
          <w:szCs w:val="32"/>
          <w:highlight w:val="none"/>
          <w:lang w:val="en-US" w:eastAsia="zh-CN"/>
        </w:rPr>
        <w:t>固定含税总价的方式报价，且所报价格须为履行合同所有服务内容所发生的一切费用，包括但不限于人工、差旅、利润、税金及市场风险等。</w:t>
      </w:r>
    </w:p>
    <w:p w14:paraId="6FDE7BE1">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leftChars="0" w:firstLine="640" w:firstLineChars="20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六、需提交的报价材料</w:t>
      </w:r>
      <w:r>
        <w:rPr>
          <w:rFonts w:hint="eastAsia" w:ascii="黑体" w:hAnsi="黑体" w:eastAsia="黑体" w:cs="黑体"/>
          <w:b w:val="0"/>
          <w:bCs w:val="0"/>
          <w:sz w:val="32"/>
          <w:szCs w:val="32"/>
          <w:highlight w:val="none"/>
          <w:lang w:val="en-US" w:eastAsia="zh-CN"/>
        </w:rPr>
        <w:tab/>
      </w:r>
    </w:p>
    <w:p w14:paraId="0F6EFE32">
      <w:pPr>
        <w:keepNext w:val="0"/>
        <w:keepLines w:val="0"/>
        <w:pageBreakBefore w:val="0"/>
        <w:widowControl w:val="0"/>
        <w:shd w:val="clear"/>
        <w:tabs>
          <w:tab w:val="center" w:pos="4153"/>
        </w:tabs>
        <w:kinsoku/>
        <w:wordWrap/>
        <w:overflowPunct/>
        <w:topLinePunct w:val="0"/>
        <w:autoSpaceDE/>
        <w:autoSpaceDN/>
        <w:bidi w:val="0"/>
        <w:adjustRightInd/>
        <w:snapToGrid/>
        <w:spacing w:line="560" w:lineRule="exact"/>
        <w:ind w:firstLine="640" w:firstLineChars="200"/>
        <w:textAlignment w:val="auto"/>
        <w:rPr>
          <w:rFonts w:hint="default" w:eastAsia="仿宋_GB2312"/>
          <w:highlight w:val="none"/>
          <w:lang w:val="en-US"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按照报价要求提交询价回执（详见附件1）；</w:t>
      </w:r>
    </w:p>
    <w:p w14:paraId="7C9BE959">
      <w:pPr>
        <w:keepNext w:val="0"/>
        <w:keepLines w:val="0"/>
        <w:pageBreakBefore w:val="0"/>
        <w:widowControl w:val="0"/>
        <w:shd w:val="clear"/>
        <w:tabs>
          <w:tab w:val="center" w:pos="4153"/>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2.保密承诺函（详见附件2）</w:t>
      </w:r>
    </w:p>
    <w:p w14:paraId="69306B97">
      <w:pPr>
        <w:keepNext w:val="0"/>
        <w:keepLines w:val="0"/>
        <w:pageBreakBefore w:val="0"/>
        <w:widowControl w:val="0"/>
        <w:shd w:val="clear"/>
        <w:tabs>
          <w:tab w:val="center" w:pos="4153"/>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报价资格证明材料</w:t>
      </w:r>
      <w:r>
        <w:rPr>
          <w:rFonts w:hint="eastAsia" w:ascii="仿宋_GB2312" w:hAnsi="仿宋_GB2312" w:eastAsia="仿宋_GB2312" w:cs="仿宋_GB2312"/>
          <w:sz w:val="32"/>
          <w:szCs w:val="32"/>
          <w:highlight w:val="none"/>
          <w:lang w:eastAsia="zh-CN"/>
        </w:rPr>
        <w:t>。</w:t>
      </w:r>
    </w:p>
    <w:p w14:paraId="4FB13DD7">
      <w:pPr>
        <w:keepNext w:val="0"/>
        <w:keepLines w:val="0"/>
        <w:pageBreakBefore w:val="0"/>
        <w:widowControl w:val="0"/>
        <w:shd w:val="clear"/>
        <w:tabs>
          <w:tab w:val="center" w:pos="4153"/>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特别说明：上述材料均须加盖公章</w:t>
      </w:r>
      <w:r>
        <w:rPr>
          <w:rFonts w:hint="eastAsia" w:ascii="仿宋_GB2312" w:hAnsi="仿宋_GB2312" w:eastAsia="仿宋_GB2312" w:cs="仿宋_GB2312"/>
          <w:sz w:val="32"/>
          <w:szCs w:val="32"/>
          <w:highlight w:val="none"/>
          <w:lang w:eastAsia="zh-CN"/>
        </w:rPr>
        <w:t>。</w:t>
      </w:r>
    </w:p>
    <w:p w14:paraId="6299738C">
      <w:pPr>
        <w:keepNext w:val="0"/>
        <w:keepLines w:val="0"/>
        <w:pageBreakBefore w:val="0"/>
        <w:widowControl w:val="0"/>
        <w:shd w:val="clear"/>
        <w:tabs>
          <w:tab w:val="center" w:pos="4153"/>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 xml:space="preserve">  </w:t>
      </w:r>
      <w:r>
        <w:rPr>
          <w:rFonts w:hint="eastAsia" w:ascii="黑体" w:hAnsi="黑体" w:eastAsia="黑体" w:cs="黑体"/>
          <w:b w:val="0"/>
          <w:bCs w:val="0"/>
          <w:sz w:val="32"/>
          <w:szCs w:val="32"/>
          <w:highlight w:val="none"/>
          <w:lang w:val="en-US" w:eastAsia="zh-CN"/>
        </w:rPr>
        <w:t xml:space="preserve">  七、询价有关要求</w:t>
      </w:r>
    </w:p>
    <w:p w14:paraId="69B6BADE">
      <w:pPr>
        <w:keepNext w:val="0"/>
        <w:keepLines w:val="0"/>
        <w:pageBreakBefore w:val="0"/>
        <w:widowControl w:val="0"/>
        <w:shd w:val="clear"/>
        <w:tabs>
          <w:tab w:val="center" w:pos="4153"/>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（一）询价材料接收人：苏工；联系电话：0755</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28988220。</w:t>
      </w:r>
    </w:p>
    <w:p w14:paraId="00C848B9">
      <w:pPr>
        <w:keepNext w:val="0"/>
        <w:keepLines w:val="0"/>
        <w:pageBreakBefore w:val="0"/>
        <w:widowControl w:val="0"/>
        <w:shd w:val="clear"/>
        <w:tabs>
          <w:tab w:val="center" w:pos="4153"/>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（二）询价材料递交截止时间：202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17</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个工作日）1</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:00前。</w:t>
      </w:r>
    </w:p>
    <w:p w14:paraId="3AA09EAB">
      <w:pPr>
        <w:keepNext w:val="0"/>
        <w:keepLines w:val="0"/>
        <w:pageBreakBefore w:val="0"/>
        <w:widowControl w:val="0"/>
        <w:shd w:val="clear"/>
        <w:tabs>
          <w:tab w:val="center" w:pos="4153"/>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（三）询价材料提交方式：</w:t>
      </w:r>
      <w:r>
        <w:rPr>
          <w:rFonts w:hint="eastAsia" w:ascii="仿宋_GB2312" w:hAnsi="仿宋_GB2312" w:eastAsia="仿宋_GB2312" w:cs="仿宋_GB2312"/>
          <w:sz w:val="32"/>
          <w:szCs w:val="32"/>
          <w:highlight w:val="none"/>
          <w:lang w:eastAsia="zh-CN"/>
        </w:rPr>
        <w:t>询价材料命名为“某项目资产收并购专项法律服务报价材料</w:t>
      </w:r>
      <w:r>
        <w:rPr>
          <w:rFonts w:hint="eastAsia" w:ascii="仿宋_GB2312" w:hAnsi="仿宋_GB2312" w:eastAsia="仿宋_GB2312" w:cs="仿宋_GB2312"/>
          <w:sz w:val="32"/>
          <w:szCs w:val="32"/>
          <w:highlight w:val="none"/>
          <w:lang w:val="en-US" w:eastAsia="zh-CN"/>
        </w:rPr>
        <w:t>+接收人苏工”，</w:t>
      </w:r>
      <w:r>
        <w:rPr>
          <w:rFonts w:hint="eastAsia" w:ascii="仿宋_GB2312" w:hAnsi="仿宋_GB2312" w:eastAsia="仿宋_GB2312" w:cs="仿宋_GB2312"/>
          <w:sz w:val="32"/>
          <w:szCs w:val="32"/>
          <w:highlight w:val="none"/>
        </w:rPr>
        <w:t>将文件盖章扫描发送至邮箱ctzdgs</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lg.gov.cn。</w:t>
      </w:r>
    </w:p>
    <w:p w14:paraId="22476F4A">
      <w:pPr>
        <w:keepNext w:val="0"/>
        <w:keepLines w:val="0"/>
        <w:pageBreakBefore w:val="0"/>
        <w:widowControl w:val="0"/>
        <w:shd w:val="clear"/>
        <w:tabs>
          <w:tab w:val="center" w:pos="4153"/>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八、其他说明</w:t>
      </w:r>
    </w:p>
    <w:p w14:paraId="5EB19D54">
      <w:pPr>
        <w:keepNext w:val="0"/>
        <w:keepLines w:val="0"/>
        <w:pageBreakBefore w:val="0"/>
        <w:widowControl w:val="0"/>
        <w:shd w:val="clear"/>
        <w:tabs>
          <w:tab w:val="center" w:pos="4153"/>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（一）如某一报价单位报价与所有报价单位报价中值偏离超过20%（含）时，询价人有权质询该报价单位，报价单位无正当理由或无明确回复的，询价人可以将该报价单位报价剔除；</w:t>
      </w:r>
    </w:p>
    <w:p w14:paraId="6E273962">
      <w:pPr>
        <w:keepNext w:val="0"/>
        <w:keepLines w:val="0"/>
        <w:pageBreakBefore w:val="0"/>
        <w:widowControl w:val="0"/>
        <w:shd w:val="clear"/>
        <w:tabs>
          <w:tab w:val="center" w:pos="4153"/>
        </w:tabs>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（二）如本次询价截止时间内合格报价少于3家，询价人将重新组织询价，已提交的报价材料作废；</w:t>
      </w:r>
    </w:p>
    <w:p w14:paraId="50B2D51F">
      <w:pPr>
        <w:keepNext w:val="0"/>
        <w:keepLines w:val="0"/>
        <w:pageBreakBefore w:val="0"/>
        <w:widowControl w:val="0"/>
        <w:shd w:val="clear"/>
        <w:tabs>
          <w:tab w:val="center" w:pos="4153"/>
        </w:tabs>
        <w:kinsoku/>
        <w:wordWrap/>
        <w:overflowPunct/>
        <w:topLinePunct w:val="0"/>
        <w:autoSpaceDE/>
        <w:autoSpaceDN/>
        <w:bidi w:val="0"/>
        <w:adjustRightInd/>
        <w:snapToGrid/>
        <w:spacing w:line="560" w:lineRule="exact"/>
        <w:ind w:firstLine="56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（三）本次询价结果仅供询价人作为编制项目预算控制价和采购方案的参考，不作为任何要约或要约邀请和中标承诺。</w:t>
      </w:r>
    </w:p>
    <w:p w14:paraId="0BB00D02">
      <w:pPr>
        <w:keepNext w:val="0"/>
        <w:keepLines w:val="0"/>
        <w:pageBreakBefore w:val="0"/>
        <w:widowControl w:val="0"/>
        <w:shd w:val="clear"/>
        <w:tabs>
          <w:tab w:val="center" w:pos="4153"/>
        </w:tabs>
        <w:kinsoku/>
        <w:wordWrap/>
        <w:overflowPunct/>
        <w:topLinePunct w:val="0"/>
        <w:autoSpaceDE/>
        <w:autoSpaceDN/>
        <w:bidi w:val="0"/>
        <w:adjustRightInd/>
        <w:snapToGrid/>
        <w:spacing w:line="560" w:lineRule="exact"/>
        <w:ind w:firstLine="560"/>
        <w:textAlignment w:val="auto"/>
        <w:rPr>
          <w:rFonts w:hint="eastAsia" w:ascii="仿宋_GB2312" w:hAnsi="仿宋_GB2312" w:eastAsia="仿宋_GB2312" w:cs="仿宋_GB2312"/>
          <w:sz w:val="32"/>
          <w:szCs w:val="32"/>
          <w:highlight w:val="none"/>
        </w:rPr>
      </w:pPr>
    </w:p>
    <w:p w14:paraId="43EF4231">
      <w:pPr>
        <w:keepNext w:val="0"/>
        <w:keepLines w:val="0"/>
        <w:pageBreakBefore w:val="0"/>
        <w:widowControl w:val="0"/>
        <w:shd w:val="clear"/>
        <w:tabs>
          <w:tab w:val="center" w:pos="4153"/>
        </w:tabs>
        <w:kinsoku/>
        <w:wordWrap/>
        <w:overflowPunct/>
        <w:topLinePunct w:val="0"/>
        <w:autoSpaceDE/>
        <w:autoSpaceDN/>
        <w:bidi w:val="0"/>
        <w:adjustRightInd/>
        <w:snapToGrid/>
        <w:spacing w:line="560" w:lineRule="exact"/>
        <w:ind w:firstLine="56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附件：</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询价回执</w:t>
      </w:r>
    </w:p>
    <w:p w14:paraId="347710F1">
      <w:pPr>
        <w:keepNext w:val="0"/>
        <w:keepLines w:val="0"/>
        <w:pageBreakBefore w:val="0"/>
        <w:widowControl w:val="0"/>
        <w:shd w:val="clear"/>
        <w:tabs>
          <w:tab w:val="center" w:pos="4153"/>
        </w:tabs>
        <w:kinsoku/>
        <w:wordWrap/>
        <w:overflowPunct/>
        <w:topLinePunct w:val="0"/>
        <w:autoSpaceDE/>
        <w:autoSpaceDN/>
        <w:bidi w:val="0"/>
        <w:adjustRightInd/>
        <w:snapToGrid/>
        <w:spacing w:line="560" w:lineRule="exact"/>
        <w:ind w:firstLine="56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2.保密承诺函</w:t>
      </w:r>
    </w:p>
    <w:p w14:paraId="5E9F25DA">
      <w:pPr>
        <w:pStyle w:val="2"/>
        <w:keepNext w:val="0"/>
        <w:keepLines w:val="0"/>
        <w:pageBreakBefore w:val="0"/>
        <w:widowControl w:val="0"/>
        <w:shd w:val="clear"/>
        <w:kinsoku/>
        <w:overflowPunct/>
        <w:topLinePunct w:val="0"/>
        <w:autoSpaceDE/>
        <w:autoSpaceDN/>
        <w:bidi w:val="0"/>
        <w:adjustRightInd/>
        <w:snapToGrid/>
        <w:spacing w:line="560" w:lineRule="exact"/>
        <w:textAlignment w:val="auto"/>
        <w:rPr>
          <w:rFonts w:hint="eastAsia"/>
          <w:highlight w:val="none"/>
        </w:rPr>
      </w:pPr>
    </w:p>
    <w:p w14:paraId="6CB468F3">
      <w:pPr>
        <w:keepNext w:val="0"/>
        <w:keepLines w:val="0"/>
        <w:pageBreakBefore w:val="0"/>
        <w:widowControl w:val="0"/>
        <w:shd w:val="clear"/>
        <w:tabs>
          <w:tab w:val="center" w:pos="4153"/>
        </w:tabs>
        <w:kinsoku/>
        <w:wordWrap/>
        <w:overflowPunct/>
        <w:topLinePunct w:val="0"/>
        <w:autoSpaceDE/>
        <w:autoSpaceDN/>
        <w:bidi w:val="0"/>
        <w:adjustRightInd/>
        <w:snapToGrid/>
        <w:spacing w:line="560" w:lineRule="exact"/>
        <w:ind w:firstLine="560"/>
        <w:textAlignment w:val="auto"/>
        <w:rPr>
          <w:rFonts w:hint="eastAsia" w:ascii="仿宋_GB2312" w:hAnsi="仿宋_GB2312" w:eastAsia="仿宋_GB2312" w:cs="仿宋_GB2312"/>
          <w:sz w:val="32"/>
          <w:szCs w:val="32"/>
          <w:highlight w:val="none"/>
        </w:rPr>
      </w:pPr>
    </w:p>
    <w:p w14:paraId="5E98416E">
      <w:pPr>
        <w:keepNext w:val="0"/>
        <w:keepLines w:val="0"/>
        <w:pageBreakBefore w:val="0"/>
        <w:widowControl w:val="0"/>
        <w:shd w:val="clear"/>
        <w:tabs>
          <w:tab w:val="center" w:pos="4153"/>
        </w:tabs>
        <w:kinsoku/>
        <w:wordWrap/>
        <w:overflowPunct/>
        <w:topLinePunct w:val="0"/>
        <w:autoSpaceDE/>
        <w:autoSpaceDN/>
        <w:bidi w:val="0"/>
        <w:adjustRightInd/>
        <w:snapToGrid/>
        <w:spacing w:line="560" w:lineRule="exact"/>
        <w:ind w:firstLine="560"/>
        <w:jc w:val="righ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深圳市</w:t>
      </w:r>
      <w:r>
        <w:rPr>
          <w:rFonts w:hint="eastAsia" w:ascii="仿宋_GB2312" w:hAnsi="仿宋_GB2312" w:eastAsia="仿宋_GB2312" w:cs="仿宋_GB2312"/>
          <w:sz w:val="32"/>
          <w:szCs w:val="32"/>
          <w:highlight w:val="none"/>
          <w:lang w:eastAsia="zh-CN"/>
        </w:rPr>
        <w:t>龙岗区城投置地开发</w:t>
      </w:r>
      <w:r>
        <w:rPr>
          <w:rFonts w:hint="eastAsia" w:ascii="仿宋_GB2312" w:hAnsi="仿宋_GB2312" w:eastAsia="仿宋_GB2312" w:cs="仿宋_GB2312"/>
          <w:sz w:val="32"/>
          <w:szCs w:val="32"/>
          <w:highlight w:val="none"/>
        </w:rPr>
        <w:t>有限公司</w:t>
      </w:r>
    </w:p>
    <w:p w14:paraId="0E6F17FC">
      <w:pPr>
        <w:keepNext w:val="0"/>
        <w:keepLines w:val="0"/>
        <w:pageBreakBefore w:val="0"/>
        <w:widowControl w:val="0"/>
        <w:shd w:val="clear"/>
        <w:tabs>
          <w:tab w:val="center" w:pos="4153"/>
        </w:tabs>
        <w:kinsoku/>
        <w:wordWrap/>
        <w:overflowPunct/>
        <w:topLinePunct w:val="0"/>
        <w:autoSpaceDE/>
        <w:autoSpaceDN/>
        <w:bidi w:val="0"/>
        <w:adjustRightInd/>
        <w:snapToGrid/>
        <w:spacing w:line="560" w:lineRule="exact"/>
        <w:ind w:firstLine="560"/>
        <w:jc w:val="righ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14</w:t>
      </w:r>
      <w:bookmarkStart w:id="0" w:name="_GoBack"/>
      <w:bookmarkEnd w:id="0"/>
      <w:r>
        <w:rPr>
          <w:rFonts w:hint="eastAsia" w:ascii="仿宋_GB2312" w:hAnsi="仿宋_GB2312" w:eastAsia="仿宋_GB2312" w:cs="仿宋_GB2312"/>
          <w:sz w:val="32"/>
          <w:szCs w:val="32"/>
          <w:highlight w:val="none"/>
        </w:rPr>
        <w:t>日</w:t>
      </w:r>
    </w:p>
    <w:p w14:paraId="7734085E">
      <w:pPr>
        <w:keepNext w:val="0"/>
        <w:keepLines w:val="0"/>
        <w:pageBreakBefore w:val="0"/>
        <w:widowControl w:val="0"/>
        <w:shd w:val="clear"/>
        <w:kinsoku/>
        <w:wordWrap/>
        <w:overflowPunct/>
        <w:topLinePunct w:val="0"/>
        <w:autoSpaceDE/>
        <w:autoSpaceDN/>
        <w:bidi w:val="0"/>
        <w:adjustRightInd/>
        <w:snapToGrid/>
        <w:spacing w:line="560" w:lineRule="exact"/>
        <w:jc w:val="both"/>
        <w:textAlignment w:val="auto"/>
        <w:rPr>
          <w:rFonts w:hint="default"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rPr>
        <w:br w:type="page"/>
      </w:r>
      <w:r>
        <w:rPr>
          <w:rFonts w:hint="eastAsia" w:ascii="方正仿宋_GB2312" w:hAnsi="方正仿宋_GB2312" w:eastAsia="方正仿宋_GB2312" w:cs="方正仿宋_GB2312"/>
          <w:sz w:val="28"/>
          <w:szCs w:val="28"/>
          <w:highlight w:val="none"/>
          <w:lang w:eastAsia="zh-CN"/>
        </w:rPr>
        <w:t>附件</w:t>
      </w:r>
      <w:r>
        <w:rPr>
          <w:rFonts w:hint="eastAsia" w:ascii="方正仿宋_GB2312" w:hAnsi="方正仿宋_GB2312" w:eastAsia="方正仿宋_GB2312" w:cs="方正仿宋_GB2312"/>
          <w:sz w:val="28"/>
          <w:szCs w:val="28"/>
          <w:highlight w:val="none"/>
          <w:lang w:val="en-US" w:eastAsia="zh-CN"/>
        </w:rPr>
        <w:t>1：</w:t>
      </w:r>
    </w:p>
    <w:p w14:paraId="3F1A9725">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eastAsia" w:ascii="黑体" w:hAnsi="黑体" w:eastAsia="仿宋_GB2312" w:cs="黑体"/>
          <w:color w:val="000000"/>
          <w:sz w:val="32"/>
          <w:szCs w:val="32"/>
          <w:highlight w:val="none"/>
          <w:lang w:eastAsia="zh-CN"/>
        </w:rPr>
      </w:pPr>
      <w:r>
        <w:rPr>
          <w:rFonts w:hint="eastAsia" w:ascii="仿宋_GB2312" w:hAnsi="仿宋_GB2312" w:eastAsia="仿宋_GB2312" w:cs="仿宋_GB2312"/>
          <w:sz w:val="44"/>
          <w:szCs w:val="44"/>
          <w:highlight w:val="none"/>
        </w:rPr>
        <w:t>关于</w:t>
      </w:r>
      <w:r>
        <w:rPr>
          <w:rFonts w:hint="eastAsia" w:ascii="仿宋_GB2312" w:hAnsi="仿宋_GB2312" w:eastAsia="仿宋_GB2312" w:cs="仿宋_GB2312"/>
          <w:sz w:val="44"/>
          <w:szCs w:val="44"/>
          <w:highlight w:val="none"/>
          <w:lang w:eastAsia="zh-CN"/>
        </w:rPr>
        <w:t>某项目资产收并购专项法律</w:t>
      </w:r>
      <w:r>
        <w:rPr>
          <w:rFonts w:hint="eastAsia" w:ascii="仿宋_GB2312" w:hAnsi="仿宋_GB2312" w:eastAsia="仿宋_GB2312" w:cs="仿宋_GB2312"/>
          <w:sz w:val="44"/>
          <w:szCs w:val="44"/>
          <w:highlight w:val="none"/>
          <w:lang w:val="en-US" w:eastAsia="zh-CN"/>
        </w:rPr>
        <w:t>服务的</w:t>
      </w:r>
      <w:r>
        <w:rPr>
          <w:rFonts w:hint="eastAsia" w:ascii="仿宋_GB2312" w:hAnsi="仿宋_GB2312" w:eastAsia="仿宋_GB2312" w:cs="仿宋_GB2312"/>
          <w:sz w:val="44"/>
          <w:szCs w:val="44"/>
          <w:highlight w:val="none"/>
        </w:rPr>
        <w:t>询价</w:t>
      </w:r>
      <w:r>
        <w:rPr>
          <w:rFonts w:hint="eastAsia" w:ascii="仿宋_GB2312" w:hAnsi="仿宋_GB2312" w:eastAsia="仿宋_GB2312" w:cs="仿宋_GB2312"/>
          <w:sz w:val="44"/>
          <w:szCs w:val="44"/>
          <w:highlight w:val="none"/>
          <w:lang w:eastAsia="zh-CN"/>
        </w:rPr>
        <w:t>回执</w:t>
      </w:r>
    </w:p>
    <w:p w14:paraId="1DE870F8">
      <w:pPr>
        <w:keepNext w:val="0"/>
        <w:keepLines w:val="0"/>
        <w:pageBreakBefore w:val="0"/>
        <w:widowControl w:val="0"/>
        <w:shd w:val="clear"/>
        <w:kinsoku/>
        <w:overflowPunct/>
        <w:topLinePunct w:val="0"/>
        <w:autoSpaceDE/>
        <w:autoSpaceDN/>
        <w:bidi w:val="0"/>
        <w:adjustRightInd/>
        <w:snapToGrid/>
        <w:spacing w:line="560" w:lineRule="exact"/>
        <w:textAlignment w:val="auto"/>
        <w:rPr>
          <w:rFonts w:hint="eastAsia" w:ascii="宋体" w:hAnsi="宋体"/>
          <w:sz w:val="24"/>
          <w:highlight w:val="none"/>
        </w:rPr>
      </w:pPr>
    </w:p>
    <w:p w14:paraId="25171A26">
      <w:pPr>
        <w:keepNext w:val="0"/>
        <w:keepLines w:val="0"/>
        <w:pageBreakBefore w:val="0"/>
        <w:widowControl w:val="0"/>
        <w:shd w:val="clear"/>
        <w:kinsoku/>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b/>
          <w:bCs/>
          <w:sz w:val="28"/>
          <w:szCs w:val="28"/>
          <w:highlight w:val="none"/>
          <w:lang w:eastAsia="zh-CN"/>
        </w:rPr>
      </w:pPr>
      <w:r>
        <w:rPr>
          <w:rFonts w:hint="eastAsia" w:ascii="方正仿宋_GB2312" w:hAnsi="方正仿宋_GB2312" w:eastAsia="方正仿宋_GB2312" w:cs="方正仿宋_GB2312"/>
          <w:b/>
          <w:bCs/>
          <w:sz w:val="28"/>
          <w:szCs w:val="28"/>
          <w:highlight w:val="none"/>
          <w:lang w:eastAsia="zh-CN"/>
        </w:rPr>
        <w:t>一、报价单位信息</w:t>
      </w:r>
    </w:p>
    <w:p w14:paraId="3D5FBB3B">
      <w:pPr>
        <w:keepNext w:val="0"/>
        <w:keepLines w:val="0"/>
        <w:pageBreakBefore w:val="0"/>
        <w:widowControl w:val="0"/>
        <w:shd w:val="clear"/>
        <w:kinsoku/>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28"/>
          <w:szCs w:val="28"/>
          <w:highlight w:val="none"/>
          <w:u w:val="single"/>
        </w:rPr>
      </w:pPr>
      <w:r>
        <w:rPr>
          <w:rFonts w:hint="eastAsia" w:ascii="方正仿宋_GB2312" w:hAnsi="方正仿宋_GB2312" w:eastAsia="方正仿宋_GB2312" w:cs="方正仿宋_GB2312"/>
          <w:sz w:val="28"/>
          <w:szCs w:val="28"/>
          <w:highlight w:val="none"/>
          <w:lang w:eastAsia="zh-CN"/>
        </w:rPr>
        <w:t>报价</w:t>
      </w:r>
      <w:r>
        <w:rPr>
          <w:rFonts w:hint="eastAsia" w:ascii="方正仿宋_GB2312" w:hAnsi="方正仿宋_GB2312" w:eastAsia="方正仿宋_GB2312" w:cs="方正仿宋_GB2312"/>
          <w:sz w:val="28"/>
          <w:szCs w:val="28"/>
          <w:highlight w:val="none"/>
        </w:rPr>
        <w:t>单位名称：</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u w:val="single"/>
        </w:rPr>
        <w:t xml:space="preserve">      </w:t>
      </w:r>
    </w:p>
    <w:p w14:paraId="2614D891">
      <w:pPr>
        <w:keepNext w:val="0"/>
        <w:keepLines w:val="0"/>
        <w:pageBreakBefore w:val="0"/>
        <w:widowControl w:val="0"/>
        <w:shd w:val="clear"/>
        <w:kinsoku/>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注册地址：</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u w:val="single"/>
        </w:rPr>
        <w:t xml:space="preserve">    </w:t>
      </w:r>
    </w:p>
    <w:p w14:paraId="76C7CE22">
      <w:pPr>
        <w:keepNext w:val="0"/>
        <w:keepLines w:val="0"/>
        <w:pageBreakBefore w:val="0"/>
        <w:widowControl w:val="0"/>
        <w:shd w:val="clear"/>
        <w:kinsoku/>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28"/>
          <w:szCs w:val="28"/>
          <w:highlight w:val="none"/>
          <w:u w:val="single"/>
        </w:rPr>
      </w:pPr>
      <w:r>
        <w:rPr>
          <w:rFonts w:hint="eastAsia" w:ascii="方正仿宋_GB2312" w:hAnsi="方正仿宋_GB2312" w:eastAsia="方正仿宋_GB2312" w:cs="方正仿宋_GB2312"/>
          <w:sz w:val="28"/>
          <w:szCs w:val="28"/>
          <w:highlight w:val="none"/>
        </w:rPr>
        <w:t>联系人：</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u w:val="single"/>
        </w:rPr>
        <w:t xml:space="preserve">  </w:t>
      </w:r>
    </w:p>
    <w:p w14:paraId="09F059C3">
      <w:pPr>
        <w:keepNext w:val="0"/>
        <w:keepLines w:val="0"/>
        <w:pageBreakBefore w:val="0"/>
        <w:widowControl w:val="0"/>
        <w:shd w:val="clear"/>
        <w:kinsoku/>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28"/>
          <w:szCs w:val="28"/>
          <w:highlight w:val="none"/>
          <w:u w:val="single"/>
        </w:rPr>
      </w:pPr>
      <w:r>
        <w:rPr>
          <w:rFonts w:hint="eastAsia" w:ascii="方正仿宋_GB2312" w:hAnsi="方正仿宋_GB2312" w:eastAsia="方正仿宋_GB2312" w:cs="方正仿宋_GB2312"/>
          <w:sz w:val="28"/>
          <w:szCs w:val="28"/>
          <w:highlight w:val="none"/>
        </w:rPr>
        <w:t>联系电话及电子邮箱：</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p>
    <w:p w14:paraId="7DFF1992">
      <w:pPr>
        <w:keepNext w:val="0"/>
        <w:keepLines w:val="0"/>
        <w:pageBreakBefore w:val="0"/>
        <w:widowControl w:val="0"/>
        <w:shd w:val="clear"/>
        <w:kinsoku/>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28"/>
          <w:szCs w:val="28"/>
          <w:highlight w:val="none"/>
          <w:u w:val="single"/>
          <w:lang w:val="en-US" w:eastAsia="zh-CN"/>
        </w:rPr>
      </w:pPr>
      <w:r>
        <w:rPr>
          <w:rFonts w:hint="eastAsia" w:ascii="方正仿宋_GB2312" w:hAnsi="方正仿宋_GB2312" w:eastAsia="方正仿宋_GB2312" w:cs="方正仿宋_GB2312"/>
          <w:sz w:val="28"/>
          <w:szCs w:val="28"/>
          <w:highlight w:val="none"/>
        </w:rPr>
        <w:t>是否</w:t>
      </w:r>
      <w:r>
        <w:rPr>
          <w:rFonts w:hint="eastAsia" w:ascii="方正仿宋_GB2312" w:hAnsi="方正仿宋_GB2312" w:eastAsia="方正仿宋_GB2312" w:cs="方正仿宋_GB2312"/>
          <w:sz w:val="28"/>
          <w:szCs w:val="28"/>
          <w:highlight w:val="none"/>
          <w:lang w:val="en-US" w:eastAsia="zh-CN"/>
        </w:rPr>
        <w:t>意愿</w:t>
      </w:r>
      <w:r>
        <w:rPr>
          <w:rFonts w:hint="eastAsia" w:ascii="方正仿宋_GB2312" w:hAnsi="方正仿宋_GB2312" w:eastAsia="方正仿宋_GB2312" w:cs="方正仿宋_GB2312"/>
          <w:sz w:val="28"/>
          <w:szCs w:val="28"/>
          <w:highlight w:val="none"/>
        </w:rPr>
        <w:t>参与后期招标</w:t>
      </w:r>
      <w:r>
        <w:rPr>
          <w:rFonts w:hint="eastAsia" w:ascii="方正仿宋_GB2312" w:hAnsi="方正仿宋_GB2312" w:eastAsia="方正仿宋_GB2312" w:cs="方正仿宋_GB2312"/>
          <w:sz w:val="28"/>
          <w:szCs w:val="28"/>
          <w:highlight w:val="none"/>
          <w:lang w:val="en-US" w:eastAsia="zh-CN"/>
        </w:rPr>
        <w:t>委托</w:t>
      </w:r>
      <w:r>
        <w:rPr>
          <w:rFonts w:hint="eastAsia" w:ascii="方正仿宋_GB2312" w:hAnsi="方正仿宋_GB2312" w:eastAsia="方正仿宋_GB2312" w:cs="方正仿宋_GB2312"/>
          <w:sz w:val="28"/>
          <w:szCs w:val="28"/>
          <w:highlight w:val="none"/>
        </w:rPr>
        <w:t>工作：</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p>
    <w:p w14:paraId="6B8C075E">
      <w:pPr>
        <w:pStyle w:val="4"/>
        <w:keepNext w:val="0"/>
        <w:keepLines w:val="0"/>
        <w:pageBreakBefore w:val="0"/>
        <w:widowControl w:val="0"/>
        <w:shd w:val="clear"/>
        <w:kinsoku/>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b/>
          <w:bCs/>
          <w:color w:val="000000"/>
          <w:kern w:val="2"/>
          <w:sz w:val="28"/>
          <w:szCs w:val="28"/>
          <w:highlight w:val="none"/>
          <w:lang w:val="en-US" w:eastAsia="zh-CN" w:bidi="ar-SA"/>
        </w:rPr>
      </w:pPr>
      <w:r>
        <w:rPr>
          <w:rFonts w:hint="eastAsia" w:ascii="方正仿宋_GB2312" w:hAnsi="方正仿宋_GB2312" w:eastAsia="方正仿宋_GB2312" w:cs="方正仿宋_GB2312"/>
          <w:b/>
          <w:bCs/>
          <w:kern w:val="2"/>
          <w:sz w:val="28"/>
          <w:szCs w:val="28"/>
          <w:highlight w:val="none"/>
          <w:lang w:val="en-US" w:eastAsia="zh-CN" w:bidi="ar-SA"/>
        </w:rPr>
        <w:t>二、报价内容</w:t>
      </w:r>
    </w:p>
    <w:p w14:paraId="6559EA62">
      <w:pPr>
        <w:keepNext w:val="0"/>
        <w:keepLines w:val="0"/>
        <w:pageBreakBefore w:val="0"/>
        <w:widowControl w:val="0"/>
        <w:shd w:val="clear"/>
        <w:kinsoku/>
        <w:overflowPunct/>
        <w:topLinePunct w:val="0"/>
        <w:autoSpaceDE/>
        <w:autoSpaceDN/>
        <w:bidi w:val="0"/>
        <w:adjustRightInd/>
        <w:snapToGrid/>
        <w:spacing w:line="560" w:lineRule="exact"/>
        <w:ind w:firstLine="560"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针对某项目资产收并购专项法律服务的询价，我单位已熟知相关情况，报价如下：含税固定总价（包干）：¥</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lang w:val="en-US" w:eastAsia="zh-CN"/>
        </w:rPr>
        <w:t>万元（大写：</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lang w:val="en-US" w:eastAsia="zh-CN"/>
        </w:rPr>
        <w:t>）。</w:t>
      </w:r>
    </w:p>
    <w:p w14:paraId="12A99421">
      <w:pPr>
        <w:keepNext w:val="0"/>
        <w:keepLines w:val="0"/>
        <w:pageBreakBefore w:val="0"/>
        <w:widowControl w:val="0"/>
        <w:shd w:val="clear"/>
        <w:kinsoku/>
        <w:overflowPunct/>
        <w:topLinePunct w:val="0"/>
        <w:autoSpaceDE/>
        <w:autoSpaceDN/>
        <w:bidi w:val="0"/>
        <w:adjustRightInd/>
        <w:snapToGrid/>
        <w:spacing w:line="560" w:lineRule="exact"/>
        <w:ind w:firstLine="562" w:firstLineChars="200"/>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b/>
          <w:bCs/>
          <w:sz w:val="28"/>
          <w:szCs w:val="28"/>
          <w:highlight w:val="none"/>
          <w:lang w:val="en-US" w:eastAsia="zh-CN"/>
        </w:rPr>
        <w:t>特别说明：</w:t>
      </w:r>
      <w:r>
        <w:rPr>
          <w:rFonts w:hint="eastAsia" w:ascii="方正仿宋_GB2312" w:hAnsi="方正仿宋_GB2312" w:eastAsia="方正仿宋_GB2312" w:cs="方正仿宋_GB2312"/>
          <w:sz w:val="28"/>
          <w:szCs w:val="28"/>
          <w:highlight w:val="none"/>
          <w:lang w:val="en-US" w:eastAsia="zh-CN"/>
        </w:rPr>
        <w:t>本次询价结果仅供询价人作为编制项目预算控制价和采购方案的参考，不作为任何要约或要约邀请和中标承诺。</w:t>
      </w:r>
    </w:p>
    <w:p w14:paraId="27E156CE">
      <w:pPr>
        <w:keepNext w:val="0"/>
        <w:keepLines w:val="0"/>
        <w:pageBreakBefore w:val="0"/>
        <w:widowControl w:val="0"/>
        <w:shd w:val="clear"/>
        <w:kinsoku/>
        <w:wordWrap w:val="0"/>
        <w:overflowPunct/>
        <w:topLinePunct w:val="0"/>
        <w:autoSpaceDE/>
        <w:autoSpaceDN/>
        <w:bidi w:val="0"/>
        <w:adjustRightInd/>
        <w:snapToGrid/>
        <w:spacing w:line="560" w:lineRule="exact"/>
        <w:ind w:firstLine="560" w:firstLineChars="200"/>
        <w:jc w:val="right"/>
        <w:textAlignment w:val="auto"/>
        <w:rPr>
          <w:rFonts w:hint="eastAsia" w:ascii="方正仿宋_GB2312" w:hAnsi="方正仿宋_GB2312" w:eastAsia="方正仿宋_GB2312" w:cs="方正仿宋_GB2312"/>
          <w:sz w:val="28"/>
          <w:szCs w:val="28"/>
          <w:highlight w:val="none"/>
          <w:lang w:val="en-US" w:eastAsia="zh-CN"/>
        </w:rPr>
      </w:pPr>
    </w:p>
    <w:p w14:paraId="2285B4AE">
      <w:pPr>
        <w:keepNext w:val="0"/>
        <w:keepLines w:val="0"/>
        <w:pageBreakBefore w:val="0"/>
        <w:widowControl w:val="0"/>
        <w:shd w:val="clear"/>
        <w:kinsoku/>
        <w:wordWrap w:val="0"/>
        <w:overflowPunct/>
        <w:topLinePunct w:val="0"/>
        <w:autoSpaceDE/>
        <w:autoSpaceDN/>
        <w:bidi w:val="0"/>
        <w:adjustRightInd/>
        <w:snapToGrid/>
        <w:spacing w:line="560" w:lineRule="exact"/>
        <w:ind w:firstLine="560" w:firstLineChars="200"/>
        <w:jc w:val="right"/>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 xml:space="preserve">报价单位（盖章）：                  </w:t>
      </w:r>
    </w:p>
    <w:p w14:paraId="0209A00F">
      <w:pPr>
        <w:keepNext w:val="0"/>
        <w:keepLines w:val="0"/>
        <w:pageBreakBefore w:val="0"/>
        <w:widowControl w:val="0"/>
        <w:shd w:val="clear"/>
        <w:kinsoku/>
        <w:overflowPunct/>
        <w:topLinePunct w:val="0"/>
        <w:autoSpaceDE/>
        <w:autoSpaceDN/>
        <w:bidi w:val="0"/>
        <w:adjustRightInd/>
        <w:snapToGrid/>
        <w:spacing w:line="560" w:lineRule="exact"/>
        <w:ind w:firstLine="560" w:firstLineChars="200"/>
        <w:jc w:val="right"/>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 xml:space="preserve">                  年   月    日</w:t>
      </w:r>
    </w:p>
    <w:p w14:paraId="55882379">
      <w:pPr>
        <w:keepNext w:val="0"/>
        <w:keepLines w:val="0"/>
        <w:pageBreakBefore w:val="0"/>
        <w:widowControl w:val="0"/>
        <w:shd w:val="clear"/>
        <w:kinsoku/>
        <w:wordWrap/>
        <w:overflowPunct/>
        <w:topLinePunct w:val="0"/>
        <w:autoSpaceDE/>
        <w:autoSpaceDN/>
        <w:bidi w:val="0"/>
        <w:adjustRightInd/>
        <w:snapToGrid/>
        <w:spacing w:line="560" w:lineRule="exact"/>
        <w:jc w:val="both"/>
        <w:textAlignment w:val="auto"/>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br w:type="page"/>
      </w:r>
      <w:r>
        <w:rPr>
          <w:rFonts w:hint="eastAsia" w:ascii="方正仿宋_GB2312" w:hAnsi="方正仿宋_GB2312" w:eastAsia="方正仿宋_GB2312" w:cs="方正仿宋_GB2312"/>
          <w:sz w:val="28"/>
          <w:szCs w:val="28"/>
          <w:highlight w:val="none"/>
          <w:lang w:val="en-US" w:eastAsia="zh-CN"/>
        </w:rPr>
        <w:t>附件2：</w:t>
      </w:r>
    </w:p>
    <w:p w14:paraId="6924C040">
      <w:pPr>
        <w:pStyle w:val="5"/>
        <w:keepNext w:val="0"/>
        <w:keepLines w:val="0"/>
        <w:pageBreakBefore w:val="0"/>
        <w:widowControl w:val="0"/>
        <w:shd w:val="clear"/>
        <w:kinsoku/>
        <w:overflowPunct/>
        <w:topLinePunct w:val="0"/>
        <w:autoSpaceDE/>
        <w:autoSpaceDN/>
        <w:bidi w:val="0"/>
        <w:adjustRightInd/>
        <w:snapToGrid/>
        <w:spacing w:line="560" w:lineRule="exact"/>
        <w:jc w:val="center"/>
        <w:textAlignment w:val="auto"/>
        <w:rPr>
          <w:rFonts w:hint="eastAsia" w:hAnsi="宋体"/>
          <w:b/>
          <w:sz w:val="36"/>
          <w:szCs w:val="36"/>
          <w:highlight w:val="none"/>
        </w:rPr>
      </w:pPr>
      <w:r>
        <w:rPr>
          <w:rFonts w:hAnsi="宋体"/>
          <w:b/>
          <w:sz w:val="36"/>
          <w:szCs w:val="36"/>
          <w:highlight w:val="none"/>
        </w:rPr>
        <w:t>保密承诺</w:t>
      </w:r>
      <w:r>
        <w:rPr>
          <w:rFonts w:hint="eastAsia" w:hAnsi="宋体"/>
          <w:b/>
          <w:sz w:val="36"/>
          <w:szCs w:val="36"/>
          <w:highlight w:val="none"/>
        </w:rPr>
        <w:t>函</w:t>
      </w:r>
    </w:p>
    <w:p w14:paraId="7AA85DD4">
      <w:pPr>
        <w:pStyle w:val="5"/>
        <w:keepNext w:val="0"/>
        <w:keepLines w:val="0"/>
        <w:pageBreakBefore w:val="0"/>
        <w:widowControl w:val="0"/>
        <w:shd w:val="clear"/>
        <w:kinsoku/>
        <w:overflowPunct/>
        <w:topLinePunct w:val="0"/>
        <w:autoSpaceDE/>
        <w:autoSpaceDN/>
        <w:bidi w:val="0"/>
        <w:adjustRightInd/>
        <w:snapToGrid/>
        <w:spacing w:line="560" w:lineRule="exact"/>
        <w:jc w:val="center"/>
        <w:textAlignment w:val="auto"/>
        <w:rPr>
          <w:rFonts w:hAnsi="宋体"/>
          <w:sz w:val="36"/>
          <w:szCs w:val="36"/>
          <w:highlight w:val="none"/>
        </w:rPr>
      </w:pPr>
    </w:p>
    <w:p w14:paraId="72F40147">
      <w:pPr>
        <w:pStyle w:val="4"/>
        <w:keepNext w:val="0"/>
        <w:keepLines w:val="0"/>
        <w:pageBreakBefore w:val="0"/>
        <w:widowControl w:val="0"/>
        <w:shd w:val="clear"/>
        <w:kinsoku/>
        <w:wordWrap/>
        <w:overflowPunct/>
        <w:topLinePunct w:val="0"/>
        <w:autoSpaceDE/>
        <w:autoSpaceDN/>
        <w:bidi w:val="0"/>
        <w:adjustRightInd/>
        <w:snapToGrid/>
        <w:spacing w:after="0" w:line="560" w:lineRule="exact"/>
        <w:textAlignment w:val="auto"/>
        <w:rPr>
          <w:rFonts w:ascii="宋体" w:hAnsi="宋体"/>
          <w:bCs/>
          <w:sz w:val="24"/>
          <w:highlight w:val="none"/>
          <w:u w:val="single"/>
        </w:rPr>
      </w:pPr>
      <w:r>
        <w:rPr>
          <w:rFonts w:ascii="宋体" w:hAnsi="宋体"/>
          <w:bCs/>
          <w:sz w:val="24"/>
          <w:highlight w:val="none"/>
        </w:rPr>
        <w:t>致：</w:t>
      </w:r>
      <w:r>
        <w:rPr>
          <w:rFonts w:hint="eastAsia" w:ascii="宋体" w:hAnsi="宋体"/>
          <w:bCs/>
          <w:sz w:val="24"/>
          <w:highlight w:val="none"/>
          <w:u w:val="single"/>
        </w:rPr>
        <w:t>深圳</w:t>
      </w:r>
      <w:r>
        <w:rPr>
          <w:rFonts w:ascii="宋体" w:hAnsi="宋体"/>
          <w:bCs/>
          <w:sz w:val="24"/>
          <w:highlight w:val="none"/>
          <w:u w:val="single"/>
        </w:rPr>
        <w:t>市龙岗区城投置地开发有限公司</w:t>
      </w:r>
    </w:p>
    <w:p w14:paraId="779E9972">
      <w:pPr>
        <w:pStyle w:val="4"/>
        <w:keepNext w:val="0"/>
        <w:keepLines w:val="0"/>
        <w:pageBreakBefore w:val="0"/>
        <w:widowControl w:val="0"/>
        <w:shd w:val="clear"/>
        <w:kinsoku/>
        <w:wordWrap/>
        <w:overflowPunct/>
        <w:topLinePunct w:val="0"/>
        <w:autoSpaceDE/>
        <w:autoSpaceDN/>
        <w:bidi w:val="0"/>
        <w:adjustRightInd/>
        <w:snapToGrid/>
        <w:spacing w:after="0" w:line="560" w:lineRule="exact"/>
        <w:ind w:firstLine="480" w:firstLineChars="200"/>
        <w:textAlignment w:val="auto"/>
        <w:rPr>
          <w:rFonts w:hint="eastAsia" w:ascii="宋体" w:hAnsi="宋体"/>
          <w:bCs/>
          <w:sz w:val="24"/>
          <w:highlight w:val="none"/>
          <w:lang w:eastAsia="zh-CN"/>
        </w:rPr>
      </w:pPr>
      <w:r>
        <w:rPr>
          <w:rFonts w:ascii="宋体" w:hAnsi="宋体"/>
          <w:bCs/>
          <w:sz w:val="24"/>
          <w:highlight w:val="none"/>
        </w:rPr>
        <w:t>本承诺</w:t>
      </w:r>
      <w:r>
        <w:rPr>
          <w:rFonts w:hint="eastAsia" w:ascii="宋体" w:hAnsi="宋体"/>
          <w:bCs/>
          <w:sz w:val="24"/>
          <w:highlight w:val="none"/>
        </w:rPr>
        <w:t>函</w:t>
      </w:r>
      <w:r>
        <w:rPr>
          <w:rFonts w:ascii="宋体" w:hAnsi="宋体"/>
          <w:bCs/>
          <w:sz w:val="24"/>
          <w:highlight w:val="none"/>
        </w:rPr>
        <w:t>由承诺人为参与贵司</w:t>
      </w:r>
      <w:r>
        <w:rPr>
          <w:rFonts w:hint="eastAsia" w:hAnsi="宋体"/>
          <w:b/>
          <w:sz w:val="24"/>
          <w:highlight w:val="none"/>
          <w:u w:val="single"/>
        </w:rPr>
        <w:t>关于某项目</w:t>
      </w:r>
      <w:r>
        <w:rPr>
          <w:rFonts w:hint="eastAsia" w:hAnsi="宋体"/>
          <w:b/>
          <w:sz w:val="24"/>
          <w:highlight w:val="none"/>
          <w:u w:val="single"/>
          <w:lang w:eastAsia="zh-CN"/>
        </w:rPr>
        <w:t>收并购专项法律服务询价</w:t>
      </w:r>
      <w:r>
        <w:rPr>
          <w:rFonts w:ascii="宋体" w:hAnsi="宋体"/>
          <w:bCs/>
          <w:sz w:val="24"/>
          <w:highlight w:val="none"/>
        </w:rPr>
        <w:t>而接收贵司或项目相关人员提供的与项目相关的保密信息而在此对保密事宜予以确认并承诺</w:t>
      </w:r>
      <w:r>
        <w:rPr>
          <w:rFonts w:hint="eastAsia" w:ascii="宋体" w:hAnsi="宋体"/>
          <w:bCs/>
          <w:sz w:val="24"/>
          <w:highlight w:val="none"/>
          <w:lang w:eastAsia="zh-CN"/>
        </w:rPr>
        <w:t>：</w:t>
      </w:r>
    </w:p>
    <w:p w14:paraId="2DEC45CC">
      <w:pPr>
        <w:pStyle w:val="4"/>
        <w:keepNext w:val="0"/>
        <w:keepLines w:val="0"/>
        <w:pageBreakBefore w:val="0"/>
        <w:widowControl w:val="0"/>
        <w:shd w:val="clear"/>
        <w:kinsoku/>
        <w:wordWrap/>
        <w:overflowPunct/>
        <w:topLinePunct w:val="0"/>
        <w:autoSpaceDE/>
        <w:autoSpaceDN/>
        <w:bidi w:val="0"/>
        <w:adjustRightInd/>
        <w:snapToGrid/>
        <w:spacing w:after="0" w:line="560" w:lineRule="exact"/>
        <w:ind w:firstLine="480" w:firstLineChars="200"/>
        <w:textAlignment w:val="auto"/>
        <w:rPr>
          <w:rFonts w:ascii="宋体" w:hAnsi="宋体"/>
          <w:bCs/>
          <w:sz w:val="24"/>
          <w:highlight w:val="none"/>
        </w:rPr>
      </w:pPr>
      <w:r>
        <w:rPr>
          <w:rFonts w:ascii="宋体" w:hAnsi="宋体"/>
          <w:bCs/>
          <w:sz w:val="24"/>
          <w:highlight w:val="none"/>
        </w:rPr>
        <w:t>一、本函所述“保密信息”是指在项目推进过程中</w:t>
      </w:r>
      <w:r>
        <w:rPr>
          <w:rFonts w:hint="eastAsia" w:ascii="宋体" w:hAnsi="宋体"/>
          <w:bCs/>
          <w:sz w:val="24"/>
          <w:highlight w:val="none"/>
          <w:lang w:eastAsia="zh-CN"/>
        </w:rPr>
        <w:t>承诺人</w:t>
      </w:r>
      <w:r>
        <w:rPr>
          <w:rFonts w:ascii="宋体" w:hAnsi="宋体"/>
          <w:bCs/>
          <w:sz w:val="24"/>
          <w:highlight w:val="none"/>
        </w:rPr>
        <w:t>从贵司或其他中介机构直接或间接获得的所有有关项目的信息，包括但不限于</w:t>
      </w:r>
      <w:r>
        <w:rPr>
          <w:rFonts w:hint="eastAsia" w:ascii="宋体" w:hAnsi="宋体"/>
          <w:bCs/>
          <w:sz w:val="24"/>
          <w:highlight w:val="none"/>
          <w:lang w:eastAsia="zh-CN"/>
        </w:rPr>
        <w:t>承诺人</w:t>
      </w:r>
      <w:r>
        <w:rPr>
          <w:rFonts w:ascii="宋体" w:hAnsi="宋体"/>
          <w:bCs/>
          <w:sz w:val="24"/>
          <w:highlight w:val="none"/>
        </w:rPr>
        <w:t>从贵司或其他中介机构处通过获取文件资料、访谈、咨询、现场会议、电话会议、电子或书面通讯等方式获取的口头或书面信息，不论该等信息是以何种形式和方式披露，也不论这些信息是否标注为保密。</w:t>
      </w:r>
    </w:p>
    <w:p w14:paraId="68E5A713">
      <w:pPr>
        <w:pStyle w:val="4"/>
        <w:keepNext w:val="0"/>
        <w:keepLines w:val="0"/>
        <w:pageBreakBefore w:val="0"/>
        <w:widowControl w:val="0"/>
        <w:shd w:val="clear"/>
        <w:kinsoku/>
        <w:wordWrap/>
        <w:overflowPunct/>
        <w:topLinePunct w:val="0"/>
        <w:autoSpaceDE/>
        <w:autoSpaceDN/>
        <w:bidi w:val="0"/>
        <w:adjustRightInd/>
        <w:snapToGrid/>
        <w:spacing w:after="0" w:line="560" w:lineRule="exact"/>
        <w:ind w:firstLine="480" w:firstLineChars="200"/>
        <w:textAlignment w:val="auto"/>
        <w:rPr>
          <w:rFonts w:ascii="宋体" w:hAnsi="宋体"/>
          <w:bCs/>
          <w:sz w:val="24"/>
          <w:highlight w:val="none"/>
        </w:rPr>
      </w:pPr>
      <w:r>
        <w:rPr>
          <w:rFonts w:ascii="宋体" w:hAnsi="宋体"/>
          <w:bCs/>
          <w:sz w:val="24"/>
          <w:highlight w:val="none"/>
        </w:rPr>
        <w:t>二、承诺人承诺：</w:t>
      </w:r>
    </w:p>
    <w:p w14:paraId="2C860796">
      <w:pPr>
        <w:pStyle w:val="4"/>
        <w:keepNext w:val="0"/>
        <w:keepLines w:val="0"/>
        <w:pageBreakBefore w:val="0"/>
        <w:widowControl w:val="0"/>
        <w:shd w:val="clear"/>
        <w:kinsoku/>
        <w:wordWrap/>
        <w:overflowPunct/>
        <w:topLinePunct w:val="0"/>
        <w:autoSpaceDE/>
        <w:autoSpaceDN/>
        <w:bidi w:val="0"/>
        <w:adjustRightInd/>
        <w:snapToGrid/>
        <w:spacing w:after="0" w:line="560" w:lineRule="exact"/>
        <w:ind w:firstLine="480" w:firstLineChars="200"/>
        <w:textAlignment w:val="auto"/>
        <w:rPr>
          <w:rFonts w:ascii="宋体" w:hAnsi="宋体"/>
          <w:bCs/>
          <w:sz w:val="24"/>
          <w:highlight w:val="none"/>
        </w:rPr>
      </w:pPr>
      <w:r>
        <w:rPr>
          <w:rFonts w:ascii="宋体" w:hAnsi="宋体"/>
          <w:bCs/>
          <w:sz w:val="24"/>
          <w:highlight w:val="none"/>
        </w:rPr>
        <w:t>1、承诺人所获得的保密信息除为推进项目之目的外，不得将该保密信息用于任何其他目的或用途。</w:t>
      </w:r>
    </w:p>
    <w:p w14:paraId="26EE731D">
      <w:pPr>
        <w:pStyle w:val="4"/>
        <w:keepNext w:val="0"/>
        <w:keepLines w:val="0"/>
        <w:pageBreakBefore w:val="0"/>
        <w:widowControl w:val="0"/>
        <w:shd w:val="clear"/>
        <w:kinsoku/>
        <w:wordWrap/>
        <w:overflowPunct/>
        <w:topLinePunct w:val="0"/>
        <w:autoSpaceDE/>
        <w:autoSpaceDN/>
        <w:bidi w:val="0"/>
        <w:adjustRightInd/>
        <w:snapToGrid/>
        <w:spacing w:after="0" w:line="560" w:lineRule="exact"/>
        <w:ind w:firstLine="480" w:firstLineChars="200"/>
        <w:textAlignment w:val="auto"/>
        <w:rPr>
          <w:rFonts w:ascii="宋体" w:hAnsi="宋体"/>
          <w:bCs/>
          <w:sz w:val="24"/>
          <w:highlight w:val="none"/>
        </w:rPr>
      </w:pPr>
      <w:r>
        <w:rPr>
          <w:rFonts w:ascii="宋体" w:hAnsi="宋体"/>
          <w:bCs/>
          <w:sz w:val="24"/>
          <w:highlight w:val="none"/>
        </w:rPr>
        <w:t>2、承诺人同意尽最大努力并采取一切可能采取的保密措施对贵司或其他中介机构披露的保密信息严格保密。未经贵司授权</w:t>
      </w:r>
      <w:r>
        <w:rPr>
          <w:rFonts w:hint="eastAsia" w:ascii="宋体" w:hAnsi="宋体"/>
          <w:bCs/>
          <w:sz w:val="24"/>
          <w:highlight w:val="none"/>
        </w:rPr>
        <w:t>，</w:t>
      </w:r>
      <w:r>
        <w:rPr>
          <w:rFonts w:ascii="宋体" w:hAnsi="宋体"/>
          <w:bCs/>
          <w:sz w:val="24"/>
          <w:highlight w:val="none"/>
        </w:rPr>
        <w:t>承诺人不得以任何形式向任何第三方披露、泄露、出售、交易、公布、复制保密信息或提供给任何第三方使用。承诺人保证遵守本保密承诺书的保密义务，且承诺人将对其关联机构及人员、专业机构及人员违反本保密承诺书的行为承担责任 。</w:t>
      </w:r>
    </w:p>
    <w:p w14:paraId="43D0228E">
      <w:pPr>
        <w:pStyle w:val="4"/>
        <w:keepNext w:val="0"/>
        <w:keepLines w:val="0"/>
        <w:pageBreakBefore w:val="0"/>
        <w:widowControl w:val="0"/>
        <w:shd w:val="clear"/>
        <w:kinsoku/>
        <w:wordWrap/>
        <w:overflowPunct/>
        <w:topLinePunct w:val="0"/>
        <w:autoSpaceDE/>
        <w:autoSpaceDN/>
        <w:bidi w:val="0"/>
        <w:adjustRightInd/>
        <w:snapToGrid/>
        <w:spacing w:after="0" w:line="560" w:lineRule="exact"/>
        <w:ind w:firstLine="480" w:firstLineChars="200"/>
        <w:textAlignment w:val="auto"/>
        <w:rPr>
          <w:rFonts w:ascii="宋体" w:hAnsi="宋体"/>
          <w:bCs/>
          <w:sz w:val="24"/>
          <w:highlight w:val="none"/>
        </w:rPr>
      </w:pPr>
      <w:r>
        <w:rPr>
          <w:rFonts w:ascii="宋体" w:hAnsi="宋体"/>
          <w:bCs/>
          <w:sz w:val="24"/>
          <w:highlight w:val="none"/>
        </w:rPr>
        <w:t>3、如果承诺人为实现项目的目的需向第三方披露保密信息的，则承诺人应当事先征得贵司的书面许可，并与该第三方签署至少应包括本承诺书要求内容或者比本承诺书规定的保密义务更加严格的保密协议；同时承诺人应当采取一切必要措施将披露范围严格控制在为实现项目目的所</w:t>
      </w:r>
      <w:r>
        <w:rPr>
          <w:rFonts w:hint="eastAsia" w:ascii="宋体" w:hAnsi="宋体"/>
          <w:bCs/>
          <w:sz w:val="24"/>
          <w:highlight w:val="none"/>
          <w:lang w:eastAsia="zh-CN"/>
        </w:rPr>
        <w:t>必需</w:t>
      </w:r>
      <w:r>
        <w:rPr>
          <w:rFonts w:ascii="宋体" w:hAnsi="宋体"/>
          <w:bCs/>
          <w:sz w:val="24"/>
          <w:highlight w:val="none"/>
        </w:rPr>
        <w:t>的范围内。</w:t>
      </w:r>
    </w:p>
    <w:p w14:paraId="41C64B51">
      <w:pPr>
        <w:pStyle w:val="4"/>
        <w:keepNext w:val="0"/>
        <w:keepLines w:val="0"/>
        <w:pageBreakBefore w:val="0"/>
        <w:widowControl w:val="0"/>
        <w:shd w:val="clear"/>
        <w:kinsoku/>
        <w:wordWrap/>
        <w:overflowPunct/>
        <w:topLinePunct w:val="0"/>
        <w:autoSpaceDE/>
        <w:autoSpaceDN/>
        <w:bidi w:val="0"/>
        <w:adjustRightInd/>
        <w:snapToGrid/>
        <w:spacing w:after="0" w:line="560" w:lineRule="exact"/>
        <w:ind w:firstLine="480" w:firstLineChars="200"/>
        <w:textAlignment w:val="auto"/>
        <w:rPr>
          <w:rFonts w:ascii="宋体" w:hAnsi="宋体"/>
          <w:bCs/>
          <w:sz w:val="24"/>
          <w:highlight w:val="none"/>
        </w:rPr>
      </w:pPr>
      <w:r>
        <w:rPr>
          <w:rFonts w:ascii="宋体" w:hAnsi="宋体"/>
          <w:bCs/>
          <w:sz w:val="24"/>
          <w:highlight w:val="none"/>
        </w:rPr>
        <w:t>4、在有权机关依法要求承诺人披露保密信息的情况下，承诺人根据相关法律规范的要求披露保密信息时</w:t>
      </w:r>
      <w:r>
        <w:rPr>
          <w:rFonts w:hint="eastAsia" w:ascii="宋体" w:hAnsi="宋体"/>
          <w:bCs/>
          <w:sz w:val="24"/>
          <w:highlight w:val="none"/>
        </w:rPr>
        <w:t>，</w:t>
      </w:r>
      <w:r>
        <w:rPr>
          <w:rFonts w:ascii="宋体" w:hAnsi="宋体"/>
          <w:bCs/>
          <w:sz w:val="24"/>
          <w:highlight w:val="none"/>
        </w:rPr>
        <w:t>应当在法律、法规 或监管机构允许的范围内且可行的情况下事先通知贵司，通过所有合理合法的办法或措施尽量减少披露的机会和范围以及由于披露所造成的负面影响。</w:t>
      </w:r>
    </w:p>
    <w:p w14:paraId="2311626C">
      <w:pPr>
        <w:pStyle w:val="4"/>
        <w:keepNext w:val="0"/>
        <w:keepLines w:val="0"/>
        <w:pageBreakBefore w:val="0"/>
        <w:widowControl w:val="0"/>
        <w:shd w:val="clear"/>
        <w:kinsoku/>
        <w:wordWrap/>
        <w:overflowPunct/>
        <w:topLinePunct w:val="0"/>
        <w:autoSpaceDE/>
        <w:autoSpaceDN/>
        <w:bidi w:val="0"/>
        <w:adjustRightInd/>
        <w:snapToGrid/>
        <w:spacing w:after="0" w:line="560" w:lineRule="exact"/>
        <w:ind w:firstLine="480" w:firstLineChars="200"/>
        <w:textAlignment w:val="auto"/>
        <w:rPr>
          <w:rFonts w:ascii="宋体" w:hAnsi="宋体"/>
          <w:bCs/>
          <w:sz w:val="24"/>
          <w:highlight w:val="none"/>
        </w:rPr>
      </w:pPr>
      <w:r>
        <w:rPr>
          <w:rFonts w:ascii="宋体" w:hAnsi="宋体"/>
          <w:bCs/>
          <w:sz w:val="24"/>
          <w:highlight w:val="none"/>
        </w:rPr>
        <w:t>5、所有保密信息的所有权均由贵司或与贵司有合同关系的第三方拥有。 一旦贵司或与贵司有合同关系的第三方要求收回或销毁有关文件和材料（包括</w:t>
      </w:r>
      <w:r>
        <w:rPr>
          <w:rFonts w:hint="eastAsia" w:ascii="宋体" w:hAnsi="宋体"/>
          <w:bCs/>
          <w:sz w:val="24"/>
          <w:highlight w:val="none"/>
        </w:rPr>
        <w:t>电</w:t>
      </w:r>
      <w:r>
        <w:rPr>
          <w:rFonts w:ascii="宋体" w:hAnsi="宋体"/>
          <w:bCs/>
          <w:sz w:val="24"/>
          <w:highlight w:val="none"/>
        </w:rPr>
        <w:t>子介质），承诺人同意立即归还或销毁所有保密信息的原件和复印件（包括电子介质）以及基于保密信息制作的所有摘录及分析。</w:t>
      </w:r>
    </w:p>
    <w:p w14:paraId="4AF18A92">
      <w:pPr>
        <w:pStyle w:val="4"/>
        <w:keepNext w:val="0"/>
        <w:keepLines w:val="0"/>
        <w:pageBreakBefore w:val="0"/>
        <w:widowControl w:val="0"/>
        <w:shd w:val="clear"/>
        <w:kinsoku/>
        <w:wordWrap/>
        <w:overflowPunct/>
        <w:topLinePunct w:val="0"/>
        <w:autoSpaceDE/>
        <w:autoSpaceDN/>
        <w:bidi w:val="0"/>
        <w:adjustRightInd/>
        <w:snapToGrid/>
        <w:spacing w:after="0" w:line="560" w:lineRule="exact"/>
        <w:ind w:firstLine="480" w:firstLineChars="200"/>
        <w:textAlignment w:val="auto"/>
        <w:rPr>
          <w:rFonts w:ascii="宋体" w:hAnsi="宋体"/>
          <w:bCs/>
          <w:sz w:val="24"/>
          <w:highlight w:val="none"/>
        </w:rPr>
      </w:pPr>
      <w:r>
        <w:rPr>
          <w:rFonts w:ascii="宋体" w:hAnsi="宋体"/>
          <w:bCs/>
          <w:sz w:val="24"/>
          <w:highlight w:val="none"/>
        </w:rPr>
        <w:t>6、除非保密信息</w:t>
      </w:r>
      <w:r>
        <w:rPr>
          <w:rFonts w:hint="eastAsia" w:ascii="宋体" w:hAnsi="宋体"/>
          <w:bCs/>
          <w:sz w:val="24"/>
          <w:highlight w:val="none"/>
        </w:rPr>
        <w:t>已</w:t>
      </w:r>
      <w:r>
        <w:rPr>
          <w:rFonts w:ascii="宋体" w:hAnsi="宋体"/>
          <w:bCs/>
          <w:sz w:val="24"/>
          <w:highlight w:val="none"/>
        </w:rPr>
        <w:t>进入公知领域，本承诺书始终有效，承诺人必须始终承担保密义务。</w:t>
      </w:r>
    </w:p>
    <w:p w14:paraId="1DDAE6CD">
      <w:pPr>
        <w:pStyle w:val="4"/>
        <w:keepNext w:val="0"/>
        <w:keepLines w:val="0"/>
        <w:pageBreakBefore w:val="0"/>
        <w:widowControl w:val="0"/>
        <w:shd w:val="clear"/>
        <w:kinsoku/>
        <w:wordWrap/>
        <w:overflowPunct/>
        <w:topLinePunct w:val="0"/>
        <w:autoSpaceDE/>
        <w:autoSpaceDN/>
        <w:bidi w:val="0"/>
        <w:adjustRightInd/>
        <w:snapToGrid/>
        <w:spacing w:after="0" w:line="560" w:lineRule="exact"/>
        <w:ind w:firstLine="480" w:firstLineChars="200"/>
        <w:textAlignment w:val="auto"/>
        <w:rPr>
          <w:rFonts w:ascii="宋体" w:hAnsi="宋体"/>
          <w:bCs/>
          <w:sz w:val="24"/>
          <w:highlight w:val="none"/>
        </w:rPr>
      </w:pPr>
      <w:r>
        <w:rPr>
          <w:rFonts w:ascii="宋体" w:hAnsi="宋体"/>
          <w:bCs/>
          <w:sz w:val="24"/>
          <w:highlight w:val="none"/>
        </w:rPr>
        <w:t>7、若承诺人及项目相关人员未能认真履行保密义务或不正当使用保密信息的，承诺人同意依法承担相应责任。</w:t>
      </w:r>
    </w:p>
    <w:p w14:paraId="5D72E2C5">
      <w:pPr>
        <w:pStyle w:val="4"/>
        <w:keepNext w:val="0"/>
        <w:keepLines w:val="0"/>
        <w:pageBreakBefore w:val="0"/>
        <w:widowControl w:val="0"/>
        <w:shd w:val="clear"/>
        <w:kinsoku/>
        <w:wordWrap/>
        <w:overflowPunct/>
        <w:topLinePunct w:val="0"/>
        <w:autoSpaceDE/>
        <w:autoSpaceDN/>
        <w:bidi w:val="0"/>
        <w:adjustRightInd/>
        <w:snapToGrid/>
        <w:spacing w:after="0" w:line="560" w:lineRule="exact"/>
        <w:ind w:firstLine="480" w:firstLineChars="200"/>
        <w:textAlignment w:val="auto"/>
        <w:rPr>
          <w:rFonts w:hint="eastAsia" w:ascii="宋体" w:hAnsi="宋体"/>
          <w:bCs/>
          <w:sz w:val="24"/>
          <w:highlight w:val="none"/>
        </w:rPr>
      </w:pPr>
      <w:r>
        <w:rPr>
          <w:rFonts w:ascii="宋体" w:hAnsi="宋体"/>
          <w:bCs/>
          <w:sz w:val="24"/>
          <w:highlight w:val="none"/>
        </w:rPr>
        <w:t>特此承诺 。</w:t>
      </w:r>
    </w:p>
    <w:p w14:paraId="60CAF95F">
      <w:pPr>
        <w:pStyle w:val="4"/>
        <w:keepNext w:val="0"/>
        <w:keepLines w:val="0"/>
        <w:pageBreakBefore w:val="0"/>
        <w:widowControl w:val="0"/>
        <w:shd w:val="clear"/>
        <w:kinsoku/>
        <w:wordWrap/>
        <w:overflowPunct/>
        <w:topLinePunct w:val="0"/>
        <w:autoSpaceDE/>
        <w:autoSpaceDN/>
        <w:bidi w:val="0"/>
        <w:adjustRightInd/>
        <w:snapToGrid/>
        <w:spacing w:after="0" w:line="560" w:lineRule="exact"/>
        <w:ind w:left="860"/>
        <w:textAlignment w:val="auto"/>
        <w:rPr>
          <w:rFonts w:ascii="宋体" w:hAnsi="宋体"/>
          <w:bCs/>
          <w:sz w:val="24"/>
          <w:highlight w:val="none"/>
        </w:rPr>
      </w:pPr>
    </w:p>
    <w:p w14:paraId="4C3008D9">
      <w:pPr>
        <w:pStyle w:val="4"/>
        <w:keepNext w:val="0"/>
        <w:keepLines w:val="0"/>
        <w:pageBreakBefore w:val="0"/>
        <w:widowControl w:val="0"/>
        <w:shd w:val="clear"/>
        <w:kinsoku/>
        <w:wordWrap w:val="0"/>
        <w:overflowPunct/>
        <w:topLinePunct w:val="0"/>
        <w:autoSpaceDE/>
        <w:autoSpaceDN/>
        <w:bidi w:val="0"/>
        <w:adjustRightInd/>
        <w:snapToGrid/>
        <w:spacing w:after="0" w:line="560" w:lineRule="exact"/>
        <w:ind w:firstLine="480" w:firstLineChars="200"/>
        <w:jc w:val="right"/>
        <w:textAlignment w:val="auto"/>
        <w:rPr>
          <w:rFonts w:hint="default" w:ascii="宋体" w:hAnsi="宋体" w:eastAsia="仿宋"/>
          <w:bCs/>
          <w:sz w:val="24"/>
          <w:highlight w:val="none"/>
          <w:lang w:val="en-US" w:eastAsia="zh-CN"/>
        </w:rPr>
      </w:pPr>
      <w:r>
        <w:rPr>
          <w:rFonts w:hint="eastAsia" w:ascii="宋体" w:hAnsi="宋体"/>
          <w:bCs/>
          <w:sz w:val="24"/>
          <w:highlight w:val="none"/>
        </w:rPr>
        <w:t>承诺单位（盖章）：</w:t>
      </w:r>
      <w:r>
        <w:rPr>
          <w:rFonts w:hint="eastAsia" w:ascii="宋体" w:hAnsi="宋体"/>
          <w:bCs/>
          <w:sz w:val="24"/>
          <w:highlight w:val="none"/>
          <w:lang w:val="en-US" w:eastAsia="zh-CN"/>
        </w:rPr>
        <w:t xml:space="preserve">                      </w:t>
      </w:r>
    </w:p>
    <w:p w14:paraId="3C19A237">
      <w:pPr>
        <w:pStyle w:val="4"/>
        <w:keepNext w:val="0"/>
        <w:keepLines w:val="0"/>
        <w:pageBreakBefore w:val="0"/>
        <w:widowControl w:val="0"/>
        <w:shd w:val="clear"/>
        <w:kinsoku/>
        <w:wordWrap/>
        <w:overflowPunct/>
        <w:topLinePunct w:val="0"/>
        <w:autoSpaceDE/>
        <w:autoSpaceDN/>
        <w:bidi w:val="0"/>
        <w:adjustRightInd/>
        <w:snapToGrid/>
        <w:spacing w:after="0" w:line="560" w:lineRule="exact"/>
        <w:ind w:firstLine="480" w:firstLineChars="200"/>
        <w:jc w:val="right"/>
        <w:textAlignment w:val="auto"/>
        <w:rPr>
          <w:rFonts w:hint="eastAsia" w:ascii="宋体" w:hAnsi="宋体"/>
          <w:bCs/>
          <w:sz w:val="24"/>
          <w:highlight w:val="none"/>
        </w:rPr>
      </w:pPr>
      <w:r>
        <w:rPr>
          <w:rFonts w:hint="eastAsia" w:ascii="宋体" w:hAnsi="宋体"/>
          <w:bCs/>
          <w:sz w:val="24"/>
          <w:highlight w:val="none"/>
        </w:rPr>
        <w:t>法定代表人或授权委托人（签字或盖私章）：</w:t>
      </w:r>
    </w:p>
    <w:p w14:paraId="78AF9199">
      <w:pPr>
        <w:pStyle w:val="4"/>
        <w:keepNext w:val="0"/>
        <w:keepLines w:val="0"/>
        <w:pageBreakBefore w:val="0"/>
        <w:widowControl w:val="0"/>
        <w:shd w:val="clear"/>
        <w:kinsoku/>
        <w:wordWrap w:val="0"/>
        <w:overflowPunct/>
        <w:topLinePunct w:val="0"/>
        <w:autoSpaceDE/>
        <w:autoSpaceDN/>
        <w:bidi w:val="0"/>
        <w:adjustRightInd/>
        <w:snapToGrid/>
        <w:spacing w:after="0" w:line="560" w:lineRule="exact"/>
        <w:ind w:firstLine="480" w:firstLineChars="200"/>
        <w:jc w:val="right"/>
        <w:textAlignment w:val="auto"/>
        <w:rPr>
          <w:rFonts w:hint="default" w:ascii="宋体" w:hAnsi="宋体" w:eastAsia="仿宋"/>
          <w:bCs/>
          <w:sz w:val="24"/>
          <w:highlight w:val="none"/>
          <w:lang w:val="en-US" w:eastAsia="zh-CN"/>
        </w:rPr>
      </w:pPr>
      <w:r>
        <w:rPr>
          <w:rFonts w:hint="eastAsia" w:ascii="宋体" w:hAnsi="宋体"/>
          <w:bCs/>
          <w:sz w:val="24"/>
          <w:highlight w:val="none"/>
        </w:rPr>
        <w:t>签署日期：    年    月    日</w:t>
      </w:r>
      <w:r>
        <w:rPr>
          <w:rFonts w:hint="eastAsia" w:ascii="宋体" w:hAnsi="宋体"/>
          <w:bCs/>
          <w:sz w:val="24"/>
          <w:highlight w:val="none"/>
          <w:lang w:val="en-US" w:eastAsia="zh-CN"/>
        </w:rPr>
        <w:t xml:space="preserve">            </w:t>
      </w:r>
    </w:p>
    <w:p w14:paraId="0179951F">
      <w:pPr>
        <w:keepNext w:val="0"/>
        <w:keepLines w:val="0"/>
        <w:pageBreakBefore w:val="0"/>
        <w:widowControl w:val="0"/>
        <w:shd w:val="clear"/>
        <w:kinsoku/>
        <w:overflowPunct/>
        <w:topLinePunct w:val="0"/>
        <w:autoSpaceDE/>
        <w:autoSpaceDN/>
        <w:bidi w:val="0"/>
        <w:adjustRightInd/>
        <w:snapToGrid/>
        <w:spacing w:line="560" w:lineRule="exact"/>
        <w:textAlignment w:val="auto"/>
        <w:rPr>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OpenSymbol"/>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仿宋_GB2312"/>
    <w:panose1 w:val="02010609060101010101"/>
    <w:charset w:val="00"/>
    <w:family w:val="modern"/>
    <w:pitch w:val="default"/>
    <w:sig w:usb0="00000000" w:usb1="00000000"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OpenSymbol">
    <w:panose1 w:val="05010000000000000000"/>
    <w:charset w:val="00"/>
    <w:family w:val="auto"/>
    <w:pitch w:val="default"/>
    <w:sig w:usb0="800000AF" w:usb1="1001ECEA" w:usb2="00000000" w:usb3="00000000" w:csb0="00000001"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FB9E83"/>
    <w:multiLevelType w:val="singleLevel"/>
    <w:tmpl w:val="AEFB9E8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B59CC"/>
    <w:rsid w:val="05DF5AE2"/>
    <w:rsid w:val="17C5CE9D"/>
    <w:rsid w:val="17DEBD93"/>
    <w:rsid w:val="1ADF8F63"/>
    <w:rsid w:val="1BB1B5F8"/>
    <w:rsid w:val="1F878F63"/>
    <w:rsid w:val="1FABC0BD"/>
    <w:rsid w:val="1FBF91B9"/>
    <w:rsid w:val="25FF8EF2"/>
    <w:rsid w:val="2BFEF548"/>
    <w:rsid w:val="2DCF26BC"/>
    <w:rsid w:val="2F7F2F5C"/>
    <w:rsid w:val="2FBAC6B8"/>
    <w:rsid w:val="357F4463"/>
    <w:rsid w:val="36950035"/>
    <w:rsid w:val="3AFE125F"/>
    <w:rsid w:val="3CFB5847"/>
    <w:rsid w:val="3EE62C39"/>
    <w:rsid w:val="3F7F17B9"/>
    <w:rsid w:val="3FD57915"/>
    <w:rsid w:val="3FEFDE61"/>
    <w:rsid w:val="3FFE63A4"/>
    <w:rsid w:val="46BFAC61"/>
    <w:rsid w:val="4DFE5E50"/>
    <w:rsid w:val="51FE110A"/>
    <w:rsid w:val="53FE1664"/>
    <w:rsid w:val="5566F143"/>
    <w:rsid w:val="57D5FC71"/>
    <w:rsid w:val="57DFA8FC"/>
    <w:rsid w:val="57FFCCE8"/>
    <w:rsid w:val="5AAB4E2B"/>
    <w:rsid w:val="5BAFCD2A"/>
    <w:rsid w:val="5CC7E1E4"/>
    <w:rsid w:val="5CCF5BE4"/>
    <w:rsid w:val="5EBFA8F1"/>
    <w:rsid w:val="5F2E6D1D"/>
    <w:rsid w:val="5F397734"/>
    <w:rsid w:val="5F97D6E1"/>
    <w:rsid w:val="5FBF5224"/>
    <w:rsid w:val="5FD62534"/>
    <w:rsid w:val="63EB8FA4"/>
    <w:rsid w:val="67EF556B"/>
    <w:rsid w:val="6AD7F12C"/>
    <w:rsid w:val="6D1AEC73"/>
    <w:rsid w:val="6D5F1F25"/>
    <w:rsid w:val="6D775D40"/>
    <w:rsid w:val="6D8FDF77"/>
    <w:rsid w:val="6DE23D86"/>
    <w:rsid w:val="6FBF37B4"/>
    <w:rsid w:val="6FD53C6B"/>
    <w:rsid w:val="6FDDFBB8"/>
    <w:rsid w:val="6FED4AFB"/>
    <w:rsid w:val="6FFD3949"/>
    <w:rsid w:val="736FFC72"/>
    <w:rsid w:val="75C2D862"/>
    <w:rsid w:val="76DEAD16"/>
    <w:rsid w:val="76F71E90"/>
    <w:rsid w:val="776C074B"/>
    <w:rsid w:val="777FD29F"/>
    <w:rsid w:val="77BEDE2C"/>
    <w:rsid w:val="77EF431E"/>
    <w:rsid w:val="77F314E1"/>
    <w:rsid w:val="77FB936C"/>
    <w:rsid w:val="77FEC420"/>
    <w:rsid w:val="77FF82F6"/>
    <w:rsid w:val="787C65FD"/>
    <w:rsid w:val="7AB7756F"/>
    <w:rsid w:val="7AF38C4A"/>
    <w:rsid w:val="7AF41E0E"/>
    <w:rsid w:val="7B1F6F43"/>
    <w:rsid w:val="7BB627CE"/>
    <w:rsid w:val="7BBEB11A"/>
    <w:rsid w:val="7BDD7C43"/>
    <w:rsid w:val="7BDF7EE1"/>
    <w:rsid w:val="7BDFBA8F"/>
    <w:rsid w:val="7BFF1E3B"/>
    <w:rsid w:val="7D1B57F7"/>
    <w:rsid w:val="7D2FDC1D"/>
    <w:rsid w:val="7D8F2EDE"/>
    <w:rsid w:val="7D9CDC0F"/>
    <w:rsid w:val="7DBE5A47"/>
    <w:rsid w:val="7DEAB57A"/>
    <w:rsid w:val="7DFB3983"/>
    <w:rsid w:val="7DFB59CC"/>
    <w:rsid w:val="7DFE61D9"/>
    <w:rsid w:val="7E79EB68"/>
    <w:rsid w:val="7E7D399B"/>
    <w:rsid w:val="7EDD5DB7"/>
    <w:rsid w:val="7EDDA496"/>
    <w:rsid w:val="7F1BDC78"/>
    <w:rsid w:val="7F5E5F35"/>
    <w:rsid w:val="7F754E89"/>
    <w:rsid w:val="7F7D9B82"/>
    <w:rsid w:val="7F7FB240"/>
    <w:rsid w:val="7FBE3257"/>
    <w:rsid w:val="7FDF14CA"/>
    <w:rsid w:val="7FE7C32A"/>
    <w:rsid w:val="7FEF846B"/>
    <w:rsid w:val="7FF6AF15"/>
    <w:rsid w:val="7FFB287B"/>
    <w:rsid w:val="7FFB703E"/>
    <w:rsid w:val="7FFF8A4E"/>
    <w:rsid w:val="8C9F70AA"/>
    <w:rsid w:val="8DB12161"/>
    <w:rsid w:val="8E7F1F0A"/>
    <w:rsid w:val="93F79CA5"/>
    <w:rsid w:val="9BFB175F"/>
    <w:rsid w:val="9EDACE8C"/>
    <w:rsid w:val="9F6F2DD0"/>
    <w:rsid w:val="9F7BCDCC"/>
    <w:rsid w:val="A7FC0F38"/>
    <w:rsid w:val="AF4F6F91"/>
    <w:rsid w:val="B2BC1130"/>
    <w:rsid w:val="B39DB6F4"/>
    <w:rsid w:val="B6F769C1"/>
    <w:rsid w:val="B6FF6D52"/>
    <w:rsid w:val="B9FDE50F"/>
    <w:rsid w:val="BB5E8705"/>
    <w:rsid w:val="BB6DEA12"/>
    <w:rsid w:val="BBB61E6A"/>
    <w:rsid w:val="BBC729DF"/>
    <w:rsid w:val="BE7A681A"/>
    <w:rsid w:val="BF9572EA"/>
    <w:rsid w:val="BFBF711D"/>
    <w:rsid w:val="BFDF6A92"/>
    <w:rsid w:val="BFF639BC"/>
    <w:rsid w:val="BFFBC567"/>
    <w:rsid w:val="BFFE9CA0"/>
    <w:rsid w:val="BFFF11EE"/>
    <w:rsid w:val="BFFFD250"/>
    <w:rsid w:val="C1B71E21"/>
    <w:rsid w:val="C6FDAF08"/>
    <w:rsid w:val="C7FD635F"/>
    <w:rsid w:val="CF32ED88"/>
    <w:rsid w:val="CF760440"/>
    <w:rsid w:val="CFB6F800"/>
    <w:rsid w:val="CFFC0692"/>
    <w:rsid w:val="D18F8909"/>
    <w:rsid w:val="D7AFFC39"/>
    <w:rsid w:val="D7FDB0F6"/>
    <w:rsid w:val="D9FD4CC7"/>
    <w:rsid w:val="DA775854"/>
    <w:rsid w:val="DBD5BABE"/>
    <w:rsid w:val="DBF6DCA7"/>
    <w:rsid w:val="DCFF4FCC"/>
    <w:rsid w:val="DD3D4866"/>
    <w:rsid w:val="DEF318C1"/>
    <w:rsid w:val="DEF7E48C"/>
    <w:rsid w:val="DF3E6496"/>
    <w:rsid w:val="DF5FC7C5"/>
    <w:rsid w:val="DF7B9DE7"/>
    <w:rsid w:val="E4F7BA0D"/>
    <w:rsid w:val="E69F0CCB"/>
    <w:rsid w:val="E7CB5E34"/>
    <w:rsid w:val="E7DD2076"/>
    <w:rsid w:val="E93BD2C9"/>
    <w:rsid w:val="EC3F1121"/>
    <w:rsid w:val="EC5FBCE9"/>
    <w:rsid w:val="EDCBD6BD"/>
    <w:rsid w:val="EEDF1D13"/>
    <w:rsid w:val="EEDFBB41"/>
    <w:rsid w:val="EEFE288E"/>
    <w:rsid w:val="EFB881F1"/>
    <w:rsid w:val="EFD7B019"/>
    <w:rsid w:val="EFEF914D"/>
    <w:rsid w:val="F1FF135E"/>
    <w:rsid w:val="F25F7730"/>
    <w:rsid w:val="F3B9C961"/>
    <w:rsid w:val="F3E66388"/>
    <w:rsid w:val="F4975EC4"/>
    <w:rsid w:val="F5F615EE"/>
    <w:rsid w:val="F6BF6240"/>
    <w:rsid w:val="F6F13CE1"/>
    <w:rsid w:val="F6FF7AB5"/>
    <w:rsid w:val="F75A9184"/>
    <w:rsid w:val="F76F387C"/>
    <w:rsid w:val="F7BFFC26"/>
    <w:rsid w:val="F7E62933"/>
    <w:rsid w:val="F7F7C7F9"/>
    <w:rsid w:val="F7FF4262"/>
    <w:rsid w:val="F9ED2E8C"/>
    <w:rsid w:val="FABDF9B8"/>
    <w:rsid w:val="FB4BC399"/>
    <w:rsid w:val="FB951DFA"/>
    <w:rsid w:val="FBAF59E8"/>
    <w:rsid w:val="FBF7498C"/>
    <w:rsid w:val="FBFF0A98"/>
    <w:rsid w:val="FBFF4ABB"/>
    <w:rsid w:val="FBFF9AE9"/>
    <w:rsid w:val="FCDF82A1"/>
    <w:rsid w:val="FD2F1B23"/>
    <w:rsid w:val="FDDA8BE0"/>
    <w:rsid w:val="FDE2DDC8"/>
    <w:rsid w:val="FDEDA9B5"/>
    <w:rsid w:val="FE1F255A"/>
    <w:rsid w:val="FE5AE939"/>
    <w:rsid w:val="FEDB9FFE"/>
    <w:rsid w:val="FEE7B674"/>
    <w:rsid w:val="FF3DD9BD"/>
    <w:rsid w:val="FF537AF0"/>
    <w:rsid w:val="FF6C5F78"/>
    <w:rsid w:val="FF7724D4"/>
    <w:rsid w:val="FF7F24F0"/>
    <w:rsid w:val="FF7FD93D"/>
    <w:rsid w:val="FF9DC0B7"/>
    <w:rsid w:val="FFAFD3E5"/>
    <w:rsid w:val="FFBB3BE4"/>
    <w:rsid w:val="FFBD207C"/>
    <w:rsid w:val="FFBE72FF"/>
    <w:rsid w:val="FFBFF564"/>
    <w:rsid w:val="FFE442DF"/>
    <w:rsid w:val="FFE97363"/>
    <w:rsid w:val="FFF29ACA"/>
    <w:rsid w:val="FFF3403D"/>
    <w:rsid w:val="FFF6016A"/>
    <w:rsid w:val="FFF6582C"/>
    <w:rsid w:val="FFFFABA0"/>
    <w:rsid w:val="FFFFB2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spacing w:line="600" w:lineRule="exact"/>
      <w:ind w:firstLine="880" w:firstLineChars="200"/>
    </w:pPr>
    <w:rPr>
      <w:rFonts w:eastAsia="仿宋_GB2312"/>
      <w:sz w:val="32"/>
    </w:rPr>
  </w:style>
  <w:style w:type="paragraph" w:styleId="3">
    <w:name w:val="index 8"/>
    <w:basedOn w:val="1"/>
    <w:next w:val="1"/>
    <w:qFormat/>
    <w:uiPriority w:val="0"/>
    <w:pPr>
      <w:ind w:left="1400" w:leftChars="1400"/>
    </w:pPr>
    <w:rPr>
      <w:rFonts w:eastAsia="宋体" w:cs="Times New Roman"/>
    </w:rPr>
  </w:style>
  <w:style w:type="paragraph" w:styleId="4">
    <w:name w:val="Body Text"/>
    <w:basedOn w:val="1"/>
    <w:semiHidden/>
    <w:qFormat/>
    <w:uiPriority w:val="0"/>
    <w:rPr>
      <w:rFonts w:ascii="仿宋" w:hAnsi="仿宋" w:eastAsia="仿宋" w:cs="仿宋"/>
      <w:sz w:val="28"/>
      <w:szCs w:val="28"/>
      <w:lang w:eastAsia="en-US"/>
    </w:rPr>
  </w:style>
  <w:style w:type="paragraph" w:styleId="5">
    <w:name w:val="Plain Text"/>
    <w:basedOn w:val="1"/>
    <w:qFormat/>
    <w:uiPriority w:val="0"/>
    <w:rPr>
      <w:rFonts w:ascii="宋体" w:hAnsi="Courier New" w:eastAsia="宋体" w:cs="Times New Roman"/>
      <w:sz w:val="20"/>
      <w:szCs w:val="21"/>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3</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2026-07-14T03:23:00Z</dcterms:created>
  <dc:creator>oo</dc:creator>
  <cp:lastModifiedBy>苏佳敏</cp:lastModifiedBy>
  <dcterms:modified xsi:type="dcterms:W3CDTF">2026-07-14T18:17:11Z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2E4C454B6822DD8E1494506AC6797852_43</vt:lpwstr>
  </property>
</Properties>
</file>