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ADB0A">
      <w:pPr>
        <w:keepLines w:val="0"/>
        <w:pageBreakBefore w:val="0"/>
        <w:kinsoku/>
        <w:wordWrap/>
        <w:overflowPunct/>
        <w:topLinePunct w:val="0"/>
        <w:bidi w:val="0"/>
        <w:spacing w:line="560" w:lineRule="exact"/>
        <w:rPr>
          <w:color w:val="auto"/>
          <w:sz w:val="18"/>
          <w:szCs w:val="18"/>
          <w:highlight w:val="none"/>
        </w:rPr>
      </w:pPr>
    </w:p>
    <w:p w14:paraId="6156719E">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409467AC">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14:paraId="3EFB3E03">
      <w:pPr>
        <w:keepLines w:val="0"/>
        <w:pageBreakBefore w:val="0"/>
        <w:kinsoku/>
        <w:wordWrap/>
        <w:overflowPunct/>
        <w:topLinePunct w:val="0"/>
        <w:bidi w:val="0"/>
        <w:spacing w:line="560" w:lineRule="exact"/>
        <w:jc w:val="center"/>
        <w:rPr>
          <w:rFonts w:ascii="宋体" w:hAnsi="宋体"/>
          <w:b/>
          <w:bCs/>
          <w:color w:val="auto"/>
          <w:sz w:val="44"/>
          <w:highlight w:val="none"/>
        </w:rPr>
      </w:pPr>
    </w:p>
    <w:p w14:paraId="716CF1DF">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14:paraId="5C417394">
      <w:pPr>
        <w:keepLines w:val="0"/>
        <w:pageBreakBefore w:val="0"/>
        <w:kinsoku/>
        <w:wordWrap/>
        <w:overflowPunct/>
        <w:topLinePunct w:val="0"/>
        <w:bidi w:val="0"/>
        <w:spacing w:line="560" w:lineRule="exact"/>
        <w:jc w:val="center"/>
        <w:rPr>
          <w:rFonts w:ascii="宋体" w:hAnsi="宋体"/>
          <w:b/>
          <w:bCs/>
          <w:color w:val="auto"/>
          <w:sz w:val="44"/>
          <w:highlight w:val="none"/>
        </w:rPr>
      </w:pPr>
    </w:p>
    <w:p w14:paraId="287D7DD8">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lang w:val="en-US" w:eastAsia="zh-CN"/>
        </w:rPr>
        <w:t>深圳市龙岗区第七人民医院龙岭院区（除门诊楼外）4栋建筑房屋结构安全检测鉴定服务项目</w:t>
      </w:r>
    </w:p>
    <w:p w14:paraId="5532616F">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sz w:val="36"/>
          <w:szCs w:val="36"/>
          <w:highlight w:val="none"/>
          <w:lang w:val="en-US" w:eastAsia="zh-CN"/>
        </w:rPr>
        <w:t>深龙七医采[LGQY2026ZW007]</w:t>
      </w:r>
    </w:p>
    <w:p w14:paraId="49CAAE4F">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服务</w:t>
      </w:r>
      <w:r>
        <w:rPr>
          <w:rFonts w:hint="eastAsia" w:ascii="仿宋_GB2312" w:hAnsi="仿宋_GB2312" w:eastAsia="仿宋_GB2312" w:cs="仿宋_GB2312"/>
          <w:color w:val="auto"/>
          <w:sz w:val="36"/>
          <w:szCs w:val="36"/>
          <w:highlight w:val="none"/>
        </w:rPr>
        <w:t>类</w:t>
      </w:r>
    </w:p>
    <w:p w14:paraId="29283008">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14:paraId="5363D971">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color w:val="auto"/>
          <w:sz w:val="36"/>
          <w:szCs w:val="36"/>
          <w:highlight w:val="none"/>
          <w:lang w:val="en-US" w:eastAsia="zh-CN"/>
        </w:rPr>
        <w:t>10.5万元</w:t>
      </w:r>
    </w:p>
    <w:p w14:paraId="26A92FA2">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14:paraId="5770F939">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7EBCB54F">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1D0AEA0E">
      <w:pPr>
        <w:pStyle w:val="11"/>
        <w:keepLines w:val="0"/>
        <w:pageBreakBefore w:val="0"/>
        <w:kinsoku/>
        <w:wordWrap/>
        <w:overflowPunct/>
        <w:topLinePunct w:val="0"/>
        <w:bidi w:val="0"/>
        <w:spacing w:line="560" w:lineRule="exact"/>
        <w:rPr>
          <w:rFonts w:hint="default"/>
          <w:color w:val="auto"/>
          <w:highlight w:val="none"/>
        </w:rPr>
      </w:pPr>
    </w:p>
    <w:p w14:paraId="347BB074">
      <w:pPr>
        <w:pStyle w:val="11"/>
        <w:keepLines w:val="0"/>
        <w:pageBreakBefore w:val="0"/>
        <w:kinsoku/>
        <w:wordWrap/>
        <w:overflowPunct/>
        <w:topLinePunct w:val="0"/>
        <w:bidi w:val="0"/>
        <w:spacing w:line="560" w:lineRule="exact"/>
        <w:rPr>
          <w:rFonts w:hint="default"/>
          <w:color w:val="auto"/>
          <w:szCs w:val="20"/>
          <w:highlight w:val="none"/>
        </w:rPr>
      </w:pPr>
    </w:p>
    <w:p w14:paraId="28854621">
      <w:pPr>
        <w:pStyle w:val="5"/>
        <w:keepLines w:val="0"/>
        <w:pageBreakBefore w:val="0"/>
        <w:kinsoku/>
        <w:wordWrap/>
        <w:overflowPunct/>
        <w:topLinePunct w:val="0"/>
        <w:bidi w:val="0"/>
        <w:spacing w:line="560" w:lineRule="exact"/>
        <w:rPr>
          <w:color w:val="auto"/>
          <w:highlight w:val="none"/>
        </w:rPr>
      </w:pPr>
    </w:p>
    <w:p w14:paraId="772726AD">
      <w:pPr>
        <w:keepLines w:val="0"/>
        <w:pageBreakBefore w:val="0"/>
        <w:kinsoku/>
        <w:wordWrap/>
        <w:overflowPunct/>
        <w:topLinePunct w:val="0"/>
        <w:bidi w:val="0"/>
        <w:spacing w:line="560" w:lineRule="exact"/>
        <w:rPr>
          <w:color w:val="auto"/>
          <w:highlight w:val="none"/>
        </w:rPr>
      </w:pPr>
    </w:p>
    <w:p w14:paraId="18AAA94F">
      <w:pPr>
        <w:pStyle w:val="3"/>
        <w:keepLines w:val="0"/>
        <w:pageBreakBefore w:val="0"/>
        <w:kinsoku/>
        <w:wordWrap/>
        <w:overflowPunct/>
        <w:topLinePunct w:val="0"/>
        <w:bidi w:val="0"/>
        <w:spacing w:line="560" w:lineRule="exact"/>
        <w:rPr>
          <w:color w:val="auto"/>
          <w:highlight w:val="none"/>
        </w:rPr>
      </w:pPr>
    </w:p>
    <w:p w14:paraId="3A4D45E5">
      <w:pPr>
        <w:keepLines w:val="0"/>
        <w:pageBreakBefore w:val="0"/>
        <w:kinsoku/>
        <w:wordWrap/>
        <w:overflowPunct/>
        <w:topLinePunct w:val="0"/>
        <w:bidi w:val="0"/>
        <w:spacing w:line="560" w:lineRule="exact"/>
        <w:rPr>
          <w:color w:val="auto"/>
          <w:highlight w:val="none"/>
        </w:rPr>
      </w:pPr>
    </w:p>
    <w:p w14:paraId="613B6E89">
      <w:pPr>
        <w:pStyle w:val="3"/>
        <w:keepLines w:val="0"/>
        <w:pageBreakBefore w:val="0"/>
        <w:kinsoku/>
        <w:wordWrap/>
        <w:overflowPunct/>
        <w:topLinePunct w:val="0"/>
        <w:bidi w:val="0"/>
        <w:spacing w:line="560" w:lineRule="exact"/>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13</w:t>
      </w:r>
      <w:r>
        <w:rPr>
          <w:rFonts w:ascii="仿宋_GB2312" w:hAnsi="仿宋_GB2312" w:eastAsia="仿宋_GB2312" w:cs="仿宋_GB2312"/>
          <w:color w:val="auto"/>
          <w:sz w:val="32"/>
          <w:szCs w:val="32"/>
          <w:highlight w:val="none"/>
        </w:rPr>
        <w:t>日</w:t>
      </w:r>
    </w:p>
    <w:p w14:paraId="33D99F34">
      <w:pPr>
        <w:spacing w:line="560" w:lineRule="exact"/>
        <w:rPr>
          <w:color w:val="auto"/>
          <w:highlight w:val="none"/>
        </w:rPr>
      </w:pPr>
      <w:r>
        <w:rPr>
          <w:color w:val="auto"/>
          <w:highlight w:val="none"/>
        </w:rPr>
        <w:br w:type="page"/>
      </w:r>
    </w:p>
    <w:p w14:paraId="74651C2B">
      <w:pPr>
        <w:pStyle w:val="2"/>
        <w:bidi w:val="0"/>
        <w:spacing w:line="560" w:lineRule="exact"/>
        <w:jc w:val="center"/>
        <w:rPr>
          <w:color w:val="auto"/>
          <w:sz w:val="40"/>
          <w:szCs w:val="22"/>
          <w:highlight w:val="none"/>
        </w:rPr>
      </w:pPr>
      <w:r>
        <w:rPr>
          <w:rFonts w:hint="eastAsia"/>
          <w:color w:val="auto"/>
          <w:sz w:val="40"/>
          <w:szCs w:val="22"/>
          <w:highlight w:val="none"/>
        </w:rPr>
        <w:t>第一章</w:t>
      </w:r>
    </w:p>
    <w:p w14:paraId="330097CC">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深圳市龙岗区第七人民医院龙岭院区（除门诊楼外）4栋建筑房屋结构安全检测鉴定服务采购项目</w:t>
      </w:r>
      <w:r>
        <w:rPr>
          <w:rFonts w:hint="eastAsia" w:ascii="方正小标宋简体" w:hAnsi="方正小标宋简体" w:eastAsia="方正小标宋简体" w:cs="方正小标宋简体"/>
          <w:color w:val="auto"/>
          <w:sz w:val="44"/>
          <w:szCs w:val="44"/>
          <w:highlight w:val="none"/>
        </w:rPr>
        <w:t>院内公开采购的公告</w:t>
      </w:r>
    </w:p>
    <w:p w14:paraId="2EC640A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ascii="仿宋_GB2312" w:hAnsi="宋体" w:eastAsia="仿宋_GB2312"/>
          <w:color w:val="auto"/>
          <w:sz w:val="28"/>
          <w:szCs w:val="28"/>
          <w:highlight w:val="none"/>
        </w:rPr>
      </w:pPr>
    </w:p>
    <w:p w14:paraId="59EA1DF3">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14:paraId="53A105FE">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14:paraId="00B9417E">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yellow"/>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深龙七医采[LGQY2026ZW007]</w:t>
      </w:r>
    </w:p>
    <w:p w14:paraId="06571B07">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仿宋_GB2312" w:eastAsia="仿宋_GB2312" w:cs="仿宋_GB2312"/>
          <w:color w:val="auto"/>
          <w:kern w:val="2"/>
          <w:sz w:val="28"/>
          <w:szCs w:val="28"/>
          <w:highlight w:val="none"/>
          <w:lang w:val="en-US" w:eastAsia="zh-CN" w:bidi="ar-SA"/>
        </w:rPr>
        <w:t>深圳市龙岗区第七人民医院龙岭院区（除门诊楼外）4栋建筑房屋结构安全检测鉴定服务</w:t>
      </w:r>
    </w:p>
    <w:p w14:paraId="07F1C517">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14:paraId="2ECF69E9">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10.5万元</w:t>
      </w:r>
    </w:p>
    <w:p w14:paraId="12A8F7D2">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14:paraId="3D324DFC">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2A30AEB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5E9F27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3AE4DCD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7184DC8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4803901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6A423C5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4D7B78D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5E2578B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03B5330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6623DDC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3B22719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56B1EB0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25DEBA7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10.投标人须具有省级及以上建设行政主管部门颁发的《建设工程质量检测机构资质证书》，检测范围须同时包含主体结构工程现场检测和地基基础工程检测（提供证书复印件并加盖投标人公章，原件备查）。</w:t>
      </w:r>
    </w:p>
    <w:p w14:paraId="4446DB6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11.投标人须具有省级及以上质量技术监督部门颁发的《检验检测机构资质认定证书》（CMA认证）（提供证书复印件并加盖投标人公章，原件备查）。</w:t>
      </w:r>
    </w:p>
    <w:p w14:paraId="4F03896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12.投标人须位于深圳市住房和建设局发布的《深圳市房屋安全鉴定机构名录》内（提供名录截图证明）。</w:t>
      </w:r>
    </w:p>
    <w:p w14:paraId="06FC1756">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39EFDC18">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3CA965DF">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7A75BAED">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4F8D0CFD">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1BA24175">
      <w:pPr>
        <w:pStyle w:val="28"/>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49F91E49">
      <w:pPr>
        <w:pStyle w:val="28"/>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14:paraId="131CF4C2">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14:paraId="3609A950">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52E16C63">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14:paraId="19C04C4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（八）提供省级及以上建设行政主管部门颁发的《建设工程质量检测机构资质证书》复印件（检测范围须同时包含主体结构工程现场检测和地基基础工程检测）。</w:t>
      </w:r>
    </w:p>
    <w:p w14:paraId="0B49AFF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（九）提供省级及以上质量技术监督部门颁发的《检验检测机构资质认定证书》（CMA认证）复印件。</w:t>
      </w:r>
    </w:p>
    <w:p w14:paraId="3B5230BC">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（十）提供投标人位于深圳市住房和建设局发布的《深圳市房屋安全鉴定机构名录》内的截图证明。</w:t>
      </w:r>
    </w:p>
    <w:p w14:paraId="61479749">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14:paraId="3677B9E8">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w:t>
      </w:r>
    </w:p>
    <w:p w14:paraId="27AF7930">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2026年7月20日</w:t>
      </w:r>
      <w:bookmarkStart w:id="0" w:name="OLE_LINK1"/>
      <w:r>
        <w:rPr>
          <w:rFonts w:hint="eastAsia" w:ascii="仿宋_GB2312" w:hAnsi="仿宋_GB2312" w:eastAsia="仿宋_GB2312" w:cs="仿宋_GB2312"/>
          <w:color w:val="auto"/>
          <w:kern w:val="2"/>
          <w:sz w:val="28"/>
          <w:szCs w:val="28"/>
          <w:highlight w:val="none"/>
          <w:lang w:val="en-US" w:eastAsia="zh-CN" w:bidi="ar-SA"/>
        </w:rPr>
        <w:t>17:00</w:t>
      </w:r>
      <w:bookmarkEnd w:id="0"/>
      <w:r>
        <w:rPr>
          <w:rFonts w:hint="eastAsia" w:ascii="仿宋_GB2312" w:hAnsi="仿宋_GB2312" w:eastAsia="仿宋_GB2312" w:cs="仿宋_GB2312"/>
          <w:color w:val="auto"/>
          <w:kern w:val="2"/>
          <w:sz w:val="28"/>
          <w:szCs w:val="28"/>
          <w:highlight w:val="none"/>
          <w:lang w:val="en-US" w:eastAsia="zh-CN" w:bidi="ar-SA"/>
        </w:rPr>
        <w:t>，布吉街道吉华路175号综合楼810招采办。</w:t>
      </w:r>
    </w:p>
    <w:p w14:paraId="20A7BF95">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2026年7月21日15:00</w:t>
      </w:r>
      <w:bookmarkStart w:id="19" w:name="_GoBack"/>
      <w:bookmarkEnd w:id="19"/>
      <w:r>
        <w:rPr>
          <w:rFonts w:hint="eastAsia" w:ascii="仿宋_GB2312" w:hAnsi="仿宋_GB2312" w:eastAsia="仿宋_GB2312" w:cs="仿宋_GB2312"/>
          <w:color w:val="auto"/>
          <w:kern w:val="2"/>
          <w:sz w:val="28"/>
          <w:szCs w:val="28"/>
          <w:highlight w:val="none"/>
          <w:lang w:val="en-US" w:eastAsia="zh-CN" w:bidi="ar-SA"/>
        </w:rPr>
        <w:t>，深圳市龙岗区布吉街道吉华路175号龙岭院区综合楼1002会议室（如有变动，另行通知）。</w:t>
      </w:r>
    </w:p>
    <w:p w14:paraId="3DC2F881">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488F08F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sz w:val="32"/>
          <w:szCs w:val="32"/>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sz w:val="28"/>
          <w:szCs w:val="28"/>
        </w:rPr>
        <w:t>监督部门</w:t>
      </w:r>
    </w:p>
    <w:p w14:paraId="06F2228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医院纪审科监督联系电话:李女士，0755-28740471。</w:t>
      </w:r>
    </w:p>
    <w:p w14:paraId="56BF6E1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sz w:val="28"/>
          <w:szCs w:val="28"/>
        </w:rPr>
        <w:t>项目所属一级预算单位监督联系电话:0755-89551103。</w:t>
      </w:r>
    </w:p>
    <w:p w14:paraId="12056560">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十一、公告日期：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69355951">
      <w:pPr>
        <w:pStyle w:val="28"/>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附件：</w:t>
      </w:r>
    </w:p>
    <w:p w14:paraId="3FE96198">
      <w:pPr>
        <w:pStyle w:val="28"/>
        <w:keepNext w:val="0"/>
        <w:keepLines w:val="0"/>
        <w:pageBreakBefore w:val="0"/>
        <w:kinsoku/>
        <w:wordWrap/>
        <w:overflowPunct/>
        <w:topLinePunct w:val="0"/>
        <w:autoSpaceDE/>
        <w:autoSpaceDN/>
        <w:bidi w:val="0"/>
        <w:adjustRightInd/>
        <w:snapToGrid/>
        <w:spacing w:line="540" w:lineRule="exact"/>
        <w:ind w:left="0" w:leftChars="0" w:firstLine="56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14:paraId="5B1DCBC0">
      <w:pPr>
        <w:keepNext w:val="0"/>
        <w:keepLines w:val="0"/>
        <w:pageBreakBefore w:val="0"/>
        <w:kinsoku/>
        <w:wordWrap/>
        <w:overflowPunct/>
        <w:topLinePunct w:val="0"/>
        <w:autoSpaceDE/>
        <w:autoSpaceDN/>
        <w:bidi w:val="0"/>
        <w:adjustRightInd/>
        <w:snapToGrid/>
        <w:spacing w:line="540" w:lineRule="exact"/>
        <w:ind w:left="839" w:leftChars="266" w:hanging="280" w:hangingChars="100"/>
        <w:jc w:val="both"/>
        <w:textAlignment w:val="auto"/>
        <w:rPr>
          <w:rFonts w:hint="eastAsia" w:ascii="仿宋_GB2312" w:hAnsi="宋体" w:eastAsia="仿宋_GB2312"/>
          <w:color w:val="auto"/>
          <w:sz w:val="28"/>
          <w:szCs w:val="28"/>
          <w:highlight w:val="none"/>
          <w:lang w:val="en-US" w:eastAsia="zh-CN"/>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lang w:val="en-US" w:eastAsia="zh-CN"/>
        </w:rPr>
        <w:t>深圳市龙岗区第七人民医院龙岭院区（除门诊楼外）4栋建筑房屋</w:t>
      </w:r>
    </w:p>
    <w:p w14:paraId="731364E5">
      <w:pPr>
        <w:keepNext w:val="0"/>
        <w:keepLines w:val="0"/>
        <w:pageBreakBefore w:val="0"/>
        <w:kinsoku/>
        <w:wordWrap/>
        <w:overflowPunct/>
        <w:topLinePunct w:val="0"/>
        <w:autoSpaceDE/>
        <w:autoSpaceDN/>
        <w:bidi w:val="0"/>
        <w:adjustRightInd/>
        <w:snapToGrid/>
        <w:spacing w:line="540" w:lineRule="exact"/>
        <w:ind w:left="839" w:leftChars="266" w:hanging="280" w:hangingChars="100"/>
        <w:jc w:val="both"/>
        <w:textAlignment w:val="auto"/>
        <w:rPr>
          <w:rFonts w:ascii="仿宋_GB2312" w:eastAsia="仿宋_GB2312"/>
          <w:color w:val="auto"/>
          <w:sz w:val="28"/>
          <w:szCs w:val="28"/>
          <w:highlight w:val="none"/>
        </w:rPr>
      </w:pPr>
      <w:r>
        <w:rPr>
          <w:rFonts w:hint="eastAsia" w:ascii="仿宋_GB2312" w:hAnsi="宋体" w:eastAsia="仿宋_GB2312"/>
          <w:color w:val="auto"/>
          <w:sz w:val="28"/>
          <w:szCs w:val="28"/>
          <w:highlight w:val="none"/>
          <w:lang w:val="en-US" w:eastAsia="zh-CN"/>
        </w:rPr>
        <w:t>结构安全检测鉴定服务采购项目</w:t>
      </w:r>
      <w:r>
        <w:rPr>
          <w:rFonts w:hint="eastAsia" w:ascii="仿宋_GB2312" w:hAnsi="仿宋_GB2312" w:eastAsia="仿宋_GB2312" w:cs="仿宋_GB2312"/>
          <w:color w:val="auto"/>
          <w:kern w:val="2"/>
          <w:sz w:val="28"/>
          <w:szCs w:val="28"/>
          <w:highlight w:val="none"/>
          <w:lang w:val="en-US" w:eastAsia="zh-CN" w:bidi="ar-SA"/>
        </w:rPr>
        <w:t>招标文件</w:t>
      </w:r>
    </w:p>
    <w:p w14:paraId="3910D17E">
      <w:pPr>
        <w:pStyle w:val="28"/>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14:paraId="45936376">
      <w:pPr>
        <w:pStyle w:val="28"/>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hint="eastAsia" w:ascii="仿宋_GB2312" w:eastAsia="仿宋_GB2312"/>
          <w:color w:val="auto"/>
          <w:sz w:val="28"/>
          <w:szCs w:val="28"/>
          <w:highlight w:val="none"/>
        </w:rPr>
      </w:pPr>
    </w:p>
    <w:p w14:paraId="14ED501F">
      <w:pPr>
        <w:pStyle w:val="28"/>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3E031971">
      <w:pPr>
        <w:pStyle w:val="28"/>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2026年7月13日</w:t>
      </w:r>
    </w:p>
    <w:p w14:paraId="54FD3480">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2411AE9A">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院内公开采购项目需求</w:t>
      </w:r>
    </w:p>
    <w:p w14:paraId="3C49D615">
      <w:pPr>
        <w:pStyle w:val="26"/>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14:paraId="1B0B26D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trike/>
          <w:dstrike w:val="0"/>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kern w:val="2"/>
          <w:sz w:val="28"/>
          <w:szCs w:val="28"/>
          <w:highlight w:val="none"/>
          <w:lang w:val="en-US" w:eastAsia="zh-CN" w:bidi="ar-SA"/>
        </w:rPr>
        <w:t>我院拟开展深圳市龙岗区第七人民医院龙岭院区（除门诊楼外）4栋建筑房屋结构安全检测鉴定服务项目，对医技楼、综合楼、附属楼、外科楼4栋建筑开展房屋结构安全检测鉴定，为二消申报、技术复核及临建转永久工作提供必备的结构安全依据。</w:t>
      </w:r>
    </w:p>
    <w:p w14:paraId="2C6D6E56">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hAnsi="仿宋_GB2312" w:eastAsia="仿宋_GB2312" w:cs="仿宋_GB2312"/>
          <w:color w:val="auto"/>
          <w:kern w:val="0"/>
          <w:sz w:val="28"/>
          <w:szCs w:val="28"/>
          <w:highlight w:val="none"/>
          <w:lang w:val="en-US" w:eastAsia="zh-CN"/>
        </w:rPr>
        <w:t>10.5万</w:t>
      </w:r>
      <w:r>
        <w:rPr>
          <w:rFonts w:hint="eastAsia" w:ascii="仿宋_GB2312" w:hAnsi="仿宋_GB2312" w:eastAsia="仿宋_GB2312" w:cs="仿宋_GB2312"/>
          <w:color w:val="auto"/>
          <w:kern w:val="0"/>
          <w:sz w:val="28"/>
          <w:szCs w:val="28"/>
          <w:highlight w:val="none"/>
        </w:rPr>
        <w:t>元</w:t>
      </w:r>
      <w:r>
        <w:rPr>
          <w:rFonts w:hint="eastAsia" w:ascii="仿宋_GB2312" w:hAnsi="仿宋_GB2312" w:eastAsia="仿宋_GB2312" w:cs="仿宋_GB2312"/>
          <w:color w:val="auto"/>
          <w:kern w:val="0"/>
          <w:sz w:val="28"/>
          <w:szCs w:val="28"/>
          <w:highlight w:val="none"/>
          <w:lang w:eastAsia="zh-CN"/>
        </w:rPr>
        <w:t>。</w:t>
      </w:r>
    </w:p>
    <w:p w14:paraId="5D94726A">
      <w:pPr>
        <w:pStyle w:val="26"/>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132EC41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14:paraId="767D1C3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14:paraId="712204CD">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1BDF037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0E8C982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731875B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1EAFC86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485C76A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736B2A4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55EC014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6A3CFA8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43A25242">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78F10E9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00304DA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0F8E723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7C4B02E5">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10.投标人须具有省级及以上建设行政主管部门颁发的《建设工程质量检测机构资质证书》，检测范围须同时包含主体结构工程现场检测和地基基础工程检测（提供证书复印件并加盖投标人公章，原件备查）。</w:t>
      </w:r>
    </w:p>
    <w:p w14:paraId="7B4A3A8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11.投标人须具有省级及以上质量技术监督部门颁发的《检验检测机构资质认定证书》（CMA认证）（提供证书复印件并加盖投标人公章，原件备查）。</w:t>
      </w:r>
    </w:p>
    <w:p w14:paraId="65A1392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12.投标人须位于深圳市住房和建设局发布的《深圳市房屋安全鉴定机构名录》内（提供名录截图证明）。</w:t>
      </w:r>
    </w:p>
    <w:p w14:paraId="10683EA8">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六、服务内容及要求</w:t>
      </w:r>
    </w:p>
    <w:p w14:paraId="74013858">
      <w:pPr>
        <w:keepLines w:val="0"/>
        <w:pageBreakBefore w:val="0"/>
        <w:widowControl/>
        <w:numPr>
          <w:ilvl w:val="-1"/>
          <w:numId w:val="0"/>
        </w:numPr>
        <w:kinsoku/>
        <w:wordWrap/>
        <w:overflowPunct/>
        <w:topLinePunct w:val="0"/>
        <w:bidi w:val="0"/>
        <w:spacing w:line="560" w:lineRule="exact"/>
        <w:ind w:leftChars="0" w:firstLine="560" w:firstLineChars="200"/>
        <w:rPr>
          <w:rFonts w:hint="default"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一</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服务范围</w:t>
      </w:r>
    </w:p>
    <w:p w14:paraId="48A0061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lang w:val="en-US" w:eastAsia="zh-CN"/>
        </w:rPr>
      </w:pPr>
      <w:r>
        <w:rPr>
          <w:rFonts w:hint="eastAsia" w:ascii="仿宋_GB2312" w:hAnsi="仿宋_GB2312" w:eastAsia="仿宋_GB2312" w:cs="仿宋_GB2312"/>
          <w:color w:val="auto"/>
          <w:kern w:val="2"/>
          <w:sz w:val="28"/>
          <w:szCs w:val="28"/>
          <w:highlight w:val="none"/>
          <w:lang w:val="en-US" w:eastAsia="zh-CN" w:bidi="ar-SA"/>
        </w:rPr>
        <w:t>我院龙岭院区共有4栋建筑需纳入本次服务范围。</w:t>
      </w:r>
    </w:p>
    <w:tbl>
      <w:tblPr>
        <w:tblStyle w:val="19"/>
        <w:tblW w:w="0" w:type="auto"/>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3"/>
        <w:gridCol w:w="5139"/>
        <w:gridCol w:w="2710"/>
      </w:tblGrid>
      <w:tr w14:paraId="09B7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993" w:type="dxa"/>
            <w:tcBorders>
              <w:top w:val="single" w:color="auto" w:sz="4" w:space="0"/>
              <w:left w:val="single" w:color="auto" w:sz="0" w:space="0"/>
              <w:bottom w:val="single" w:color="auto" w:sz="4" w:space="0"/>
              <w:right w:val="single" w:color="auto" w:sz="4" w:space="0"/>
            </w:tcBorders>
            <w:noWrap w:val="0"/>
            <w:tcMar>
              <w:top w:w="150" w:type="dxa"/>
              <w:left w:w="0" w:type="dxa"/>
              <w:bottom w:w="150" w:type="dxa"/>
              <w:right w:w="240" w:type="dxa"/>
            </w:tcMar>
            <w:vAlign w:val="center"/>
          </w:tcPr>
          <w:p w14:paraId="1ACD7C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b/>
                <w:bCs/>
                <w:kern w:val="2"/>
                <w:sz w:val="28"/>
                <w:szCs w:val="28"/>
                <w:lang w:val="en-US" w:eastAsia="zh-CN" w:bidi="ar-SA"/>
              </w:rPr>
              <w:t>序号</w:t>
            </w:r>
          </w:p>
        </w:tc>
        <w:tc>
          <w:tcPr>
            <w:tcW w:w="513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26B828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b/>
                <w:bCs/>
                <w:kern w:val="2"/>
                <w:sz w:val="28"/>
                <w:szCs w:val="28"/>
                <w:lang w:val="en-US" w:eastAsia="zh-CN" w:bidi="ar-SA"/>
              </w:rPr>
              <w:t>建筑名称</w:t>
            </w:r>
          </w:p>
        </w:tc>
        <w:tc>
          <w:tcPr>
            <w:tcW w:w="271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4A0E2B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b/>
                <w:bCs/>
                <w:kern w:val="2"/>
                <w:sz w:val="28"/>
                <w:szCs w:val="28"/>
                <w:lang w:val="en-US" w:eastAsia="zh-CN" w:bidi="ar-SA"/>
              </w:rPr>
              <w:t>建筑面积（㎡）</w:t>
            </w:r>
          </w:p>
        </w:tc>
      </w:tr>
      <w:tr w14:paraId="1B63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3"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36CC56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b/>
                <w:bCs/>
                <w:kern w:val="2"/>
                <w:sz w:val="28"/>
                <w:szCs w:val="28"/>
                <w:lang w:val="en-US" w:eastAsia="zh-CN" w:bidi="ar-SA"/>
              </w:rPr>
              <w:t>1</w:t>
            </w:r>
          </w:p>
        </w:tc>
        <w:tc>
          <w:tcPr>
            <w:tcW w:w="513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208D6312">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外科楼</w:t>
            </w:r>
          </w:p>
        </w:tc>
        <w:tc>
          <w:tcPr>
            <w:tcW w:w="271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7B2FDF95">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2126.81</w:t>
            </w:r>
          </w:p>
        </w:tc>
      </w:tr>
      <w:tr w14:paraId="3154B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3"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3CB882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b/>
                <w:bCs/>
                <w:kern w:val="2"/>
                <w:sz w:val="28"/>
                <w:szCs w:val="28"/>
                <w:lang w:val="en-US" w:eastAsia="zh-CN" w:bidi="ar-SA"/>
              </w:rPr>
              <w:t>2</w:t>
            </w:r>
          </w:p>
        </w:tc>
        <w:tc>
          <w:tcPr>
            <w:tcW w:w="513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2ED4AFEF">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default" w:ascii="仿宋_GB2312" w:hAnsi="仿宋_GB2312" w:eastAsia="仿宋_GB2312" w:cs="仿宋_GB2312"/>
                <w:b w:val="0"/>
                <w:bCs w:val="0"/>
                <w:kern w:val="2"/>
                <w:sz w:val="28"/>
                <w:szCs w:val="28"/>
                <w:lang w:val="en-US" w:eastAsia="zh-CN" w:bidi="ar-SA"/>
              </w:rPr>
              <w:t>医技楼（含连廊）</w:t>
            </w:r>
          </w:p>
        </w:tc>
        <w:tc>
          <w:tcPr>
            <w:tcW w:w="271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3A1598A2">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default" w:ascii="仿宋_GB2312" w:hAnsi="仿宋_GB2312" w:eastAsia="仿宋_GB2312" w:cs="仿宋_GB2312"/>
                <w:b w:val="0"/>
                <w:bCs w:val="0"/>
                <w:kern w:val="2"/>
                <w:sz w:val="28"/>
                <w:szCs w:val="28"/>
                <w:lang w:val="en-US" w:eastAsia="zh-CN" w:bidi="ar-SA"/>
              </w:rPr>
              <w:t>5234.74</w:t>
            </w:r>
          </w:p>
        </w:tc>
      </w:tr>
      <w:tr w14:paraId="32D8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3"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1D4938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default" w:ascii="仿宋_GB2312" w:hAnsi="仿宋_GB2312" w:eastAsia="仿宋_GB2312" w:cs="仿宋_GB2312"/>
                <w:b/>
                <w:bCs/>
                <w:kern w:val="2"/>
                <w:sz w:val="28"/>
                <w:szCs w:val="28"/>
                <w:lang w:val="en-US" w:eastAsia="zh-CN" w:bidi="ar-SA"/>
              </w:rPr>
              <w:t>3</w:t>
            </w:r>
          </w:p>
        </w:tc>
        <w:tc>
          <w:tcPr>
            <w:tcW w:w="513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70905E29">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default" w:ascii="仿宋_GB2312" w:hAnsi="仿宋_GB2312" w:eastAsia="仿宋_GB2312" w:cs="仿宋_GB2312"/>
                <w:b w:val="0"/>
                <w:bCs w:val="0"/>
                <w:kern w:val="2"/>
                <w:sz w:val="28"/>
                <w:szCs w:val="28"/>
                <w:lang w:val="en-US" w:eastAsia="zh-CN" w:bidi="ar-SA"/>
              </w:rPr>
              <w:t>附属楼</w:t>
            </w:r>
          </w:p>
        </w:tc>
        <w:tc>
          <w:tcPr>
            <w:tcW w:w="271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73E95EDE">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904.79</w:t>
            </w:r>
          </w:p>
        </w:tc>
      </w:tr>
      <w:tr w14:paraId="4432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93" w:type="dxa"/>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536AC6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4</w:t>
            </w:r>
          </w:p>
        </w:tc>
        <w:tc>
          <w:tcPr>
            <w:tcW w:w="5139"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4EFBC73B">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综合楼</w:t>
            </w:r>
          </w:p>
        </w:tc>
        <w:tc>
          <w:tcPr>
            <w:tcW w:w="2710" w:type="dxa"/>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0925829D">
            <w:pPr>
              <w:pStyle w:val="32"/>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b w:val="0"/>
                <w:bCs w:val="0"/>
                <w:kern w:val="2"/>
                <w:sz w:val="28"/>
                <w:szCs w:val="28"/>
                <w:lang w:val="en-US" w:eastAsia="zh-CN" w:bidi="ar-SA"/>
              </w:rPr>
            </w:pPr>
            <w:r>
              <w:rPr>
                <w:rFonts w:hint="default" w:ascii="仿宋_GB2312" w:hAnsi="仿宋_GB2312" w:eastAsia="仿宋_GB2312" w:cs="仿宋_GB2312"/>
                <w:b w:val="0"/>
                <w:bCs w:val="0"/>
                <w:kern w:val="2"/>
                <w:sz w:val="28"/>
                <w:szCs w:val="28"/>
                <w:lang w:val="en-US" w:eastAsia="zh-CN" w:bidi="ar-SA"/>
              </w:rPr>
              <w:t>9028.89</w:t>
            </w:r>
          </w:p>
        </w:tc>
      </w:tr>
    </w:tbl>
    <w:p w14:paraId="4A8178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次采购房屋结构安全检测鉴定服务为是二次消防申报的必备材料之一，如不能及时出具，将直接影响二消申报工作；外科楼虽已有二消手续，但后期办理临建转永久需此报告作为关键资料；同时4栋建筑均涉及医疗设备放置、功能布局调整，需对楼层承重性进行专项评估，确保结构安全。</w:t>
      </w:r>
    </w:p>
    <w:p w14:paraId="011A400D">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二</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服务内容</w:t>
      </w:r>
    </w:p>
    <w:p w14:paraId="008C03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1.主体结构工程现场检测：结构构件（梁、板、柱、墙等）强度、变形、裂缝检测；结构整体稳定性与抗震性能评估；既有建筑结构损伤调查与安全性评级；</w:t>
      </w:r>
    </w:p>
    <w:p w14:paraId="025C8A7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2.地基基础工程检测：地基基础检测：检测上部结构是否存在因地基不均匀沉降引起构件开裂、变形、位移等不良反应以及整体结构是否出现明显倾斜现象，根据检测结果判断地基基础稳定性；</w:t>
      </w:r>
    </w:p>
    <w:p w14:paraId="479D56A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楼层承重性评估（重点）：对楼板、梁、柱等主要承重构件进行承载能力验算，明确各楼层的设计活荷载标准值及当前实际承载能力，评估是否满足医院业务用房（如病房、诊室、设备放置等）的使用要求；针对拟放置大型医疗设备（如CT、DR、核磁等）的区域，进行专项局部承重验算，出具明确的荷载限值及安全使用建议；</w:t>
      </w:r>
    </w:p>
    <w:p w14:paraId="0A1E3DA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4.承载力复核：结合消防整改、临建转永久及后续改造需求，对关键构件进行综合承载力验算。</w:t>
      </w:r>
    </w:p>
    <w:p w14:paraId="732DC801">
      <w:pPr>
        <w:keepLines w:val="0"/>
        <w:pageBreakBefore w:val="0"/>
        <w:widowControl/>
        <w:numPr>
          <w:ilvl w:val="-1"/>
          <w:numId w:val="0"/>
        </w:numPr>
        <w:kinsoku/>
        <w:wordWrap/>
        <w:overflowPunct/>
        <w:topLinePunct w:val="0"/>
        <w:bidi w:val="0"/>
        <w:spacing w:line="560" w:lineRule="exact"/>
        <w:ind w:leftChars="0" w:firstLine="560" w:firstLineChars="200"/>
        <w:rPr>
          <w:rFonts w:hint="default"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三</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服务要求</w:t>
      </w:r>
    </w:p>
    <w:p w14:paraId="216339A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1.各栋建筑分别出具加盖检测鉴定单位公章的《房屋结构安全检测鉴定报告》；报告须包含楼层承重性评估专篇，明确各楼层荷载限值及安全使用建议；提供纸质报告一式四份及电子版一份。</w:t>
      </w:r>
    </w:p>
    <w:p w14:paraId="56938E6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2.中标人须对其出具的报告真实性、准确性、合法性负责。若因报告问题导致采购人做出错误决策并造成损失的，中标人应承担相应法律责任及经济赔偿。</w:t>
      </w:r>
    </w:p>
    <w:p w14:paraId="62150CA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3.中标人应遵守采购人医院内的安全管理规定，在检测过程中做好安全防护措施，因中标人原因造成的人员伤亡或财产损失，由中标人自行承担。</w:t>
      </w:r>
    </w:p>
    <w:p w14:paraId="34905C2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lang w:val="en-US" w:eastAsia="zh-CN"/>
        </w:rPr>
      </w:pPr>
      <w:r>
        <w:rPr>
          <w:rFonts w:hint="eastAsia" w:ascii="仿宋_GB2312" w:hAnsi="仿宋_GB2312" w:eastAsia="仿宋_GB2312" w:cs="仿宋_GB2312"/>
          <w:b w:val="0"/>
          <w:bCs w:val="0"/>
          <w:color w:val="auto"/>
          <w:sz w:val="28"/>
          <w:szCs w:val="28"/>
          <w:highlight w:val="none"/>
          <w:lang w:val="en-US" w:eastAsia="zh-CN"/>
        </w:rPr>
        <w:t>4.检测过程中如需对建筑结构进行微破损检测，须提前征得采购人书面同意，并在检测完成后按要求进行修复（费用自理）。</w:t>
      </w:r>
    </w:p>
    <w:p w14:paraId="671E8D8D">
      <w:pPr>
        <w:keepLines w:val="0"/>
        <w:pageBreakBefore w:val="0"/>
        <w:widowControl/>
        <w:numPr>
          <w:ilvl w:val="-1"/>
          <w:numId w:val="0"/>
        </w:numPr>
        <w:kinsoku/>
        <w:wordWrap/>
        <w:overflowPunct/>
        <w:topLinePunct w:val="0"/>
        <w:bidi w:val="0"/>
        <w:spacing w:line="560" w:lineRule="exact"/>
        <w:ind w:leftChars="0" w:firstLine="560" w:firstLineChars="200"/>
        <w:rPr>
          <w:rFonts w:hint="default"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（四）商务要求</w:t>
      </w:r>
    </w:p>
    <w:p w14:paraId="506826B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1.服务</w:t>
      </w:r>
      <w:r>
        <w:rPr>
          <w:rFonts w:hint="eastAsia" w:ascii="仿宋_GB2312" w:hAnsi="仿宋_GB2312" w:eastAsia="仿宋_GB2312" w:cs="仿宋_GB2312"/>
          <w:b w:val="0"/>
          <w:bCs w:val="0"/>
          <w:color w:val="auto"/>
          <w:sz w:val="28"/>
          <w:szCs w:val="28"/>
          <w:highlight w:val="none"/>
          <w:lang w:eastAsia="zh-CN"/>
        </w:rPr>
        <w:t>期</w:t>
      </w:r>
      <w:r>
        <w:rPr>
          <w:rFonts w:hint="eastAsia" w:ascii="仿宋_GB2312" w:hAnsi="仿宋_GB2312" w:eastAsia="仿宋_GB2312" w:cs="仿宋_GB2312"/>
          <w:b w:val="0"/>
          <w:bCs w:val="0"/>
          <w:color w:val="auto"/>
          <w:sz w:val="28"/>
          <w:szCs w:val="28"/>
          <w:highlight w:val="none"/>
          <w:lang w:val="en-US" w:eastAsia="zh-CN"/>
        </w:rPr>
        <w:t>限</w:t>
      </w:r>
      <w:r>
        <w:rPr>
          <w:rFonts w:hint="eastAsia" w:ascii="仿宋_GB2312" w:hAnsi="仿宋_GB2312" w:eastAsia="仿宋_GB2312" w:cs="仿宋_GB2312"/>
          <w:b w:val="0"/>
          <w:bCs w:val="0"/>
          <w:color w:val="auto"/>
          <w:sz w:val="28"/>
          <w:szCs w:val="28"/>
          <w:highlight w:val="none"/>
          <w:lang w:eastAsia="zh-CN"/>
        </w:rPr>
        <w:t>：自合同签订之日起40日（日历日）内完成全部现场检测、评估并出具正式检测鉴定报告，完成全部服务并提交全部成果资料。（</w:t>
      </w:r>
      <w:r>
        <w:rPr>
          <w:rFonts w:hint="eastAsia" w:ascii="仿宋_GB2312" w:hAnsi="仿宋_GB2312" w:eastAsia="仿宋_GB2312" w:cs="仿宋_GB2312"/>
          <w:b w:val="0"/>
          <w:bCs w:val="0"/>
          <w:color w:val="auto"/>
          <w:sz w:val="28"/>
          <w:szCs w:val="28"/>
          <w:highlight w:val="none"/>
        </w:rPr>
        <w:t>日历日为自然天，包括双休日及法定节假日，不等同于工作日；投标文件中的交货期条款为不可负偏离条款，若投标文件中响应的</w:t>
      </w:r>
      <w:r>
        <w:rPr>
          <w:rFonts w:hint="eastAsia" w:ascii="仿宋_GB2312" w:hAnsi="仿宋_GB2312" w:eastAsia="仿宋_GB2312" w:cs="仿宋_GB2312"/>
          <w:b w:val="0"/>
          <w:bCs w:val="0"/>
          <w:color w:val="auto"/>
          <w:sz w:val="28"/>
          <w:szCs w:val="28"/>
          <w:highlight w:val="none"/>
          <w:lang w:val="en-US" w:eastAsia="zh-CN"/>
        </w:rPr>
        <w:t>服务</w:t>
      </w:r>
      <w:r>
        <w:rPr>
          <w:rFonts w:hint="eastAsia" w:ascii="仿宋_GB2312" w:hAnsi="仿宋_GB2312" w:eastAsia="仿宋_GB2312" w:cs="仿宋_GB2312"/>
          <w:b w:val="0"/>
          <w:bCs w:val="0"/>
          <w:color w:val="auto"/>
          <w:sz w:val="28"/>
          <w:szCs w:val="28"/>
          <w:highlight w:val="none"/>
        </w:rPr>
        <w:t>期超过招标文件规定期限时，其投标文件按投标无效处理。）</w:t>
      </w:r>
    </w:p>
    <w:p w14:paraId="24B1C17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交货地点：深圳</w:t>
      </w:r>
      <w:r>
        <w:rPr>
          <w:rFonts w:hint="eastAsia" w:ascii="仿宋_GB2312" w:hAnsi="仿宋_GB2312" w:eastAsia="仿宋_GB2312" w:cs="仿宋_GB2312"/>
          <w:b w:val="0"/>
          <w:bCs w:val="0"/>
          <w:color w:val="auto"/>
          <w:sz w:val="28"/>
          <w:szCs w:val="28"/>
          <w:highlight w:val="none"/>
          <w:lang w:val="en-US" w:eastAsia="zh-CN"/>
        </w:rPr>
        <w:t>市</w:t>
      </w:r>
      <w:r>
        <w:rPr>
          <w:rFonts w:hint="eastAsia" w:ascii="仿宋_GB2312" w:hAnsi="仿宋_GB2312" w:eastAsia="仿宋_GB2312" w:cs="仿宋_GB2312"/>
          <w:b w:val="0"/>
          <w:bCs w:val="0"/>
          <w:color w:val="auto"/>
          <w:sz w:val="28"/>
          <w:szCs w:val="28"/>
          <w:highlight w:val="none"/>
        </w:rPr>
        <w:t>龙岗区</w:t>
      </w:r>
      <w:r>
        <w:rPr>
          <w:rFonts w:hint="eastAsia" w:ascii="仿宋_GB2312" w:hAnsi="仿宋_GB2312" w:eastAsia="仿宋_GB2312" w:cs="仿宋_GB2312"/>
          <w:b w:val="0"/>
          <w:bCs w:val="0"/>
          <w:color w:val="auto"/>
          <w:sz w:val="28"/>
          <w:szCs w:val="28"/>
          <w:highlight w:val="none"/>
          <w:lang w:val="en-US" w:eastAsia="zh-CN"/>
        </w:rPr>
        <w:t>第七</w:t>
      </w:r>
      <w:r>
        <w:rPr>
          <w:rFonts w:hint="eastAsia" w:ascii="仿宋_GB2312" w:hAnsi="仿宋_GB2312" w:eastAsia="仿宋_GB2312" w:cs="仿宋_GB2312"/>
          <w:b w:val="0"/>
          <w:bCs w:val="0"/>
          <w:color w:val="auto"/>
          <w:sz w:val="28"/>
          <w:szCs w:val="28"/>
          <w:highlight w:val="none"/>
        </w:rPr>
        <w:t>人民医院。</w:t>
      </w:r>
    </w:p>
    <w:p w14:paraId="0203F4F0">
      <w:pPr>
        <w:snapToGrid w:val="0"/>
        <w:spacing w:line="560" w:lineRule="exact"/>
        <w:ind w:firstLine="560" w:firstLineChars="200"/>
        <w:rPr>
          <w:rFonts w:hint="default" w:ascii="仿宋_GB2312" w:hAnsi="仿宋_GB2312" w:eastAsia="仿宋_GB2312" w:cs="仿宋_GB2312"/>
          <w:b w:val="0"/>
          <w:bCs w:val="0"/>
          <w:color w:val="auto"/>
          <w:sz w:val="28"/>
          <w:szCs w:val="28"/>
          <w:highlight w:val="none"/>
          <w:lang w:val="en-US"/>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付款方式：</w:t>
      </w:r>
      <w:r>
        <w:rPr>
          <w:rFonts w:hint="eastAsia" w:ascii="仿宋_GB2312" w:hAnsi="仿宋_GB2312" w:eastAsia="仿宋_GB2312" w:cs="仿宋_GB2312"/>
          <w:b w:val="0"/>
          <w:bCs w:val="0"/>
          <w:color w:val="auto"/>
          <w:sz w:val="28"/>
          <w:szCs w:val="28"/>
          <w:highlight w:val="none"/>
          <w:lang w:eastAsia="zh-CN"/>
        </w:rPr>
        <w:t>中标人完成全部检测及评估工作，提交正式、有效的检测鉴定报告（含楼层承重性评估专篇），且经采购人验收合格后，中标人开具合法有效的全额发票，采购人在收到发票后10个工作日内一次性支付全部合同款项。</w:t>
      </w:r>
      <w:r>
        <w:rPr>
          <w:rFonts w:hint="eastAsia" w:ascii="仿宋_GB2312" w:hAnsi="仿宋_GB2312" w:eastAsia="仿宋_GB2312" w:cs="仿宋_GB2312"/>
          <w:b w:val="0"/>
          <w:bCs w:val="0"/>
          <w:color w:val="auto"/>
          <w:sz w:val="28"/>
          <w:szCs w:val="28"/>
          <w:highlight w:val="none"/>
          <w:lang w:val="en-US" w:eastAsia="zh-CN"/>
        </w:rPr>
        <w:t>如采购人需暂停某栋楼宇检测工作，则服务费据实结算。</w:t>
      </w:r>
    </w:p>
    <w:p w14:paraId="6BBF895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报价要求：人民币报价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精确到小数点后两位。投标报价总额上限为10.5万元</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在投标报价总额基础上，投标人应对各楼宇进行分项报价，总额需保持一致。</w:t>
      </w:r>
      <w:r>
        <w:rPr>
          <w:rFonts w:hint="eastAsia" w:ascii="仿宋_GB2312" w:hAnsi="仿宋_GB2312" w:eastAsia="仿宋_GB2312" w:cs="仿宋_GB2312"/>
          <w:color w:val="auto"/>
          <w:sz w:val="28"/>
          <w:szCs w:val="28"/>
          <w:highlight w:val="none"/>
        </w:rPr>
        <w:t>投标人应结合项目需求、市场行情及企业自身因素，自行填报投标总价。报价应包括检测费、验算费、报告编制费、人工费、设备费、交通费、税金等为完成本项目所需的一切费用。</w:t>
      </w:r>
    </w:p>
    <w:p w14:paraId="628E9397">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val="en-US" w:eastAsia="zh-CN"/>
        </w:rPr>
        <w:t>（五）验收及售后服务</w:t>
      </w:r>
    </w:p>
    <w:p w14:paraId="553F745C">
      <w:pPr>
        <w:pStyle w:val="26"/>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人提交的报告存在弄虚作假、重大遗漏或错误（特别是楼层承重性评估结论严重失实），导致采购人做出错误决策并造成损失的，采购人有权解除合同，要求中标人退还已收取的全部款项，并赔偿采购人全部损失。</w:t>
      </w:r>
    </w:p>
    <w:p w14:paraId="4FAA5285">
      <w:pPr>
        <w:pStyle w:val="26"/>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2.中标人须对其出具的报告真实性、准确性、合法性负责。若因报告问题导致采购人做出错误决策并造成损失的，中标人应承担相应法律责任及经济赔偿。</w:t>
      </w:r>
    </w:p>
    <w:p w14:paraId="6D913BD7">
      <w:pPr>
        <w:pStyle w:val="26"/>
        <w:keepNext w:val="0"/>
        <w:keepLines w:val="0"/>
        <w:pageBreakBefore w:val="0"/>
        <w:numPr>
          <w:ilvl w:val="-1"/>
          <w:numId w:val="0"/>
        </w:numPr>
        <w:kinsoku/>
        <w:wordWrap/>
        <w:overflowPunct/>
        <w:topLinePunct w:val="0"/>
        <w:autoSpaceDE/>
        <w:autoSpaceDN/>
        <w:bidi w:val="0"/>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kern w:val="2"/>
          <w:sz w:val="28"/>
          <w:szCs w:val="28"/>
          <w:highlight w:val="none"/>
          <w:lang w:val="en-US" w:eastAsia="zh-CN" w:bidi="ar-SA"/>
        </w:rPr>
        <w:t>3.报告提交后，若采购人对报告内容有疑问（特别是楼层承重性评估结论），中标人应免费提供解释说明；若因采购人原因导致检测条件或设备参数发生变化，需要调整报告的，双方另行协商。</w:t>
      </w:r>
    </w:p>
    <w:p w14:paraId="58200B5D">
      <w:pPr>
        <w:pStyle w:val="38"/>
        <w:spacing w:line="360" w:lineRule="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（六）违约责任</w:t>
      </w:r>
    </w:p>
    <w:p w14:paraId="2100510F">
      <w:pPr>
        <w:pStyle w:val="38"/>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中标人未能按合同约定的时间（合同签订后40个日历日内）提交检测鉴定报告的，每逾期一日，应按合同总金额的1%向采购人支付违约金；逾期超过15日的，采购人有权单方解除合同，并要求中标人赔偿损失。</w:t>
      </w:r>
    </w:p>
    <w:p w14:paraId="3B4976D1">
      <w:pPr>
        <w:pStyle w:val="38"/>
        <w:spacing w:line="360" w:lineRule="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val="0"/>
          <w:bCs w:val="0"/>
          <w:color w:val="auto"/>
          <w:kern w:val="2"/>
          <w:sz w:val="28"/>
          <w:szCs w:val="28"/>
          <w:highlight w:val="none"/>
          <w:lang w:val="en-US" w:eastAsia="zh-CN" w:bidi="ar-SA"/>
        </w:rPr>
        <w:t>（七）签订合同</w:t>
      </w:r>
    </w:p>
    <w:p w14:paraId="5365A2CE">
      <w:pPr>
        <w:pStyle w:val="38"/>
        <w:spacing w:line="360" w:lineRule="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采购人和中标人应当自中标通知书发出之日起十个工作日内，按照招标文件和中标人的投标文件订立书面合同。</w:t>
      </w:r>
    </w:p>
    <w:p w14:paraId="0A27A723">
      <w:pPr>
        <w:pStyle w:val="26"/>
        <w:keepNext w:val="0"/>
        <w:keepLines w:val="0"/>
        <w:pageBreakBefore w:val="0"/>
        <w:numPr>
          <w:ilvl w:val="-1"/>
          <w:numId w:val="0"/>
        </w:numPr>
        <w:kinsoku/>
        <w:wordWrap/>
        <w:overflowPunct/>
        <w:topLinePunct w:val="0"/>
        <w:autoSpaceDE/>
        <w:autoSpaceDN/>
        <w:bidi w:val="0"/>
        <w:snapToGrid/>
        <w:spacing w:line="560" w:lineRule="exact"/>
        <w:textAlignment w:val="auto"/>
        <w:rPr>
          <w:rFonts w:hint="eastAsia" w:ascii="仿宋_GB2312" w:hAnsi="仿宋_GB2312" w:eastAsia="仿宋_GB2312" w:cs="仿宋_GB2312"/>
          <w:color w:val="auto"/>
          <w:kern w:val="2"/>
          <w:sz w:val="28"/>
          <w:szCs w:val="28"/>
          <w:highlight w:val="none"/>
          <w:lang w:val="en-US" w:eastAsia="zh-CN" w:bidi="ar-SA"/>
        </w:rPr>
      </w:pPr>
    </w:p>
    <w:p w14:paraId="75905F7A">
      <w:pPr>
        <w:keepLines w:val="0"/>
        <w:pageBreakBefore w:val="0"/>
        <w:kinsoku/>
        <w:wordWrap/>
        <w:overflowPunct/>
        <w:topLinePunct w:val="0"/>
        <w:bidi w:val="0"/>
        <w:ind w:firstLineChars="200"/>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br w:type="page"/>
      </w:r>
    </w:p>
    <w:p w14:paraId="447CA943">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14:paraId="5FB52188">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14:paraId="030ED7F4">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14:paraId="1B34C174">
      <w:pPr>
        <w:spacing w:line="3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评标方法：综合评分法。按照招标文件中规定的各项因素进行量化打分，以评标总得分的平均分最高的投标人为中标候选供应商；采购人根据评标委员会评审结果确定中标候选供应商为中标人。</w:t>
      </w:r>
    </w:p>
    <w:p w14:paraId="36E517E8">
      <w:pPr>
        <w:spacing w:line="3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综合评分法中的价格分统一采用低价优先法计算,即满足采购文件要求且投标价格最低的投标报价为评标基准价,其价格分为满分。其他投标人的价格分统一按照下列公式计算：投标报价得分=(评标基准价/投标报价)×权重。</w:t>
      </w:r>
    </w:p>
    <w:p w14:paraId="505E1F11">
      <w:pPr>
        <w:keepLines w:val="0"/>
        <w:pageBreakBefore w:val="0"/>
        <w:numPr>
          <w:ilvl w:val="0"/>
          <w:numId w:val="2"/>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935"/>
        <w:gridCol w:w="930"/>
        <w:gridCol w:w="5097"/>
      </w:tblGrid>
      <w:tr w14:paraId="6106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282E41FF">
            <w:pPr>
              <w:spacing w:line="360" w:lineRule="exact"/>
              <w:jc w:val="center"/>
              <w:rPr>
                <w:b/>
                <w:bCs/>
                <w:color w:val="auto"/>
                <w:sz w:val="22"/>
                <w:highlight w:val="none"/>
              </w:rPr>
            </w:pPr>
            <w:r>
              <w:rPr>
                <w:b/>
                <w:bCs/>
                <w:color w:val="auto"/>
                <w:sz w:val="22"/>
                <w:highlight w:val="none"/>
              </w:rPr>
              <w:t>评分项</w:t>
            </w:r>
          </w:p>
        </w:tc>
        <w:tc>
          <w:tcPr>
            <w:tcW w:w="5097" w:type="dxa"/>
            <w:tcBorders>
              <w:top w:val="single" w:color="auto" w:sz="4" w:space="0"/>
              <w:left w:val="single" w:color="auto" w:sz="4" w:space="0"/>
              <w:bottom w:val="single" w:color="auto" w:sz="4" w:space="0"/>
              <w:right w:val="single" w:color="auto" w:sz="4" w:space="0"/>
            </w:tcBorders>
            <w:vAlign w:val="center"/>
          </w:tcPr>
          <w:p w14:paraId="7BF5AF4F">
            <w:pPr>
              <w:spacing w:line="360" w:lineRule="exact"/>
              <w:jc w:val="center"/>
              <w:rPr>
                <w:b/>
                <w:bCs/>
                <w:color w:val="auto"/>
                <w:sz w:val="22"/>
                <w:highlight w:val="none"/>
              </w:rPr>
            </w:pPr>
            <w:r>
              <w:rPr>
                <w:b/>
                <w:bCs/>
                <w:color w:val="auto"/>
                <w:sz w:val="22"/>
                <w:highlight w:val="none"/>
              </w:rPr>
              <w:t>分值</w:t>
            </w:r>
          </w:p>
        </w:tc>
      </w:tr>
      <w:tr w14:paraId="06BC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0877E6E4">
            <w:pPr>
              <w:spacing w:line="360" w:lineRule="exact"/>
              <w:jc w:val="center"/>
              <w:rPr>
                <w:b/>
                <w:bCs/>
                <w:color w:val="auto"/>
                <w:sz w:val="22"/>
                <w:highlight w:val="none"/>
              </w:rPr>
            </w:pPr>
            <w:r>
              <w:rPr>
                <w:b/>
                <w:bCs/>
                <w:color w:val="auto"/>
                <w:sz w:val="22"/>
                <w:highlight w:val="none"/>
              </w:rPr>
              <w:t>价格</w:t>
            </w:r>
          </w:p>
        </w:tc>
        <w:tc>
          <w:tcPr>
            <w:tcW w:w="5097" w:type="dxa"/>
            <w:tcBorders>
              <w:top w:val="single" w:color="auto" w:sz="4" w:space="0"/>
              <w:left w:val="single" w:color="auto" w:sz="4" w:space="0"/>
              <w:bottom w:val="single" w:color="auto" w:sz="4" w:space="0"/>
              <w:right w:val="single" w:color="auto" w:sz="4" w:space="0"/>
            </w:tcBorders>
            <w:vAlign w:val="center"/>
          </w:tcPr>
          <w:p w14:paraId="1948F125">
            <w:pPr>
              <w:spacing w:line="360" w:lineRule="exact"/>
              <w:jc w:val="center"/>
              <w:rPr>
                <w:rFonts w:hint="default" w:eastAsia="宋体"/>
                <w:b/>
                <w:bCs/>
                <w:color w:val="auto"/>
                <w:sz w:val="22"/>
                <w:highlight w:val="none"/>
                <w:lang w:val="en-US" w:eastAsia="zh-CN"/>
              </w:rPr>
            </w:pPr>
            <w:r>
              <w:rPr>
                <w:rFonts w:hint="eastAsia"/>
                <w:b/>
                <w:bCs/>
                <w:color w:val="auto"/>
                <w:sz w:val="22"/>
                <w:highlight w:val="none"/>
                <w:lang w:val="en-US" w:eastAsia="zh-CN"/>
              </w:rPr>
              <w:t>10</w:t>
            </w:r>
          </w:p>
        </w:tc>
      </w:tr>
      <w:tr w14:paraId="6D55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517FF76C">
            <w:pPr>
              <w:spacing w:line="360" w:lineRule="exact"/>
              <w:jc w:val="center"/>
              <w:rPr>
                <w:b/>
                <w:bCs/>
                <w:color w:val="auto"/>
                <w:sz w:val="22"/>
                <w:highlight w:val="none"/>
              </w:rPr>
            </w:pPr>
            <w:r>
              <w:rPr>
                <w:b/>
                <w:bCs/>
                <w:color w:val="auto"/>
                <w:sz w:val="22"/>
                <w:highlight w:val="none"/>
              </w:rPr>
              <w:t>技术部分</w:t>
            </w:r>
          </w:p>
        </w:tc>
        <w:tc>
          <w:tcPr>
            <w:tcW w:w="5097" w:type="dxa"/>
            <w:tcBorders>
              <w:top w:val="single" w:color="auto" w:sz="4" w:space="0"/>
              <w:left w:val="single" w:color="auto" w:sz="4" w:space="0"/>
              <w:bottom w:val="single" w:color="auto" w:sz="4" w:space="0"/>
              <w:right w:val="single" w:color="auto" w:sz="4" w:space="0"/>
            </w:tcBorders>
            <w:vAlign w:val="center"/>
          </w:tcPr>
          <w:p w14:paraId="79B4F567">
            <w:pPr>
              <w:pStyle w:val="11"/>
              <w:spacing w:line="360" w:lineRule="exact"/>
              <w:jc w:val="center"/>
              <w:rPr>
                <w:rFonts w:hint="default" w:hAnsi="Times New Roman" w:eastAsia="宋体"/>
                <w:color w:val="auto"/>
                <w:sz w:val="22"/>
                <w:szCs w:val="22"/>
                <w:highlight w:val="none"/>
                <w:lang w:val="en-US" w:eastAsia="zh-CN"/>
              </w:rPr>
            </w:pPr>
            <w:r>
              <w:rPr>
                <w:rFonts w:hint="eastAsia" w:hAnsi="Times New Roman"/>
                <w:b/>
                <w:bCs/>
                <w:color w:val="auto"/>
                <w:sz w:val="22"/>
                <w:szCs w:val="22"/>
                <w:highlight w:val="none"/>
                <w:lang w:val="en-US" w:eastAsia="zh-CN"/>
              </w:rPr>
              <w:t>52</w:t>
            </w:r>
          </w:p>
        </w:tc>
      </w:tr>
      <w:tr w14:paraId="594B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5F0DB707">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6BCB2E1E">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4078B4E8">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1DEFF6A0">
            <w:pPr>
              <w:spacing w:line="360" w:lineRule="exact"/>
              <w:jc w:val="center"/>
              <w:rPr>
                <w:color w:val="auto"/>
                <w:sz w:val="22"/>
                <w:highlight w:val="none"/>
              </w:rPr>
            </w:pPr>
            <w:r>
              <w:rPr>
                <w:color w:val="auto"/>
                <w:sz w:val="22"/>
                <w:highlight w:val="none"/>
              </w:rPr>
              <w:t>评分准则</w:t>
            </w:r>
          </w:p>
        </w:tc>
      </w:tr>
      <w:tr w14:paraId="72CF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32FD5E58">
            <w:pPr>
              <w:jc w:val="center"/>
              <w:rPr>
                <w:color w:val="auto"/>
                <w:sz w:val="22"/>
                <w:highlight w:val="none"/>
              </w:rPr>
            </w:pPr>
            <w:r>
              <w:rPr>
                <w:rFonts w:hint="eastAsia"/>
                <w:szCs w:val="21"/>
              </w:rPr>
              <w:t>1</w:t>
            </w:r>
          </w:p>
        </w:tc>
        <w:tc>
          <w:tcPr>
            <w:tcW w:w="1935" w:type="dxa"/>
            <w:tcBorders>
              <w:top w:val="single" w:color="auto" w:sz="4" w:space="0"/>
              <w:left w:val="single" w:color="auto" w:sz="4" w:space="0"/>
              <w:bottom w:val="single" w:color="auto" w:sz="4" w:space="0"/>
              <w:right w:val="single" w:color="auto" w:sz="4" w:space="0"/>
            </w:tcBorders>
            <w:vAlign w:val="center"/>
          </w:tcPr>
          <w:p w14:paraId="24594EA5">
            <w:pPr>
              <w:jc w:val="center"/>
              <w:rPr>
                <w:color w:val="auto"/>
                <w:sz w:val="22"/>
                <w:highlight w:val="none"/>
              </w:rPr>
            </w:pPr>
            <w:r>
              <w:rPr>
                <w:rFonts w:hint="eastAsia" w:ascii="宋体" w:hAnsi="宋体"/>
                <w:szCs w:val="21"/>
              </w:rPr>
              <w:t>项目团队配置及专业能力</w:t>
            </w:r>
          </w:p>
        </w:tc>
        <w:tc>
          <w:tcPr>
            <w:tcW w:w="930" w:type="dxa"/>
            <w:tcBorders>
              <w:top w:val="single" w:color="auto" w:sz="4" w:space="0"/>
              <w:left w:val="single" w:color="auto" w:sz="4" w:space="0"/>
              <w:bottom w:val="single" w:color="auto" w:sz="4" w:space="0"/>
              <w:right w:val="single" w:color="auto" w:sz="4" w:space="0"/>
            </w:tcBorders>
            <w:vAlign w:val="center"/>
          </w:tcPr>
          <w:p w14:paraId="2F7087F8">
            <w:pPr>
              <w:jc w:val="center"/>
              <w:rPr>
                <w:rFonts w:hint="default" w:eastAsia="宋体"/>
                <w:color w:val="auto"/>
                <w:sz w:val="22"/>
                <w:highlight w:val="none"/>
                <w:lang w:val="en-US" w:eastAsia="zh-CN"/>
              </w:rPr>
            </w:pPr>
            <w:r>
              <w:rPr>
                <w:rFonts w:hint="eastAsia" w:ascii="宋体" w:hAnsi="宋体"/>
                <w:szCs w:val="21"/>
                <w:lang w:val="en-US" w:eastAsia="zh-CN"/>
              </w:rPr>
              <w:t>15</w:t>
            </w:r>
          </w:p>
        </w:tc>
        <w:tc>
          <w:tcPr>
            <w:tcW w:w="5097" w:type="dxa"/>
            <w:tcBorders>
              <w:top w:val="single" w:color="auto" w:sz="4" w:space="0"/>
              <w:left w:val="single" w:color="auto" w:sz="4" w:space="0"/>
              <w:bottom w:val="single" w:color="auto" w:sz="4" w:space="0"/>
              <w:right w:val="single" w:color="auto" w:sz="4" w:space="0"/>
            </w:tcBorders>
            <w:vAlign w:val="top"/>
          </w:tcPr>
          <w:p w14:paraId="1E83594B">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02E1C8CE">
            <w:pPr>
              <w:rPr>
                <w:rFonts w:hint="eastAsia" w:ascii="宋体" w:hAnsi="宋体" w:cs="宋体"/>
                <w:szCs w:val="21"/>
                <w:lang w:val="en-US" w:eastAsia="zh-CN"/>
              </w:rPr>
            </w:pPr>
            <w:r>
              <w:rPr>
                <w:rFonts w:hint="eastAsia" w:ascii="宋体" w:hAnsi="宋体" w:cs="宋体"/>
                <w:szCs w:val="21"/>
                <w:lang w:val="en-US" w:eastAsia="zh-CN"/>
              </w:rPr>
              <w:t>1.拟安排的项目负责人（仅限1人）：</w:t>
            </w:r>
          </w:p>
          <w:p w14:paraId="46A7F444">
            <w:pPr>
              <w:rPr>
                <w:rFonts w:hint="eastAsia" w:ascii="宋体" w:hAnsi="宋体" w:cs="宋体"/>
                <w:szCs w:val="21"/>
                <w:lang w:val="en-US" w:eastAsia="zh-CN"/>
              </w:rPr>
            </w:pPr>
            <w:r>
              <w:rPr>
                <w:rFonts w:hint="eastAsia" w:ascii="宋体" w:hAnsi="宋体" w:cs="宋体"/>
                <w:szCs w:val="21"/>
                <w:lang w:val="en-US" w:eastAsia="zh-CN"/>
              </w:rPr>
              <w:t>需为投标人正式聘任员工，否则本项不得分。在此基础上，</w:t>
            </w:r>
            <w:r>
              <w:rPr>
                <w:rFonts w:hint="eastAsia" w:ascii="宋体" w:hAnsi="宋体" w:cs="宋体"/>
                <w:szCs w:val="21"/>
              </w:rPr>
              <w:t>具备建筑工程类或建筑结构专业高级及以上职称得5分；具备建筑工程类或建筑结构专业中级职称得3分；具备建筑工程类或建筑结构专业初级职称得</w:t>
            </w:r>
            <w:r>
              <w:rPr>
                <w:rFonts w:hint="eastAsia" w:ascii="宋体" w:hAnsi="宋体" w:cs="宋体"/>
                <w:szCs w:val="21"/>
                <w:lang w:val="en-US" w:eastAsia="zh-CN"/>
              </w:rPr>
              <w:t>2</w:t>
            </w:r>
            <w:r>
              <w:rPr>
                <w:rFonts w:hint="eastAsia" w:ascii="宋体" w:hAnsi="宋体" w:cs="宋体"/>
                <w:szCs w:val="21"/>
              </w:rPr>
              <w:t>分；无相关职称或专业不符</w:t>
            </w:r>
            <w:r>
              <w:rPr>
                <w:rFonts w:hint="eastAsia" w:ascii="宋体" w:hAnsi="宋体" w:cs="宋体"/>
                <w:szCs w:val="21"/>
                <w:lang w:val="en-US" w:eastAsia="zh-CN"/>
              </w:rPr>
              <w:t>本小项</w:t>
            </w:r>
            <w:r>
              <w:rPr>
                <w:rFonts w:hint="eastAsia" w:ascii="宋体" w:hAnsi="宋体" w:cs="宋体"/>
                <w:szCs w:val="21"/>
              </w:rPr>
              <w:t>不得分。</w:t>
            </w:r>
          </w:p>
          <w:p w14:paraId="683CE24D">
            <w:pPr>
              <w:rPr>
                <w:rFonts w:hint="eastAsia" w:ascii="宋体" w:hAnsi="宋体" w:cs="宋体"/>
                <w:szCs w:val="21"/>
                <w:lang w:eastAsia="zh-CN"/>
              </w:rPr>
            </w:pPr>
            <w:r>
              <w:rPr>
                <w:rFonts w:hint="eastAsia" w:ascii="宋体" w:hAnsi="宋体" w:cs="宋体"/>
                <w:szCs w:val="21"/>
                <w:lang w:val="en-US" w:eastAsia="zh-CN"/>
              </w:rPr>
              <w:t>2.</w:t>
            </w:r>
            <w:r>
              <w:rPr>
                <w:rFonts w:hint="eastAsia" w:ascii="宋体" w:hAnsi="宋体" w:cs="宋体"/>
                <w:szCs w:val="21"/>
              </w:rPr>
              <w:t>核心技术人员：除项目负责人外，投标人拟投入的核心技术</w:t>
            </w:r>
            <w:r>
              <w:rPr>
                <w:rFonts w:hint="eastAsia" w:ascii="宋体" w:hAnsi="宋体" w:cs="宋体"/>
                <w:szCs w:val="21"/>
                <w:lang w:val="en-US" w:eastAsia="zh-CN"/>
              </w:rPr>
              <w:t>人员</w:t>
            </w:r>
            <w:r>
              <w:rPr>
                <w:rFonts w:hint="eastAsia" w:ascii="宋体" w:hAnsi="宋体" w:cs="宋体"/>
                <w:szCs w:val="21"/>
              </w:rPr>
              <w:t>满足以下条件的，每人得</w:t>
            </w:r>
            <w:r>
              <w:rPr>
                <w:rFonts w:hint="eastAsia" w:ascii="宋体" w:hAnsi="宋体" w:cs="宋体"/>
                <w:szCs w:val="21"/>
                <w:lang w:val="en-US" w:eastAsia="zh-CN"/>
              </w:rPr>
              <w:t>2</w:t>
            </w:r>
            <w:r>
              <w:rPr>
                <w:rFonts w:hint="eastAsia" w:ascii="宋体" w:hAnsi="宋体" w:cs="宋体"/>
                <w:szCs w:val="21"/>
              </w:rPr>
              <w:t>分，本</w:t>
            </w:r>
            <w:r>
              <w:rPr>
                <w:rFonts w:hint="eastAsia" w:ascii="宋体" w:hAnsi="宋体" w:cs="宋体"/>
                <w:szCs w:val="21"/>
                <w:lang w:val="en-US" w:eastAsia="zh-CN"/>
              </w:rPr>
              <w:t>小</w:t>
            </w:r>
            <w:r>
              <w:rPr>
                <w:rFonts w:hint="eastAsia" w:ascii="宋体" w:hAnsi="宋体" w:cs="宋体"/>
                <w:szCs w:val="21"/>
              </w:rPr>
              <w:t>项最高得</w:t>
            </w:r>
            <w:r>
              <w:rPr>
                <w:rFonts w:hint="eastAsia" w:ascii="宋体" w:hAnsi="宋体" w:cs="宋体"/>
                <w:szCs w:val="21"/>
                <w:lang w:val="en-US" w:eastAsia="zh-CN"/>
              </w:rPr>
              <w:t>10</w:t>
            </w:r>
            <w:r>
              <w:rPr>
                <w:rFonts w:hint="eastAsia" w:ascii="宋体" w:hAnsi="宋体" w:cs="宋体"/>
                <w:szCs w:val="21"/>
              </w:rPr>
              <w:t>分（同一人不重复计分）</w:t>
            </w:r>
            <w:r>
              <w:rPr>
                <w:rFonts w:hint="eastAsia" w:ascii="宋体" w:hAnsi="宋体" w:cs="宋体"/>
                <w:szCs w:val="21"/>
                <w:lang w:eastAsia="zh-CN"/>
              </w:rPr>
              <w:t>：</w:t>
            </w:r>
          </w:p>
          <w:p w14:paraId="75D3B35C">
            <w:pPr>
              <w:rPr>
                <w:rFonts w:hint="eastAsia" w:ascii="宋体" w:hAnsi="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具有建筑工程类中级及以上技术职称</w:t>
            </w:r>
            <w:r>
              <w:rPr>
                <w:rFonts w:hint="eastAsia" w:ascii="宋体" w:hAnsi="宋体" w:cs="宋体"/>
                <w:szCs w:val="21"/>
                <w:lang w:eastAsia="zh-CN"/>
              </w:rPr>
              <w:t>；</w:t>
            </w:r>
          </w:p>
          <w:p w14:paraId="22A7D574">
            <w:pP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具有建筑结构、岩土工程或相关专业本科及以上学历</w:t>
            </w:r>
            <w:r>
              <w:rPr>
                <w:rFonts w:hint="eastAsia" w:ascii="宋体" w:hAnsi="宋体" w:cs="宋体"/>
                <w:szCs w:val="21"/>
                <w:lang w:val="en-US" w:eastAsia="zh-CN"/>
              </w:rPr>
              <w:t>且</w:t>
            </w:r>
            <w:r>
              <w:rPr>
                <w:rFonts w:hint="eastAsia" w:ascii="宋体" w:hAnsi="宋体" w:cs="宋体"/>
                <w:szCs w:val="21"/>
              </w:rPr>
              <w:t>从事结构设计或岩土工程相关工作年限累计满2年及以上</w:t>
            </w:r>
            <w:r>
              <w:rPr>
                <w:rFonts w:hint="eastAsia" w:ascii="宋体" w:hAnsi="宋体" w:cs="宋体"/>
                <w:szCs w:val="21"/>
                <w:lang w:val="en-US" w:eastAsia="zh-CN"/>
              </w:rPr>
              <w:t>的</w:t>
            </w:r>
            <w:r>
              <w:rPr>
                <w:rFonts w:hint="eastAsia" w:ascii="宋体" w:hAnsi="宋体" w:cs="宋体"/>
                <w:szCs w:val="21"/>
              </w:rPr>
              <w:t>。</w:t>
            </w:r>
          </w:p>
          <w:p w14:paraId="4A11995E">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0E746949">
            <w:pPr>
              <w:rPr>
                <w:rFonts w:ascii="宋体" w:hAnsi="宋体" w:cs="宋体"/>
                <w:kern w:val="0"/>
                <w:szCs w:val="21"/>
              </w:rPr>
            </w:pPr>
            <w:r>
              <w:rPr>
                <w:rFonts w:hint="eastAsia" w:ascii="宋体" w:hAnsi="宋体" w:eastAsia="宋体" w:cs="宋体"/>
                <w:b w:val="0"/>
                <w:color w:val="auto"/>
                <w:sz w:val="21"/>
                <w:szCs w:val="21"/>
                <w:highlight w:val="none"/>
                <w:lang w:val="en-US" w:eastAsia="zh-CN"/>
              </w:rPr>
              <w:t>1.</w:t>
            </w:r>
            <w:r>
              <w:rPr>
                <w:rFonts w:hint="eastAsia" w:ascii="宋体" w:hAnsi="宋体" w:cs="宋体"/>
                <w:szCs w:val="21"/>
              </w:rPr>
              <w:t>提供</w:t>
            </w:r>
            <w:r>
              <w:rPr>
                <w:rFonts w:ascii="宋体" w:hAnsi="宋体" w:cs="宋体"/>
                <w:bCs/>
                <w:color w:val="000000"/>
                <w:szCs w:val="21"/>
              </w:rPr>
              <w:t>项目</w:t>
            </w:r>
            <w:r>
              <w:rPr>
                <w:rFonts w:hint="eastAsia" w:ascii="宋体" w:hAnsi="宋体"/>
                <w:szCs w:val="21"/>
              </w:rPr>
              <w:t>负责人</w:t>
            </w:r>
            <w:r>
              <w:rPr>
                <w:rFonts w:hint="eastAsia" w:ascii="宋体" w:hAnsi="宋体" w:cs="宋体"/>
                <w:szCs w:val="21"/>
              </w:rPr>
              <w:t>通过投标人单位缴纳的</w:t>
            </w:r>
            <w:r>
              <w:rPr>
                <w:rFonts w:ascii="宋体" w:hAnsi="宋体" w:cs="宋体"/>
                <w:bCs/>
                <w:color w:val="000000"/>
                <w:szCs w:val="21"/>
              </w:rPr>
              <w:t>载有</w:t>
            </w:r>
            <w:r>
              <w:rPr>
                <w:rFonts w:hint="eastAsia" w:ascii="宋体" w:hAnsi="宋体" w:cs="宋体"/>
                <w:bCs/>
                <w:color w:val="000000"/>
                <w:szCs w:val="21"/>
              </w:rPr>
              <w:t>政府部门</w:t>
            </w:r>
            <w:r>
              <w:rPr>
                <w:rFonts w:ascii="宋体" w:hAnsi="宋体" w:cs="宋体"/>
                <w:bCs/>
                <w:color w:val="000000"/>
                <w:szCs w:val="21"/>
              </w:rPr>
              <w:t>印章的</w:t>
            </w:r>
            <w:r>
              <w:rPr>
                <w:rFonts w:hint="eastAsia" w:ascii="宋体" w:hAnsi="宋体" w:cs="宋体"/>
                <w:szCs w:val="21"/>
              </w:rPr>
              <w:t>近三个月任意一个月的社保证明作为本单位员工的证明依据。若投标人成立不足三个月的，</w:t>
            </w:r>
            <w:r>
              <w:rPr>
                <w:rFonts w:ascii="宋体" w:hAnsi="宋体" w:cs="宋体"/>
                <w:bCs/>
                <w:color w:val="000000"/>
                <w:szCs w:val="21"/>
              </w:rPr>
              <w:t>可提供加盖公章的情况说明或者证明材料亦视为符合。</w:t>
            </w:r>
            <w:r>
              <w:rPr>
                <w:szCs w:val="21"/>
              </w:rPr>
              <w:t>若为退休返聘人员，需提供</w:t>
            </w:r>
            <w:r>
              <w:rPr>
                <w:rFonts w:ascii="宋体" w:hAnsi="宋体" w:cs="宋体"/>
                <w:bCs/>
                <w:color w:val="000000"/>
                <w:szCs w:val="21"/>
              </w:rPr>
              <w:t>加盖公章的</w:t>
            </w:r>
            <w:r>
              <w:rPr>
                <w:szCs w:val="21"/>
              </w:rPr>
              <w:t>说明函（格式自拟），无需提供相关人员社保，亦可得分</w:t>
            </w:r>
            <w:r>
              <w:rPr>
                <w:rFonts w:hint="eastAsia"/>
                <w:szCs w:val="21"/>
              </w:rPr>
              <w:t>；</w:t>
            </w:r>
            <w:r>
              <w:rPr>
                <w:rFonts w:ascii="宋体" w:hAnsi="宋体" w:cs="宋体"/>
                <w:kern w:val="0"/>
                <w:szCs w:val="21"/>
              </w:rPr>
              <w:t xml:space="preserve"> </w:t>
            </w:r>
          </w:p>
          <w:p w14:paraId="74FAB254">
            <w:pP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提供投标人为对应核心技术人员缴纳的投标截止时间前三个月内任意一个月的社会保险证明（如为退休返聘人员，须提供有效劳动合同及退休证明，无需提供社保证明）；提供对应核心技术人员有效的职称证书扫描件或学历证书扫描件；提供对应核心技术人员从事结构/岩土相关工作满</w:t>
            </w:r>
            <w:r>
              <w:rPr>
                <w:rFonts w:hint="eastAsia" w:ascii="宋体" w:hAnsi="宋体" w:cs="宋体"/>
                <w:szCs w:val="21"/>
                <w:lang w:val="en-US" w:eastAsia="zh-CN"/>
              </w:rPr>
              <w:t>2</w:t>
            </w:r>
            <w:r>
              <w:rPr>
                <w:rFonts w:hint="eastAsia" w:ascii="宋体" w:hAnsi="宋体" w:cs="宋体"/>
                <w:szCs w:val="21"/>
              </w:rPr>
              <w:t>年的工作经历证明材料（如劳动合同、用人单位出具的工作证明或社保缴纳记录等可佐证工作年限的材料）。上述证明材料须清晰可辨，能有效反映人员姓名、职称等级、专业类别、学历层次及工作年限等关键信息，未提供或提供不全者对应人员不得分。</w:t>
            </w:r>
          </w:p>
          <w:p w14:paraId="5E1069EB">
            <w:pP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3.提供职称证书复印件。</w:t>
            </w:r>
          </w:p>
          <w:p w14:paraId="748FDBBF">
            <w:pPr>
              <w:numPr>
                <w:ilvl w:val="0"/>
                <w:numId w:val="0"/>
              </w:numPr>
              <w:spacing w:line="240" w:lineRule="auto"/>
              <w:rPr>
                <w:rFonts w:ascii="Times New Roman" w:hAnsi="Times New Roman"/>
                <w:color w:val="auto"/>
                <w:sz w:val="22"/>
                <w:szCs w:val="22"/>
                <w:highlight w:val="none"/>
              </w:rPr>
            </w:pPr>
            <w:r>
              <w:rPr>
                <w:rFonts w:hint="eastAsia" w:ascii="宋体" w:hAnsi="宋体" w:eastAsia="宋体" w:cs="宋体"/>
                <w:b w:val="0"/>
                <w:color w:val="auto"/>
                <w:sz w:val="21"/>
                <w:szCs w:val="21"/>
                <w:highlight w:val="none"/>
                <w:lang w:val="en-US" w:eastAsia="zh-CN"/>
              </w:rPr>
              <w:t>备注：证明材料均提供复印件并加盖投标人公章，原件备查。未按要求提供或提供不清晰导致专家无法判断的不得分。</w:t>
            </w:r>
          </w:p>
        </w:tc>
      </w:tr>
      <w:tr w14:paraId="7691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CF28354">
            <w:pPr>
              <w:spacing w:line="360" w:lineRule="exact"/>
              <w:jc w:val="center"/>
              <w:rPr>
                <w:color w:val="auto"/>
                <w:sz w:val="22"/>
                <w:highlight w:val="none"/>
              </w:rPr>
            </w:pPr>
            <w:r>
              <w:rPr>
                <w:color w:val="auto"/>
                <w:sz w:val="22"/>
                <w:highlight w:val="none"/>
              </w:rPr>
              <w:t>2</w:t>
            </w:r>
          </w:p>
        </w:tc>
        <w:tc>
          <w:tcPr>
            <w:tcW w:w="1935" w:type="dxa"/>
            <w:tcBorders>
              <w:top w:val="single" w:color="auto" w:sz="4" w:space="0"/>
              <w:left w:val="single" w:color="auto" w:sz="4" w:space="0"/>
              <w:bottom w:val="single" w:color="auto" w:sz="4" w:space="0"/>
              <w:right w:val="single" w:color="auto" w:sz="4" w:space="0"/>
            </w:tcBorders>
            <w:vAlign w:val="center"/>
          </w:tcPr>
          <w:p w14:paraId="43AC3A2C">
            <w:pPr>
              <w:jc w:val="center"/>
              <w:rPr>
                <w:rFonts w:hint="eastAsia" w:ascii="宋体" w:hAnsi="宋体" w:cs="宋体"/>
                <w:szCs w:val="21"/>
                <w:lang w:val="en-US" w:eastAsia="zh-CN"/>
              </w:rPr>
            </w:pPr>
            <w:r>
              <w:rPr>
                <w:rFonts w:hint="eastAsia" w:ascii="宋体" w:hAnsi="宋体" w:cs="宋体"/>
                <w:szCs w:val="21"/>
                <w:lang w:val="en-US" w:eastAsia="zh-CN"/>
              </w:rPr>
              <w:t>整体服务实施方案</w:t>
            </w:r>
          </w:p>
        </w:tc>
        <w:tc>
          <w:tcPr>
            <w:tcW w:w="930" w:type="dxa"/>
            <w:tcBorders>
              <w:top w:val="single" w:color="auto" w:sz="4" w:space="0"/>
              <w:left w:val="single" w:color="auto" w:sz="4" w:space="0"/>
              <w:bottom w:val="single" w:color="auto" w:sz="4" w:space="0"/>
              <w:right w:val="single" w:color="auto" w:sz="4" w:space="0"/>
            </w:tcBorders>
            <w:vAlign w:val="center"/>
          </w:tcPr>
          <w:p w14:paraId="428183A5">
            <w:pPr>
              <w:jc w:val="center"/>
              <w:rPr>
                <w:rFonts w:hint="default" w:ascii="宋体" w:hAnsi="宋体" w:cs="宋体"/>
                <w:szCs w:val="21"/>
                <w:lang w:val="en-US" w:eastAsia="zh-CN"/>
              </w:rPr>
            </w:pPr>
            <w:r>
              <w:rPr>
                <w:rFonts w:hint="eastAsia" w:ascii="宋体" w:hAnsi="宋体" w:cs="宋体"/>
                <w:color w:val="auto"/>
                <w:szCs w:val="21"/>
                <w:lang w:val="en-US" w:eastAsia="zh-CN"/>
              </w:rPr>
              <w:t>13</w:t>
            </w:r>
          </w:p>
        </w:tc>
        <w:tc>
          <w:tcPr>
            <w:tcW w:w="5097" w:type="dxa"/>
            <w:tcBorders>
              <w:top w:val="single" w:color="auto" w:sz="4" w:space="0"/>
              <w:left w:val="single" w:color="auto" w:sz="4" w:space="0"/>
              <w:bottom w:val="single" w:color="auto" w:sz="4" w:space="0"/>
              <w:right w:val="single" w:color="auto" w:sz="4" w:space="0"/>
            </w:tcBorders>
            <w:vAlign w:val="center"/>
          </w:tcPr>
          <w:p w14:paraId="38569A27">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6B1066F2">
            <w:pPr>
              <w:spacing w:line="240" w:lineRule="auto"/>
              <w:rPr>
                <w:rFonts w:hint="eastAsia"/>
                <w:szCs w:val="21"/>
              </w:rPr>
            </w:pPr>
            <w:r>
              <w:rPr>
                <w:rFonts w:hint="eastAsia"/>
                <w:szCs w:val="21"/>
              </w:rPr>
              <w:t>根据招标文件的需求，制定贴切本项目的整体服务实施方案，方案内容包括但不限于：</w:t>
            </w:r>
          </w:p>
          <w:p w14:paraId="2C5DB385">
            <w:pPr>
              <w:spacing w:line="240" w:lineRule="auto"/>
              <w:rPr>
                <w:rFonts w:hint="eastAsia"/>
                <w:szCs w:val="21"/>
                <w:lang w:eastAsia="zh-CN"/>
              </w:rPr>
            </w:pPr>
            <w:r>
              <w:rPr>
                <w:rFonts w:hint="eastAsia"/>
                <w:szCs w:val="21"/>
              </w:rPr>
              <w:t>①项目实施组织方案</w:t>
            </w:r>
            <w:r>
              <w:rPr>
                <w:rFonts w:hint="eastAsia"/>
                <w:szCs w:val="21"/>
                <w:lang w:eastAsia="zh-CN"/>
              </w:rPr>
              <w:t>；</w:t>
            </w:r>
          </w:p>
          <w:p w14:paraId="36239FB1">
            <w:pPr>
              <w:spacing w:line="240" w:lineRule="auto"/>
              <w:rPr>
                <w:rFonts w:hint="eastAsia"/>
                <w:szCs w:val="21"/>
                <w:lang w:eastAsia="zh-CN"/>
              </w:rPr>
            </w:pPr>
            <w:r>
              <w:rPr>
                <w:rFonts w:hint="eastAsia"/>
                <w:szCs w:val="21"/>
              </w:rPr>
              <w:t>②工作流程</w:t>
            </w:r>
            <w:r>
              <w:rPr>
                <w:rFonts w:hint="eastAsia"/>
                <w:szCs w:val="21"/>
                <w:lang w:eastAsia="zh-CN"/>
              </w:rPr>
              <w:t>；</w:t>
            </w:r>
          </w:p>
          <w:p w14:paraId="6E9F4D98">
            <w:pPr>
              <w:spacing w:line="240" w:lineRule="auto"/>
              <w:rPr>
                <w:rFonts w:hint="eastAsia"/>
                <w:szCs w:val="21"/>
                <w:lang w:eastAsia="zh-CN"/>
              </w:rPr>
            </w:pPr>
            <w:r>
              <w:rPr>
                <w:rFonts w:hint="eastAsia"/>
                <w:szCs w:val="21"/>
              </w:rPr>
              <w:t>③沟通协调处理机制</w:t>
            </w:r>
            <w:r>
              <w:rPr>
                <w:rFonts w:hint="eastAsia"/>
                <w:szCs w:val="21"/>
                <w:lang w:eastAsia="zh-CN"/>
              </w:rPr>
              <w:t>；</w:t>
            </w:r>
          </w:p>
          <w:p w14:paraId="29D4E34A">
            <w:pPr>
              <w:spacing w:line="240" w:lineRule="auto"/>
              <w:rPr>
                <w:rFonts w:hint="eastAsia"/>
                <w:szCs w:val="21"/>
                <w:lang w:eastAsia="zh-CN"/>
              </w:rPr>
            </w:pPr>
            <w:r>
              <w:rPr>
                <w:rFonts w:hint="eastAsia"/>
                <w:szCs w:val="21"/>
              </w:rPr>
              <w:t>④检测的规范标准</w:t>
            </w:r>
            <w:r>
              <w:rPr>
                <w:rFonts w:hint="eastAsia"/>
                <w:szCs w:val="21"/>
                <w:lang w:eastAsia="zh-CN"/>
              </w:rPr>
              <w:t>；</w:t>
            </w:r>
          </w:p>
          <w:p w14:paraId="20A379CE">
            <w:pPr>
              <w:spacing w:line="240" w:lineRule="auto"/>
              <w:rPr>
                <w:rFonts w:hint="eastAsia"/>
                <w:szCs w:val="21"/>
                <w:lang w:val="en-US" w:eastAsia="zh-CN"/>
              </w:rPr>
            </w:pPr>
            <w:r>
              <w:rPr>
                <w:rFonts w:hint="eastAsia"/>
                <w:szCs w:val="21"/>
              </w:rPr>
              <w:t>⑤内容、方法</w:t>
            </w:r>
            <w:r>
              <w:rPr>
                <w:rFonts w:hint="eastAsia"/>
                <w:szCs w:val="21"/>
                <w:lang w:eastAsia="zh-CN"/>
              </w:rPr>
              <w:t>。</w:t>
            </w:r>
          </w:p>
          <w:p w14:paraId="4D695A14">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7AF82031">
            <w:pPr>
              <w:spacing w:line="240" w:lineRule="auto"/>
              <w:rPr>
                <w:rFonts w:hint="eastAsia"/>
                <w:szCs w:val="21"/>
              </w:rPr>
            </w:pPr>
            <w:r>
              <w:rPr>
                <w:rFonts w:hint="eastAsia"/>
                <w:szCs w:val="21"/>
                <w:lang w:val="en-US" w:eastAsia="zh-CN"/>
              </w:rPr>
              <w:t>1.</w:t>
            </w:r>
            <w:r>
              <w:rPr>
                <w:rFonts w:hint="eastAsia"/>
                <w:szCs w:val="21"/>
              </w:rPr>
              <w:t>以上内容每提供一项得</w:t>
            </w:r>
            <w:r>
              <w:rPr>
                <w:rFonts w:hint="eastAsia"/>
                <w:szCs w:val="21"/>
                <w:lang w:val="en-US" w:eastAsia="zh-CN"/>
              </w:rPr>
              <w:t>1.5</w:t>
            </w:r>
            <w:r>
              <w:rPr>
                <w:rFonts w:hint="eastAsia"/>
                <w:szCs w:val="21"/>
              </w:rPr>
              <w:t>分，</w:t>
            </w:r>
            <w:r>
              <w:rPr>
                <w:rFonts w:hint="eastAsia"/>
                <w:szCs w:val="21"/>
                <w:lang w:val="en-US" w:eastAsia="zh-CN"/>
              </w:rPr>
              <w:t>全部满足最高</w:t>
            </w:r>
            <w:r>
              <w:rPr>
                <w:rFonts w:hint="eastAsia"/>
                <w:szCs w:val="21"/>
              </w:rPr>
              <w:t>得</w:t>
            </w:r>
            <w:r>
              <w:rPr>
                <w:rFonts w:hint="eastAsia"/>
                <w:szCs w:val="21"/>
                <w:lang w:val="en-US" w:eastAsia="zh-CN"/>
              </w:rPr>
              <w:t>7</w:t>
            </w:r>
            <w:r>
              <w:rPr>
                <w:rFonts w:hint="eastAsia"/>
                <w:szCs w:val="21"/>
              </w:rPr>
              <w:t>分，其它情况不得分。</w:t>
            </w:r>
          </w:p>
          <w:p w14:paraId="2A2332F9">
            <w:pPr>
              <w:spacing w:line="240" w:lineRule="auto"/>
              <w:rPr>
                <w:rFonts w:hint="eastAsia"/>
                <w:szCs w:val="21"/>
              </w:rPr>
            </w:pPr>
            <w:r>
              <w:rPr>
                <w:rFonts w:hint="eastAsia"/>
                <w:szCs w:val="21"/>
                <w:lang w:val="en-US" w:eastAsia="zh-CN"/>
              </w:rPr>
              <w:t>2.</w:t>
            </w:r>
            <w:r>
              <w:rPr>
                <w:rFonts w:hint="eastAsia"/>
                <w:szCs w:val="21"/>
              </w:rPr>
              <w:t>在此基础上，专家根据各供应商的具体响应内容按照量化的评审因素指标进一步评审：</w:t>
            </w:r>
          </w:p>
          <w:p w14:paraId="10B8CE3E">
            <w:pPr>
              <w:spacing w:line="240" w:lineRule="auto"/>
              <w:rPr>
                <w:rFonts w:hint="eastAsia"/>
                <w:szCs w:val="21"/>
              </w:rPr>
            </w:pPr>
            <w:r>
              <w:rPr>
                <w:rFonts w:hint="eastAsia"/>
                <w:szCs w:val="21"/>
              </w:rPr>
              <w:t>优评分标准：方案符合实际、完整、规范、思路清晰，内容合理性</w:t>
            </w:r>
            <w:r>
              <w:rPr>
                <w:rFonts w:hint="eastAsia"/>
                <w:szCs w:val="21"/>
                <w:lang w:eastAsia="zh-CN"/>
              </w:rPr>
              <w:t>、</w:t>
            </w:r>
            <w:r>
              <w:rPr>
                <w:rFonts w:hint="eastAsia"/>
                <w:szCs w:val="21"/>
                <w:lang w:val="en-US" w:eastAsia="zh-CN"/>
              </w:rPr>
              <w:t>针对性、可操作性</w:t>
            </w:r>
            <w:r>
              <w:rPr>
                <w:rFonts w:hint="eastAsia"/>
                <w:szCs w:val="21"/>
              </w:rPr>
              <w:t>强，加</w:t>
            </w:r>
            <w:r>
              <w:rPr>
                <w:rFonts w:hint="eastAsia"/>
                <w:szCs w:val="21"/>
                <w:lang w:val="en-US" w:eastAsia="zh-CN"/>
              </w:rPr>
              <w:t>6</w:t>
            </w:r>
            <w:r>
              <w:rPr>
                <w:rFonts w:hint="eastAsia"/>
                <w:szCs w:val="21"/>
              </w:rPr>
              <w:t>分。</w:t>
            </w:r>
          </w:p>
          <w:p w14:paraId="5D6BD9B4">
            <w:pPr>
              <w:spacing w:line="240" w:lineRule="auto"/>
              <w:rPr>
                <w:rFonts w:hint="eastAsia"/>
                <w:szCs w:val="21"/>
              </w:rPr>
            </w:pPr>
            <w:r>
              <w:rPr>
                <w:rFonts w:hint="eastAsia"/>
                <w:szCs w:val="21"/>
              </w:rPr>
              <w:t>良评分标准：方案较符合实际、较完整规范、思路较清晰，内容合理性</w:t>
            </w:r>
            <w:r>
              <w:rPr>
                <w:rFonts w:hint="eastAsia"/>
                <w:szCs w:val="21"/>
                <w:lang w:eastAsia="zh-CN"/>
              </w:rPr>
              <w:t>、</w:t>
            </w:r>
            <w:r>
              <w:rPr>
                <w:rFonts w:hint="eastAsia"/>
                <w:szCs w:val="21"/>
                <w:lang w:val="en-US" w:eastAsia="zh-CN"/>
              </w:rPr>
              <w:t>针对性、可操作性</w:t>
            </w:r>
            <w:r>
              <w:rPr>
                <w:rFonts w:hint="eastAsia"/>
                <w:szCs w:val="21"/>
              </w:rPr>
              <w:t>较强，加</w:t>
            </w:r>
            <w:r>
              <w:rPr>
                <w:rFonts w:hint="eastAsia"/>
                <w:szCs w:val="21"/>
                <w:lang w:val="en-US" w:eastAsia="zh-CN"/>
              </w:rPr>
              <w:t>3</w:t>
            </w:r>
            <w:r>
              <w:rPr>
                <w:rFonts w:hint="eastAsia"/>
                <w:szCs w:val="21"/>
              </w:rPr>
              <w:t xml:space="preserve">分。 </w:t>
            </w:r>
          </w:p>
          <w:p w14:paraId="0CE61F9B">
            <w:pPr>
              <w:spacing w:line="240" w:lineRule="auto"/>
              <w:rPr>
                <w:rFonts w:hint="eastAsia"/>
                <w:szCs w:val="21"/>
              </w:rPr>
            </w:pPr>
            <w:r>
              <w:rPr>
                <w:rFonts w:hint="eastAsia"/>
                <w:szCs w:val="21"/>
              </w:rPr>
              <w:t>中评分标准：方案较普通、完整性、规范性一般，思路不够清晰，内容合理性</w:t>
            </w:r>
            <w:r>
              <w:rPr>
                <w:rFonts w:hint="eastAsia"/>
                <w:szCs w:val="21"/>
                <w:lang w:eastAsia="zh-CN"/>
              </w:rPr>
              <w:t>、</w:t>
            </w:r>
            <w:r>
              <w:rPr>
                <w:rFonts w:hint="eastAsia"/>
                <w:szCs w:val="21"/>
                <w:lang w:val="en-US" w:eastAsia="zh-CN"/>
              </w:rPr>
              <w:t>针对性、可操作性</w:t>
            </w:r>
            <w:r>
              <w:rPr>
                <w:rFonts w:hint="eastAsia"/>
                <w:szCs w:val="21"/>
              </w:rPr>
              <w:t>一般，加</w:t>
            </w:r>
            <w:r>
              <w:rPr>
                <w:rFonts w:hint="eastAsia"/>
                <w:szCs w:val="21"/>
                <w:lang w:val="en-US" w:eastAsia="zh-CN"/>
              </w:rPr>
              <w:t>1</w:t>
            </w:r>
            <w:r>
              <w:rPr>
                <w:rFonts w:hint="eastAsia"/>
                <w:szCs w:val="21"/>
              </w:rPr>
              <w:t xml:space="preserve">分。 </w:t>
            </w:r>
          </w:p>
          <w:p w14:paraId="613DAF93">
            <w:pPr>
              <w:spacing w:line="240" w:lineRule="auto"/>
              <w:rPr>
                <w:rFonts w:hint="eastAsia" w:ascii="宋体" w:hAnsi="宋体" w:eastAsia="宋体" w:cs="宋体"/>
                <w:color w:val="auto"/>
                <w:sz w:val="21"/>
                <w:szCs w:val="21"/>
                <w:highlight w:val="none"/>
              </w:rPr>
            </w:pPr>
            <w:r>
              <w:rPr>
                <w:rFonts w:hint="eastAsia"/>
                <w:szCs w:val="21"/>
              </w:rPr>
              <w:t>差评分标准：方案不完整、不规范，思路不清晰，内容合理性</w:t>
            </w:r>
            <w:r>
              <w:rPr>
                <w:rFonts w:hint="eastAsia"/>
                <w:szCs w:val="21"/>
                <w:lang w:eastAsia="zh-CN"/>
              </w:rPr>
              <w:t>、</w:t>
            </w:r>
            <w:r>
              <w:rPr>
                <w:rFonts w:hint="eastAsia"/>
                <w:szCs w:val="21"/>
                <w:lang w:val="en-US" w:eastAsia="zh-CN"/>
              </w:rPr>
              <w:t>针对性、可操作性</w:t>
            </w:r>
            <w:r>
              <w:rPr>
                <w:rFonts w:hint="eastAsia"/>
                <w:szCs w:val="21"/>
              </w:rPr>
              <w:t>差或未提供，评价为差不加分。</w:t>
            </w:r>
          </w:p>
        </w:tc>
      </w:tr>
      <w:tr w14:paraId="6B7E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44A5EB1">
            <w:pPr>
              <w:spacing w:line="360" w:lineRule="exact"/>
              <w:jc w:val="center"/>
              <w:rPr>
                <w:color w:val="auto"/>
                <w:sz w:val="22"/>
                <w:highlight w:val="none"/>
              </w:rPr>
            </w:pPr>
            <w:r>
              <w:rPr>
                <w:color w:val="auto"/>
                <w:sz w:val="22"/>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14:paraId="236977F9">
            <w:pPr>
              <w:jc w:val="center"/>
              <w:rPr>
                <w:rFonts w:hint="eastAsia" w:ascii="宋体" w:hAnsi="宋体"/>
                <w:szCs w:val="21"/>
              </w:rPr>
            </w:pPr>
            <w:r>
              <w:rPr>
                <w:rFonts w:hint="eastAsia" w:ascii="宋体" w:hAnsi="宋体" w:eastAsia="宋体"/>
                <w:szCs w:val="21"/>
              </w:rPr>
              <w:t>项目重难点分析</w:t>
            </w:r>
            <w:r>
              <w:rPr>
                <w:rFonts w:hint="eastAsia" w:ascii="宋体" w:hAnsi="宋体" w:eastAsia="宋体"/>
                <w:szCs w:val="21"/>
                <w:lang w:eastAsia="zh-CN"/>
              </w:rPr>
              <w:t>、</w:t>
            </w:r>
            <w:r>
              <w:rPr>
                <w:rFonts w:hint="eastAsia" w:ascii="宋体" w:hAnsi="宋体" w:eastAsia="宋体"/>
                <w:szCs w:val="21"/>
              </w:rPr>
              <w:t>应对措施及合理化建议</w:t>
            </w:r>
          </w:p>
        </w:tc>
        <w:tc>
          <w:tcPr>
            <w:tcW w:w="930" w:type="dxa"/>
            <w:tcBorders>
              <w:top w:val="single" w:color="auto" w:sz="4" w:space="0"/>
              <w:left w:val="single" w:color="auto" w:sz="4" w:space="0"/>
              <w:bottom w:val="single" w:color="auto" w:sz="4" w:space="0"/>
              <w:right w:val="single" w:color="auto" w:sz="4" w:space="0"/>
            </w:tcBorders>
            <w:vAlign w:val="center"/>
          </w:tcPr>
          <w:p w14:paraId="59872243">
            <w:pPr>
              <w:jc w:val="center"/>
              <w:rPr>
                <w:rFonts w:hint="default" w:eastAsia="宋体"/>
                <w:color w:val="auto"/>
                <w:sz w:val="22"/>
                <w:highlight w:val="none"/>
                <w:lang w:val="en-US" w:eastAsia="zh-CN"/>
              </w:rPr>
            </w:pPr>
            <w:r>
              <w:rPr>
                <w:rFonts w:hint="eastAsia" w:ascii="宋体" w:hAnsi="宋体" w:cs="宋体"/>
                <w:szCs w:val="21"/>
                <w:lang w:val="en-US" w:eastAsia="zh-CN"/>
              </w:rPr>
              <w:t>12</w:t>
            </w:r>
          </w:p>
        </w:tc>
        <w:tc>
          <w:tcPr>
            <w:tcW w:w="5097" w:type="dxa"/>
            <w:tcBorders>
              <w:top w:val="single" w:color="auto" w:sz="4" w:space="0"/>
              <w:left w:val="single" w:color="auto" w:sz="4" w:space="0"/>
              <w:bottom w:val="single" w:color="auto" w:sz="4" w:space="0"/>
              <w:right w:val="single" w:color="auto" w:sz="4" w:space="0"/>
            </w:tcBorders>
            <w:vAlign w:val="top"/>
          </w:tcPr>
          <w:p w14:paraId="2FCDD506">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52E69962">
            <w:pPr>
              <w:spacing w:line="240" w:lineRule="auto"/>
              <w:rPr>
                <w:rFonts w:hint="eastAsia"/>
                <w:szCs w:val="21"/>
              </w:rPr>
            </w:pPr>
            <w:r>
              <w:rPr>
                <w:rFonts w:hint="eastAsia"/>
                <w:szCs w:val="21"/>
              </w:rPr>
              <w:t>根据招标文件的需求，制定贴切本项目的项目重难点分析及应对措施，方案内容包括但不限于：</w:t>
            </w:r>
          </w:p>
          <w:p w14:paraId="14A5EE73">
            <w:pPr>
              <w:spacing w:line="240" w:lineRule="auto"/>
              <w:rPr>
                <w:rFonts w:hint="eastAsia" w:eastAsia="宋体"/>
                <w:color w:val="auto"/>
                <w:szCs w:val="21"/>
                <w:lang w:val="en-US" w:eastAsia="zh-CN"/>
              </w:rPr>
            </w:pPr>
            <w:r>
              <w:rPr>
                <w:rFonts w:hint="eastAsia" w:eastAsia="宋体"/>
                <w:color w:val="auto"/>
                <w:szCs w:val="21"/>
                <w:lang w:val="en-US" w:eastAsia="zh-CN"/>
              </w:rPr>
              <w:t>1.提供符合本项目相关重点难点分析；</w:t>
            </w:r>
          </w:p>
          <w:p w14:paraId="517C8DD1">
            <w:pPr>
              <w:spacing w:line="240" w:lineRule="auto"/>
              <w:rPr>
                <w:rFonts w:hint="eastAsia" w:eastAsia="宋体"/>
                <w:color w:val="auto"/>
                <w:szCs w:val="21"/>
                <w:lang w:val="en-US" w:eastAsia="zh-CN"/>
              </w:rPr>
            </w:pPr>
            <w:r>
              <w:rPr>
                <w:rFonts w:hint="eastAsia" w:eastAsia="宋体"/>
                <w:color w:val="auto"/>
                <w:szCs w:val="21"/>
                <w:lang w:val="en-US" w:eastAsia="zh-CN"/>
              </w:rPr>
              <w:t>2.针对重点难点分析提出的应对措施；</w:t>
            </w:r>
          </w:p>
          <w:p w14:paraId="22F25B80">
            <w:pPr>
              <w:spacing w:line="240" w:lineRule="auto"/>
              <w:rPr>
                <w:rFonts w:hint="eastAsia" w:eastAsia="宋体"/>
                <w:color w:val="auto"/>
                <w:szCs w:val="21"/>
                <w:lang w:val="en-US" w:eastAsia="zh-CN"/>
              </w:rPr>
            </w:pPr>
            <w:r>
              <w:rPr>
                <w:rFonts w:hint="eastAsia" w:eastAsia="宋体"/>
                <w:color w:val="auto"/>
                <w:szCs w:val="21"/>
                <w:lang w:val="en-US" w:eastAsia="zh-CN"/>
              </w:rPr>
              <w:t>3.结合上述内容提出相关的合理化建议。</w:t>
            </w:r>
          </w:p>
          <w:p w14:paraId="4D72892E">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00230922">
            <w:pPr>
              <w:spacing w:line="240" w:lineRule="auto"/>
              <w:rPr>
                <w:rFonts w:hint="eastAsia" w:eastAsia="宋体"/>
                <w:szCs w:val="21"/>
              </w:rPr>
            </w:pPr>
            <w:r>
              <w:rPr>
                <w:rFonts w:hint="eastAsia" w:eastAsia="宋体"/>
                <w:color w:val="auto"/>
                <w:szCs w:val="21"/>
                <w:lang w:val="en-US" w:eastAsia="zh-CN"/>
              </w:rPr>
              <w:t>1.</w:t>
            </w:r>
            <w:r>
              <w:rPr>
                <w:rFonts w:hint="eastAsia" w:eastAsia="宋体"/>
                <w:color w:val="auto"/>
                <w:szCs w:val="21"/>
              </w:rPr>
              <w:t>以上内容每提供一项得</w:t>
            </w:r>
            <w:r>
              <w:rPr>
                <w:rFonts w:hint="eastAsia" w:eastAsia="宋体"/>
                <w:color w:val="auto"/>
                <w:szCs w:val="21"/>
                <w:lang w:val="en-US" w:eastAsia="zh-CN"/>
              </w:rPr>
              <w:t>2</w:t>
            </w:r>
            <w:r>
              <w:rPr>
                <w:rFonts w:hint="eastAsia" w:eastAsia="宋体"/>
                <w:color w:val="auto"/>
                <w:szCs w:val="21"/>
              </w:rPr>
              <w:t>分，最</w:t>
            </w:r>
            <w:r>
              <w:rPr>
                <w:rFonts w:hint="eastAsia" w:eastAsia="宋体"/>
                <w:szCs w:val="21"/>
              </w:rPr>
              <w:t>高得</w:t>
            </w:r>
            <w:r>
              <w:rPr>
                <w:rFonts w:hint="eastAsia" w:eastAsia="宋体"/>
                <w:szCs w:val="21"/>
                <w:lang w:val="en-US" w:eastAsia="zh-CN"/>
              </w:rPr>
              <w:t>6</w:t>
            </w:r>
            <w:r>
              <w:rPr>
                <w:rFonts w:hint="eastAsia" w:eastAsia="宋体"/>
                <w:szCs w:val="21"/>
              </w:rPr>
              <w:t>分，其它情况不得分。</w:t>
            </w:r>
          </w:p>
          <w:p w14:paraId="0765122E">
            <w:pPr>
              <w:spacing w:line="240" w:lineRule="auto"/>
              <w:rPr>
                <w:rFonts w:hint="eastAsia" w:eastAsia="宋体"/>
                <w:szCs w:val="21"/>
              </w:rPr>
            </w:pPr>
            <w:r>
              <w:rPr>
                <w:rFonts w:hint="eastAsia" w:eastAsia="宋体"/>
                <w:szCs w:val="21"/>
                <w:lang w:val="en-US" w:eastAsia="zh-CN"/>
              </w:rPr>
              <w:t>2.</w:t>
            </w:r>
            <w:r>
              <w:rPr>
                <w:rFonts w:hint="eastAsia" w:eastAsia="宋体"/>
                <w:szCs w:val="21"/>
              </w:rPr>
              <w:t>在此基础上，专家根据各供应商的具体响应内容按照量化的评审因素指标进一步评审：</w:t>
            </w:r>
          </w:p>
          <w:p w14:paraId="4375D7D0">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（1）响应内容全面：全面覆盖项目实施中的所有关键与难点，进行深入分析其本质、影响及风险，并从技术、成本、时间、资源等多维度综合考量。</w:t>
            </w:r>
          </w:p>
          <w:p w14:paraId="13E0995A">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（2）响应内容具体：应项目需求，针对每个重点难点提供具体解决方案、实施步骤、所需资源及时节点，并通过相关案例与数据支撑其可行性和决策依据。</w:t>
            </w:r>
          </w:p>
          <w:p w14:paraId="470D12A3">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（3）响应内容针对性强：准确识别项目实施过程中的具体问题，提供高度针对性和适用性的解决方案，并根据项目特性与需求提供定制化服务。</w:t>
            </w:r>
          </w:p>
          <w:p w14:paraId="6E1A1589">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（4）响应内容科学合理提供的解决方案应基于科学的理论和方法，确保技术上的可行性与可靠性，并对实施过程中的潜在风险进行全面评估及提供合理的应对措施。</w:t>
            </w:r>
          </w:p>
          <w:p w14:paraId="0637E7F1">
            <w:pPr>
              <w:pStyle w:val="8"/>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（5）响应内容可操作性强：提供具有明确实施步骤、合理资源分配和有效时间管理的解决方案，确保内容的可操作性和项目的顺利执行。</w:t>
            </w:r>
          </w:p>
          <w:p w14:paraId="0F5ADE30">
            <w:pPr>
              <w:spacing w:line="240" w:lineRule="auto"/>
              <w:rPr>
                <w:rFonts w:hint="eastAsia" w:eastAsia="宋体"/>
                <w:szCs w:val="21"/>
                <w:lang w:val="en-US" w:eastAsia="zh-CN"/>
              </w:rPr>
            </w:pPr>
            <w:r>
              <w:rPr>
                <w:rFonts w:hint="eastAsia" w:eastAsia="宋体"/>
                <w:szCs w:val="21"/>
                <w:lang w:val="en-US" w:eastAsia="zh-CN"/>
              </w:rPr>
              <w:t>优评分标准：满足以上五项要求的评价为优，加6分；</w:t>
            </w:r>
          </w:p>
          <w:p w14:paraId="0C635585">
            <w:pPr>
              <w:spacing w:line="240" w:lineRule="auto"/>
              <w:rPr>
                <w:rFonts w:hint="eastAsia" w:eastAsia="宋体"/>
                <w:szCs w:val="21"/>
                <w:lang w:val="en-US" w:eastAsia="zh-CN"/>
              </w:rPr>
            </w:pPr>
            <w:r>
              <w:rPr>
                <w:rFonts w:hint="eastAsia" w:eastAsia="宋体"/>
                <w:szCs w:val="21"/>
                <w:lang w:val="en-US" w:eastAsia="zh-CN"/>
              </w:rPr>
              <w:t>良评分标准：满足以上四项要求的评价为良，加3分；</w:t>
            </w:r>
          </w:p>
          <w:p w14:paraId="083D6C21">
            <w:pPr>
              <w:spacing w:line="240" w:lineRule="auto"/>
              <w:rPr>
                <w:rFonts w:hint="eastAsia" w:eastAsia="宋体"/>
                <w:szCs w:val="21"/>
                <w:lang w:val="en-US" w:eastAsia="zh-CN"/>
              </w:rPr>
            </w:pPr>
            <w:r>
              <w:rPr>
                <w:rFonts w:hint="eastAsia" w:eastAsia="宋体"/>
                <w:szCs w:val="21"/>
                <w:lang w:val="en-US" w:eastAsia="zh-CN"/>
              </w:rPr>
              <w:t>中评分标准：满足以上三项要求的评价为中，加1分；</w:t>
            </w:r>
          </w:p>
          <w:p w14:paraId="45A1CC4B">
            <w:pPr>
              <w:spacing w:line="240" w:lineRule="auto"/>
              <w:rPr>
                <w:rFonts w:hint="eastAsia" w:eastAsia="宋体"/>
                <w:szCs w:val="21"/>
                <w:lang w:val="en-US" w:eastAsia="zh-CN"/>
              </w:rPr>
            </w:pPr>
            <w:r>
              <w:rPr>
                <w:rFonts w:hint="eastAsia" w:eastAsia="宋体"/>
                <w:szCs w:val="21"/>
                <w:lang w:val="en-US" w:eastAsia="zh-CN"/>
              </w:rPr>
              <w:t>差评分标准：满足以上一项或二项要求的评价为差，得1分。</w:t>
            </w:r>
          </w:p>
          <w:p w14:paraId="0E34B640">
            <w:pPr>
              <w:spacing w:line="240" w:lineRule="auto"/>
              <w:rPr>
                <w:rFonts w:hint="eastAsia" w:ascii="宋体" w:hAnsi="宋体" w:eastAsia="宋体" w:cs="宋体"/>
                <w:sz w:val="21"/>
                <w:szCs w:val="21"/>
                <w:highlight w:val="none"/>
              </w:rPr>
            </w:pPr>
            <w:r>
              <w:rPr>
                <w:rFonts w:hint="eastAsia" w:eastAsia="宋体"/>
                <w:szCs w:val="21"/>
                <w:lang w:val="en-US" w:eastAsia="zh-CN"/>
              </w:rPr>
              <w:t>未提供方案不得分。</w:t>
            </w:r>
          </w:p>
        </w:tc>
      </w:tr>
      <w:tr w14:paraId="29C7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01FF0047">
            <w:pPr>
              <w:jc w:val="center"/>
              <w:rPr>
                <w:rFonts w:hint="eastAsia" w:ascii="Calibri" w:hAnsi="Calibri" w:eastAsia="宋体" w:cs="黑体"/>
                <w:kern w:val="2"/>
                <w:sz w:val="21"/>
                <w:szCs w:val="21"/>
                <w:lang w:val="en-US" w:eastAsia="zh-CN" w:bidi="ar-SA"/>
              </w:rPr>
            </w:pPr>
            <w:r>
              <w:rPr>
                <w:rFonts w:hint="eastAsia"/>
                <w:szCs w:val="21"/>
                <w:lang w:val="en-US" w:eastAsia="zh-CN"/>
              </w:rPr>
              <w:t>4</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14:paraId="1B63D9E0">
            <w:pPr>
              <w:jc w:val="center"/>
              <w:rPr>
                <w:rFonts w:hint="eastAsia" w:ascii="宋体" w:hAnsi="宋体"/>
                <w:szCs w:val="21"/>
                <w:lang w:val="en-US" w:eastAsia="zh-CN"/>
              </w:rPr>
            </w:pPr>
            <w:r>
              <w:rPr>
                <w:rFonts w:hint="eastAsia" w:ascii="宋体" w:hAnsi="宋体"/>
                <w:szCs w:val="21"/>
              </w:rPr>
              <w:t>成果质量及售后保障方案</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4C1D1AD3">
            <w:pPr>
              <w:jc w:val="center"/>
              <w:rPr>
                <w:rFonts w:hint="default" w:ascii="Calibri" w:hAnsi="Calibri" w:eastAsia="宋体" w:cs="黑体"/>
                <w:kern w:val="2"/>
                <w:sz w:val="21"/>
                <w:szCs w:val="21"/>
                <w:lang w:val="en-US" w:eastAsia="zh-CN" w:bidi="ar-SA"/>
              </w:rPr>
            </w:pPr>
            <w:r>
              <w:rPr>
                <w:rFonts w:hint="eastAsia" w:ascii="宋体" w:hAnsi="宋体" w:cs="宋体"/>
                <w:szCs w:val="21"/>
                <w:lang w:val="en-US" w:eastAsia="zh-CN"/>
              </w:rPr>
              <w:t>12</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top"/>
          </w:tcPr>
          <w:p w14:paraId="3BBD3C29">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6B34BF75">
            <w:pPr>
              <w:spacing w:line="240" w:lineRule="auto"/>
              <w:rPr>
                <w:rFonts w:hint="eastAsia"/>
                <w:color w:val="auto"/>
                <w:szCs w:val="21"/>
                <w:highlight w:val="none"/>
              </w:rPr>
            </w:pPr>
            <w:r>
              <w:rPr>
                <w:rFonts w:hint="eastAsia"/>
                <w:szCs w:val="21"/>
              </w:rPr>
              <w:t>根据招标文件的需求，制定贴切本项目的成果质量及</w:t>
            </w:r>
            <w:r>
              <w:rPr>
                <w:rFonts w:hint="eastAsia"/>
                <w:color w:val="auto"/>
                <w:szCs w:val="21"/>
                <w:highlight w:val="none"/>
              </w:rPr>
              <w:t>售后保障方案，方案内容包括但不限于：</w:t>
            </w:r>
          </w:p>
          <w:p w14:paraId="01E06FA6">
            <w:pPr>
              <w:spacing w:line="240" w:lineRule="auto"/>
              <w:rPr>
                <w:rFonts w:hint="eastAsia"/>
                <w:color w:val="auto"/>
                <w:szCs w:val="21"/>
                <w:highlight w:val="none"/>
                <w:lang w:eastAsia="zh-CN"/>
              </w:rPr>
            </w:pPr>
            <w:r>
              <w:rPr>
                <w:rFonts w:hint="eastAsia"/>
                <w:color w:val="auto"/>
                <w:szCs w:val="21"/>
                <w:highlight w:val="none"/>
              </w:rPr>
              <w:t>①</w:t>
            </w:r>
            <w:r>
              <w:rPr>
                <w:rFonts w:hint="eastAsia" w:ascii="宋体" w:hAnsi="宋体" w:eastAsia="宋体" w:cs="宋体"/>
                <w:color w:val="auto"/>
                <w:sz w:val="21"/>
                <w:szCs w:val="21"/>
                <w:highlight w:val="none"/>
              </w:rPr>
              <w:t>报告编制标准（明确引用规范、标准编号及质量等级要求）</w:t>
            </w:r>
            <w:r>
              <w:rPr>
                <w:rFonts w:hint="eastAsia"/>
                <w:color w:val="auto"/>
                <w:szCs w:val="21"/>
                <w:highlight w:val="none"/>
                <w:lang w:eastAsia="zh-CN"/>
              </w:rPr>
              <w:t>；</w:t>
            </w:r>
          </w:p>
          <w:p w14:paraId="38D9552C">
            <w:pPr>
              <w:spacing w:line="240" w:lineRule="auto"/>
              <w:rPr>
                <w:rFonts w:hint="eastAsia"/>
                <w:color w:val="auto"/>
                <w:szCs w:val="21"/>
                <w:highlight w:val="none"/>
                <w:lang w:eastAsia="zh-CN"/>
              </w:rPr>
            </w:pPr>
            <w:r>
              <w:rPr>
                <w:rFonts w:hint="eastAsia"/>
                <w:color w:val="auto"/>
                <w:szCs w:val="21"/>
                <w:highlight w:val="none"/>
              </w:rPr>
              <w:t>②</w:t>
            </w:r>
            <w:r>
              <w:rPr>
                <w:rFonts w:hint="eastAsia" w:ascii="宋体" w:hAnsi="宋体" w:eastAsia="宋体" w:cs="宋体"/>
                <w:color w:val="auto"/>
                <w:sz w:val="21"/>
                <w:szCs w:val="21"/>
                <w:highlight w:val="none"/>
              </w:rPr>
              <w:t>校核审核流程（具备三级审核机制描述，明确各级责任人及签批流程）</w:t>
            </w:r>
            <w:r>
              <w:rPr>
                <w:rFonts w:hint="eastAsia"/>
                <w:color w:val="auto"/>
                <w:szCs w:val="21"/>
                <w:highlight w:val="none"/>
                <w:lang w:eastAsia="zh-CN"/>
              </w:rPr>
              <w:t>；</w:t>
            </w:r>
          </w:p>
          <w:p w14:paraId="51E3464D">
            <w:pPr>
              <w:spacing w:line="240" w:lineRule="auto"/>
              <w:rPr>
                <w:rFonts w:hint="eastAsia"/>
                <w:color w:val="auto"/>
                <w:szCs w:val="21"/>
                <w:highlight w:val="none"/>
                <w:lang w:eastAsia="zh-CN"/>
              </w:rPr>
            </w:pPr>
            <w:r>
              <w:rPr>
                <w:rFonts w:hint="eastAsia"/>
                <w:color w:val="auto"/>
                <w:szCs w:val="21"/>
                <w:highlight w:val="none"/>
              </w:rPr>
              <w:t>③</w:t>
            </w:r>
            <w:r>
              <w:rPr>
                <w:rFonts w:hint="eastAsia" w:ascii="宋体" w:hAnsi="宋体" w:eastAsia="宋体" w:cs="宋体"/>
                <w:color w:val="auto"/>
                <w:sz w:val="21"/>
                <w:szCs w:val="21"/>
                <w:highlight w:val="none"/>
              </w:rPr>
              <w:t>成果纠错机制（包含错误发现、分类、修正及记录归档流程）</w:t>
            </w:r>
            <w:r>
              <w:rPr>
                <w:rFonts w:hint="eastAsia"/>
                <w:color w:val="auto"/>
                <w:szCs w:val="21"/>
                <w:highlight w:val="none"/>
                <w:lang w:eastAsia="zh-CN"/>
              </w:rPr>
              <w:t>；</w:t>
            </w:r>
          </w:p>
          <w:p w14:paraId="4689A89A">
            <w:pPr>
              <w:spacing w:line="240" w:lineRule="auto"/>
              <w:rPr>
                <w:rFonts w:hint="eastAsia"/>
                <w:color w:val="auto"/>
                <w:szCs w:val="21"/>
                <w:highlight w:val="none"/>
                <w:lang w:eastAsia="zh-CN"/>
              </w:rPr>
            </w:pPr>
            <w:r>
              <w:rPr>
                <w:rFonts w:hint="eastAsia"/>
                <w:color w:val="auto"/>
                <w:szCs w:val="21"/>
                <w:highlight w:val="none"/>
              </w:rPr>
              <w:t>④</w:t>
            </w:r>
            <w:r>
              <w:rPr>
                <w:rFonts w:hint="eastAsia" w:ascii="宋体" w:hAnsi="宋体" w:eastAsia="宋体" w:cs="宋体"/>
                <w:color w:val="auto"/>
                <w:sz w:val="21"/>
                <w:szCs w:val="21"/>
                <w:highlight w:val="none"/>
              </w:rPr>
              <w:t>配套完善的答疑、整改（明确答疑时限、整改响应时间及闭环管理流程）</w:t>
            </w:r>
            <w:r>
              <w:rPr>
                <w:rFonts w:hint="eastAsia"/>
                <w:color w:val="auto"/>
                <w:szCs w:val="21"/>
                <w:highlight w:val="none"/>
                <w:lang w:eastAsia="zh-CN"/>
              </w:rPr>
              <w:t>；</w:t>
            </w:r>
          </w:p>
          <w:p w14:paraId="4ABEE41B">
            <w:pPr>
              <w:spacing w:line="240" w:lineRule="auto"/>
              <w:rPr>
                <w:rFonts w:hint="eastAsia"/>
                <w:color w:val="auto"/>
                <w:szCs w:val="21"/>
                <w:highlight w:val="none"/>
                <w:lang w:val="en-US" w:eastAsia="zh-CN"/>
              </w:rPr>
            </w:pPr>
            <w:r>
              <w:rPr>
                <w:rFonts w:hint="eastAsia"/>
                <w:color w:val="auto"/>
                <w:szCs w:val="21"/>
                <w:highlight w:val="none"/>
              </w:rPr>
              <w:t>⑤</w:t>
            </w:r>
            <w:r>
              <w:rPr>
                <w:rFonts w:hint="eastAsia" w:ascii="宋体" w:hAnsi="宋体" w:eastAsia="宋体" w:cs="宋体"/>
                <w:color w:val="auto"/>
                <w:sz w:val="21"/>
                <w:szCs w:val="21"/>
                <w:highlight w:val="none"/>
              </w:rPr>
              <w:t>售后保障服务（包含服务期限、响应方式、人员配置及应急处理预案）</w:t>
            </w:r>
            <w:r>
              <w:rPr>
                <w:rFonts w:hint="eastAsia"/>
                <w:color w:val="auto"/>
                <w:szCs w:val="21"/>
                <w:highlight w:val="none"/>
                <w:lang w:eastAsia="zh-CN"/>
              </w:rPr>
              <w:t>。</w:t>
            </w:r>
          </w:p>
          <w:p w14:paraId="1E56AA16">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25A7579D">
            <w:pPr>
              <w:spacing w:line="240" w:lineRule="auto"/>
              <w:rPr>
                <w:rFonts w:hint="eastAsia"/>
                <w:szCs w:val="21"/>
              </w:rPr>
            </w:pPr>
            <w:r>
              <w:rPr>
                <w:rFonts w:hint="eastAsia"/>
                <w:szCs w:val="21"/>
                <w:lang w:val="en-US" w:eastAsia="zh-CN"/>
              </w:rPr>
              <w:t>1.</w:t>
            </w:r>
            <w:r>
              <w:rPr>
                <w:rFonts w:hint="eastAsia"/>
                <w:szCs w:val="21"/>
              </w:rPr>
              <w:t>以上内容每提供一项得</w:t>
            </w:r>
            <w:r>
              <w:rPr>
                <w:rFonts w:hint="eastAsia"/>
                <w:szCs w:val="21"/>
                <w:lang w:val="en-US" w:eastAsia="zh-CN"/>
              </w:rPr>
              <w:t>1.5</w:t>
            </w:r>
            <w:r>
              <w:rPr>
                <w:rFonts w:hint="eastAsia"/>
                <w:szCs w:val="21"/>
              </w:rPr>
              <w:t>分，最高得</w:t>
            </w:r>
            <w:r>
              <w:rPr>
                <w:rFonts w:hint="eastAsia"/>
                <w:szCs w:val="21"/>
                <w:lang w:val="en-US" w:eastAsia="zh-CN"/>
              </w:rPr>
              <w:t>7</w:t>
            </w:r>
            <w:r>
              <w:rPr>
                <w:rFonts w:hint="eastAsia"/>
                <w:szCs w:val="21"/>
              </w:rPr>
              <w:t>分，其它情况不得分。</w:t>
            </w:r>
          </w:p>
          <w:p w14:paraId="6F7E06F5">
            <w:pPr>
              <w:spacing w:line="240" w:lineRule="auto"/>
              <w:rPr>
                <w:rFonts w:hint="eastAsia"/>
                <w:szCs w:val="21"/>
              </w:rPr>
            </w:pPr>
            <w:r>
              <w:rPr>
                <w:rFonts w:hint="eastAsia"/>
                <w:szCs w:val="21"/>
                <w:lang w:val="en-US" w:eastAsia="zh-CN"/>
              </w:rPr>
              <w:t>2.</w:t>
            </w:r>
            <w:r>
              <w:rPr>
                <w:rFonts w:hint="eastAsia"/>
                <w:szCs w:val="21"/>
              </w:rPr>
              <w:t>在此基础上，专家根据各供应商的具体响应内容按照量化的评审因素指标进一步评审：</w:t>
            </w:r>
          </w:p>
          <w:p w14:paraId="07A7C039">
            <w:pPr>
              <w:spacing w:line="240" w:lineRule="auto"/>
              <w:rPr>
                <w:rFonts w:hint="eastAsia"/>
                <w:szCs w:val="21"/>
              </w:rPr>
            </w:pPr>
            <w:r>
              <w:rPr>
                <w:rFonts w:hint="eastAsia"/>
                <w:szCs w:val="21"/>
              </w:rPr>
              <w:t>优评分标准：方案符合实际、完整、规范、思路清晰，内容合理性</w:t>
            </w:r>
            <w:r>
              <w:rPr>
                <w:rFonts w:hint="eastAsia"/>
                <w:szCs w:val="21"/>
                <w:lang w:eastAsia="zh-CN"/>
              </w:rPr>
              <w:t>、</w:t>
            </w:r>
            <w:r>
              <w:rPr>
                <w:rFonts w:hint="eastAsia"/>
                <w:szCs w:val="21"/>
                <w:lang w:val="en-US" w:eastAsia="zh-CN"/>
              </w:rPr>
              <w:t>针对性、可操作性</w:t>
            </w:r>
            <w:r>
              <w:rPr>
                <w:rFonts w:hint="eastAsia"/>
                <w:szCs w:val="21"/>
              </w:rPr>
              <w:t>强，加</w:t>
            </w:r>
            <w:r>
              <w:rPr>
                <w:rFonts w:hint="eastAsia"/>
                <w:szCs w:val="21"/>
                <w:lang w:val="en-US" w:eastAsia="zh-CN"/>
              </w:rPr>
              <w:t>5</w:t>
            </w:r>
            <w:r>
              <w:rPr>
                <w:rFonts w:hint="eastAsia"/>
                <w:szCs w:val="21"/>
              </w:rPr>
              <w:t xml:space="preserve">分。 </w:t>
            </w:r>
          </w:p>
          <w:p w14:paraId="14D53E4D">
            <w:pPr>
              <w:spacing w:line="240" w:lineRule="auto"/>
              <w:rPr>
                <w:rFonts w:hint="eastAsia"/>
                <w:szCs w:val="21"/>
              </w:rPr>
            </w:pPr>
            <w:r>
              <w:rPr>
                <w:rFonts w:hint="eastAsia"/>
                <w:szCs w:val="21"/>
              </w:rPr>
              <w:t>良评分标准：方案较符合实际、较完整规范、思路较清晰，内容合理性</w:t>
            </w:r>
            <w:r>
              <w:rPr>
                <w:rFonts w:hint="eastAsia"/>
                <w:szCs w:val="21"/>
                <w:lang w:eastAsia="zh-CN"/>
              </w:rPr>
              <w:t>、</w:t>
            </w:r>
            <w:r>
              <w:rPr>
                <w:rFonts w:hint="eastAsia"/>
                <w:szCs w:val="21"/>
                <w:lang w:val="en-US" w:eastAsia="zh-CN"/>
              </w:rPr>
              <w:t>针对性、可操作性</w:t>
            </w:r>
            <w:r>
              <w:rPr>
                <w:rFonts w:hint="eastAsia"/>
                <w:szCs w:val="21"/>
              </w:rPr>
              <w:t>较强，加</w:t>
            </w:r>
            <w:r>
              <w:rPr>
                <w:rFonts w:hint="eastAsia"/>
                <w:szCs w:val="21"/>
                <w:lang w:val="en-US" w:eastAsia="zh-CN"/>
              </w:rPr>
              <w:t>3</w:t>
            </w:r>
            <w:r>
              <w:rPr>
                <w:rFonts w:hint="eastAsia"/>
                <w:szCs w:val="21"/>
              </w:rPr>
              <w:t xml:space="preserve">分。 </w:t>
            </w:r>
          </w:p>
          <w:p w14:paraId="082679CB">
            <w:pPr>
              <w:spacing w:line="240" w:lineRule="auto"/>
              <w:rPr>
                <w:rFonts w:hint="eastAsia"/>
                <w:szCs w:val="21"/>
              </w:rPr>
            </w:pPr>
            <w:r>
              <w:rPr>
                <w:rFonts w:hint="eastAsia"/>
                <w:szCs w:val="21"/>
              </w:rPr>
              <w:t>中评分标准：方案较普通、完整性、规范性一般，思路不够清晰，内容合理性</w:t>
            </w:r>
            <w:r>
              <w:rPr>
                <w:rFonts w:hint="eastAsia"/>
                <w:szCs w:val="21"/>
                <w:lang w:eastAsia="zh-CN"/>
              </w:rPr>
              <w:t>、</w:t>
            </w:r>
            <w:r>
              <w:rPr>
                <w:rFonts w:hint="eastAsia"/>
                <w:szCs w:val="21"/>
                <w:lang w:val="en-US" w:eastAsia="zh-CN"/>
              </w:rPr>
              <w:t>针对性、可操作性</w:t>
            </w:r>
            <w:r>
              <w:rPr>
                <w:rFonts w:hint="eastAsia"/>
                <w:szCs w:val="21"/>
              </w:rPr>
              <w:t>一般，加</w:t>
            </w:r>
            <w:r>
              <w:rPr>
                <w:rFonts w:hint="eastAsia"/>
                <w:szCs w:val="21"/>
                <w:lang w:val="en-US" w:eastAsia="zh-CN"/>
              </w:rPr>
              <w:t>1</w:t>
            </w:r>
            <w:r>
              <w:rPr>
                <w:rFonts w:hint="eastAsia"/>
                <w:szCs w:val="21"/>
              </w:rPr>
              <w:t xml:space="preserve">分。 </w:t>
            </w:r>
          </w:p>
          <w:p w14:paraId="58CE60FD">
            <w:pPr>
              <w:spacing w:line="240" w:lineRule="auto"/>
              <w:rPr>
                <w:rFonts w:hint="eastAsia" w:ascii="宋体" w:hAnsi="宋体" w:eastAsia="宋体" w:cs="宋体"/>
                <w:color w:val="FF0000"/>
                <w:kern w:val="0"/>
                <w:sz w:val="21"/>
                <w:szCs w:val="21"/>
                <w:highlight w:val="none"/>
                <w:lang w:val="en-US" w:eastAsia="zh-CN" w:bidi="ar-SA"/>
              </w:rPr>
            </w:pPr>
            <w:r>
              <w:rPr>
                <w:rFonts w:hint="eastAsia"/>
                <w:szCs w:val="21"/>
              </w:rPr>
              <w:t>差评分标准：方案不完整、不规范，思路不清晰，内容合理性</w:t>
            </w:r>
            <w:r>
              <w:rPr>
                <w:rFonts w:hint="eastAsia"/>
                <w:szCs w:val="21"/>
                <w:lang w:eastAsia="zh-CN"/>
              </w:rPr>
              <w:t>、</w:t>
            </w:r>
            <w:r>
              <w:rPr>
                <w:rFonts w:hint="eastAsia"/>
                <w:szCs w:val="21"/>
                <w:lang w:val="en-US" w:eastAsia="zh-CN"/>
              </w:rPr>
              <w:t>针对性、可操作性</w:t>
            </w:r>
            <w:r>
              <w:rPr>
                <w:rFonts w:hint="eastAsia"/>
                <w:szCs w:val="21"/>
              </w:rPr>
              <w:t>差或未提供，评价为差不加分。</w:t>
            </w:r>
          </w:p>
        </w:tc>
      </w:tr>
      <w:tr w14:paraId="7E33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0DE9B5DE">
            <w:pPr>
              <w:spacing w:line="360" w:lineRule="exact"/>
              <w:jc w:val="center"/>
              <w:rPr>
                <w:b/>
                <w:bCs/>
                <w:color w:val="auto"/>
                <w:sz w:val="22"/>
                <w:highlight w:val="none"/>
              </w:rPr>
            </w:pPr>
            <w:r>
              <w:rPr>
                <w:b/>
                <w:bCs/>
                <w:color w:val="auto"/>
                <w:sz w:val="22"/>
                <w:highlight w:val="none"/>
              </w:rPr>
              <w:t>商务部分</w:t>
            </w:r>
          </w:p>
        </w:tc>
        <w:tc>
          <w:tcPr>
            <w:tcW w:w="5097" w:type="dxa"/>
            <w:tcBorders>
              <w:top w:val="single" w:color="auto" w:sz="4" w:space="0"/>
              <w:left w:val="single" w:color="auto" w:sz="4" w:space="0"/>
              <w:bottom w:val="single" w:color="auto" w:sz="4" w:space="0"/>
              <w:right w:val="single" w:color="auto" w:sz="4" w:space="0"/>
            </w:tcBorders>
            <w:vAlign w:val="center"/>
          </w:tcPr>
          <w:p w14:paraId="42A9619E">
            <w:pPr>
              <w:spacing w:line="240" w:lineRule="auto"/>
              <w:jc w:val="center"/>
              <w:rPr>
                <w:rFonts w:hint="default" w:eastAsia="宋体"/>
                <w:b/>
                <w:bCs/>
                <w:color w:val="auto"/>
                <w:sz w:val="22"/>
                <w:highlight w:val="none"/>
                <w:lang w:val="en-US" w:eastAsia="zh-CN"/>
              </w:rPr>
            </w:pPr>
            <w:r>
              <w:rPr>
                <w:rFonts w:hint="eastAsia"/>
                <w:b/>
                <w:bCs/>
                <w:color w:val="auto"/>
                <w:sz w:val="22"/>
                <w:highlight w:val="none"/>
                <w:lang w:val="en-US" w:eastAsia="zh-CN"/>
              </w:rPr>
              <w:t>33</w:t>
            </w:r>
          </w:p>
        </w:tc>
      </w:tr>
      <w:tr w14:paraId="71DC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6B54F8FF">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4147B946">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59DC83E4">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1C736E3F">
            <w:pPr>
              <w:spacing w:line="240" w:lineRule="auto"/>
              <w:jc w:val="center"/>
              <w:rPr>
                <w:color w:val="auto"/>
                <w:sz w:val="22"/>
                <w:highlight w:val="none"/>
              </w:rPr>
            </w:pPr>
            <w:r>
              <w:rPr>
                <w:color w:val="auto"/>
                <w:sz w:val="22"/>
                <w:highlight w:val="none"/>
              </w:rPr>
              <w:t>评分准则</w:t>
            </w:r>
          </w:p>
        </w:tc>
      </w:tr>
      <w:tr w14:paraId="7F64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73C4C542">
            <w:pPr>
              <w:spacing w:line="360" w:lineRule="exact"/>
              <w:jc w:val="center"/>
              <w:rPr>
                <w:color w:val="auto"/>
                <w:sz w:val="22"/>
                <w:highlight w:val="none"/>
              </w:rPr>
            </w:pPr>
            <w:r>
              <w:rPr>
                <w:color w:val="auto"/>
                <w:sz w:val="22"/>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14:paraId="24132AB0">
            <w:pPr>
              <w:jc w:val="center"/>
              <w:rPr>
                <w:rFonts w:ascii="宋体" w:hAnsi="宋体"/>
                <w:szCs w:val="21"/>
              </w:rPr>
            </w:pPr>
            <w:r>
              <w:rPr>
                <w:rFonts w:hint="eastAsia" w:ascii="宋体" w:hAnsi="宋体"/>
                <w:szCs w:val="21"/>
              </w:rPr>
              <w:t>同类项目业绩</w:t>
            </w:r>
          </w:p>
          <w:p w14:paraId="3F755722">
            <w:pPr>
              <w:jc w:val="center"/>
              <w:rPr>
                <w:color w:val="auto"/>
                <w:sz w:val="22"/>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62038042">
            <w:pPr>
              <w:ind w:firstLine="210" w:firstLineChars="100"/>
              <w:jc w:val="both"/>
              <w:rPr>
                <w:color w:val="auto"/>
                <w:sz w:val="22"/>
                <w:highlight w:val="none"/>
              </w:rPr>
            </w:pPr>
            <w:r>
              <w:rPr>
                <w:rFonts w:hint="eastAsia" w:ascii="宋体" w:hAnsi="宋体"/>
                <w:szCs w:val="21"/>
                <w:lang w:val="en-US" w:eastAsia="zh-CN"/>
              </w:rPr>
              <w:t>12</w:t>
            </w:r>
          </w:p>
        </w:tc>
        <w:tc>
          <w:tcPr>
            <w:tcW w:w="5097" w:type="dxa"/>
            <w:tcBorders>
              <w:top w:val="single" w:color="auto" w:sz="4" w:space="0"/>
              <w:left w:val="single" w:color="auto" w:sz="4" w:space="0"/>
              <w:bottom w:val="single" w:color="auto" w:sz="4" w:space="0"/>
              <w:right w:val="single" w:color="auto" w:sz="4" w:space="0"/>
            </w:tcBorders>
            <w:vAlign w:val="top"/>
          </w:tcPr>
          <w:p w14:paraId="68FCDAF9">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39AF01F9">
            <w:pPr>
              <w:jc w:val="left"/>
              <w:rPr>
                <w:rFonts w:ascii="宋体" w:hAnsi="宋体"/>
                <w:b/>
                <w:szCs w:val="21"/>
              </w:rPr>
            </w:pPr>
            <w:r>
              <w:rPr>
                <w:rFonts w:hint="eastAsia" w:ascii="宋体" w:hAnsi="宋体"/>
                <w:szCs w:val="21"/>
              </w:rPr>
              <w:t>投标人2022</w:t>
            </w:r>
            <w:r>
              <w:rPr>
                <w:rFonts w:hint="eastAsia" w:ascii="宋体" w:hAnsi="宋体"/>
                <w:color w:val="auto"/>
                <w:szCs w:val="21"/>
              </w:rPr>
              <w:t>年</w:t>
            </w:r>
            <w:r>
              <w:rPr>
                <w:rFonts w:hint="eastAsia" w:ascii="宋体" w:hAnsi="宋体"/>
                <w:strike w:val="0"/>
                <w:dstrike w:val="0"/>
                <w:color w:val="auto"/>
                <w:szCs w:val="21"/>
                <w:lang w:val="en-US" w:eastAsia="zh-CN"/>
              </w:rPr>
              <w:t>6</w:t>
            </w:r>
            <w:r>
              <w:rPr>
                <w:rFonts w:hint="eastAsia" w:ascii="宋体" w:hAnsi="宋体"/>
                <w:color w:val="auto"/>
                <w:szCs w:val="21"/>
              </w:rPr>
              <w:t>月1日至投标截止时间</w:t>
            </w:r>
            <w:r>
              <w:rPr>
                <w:rFonts w:hint="eastAsia" w:ascii="宋体" w:hAnsi="宋体"/>
                <w:color w:val="auto"/>
                <w:szCs w:val="21"/>
                <w:lang w:eastAsia="zh-CN"/>
              </w:rPr>
              <w:t>（</w:t>
            </w:r>
            <w:r>
              <w:rPr>
                <w:rFonts w:hint="eastAsia" w:ascii="宋体" w:hAnsi="宋体"/>
                <w:color w:val="auto"/>
                <w:szCs w:val="21"/>
                <w:lang w:val="en-US" w:eastAsia="zh-CN"/>
              </w:rPr>
              <w:t>以合同签订时间为准）</w:t>
            </w:r>
            <w:r>
              <w:rPr>
                <w:rFonts w:hint="eastAsia" w:ascii="宋体" w:hAnsi="宋体"/>
                <w:color w:val="auto"/>
                <w:szCs w:val="21"/>
              </w:rPr>
              <w:t>已完成的</w:t>
            </w:r>
            <w:r>
              <w:rPr>
                <w:rFonts w:hint="eastAsia" w:ascii="宋体" w:hAnsi="宋体" w:eastAsia="宋体"/>
                <w:color w:val="auto"/>
                <w:szCs w:val="21"/>
              </w:rPr>
              <w:t>同类业绩</w:t>
            </w:r>
            <w:r>
              <w:rPr>
                <w:rFonts w:hint="eastAsia" w:ascii="宋体" w:hAnsi="宋体" w:eastAsia="宋体"/>
                <w:szCs w:val="21"/>
                <w:lang w:eastAsia="zh-CN"/>
              </w:rPr>
              <w:t>（</w:t>
            </w:r>
            <w:r>
              <w:rPr>
                <w:rFonts w:hint="eastAsia" w:ascii="宋体" w:hAnsi="宋体" w:eastAsia="宋体"/>
                <w:szCs w:val="21"/>
              </w:rPr>
              <w:t>房屋结构安全检测鉴定</w:t>
            </w:r>
            <w:r>
              <w:rPr>
                <w:rFonts w:hint="eastAsia" w:ascii="宋体" w:hAnsi="宋体" w:eastAsia="宋体"/>
                <w:szCs w:val="21"/>
                <w:lang w:val="en-US" w:eastAsia="zh-CN"/>
              </w:rPr>
              <w:t>或</w:t>
            </w:r>
            <w:r>
              <w:rPr>
                <w:rFonts w:hint="eastAsia" w:ascii="宋体" w:hAnsi="宋体" w:eastAsia="宋体"/>
                <w:szCs w:val="21"/>
              </w:rPr>
              <w:t>建筑主体及地基检测</w:t>
            </w:r>
            <w:r>
              <w:rPr>
                <w:rFonts w:hint="eastAsia" w:ascii="宋体" w:hAnsi="宋体" w:eastAsia="宋体"/>
                <w:szCs w:val="21"/>
                <w:lang w:val="en-US" w:eastAsia="zh-CN"/>
              </w:rPr>
              <w:t>或</w:t>
            </w:r>
            <w:r>
              <w:rPr>
                <w:rFonts w:hint="eastAsia" w:ascii="宋体" w:hAnsi="宋体" w:eastAsia="宋体"/>
                <w:szCs w:val="21"/>
              </w:rPr>
              <w:t>建筑结构评估</w:t>
            </w:r>
            <w:r>
              <w:rPr>
                <w:rFonts w:hint="eastAsia" w:ascii="宋体" w:hAnsi="宋体" w:eastAsia="宋体"/>
                <w:szCs w:val="21"/>
                <w:lang w:eastAsia="zh-CN"/>
              </w:rPr>
              <w:t>）</w:t>
            </w:r>
            <w:r>
              <w:rPr>
                <w:rFonts w:hint="eastAsia" w:ascii="宋体" w:hAnsi="宋体" w:eastAsia="宋体"/>
                <w:szCs w:val="21"/>
              </w:rPr>
              <w:t>，</w:t>
            </w:r>
            <w:r>
              <w:rPr>
                <w:rFonts w:hint="eastAsia" w:ascii="宋体" w:hAnsi="宋体" w:eastAsia="宋体"/>
                <w:color w:val="auto"/>
                <w:szCs w:val="21"/>
              </w:rPr>
              <w:t>每</w:t>
            </w:r>
            <w:r>
              <w:rPr>
                <w:rFonts w:hint="eastAsia" w:ascii="宋体" w:hAnsi="宋体"/>
                <w:szCs w:val="21"/>
              </w:rPr>
              <w:t>提供1个有效业绩得3分，最多得12分。</w:t>
            </w:r>
          </w:p>
          <w:p w14:paraId="67758450">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62CF6B49">
            <w:pPr>
              <w:jc w:val="left"/>
              <w:rPr>
                <w:color w:val="auto"/>
                <w:sz w:val="22"/>
                <w:szCs w:val="22"/>
                <w:highlight w:val="none"/>
              </w:rPr>
            </w:pPr>
            <w:r>
              <w:rPr>
                <w:rFonts w:hint="eastAsia" w:ascii="宋体" w:hAnsi="宋体"/>
                <w:szCs w:val="21"/>
              </w:rPr>
              <w:t>投标人须提供项目合同</w:t>
            </w:r>
            <w:r>
              <w:rPr>
                <w:rFonts w:hint="eastAsia" w:ascii="宋体" w:hAnsi="宋体"/>
                <w:color w:val="auto"/>
                <w:szCs w:val="21"/>
              </w:rPr>
              <w:t>关键页</w:t>
            </w:r>
            <w:r>
              <w:rPr>
                <w:rFonts w:hint="eastAsia" w:ascii="宋体" w:hAnsi="宋体" w:eastAsia="宋体" w:cs="宋体"/>
                <w:color w:val="auto"/>
                <w:sz w:val="22"/>
                <w:highlight w:val="none"/>
              </w:rPr>
              <w:t>（包括但不限于合同双方的单位名称、合同项目名称、项目内容、合同双方的签字盖章页、签订日期等）</w:t>
            </w:r>
            <w:r>
              <w:rPr>
                <w:rFonts w:hint="eastAsia" w:ascii="宋体" w:hAnsi="宋体"/>
                <w:color w:val="auto"/>
                <w:szCs w:val="21"/>
              </w:rPr>
              <w:t>，原</w:t>
            </w:r>
            <w:r>
              <w:rPr>
                <w:rFonts w:hint="eastAsia" w:ascii="宋体" w:hAnsi="宋体"/>
                <w:szCs w:val="21"/>
              </w:rPr>
              <w:t>件备查。</w:t>
            </w:r>
            <w:r>
              <w:rPr>
                <w:rFonts w:hint="eastAsia"/>
                <w:szCs w:val="21"/>
              </w:rPr>
              <w:t>未提供或提供不清晰导致无法判断的，不得分</w:t>
            </w:r>
            <w:r>
              <w:rPr>
                <w:rFonts w:hint="eastAsia" w:ascii="宋体" w:hAnsi="宋体" w:cs="宋体"/>
                <w:kern w:val="0"/>
                <w:szCs w:val="21"/>
              </w:rPr>
              <w:t>。</w:t>
            </w:r>
          </w:p>
        </w:tc>
      </w:tr>
      <w:tr w14:paraId="7F34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6DD8A975">
            <w:pPr>
              <w:spacing w:line="360" w:lineRule="exact"/>
              <w:jc w:val="center"/>
              <w:rPr>
                <w:color w:val="auto"/>
                <w:sz w:val="22"/>
                <w:highlight w:val="none"/>
              </w:rPr>
            </w:pPr>
            <w:r>
              <w:rPr>
                <w:color w:val="auto"/>
                <w:sz w:val="22"/>
                <w:highlight w:val="none"/>
              </w:rPr>
              <w:t>2</w:t>
            </w:r>
          </w:p>
        </w:tc>
        <w:tc>
          <w:tcPr>
            <w:tcW w:w="1935" w:type="dxa"/>
            <w:tcBorders>
              <w:top w:val="single" w:color="auto" w:sz="4" w:space="0"/>
              <w:left w:val="single" w:color="auto" w:sz="4" w:space="0"/>
              <w:bottom w:val="single" w:color="auto" w:sz="4" w:space="0"/>
              <w:right w:val="single" w:color="auto" w:sz="4" w:space="0"/>
            </w:tcBorders>
            <w:vAlign w:val="center"/>
          </w:tcPr>
          <w:p w14:paraId="4A4477D3">
            <w:pPr>
              <w:jc w:val="center"/>
              <w:rPr>
                <w:rFonts w:ascii="宋体" w:hAnsi="宋体" w:cs="宋体"/>
                <w:szCs w:val="21"/>
              </w:rPr>
            </w:pPr>
            <w:r>
              <w:rPr>
                <w:rFonts w:hint="eastAsia" w:ascii="宋体" w:hAnsi="宋体" w:cs="宋体"/>
                <w:szCs w:val="21"/>
              </w:rPr>
              <w:t>履约评价</w:t>
            </w:r>
          </w:p>
          <w:p w14:paraId="4B2A0CC9">
            <w:pPr>
              <w:jc w:val="center"/>
              <w:rPr>
                <w:rFonts w:hint="eastAsia" w:ascii="宋体" w:hAnsi="宋体"/>
                <w:szCs w:val="21"/>
              </w:rPr>
            </w:pPr>
          </w:p>
        </w:tc>
        <w:tc>
          <w:tcPr>
            <w:tcW w:w="930" w:type="dxa"/>
            <w:tcBorders>
              <w:top w:val="single" w:color="auto" w:sz="4" w:space="0"/>
              <w:left w:val="single" w:color="auto" w:sz="4" w:space="0"/>
              <w:bottom w:val="single" w:color="auto" w:sz="4" w:space="0"/>
              <w:right w:val="single" w:color="auto" w:sz="4" w:space="0"/>
            </w:tcBorders>
            <w:vAlign w:val="center"/>
          </w:tcPr>
          <w:p w14:paraId="7837909E">
            <w:pPr>
              <w:jc w:val="center"/>
              <w:rPr>
                <w:rFonts w:hint="default" w:ascii="宋体" w:hAnsi="宋体"/>
                <w:szCs w:val="21"/>
                <w:lang w:val="en-US" w:eastAsia="zh-CN"/>
              </w:rPr>
            </w:pPr>
            <w:r>
              <w:rPr>
                <w:rFonts w:hint="eastAsia" w:ascii="宋体" w:hAnsi="宋体" w:cs="宋体"/>
                <w:szCs w:val="21"/>
                <w:lang w:val="en-US" w:eastAsia="zh-CN"/>
              </w:rPr>
              <w:t>8</w:t>
            </w:r>
          </w:p>
        </w:tc>
        <w:tc>
          <w:tcPr>
            <w:tcW w:w="5097" w:type="dxa"/>
            <w:tcBorders>
              <w:top w:val="single" w:color="auto" w:sz="4" w:space="0"/>
              <w:left w:val="single" w:color="auto" w:sz="4" w:space="0"/>
              <w:bottom w:val="single" w:color="auto" w:sz="4" w:space="0"/>
              <w:right w:val="single" w:color="auto" w:sz="4" w:space="0"/>
            </w:tcBorders>
            <w:vAlign w:val="top"/>
          </w:tcPr>
          <w:p w14:paraId="4A1BD25E">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6E54B907">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投标人在上述“同类项目业绩”评审项中参加评审并被认定有效的业绩，能够提供合同甲方出具的履约评价书</w:t>
            </w:r>
            <w:r>
              <w:rPr>
                <w:rFonts w:hint="eastAsia" w:ascii="宋体" w:hAnsi="宋体"/>
                <w:color w:val="auto"/>
                <w:szCs w:val="21"/>
              </w:rPr>
              <w:t>（加盖公章）</w:t>
            </w:r>
            <w:r>
              <w:rPr>
                <w:rFonts w:hint="eastAsia" w:ascii="宋体" w:hAnsi="宋体" w:cs="宋体"/>
                <w:color w:val="auto"/>
                <w:szCs w:val="21"/>
                <w:highlight w:val="none"/>
              </w:rPr>
              <w:t>，且评价为优（或评价中的最高等级）的，每份评价书得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分，评价为</w:t>
            </w:r>
            <w:r>
              <w:rPr>
                <w:rFonts w:hint="eastAsia" w:ascii="宋体" w:hAnsi="宋体" w:cs="宋体"/>
                <w:color w:val="auto"/>
                <w:szCs w:val="21"/>
                <w:highlight w:val="none"/>
                <w:lang w:val="en-US" w:eastAsia="zh-CN"/>
              </w:rPr>
              <w:t>良</w:t>
            </w:r>
            <w:r>
              <w:rPr>
                <w:rFonts w:hint="eastAsia" w:ascii="宋体" w:hAnsi="宋体" w:cs="宋体"/>
                <w:color w:val="auto"/>
                <w:szCs w:val="21"/>
                <w:highlight w:val="none"/>
              </w:rPr>
              <w:t>（或评价中的</w:t>
            </w:r>
            <w:r>
              <w:rPr>
                <w:rFonts w:hint="eastAsia" w:ascii="宋体" w:hAnsi="宋体" w:cs="宋体"/>
                <w:color w:val="auto"/>
                <w:szCs w:val="21"/>
                <w:highlight w:val="none"/>
                <w:lang w:val="en-US" w:eastAsia="zh-CN"/>
              </w:rPr>
              <w:t>次</w:t>
            </w:r>
            <w:r>
              <w:rPr>
                <w:rFonts w:hint="eastAsia" w:ascii="宋体" w:hAnsi="宋体" w:cs="宋体"/>
                <w:color w:val="auto"/>
                <w:szCs w:val="21"/>
                <w:highlight w:val="none"/>
              </w:rPr>
              <w:t>高等级）的，每份评价书得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分，其他情况得0分，最高得</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p w14:paraId="2E2A60F3">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0CD2AE79">
            <w:pPr>
              <w:spacing w:line="240" w:lineRule="auto"/>
              <w:rPr>
                <w:rFonts w:hint="eastAsia" w:ascii="宋体" w:hAnsi="宋体"/>
                <w:szCs w:val="21"/>
              </w:rPr>
            </w:pPr>
            <w:r>
              <w:rPr>
                <w:rFonts w:hint="eastAsia" w:ascii="宋体" w:hAnsi="宋体"/>
                <w:szCs w:val="21"/>
              </w:rPr>
              <w:t>投标人提供用户出具的履约评价书（</w:t>
            </w:r>
            <w:r>
              <w:rPr>
                <w:rFonts w:hint="eastAsia"/>
              </w:rPr>
              <w:t>加盖用户单位公章）</w:t>
            </w:r>
            <w:r>
              <w:rPr>
                <w:rFonts w:hint="eastAsia" w:ascii="宋体" w:hAnsi="宋体"/>
                <w:szCs w:val="21"/>
              </w:rPr>
              <w:t>原件扫描件，原件备查，</w:t>
            </w:r>
            <w:r>
              <w:rPr>
                <w:rFonts w:hint="eastAsia"/>
                <w:szCs w:val="21"/>
              </w:rPr>
              <w:t>未提供或提供不清晰导致无法判断的，不得分</w:t>
            </w:r>
            <w:r>
              <w:rPr>
                <w:rFonts w:hint="eastAsia" w:ascii="宋体" w:hAnsi="宋体" w:cs="宋体"/>
                <w:kern w:val="0"/>
                <w:szCs w:val="21"/>
              </w:rPr>
              <w:t>。</w:t>
            </w:r>
          </w:p>
        </w:tc>
      </w:tr>
      <w:tr w14:paraId="7D6C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3A15E11E">
            <w:pPr>
              <w:spacing w:line="360" w:lineRule="exact"/>
              <w:jc w:val="center"/>
              <w:rPr>
                <w:color w:val="auto"/>
                <w:sz w:val="22"/>
                <w:highlight w:val="none"/>
              </w:rPr>
            </w:pPr>
            <w:r>
              <w:rPr>
                <w:color w:val="auto"/>
                <w:sz w:val="22"/>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14:paraId="3A0C0F18">
            <w:pPr>
              <w:jc w:val="center"/>
              <w:rPr>
                <w:rFonts w:hint="eastAsia" w:ascii="宋体" w:hAnsi="宋体"/>
                <w:szCs w:val="21"/>
              </w:rPr>
            </w:pPr>
            <w:r>
              <w:rPr>
                <w:rFonts w:hint="eastAsia" w:ascii="宋体" w:hAnsi="宋体" w:eastAsia="宋体"/>
                <w:szCs w:val="21"/>
              </w:rPr>
              <w:t>项目检测设备配置及先进性</w:t>
            </w:r>
          </w:p>
        </w:tc>
        <w:tc>
          <w:tcPr>
            <w:tcW w:w="930" w:type="dxa"/>
            <w:tcBorders>
              <w:top w:val="single" w:color="auto" w:sz="4" w:space="0"/>
              <w:left w:val="single" w:color="auto" w:sz="4" w:space="0"/>
              <w:bottom w:val="single" w:color="auto" w:sz="4" w:space="0"/>
              <w:right w:val="single" w:color="auto" w:sz="4" w:space="0"/>
            </w:tcBorders>
            <w:vAlign w:val="center"/>
          </w:tcPr>
          <w:p w14:paraId="06FCAA8A">
            <w:pPr>
              <w:jc w:val="center"/>
              <w:rPr>
                <w:rFonts w:hint="default" w:ascii="宋体" w:hAnsi="宋体"/>
                <w:szCs w:val="21"/>
                <w:lang w:val="en-US" w:eastAsia="zh-CN"/>
              </w:rPr>
            </w:pPr>
            <w:r>
              <w:rPr>
                <w:rFonts w:hint="eastAsia"/>
                <w:lang w:val="en-US" w:eastAsia="zh-CN"/>
              </w:rPr>
              <w:t>7</w:t>
            </w:r>
          </w:p>
        </w:tc>
        <w:tc>
          <w:tcPr>
            <w:tcW w:w="5097" w:type="dxa"/>
            <w:tcBorders>
              <w:top w:val="single" w:color="auto" w:sz="4" w:space="0"/>
              <w:left w:val="single" w:color="auto" w:sz="4" w:space="0"/>
              <w:bottom w:val="single" w:color="auto" w:sz="4" w:space="0"/>
              <w:right w:val="single" w:color="auto" w:sz="4" w:space="0"/>
            </w:tcBorders>
            <w:vAlign w:val="top"/>
          </w:tcPr>
          <w:p w14:paraId="39975857">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27423FD9">
            <w:pPr>
              <w:numPr>
                <w:ilvl w:val="0"/>
                <w:numId w:val="0"/>
              </w:numPr>
              <w:ind w:left="0" w:firstLine="0"/>
              <w:jc w:val="left"/>
              <w:rPr>
                <w:rFonts w:hint="eastAsia"/>
              </w:rPr>
            </w:pPr>
            <w:r>
              <w:rPr>
                <w:rFonts w:hint="eastAsia"/>
              </w:rPr>
              <w:t>根据本项目房屋结构安全检测需求（含主体结构承重构件检测、地基基础检测及钢结构检测），对投标人拟投入的检测设备进行评审：</w:t>
            </w:r>
          </w:p>
          <w:p w14:paraId="57EB8058">
            <w:pPr>
              <w:numPr>
                <w:ilvl w:val="0"/>
                <w:numId w:val="0"/>
              </w:numPr>
              <w:ind w:left="0" w:firstLine="0"/>
              <w:jc w:val="left"/>
              <w:rPr>
                <w:rFonts w:hint="eastAsia"/>
              </w:rPr>
            </w:pPr>
            <w:r>
              <w:rPr>
                <w:rFonts w:hint="eastAsia"/>
              </w:rPr>
              <w:t>1.拥有数字式混凝土回弹仪（用于现场检测梁、板、柱等承重构件的混凝土强度）；</w:t>
            </w:r>
          </w:p>
          <w:p w14:paraId="1A658246">
            <w:pPr>
              <w:numPr>
                <w:ilvl w:val="0"/>
                <w:numId w:val="0"/>
              </w:numPr>
              <w:ind w:left="0" w:firstLine="0"/>
              <w:jc w:val="left"/>
              <w:rPr>
                <w:rFonts w:hint="eastAsia"/>
              </w:rPr>
            </w:pPr>
            <w:r>
              <w:rPr>
                <w:rFonts w:hint="eastAsia"/>
              </w:rPr>
              <w:t>2.拥有钢筋探测仪/钢筋扫描仪（用于检测承重构件钢筋分布、保护层厚度）；</w:t>
            </w:r>
          </w:p>
          <w:p w14:paraId="693AAF1D">
            <w:pPr>
              <w:numPr>
                <w:ilvl w:val="0"/>
                <w:numId w:val="0"/>
              </w:numPr>
              <w:ind w:left="0" w:firstLine="0"/>
              <w:jc w:val="left"/>
              <w:rPr>
                <w:rFonts w:hint="eastAsia"/>
              </w:rPr>
            </w:pPr>
            <w:r>
              <w:rPr>
                <w:rFonts w:hint="eastAsia"/>
              </w:rPr>
              <w:t>3.拥有非金属超声波检测仪（用于检测混凝土内部缺陷、裂缝深度，评估结构完整性）；</w:t>
            </w:r>
          </w:p>
          <w:p w14:paraId="71E7EB8F">
            <w:pPr>
              <w:numPr>
                <w:ilvl w:val="0"/>
                <w:numId w:val="0"/>
              </w:numPr>
              <w:ind w:left="0" w:firstLine="0"/>
              <w:jc w:val="left"/>
              <w:rPr>
                <w:rFonts w:hint="eastAsia"/>
              </w:rPr>
            </w:pPr>
            <w:r>
              <w:rPr>
                <w:rFonts w:hint="eastAsia"/>
              </w:rPr>
              <w:t>4.拥有超声波测厚仪（用于精准测量钢构件及混凝土构件截面厚度，为承载力验算提供依据）；</w:t>
            </w:r>
          </w:p>
          <w:p w14:paraId="09F2E11A">
            <w:pPr>
              <w:numPr>
                <w:ilvl w:val="0"/>
                <w:numId w:val="0"/>
              </w:numPr>
              <w:ind w:left="0" w:firstLine="0"/>
              <w:jc w:val="left"/>
              <w:rPr>
                <w:rFonts w:hint="eastAsia" w:eastAsia="宋体"/>
                <w:lang w:eastAsia="zh-CN"/>
              </w:rPr>
            </w:pPr>
            <w:r>
              <w:rPr>
                <w:rFonts w:hint="eastAsia"/>
              </w:rPr>
              <w:t>5.拥有全站仪或电子经纬仪（用于测量房屋整体倾斜、梁板挠度变形）</w:t>
            </w:r>
            <w:r>
              <w:rPr>
                <w:rFonts w:hint="eastAsia"/>
                <w:lang w:eastAsia="zh-CN"/>
              </w:rPr>
              <w:t>；</w:t>
            </w:r>
          </w:p>
          <w:p w14:paraId="437A9DEA">
            <w:pPr>
              <w:numPr>
                <w:ilvl w:val="0"/>
                <w:numId w:val="0"/>
              </w:numPr>
              <w:ind w:left="0" w:firstLine="0"/>
              <w:jc w:val="left"/>
              <w:rPr>
                <w:rFonts w:hint="eastAsia"/>
              </w:rPr>
            </w:pPr>
            <w:r>
              <w:rPr>
                <w:rFonts w:hint="eastAsia"/>
                <w:lang w:val="en-US" w:eastAsia="zh-CN"/>
              </w:rPr>
              <w:t>6.</w:t>
            </w:r>
            <w:r>
              <w:rPr>
                <w:rFonts w:hint="eastAsia"/>
              </w:rPr>
              <w:t>拥有裂缝综合检测仪（精准测量裂缝宽度）；</w:t>
            </w:r>
          </w:p>
          <w:p w14:paraId="4B38BE32">
            <w:pPr>
              <w:numPr>
                <w:ilvl w:val="0"/>
                <w:numId w:val="0"/>
              </w:numPr>
              <w:ind w:left="0" w:firstLine="0"/>
              <w:jc w:val="left"/>
              <w:rPr>
                <w:rFonts w:hint="eastAsia"/>
              </w:rPr>
            </w:pPr>
            <w:r>
              <w:rPr>
                <w:rFonts w:hint="eastAsia"/>
                <w:lang w:val="en-US" w:eastAsia="zh-CN"/>
              </w:rPr>
              <w:t>7.</w:t>
            </w:r>
            <w:r>
              <w:rPr>
                <w:rFonts w:hint="eastAsia"/>
              </w:rPr>
              <w:t>拥有静力荷载测试设备（用于现场承重构件荷载试验）；</w:t>
            </w:r>
          </w:p>
          <w:p w14:paraId="18A4FA5D">
            <w:pPr>
              <w:numPr>
                <w:ilvl w:val="0"/>
                <w:numId w:val="0"/>
              </w:numPr>
              <w:ind w:left="0" w:firstLine="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具有一项得</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分，最高得</w:t>
            </w: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分。</w:t>
            </w:r>
          </w:p>
          <w:p w14:paraId="2457A829">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44DA5E55">
            <w:pPr>
              <w:widowControl/>
              <w:numPr>
                <w:ilvl w:val="255"/>
                <w:numId w:val="0"/>
              </w:num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1.如为自有，提供</w:t>
            </w:r>
            <w:r>
              <w:rPr>
                <w:rFonts w:hint="eastAsia" w:ascii="宋体" w:hAnsi="宋体" w:cs="宋体"/>
                <w:color w:val="000000"/>
                <w:kern w:val="0"/>
                <w:szCs w:val="21"/>
                <w:lang w:val="en-US" w:eastAsia="zh-CN"/>
              </w:rPr>
              <w:t>设备采购合同或采购发票</w:t>
            </w:r>
            <w:r>
              <w:rPr>
                <w:rFonts w:hint="eastAsia" w:ascii="宋体" w:hAnsi="宋体" w:eastAsia="宋体" w:cs="宋体"/>
                <w:color w:val="000000"/>
                <w:kern w:val="0"/>
                <w:szCs w:val="21"/>
              </w:rPr>
              <w:t>；</w:t>
            </w:r>
          </w:p>
          <w:p w14:paraId="02D36512">
            <w:pPr>
              <w:widowControl/>
              <w:numPr>
                <w:ilvl w:val="255"/>
                <w:numId w:val="0"/>
              </w:numPr>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2.如为租赁，提供</w:t>
            </w:r>
            <w:r>
              <w:rPr>
                <w:rFonts w:hint="eastAsia" w:ascii="宋体" w:hAnsi="宋体" w:cs="宋体"/>
                <w:color w:val="000000"/>
                <w:kern w:val="0"/>
                <w:szCs w:val="21"/>
                <w:lang w:val="en-US" w:eastAsia="zh-CN"/>
              </w:rPr>
              <w:t>租赁合同（或租赁发票）及承诺函（承诺中标后设备租赁期限涵盖本项目服务期限，格式自拟）</w:t>
            </w:r>
            <w:r>
              <w:rPr>
                <w:rFonts w:hint="eastAsia" w:ascii="宋体" w:hAnsi="宋体" w:eastAsia="宋体" w:cs="宋体"/>
                <w:color w:val="000000"/>
                <w:kern w:val="0"/>
                <w:szCs w:val="21"/>
              </w:rPr>
              <w:t>；</w:t>
            </w:r>
          </w:p>
          <w:p w14:paraId="304FDC45">
            <w:pPr>
              <w:spacing w:line="240" w:lineRule="auto"/>
              <w:rPr>
                <w:rFonts w:hint="eastAsia"/>
                <w:highlight w:val="none"/>
              </w:rPr>
            </w:pPr>
            <w:r>
              <w:rPr>
                <w:rFonts w:hint="eastAsia"/>
                <w:highlight w:val="none"/>
                <w:lang w:val="en-US" w:eastAsia="zh-CN"/>
              </w:rPr>
              <w:t>3</w:t>
            </w:r>
            <w:r>
              <w:rPr>
                <w:rFonts w:hint="eastAsia"/>
                <w:highlight w:val="none"/>
              </w:rPr>
              <w:t>.提供以上设备有效的检定/校准证书（须在有效期内）复印件并加盖投标人公章，未提供或已过期的对应项不得分；</w:t>
            </w:r>
          </w:p>
          <w:p w14:paraId="1473C71C">
            <w:pPr>
              <w:spacing w:line="240" w:lineRule="auto"/>
              <w:rPr>
                <w:rFonts w:hint="eastAsia" w:ascii="宋体" w:hAnsi="宋体"/>
                <w:szCs w:val="21"/>
              </w:rPr>
            </w:pPr>
            <w:r>
              <w:rPr>
                <w:rFonts w:hint="eastAsia" w:ascii="宋体" w:hAnsi="宋体" w:cs="宋体"/>
                <w:color w:val="000000"/>
                <w:kern w:val="0"/>
                <w:szCs w:val="21"/>
                <w:lang w:val="en-US" w:eastAsia="zh-CN"/>
              </w:rPr>
              <w:t>4.相关证明材料的设备名称与招标文件的设备名称不完全一致的，需提供为同种设备的说明；若名称不完全一致又未提供说明的，由评审委员会判定是否符合招标文件要求。</w:t>
            </w:r>
          </w:p>
        </w:tc>
      </w:tr>
      <w:tr w14:paraId="3DE8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3A99D7B9">
            <w:pPr>
              <w:jc w:val="center"/>
              <w:rPr>
                <w:rFonts w:hint="eastAsia" w:ascii="Calibri" w:hAnsi="Calibri" w:eastAsia="宋体" w:cs="黑体"/>
                <w:kern w:val="2"/>
                <w:sz w:val="21"/>
                <w:szCs w:val="21"/>
                <w:lang w:val="en-US" w:eastAsia="zh-CN" w:bidi="ar-SA"/>
              </w:rPr>
            </w:pPr>
            <w:r>
              <w:rPr>
                <w:rFonts w:hint="eastAsia"/>
                <w:szCs w:val="21"/>
              </w:rPr>
              <w:t>4</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center"/>
          </w:tcPr>
          <w:p w14:paraId="5DCFE85D">
            <w:pPr>
              <w:rPr>
                <w:rFonts w:hint="eastAsia" w:ascii="Calibri" w:hAnsi="Calibri" w:eastAsia="宋体" w:cs="黑体"/>
                <w:kern w:val="2"/>
                <w:sz w:val="21"/>
                <w:szCs w:val="24"/>
                <w:lang w:val="en-US" w:eastAsia="zh-CN" w:bidi="ar-SA"/>
              </w:rPr>
            </w:pPr>
            <w:r>
              <w:rPr>
                <w:rFonts w:hint="eastAsia" w:ascii="宋体" w:hAnsi="宋体" w:eastAsia="宋体"/>
                <w:szCs w:val="21"/>
              </w:rPr>
              <w:t>体系认证证书情况</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14:paraId="0997982E">
            <w:pPr>
              <w:jc w:val="center"/>
              <w:rPr>
                <w:rFonts w:hint="eastAsia" w:ascii="Calibri" w:hAnsi="Calibri" w:eastAsia="宋体" w:cs="黑体"/>
                <w:kern w:val="2"/>
                <w:sz w:val="21"/>
                <w:szCs w:val="24"/>
                <w:lang w:val="en-US" w:eastAsia="zh-CN" w:bidi="ar-SA"/>
              </w:rPr>
            </w:pPr>
            <w:r>
              <w:rPr>
                <w:rFonts w:hint="eastAsia"/>
                <w:lang w:val="en-US" w:eastAsia="zh-CN"/>
              </w:rPr>
              <w:t>6</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top"/>
          </w:tcPr>
          <w:p w14:paraId="30794C00">
            <w:pPr>
              <w:numPr>
                <w:ilvl w:val="0"/>
                <w:numId w:val="0"/>
              </w:numPr>
              <w:ind w:left="420" w:hanging="318"/>
              <w:rPr>
                <w:rFonts w:hint="eastAsia" w:ascii="宋体" w:hAnsi="宋体" w:eastAsia="宋体" w:cs="黑体"/>
                <w:b/>
                <w:bCs w:val="0"/>
                <w:sz w:val="21"/>
                <w:szCs w:val="21"/>
              </w:rPr>
            </w:pPr>
            <w:r>
              <w:rPr>
                <w:rFonts w:hint="eastAsia" w:ascii="宋体" w:hAnsi="宋体" w:eastAsia="宋体" w:cs="黑体"/>
                <w:b/>
                <w:bCs w:val="0"/>
                <w:sz w:val="21"/>
                <w:szCs w:val="21"/>
              </w:rPr>
              <w:t>（一）评分内容</w:t>
            </w:r>
          </w:p>
          <w:p w14:paraId="30134EAD">
            <w:pPr>
              <w:spacing w:line="240" w:lineRule="auto"/>
              <w:rPr>
                <w:rFonts w:hint="eastAsia"/>
              </w:rPr>
            </w:pPr>
            <w:r>
              <w:rPr>
                <w:rFonts w:hint="eastAsia"/>
              </w:rPr>
              <w:t>投标人具备有效体系认证：①质量管理体系认证、②环境管理体系认证、③职业健康安全管理体系认证，每提供1项得</w:t>
            </w:r>
            <w:r>
              <w:rPr>
                <w:rFonts w:hint="eastAsia"/>
                <w:lang w:val="en-US" w:eastAsia="zh-CN"/>
              </w:rPr>
              <w:t>2</w:t>
            </w:r>
            <w:r>
              <w:rPr>
                <w:rFonts w:hint="eastAsia"/>
              </w:rPr>
              <w:t>分，全部提供</w:t>
            </w:r>
            <w:r>
              <w:rPr>
                <w:rFonts w:hint="eastAsia"/>
                <w:lang w:val="en-US" w:eastAsia="zh-CN"/>
              </w:rPr>
              <w:t>最高</w:t>
            </w:r>
            <w:r>
              <w:rPr>
                <w:rFonts w:hint="eastAsia"/>
              </w:rPr>
              <w:t>得</w:t>
            </w:r>
            <w:r>
              <w:rPr>
                <w:rFonts w:hint="eastAsia"/>
                <w:lang w:val="en-US" w:eastAsia="zh-CN"/>
              </w:rPr>
              <w:t>6</w:t>
            </w:r>
            <w:r>
              <w:rPr>
                <w:rFonts w:hint="eastAsia"/>
              </w:rPr>
              <w:t>分。</w:t>
            </w:r>
          </w:p>
          <w:p w14:paraId="6DAF2B7D">
            <w:pPr>
              <w:numPr>
                <w:ilvl w:val="0"/>
                <w:numId w:val="0"/>
              </w:numPr>
              <w:ind w:left="0" w:firstLine="0"/>
              <w:jc w:val="left"/>
              <w:rPr>
                <w:rFonts w:hint="eastAsia" w:ascii="宋体" w:hAnsi="宋体" w:eastAsia="宋体" w:cs="黑体"/>
                <w:b/>
                <w:sz w:val="21"/>
                <w:szCs w:val="21"/>
              </w:rPr>
            </w:pPr>
            <w:r>
              <w:rPr>
                <w:rFonts w:hint="eastAsia" w:ascii="宋体" w:hAnsi="宋体" w:eastAsia="宋体" w:cs="黑体"/>
                <w:b/>
                <w:bCs w:val="0"/>
                <w:sz w:val="21"/>
                <w:szCs w:val="21"/>
              </w:rPr>
              <w:t>（二）评分依据</w:t>
            </w:r>
          </w:p>
          <w:p w14:paraId="06C9E235">
            <w:pPr>
              <w:numPr>
                <w:ilvl w:val="0"/>
                <w:numId w:val="0"/>
              </w:numPr>
              <w:spacing w:line="240" w:lineRule="auto"/>
              <w:rPr>
                <w:rFonts w:hint="eastAsia" w:ascii="Calibri" w:hAnsi="Calibri" w:eastAsia="宋体" w:cs="黑体"/>
                <w:b/>
                <w:bCs/>
                <w:kern w:val="2"/>
                <w:sz w:val="21"/>
                <w:szCs w:val="24"/>
                <w:lang w:val="en-US" w:eastAsia="zh-CN" w:bidi="ar-SA"/>
              </w:rPr>
            </w:pPr>
            <w:r>
              <w:rPr>
                <w:rFonts w:hint="eastAsia"/>
              </w:rPr>
              <w:t>投标人提供认证证书复印件及全国认证认可信息公共服务平台（http://cx.cnca.cn） 查询截图，证书状态须为“有效”。若投标人因成立时间不足3个月而无法取得上述认证，可提供承诺函（格式自拟，内容须包含：承诺在中标后</w:t>
            </w:r>
            <w:r>
              <w:rPr>
                <w:rFonts w:hint="eastAsia"/>
                <w:color w:val="auto"/>
                <w:lang w:val="en-US" w:eastAsia="zh-CN"/>
              </w:rPr>
              <w:t>4</w:t>
            </w:r>
            <w:r>
              <w:rPr>
                <w:rFonts w:hint="eastAsia"/>
                <w:color w:val="auto"/>
              </w:rPr>
              <w:t>个</w:t>
            </w:r>
            <w:r>
              <w:rPr>
                <w:rFonts w:hint="eastAsia"/>
              </w:rPr>
              <w:t>月内取得相关认证，此项按对应分值计分。以上</w:t>
            </w:r>
            <w:r>
              <w:rPr>
                <w:rFonts w:hint="eastAsia"/>
                <w:lang w:val="en-US" w:eastAsia="zh-CN"/>
              </w:rPr>
              <w:t>资料</w:t>
            </w:r>
            <w:r>
              <w:rPr>
                <w:rFonts w:hint="eastAsia"/>
              </w:rPr>
              <w:t>复印件加盖公章，原件备查，不清晰或未提供不得分。</w:t>
            </w:r>
          </w:p>
        </w:tc>
      </w:tr>
      <w:tr w14:paraId="4B88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3866F3">
            <w:pPr>
              <w:spacing w:line="360" w:lineRule="exact"/>
              <w:jc w:val="center"/>
              <w:rPr>
                <w:rFonts w:hint="eastAsia" w:ascii="Calibri" w:hAnsi="Calibri" w:eastAsia="宋体" w:cs="黑体"/>
                <w:b/>
                <w:bCs/>
                <w:color w:val="auto"/>
                <w:kern w:val="2"/>
                <w:sz w:val="22"/>
                <w:szCs w:val="24"/>
                <w:highlight w:val="none"/>
                <w:lang w:val="en-US" w:eastAsia="zh-CN" w:bidi="ar-SA"/>
              </w:rPr>
            </w:pPr>
            <w:r>
              <w:rPr>
                <w:rFonts w:hint="eastAsia"/>
                <w:b/>
                <w:bCs/>
                <w:color w:val="auto"/>
                <w:sz w:val="22"/>
                <w:highlight w:val="none"/>
                <w:lang w:val="en-US" w:eastAsia="zh-CN"/>
              </w:rPr>
              <w:t>诚信</w:t>
            </w:r>
            <w:r>
              <w:rPr>
                <w:b/>
                <w:bCs/>
                <w:color w:val="auto"/>
                <w:sz w:val="22"/>
                <w:highlight w:val="none"/>
              </w:rPr>
              <w:t>部分</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center"/>
          </w:tcPr>
          <w:p w14:paraId="4C07A765">
            <w:pPr>
              <w:spacing w:line="240" w:lineRule="auto"/>
              <w:jc w:val="center"/>
              <w:rPr>
                <w:rFonts w:hint="eastAsia" w:ascii="Calibri" w:hAnsi="Calibri" w:eastAsia="宋体" w:cs="黑体"/>
                <w:b/>
                <w:bCs/>
                <w:color w:val="auto"/>
                <w:kern w:val="2"/>
                <w:sz w:val="22"/>
                <w:szCs w:val="24"/>
                <w:highlight w:val="none"/>
                <w:lang w:val="en-US" w:eastAsia="zh-CN" w:bidi="ar-SA"/>
              </w:rPr>
            </w:pPr>
            <w:r>
              <w:rPr>
                <w:rFonts w:hint="eastAsia"/>
                <w:b/>
                <w:bCs/>
                <w:color w:val="auto"/>
                <w:sz w:val="22"/>
                <w:highlight w:val="none"/>
                <w:lang w:val="en-US" w:eastAsia="zh-CN"/>
              </w:rPr>
              <w:t>5</w:t>
            </w:r>
          </w:p>
        </w:tc>
      </w:tr>
      <w:tr w14:paraId="6B9A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15CE2D9F">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4F3A6EEB">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19CEB55B">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5ED6DEE9">
            <w:pPr>
              <w:spacing w:line="240" w:lineRule="auto"/>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评分准则</w:t>
            </w:r>
          </w:p>
        </w:tc>
      </w:tr>
      <w:tr w14:paraId="7A53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0DB35358">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1</w:t>
            </w:r>
          </w:p>
        </w:tc>
        <w:tc>
          <w:tcPr>
            <w:tcW w:w="1935" w:type="dxa"/>
            <w:tcBorders>
              <w:top w:val="single" w:color="auto" w:sz="4" w:space="0"/>
              <w:left w:val="single" w:color="auto" w:sz="4" w:space="0"/>
              <w:bottom w:val="single" w:color="auto" w:sz="4" w:space="0"/>
              <w:right w:val="single" w:color="auto" w:sz="4" w:space="0"/>
            </w:tcBorders>
            <w:vAlign w:val="center"/>
          </w:tcPr>
          <w:p w14:paraId="38236C3B">
            <w:pPr>
              <w:spacing w:line="360" w:lineRule="exact"/>
              <w:jc w:val="center"/>
              <w:rPr>
                <w:color w:val="auto"/>
                <w:sz w:val="22"/>
                <w:highlight w:val="none"/>
              </w:rPr>
            </w:pPr>
            <w:r>
              <w:rPr>
                <w:rFonts w:hint="eastAsia" w:ascii="宋体" w:hAnsi="宋体" w:eastAsia="宋体"/>
                <w:szCs w:val="21"/>
              </w:rPr>
              <w:t>诚信</w:t>
            </w:r>
          </w:p>
        </w:tc>
        <w:tc>
          <w:tcPr>
            <w:tcW w:w="930" w:type="dxa"/>
            <w:tcBorders>
              <w:top w:val="single" w:color="auto" w:sz="4" w:space="0"/>
              <w:left w:val="single" w:color="auto" w:sz="4" w:space="0"/>
              <w:bottom w:val="single" w:color="auto" w:sz="4" w:space="0"/>
              <w:right w:val="single" w:color="auto" w:sz="4" w:space="0"/>
            </w:tcBorders>
            <w:vAlign w:val="center"/>
          </w:tcPr>
          <w:p w14:paraId="45AF0C1A">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5</w:t>
            </w:r>
          </w:p>
        </w:tc>
        <w:tc>
          <w:tcPr>
            <w:tcW w:w="5097" w:type="dxa"/>
            <w:tcBorders>
              <w:top w:val="single" w:color="auto" w:sz="4" w:space="0"/>
              <w:left w:val="single" w:color="auto" w:sz="4" w:space="0"/>
              <w:bottom w:val="single" w:color="auto" w:sz="4" w:space="0"/>
              <w:right w:val="single" w:color="auto" w:sz="4" w:space="0"/>
            </w:tcBorders>
          </w:tcPr>
          <w:p w14:paraId="27DF08A8">
            <w:pPr>
              <w:pStyle w:val="7"/>
              <w:spacing w:line="240" w:lineRule="auto"/>
              <w:rPr>
                <w:color w:val="auto"/>
                <w:sz w:val="22"/>
                <w:szCs w:val="22"/>
                <w:highlight w:val="none"/>
              </w:rPr>
            </w:pPr>
            <w:r>
              <w:rPr>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color w:val="auto"/>
                <w:sz w:val="22"/>
                <w:szCs w:val="22"/>
                <w:highlight w:val="none"/>
                <w:lang w:val="en-US" w:eastAsia="zh-CN"/>
              </w:rPr>
              <w:t>5</w:t>
            </w:r>
            <w:r>
              <w:rPr>
                <w:color w:val="auto"/>
                <w:sz w:val="22"/>
                <w:szCs w:val="22"/>
                <w:highlight w:val="none"/>
              </w:rPr>
              <w:t>分。（采购代理机构通过“信用中国”、“中国政府采购网”、“深圳市政府采购监管网”以及市、区财政部门认定的其他渠道查询供应商信用信息，投标人无需提供证明材料。）</w:t>
            </w:r>
          </w:p>
        </w:tc>
      </w:tr>
    </w:tbl>
    <w:p w14:paraId="6BEC7F5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lang w:val="en-US" w:eastAsia="zh-CN"/>
        </w:rPr>
        <w:t>诚信</w:t>
      </w:r>
      <w:r>
        <w:rPr>
          <w:rFonts w:hint="eastAsia" w:ascii="仿宋_GB2312" w:hAnsi="仿宋_GB2312" w:eastAsia="仿宋_GB2312" w:cs="仿宋_GB2312"/>
          <w:bCs/>
          <w:color w:val="auto"/>
          <w:kern w:val="0"/>
          <w:sz w:val="28"/>
          <w:szCs w:val="28"/>
          <w:highlight w:val="none"/>
        </w:rPr>
        <w:t>部分累加分为100分。</w:t>
      </w:r>
    </w:p>
    <w:p w14:paraId="78A124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14:paraId="5169F15F">
      <w:pPr>
        <w:pStyle w:val="26"/>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14:paraId="6A8060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287941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4DCE4FE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采购标的（项目需求）对应的中小企业划分标准所属行业为</w:t>
      </w:r>
      <w:r>
        <w:rPr>
          <w:rFonts w:ascii="Segoe UI" w:hAnsi="Segoe UI" w:eastAsia="Segoe UI" w:cs="Segoe UI"/>
          <w:b/>
          <w:bCs/>
          <w:i w:val="0"/>
          <w:iCs w:val="0"/>
          <w:caps w:val="0"/>
          <w:color w:val="0F1115"/>
          <w:spacing w:val="0"/>
          <w:sz w:val="24"/>
          <w:szCs w:val="24"/>
          <w:u w:val="single"/>
          <w:shd w:val="clear" w:fill="FFFFFF"/>
        </w:rPr>
        <w:t>其他未列明行业</w:t>
      </w:r>
      <w:r>
        <w:rPr>
          <w:rFonts w:hint="eastAsia" w:ascii="仿宋_GB2312" w:hAnsi="仿宋_GB2312" w:eastAsia="仿宋_GB2312" w:cs="仿宋_GB2312"/>
          <w:bCs/>
          <w:color w:val="auto"/>
          <w:kern w:val="0"/>
          <w:sz w:val="28"/>
          <w:szCs w:val="28"/>
          <w:highlight w:val="none"/>
        </w:rPr>
        <w:t>。</w:t>
      </w:r>
    </w:p>
    <w:p w14:paraId="530257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14:paraId="36E011B2">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64B757CF">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14:paraId="07A405DD">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14:paraId="1419BAE2">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72FCBC8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11E1C9B0">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6A621DAA">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5B2F966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1D62E2DC">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79348A3B">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7039147F">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2ED379CE">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4347964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6AF0D288">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19828A72">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74C81292">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376E5837">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748CD172">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69BD7143">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770D887A">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564EA6C9">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389BA7E9">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1376AC9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24505EE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2E5E893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549B902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010A046D">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42B6AA1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62E18937">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288413A7">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4FFAFE3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2DD5AA83">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18AEF57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49440609">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67E776B8">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1A63FDD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037A91C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261FB3EC">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4E1B687E">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6DFF092B">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14:paraId="3E590074">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bookmarkStart w:id="1" w:name="_Toc20472"/>
      <w:r>
        <w:rPr>
          <w:rFonts w:hint="eastAsia" w:asciiTheme="minorEastAsia" w:hAnsiTheme="minorEastAsia" w:eastAsiaTheme="minorEastAsia"/>
          <w:b/>
          <w:bCs/>
          <w:color w:val="auto"/>
          <w:sz w:val="44"/>
          <w:szCs w:val="44"/>
          <w:highlight w:val="none"/>
        </w:rPr>
        <w:t>特别警示条款</w:t>
      </w:r>
      <w:bookmarkEnd w:id="1"/>
    </w:p>
    <w:p w14:paraId="16909D7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2" w:name="_Toc4719"/>
      <w:bookmarkStart w:id="3" w:name="_Toc28128"/>
      <w:bookmarkStart w:id="4" w:name="_Toc16742"/>
    </w:p>
    <w:p w14:paraId="37030B2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bookmarkEnd w:id="2"/>
      <w:bookmarkEnd w:id="3"/>
      <w:bookmarkEnd w:id="4"/>
    </w:p>
    <w:p w14:paraId="735B174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A652F7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32F6C1A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5DDFF38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1E879A5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4526EA3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50D8EAA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701E5E7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63F7D9E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1A7EDFE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1A4D59A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5" w:name="_Toc17680"/>
      <w:bookmarkStart w:id="6" w:name="_Toc6288"/>
      <w:bookmarkStart w:id="7" w:name="_Toc4026"/>
      <w:r>
        <w:rPr>
          <w:rFonts w:hint="eastAsia" w:ascii="仿宋" w:hAnsi="仿宋" w:eastAsia="仿宋" w:cs="仿宋"/>
          <w:color w:val="auto"/>
          <w:sz w:val="28"/>
          <w:szCs w:val="28"/>
          <w:highlight w:val="none"/>
        </w:rPr>
        <w:t>二、《深圳经济特区政府采购条例实施细则》</w:t>
      </w:r>
      <w:bookmarkEnd w:id="5"/>
      <w:bookmarkEnd w:id="6"/>
      <w:bookmarkEnd w:id="7"/>
    </w:p>
    <w:p w14:paraId="0BC0295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2227772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40448B01">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7BED55E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097AED6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2757110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50CF37C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5C327CB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686E0FA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4E689945">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3870E8C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60399EF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1C8B88B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1357379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08D77B1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1D49048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bookmarkStart w:id="8" w:name="_Toc5544"/>
      <w:bookmarkStart w:id="9" w:name="_Toc13409"/>
      <w:bookmarkStart w:id="10" w:name="_Toc12769"/>
      <w:r>
        <w:rPr>
          <w:rFonts w:hint="eastAsia" w:ascii="仿宋" w:hAnsi="仿宋" w:eastAsia="仿宋" w:cs="仿宋"/>
          <w:color w:val="auto"/>
          <w:sz w:val="28"/>
          <w:szCs w:val="28"/>
          <w:highlight w:val="none"/>
        </w:rPr>
        <w:t>三、《中华人民共和国政府采购法实施条例》</w:t>
      </w:r>
      <w:bookmarkEnd w:id="8"/>
      <w:bookmarkEnd w:id="9"/>
      <w:bookmarkEnd w:id="10"/>
    </w:p>
    <w:p w14:paraId="170A05B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00E2868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603E2CC5">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5FF54559">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14:paraId="5FBAA371">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20AABCF6">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14:paraId="2E399F0F">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14:paraId="32AF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0CEAE2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14:paraId="04DE217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14:paraId="72D679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184AC7F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66AF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1BAFCA66">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2F40766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14:paraId="034315F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07E3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7ECA453E">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4AD674F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14:paraId="5F71106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3274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28CF63B8">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bookmarkStart w:id="11" w:name="_Toc15975"/>
          </w:p>
        </w:tc>
        <w:tc>
          <w:tcPr>
            <w:tcW w:w="7634" w:type="dxa"/>
            <w:vAlign w:val="center"/>
          </w:tcPr>
          <w:p w14:paraId="56EFBC73">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2B296609">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32B3A9FA">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043361B9">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50B22A38">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10FB3990">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5DAE8DC9">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1350498B">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14:paraId="0BF0F43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5CFB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4F642D26">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79313B74">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14:paraId="2F2B6FB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bookmarkEnd w:id="11"/>
    </w:tbl>
    <w:p w14:paraId="7544708A">
      <w:pPr>
        <w:pStyle w:val="3"/>
        <w:spacing w:line="240" w:lineRule="atLeast"/>
        <w:rPr>
          <w:color w:val="auto"/>
          <w:highlight w:val="none"/>
        </w:rPr>
      </w:pPr>
    </w:p>
    <w:p w14:paraId="11941E4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709601B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7ADCD0C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473C6ECB">
      <w:pPr>
        <w:rPr>
          <w:color w:val="auto"/>
          <w:highlight w:val="none"/>
        </w:rPr>
      </w:pPr>
    </w:p>
    <w:p w14:paraId="382ED2D4">
      <w:pPr>
        <w:rPr>
          <w:color w:val="auto"/>
          <w:highlight w:val="none"/>
        </w:rPr>
      </w:pPr>
    </w:p>
    <w:p w14:paraId="12908A21">
      <w:pPr>
        <w:rPr>
          <w:color w:val="auto"/>
          <w:highlight w:val="none"/>
        </w:rPr>
      </w:pPr>
    </w:p>
    <w:p w14:paraId="30135864">
      <w:pPr>
        <w:rPr>
          <w:color w:val="auto"/>
          <w:highlight w:val="none"/>
        </w:rPr>
      </w:pPr>
    </w:p>
    <w:p w14:paraId="2ADDE7FE">
      <w:pPr>
        <w:rPr>
          <w:color w:val="auto"/>
          <w:highlight w:val="none"/>
        </w:rPr>
      </w:pPr>
    </w:p>
    <w:p w14:paraId="208314E7">
      <w:pPr>
        <w:rPr>
          <w:color w:val="auto"/>
          <w:highlight w:val="none"/>
        </w:rPr>
      </w:pPr>
    </w:p>
    <w:p w14:paraId="49927C54">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42D6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0397675C">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3A074A4B">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4388D7A7">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7FB07A50">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760B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55FC62BF">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03B7237B">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2626ADD3">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5237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07280585">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7B9D82BA">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560F01BB">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EB0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599CAE1E">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08E7C60E">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3393150D">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5030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14:paraId="25A5F3EF">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185947A0">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0937CAD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6795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500D6CD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5873DEB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174E738C">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1FE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4CA467C1">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77342F90">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6C174240">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6A9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1C1045FB">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5C040F6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61A2A12B">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525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4F8125D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7FCF16F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36473BF2">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43D8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716EE97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6FE175F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3898F05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3F5A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20ECA98F">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69043067">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7C2D9D45">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4F78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625527EB">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456CD6A7">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7F3239EE">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16E32394">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47F1F4D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22D02AA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772FF368">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286812C1">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14:paraId="77477A77">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034F1828">
      <w:pPr>
        <w:pStyle w:val="3"/>
        <w:spacing w:line="400" w:lineRule="exact"/>
        <w:jc w:val="center"/>
        <w:rPr>
          <w:rFonts w:ascii="宋体" w:hAnsi="宋体" w:cs="宋体"/>
          <w:b/>
          <w:bCs/>
          <w:color w:val="auto"/>
          <w:sz w:val="32"/>
          <w:szCs w:val="32"/>
          <w:highlight w:val="none"/>
        </w:rPr>
      </w:pPr>
      <w:bookmarkStart w:id="12" w:name="_Toc417"/>
      <w:bookmarkStart w:id="13" w:name="_Toc24877"/>
      <w:bookmarkStart w:id="14" w:name="_Toc20190"/>
      <w:r>
        <w:rPr>
          <w:rFonts w:hint="eastAsia" w:ascii="宋体" w:hAnsi="宋体" w:cs="宋体"/>
          <w:b/>
          <w:bCs/>
          <w:color w:val="auto"/>
          <w:sz w:val="28"/>
          <w:szCs w:val="28"/>
          <w:highlight w:val="none"/>
        </w:rPr>
        <w:t>（三）供应商自查表</w:t>
      </w:r>
      <w:bookmarkEnd w:id="12"/>
      <w:bookmarkEnd w:id="13"/>
      <w:bookmarkEnd w:id="14"/>
    </w:p>
    <w:p w14:paraId="17F277DE">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6994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76EB523E">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20318186">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4CCAEE72">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518DC42A">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5F7D7628">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21A5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6E956925">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5483A4CE">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003B4D4F">
            <w:pPr>
              <w:spacing w:line="360" w:lineRule="exact"/>
              <w:jc w:val="center"/>
              <w:rPr>
                <w:rFonts w:ascii="宋体" w:hAnsi="宋体"/>
                <w:b/>
                <w:color w:val="auto"/>
                <w:szCs w:val="21"/>
                <w:highlight w:val="none"/>
              </w:rPr>
            </w:pPr>
          </w:p>
        </w:tc>
        <w:tc>
          <w:tcPr>
            <w:tcW w:w="780" w:type="dxa"/>
            <w:vAlign w:val="center"/>
          </w:tcPr>
          <w:p w14:paraId="2058ABAF">
            <w:pPr>
              <w:spacing w:line="360" w:lineRule="exact"/>
              <w:jc w:val="center"/>
              <w:rPr>
                <w:rFonts w:ascii="宋体" w:hAnsi="宋体"/>
                <w:b/>
                <w:color w:val="auto"/>
                <w:szCs w:val="21"/>
                <w:highlight w:val="none"/>
              </w:rPr>
            </w:pPr>
          </w:p>
        </w:tc>
      </w:tr>
      <w:tr w14:paraId="2788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79978D6A">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00D20AB6">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7F6E1771">
            <w:pPr>
              <w:spacing w:line="360" w:lineRule="exact"/>
              <w:jc w:val="center"/>
              <w:rPr>
                <w:rFonts w:ascii="宋体" w:hAnsi="宋体"/>
                <w:b/>
                <w:color w:val="auto"/>
                <w:szCs w:val="21"/>
                <w:highlight w:val="none"/>
              </w:rPr>
            </w:pPr>
          </w:p>
        </w:tc>
        <w:tc>
          <w:tcPr>
            <w:tcW w:w="780" w:type="dxa"/>
            <w:vAlign w:val="center"/>
          </w:tcPr>
          <w:p w14:paraId="33CFF461">
            <w:pPr>
              <w:spacing w:line="360" w:lineRule="exact"/>
              <w:jc w:val="center"/>
              <w:rPr>
                <w:rFonts w:ascii="宋体" w:hAnsi="宋体"/>
                <w:b/>
                <w:color w:val="auto"/>
                <w:szCs w:val="21"/>
                <w:highlight w:val="none"/>
              </w:rPr>
            </w:pPr>
          </w:p>
        </w:tc>
      </w:tr>
      <w:tr w14:paraId="33DF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084FB223">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3E0D25EE">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274DA99C">
            <w:pPr>
              <w:spacing w:line="360" w:lineRule="exact"/>
              <w:jc w:val="center"/>
              <w:rPr>
                <w:rFonts w:ascii="宋体" w:hAnsi="宋体"/>
                <w:b/>
                <w:color w:val="auto"/>
                <w:szCs w:val="21"/>
                <w:highlight w:val="none"/>
              </w:rPr>
            </w:pPr>
          </w:p>
        </w:tc>
        <w:tc>
          <w:tcPr>
            <w:tcW w:w="780" w:type="dxa"/>
            <w:vAlign w:val="center"/>
          </w:tcPr>
          <w:p w14:paraId="45EDA361">
            <w:pPr>
              <w:spacing w:line="360" w:lineRule="exact"/>
              <w:jc w:val="center"/>
              <w:rPr>
                <w:rFonts w:ascii="宋体" w:hAnsi="宋体"/>
                <w:b/>
                <w:color w:val="auto"/>
                <w:szCs w:val="21"/>
                <w:highlight w:val="none"/>
              </w:rPr>
            </w:pPr>
          </w:p>
        </w:tc>
      </w:tr>
      <w:tr w14:paraId="3A02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45805EAD">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60DD534C">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03F2CB88">
            <w:pPr>
              <w:spacing w:line="360" w:lineRule="exact"/>
              <w:jc w:val="center"/>
              <w:rPr>
                <w:rFonts w:ascii="宋体" w:hAnsi="宋体"/>
                <w:b/>
                <w:color w:val="auto"/>
                <w:szCs w:val="21"/>
                <w:highlight w:val="none"/>
              </w:rPr>
            </w:pPr>
          </w:p>
        </w:tc>
        <w:tc>
          <w:tcPr>
            <w:tcW w:w="780" w:type="dxa"/>
            <w:vAlign w:val="center"/>
          </w:tcPr>
          <w:p w14:paraId="6EFDF228">
            <w:pPr>
              <w:spacing w:line="360" w:lineRule="exact"/>
              <w:jc w:val="center"/>
              <w:rPr>
                <w:rFonts w:ascii="宋体" w:hAnsi="宋体"/>
                <w:b/>
                <w:color w:val="auto"/>
                <w:szCs w:val="21"/>
                <w:highlight w:val="none"/>
              </w:rPr>
            </w:pPr>
          </w:p>
        </w:tc>
      </w:tr>
      <w:tr w14:paraId="2CFF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3EBCB17A">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36CE5DD1">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0F2A8FB4">
            <w:pPr>
              <w:spacing w:line="360" w:lineRule="exact"/>
              <w:jc w:val="center"/>
              <w:rPr>
                <w:rFonts w:ascii="宋体" w:hAnsi="宋体"/>
                <w:b/>
                <w:color w:val="auto"/>
                <w:szCs w:val="21"/>
                <w:highlight w:val="none"/>
              </w:rPr>
            </w:pPr>
          </w:p>
        </w:tc>
        <w:tc>
          <w:tcPr>
            <w:tcW w:w="780" w:type="dxa"/>
            <w:vAlign w:val="center"/>
          </w:tcPr>
          <w:p w14:paraId="592589AF">
            <w:pPr>
              <w:spacing w:line="360" w:lineRule="exact"/>
              <w:jc w:val="center"/>
              <w:rPr>
                <w:rFonts w:ascii="宋体" w:hAnsi="宋体"/>
                <w:b/>
                <w:color w:val="auto"/>
                <w:szCs w:val="21"/>
                <w:highlight w:val="none"/>
              </w:rPr>
            </w:pPr>
          </w:p>
        </w:tc>
      </w:tr>
      <w:tr w14:paraId="25BD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25EDA8D2">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606C8189">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3867146E">
            <w:pPr>
              <w:spacing w:line="360" w:lineRule="exact"/>
              <w:jc w:val="center"/>
              <w:rPr>
                <w:rFonts w:ascii="宋体" w:hAnsi="宋体"/>
                <w:b/>
                <w:color w:val="auto"/>
                <w:szCs w:val="21"/>
                <w:highlight w:val="none"/>
              </w:rPr>
            </w:pPr>
          </w:p>
        </w:tc>
        <w:tc>
          <w:tcPr>
            <w:tcW w:w="780" w:type="dxa"/>
            <w:vAlign w:val="center"/>
          </w:tcPr>
          <w:p w14:paraId="0CFE1A37">
            <w:pPr>
              <w:spacing w:line="360" w:lineRule="exact"/>
              <w:jc w:val="center"/>
              <w:rPr>
                <w:rFonts w:ascii="宋体" w:hAnsi="宋体"/>
                <w:b/>
                <w:color w:val="auto"/>
                <w:szCs w:val="21"/>
                <w:highlight w:val="none"/>
              </w:rPr>
            </w:pPr>
          </w:p>
        </w:tc>
      </w:tr>
      <w:tr w14:paraId="3CAE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56AB104D">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7A0D4E89">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63090F6F">
            <w:pPr>
              <w:spacing w:line="360" w:lineRule="exact"/>
              <w:jc w:val="center"/>
              <w:rPr>
                <w:rFonts w:ascii="宋体" w:hAnsi="宋体"/>
                <w:b/>
                <w:color w:val="auto"/>
                <w:szCs w:val="21"/>
                <w:highlight w:val="none"/>
              </w:rPr>
            </w:pPr>
          </w:p>
        </w:tc>
        <w:tc>
          <w:tcPr>
            <w:tcW w:w="780" w:type="dxa"/>
            <w:vAlign w:val="center"/>
          </w:tcPr>
          <w:p w14:paraId="3D0660D3">
            <w:pPr>
              <w:spacing w:line="360" w:lineRule="exact"/>
              <w:jc w:val="center"/>
              <w:rPr>
                <w:rFonts w:ascii="宋体" w:hAnsi="宋体"/>
                <w:b/>
                <w:color w:val="auto"/>
                <w:szCs w:val="21"/>
                <w:highlight w:val="none"/>
              </w:rPr>
            </w:pPr>
          </w:p>
        </w:tc>
      </w:tr>
      <w:tr w14:paraId="4A9B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79D30ED2">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06FAC4C3">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073959E6">
            <w:pPr>
              <w:spacing w:line="360" w:lineRule="exact"/>
              <w:jc w:val="center"/>
              <w:rPr>
                <w:rFonts w:ascii="宋体" w:hAnsi="宋体"/>
                <w:b/>
                <w:color w:val="auto"/>
                <w:szCs w:val="21"/>
                <w:highlight w:val="none"/>
              </w:rPr>
            </w:pPr>
          </w:p>
        </w:tc>
        <w:tc>
          <w:tcPr>
            <w:tcW w:w="780" w:type="dxa"/>
            <w:vAlign w:val="center"/>
          </w:tcPr>
          <w:p w14:paraId="64ABFF47">
            <w:pPr>
              <w:spacing w:line="360" w:lineRule="exact"/>
              <w:jc w:val="center"/>
              <w:rPr>
                <w:rFonts w:ascii="宋体" w:hAnsi="宋体"/>
                <w:b/>
                <w:color w:val="auto"/>
                <w:szCs w:val="21"/>
                <w:highlight w:val="none"/>
              </w:rPr>
            </w:pPr>
          </w:p>
        </w:tc>
      </w:tr>
      <w:tr w14:paraId="6604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6B1CC982">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55A12987">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3FF7D21E">
            <w:pPr>
              <w:spacing w:line="360" w:lineRule="exact"/>
              <w:jc w:val="center"/>
              <w:rPr>
                <w:rFonts w:ascii="宋体" w:hAnsi="宋体"/>
                <w:b/>
                <w:color w:val="auto"/>
                <w:szCs w:val="21"/>
                <w:highlight w:val="none"/>
              </w:rPr>
            </w:pPr>
          </w:p>
        </w:tc>
        <w:tc>
          <w:tcPr>
            <w:tcW w:w="780" w:type="dxa"/>
            <w:vAlign w:val="center"/>
          </w:tcPr>
          <w:p w14:paraId="1E76EA58">
            <w:pPr>
              <w:spacing w:line="360" w:lineRule="exact"/>
              <w:jc w:val="center"/>
              <w:rPr>
                <w:rFonts w:ascii="宋体" w:hAnsi="宋体"/>
                <w:b/>
                <w:color w:val="auto"/>
                <w:szCs w:val="21"/>
                <w:highlight w:val="none"/>
              </w:rPr>
            </w:pPr>
          </w:p>
        </w:tc>
      </w:tr>
      <w:tr w14:paraId="3F18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A4BC344">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17C4BF58">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01093FF8">
            <w:pPr>
              <w:spacing w:line="360" w:lineRule="exact"/>
              <w:jc w:val="center"/>
              <w:rPr>
                <w:rFonts w:ascii="宋体" w:hAnsi="宋体"/>
                <w:b/>
                <w:color w:val="auto"/>
                <w:szCs w:val="21"/>
                <w:highlight w:val="none"/>
              </w:rPr>
            </w:pPr>
          </w:p>
        </w:tc>
        <w:tc>
          <w:tcPr>
            <w:tcW w:w="780" w:type="dxa"/>
            <w:vAlign w:val="center"/>
          </w:tcPr>
          <w:p w14:paraId="1F1A3647">
            <w:pPr>
              <w:spacing w:line="360" w:lineRule="exact"/>
              <w:jc w:val="center"/>
              <w:rPr>
                <w:rFonts w:ascii="宋体" w:hAnsi="宋体"/>
                <w:b/>
                <w:color w:val="auto"/>
                <w:szCs w:val="21"/>
                <w:highlight w:val="none"/>
              </w:rPr>
            </w:pPr>
          </w:p>
        </w:tc>
      </w:tr>
      <w:tr w14:paraId="0865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46BE94A">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08D8F6CA">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0330377C">
            <w:pPr>
              <w:spacing w:line="360" w:lineRule="exact"/>
              <w:jc w:val="center"/>
              <w:rPr>
                <w:rFonts w:ascii="宋体" w:hAnsi="宋体"/>
                <w:b/>
                <w:color w:val="auto"/>
                <w:szCs w:val="21"/>
                <w:highlight w:val="none"/>
              </w:rPr>
            </w:pPr>
          </w:p>
        </w:tc>
        <w:tc>
          <w:tcPr>
            <w:tcW w:w="780" w:type="dxa"/>
            <w:vAlign w:val="center"/>
          </w:tcPr>
          <w:p w14:paraId="57413A16">
            <w:pPr>
              <w:spacing w:line="360" w:lineRule="exact"/>
              <w:jc w:val="center"/>
              <w:rPr>
                <w:rFonts w:ascii="宋体" w:hAnsi="宋体"/>
                <w:b/>
                <w:color w:val="auto"/>
                <w:szCs w:val="21"/>
                <w:highlight w:val="none"/>
              </w:rPr>
            </w:pPr>
          </w:p>
        </w:tc>
      </w:tr>
      <w:tr w14:paraId="1575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DB2F675">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1EA3B0EA">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472FB70E">
            <w:pPr>
              <w:spacing w:line="360" w:lineRule="exact"/>
              <w:jc w:val="center"/>
              <w:rPr>
                <w:rFonts w:ascii="宋体" w:hAnsi="宋体"/>
                <w:b/>
                <w:color w:val="auto"/>
                <w:szCs w:val="21"/>
                <w:highlight w:val="none"/>
              </w:rPr>
            </w:pPr>
          </w:p>
        </w:tc>
        <w:tc>
          <w:tcPr>
            <w:tcW w:w="780" w:type="dxa"/>
            <w:vAlign w:val="center"/>
          </w:tcPr>
          <w:p w14:paraId="0AC68E8D">
            <w:pPr>
              <w:spacing w:line="360" w:lineRule="exact"/>
              <w:jc w:val="center"/>
              <w:rPr>
                <w:rFonts w:ascii="宋体" w:hAnsi="宋体"/>
                <w:b/>
                <w:color w:val="auto"/>
                <w:szCs w:val="21"/>
                <w:highlight w:val="none"/>
              </w:rPr>
            </w:pPr>
          </w:p>
        </w:tc>
      </w:tr>
      <w:tr w14:paraId="4DC1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F128AFF">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01E82CF4">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64AAB374">
            <w:pPr>
              <w:spacing w:line="360" w:lineRule="exact"/>
              <w:jc w:val="center"/>
              <w:rPr>
                <w:rFonts w:ascii="宋体" w:hAnsi="宋体"/>
                <w:b/>
                <w:color w:val="auto"/>
                <w:szCs w:val="21"/>
                <w:highlight w:val="none"/>
              </w:rPr>
            </w:pPr>
          </w:p>
        </w:tc>
        <w:tc>
          <w:tcPr>
            <w:tcW w:w="780" w:type="dxa"/>
            <w:vAlign w:val="center"/>
          </w:tcPr>
          <w:p w14:paraId="194A9520">
            <w:pPr>
              <w:spacing w:line="360" w:lineRule="exact"/>
              <w:jc w:val="center"/>
              <w:rPr>
                <w:rFonts w:ascii="宋体" w:hAnsi="宋体"/>
                <w:b/>
                <w:color w:val="auto"/>
                <w:szCs w:val="21"/>
                <w:highlight w:val="none"/>
              </w:rPr>
            </w:pPr>
          </w:p>
        </w:tc>
      </w:tr>
      <w:tr w14:paraId="1D1E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B0B70C0">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169428AE">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506FD1BC">
            <w:pPr>
              <w:spacing w:line="360" w:lineRule="exact"/>
              <w:jc w:val="center"/>
              <w:rPr>
                <w:rFonts w:ascii="宋体" w:hAnsi="宋体"/>
                <w:b/>
                <w:color w:val="auto"/>
                <w:szCs w:val="21"/>
                <w:highlight w:val="none"/>
              </w:rPr>
            </w:pPr>
          </w:p>
        </w:tc>
        <w:tc>
          <w:tcPr>
            <w:tcW w:w="780" w:type="dxa"/>
            <w:vAlign w:val="center"/>
          </w:tcPr>
          <w:p w14:paraId="638005B7">
            <w:pPr>
              <w:spacing w:line="360" w:lineRule="exact"/>
              <w:jc w:val="center"/>
              <w:rPr>
                <w:rFonts w:ascii="宋体" w:hAnsi="宋体"/>
                <w:b/>
                <w:color w:val="auto"/>
                <w:szCs w:val="21"/>
                <w:highlight w:val="none"/>
              </w:rPr>
            </w:pPr>
          </w:p>
        </w:tc>
      </w:tr>
      <w:tr w14:paraId="08BD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5802AA92">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27983C4F">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2C4AA6CA">
            <w:pPr>
              <w:spacing w:line="360" w:lineRule="exact"/>
              <w:jc w:val="center"/>
              <w:rPr>
                <w:rFonts w:ascii="宋体" w:hAnsi="宋体"/>
                <w:b/>
                <w:color w:val="auto"/>
                <w:szCs w:val="21"/>
                <w:highlight w:val="none"/>
              </w:rPr>
            </w:pPr>
          </w:p>
        </w:tc>
        <w:tc>
          <w:tcPr>
            <w:tcW w:w="780" w:type="dxa"/>
            <w:vAlign w:val="center"/>
          </w:tcPr>
          <w:p w14:paraId="792A4CC1">
            <w:pPr>
              <w:spacing w:line="360" w:lineRule="exact"/>
              <w:jc w:val="center"/>
              <w:rPr>
                <w:rFonts w:ascii="宋体" w:hAnsi="宋体"/>
                <w:b/>
                <w:color w:val="auto"/>
                <w:szCs w:val="21"/>
                <w:highlight w:val="none"/>
              </w:rPr>
            </w:pPr>
          </w:p>
        </w:tc>
      </w:tr>
      <w:tr w14:paraId="6406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369CA5E">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4FD138EA">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1C301240">
            <w:pPr>
              <w:spacing w:line="360" w:lineRule="exact"/>
              <w:jc w:val="center"/>
              <w:rPr>
                <w:rFonts w:ascii="宋体" w:hAnsi="宋体"/>
                <w:b/>
                <w:color w:val="auto"/>
                <w:szCs w:val="21"/>
                <w:highlight w:val="none"/>
              </w:rPr>
            </w:pPr>
          </w:p>
        </w:tc>
        <w:tc>
          <w:tcPr>
            <w:tcW w:w="780" w:type="dxa"/>
            <w:vAlign w:val="center"/>
          </w:tcPr>
          <w:p w14:paraId="26110D0E">
            <w:pPr>
              <w:spacing w:line="360" w:lineRule="exact"/>
              <w:jc w:val="center"/>
              <w:rPr>
                <w:rFonts w:ascii="宋体" w:hAnsi="宋体"/>
                <w:b/>
                <w:color w:val="auto"/>
                <w:szCs w:val="21"/>
                <w:highlight w:val="none"/>
              </w:rPr>
            </w:pPr>
          </w:p>
        </w:tc>
      </w:tr>
      <w:tr w14:paraId="58F3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0FFA7B64">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725C77F8">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672184BF">
            <w:pPr>
              <w:spacing w:line="360" w:lineRule="exact"/>
              <w:jc w:val="center"/>
              <w:rPr>
                <w:rFonts w:ascii="宋体" w:hAnsi="宋体"/>
                <w:b/>
                <w:color w:val="auto"/>
                <w:szCs w:val="21"/>
                <w:highlight w:val="none"/>
              </w:rPr>
            </w:pPr>
          </w:p>
        </w:tc>
        <w:tc>
          <w:tcPr>
            <w:tcW w:w="780" w:type="dxa"/>
            <w:vAlign w:val="center"/>
          </w:tcPr>
          <w:p w14:paraId="54C51719">
            <w:pPr>
              <w:spacing w:line="360" w:lineRule="exact"/>
              <w:jc w:val="center"/>
              <w:rPr>
                <w:rFonts w:ascii="宋体" w:hAnsi="宋体"/>
                <w:b/>
                <w:color w:val="auto"/>
                <w:szCs w:val="21"/>
                <w:highlight w:val="none"/>
              </w:rPr>
            </w:pPr>
          </w:p>
        </w:tc>
      </w:tr>
      <w:tr w14:paraId="7260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494C9430">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638B563A">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53FE1DE0">
            <w:pPr>
              <w:spacing w:line="360" w:lineRule="exact"/>
              <w:jc w:val="center"/>
              <w:rPr>
                <w:rFonts w:ascii="宋体" w:hAnsi="宋体"/>
                <w:b/>
                <w:color w:val="auto"/>
                <w:szCs w:val="21"/>
                <w:highlight w:val="none"/>
              </w:rPr>
            </w:pPr>
          </w:p>
        </w:tc>
        <w:tc>
          <w:tcPr>
            <w:tcW w:w="780" w:type="dxa"/>
            <w:vAlign w:val="center"/>
          </w:tcPr>
          <w:p w14:paraId="687E6E7A">
            <w:pPr>
              <w:spacing w:line="360" w:lineRule="exact"/>
              <w:jc w:val="center"/>
              <w:rPr>
                <w:rFonts w:ascii="宋体" w:hAnsi="宋体"/>
                <w:b/>
                <w:color w:val="auto"/>
                <w:szCs w:val="21"/>
                <w:highlight w:val="none"/>
              </w:rPr>
            </w:pPr>
          </w:p>
        </w:tc>
      </w:tr>
      <w:tr w14:paraId="3C1B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21AEC5EC">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727E79A6">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4E3931B2">
            <w:pPr>
              <w:spacing w:line="360" w:lineRule="exact"/>
              <w:jc w:val="center"/>
              <w:rPr>
                <w:rFonts w:ascii="宋体" w:hAnsi="宋体"/>
                <w:b/>
                <w:color w:val="auto"/>
                <w:szCs w:val="21"/>
                <w:highlight w:val="none"/>
              </w:rPr>
            </w:pPr>
          </w:p>
        </w:tc>
        <w:tc>
          <w:tcPr>
            <w:tcW w:w="780" w:type="dxa"/>
            <w:vAlign w:val="center"/>
          </w:tcPr>
          <w:p w14:paraId="69A017C5">
            <w:pPr>
              <w:spacing w:line="360" w:lineRule="exact"/>
              <w:jc w:val="center"/>
              <w:rPr>
                <w:rFonts w:ascii="宋体" w:hAnsi="宋体"/>
                <w:b/>
                <w:color w:val="auto"/>
                <w:szCs w:val="21"/>
                <w:highlight w:val="none"/>
              </w:rPr>
            </w:pPr>
          </w:p>
        </w:tc>
      </w:tr>
      <w:tr w14:paraId="3487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16C092E4">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434B1EC9">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1D90C52D">
            <w:pPr>
              <w:spacing w:line="360" w:lineRule="exact"/>
              <w:jc w:val="center"/>
              <w:rPr>
                <w:rFonts w:ascii="宋体" w:hAnsi="宋体"/>
                <w:b/>
                <w:color w:val="auto"/>
                <w:szCs w:val="21"/>
                <w:highlight w:val="none"/>
              </w:rPr>
            </w:pPr>
          </w:p>
        </w:tc>
        <w:tc>
          <w:tcPr>
            <w:tcW w:w="780" w:type="dxa"/>
            <w:vAlign w:val="center"/>
          </w:tcPr>
          <w:p w14:paraId="1C889A0A">
            <w:pPr>
              <w:spacing w:line="360" w:lineRule="exact"/>
              <w:jc w:val="center"/>
              <w:rPr>
                <w:rFonts w:ascii="宋体" w:hAnsi="宋体"/>
                <w:b/>
                <w:color w:val="auto"/>
                <w:szCs w:val="21"/>
                <w:highlight w:val="none"/>
              </w:rPr>
            </w:pPr>
          </w:p>
        </w:tc>
      </w:tr>
    </w:tbl>
    <w:p w14:paraId="34952601">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59CBEAD2">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87A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60FDE996">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14:paraId="56275549">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14:paraId="1F8B9F90">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14:paraId="4D4DB32A">
            <w:pPr>
              <w:pStyle w:val="26"/>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深圳市龙岗区第七人民医院龙岭</w:t>
            </w:r>
          </w:p>
          <w:p w14:paraId="1E82097B">
            <w:pPr>
              <w:pStyle w:val="26"/>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color w:val="auto"/>
                <w:sz w:val="44"/>
                <w:szCs w:val="44"/>
                <w:highlight w:val="none"/>
                <w:lang w:val="en-US" w:eastAsia="zh-CN"/>
              </w:rPr>
            </w:pPr>
            <w:r>
              <w:rPr>
                <w:rFonts w:hint="eastAsia" w:ascii="仿宋_GB2312" w:hAnsi="仿宋_GB2312" w:eastAsia="仿宋_GB2312" w:cs="仿宋_GB2312"/>
                <w:color w:val="auto"/>
                <w:sz w:val="44"/>
                <w:szCs w:val="44"/>
                <w:highlight w:val="none"/>
                <w:lang w:val="en-US" w:eastAsia="zh-CN"/>
              </w:rPr>
              <w:t>院区（除门诊楼外）4栋建筑房屋结构</w:t>
            </w:r>
          </w:p>
          <w:p w14:paraId="03081196">
            <w:pPr>
              <w:pStyle w:val="26"/>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b w:val="0"/>
                <w:bCs w:val="0"/>
                <w:color w:val="auto"/>
                <w:sz w:val="44"/>
                <w:szCs w:val="44"/>
                <w:highlight w:val="none"/>
                <w:lang w:val="en-US" w:eastAsia="zh-CN"/>
              </w:rPr>
            </w:pPr>
            <w:r>
              <w:rPr>
                <w:rFonts w:hint="eastAsia" w:ascii="仿宋_GB2312" w:hAnsi="仿宋_GB2312" w:eastAsia="仿宋_GB2312" w:cs="仿宋_GB2312"/>
                <w:color w:val="auto"/>
                <w:sz w:val="44"/>
                <w:szCs w:val="44"/>
                <w:highlight w:val="none"/>
                <w:lang w:val="en-US" w:eastAsia="zh-CN"/>
              </w:rPr>
              <w:t>安全检测鉴定服务项目</w:t>
            </w:r>
          </w:p>
          <w:p w14:paraId="217698DC">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14:paraId="7FCAE1C6">
            <w:pPr>
              <w:pStyle w:val="31"/>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sz w:val="36"/>
                <w:szCs w:val="36"/>
                <w:highlight w:val="none"/>
                <w:lang w:val="en-US" w:eastAsia="zh-CN"/>
              </w:rPr>
              <w:t>深龙七医采[LGQY2026ZW007]</w:t>
            </w:r>
            <w:r>
              <w:rPr>
                <w:rFonts w:hint="eastAsia" w:ascii="仿宋_GB2312" w:hAnsi="仿宋_GB2312" w:eastAsia="仿宋_GB2312" w:cs="仿宋_GB2312"/>
                <w:color w:val="auto"/>
                <w:sz w:val="44"/>
                <w:szCs w:val="44"/>
                <w:highlight w:val="none"/>
              </w:rPr>
              <w:t>）</w:t>
            </w:r>
          </w:p>
          <w:p w14:paraId="3CD23406">
            <w:pPr>
              <w:pStyle w:val="31"/>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14:paraId="2B1D1921">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1E256858">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13956CA4">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14:paraId="0809F738">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5F34988D">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6283EB57">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50993708">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73DFA2DD">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0F2F4693">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14:paraId="6F7CB353">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7208C933">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020906E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14:paraId="1771DEC6">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14:paraId="19F22A13">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default"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rPr>
        <w:t>5.独立承担民事责任能力的法人或其他组织或个体工商户的营业执照或法人证</w:t>
      </w:r>
      <w:r>
        <w:rPr>
          <w:rFonts w:hint="eastAsia" w:ascii="仿宋_GB2312" w:hAnsi="仿宋_GB2312" w:eastAsia="仿宋_GB2312" w:cs="仿宋_GB2312"/>
          <w:color w:val="auto"/>
          <w:sz w:val="28"/>
          <w:szCs w:val="28"/>
          <w:highlight w:val="none"/>
          <w:lang w:bidi="ar"/>
        </w:rPr>
        <w:t>书等证明材料复印件</w:t>
      </w:r>
      <w:r>
        <w:rPr>
          <w:rFonts w:hint="eastAsia" w:ascii="仿宋_GB2312" w:hAnsi="仿宋_GB2312" w:eastAsia="仿宋_GB2312" w:cs="仿宋_GB2312"/>
          <w:color w:val="auto"/>
          <w:sz w:val="28"/>
          <w:szCs w:val="28"/>
          <w:highlight w:val="none"/>
          <w:lang w:val="en-US" w:eastAsia="zh-CN" w:bidi="ar"/>
        </w:rPr>
        <w:t>或扫描件</w:t>
      </w:r>
    </w:p>
    <w:p w14:paraId="3C00F18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6.提供省级及以上建设行政主管部门颁发的《建设工程质量检测机构资质证书》复印件（检测范围须同时包含主体结构工程现场检测和地基基础工程检测）</w:t>
      </w:r>
    </w:p>
    <w:p w14:paraId="72525DF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7.提供省级及以上质量技术监督部门颁发的《检验检测机构资质认定证书》（CMA认证）复印件</w:t>
      </w:r>
    </w:p>
    <w:p w14:paraId="4260D11F">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8.提供投标人位于深圳市住房和建设局发布的《深圳市房屋安全鉴定机构名录》内的截图证明</w:t>
      </w:r>
    </w:p>
    <w:p w14:paraId="04D7143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9</w:t>
      </w:r>
      <w:r>
        <w:rPr>
          <w:rFonts w:hint="eastAsia" w:ascii="仿宋_GB2312" w:hAnsi="仿宋_GB2312" w:eastAsia="仿宋_GB2312" w:cs="仿宋_GB2312"/>
          <w:color w:val="auto"/>
          <w:sz w:val="28"/>
          <w:szCs w:val="28"/>
          <w:highlight w:val="none"/>
          <w:lang w:bidi="ar"/>
        </w:rPr>
        <w:t>.投标文件初审表</w:t>
      </w:r>
    </w:p>
    <w:p w14:paraId="026C2E3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10</w:t>
      </w:r>
      <w:r>
        <w:rPr>
          <w:rFonts w:hint="eastAsia" w:ascii="仿宋_GB2312" w:hAnsi="仿宋_GB2312" w:eastAsia="仿宋_GB2312" w:cs="仿宋_GB2312"/>
          <w:color w:val="auto"/>
          <w:sz w:val="28"/>
          <w:szCs w:val="28"/>
          <w:highlight w:val="none"/>
          <w:lang w:bidi="ar"/>
        </w:rPr>
        <w:t>.供应商自查表</w:t>
      </w:r>
    </w:p>
    <w:p w14:paraId="18296ACE">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11</w:t>
      </w:r>
      <w:r>
        <w:rPr>
          <w:rFonts w:hint="eastAsia" w:ascii="仿宋_GB2312" w:hAnsi="仿宋_GB2312" w:eastAsia="仿宋_GB2312" w:cs="仿宋_GB2312"/>
          <w:color w:val="auto"/>
          <w:sz w:val="28"/>
          <w:szCs w:val="28"/>
          <w:highlight w:val="none"/>
          <w:lang w:bidi="ar"/>
        </w:rPr>
        <w:t>.投标函</w:t>
      </w:r>
    </w:p>
    <w:p w14:paraId="782ACCF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12</w:t>
      </w:r>
      <w:r>
        <w:rPr>
          <w:rFonts w:hint="eastAsia" w:ascii="仿宋_GB2312" w:hAnsi="仿宋_GB2312" w:eastAsia="仿宋_GB2312" w:cs="仿宋_GB2312"/>
          <w:color w:val="auto"/>
          <w:sz w:val="28"/>
          <w:szCs w:val="28"/>
          <w:highlight w:val="none"/>
        </w:rPr>
        <w:t>.投标及履约承诺函</w:t>
      </w:r>
    </w:p>
    <w:p w14:paraId="53D3F58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13</w:t>
      </w:r>
      <w:r>
        <w:rPr>
          <w:rFonts w:hint="eastAsia" w:ascii="仿宋_GB2312" w:hAnsi="仿宋_GB2312" w:eastAsia="仿宋_GB2312" w:cs="仿宋_GB2312"/>
          <w:color w:val="auto"/>
          <w:sz w:val="28"/>
          <w:szCs w:val="28"/>
          <w:highlight w:val="none"/>
          <w:lang w:val="zh-CN"/>
        </w:rPr>
        <w:t>.供应商基本情况表</w:t>
      </w:r>
    </w:p>
    <w:p w14:paraId="6D3908F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.社会保险证明</w:t>
      </w:r>
    </w:p>
    <w:p w14:paraId="24CBB1F8">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zh-CN"/>
        </w:rPr>
        <w:t>.开标一览表</w:t>
      </w:r>
    </w:p>
    <w:p w14:paraId="3A9412F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16.</w:t>
      </w:r>
      <w:r>
        <w:rPr>
          <w:rFonts w:hint="eastAsia" w:ascii="仿宋_GB2312" w:hAnsi="仿宋_GB2312" w:eastAsia="仿宋_GB2312" w:cs="仿宋_GB2312"/>
          <w:color w:val="auto"/>
          <w:sz w:val="28"/>
          <w:szCs w:val="28"/>
          <w:highlight w:val="none"/>
          <w:lang w:val="zh-CN"/>
        </w:rPr>
        <w:t>分</w:t>
      </w:r>
      <w:r>
        <w:rPr>
          <w:rFonts w:hint="eastAsia" w:ascii="仿宋_GB2312" w:hAnsi="仿宋_GB2312" w:eastAsia="仿宋_GB2312" w:cs="仿宋_GB2312"/>
          <w:color w:val="auto"/>
          <w:sz w:val="28"/>
          <w:szCs w:val="28"/>
          <w:highlight w:val="none"/>
          <w:lang w:val="en-US" w:eastAsia="zh-CN"/>
        </w:rPr>
        <w:t>项</w:t>
      </w:r>
      <w:r>
        <w:rPr>
          <w:rFonts w:hint="eastAsia" w:ascii="仿宋_GB2312" w:hAnsi="仿宋_GB2312" w:eastAsia="仿宋_GB2312" w:cs="仿宋_GB2312"/>
          <w:color w:val="auto"/>
          <w:sz w:val="28"/>
          <w:szCs w:val="28"/>
          <w:highlight w:val="none"/>
          <w:lang w:val="zh-CN"/>
        </w:rPr>
        <w:t>报价表</w:t>
      </w:r>
    </w:p>
    <w:p w14:paraId="07815E9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17.</w:t>
      </w:r>
      <w:r>
        <w:rPr>
          <w:rFonts w:hint="eastAsia" w:ascii="仿宋_GB2312" w:hAnsi="仿宋_GB2312" w:eastAsia="仿宋_GB2312" w:cs="仿宋_GB2312"/>
          <w:color w:val="auto"/>
          <w:sz w:val="28"/>
          <w:szCs w:val="28"/>
          <w:highlight w:val="none"/>
          <w:lang w:val="zh-CN"/>
        </w:rPr>
        <w:t>实质性条款响应情况表</w:t>
      </w:r>
    </w:p>
    <w:p w14:paraId="54EAB715">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rPr>
        <w:t>.商务条款偏离表</w:t>
      </w:r>
    </w:p>
    <w:p w14:paraId="4774DA5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服务</w:t>
      </w:r>
      <w:r>
        <w:rPr>
          <w:rFonts w:hint="eastAsia" w:ascii="仿宋_GB2312" w:hAnsi="仿宋_GB2312" w:eastAsia="仿宋_GB2312" w:cs="仿宋_GB2312"/>
          <w:color w:val="auto"/>
          <w:sz w:val="28"/>
          <w:szCs w:val="28"/>
          <w:highlight w:val="none"/>
          <w:lang w:val="zh-CN"/>
        </w:rPr>
        <w:t>条款偏离</w:t>
      </w:r>
      <w:r>
        <w:rPr>
          <w:rFonts w:hint="eastAsia" w:ascii="仿宋_GB2312" w:hAnsi="仿宋_GB2312" w:eastAsia="仿宋_GB2312" w:cs="仿宋_GB2312"/>
          <w:color w:val="auto"/>
          <w:sz w:val="28"/>
          <w:szCs w:val="28"/>
          <w:highlight w:val="none"/>
          <w:lang w:val="en-US" w:eastAsia="zh-CN"/>
        </w:rPr>
        <w:t>表</w:t>
      </w:r>
    </w:p>
    <w:p w14:paraId="0D3642A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19.</w:t>
      </w:r>
      <w:r>
        <w:rPr>
          <w:rFonts w:hint="eastAsia" w:ascii="仿宋_GB2312" w:hAnsi="仿宋_GB2312" w:eastAsia="仿宋_GB2312" w:cs="仿宋_GB2312"/>
          <w:color w:val="auto"/>
          <w:sz w:val="28"/>
          <w:szCs w:val="28"/>
          <w:highlight w:val="none"/>
        </w:rPr>
        <w:t>项目团队配置及专业能力</w:t>
      </w:r>
    </w:p>
    <w:p w14:paraId="339E005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20</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整体服务实施方案</w:t>
      </w:r>
    </w:p>
    <w:p w14:paraId="4540C82F">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rPr>
        <w:t>项目重难点分析</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应对措施及合理化建议</w:t>
      </w:r>
    </w:p>
    <w:p w14:paraId="1667524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rPr>
        <w:t>成果质量及售后保障方案</w:t>
      </w:r>
    </w:p>
    <w:p w14:paraId="2EC924D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23.同类项目业绩</w:t>
      </w:r>
    </w:p>
    <w:p w14:paraId="5AF0748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24.履约评价</w:t>
      </w:r>
    </w:p>
    <w:p w14:paraId="00D1DC5E">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25.</w:t>
      </w:r>
      <w:r>
        <w:rPr>
          <w:rFonts w:hint="eastAsia" w:ascii="仿宋_GB2312" w:hAnsi="仿宋_GB2312" w:eastAsia="仿宋_GB2312" w:cs="仿宋_GB2312"/>
          <w:color w:val="auto"/>
          <w:sz w:val="28"/>
          <w:szCs w:val="28"/>
          <w:highlight w:val="none"/>
        </w:rPr>
        <w:t>体系认证证书情况</w:t>
      </w:r>
    </w:p>
    <w:p w14:paraId="29C60CAE">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val="zh-CN"/>
        </w:rPr>
        <w:t>.企业诚信</w:t>
      </w:r>
    </w:p>
    <w:p w14:paraId="6D9E1485">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27.</w:t>
      </w:r>
      <w:r>
        <w:rPr>
          <w:rFonts w:hint="eastAsia" w:ascii="仿宋_GB2312" w:hAnsi="仿宋_GB2312" w:eastAsia="仿宋_GB2312" w:cs="仿宋_GB2312"/>
          <w:color w:val="auto"/>
          <w:sz w:val="28"/>
          <w:szCs w:val="28"/>
          <w:highlight w:val="none"/>
          <w:lang w:val="zh-CN"/>
        </w:rPr>
        <w:t>中小企业声明函</w:t>
      </w:r>
    </w:p>
    <w:p w14:paraId="03D3067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val="zh-CN"/>
        </w:rPr>
        <w:t>.其他证明材料</w:t>
      </w:r>
    </w:p>
    <w:p w14:paraId="0F1E402D">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12E555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32F2BFC">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62398D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FECD21A">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284BF25">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3520116">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DDDE12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5463EA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397AA5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E2D1EC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D0E3BA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FB4897E">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5DA90B5">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F4980F3">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414CBB1">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6C6062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8"/>
          <w:szCs w:val="28"/>
          <w:highlight w:val="none"/>
          <w:lang w:bidi="ar"/>
        </w:rPr>
      </w:pPr>
    </w:p>
    <w:p w14:paraId="69646A18">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14:paraId="6870D892">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14:paraId="57A16584">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61BE6001">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31E1F078">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项目的招标文件，完全同意招标文件中的所有条款，愿意按招标文件要求，决定以投标报价：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元参与投标并按招标文件要求承包上述项目，并许以如下承诺：</w:t>
      </w:r>
    </w:p>
    <w:p w14:paraId="4DCFA4B8">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3D62C306">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170AC9D7">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00891479">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1C86B71C">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77DE35D0">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48F465F3">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0D369D2A">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6A06DCF9">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51BD705F">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22B3A8EA">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69DFAFE8">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190D8813">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27E88CA3">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3356D2AB">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4F30D85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30AAD2E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5F180A2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089E027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6E6A0ED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1F5D58E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517BEB2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69D3570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539F1AF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779EE3F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9F3616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A8CDC6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0EA5040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093935">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69E779C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2906BC39">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75AE46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319067D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3CBCD0EA">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19F6908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524364C2">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4D93CC51">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4D4852DA">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4006A35E">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36937CA2">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bookmarkStart w:id="15" w:name="_Toc24111"/>
    </w:p>
    <w:p w14:paraId="57671D9E">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14:paraId="607D7C78">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40A4258F">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14:paraId="51425379">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3927501F">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6BAEC92F">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7B6BDCC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7E88224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5979BA03">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21619EC8">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775CEE0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4828C9F3">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2F916D6E">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3EA211DC">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16C26F4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7A525B48">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11C55E0A">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3843C12F">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2F3FBFC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7CDD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24F394CA">
            <w:pPr>
              <w:keepLines w:val="0"/>
              <w:pageBreakBefore w:val="0"/>
              <w:kinsoku/>
              <w:wordWrap/>
              <w:overflowPunct/>
              <w:topLinePunct w:val="0"/>
              <w:bidi w:val="0"/>
              <w:spacing w:line="560" w:lineRule="exact"/>
              <w:rPr>
                <w:color w:val="auto"/>
                <w:highlight w:val="none"/>
              </w:rPr>
            </w:pPr>
          </w:p>
          <w:p w14:paraId="48D84C8E">
            <w:pPr>
              <w:keepLines w:val="0"/>
              <w:pageBreakBefore w:val="0"/>
              <w:kinsoku/>
              <w:wordWrap/>
              <w:overflowPunct/>
              <w:topLinePunct w:val="0"/>
              <w:bidi w:val="0"/>
              <w:spacing w:line="560" w:lineRule="exact"/>
              <w:rPr>
                <w:color w:val="auto"/>
                <w:highlight w:val="none"/>
              </w:rPr>
            </w:pPr>
          </w:p>
          <w:p w14:paraId="0069741B">
            <w:pPr>
              <w:pStyle w:val="8"/>
              <w:keepLines w:val="0"/>
              <w:pageBreakBefore w:val="0"/>
              <w:kinsoku/>
              <w:wordWrap/>
              <w:overflowPunct/>
              <w:topLinePunct w:val="0"/>
              <w:bidi w:val="0"/>
              <w:spacing w:line="560" w:lineRule="exact"/>
              <w:rPr>
                <w:rFonts w:hint="eastAsia"/>
                <w:color w:val="auto"/>
                <w:highlight w:val="none"/>
              </w:rPr>
            </w:pPr>
          </w:p>
          <w:p w14:paraId="28D7F0B9">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6AE9EA57">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1BB0CC19">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3D6ADAF1">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38E155CE">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113A8E7D">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432F3C09">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0AD1A27F">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4E8351F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390AE5EB">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26C2E6BF">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6AEED0F9">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3E6F8675">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5B35DCFE">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08DFFE59">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6A2AB7FF">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7D14820C">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6DFEAA3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325C566A">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76D65FA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73D9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1" w:hRule="atLeast"/>
        </w:trPr>
        <w:tc>
          <w:tcPr>
            <w:tcW w:w="5580" w:type="dxa"/>
            <w:noWrap/>
          </w:tcPr>
          <w:p w14:paraId="716863F8">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14EA3CE9">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1C40E0A0">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17F3569D">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6672B319">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3EAC3D75">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bookmarkEnd w:id="15"/>
    </w:p>
    <w:p w14:paraId="3296108C">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6E38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52AB4C5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7A4D38B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45D9205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21B594D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471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6D60D0A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0EFB8B2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68B97CF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1BC2DDF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5DF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54C01C8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6A7C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41D391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2A658BC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5A38AF3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22EF2C0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0D24406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793B358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7E3DF1C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4417016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116D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1AAC23F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5568069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7B14F72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31991A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67FA77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A0F24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833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45DFC1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338B9DF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24BA81E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BBE4F3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E1145E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0557CF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34F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0824659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711F4E0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03F5A9D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B4A589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3878EC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58FDA0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D59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171ABE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4911BC8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06A4439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DDBC7C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17A005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B634FC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036E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5DA2323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4EC9561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6D6F87A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EBB4F7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94B581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D2616A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17E9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697AF1B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6757D7F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166DAC3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DBBE8A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9CCD38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10F74B5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6B67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5EAFD221">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59F9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1F2B665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6224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44A4436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2ED5A0E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4D59054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49B0AAA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575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5404318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724468B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164E885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0D3D653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5125B39E">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6F57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A9DCD9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5CEFF29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1256E53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6E761F92">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1843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53BD8B34">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0861F099">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0941E4C3">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150813EF">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27B595C4">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3CDFD2D5">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bookmarkStart w:id="16" w:name="_Toc17532"/>
      <w:bookmarkStart w:id="17" w:name="_Toc14311"/>
      <w:r>
        <w:rPr>
          <w:rFonts w:hint="eastAsia" w:ascii="宋体" w:hAnsi="宋体" w:cs="宋体"/>
          <w:color w:val="auto"/>
          <w:kern w:val="0"/>
          <w:sz w:val="44"/>
          <w:szCs w:val="44"/>
          <w:highlight w:val="none"/>
          <w:lang w:bidi="ar"/>
        </w:rPr>
        <w:t>提供社会保险证明</w:t>
      </w:r>
      <w:bookmarkEnd w:id="16"/>
      <w:bookmarkEnd w:id="17"/>
    </w:p>
    <w:p w14:paraId="2334237C">
      <w:pPr>
        <w:pStyle w:val="25"/>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5888C03D">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54F8D651">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2F373DCB">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4004D2F2">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2963B131">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212C0C90">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7AAF2C3B">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187096A1">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1C3DC895">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4F592BDD">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7876EF0F">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730F5B8D">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0A2C848A">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5B9984B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4FD3AF5F">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41774DD3">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14:paraId="22B64D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64CCE1E7">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3C1653F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59CFED3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3011587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5435A5A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41233C6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36D2853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11069E9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6FBC0B5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7A08708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1600194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76FC62D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3D1E77E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18764E6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103FDE5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64BA10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1C7C1F4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207B7A0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4B9E580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0991BC2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17249B3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3F344C3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18D7424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1DEBE49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57B41A0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0E2BFE07">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60E0723D">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6E8CF614">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68B1C7CE">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0002AC0">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1F5E9B7D">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5A47040B">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7213CB4A">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2720A994">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624A7B50">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0FF1D902">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50E53B03">
      <w:pPr>
        <w:pStyle w:val="8"/>
        <w:keepLines w:val="0"/>
        <w:pageBreakBefore w:val="0"/>
        <w:kinsoku/>
        <w:wordWrap/>
        <w:overflowPunct/>
        <w:topLinePunct w:val="0"/>
        <w:bidi w:val="0"/>
        <w:spacing w:line="560" w:lineRule="exact"/>
        <w:rPr>
          <w:rFonts w:hint="eastAsia"/>
          <w:color w:val="auto"/>
          <w:highlight w:val="none"/>
        </w:rPr>
      </w:pPr>
    </w:p>
    <w:p w14:paraId="25D2E3BE">
      <w:pPr>
        <w:pStyle w:val="8"/>
        <w:keepLines w:val="0"/>
        <w:pageBreakBefore w:val="0"/>
        <w:kinsoku/>
        <w:wordWrap/>
        <w:overflowPunct/>
        <w:topLinePunct w:val="0"/>
        <w:bidi w:val="0"/>
        <w:spacing w:line="560" w:lineRule="exact"/>
        <w:rPr>
          <w:rFonts w:hint="eastAsia"/>
          <w:color w:val="auto"/>
          <w:highlight w:val="none"/>
        </w:rPr>
      </w:pPr>
    </w:p>
    <w:p w14:paraId="6A661FBA">
      <w:pPr>
        <w:pStyle w:val="8"/>
        <w:keepLines w:val="0"/>
        <w:pageBreakBefore w:val="0"/>
        <w:kinsoku/>
        <w:wordWrap/>
        <w:overflowPunct/>
        <w:topLinePunct w:val="0"/>
        <w:bidi w:val="0"/>
        <w:spacing w:line="560" w:lineRule="exact"/>
        <w:rPr>
          <w:rFonts w:hint="eastAsia"/>
          <w:color w:val="auto"/>
          <w:highlight w:val="none"/>
        </w:rPr>
      </w:pPr>
    </w:p>
    <w:p w14:paraId="7E396FF4">
      <w:pPr>
        <w:spacing w:line="560" w:lineRule="exact"/>
        <w:rPr>
          <w:rFonts w:hint="eastAsia"/>
          <w:color w:val="auto"/>
          <w:highlight w:val="none"/>
        </w:rPr>
      </w:pPr>
    </w:p>
    <w:p w14:paraId="71F8300D">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73835A0F">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742E15D8">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52AE4FD2">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834C8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3CE410F8">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19EBDFC9">
      <w:pPr>
        <w:keepLines w:val="0"/>
        <w:pageBreakBefore w:val="0"/>
        <w:kinsoku/>
        <w:wordWrap/>
        <w:overflowPunct/>
        <w:topLinePunct w:val="0"/>
        <w:bidi w:val="0"/>
        <w:spacing w:line="560" w:lineRule="exact"/>
        <w:rPr>
          <w:color w:val="auto"/>
          <w:sz w:val="28"/>
          <w:szCs w:val="28"/>
          <w:highlight w:val="none"/>
        </w:rPr>
      </w:pPr>
    </w:p>
    <w:p w14:paraId="7E10FAA5">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7889E27D">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70A4749D">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77686A28">
      <w:pPr>
        <w:pStyle w:val="3"/>
        <w:spacing w:line="560" w:lineRule="exact"/>
        <w:rPr>
          <w:rFonts w:hint="eastAsia" w:ascii="仿宋_GB2312" w:hAnsi="仿宋_GB2312" w:eastAsia="仿宋_GB2312" w:cs="仿宋_GB2312"/>
          <w:color w:val="auto"/>
          <w:sz w:val="32"/>
          <w:szCs w:val="32"/>
          <w:highlight w:val="none"/>
        </w:rPr>
      </w:pPr>
    </w:p>
    <w:p w14:paraId="3F975F3E">
      <w:pPr>
        <w:spacing w:line="560" w:lineRule="exact"/>
        <w:rPr>
          <w:rFonts w:hint="eastAsia" w:ascii="仿宋_GB2312" w:hAnsi="仿宋_GB2312" w:eastAsia="仿宋_GB2312" w:cs="仿宋_GB2312"/>
          <w:color w:val="auto"/>
          <w:sz w:val="32"/>
          <w:szCs w:val="32"/>
          <w:highlight w:val="none"/>
        </w:rPr>
      </w:pPr>
    </w:p>
    <w:p w14:paraId="3BC86F61">
      <w:pPr>
        <w:spacing w:line="560" w:lineRule="exact"/>
        <w:rPr>
          <w:rFonts w:hint="eastAsia" w:ascii="仿宋_GB2312" w:hAnsi="仿宋_GB2312" w:eastAsia="仿宋_GB2312" w:cs="仿宋_GB2312"/>
          <w:color w:val="auto"/>
          <w:sz w:val="32"/>
          <w:szCs w:val="32"/>
          <w:highlight w:val="none"/>
        </w:rPr>
      </w:pPr>
    </w:p>
    <w:p w14:paraId="1535F3DE">
      <w:pPr>
        <w:spacing w:line="560" w:lineRule="exact"/>
        <w:rPr>
          <w:rFonts w:hint="eastAsia" w:ascii="仿宋_GB2312" w:hAnsi="仿宋_GB2312" w:eastAsia="仿宋_GB2312" w:cs="仿宋_GB2312"/>
          <w:color w:val="auto"/>
          <w:sz w:val="32"/>
          <w:szCs w:val="32"/>
          <w:highlight w:val="none"/>
        </w:rPr>
      </w:pPr>
    </w:p>
    <w:p w14:paraId="7B19C096">
      <w:pPr>
        <w:spacing w:line="560" w:lineRule="exact"/>
        <w:rPr>
          <w:rFonts w:hint="eastAsia" w:ascii="仿宋_GB2312" w:hAnsi="仿宋_GB2312" w:eastAsia="仿宋_GB2312" w:cs="仿宋_GB2312"/>
          <w:color w:val="auto"/>
          <w:sz w:val="32"/>
          <w:szCs w:val="32"/>
          <w:highlight w:val="none"/>
        </w:rPr>
      </w:pPr>
    </w:p>
    <w:p w14:paraId="669E605E">
      <w:pPr>
        <w:pStyle w:val="3"/>
        <w:spacing w:line="560" w:lineRule="exact"/>
        <w:rPr>
          <w:rFonts w:hint="eastAsia"/>
          <w:color w:val="auto"/>
          <w:highlight w:val="none"/>
        </w:rPr>
      </w:pPr>
    </w:p>
    <w:p w14:paraId="676BA1E7">
      <w:pPr>
        <w:keepLines w:val="0"/>
        <w:pageBreakBefore w:val="0"/>
        <w:numPr>
          <w:ilvl w:val="0"/>
          <w:numId w:val="4"/>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345B673A">
      <w:pPr>
        <w:pStyle w:val="8"/>
        <w:keepLines w:val="0"/>
        <w:pageBreakBefore w:val="0"/>
        <w:kinsoku/>
        <w:wordWrap/>
        <w:overflowPunct/>
        <w:topLinePunct w:val="0"/>
        <w:bidi w:val="0"/>
        <w:spacing w:line="560" w:lineRule="exact"/>
        <w:rPr>
          <w:rFonts w:hint="eastAsia"/>
          <w:color w:val="auto"/>
          <w:highlight w:val="none"/>
        </w:rPr>
      </w:pPr>
    </w:p>
    <w:p w14:paraId="3281807B">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15D8AC1C">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4DCA1398">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72425F84">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77D8EEFE">
      <w:pPr>
        <w:pStyle w:val="8"/>
        <w:keepLines w:val="0"/>
        <w:pageBreakBefore w:val="0"/>
        <w:kinsoku/>
        <w:wordWrap/>
        <w:overflowPunct/>
        <w:topLinePunct w:val="0"/>
        <w:bidi w:val="0"/>
        <w:spacing w:line="560" w:lineRule="exact"/>
        <w:rPr>
          <w:rFonts w:hint="eastAsia"/>
          <w:color w:val="auto"/>
          <w:sz w:val="28"/>
          <w:szCs w:val="28"/>
          <w:highlight w:val="none"/>
        </w:rPr>
      </w:pPr>
    </w:p>
    <w:p w14:paraId="79986500">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60583C68">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14:paraId="0B22127C">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28C84C2A">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102DF739">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3061" w:type="dxa"/>
        <w:tblInd w:w="0" w:type="dxa"/>
        <w:tblLayout w:type="fixed"/>
        <w:tblCellMar>
          <w:top w:w="15" w:type="dxa"/>
          <w:left w:w="15" w:type="dxa"/>
          <w:bottom w:w="15" w:type="dxa"/>
          <w:right w:w="15" w:type="dxa"/>
        </w:tblCellMar>
      </w:tblPr>
      <w:tblGrid>
        <w:gridCol w:w="7515"/>
        <w:gridCol w:w="5546"/>
      </w:tblGrid>
      <w:tr w14:paraId="2ABF3F3D">
        <w:tblPrEx>
          <w:tblCellMar>
            <w:top w:w="15" w:type="dxa"/>
            <w:left w:w="15" w:type="dxa"/>
            <w:bottom w:w="15" w:type="dxa"/>
            <w:right w:w="15" w:type="dxa"/>
          </w:tblCellMar>
        </w:tblPrEx>
        <w:trPr>
          <w:trHeight w:val="705" w:hRule="atLeast"/>
        </w:trPr>
        <w:tc>
          <w:tcPr>
            <w:tcW w:w="13061" w:type="dxa"/>
            <w:gridSpan w:val="2"/>
            <w:noWrap/>
            <w:vAlign w:val="center"/>
          </w:tcPr>
          <w:p w14:paraId="059F026E">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14:paraId="1B67C4C9">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14:paraId="174559B3">
        <w:tblPrEx>
          <w:tblCellMar>
            <w:top w:w="15" w:type="dxa"/>
            <w:left w:w="15" w:type="dxa"/>
            <w:bottom w:w="15" w:type="dxa"/>
            <w:right w:w="15" w:type="dxa"/>
          </w:tblCellMar>
        </w:tblPrEx>
        <w:trPr>
          <w:trHeight w:val="524" w:hRule="atLeast"/>
        </w:trPr>
        <w:tc>
          <w:tcPr>
            <w:tcW w:w="13061" w:type="dxa"/>
            <w:gridSpan w:val="2"/>
            <w:tcBorders>
              <w:top w:val="single" w:color="000000" w:sz="4" w:space="0"/>
              <w:left w:val="single" w:color="000000" w:sz="4" w:space="0"/>
              <w:bottom w:val="single" w:color="000000" w:sz="4" w:space="0"/>
              <w:right w:val="single" w:color="000000" w:sz="4" w:space="0"/>
            </w:tcBorders>
            <w:noWrap/>
            <w:vAlign w:val="center"/>
          </w:tcPr>
          <w:p w14:paraId="59501BF2">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深龙七医采[LGQY2026ZW007]</w:t>
            </w:r>
          </w:p>
        </w:tc>
      </w:tr>
      <w:tr w14:paraId="4042833D">
        <w:tblPrEx>
          <w:tblCellMar>
            <w:top w:w="15" w:type="dxa"/>
            <w:left w:w="15" w:type="dxa"/>
            <w:bottom w:w="15" w:type="dxa"/>
            <w:right w:w="15" w:type="dxa"/>
          </w:tblCellMar>
        </w:tblPrEx>
        <w:trPr>
          <w:trHeight w:val="509"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0BFA128B">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28848ABB">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投标报价（元）</w:t>
            </w:r>
          </w:p>
        </w:tc>
      </w:tr>
      <w:tr w14:paraId="557BB0D7">
        <w:tblPrEx>
          <w:tblCellMar>
            <w:top w:w="15" w:type="dxa"/>
            <w:left w:w="15" w:type="dxa"/>
            <w:bottom w:w="15" w:type="dxa"/>
            <w:right w:w="15" w:type="dxa"/>
          </w:tblCellMar>
        </w:tblPrEx>
        <w:trPr>
          <w:trHeight w:val="655"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595F5E9A">
            <w:pPr>
              <w:pStyle w:val="26"/>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深圳市龙岗区第七人民医院龙岭院区（除门诊楼外）</w:t>
            </w:r>
          </w:p>
          <w:p w14:paraId="6FD30DBB">
            <w:pPr>
              <w:pStyle w:val="26"/>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宋体"/>
                <w:color w:val="auto"/>
                <w:sz w:val="22"/>
                <w:szCs w:val="28"/>
                <w:highlight w:val="none"/>
                <w:lang w:val="en-US" w:eastAsia="zh-CN"/>
              </w:rPr>
            </w:pPr>
            <w:r>
              <w:rPr>
                <w:rFonts w:hint="eastAsia" w:ascii="仿宋" w:hAnsi="仿宋" w:eastAsia="仿宋" w:cs="仿宋"/>
                <w:color w:val="auto"/>
                <w:kern w:val="2"/>
                <w:sz w:val="32"/>
                <w:szCs w:val="32"/>
                <w:highlight w:val="none"/>
                <w:lang w:val="en-US" w:eastAsia="zh-CN" w:bidi="ar-SA"/>
              </w:rPr>
              <w:t>4栋建筑房屋结构安全检测鉴定服务项目</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080B7034">
            <w:pPr>
              <w:spacing w:line="560" w:lineRule="exact"/>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大写：</w:t>
            </w:r>
          </w:p>
          <w:p w14:paraId="5E607E33">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r>
              <w:rPr>
                <w:rFonts w:hint="eastAsia" w:ascii="仿宋" w:hAnsi="仿宋" w:eastAsia="仿宋" w:cs="仿宋"/>
                <w:color w:val="auto"/>
                <w:kern w:val="2"/>
                <w:sz w:val="32"/>
                <w:szCs w:val="32"/>
                <w:highlight w:val="none"/>
                <w:lang w:val="en-US" w:eastAsia="zh-CN" w:bidi="ar-SA"/>
              </w:rPr>
              <w:t>小写：</w:t>
            </w:r>
          </w:p>
        </w:tc>
      </w:tr>
    </w:tbl>
    <w:p w14:paraId="5EE03769">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14:paraId="34BA0FBB">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14:paraId="2D761F7B">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14:paraId="4718A2E4">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59C0C217">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04C10D9D">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18D25523">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125F7AE5">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14:paraId="4FB3A609">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14:paraId="5B466B33">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分</w:t>
      </w:r>
      <w:r>
        <w:rPr>
          <w:rFonts w:hint="eastAsia" w:ascii="仿宋" w:hAnsi="仿宋" w:eastAsia="仿宋" w:cs="仿宋"/>
          <w:b/>
          <w:color w:val="auto"/>
          <w:kern w:val="0"/>
          <w:sz w:val="44"/>
          <w:szCs w:val="44"/>
          <w:highlight w:val="none"/>
          <w:lang w:val="en-US" w:eastAsia="zh-CN"/>
        </w:rPr>
        <w:t>项</w:t>
      </w:r>
      <w:r>
        <w:rPr>
          <w:rFonts w:hint="eastAsia" w:ascii="仿宋" w:hAnsi="仿宋" w:eastAsia="仿宋" w:cs="仿宋"/>
          <w:b/>
          <w:color w:val="auto"/>
          <w:kern w:val="0"/>
          <w:sz w:val="44"/>
          <w:szCs w:val="44"/>
          <w:highlight w:val="none"/>
          <w:lang w:val="zh-CN"/>
        </w:rPr>
        <w:t>报价表</w:t>
      </w:r>
    </w:p>
    <w:p w14:paraId="38E7340E">
      <w:pPr>
        <w:pStyle w:val="6"/>
        <w:rPr>
          <w:rFonts w:hint="eastAsia"/>
          <w:lang w:val="zh-CN"/>
        </w:rPr>
      </w:pPr>
    </w:p>
    <w:p w14:paraId="50E98499">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440"/>
        <w:textAlignment w:val="auto"/>
        <w:rPr>
          <w:rFonts w:hint="eastAsia" w:ascii="Calibri" w:hAnsi="Calibri" w:eastAsia="宋体" w:cs="黑体"/>
          <w:color w:val="auto"/>
          <w:kern w:val="2"/>
          <w:sz w:val="21"/>
          <w:szCs w:val="24"/>
          <w:highlight w:val="none"/>
          <w:lang w:val="zh-CN" w:eastAsia="zh-CN" w:bidi="ar-SA"/>
        </w:rPr>
      </w:pPr>
      <w:r>
        <w:rPr>
          <w:rFonts w:hint="eastAsia" w:ascii="Calibri" w:hAnsi="Calibri" w:eastAsia="宋体" w:cs="黑体"/>
          <w:color w:val="auto"/>
          <w:kern w:val="2"/>
          <w:sz w:val="21"/>
          <w:szCs w:val="24"/>
          <w:highlight w:val="none"/>
          <w:lang w:val="zh-CN" w:eastAsia="zh-CN" w:bidi="ar-SA"/>
        </w:rPr>
        <w:t>项目名称：</w:t>
      </w:r>
      <w:r>
        <w:rPr>
          <w:rFonts w:hint="eastAsia" w:ascii="Calibri" w:hAnsi="Calibri" w:eastAsia="宋体" w:cs="黑体"/>
          <w:color w:val="auto"/>
          <w:kern w:val="2"/>
          <w:sz w:val="21"/>
          <w:szCs w:val="24"/>
          <w:highlight w:val="none"/>
          <w:lang w:val="en-US" w:eastAsia="zh-CN" w:bidi="ar-SA"/>
        </w:rPr>
        <w:t>深圳市龙岗区第七人民医院龙岭院区（除门诊楼外）4栋建筑房屋结构安全检测鉴定服务项目</w:t>
      </w:r>
    </w:p>
    <w:p w14:paraId="6198BDC8">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440"/>
        <w:textAlignment w:val="auto"/>
        <w:rPr>
          <w:rFonts w:hint="default" w:ascii="Calibri" w:hAnsi="Calibri" w:eastAsia="宋体" w:cs="黑体"/>
          <w:color w:val="auto"/>
          <w:kern w:val="2"/>
          <w:sz w:val="21"/>
          <w:szCs w:val="24"/>
          <w:highlight w:val="none"/>
          <w:lang w:val="en-US" w:eastAsia="zh-CN" w:bidi="ar-SA"/>
        </w:rPr>
      </w:pPr>
      <w:r>
        <w:rPr>
          <w:rFonts w:hint="eastAsia" w:ascii="Calibri" w:hAnsi="Calibri" w:eastAsia="宋体" w:cs="黑体"/>
          <w:color w:val="auto"/>
          <w:kern w:val="2"/>
          <w:sz w:val="21"/>
          <w:szCs w:val="24"/>
          <w:highlight w:val="none"/>
          <w:lang w:val="en-US" w:eastAsia="zh-CN" w:bidi="ar-SA"/>
        </w:rPr>
        <w:t>项目编号：深龙七医采[LGQY2026ZW007]</w:t>
      </w:r>
    </w:p>
    <w:tbl>
      <w:tblPr>
        <w:tblStyle w:val="1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55"/>
        <w:gridCol w:w="3286"/>
        <w:gridCol w:w="3024"/>
        <w:gridCol w:w="2881"/>
        <w:gridCol w:w="2323"/>
      </w:tblGrid>
      <w:tr w14:paraId="373E9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561" w:type="pct"/>
            <w:vAlign w:val="center"/>
          </w:tcPr>
          <w:p w14:paraId="2B69CE7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1266" w:type="pct"/>
            <w:vAlign w:val="center"/>
          </w:tcPr>
          <w:p w14:paraId="6998AB1B">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房屋名称</w:t>
            </w:r>
          </w:p>
        </w:tc>
        <w:tc>
          <w:tcPr>
            <w:tcW w:w="1165" w:type="pct"/>
            <w:vAlign w:val="center"/>
          </w:tcPr>
          <w:p w14:paraId="34F7F016">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建筑面积（㎡）</w:t>
            </w:r>
          </w:p>
        </w:tc>
        <w:tc>
          <w:tcPr>
            <w:tcW w:w="1110" w:type="pct"/>
            <w:vAlign w:val="center"/>
          </w:tcPr>
          <w:p w14:paraId="3651C7F7">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投标分项报价（元）</w:t>
            </w:r>
          </w:p>
        </w:tc>
        <w:tc>
          <w:tcPr>
            <w:tcW w:w="895" w:type="pct"/>
            <w:vAlign w:val="center"/>
          </w:tcPr>
          <w:p w14:paraId="3CBE5697">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合计</w:t>
            </w:r>
            <w:r>
              <w:rPr>
                <w:rFonts w:hint="eastAsia" w:ascii="宋体" w:hAnsi="宋体" w:cs="宋体"/>
                <w:b/>
                <w:i w:val="0"/>
                <w:iCs w:val="0"/>
                <w:color w:val="auto"/>
                <w:kern w:val="0"/>
                <w:sz w:val="24"/>
                <w:szCs w:val="24"/>
                <w:highlight w:val="none"/>
                <w:u w:val="none"/>
                <w:lang w:val="en-US" w:eastAsia="zh-CN" w:bidi="ar"/>
              </w:rPr>
              <w:t>（元）</w:t>
            </w:r>
          </w:p>
        </w:tc>
      </w:tr>
      <w:tr w14:paraId="11DFD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561" w:type="pct"/>
            <w:vAlign w:val="center"/>
          </w:tcPr>
          <w:p w14:paraId="7680D77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1</w:t>
            </w:r>
          </w:p>
        </w:tc>
        <w:tc>
          <w:tcPr>
            <w:tcW w:w="1266" w:type="pct"/>
            <w:vAlign w:val="center"/>
          </w:tcPr>
          <w:p w14:paraId="1E6AA22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外科楼</w:t>
            </w:r>
          </w:p>
        </w:tc>
        <w:tc>
          <w:tcPr>
            <w:tcW w:w="1165" w:type="pct"/>
            <w:vAlign w:val="center"/>
          </w:tcPr>
          <w:p w14:paraId="522092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2126.81</w:t>
            </w:r>
          </w:p>
        </w:tc>
        <w:tc>
          <w:tcPr>
            <w:tcW w:w="1110" w:type="pct"/>
            <w:vAlign w:val="center"/>
          </w:tcPr>
          <w:p w14:paraId="36CEF0C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895" w:type="pct"/>
            <w:vMerge w:val="restart"/>
            <w:vAlign w:val="center"/>
          </w:tcPr>
          <w:p w14:paraId="4939503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r>
      <w:tr w14:paraId="51679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jc w:val="center"/>
        </w:trPr>
        <w:tc>
          <w:tcPr>
            <w:tcW w:w="561" w:type="pct"/>
            <w:vAlign w:val="center"/>
          </w:tcPr>
          <w:p w14:paraId="0177591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2</w:t>
            </w:r>
          </w:p>
        </w:tc>
        <w:tc>
          <w:tcPr>
            <w:tcW w:w="1266" w:type="pct"/>
            <w:vAlign w:val="center"/>
          </w:tcPr>
          <w:p w14:paraId="260CCBD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医技楼（含连廊）</w:t>
            </w:r>
          </w:p>
        </w:tc>
        <w:tc>
          <w:tcPr>
            <w:tcW w:w="1165" w:type="pct"/>
            <w:vAlign w:val="center"/>
          </w:tcPr>
          <w:p w14:paraId="248BEF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5234.74</w:t>
            </w:r>
          </w:p>
        </w:tc>
        <w:tc>
          <w:tcPr>
            <w:tcW w:w="1110" w:type="pct"/>
            <w:vAlign w:val="center"/>
          </w:tcPr>
          <w:p w14:paraId="703700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895" w:type="pct"/>
            <w:vMerge w:val="continue"/>
            <w:vAlign w:val="center"/>
          </w:tcPr>
          <w:p w14:paraId="221E1084">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3FF0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jc w:val="center"/>
        </w:trPr>
        <w:tc>
          <w:tcPr>
            <w:tcW w:w="561" w:type="pct"/>
            <w:vAlign w:val="center"/>
          </w:tcPr>
          <w:p w14:paraId="734C437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3</w:t>
            </w:r>
          </w:p>
        </w:tc>
        <w:tc>
          <w:tcPr>
            <w:tcW w:w="1266" w:type="pct"/>
            <w:vAlign w:val="center"/>
          </w:tcPr>
          <w:p w14:paraId="6BD6F8E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附属楼</w:t>
            </w:r>
          </w:p>
        </w:tc>
        <w:tc>
          <w:tcPr>
            <w:tcW w:w="1165" w:type="pct"/>
            <w:vAlign w:val="center"/>
          </w:tcPr>
          <w:p w14:paraId="6971610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904.76</w:t>
            </w:r>
          </w:p>
        </w:tc>
        <w:tc>
          <w:tcPr>
            <w:tcW w:w="1110" w:type="pct"/>
            <w:vAlign w:val="center"/>
          </w:tcPr>
          <w:p w14:paraId="0CE4864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895" w:type="pct"/>
            <w:vMerge w:val="continue"/>
            <w:vAlign w:val="center"/>
          </w:tcPr>
          <w:p w14:paraId="71FD66C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69AD1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vAlign w:val="center"/>
          </w:tcPr>
          <w:p w14:paraId="4E37E8D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4</w:t>
            </w:r>
          </w:p>
        </w:tc>
        <w:tc>
          <w:tcPr>
            <w:tcW w:w="1266" w:type="pct"/>
            <w:vAlign w:val="top"/>
          </w:tcPr>
          <w:p w14:paraId="2714B1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综合楼</w:t>
            </w:r>
          </w:p>
        </w:tc>
        <w:tc>
          <w:tcPr>
            <w:tcW w:w="1165" w:type="pct"/>
          </w:tcPr>
          <w:p w14:paraId="1BDD22F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9028.89</w:t>
            </w:r>
          </w:p>
        </w:tc>
        <w:tc>
          <w:tcPr>
            <w:tcW w:w="1110" w:type="pct"/>
            <w:vAlign w:val="top"/>
          </w:tcPr>
          <w:p w14:paraId="44EA02F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895" w:type="pct"/>
            <w:vMerge w:val="continue"/>
            <w:vAlign w:val="top"/>
          </w:tcPr>
          <w:p w14:paraId="2FFACCA7">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bl>
    <w:p w14:paraId="77F0B8F0">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textAlignment w:val="auto"/>
        <w:rPr>
          <w:rFonts w:hint="default" w:ascii="Calibri" w:hAnsi="Calibri" w:eastAsia="宋体" w:cs="黑体"/>
          <w:color w:val="auto"/>
          <w:kern w:val="2"/>
          <w:sz w:val="21"/>
          <w:szCs w:val="24"/>
          <w:highlight w:val="none"/>
          <w:lang w:val="zh-CN" w:eastAsia="zh-CN" w:bidi="ar-SA"/>
        </w:rPr>
      </w:pPr>
    </w:p>
    <w:p w14:paraId="31B7B759">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textAlignment w:val="auto"/>
        <w:rPr>
          <w:rFonts w:hint="default" w:ascii="Calibri" w:hAnsi="Calibri" w:eastAsia="宋体" w:cs="黑体"/>
          <w:color w:val="auto"/>
          <w:kern w:val="2"/>
          <w:sz w:val="21"/>
          <w:szCs w:val="24"/>
          <w:highlight w:val="none"/>
          <w:lang w:val="zh-CN" w:eastAsia="zh-CN" w:bidi="ar-SA"/>
        </w:rPr>
      </w:pPr>
      <w:r>
        <w:rPr>
          <w:rFonts w:hint="default" w:ascii="Calibri" w:hAnsi="Calibri" w:eastAsia="宋体" w:cs="黑体"/>
          <w:color w:val="auto"/>
          <w:kern w:val="2"/>
          <w:sz w:val="21"/>
          <w:szCs w:val="24"/>
          <w:highlight w:val="none"/>
          <w:lang w:val="zh-CN" w:eastAsia="zh-CN" w:bidi="ar-SA"/>
        </w:rPr>
        <w:t>注：1.本表可按同样格式扩展。</w:t>
      </w:r>
    </w:p>
    <w:p w14:paraId="212BDC56">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440"/>
        <w:textAlignment w:val="auto"/>
        <w:rPr>
          <w:rFonts w:hint="default" w:ascii="Calibri" w:hAnsi="Calibri" w:eastAsia="宋体" w:cs="黑体"/>
          <w:color w:val="auto"/>
          <w:kern w:val="2"/>
          <w:sz w:val="21"/>
          <w:szCs w:val="24"/>
          <w:highlight w:val="none"/>
          <w:lang w:val="zh-CN" w:eastAsia="zh-CN" w:bidi="ar-SA"/>
        </w:rPr>
      </w:pPr>
      <w:r>
        <w:rPr>
          <w:rFonts w:hint="eastAsia" w:ascii="Calibri" w:hAnsi="Calibri" w:eastAsia="宋体" w:cs="黑体"/>
          <w:color w:val="auto"/>
          <w:kern w:val="2"/>
          <w:sz w:val="21"/>
          <w:szCs w:val="24"/>
          <w:highlight w:val="none"/>
          <w:lang w:val="en-US" w:eastAsia="zh-CN" w:bidi="ar-SA"/>
        </w:rPr>
        <w:t>2</w:t>
      </w:r>
      <w:r>
        <w:rPr>
          <w:rFonts w:hint="default" w:ascii="Calibri" w:hAnsi="Calibri" w:eastAsia="宋体" w:cs="黑体"/>
          <w:color w:val="auto"/>
          <w:kern w:val="2"/>
          <w:sz w:val="21"/>
          <w:szCs w:val="24"/>
          <w:highlight w:val="none"/>
          <w:lang w:val="zh-CN" w:eastAsia="zh-CN" w:bidi="ar-SA"/>
        </w:rPr>
        <w:t>.以上分项报价表的投标总价应当与开标一览表的投标总价一致。单价、合价和投标总价为包干价，即三者均应包含</w:t>
      </w:r>
      <w:r>
        <w:rPr>
          <w:rFonts w:hint="eastAsia" w:ascii="Calibri" w:hAnsi="Calibri" w:eastAsia="宋体" w:cs="黑体"/>
          <w:color w:val="auto"/>
          <w:kern w:val="2"/>
          <w:sz w:val="21"/>
          <w:szCs w:val="24"/>
          <w:highlight w:val="none"/>
          <w:lang w:val="zh-CN" w:eastAsia="zh-CN" w:bidi="ar-SA"/>
        </w:rPr>
        <w:t>检测费、验算费、报告编制费、人工费、设备费、交通费、税金等为完成本项目所需的一切费用。</w:t>
      </w:r>
    </w:p>
    <w:p w14:paraId="5554EAD2">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440"/>
        <w:textAlignment w:val="auto"/>
        <w:rPr>
          <w:rFonts w:hint="default" w:ascii="Calibri" w:hAnsi="Calibri" w:eastAsia="宋体" w:cs="黑体"/>
          <w:color w:val="auto"/>
          <w:kern w:val="2"/>
          <w:sz w:val="21"/>
          <w:szCs w:val="24"/>
          <w:highlight w:val="none"/>
          <w:lang w:val="zh-CN" w:eastAsia="zh-CN" w:bidi="ar-SA"/>
        </w:rPr>
      </w:pPr>
      <w:r>
        <w:rPr>
          <w:rFonts w:hint="eastAsia" w:ascii="Calibri" w:hAnsi="Calibri" w:eastAsia="宋体" w:cs="黑体"/>
          <w:color w:val="auto"/>
          <w:kern w:val="2"/>
          <w:sz w:val="21"/>
          <w:szCs w:val="24"/>
          <w:highlight w:val="none"/>
          <w:lang w:val="en-US" w:eastAsia="zh-CN" w:bidi="ar-SA"/>
        </w:rPr>
        <w:t>3.</w:t>
      </w:r>
      <w:r>
        <w:rPr>
          <w:rFonts w:hint="default" w:ascii="Calibri" w:hAnsi="Calibri" w:eastAsia="宋体" w:cs="黑体"/>
          <w:color w:val="auto"/>
          <w:kern w:val="2"/>
          <w:sz w:val="21"/>
          <w:szCs w:val="24"/>
          <w:highlight w:val="none"/>
          <w:lang w:val="zh-CN" w:eastAsia="zh-CN" w:bidi="ar-SA"/>
        </w:rPr>
        <w:t>本项目预算金额为人民币</w:t>
      </w:r>
      <w:r>
        <w:rPr>
          <w:rFonts w:hint="eastAsia" w:ascii="Calibri" w:hAnsi="Calibri" w:eastAsia="宋体" w:cs="黑体"/>
          <w:color w:val="auto"/>
          <w:kern w:val="2"/>
          <w:sz w:val="21"/>
          <w:szCs w:val="24"/>
          <w:highlight w:val="none"/>
          <w:lang w:val="en-US" w:eastAsia="zh-CN" w:bidi="ar-SA"/>
        </w:rPr>
        <w:t>10.5万</w:t>
      </w:r>
      <w:r>
        <w:rPr>
          <w:rFonts w:hint="default" w:ascii="Calibri" w:hAnsi="Calibri" w:eastAsia="宋体" w:cs="黑体"/>
          <w:color w:val="auto"/>
          <w:kern w:val="2"/>
          <w:sz w:val="21"/>
          <w:szCs w:val="24"/>
          <w:highlight w:val="none"/>
          <w:lang w:val="zh-CN" w:eastAsia="zh-CN" w:bidi="ar-SA"/>
        </w:rPr>
        <w:t>元，最高限价为人民币</w:t>
      </w:r>
      <w:r>
        <w:rPr>
          <w:rFonts w:hint="eastAsia" w:ascii="Calibri" w:hAnsi="Calibri" w:eastAsia="宋体" w:cs="黑体"/>
          <w:color w:val="auto"/>
          <w:kern w:val="2"/>
          <w:sz w:val="21"/>
          <w:szCs w:val="24"/>
          <w:highlight w:val="none"/>
          <w:lang w:val="en-US" w:eastAsia="zh-CN" w:bidi="ar-SA"/>
        </w:rPr>
        <w:t>10.5万</w:t>
      </w:r>
      <w:r>
        <w:rPr>
          <w:rFonts w:hint="default" w:ascii="Calibri" w:hAnsi="Calibri" w:eastAsia="宋体" w:cs="黑体"/>
          <w:color w:val="auto"/>
          <w:kern w:val="2"/>
          <w:sz w:val="21"/>
          <w:szCs w:val="24"/>
          <w:highlight w:val="none"/>
          <w:lang w:val="zh-CN" w:eastAsia="zh-CN" w:bidi="ar-SA"/>
        </w:rPr>
        <w:t>元，超出最高限价</w:t>
      </w:r>
      <w:r>
        <w:rPr>
          <w:rFonts w:hint="eastAsia" w:ascii="Calibri" w:hAnsi="Calibri" w:eastAsia="宋体" w:cs="黑体"/>
          <w:color w:val="auto"/>
          <w:kern w:val="2"/>
          <w:sz w:val="21"/>
          <w:szCs w:val="24"/>
          <w:highlight w:val="none"/>
          <w:lang w:val="en-US" w:eastAsia="zh-CN" w:bidi="ar-SA"/>
        </w:rPr>
        <w:t>或</w:t>
      </w:r>
      <w:r>
        <w:rPr>
          <w:rFonts w:hint="default" w:ascii="Calibri" w:hAnsi="Calibri" w:eastAsia="宋体" w:cs="黑体"/>
          <w:color w:val="auto"/>
          <w:kern w:val="2"/>
          <w:sz w:val="21"/>
          <w:szCs w:val="24"/>
          <w:highlight w:val="none"/>
          <w:lang w:val="zh-CN" w:eastAsia="zh-CN" w:bidi="ar-SA"/>
        </w:rPr>
        <w:t>单价限价的投标将导致投标无效。</w:t>
      </w:r>
    </w:p>
    <w:p w14:paraId="5044E36C">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Calibri" w:hAnsi="Calibri" w:eastAsia="宋体" w:cs="黑体"/>
          <w:color w:val="auto"/>
          <w:kern w:val="2"/>
          <w:sz w:val="21"/>
          <w:szCs w:val="24"/>
          <w:highlight w:val="none"/>
          <w:lang w:val="zh-CN" w:eastAsia="zh-CN" w:bidi="ar-SA"/>
        </w:rPr>
      </w:pPr>
    </w:p>
    <w:p w14:paraId="0C68C58D">
      <w:pPr>
        <w:pStyle w:val="6"/>
        <w:rPr>
          <w:rFonts w:hint="default" w:ascii="Calibri" w:hAnsi="Calibri" w:eastAsia="宋体" w:cs="黑体"/>
          <w:color w:val="auto"/>
          <w:kern w:val="2"/>
          <w:sz w:val="21"/>
          <w:szCs w:val="24"/>
          <w:highlight w:val="none"/>
          <w:lang w:val="zh-CN" w:eastAsia="zh-CN" w:bidi="ar-SA"/>
        </w:rPr>
      </w:pPr>
    </w:p>
    <w:p w14:paraId="4EE08B03">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Calibri" w:hAnsi="Calibri" w:eastAsia="宋体" w:cs="黑体"/>
          <w:color w:val="auto"/>
          <w:kern w:val="2"/>
          <w:sz w:val="21"/>
          <w:szCs w:val="24"/>
          <w:highlight w:val="none"/>
          <w:lang w:val="en-US" w:eastAsia="zh-CN" w:bidi="ar-SA"/>
        </w:rPr>
      </w:pPr>
      <w:r>
        <w:rPr>
          <w:rFonts w:hint="default" w:ascii="Calibri" w:hAnsi="Calibri" w:eastAsia="宋体" w:cs="黑体"/>
          <w:color w:val="auto"/>
          <w:kern w:val="2"/>
          <w:sz w:val="21"/>
          <w:szCs w:val="24"/>
          <w:highlight w:val="none"/>
          <w:lang w:val="zh-CN" w:eastAsia="zh-CN" w:bidi="ar-SA"/>
        </w:rPr>
        <w:t>法定代表人（</w:t>
      </w:r>
      <w:r>
        <w:rPr>
          <w:rFonts w:hint="default" w:ascii="Calibri" w:hAnsi="Calibri" w:eastAsia="宋体" w:cs="黑体"/>
          <w:color w:val="auto"/>
          <w:kern w:val="2"/>
          <w:sz w:val="21"/>
          <w:szCs w:val="24"/>
          <w:highlight w:val="none"/>
          <w:lang w:val="en-US" w:eastAsia="zh-CN" w:bidi="ar-SA"/>
        </w:rPr>
        <w:t>单位负责人</w:t>
      </w:r>
      <w:r>
        <w:rPr>
          <w:rFonts w:hint="default" w:ascii="Calibri" w:hAnsi="Calibri" w:eastAsia="宋体" w:cs="黑体"/>
          <w:color w:val="auto"/>
          <w:kern w:val="2"/>
          <w:sz w:val="21"/>
          <w:szCs w:val="24"/>
          <w:highlight w:val="none"/>
          <w:lang w:val="zh-CN" w:eastAsia="zh-CN" w:bidi="ar-SA"/>
        </w:rPr>
        <w:t>）或其授权代表（签字</w:t>
      </w:r>
      <w:r>
        <w:rPr>
          <w:rFonts w:hint="default" w:ascii="Calibri" w:hAnsi="Calibri" w:eastAsia="宋体" w:cs="黑体"/>
          <w:color w:val="auto"/>
          <w:kern w:val="2"/>
          <w:sz w:val="21"/>
          <w:szCs w:val="24"/>
          <w:highlight w:val="none"/>
          <w:lang w:val="en-US" w:eastAsia="zh-CN" w:bidi="ar-SA"/>
        </w:rPr>
        <w:t>或盖章</w:t>
      </w:r>
      <w:r>
        <w:rPr>
          <w:rFonts w:hint="default" w:ascii="Calibri" w:hAnsi="Calibri" w:eastAsia="宋体" w:cs="黑体"/>
          <w:color w:val="auto"/>
          <w:kern w:val="2"/>
          <w:sz w:val="21"/>
          <w:szCs w:val="24"/>
          <w:highlight w:val="none"/>
          <w:lang w:val="zh-CN" w:eastAsia="zh-CN" w:bidi="ar-SA"/>
        </w:rPr>
        <w:t>）</w:t>
      </w:r>
      <w:r>
        <w:rPr>
          <w:rFonts w:hint="default" w:ascii="Calibri" w:hAnsi="Calibri" w:eastAsia="宋体" w:cs="黑体"/>
          <w:color w:val="auto"/>
          <w:kern w:val="2"/>
          <w:sz w:val="21"/>
          <w:szCs w:val="24"/>
          <w:highlight w:val="none"/>
          <w:lang w:val="en-US" w:eastAsia="zh-CN" w:bidi="ar-SA"/>
        </w:rPr>
        <w:t xml:space="preserve">：                   </w:t>
      </w:r>
    </w:p>
    <w:p w14:paraId="357378B0">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Calibri" w:hAnsi="Calibri" w:eastAsia="宋体" w:cs="黑体"/>
          <w:color w:val="auto"/>
          <w:kern w:val="2"/>
          <w:sz w:val="21"/>
          <w:szCs w:val="24"/>
          <w:highlight w:val="none"/>
          <w:lang w:val="en-US" w:eastAsia="zh-CN" w:bidi="ar-SA"/>
        </w:rPr>
      </w:pPr>
      <w:r>
        <w:rPr>
          <w:rFonts w:hint="default" w:ascii="Calibri" w:hAnsi="Calibri" w:eastAsia="宋体" w:cs="黑体"/>
          <w:color w:val="auto"/>
          <w:kern w:val="2"/>
          <w:sz w:val="21"/>
          <w:szCs w:val="24"/>
          <w:highlight w:val="none"/>
          <w:lang w:val="en-US" w:eastAsia="zh-CN" w:bidi="ar-SA"/>
        </w:rPr>
        <w:t xml:space="preserve">投标人名称（盖章）：                        </w:t>
      </w:r>
    </w:p>
    <w:p w14:paraId="5323F8B0">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eastAsia" w:ascii="Calibri" w:hAnsi="Calibri" w:eastAsia="宋体" w:cs="黑体"/>
          <w:color w:val="auto"/>
          <w:kern w:val="2"/>
          <w:sz w:val="21"/>
          <w:szCs w:val="24"/>
          <w:highlight w:val="none"/>
          <w:lang w:val="en-US" w:eastAsia="zh-CN" w:bidi="ar-SA"/>
        </w:rPr>
      </w:pPr>
      <w:r>
        <w:rPr>
          <w:rFonts w:hint="default" w:ascii="Calibri" w:hAnsi="Calibri" w:eastAsia="宋体" w:cs="黑体"/>
          <w:color w:val="auto"/>
          <w:kern w:val="2"/>
          <w:sz w:val="21"/>
          <w:szCs w:val="24"/>
          <w:highlight w:val="none"/>
          <w:lang w:val="en-US" w:eastAsia="zh-CN" w:bidi="ar-SA"/>
        </w:rPr>
        <w:t>日期：   年   月   日</w:t>
      </w:r>
    </w:p>
    <w:p w14:paraId="3302BFA7">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521D8590">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7DAA7859">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776B1556">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1932FE0C">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7223"/>
        <w:gridCol w:w="2581"/>
        <w:gridCol w:w="1193"/>
        <w:gridCol w:w="1215"/>
      </w:tblGrid>
      <w:tr w14:paraId="3701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14:paraId="5C391EBD">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784" w:type="pct"/>
            <w:vAlign w:val="center"/>
          </w:tcPr>
          <w:p w14:paraId="4EE397E9">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95" w:type="pct"/>
            <w:vAlign w:val="center"/>
          </w:tcPr>
          <w:p w14:paraId="05610D1E">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460" w:type="pct"/>
            <w:vAlign w:val="center"/>
          </w:tcPr>
          <w:p w14:paraId="6B3885A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468" w:type="pct"/>
            <w:vAlign w:val="center"/>
          </w:tcPr>
          <w:p w14:paraId="098A7146">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14:paraId="7120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5865E9F9">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eastAsia="宋体" w:cs="仿宋_GB2312"/>
                <w:color w:val="auto"/>
                <w:kern w:val="2"/>
                <w:sz w:val="24"/>
                <w:szCs w:val="32"/>
                <w:highlight w:val="none"/>
                <w:vertAlign w:val="baseline"/>
                <w:lang w:val="en-US" w:eastAsia="zh-CN" w:bidi="ar-SA"/>
              </w:rPr>
              <w:t>1</w:t>
            </w:r>
          </w:p>
        </w:tc>
        <w:tc>
          <w:tcPr>
            <w:tcW w:w="2784" w:type="pct"/>
            <w:vAlign w:val="center"/>
          </w:tcPr>
          <w:p w14:paraId="343BAC3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val="en-US" w:eastAsia="zh-CN"/>
              </w:rPr>
              <w:t>★1.服务期限：自合同签订之日起40日（日历日）内完成全部现场检测、评估并出具正式检测鉴定报告，完成全部服务并提交全部成果资料。（日历日为自然天，包括双休日及法定节假日，不等同于工作日；投标文件中的交货期条款为不可负偏离条款，若投标文件中响应的服务期超过招标文件规定期限时，其投标文件按投标无效处理。）</w:t>
            </w:r>
          </w:p>
        </w:tc>
        <w:tc>
          <w:tcPr>
            <w:tcW w:w="995" w:type="pct"/>
          </w:tcPr>
          <w:p w14:paraId="56277ABA">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306E12A2">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06DBA043">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0D61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513D4923">
            <w:pPr>
              <w:widowControl/>
              <w:spacing w:line="560" w:lineRule="exact"/>
              <w:jc w:val="center"/>
              <w:textAlignment w:val="center"/>
              <w:rPr>
                <w:rFonts w:hint="eastAsia"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2</w:t>
            </w:r>
          </w:p>
        </w:tc>
        <w:tc>
          <w:tcPr>
            <w:tcW w:w="2784" w:type="pct"/>
            <w:vAlign w:val="center"/>
          </w:tcPr>
          <w:p w14:paraId="637E8A8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val="en-US" w:eastAsia="zh-CN"/>
              </w:rPr>
              <w:t>★4.报价要求：人民币报价，精确到小数点后两位。投标报价总额上限为10.5万元，投标人应结合项目需求、市场行情及企业自身因素，自行填报投标总价。报价应包括检测费、验算费、报告编制费、人工费、设备费、交通费、税金等为完成本项目所需的一切费用。</w:t>
            </w:r>
          </w:p>
        </w:tc>
        <w:tc>
          <w:tcPr>
            <w:tcW w:w="995" w:type="pct"/>
          </w:tcPr>
          <w:p w14:paraId="18DCE626">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20F86A7D">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10FE90A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14:paraId="2D2E663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14:paraId="0D0BFD27">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14:paraId="230B0FCE">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7068D31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14:paraId="0BFF45E0">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14:paraId="49777D7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14:paraId="00AFDC5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p>
    <w:p w14:paraId="497152AA">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p>
    <w:p w14:paraId="112B88AE">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5B5E6975">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32B9F60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7360A53E">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14:paraId="5AD9E5AD">
      <w:pPr>
        <w:widowControl/>
        <w:ind w:firstLine="4859" w:firstLineChars="1100"/>
        <w:jc w:val="both"/>
        <w:textAlignment w:val="center"/>
        <w:rPr>
          <w:rFonts w:ascii="仿宋" w:hAnsi="仿宋" w:eastAsia="仿宋" w:cs="仿宋"/>
          <w:b/>
          <w:color w:val="000000"/>
          <w:kern w:val="0"/>
          <w:sz w:val="44"/>
          <w:szCs w:val="44"/>
        </w:rPr>
      </w:pPr>
      <w:r>
        <w:rPr>
          <w:rFonts w:hint="eastAsia" w:ascii="仿宋" w:hAnsi="仿宋" w:eastAsia="仿宋" w:cs="仿宋"/>
          <w:b/>
          <w:color w:val="000000"/>
          <w:kern w:val="0"/>
          <w:sz w:val="44"/>
          <w:szCs w:val="44"/>
        </w:rPr>
        <w:t>服务条款偏离表</w:t>
      </w:r>
    </w:p>
    <w:tbl>
      <w:tblPr>
        <w:tblStyle w:val="19"/>
        <w:tblW w:w="5102" w:type="pct"/>
        <w:jc w:val="center"/>
        <w:tblLayout w:type="autofit"/>
        <w:tblCellMar>
          <w:top w:w="0" w:type="dxa"/>
          <w:left w:w="108" w:type="dxa"/>
          <w:bottom w:w="0" w:type="dxa"/>
          <w:right w:w="108" w:type="dxa"/>
        </w:tblCellMar>
      </w:tblPr>
      <w:tblGrid>
        <w:gridCol w:w="911"/>
        <w:gridCol w:w="5056"/>
        <w:gridCol w:w="3914"/>
        <w:gridCol w:w="1867"/>
        <w:gridCol w:w="1489"/>
      </w:tblGrid>
      <w:tr w14:paraId="398A273C">
        <w:tblPrEx>
          <w:tblCellMar>
            <w:top w:w="0" w:type="dxa"/>
            <w:left w:w="108" w:type="dxa"/>
            <w:bottom w:w="0" w:type="dxa"/>
            <w:right w:w="108" w:type="dxa"/>
          </w:tblCellMar>
        </w:tblPrEx>
        <w:trPr>
          <w:trHeight w:val="510" w:hRule="atLeast"/>
          <w:jc w:val="center"/>
        </w:trPr>
        <w:tc>
          <w:tcPr>
            <w:tcW w:w="344" w:type="pct"/>
            <w:tcBorders>
              <w:top w:val="single" w:color="auto" w:sz="8" w:space="0"/>
              <w:left w:val="single" w:color="auto" w:sz="8" w:space="0"/>
              <w:bottom w:val="single" w:color="auto" w:sz="8" w:space="0"/>
              <w:right w:val="single" w:color="auto" w:sz="8" w:space="0"/>
            </w:tcBorders>
            <w:vAlign w:val="center"/>
          </w:tcPr>
          <w:p w14:paraId="3AC741CD">
            <w:pPr>
              <w:widowControl/>
              <w:adjustRightInd w:val="0"/>
              <w:snapToGrid w:val="0"/>
              <w:spacing w:line="360" w:lineRule="auto"/>
              <w:jc w:val="center"/>
              <w:rPr>
                <w:rFonts w:asciiTheme="minorEastAsia" w:hAnsiTheme="minorEastAsia" w:eastAsiaTheme="minorEastAsia" w:cstheme="minorEastAsia"/>
                <w:b/>
                <w:bCs/>
                <w:kern w:val="0"/>
                <w:sz w:val="22"/>
              </w:rPr>
            </w:pPr>
            <w:r>
              <w:rPr>
                <w:rFonts w:hint="eastAsia" w:asciiTheme="minorEastAsia" w:hAnsiTheme="minorEastAsia" w:eastAsiaTheme="minorEastAsia" w:cstheme="minorEastAsia"/>
                <w:b/>
                <w:bCs/>
                <w:kern w:val="0"/>
                <w:sz w:val="22"/>
              </w:rPr>
              <w:t>序号</w:t>
            </w:r>
          </w:p>
        </w:tc>
        <w:tc>
          <w:tcPr>
            <w:tcW w:w="1909" w:type="pct"/>
            <w:tcBorders>
              <w:top w:val="single" w:color="auto" w:sz="8" w:space="0"/>
              <w:left w:val="single" w:color="auto" w:sz="8" w:space="0"/>
              <w:bottom w:val="single" w:color="auto" w:sz="8" w:space="0"/>
              <w:right w:val="single" w:color="auto" w:sz="8" w:space="0"/>
            </w:tcBorders>
            <w:vAlign w:val="center"/>
          </w:tcPr>
          <w:p w14:paraId="6C931A71">
            <w:pPr>
              <w:widowControl/>
              <w:adjustRightInd w:val="0"/>
              <w:snapToGrid w:val="0"/>
              <w:spacing w:line="360" w:lineRule="auto"/>
              <w:ind w:firstLine="442" w:firstLineChars="200"/>
              <w:jc w:val="center"/>
              <w:rPr>
                <w:rFonts w:asciiTheme="minorEastAsia" w:hAnsiTheme="minorEastAsia" w:eastAsiaTheme="minorEastAsia" w:cstheme="minorEastAsia"/>
                <w:b/>
                <w:bCs/>
                <w:kern w:val="0"/>
                <w:sz w:val="22"/>
              </w:rPr>
            </w:pPr>
            <w:r>
              <w:rPr>
                <w:rFonts w:hint="eastAsia" w:asciiTheme="minorEastAsia" w:hAnsiTheme="minorEastAsia" w:eastAsiaTheme="minorEastAsia" w:cstheme="minorEastAsia"/>
                <w:b/>
                <w:bCs/>
                <w:kern w:val="0"/>
                <w:sz w:val="22"/>
              </w:rPr>
              <w:t>招标服务条款</w:t>
            </w:r>
          </w:p>
        </w:tc>
        <w:tc>
          <w:tcPr>
            <w:tcW w:w="1478" w:type="pct"/>
            <w:tcBorders>
              <w:top w:val="single" w:color="auto" w:sz="8" w:space="0"/>
              <w:left w:val="single" w:color="auto" w:sz="8" w:space="0"/>
              <w:bottom w:val="single" w:color="auto" w:sz="8" w:space="0"/>
              <w:right w:val="single" w:color="auto" w:sz="8" w:space="0"/>
            </w:tcBorders>
            <w:vAlign w:val="center"/>
          </w:tcPr>
          <w:p w14:paraId="460198BA">
            <w:pPr>
              <w:adjustRightInd w:val="0"/>
              <w:snapToGrid w:val="0"/>
              <w:spacing w:line="360" w:lineRule="auto"/>
              <w:ind w:firstLine="422" w:firstLineChars="200"/>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投标</w:t>
            </w:r>
            <w:r>
              <w:rPr>
                <w:rFonts w:hint="eastAsia" w:asciiTheme="minorEastAsia" w:hAnsiTheme="minorEastAsia" w:eastAsiaTheme="minorEastAsia" w:cstheme="minorEastAsia"/>
                <w:b/>
                <w:szCs w:val="21"/>
                <w:lang w:val="en-US" w:eastAsia="zh-CN"/>
              </w:rPr>
              <w:t>文件服务</w:t>
            </w:r>
            <w:r>
              <w:rPr>
                <w:rFonts w:hint="eastAsia" w:asciiTheme="minorEastAsia" w:hAnsiTheme="minorEastAsia" w:eastAsiaTheme="minorEastAsia" w:cstheme="minorEastAsia"/>
                <w:b/>
                <w:szCs w:val="21"/>
              </w:rPr>
              <w:t>响应</w:t>
            </w:r>
          </w:p>
        </w:tc>
        <w:tc>
          <w:tcPr>
            <w:tcW w:w="705" w:type="pct"/>
            <w:tcBorders>
              <w:top w:val="single" w:color="auto" w:sz="8" w:space="0"/>
              <w:left w:val="single" w:color="auto" w:sz="8" w:space="0"/>
              <w:bottom w:val="single" w:color="auto" w:sz="8" w:space="0"/>
              <w:right w:val="single" w:color="auto" w:sz="8" w:space="0"/>
            </w:tcBorders>
            <w:vAlign w:val="center"/>
          </w:tcPr>
          <w:p w14:paraId="64A98FC1">
            <w:pPr>
              <w:adjustRightInd w:val="0"/>
              <w:snapToGrid w:val="0"/>
              <w:spacing w:line="360" w:lineRule="auto"/>
              <w:ind w:firstLine="422" w:firstLineChars="200"/>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偏离情况</w:t>
            </w:r>
          </w:p>
        </w:tc>
        <w:tc>
          <w:tcPr>
            <w:tcW w:w="562" w:type="pct"/>
            <w:tcBorders>
              <w:top w:val="single" w:color="auto" w:sz="8" w:space="0"/>
              <w:left w:val="single" w:color="auto" w:sz="8" w:space="0"/>
              <w:bottom w:val="single" w:color="auto" w:sz="8" w:space="0"/>
              <w:right w:val="single" w:color="auto" w:sz="8" w:space="0"/>
            </w:tcBorders>
            <w:vAlign w:val="center"/>
          </w:tcPr>
          <w:p w14:paraId="04795219">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说明或佐证材料页码</w:t>
            </w:r>
          </w:p>
        </w:tc>
      </w:tr>
      <w:tr w14:paraId="1A69AD32">
        <w:tblPrEx>
          <w:tblCellMar>
            <w:top w:w="0" w:type="dxa"/>
            <w:left w:w="108" w:type="dxa"/>
            <w:bottom w:w="0" w:type="dxa"/>
            <w:right w:w="108" w:type="dxa"/>
          </w:tblCellMar>
        </w:tblPrEx>
        <w:trPr>
          <w:trHeight w:val="397" w:hRule="atLeast"/>
          <w:jc w:val="center"/>
        </w:trPr>
        <w:tc>
          <w:tcPr>
            <w:tcW w:w="344" w:type="pct"/>
            <w:tcBorders>
              <w:top w:val="single" w:color="auto" w:sz="8" w:space="0"/>
              <w:left w:val="single" w:color="auto" w:sz="8" w:space="0"/>
              <w:bottom w:val="single" w:color="auto" w:sz="8" w:space="0"/>
              <w:right w:val="single" w:color="auto" w:sz="8" w:space="0"/>
            </w:tcBorders>
            <w:vAlign w:val="center"/>
          </w:tcPr>
          <w:p w14:paraId="29893951">
            <w:pPr>
              <w:spacing w:line="500" w:lineRule="exact"/>
              <w:jc w:val="center"/>
              <w:rPr>
                <w:rFonts w:hint="eastAsia" w:ascii="宋体" w:hAnsi="Calibri" w:eastAsia="宋体" w:cs="宋体"/>
                <w:color w:val="auto"/>
                <w:kern w:val="0"/>
                <w:sz w:val="21"/>
                <w:szCs w:val="21"/>
                <w:highlight w:val="none"/>
                <w:lang w:val="en-US" w:eastAsia="zh-CN" w:bidi="ar-SA"/>
              </w:rPr>
            </w:pPr>
            <w:r>
              <w:rPr>
                <w:rFonts w:hint="eastAsia" w:ascii="宋体" w:hAnsi="Calibri" w:eastAsia="宋体" w:cs="宋体"/>
                <w:color w:val="auto"/>
                <w:kern w:val="0"/>
                <w:sz w:val="21"/>
                <w:szCs w:val="21"/>
                <w:highlight w:val="none"/>
                <w:lang w:val="en-US" w:eastAsia="zh-CN" w:bidi="ar-SA"/>
              </w:rPr>
              <w:t>1</w:t>
            </w:r>
          </w:p>
        </w:tc>
        <w:tc>
          <w:tcPr>
            <w:tcW w:w="1909" w:type="pct"/>
            <w:tcBorders>
              <w:top w:val="single" w:color="auto" w:sz="8" w:space="0"/>
              <w:left w:val="nil"/>
              <w:bottom w:val="single" w:color="auto" w:sz="8" w:space="0"/>
              <w:right w:val="single" w:color="auto" w:sz="8" w:space="0"/>
            </w:tcBorders>
            <w:vAlign w:val="center"/>
          </w:tcPr>
          <w:p w14:paraId="0F09297A">
            <w:pPr>
              <w:pStyle w:val="26"/>
              <w:keepNext w:val="0"/>
              <w:keepLines w:val="0"/>
              <w:pageBreakBefore w:val="0"/>
              <w:kinsoku/>
              <w:wordWrap/>
              <w:overflowPunct/>
              <w:topLinePunct w:val="0"/>
              <w:autoSpaceDE/>
              <w:autoSpaceDN/>
              <w:bidi w:val="0"/>
              <w:adjustRightInd/>
              <w:snapToGrid/>
              <w:ind w:left="0" w:leftChars="0" w:firstLine="0" w:firstLineChars="0"/>
              <w:textAlignment w:val="auto"/>
              <w:rPr>
                <w:rFonts w:hint="default" w:ascii="宋体" w:hAnsi="Calibri" w:eastAsia="宋体" w:cs="宋体"/>
                <w:color w:val="auto"/>
                <w:kern w:val="0"/>
                <w:sz w:val="21"/>
                <w:szCs w:val="21"/>
                <w:highlight w:val="none"/>
                <w:lang w:val="en-US" w:eastAsia="zh-CN" w:bidi="ar-SA"/>
              </w:rPr>
            </w:pPr>
            <w:r>
              <w:rPr>
                <w:rFonts w:hint="eastAsia" w:ascii="宋体" w:hAnsi="Calibri" w:eastAsia="宋体" w:cs="宋体"/>
                <w:color w:val="auto"/>
                <w:kern w:val="0"/>
                <w:sz w:val="21"/>
                <w:szCs w:val="21"/>
                <w:highlight w:val="none"/>
                <w:lang w:val="en-US" w:eastAsia="zh-CN" w:bidi="ar-SA"/>
              </w:rPr>
              <w:t>招标文件“第二章  院内公开采购项目需求”中的“第六点 服务内容及要求”（一）至（三）所有条款</w:t>
            </w:r>
          </w:p>
        </w:tc>
        <w:tc>
          <w:tcPr>
            <w:tcW w:w="1478" w:type="pct"/>
            <w:tcBorders>
              <w:top w:val="single" w:color="auto" w:sz="8" w:space="0"/>
              <w:left w:val="nil"/>
              <w:bottom w:val="single" w:color="auto" w:sz="8" w:space="0"/>
              <w:right w:val="single" w:color="auto" w:sz="8" w:space="0"/>
            </w:tcBorders>
            <w:vAlign w:val="center"/>
          </w:tcPr>
          <w:p w14:paraId="136042FB">
            <w:pPr>
              <w:spacing w:line="500" w:lineRule="exact"/>
              <w:jc w:val="center"/>
              <w:rPr>
                <w:rFonts w:hint="eastAsia" w:ascii="宋体" w:hAnsi="Calibri" w:eastAsia="宋体" w:cs="宋体"/>
                <w:color w:val="auto"/>
                <w:kern w:val="0"/>
                <w:sz w:val="21"/>
                <w:szCs w:val="21"/>
                <w:highlight w:val="none"/>
                <w:lang w:val="en-US" w:eastAsia="zh-CN" w:bidi="ar-SA"/>
              </w:rPr>
            </w:pPr>
          </w:p>
        </w:tc>
        <w:tc>
          <w:tcPr>
            <w:tcW w:w="705" w:type="pct"/>
            <w:tcBorders>
              <w:top w:val="single" w:color="auto" w:sz="8" w:space="0"/>
              <w:left w:val="nil"/>
              <w:bottom w:val="single" w:color="auto" w:sz="8" w:space="0"/>
              <w:right w:val="single" w:color="auto" w:sz="8" w:space="0"/>
            </w:tcBorders>
            <w:vAlign w:val="center"/>
          </w:tcPr>
          <w:p w14:paraId="14CA868F">
            <w:pPr>
              <w:spacing w:line="500" w:lineRule="exact"/>
              <w:jc w:val="center"/>
              <w:rPr>
                <w:rFonts w:hint="eastAsia" w:ascii="宋体" w:hAnsi="Calibri" w:eastAsia="宋体" w:cs="宋体"/>
                <w:color w:val="auto"/>
                <w:kern w:val="0"/>
                <w:sz w:val="21"/>
                <w:szCs w:val="21"/>
                <w:highlight w:val="none"/>
                <w:lang w:val="en-US" w:eastAsia="zh-CN" w:bidi="ar-SA"/>
              </w:rPr>
            </w:pPr>
            <w:r>
              <w:rPr>
                <w:rFonts w:hint="eastAsia" w:ascii="宋体" w:hAnsi="Calibri" w:eastAsia="宋体" w:cs="宋体"/>
                <w:color w:val="auto"/>
                <w:kern w:val="0"/>
                <w:sz w:val="21"/>
                <w:szCs w:val="21"/>
                <w:highlight w:val="none"/>
                <w:lang w:val="en-US" w:eastAsia="zh-CN" w:bidi="ar-SA"/>
              </w:rPr>
              <w:t>填“无偏离”</w:t>
            </w:r>
          </w:p>
          <w:p w14:paraId="3B7440A2">
            <w:pPr>
              <w:spacing w:line="500" w:lineRule="exact"/>
              <w:jc w:val="center"/>
              <w:rPr>
                <w:rFonts w:hint="eastAsia" w:ascii="宋体" w:hAnsi="Calibri" w:eastAsia="宋体" w:cs="宋体"/>
                <w:color w:val="auto"/>
                <w:kern w:val="0"/>
                <w:sz w:val="21"/>
                <w:szCs w:val="21"/>
                <w:highlight w:val="none"/>
                <w:lang w:val="en-US" w:eastAsia="zh-CN" w:bidi="ar-SA"/>
              </w:rPr>
            </w:pPr>
            <w:r>
              <w:rPr>
                <w:rFonts w:hint="eastAsia" w:ascii="宋体" w:hAnsi="Calibri" w:eastAsia="宋体" w:cs="宋体"/>
                <w:color w:val="auto"/>
                <w:kern w:val="0"/>
                <w:sz w:val="21"/>
                <w:szCs w:val="21"/>
                <w:highlight w:val="none"/>
                <w:lang w:val="en-US" w:eastAsia="zh-CN" w:bidi="ar-SA"/>
              </w:rPr>
              <w:t>或“正偏离”</w:t>
            </w:r>
          </w:p>
          <w:p w14:paraId="3C2E2216">
            <w:pPr>
              <w:spacing w:line="500" w:lineRule="exact"/>
              <w:jc w:val="center"/>
              <w:rPr>
                <w:rFonts w:hint="eastAsia" w:ascii="宋体" w:hAnsi="Calibri" w:eastAsia="宋体" w:cs="宋体"/>
                <w:color w:val="auto"/>
                <w:kern w:val="0"/>
                <w:sz w:val="21"/>
                <w:szCs w:val="21"/>
                <w:highlight w:val="none"/>
                <w:lang w:val="en-US" w:eastAsia="zh-CN" w:bidi="ar-SA"/>
              </w:rPr>
            </w:pPr>
            <w:r>
              <w:rPr>
                <w:rFonts w:hint="eastAsia" w:ascii="宋体" w:hAnsi="Calibri" w:eastAsia="宋体" w:cs="宋体"/>
                <w:color w:val="auto"/>
                <w:kern w:val="0"/>
                <w:sz w:val="21"/>
                <w:szCs w:val="21"/>
                <w:highlight w:val="none"/>
                <w:lang w:val="en-US" w:eastAsia="zh-CN" w:bidi="ar-SA"/>
              </w:rPr>
              <w:t>或“负偏离”</w:t>
            </w:r>
          </w:p>
        </w:tc>
        <w:tc>
          <w:tcPr>
            <w:tcW w:w="562" w:type="pct"/>
            <w:tcBorders>
              <w:top w:val="single" w:color="auto" w:sz="8" w:space="0"/>
              <w:left w:val="nil"/>
              <w:bottom w:val="single" w:color="auto" w:sz="8" w:space="0"/>
              <w:right w:val="single" w:color="auto" w:sz="8" w:space="0"/>
            </w:tcBorders>
            <w:vAlign w:val="center"/>
          </w:tcPr>
          <w:p w14:paraId="26A83ED4">
            <w:pPr>
              <w:spacing w:line="500" w:lineRule="exact"/>
              <w:jc w:val="left"/>
              <w:rPr>
                <w:rFonts w:hint="eastAsia" w:ascii="宋体" w:hAnsi="Calibri" w:eastAsia="宋体" w:cs="宋体"/>
                <w:color w:val="auto"/>
                <w:kern w:val="0"/>
                <w:sz w:val="21"/>
                <w:szCs w:val="21"/>
                <w:highlight w:val="none"/>
                <w:lang w:val="en-US" w:eastAsia="zh-CN" w:bidi="ar-SA"/>
              </w:rPr>
            </w:pPr>
          </w:p>
        </w:tc>
      </w:tr>
    </w:tbl>
    <w:p w14:paraId="7601995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注：1</w:t>
      </w:r>
      <w:r>
        <w:rPr>
          <w:rFonts w:hint="eastAsia" w:ascii="宋体" w:eastAsia="宋体" w:cs="宋体"/>
          <w:color w:val="auto"/>
          <w:szCs w:val="21"/>
          <w:highlight w:val="none"/>
          <w:lang w:val="en-US" w:eastAsia="zh-CN"/>
        </w:rPr>
        <w:t>.</w:t>
      </w:r>
      <w:r>
        <w:rPr>
          <w:rFonts w:hint="eastAsia" w:ascii="宋体" w:eastAsia="宋体" w:cs="宋体"/>
          <w:color w:val="auto"/>
          <w:szCs w:val="21"/>
          <w:highlight w:val="none"/>
        </w:rPr>
        <w:t>投标人须根据</w:t>
      </w:r>
      <w:r>
        <w:rPr>
          <w:rFonts w:hint="eastAsia" w:ascii="宋体" w:eastAsia="宋体" w:cs="宋体"/>
          <w:color w:val="auto"/>
          <w:szCs w:val="21"/>
          <w:highlight w:val="none"/>
          <w:lang w:eastAsia="zh-CN"/>
        </w:rPr>
        <w:t>招标文件</w:t>
      </w:r>
      <w:r>
        <w:rPr>
          <w:rFonts w:hint="eastAsia" w:ascii="宋体" w:eastAsia="宋体" w:cs="宋体"/>
          <w:color w:val="auto"/>
          <w:szCs w:val="21"/>
          <w:highlight w:val="none"/>
          <w:lang w:val="en-US" w:eastAsia="zh-CN"/>
        </w:rPr>
        <w:t xml:space="preserve">“第二章  院内公开采购项目需求”中的“第六点 </w:t>
      </w:r>
      <w:r>
        <w:rPr>
          <w:rFonts w:hint="eastAsia" w:ascii="宋体" w:eastAsia="宋体" w:cs="宋体"/>
          <w:color w:val="auto"/>
          <w:szCs w:val="21"/>
          <w:highlight w:val="none"/>
          <w:lang w:eastAsia="zh-CN"/>
        </w:rPr>
        <w:t>服务内容及要求</w:t>
      </w:r>
      <w:r>
        <w:rPr>
          <w:rFonts w:hint="eastAsia" w:ascii="宋体" w:eastAsia="宋体" w:cs="宋体"/>
          <w:color w:val="auto"/>
          <w:szCs w:val="21"/>
          <w:highlight w:val="none"/>
          <w:lang w:val="en-US" w:eastAsia="zh-CN"/>
        </w:rPr>
        <w:t>”（一）至（三）所有条款</w:t>
      </w:r>
      <w:r>
        <w:rPr>
          <w:rFonts w:hint="eastAsia" w:ascii="宋体" w:eastAsia="宋体" w:cs="宋体"/>
          <w:color w:val="auto"/>
          <w:szCs w:val="21"/>
          <w:highlight w:val="none"/>
          <w:lang w:eastAsia="zh-CN"/>
        </w:rPr>
        <w:t>内容</w:t>
      </w:r>
      <w:r>
        <w:rPr>
          <w:rFonts w:hint="eastAsia" w:ascii="宋体" w:eastAsia="宋体" w:cs="宋体"/>
          <w:color w:val="auto"/>
          <w:szCs w:val="21"/>
          <w:highlight w:val="none"/>
        </w:rPr>
        <w:t>要求填写此表，作为投标文件重要的组成部分。</w:t>
      </w:r>
    </w:p>
    <w:p w14:paraId="6A5FEF7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lang w:eastAsia="zh-CN"/>
        </w:rPr>
      </w:pPr>
      <w:r>
        <w:rPr>
          <w:rFonts w:hint="eastAsia" w:ascii="宋体" w:eastAsia="宋体" w:cs="宋体"/>
          <w:color w:val="auto"/>
          <w:szCs w:val="21"/>
          <w:highlight w:val="none"/>
          <w:lang w:val="en-US" w:eastAsia="zh-CN"/>
        </w:rPr>
        <w:t>2.</w:t>
      </w:r>
      <w:r>
        <w:rPr>
          <w:rFonts w:hint="eastAsia" w:ascii="宋体" w:eastAsia="宋体" w:cs="宋体"/>
          <w:color w:val="auto"/>
          <w:szCs w:val="21"/>
          <w:highlight w:val="none"/>
        </w:rPr>
        <w:t>如投标人可完全响应满足</w:t>
      </w:r>
      <w:r>
        <w:rPr>
          <w:rFonts w:hint="eastAsia" w:ascii="宋体" w:eastAsia="宋体" w:cs="宋体"/>
          <w:color w:val="auto"/>
          <w:szCs w:val="21"/>
          <w:highlight w:val="none"/>
          <w:lang w:val="en-US" w:eastAsia="zh-CN"/>
        </w:rPr>
        <w:t xml:space="preserve">“第二章  院内公开采购项目需求”中“第六点 </w:t>
      </w:r>
      <w:r>
        <w:rPr>
          <w:rFonts w:hint="eastAsia" w:ascii="宋体" w:eastAsia="宋体" w:cs="宋体"/>
          <w:color w:val="auto"/>
          <w:szCs w:val="21"/>
          <w:highlight w:val="none"/>
          <w:lang w:eastAsia="zh-CN"/>
        </w:rPr>
        <w:t>服务内容及要求</w:t>
      </w:r>
      <w:r>
        <w:rPr>
          <w:rFonts w:hint="eastAsia" w:ascii="宋体" w:eastAsia="宋体" w:cs="宋体"/>
          <w:color w:val="auto"/>
          <w:szCs w:val="21"/>
          <w:highlight w:val="none"/>
          <w:lang w:val="en-US" w:eastAsia="zh-CN"/>
        </w:rPr>
        <w:t>”（一）至（三）所有条款</w:t>
      </w:r>
      <w:r>
        <w:rPr>
          <w:rFonts w:hint="eastAsia" w:ascii="宋体" w:eastAsia="宋体" w:cs="宋体"/>
          <w:color w:val="auto"/>
          <w:szCs w:val="21"/>
          <w:highlight w:val="none"/>
          <w:lang w:eastAsia="zh-CN"/>
        </w:rPr>
        <w:t>内容</w:t>
      </w:r>
      <w:r>
        <w:rPr>
          <w:rFonts w:hint="eastAsia" w:ascii="宋体" w:eastAsia="宋体" w:cs="宋体"/>
          <w:color w:val="auto"/>
          <w:szCs w:val="21"/>
          <w:highlight w:val="none"/>
        </w:rPr>
        <w:t>要求，投标人</w:t>
      </w:r>
      <w:r>
        <w:rPr>
          <w:rFonts w:hint="eastAsia" w:ascii="宋体" w:eastAsia="宋体" w:cs="宋体"/>
          <w:color w:val="auto"/>
          <w:szCs w:val="21"/>
          <w:highlight w:val="none"/>
          <w:lang w:val="en-US" w:eastAsia="zh-CN"/>
        </w:rPr>
        <w:t>可在投标文件服务</w:t>
      </w:r>
      <w:r>
        <w:rPr>
          <w:rFonts w:hint="eastAsia" w:ascii="宋体" w:eastAsia="宋体" w:cs="宋体"/>
          <w:color w:val="auto"/>
          <w:szCs w:val="21"/>
          <w:highlight w:val="none"/>
        </w:rPr>
        <w:t>响应栏中填写“我公司完全响应满足采购文件</w:t>
      </w:r>
      <w:r>
        <w:rPr>
          <w:rFonts w:hint="eastAsia" w:ascii="宋体" w:eastAsia="宋体" w:cs="宋体"/>
          <w:color w:val="auto"/>
          <w:szCs w:val="21"/>
          <w:highlight w:val="none"/>
          <w:lang w:val="en-US" w:eastAsia="zh-CN"/>
        </w:rPr>
        <w:t xml:space="preserve">“第二章  院内公开采购项目需求”中“第六点 </w:t>
      </w:r>
      <w:r>
        <w:rPr>
          <w:rFonts w:hint="eastAsia" w:ascii="宋体" w:eastAsia="宋体" w:cs="宋体"/>
          <w:color w:val="auto"/>
          <w:szCs w:val="21"/>
          <w:highlight w:val="none"/>
          <w:lang w:eastAsia="zh-CN"/>
        </w:rPr>
        <w:t>服务内容及要求</w:t>
      </w:r>
      <w:r>
        <w:rPr>
          <w:rFonts w:hint="eastAsia" w:ascii="宋体" w:eastAsia="宋体" w:cs="宋体"/>
          <w:color w:val="auto"/>
          <w:szCs w:val="21"/>
          <w:highlight w:val="none"/>
          <w:lang w:val="en-US" w:eastAsia="zh-CN"/>
        </w:rPr>
        <w:t>”（一）至（三）所有条款</w:t>
      </w:r>
      <w:r>
        <w:rPr>
          <w:rFonts w:hint="eastAsia" w:ascii="宋体" w:eastAsia="宋体" w:cs="宋体"/>
          <w:color w:val="auto"/>
          <w:szCs w:val="21"/>
          <w:highlight w:val="none"/>
          <w:lang w:eastAsia="zh-CN"/>
        </w:rPr>
        <w:t>内容</w:t>
      </w:r>
      <w:r>
        <w:rPr>
          <w:rFonts w:hint="eastAsia" w:ascii="宋体" w:eastAsia="宋体" w:cs="宋体"/>
          <w:color w:val="auto"/>
          <w:szCs w:val="21"/>
          <w:highlight w:val="none"/>
        </w:rPr>
        <w:t>要求即可，除议价文件另有注明外，不强制要求逐条列出响应；如投标人</w:t>
      </w:r>
      <w:r>
        <w:rPr>
          <w:rFonts w:hint="eastAsia" w:ascii="宋体" w:eastAsia="宋体" w:cs="宋体"/>
          <w:color w:val="auto"/>
          <w:szCs w:val="21"/>
          <w:highlight w:val="none"/>
          <w:lang w:val="en-US" w:eastAsia="zh-CN"/>
        </w:rPr>
        <w:t xml:space="preserve">对“第二章  院内公开采购项目需求”中“第六点 </w:t>
      </w:r>
      <w:r>
        <w:rPr>
          <w:rFonts w:hint="eastAsia" w:ascii="宋体" w:eastAsia="宋体" w:cs="宋体"/>
          <w:color w:val="auto"/>
          <w:szCs w:val="21"/>
          <w:highlight w:val="none"/>
          <w:lang w:eastAsia="zh-CN"/>
        </w:rPr>
        <w:t>服务内容及要求</w:t>
      </w:r>
      <w:r>
        <w:rPr>
          <w:rFonts w:hint="eastAsia" w:ascii="宋体" w:eastAsia="宋体" w:cs="宋体"/>
          <w:color w:val="auto"/>
          <w:szCs w:val="21"/>
          <w:highlight w:val="none"/>
          <w:lang w:val="en-US" w:eastAsia="zh-CN"/>
        </w:rPr>
        <w:t>”（一）至（三）条款</w:t>
      </w:r>
      <w:r>
        <w:rPr>
          <w:rFonts w:hint="eastAsia" w:ascii="宋体" w:eastAsia="宋体" w:cs="宋体"/>
          <w:color w:val="auto"/>
          <w:szCs w:val="21"/>
          <w:highlight w:val="none"/>
          <w:lang w:eastAsia="zh-CN"/>
        </w:rPr>
        <w:t>内容</w:t>
      </w:r>
      <w:r>
        <w:rPr>
          <w:rFonts w:hint="eastAsia" w:ascii="宋体" w:eastAsia="宋体" w:cs="宋体"/>
          <w:color w:val="auto"/>
          <w:szCs w:val="21"/>
          <w:highlight w:val="none"/>
        </w:rPr>
        <w:t>要求存在负偏离时，应</w:t>
      </w:r>
      <w:r>
        <w:rPr>
          <w:rFonts w:hint="eastAsia" w:ascii="宋体" w:eastAsia="宋体" w:cs="宋体"/>
          <w:color w:val="auto"/>
          <w:szCs w:val="21"/>
          <w:highlight w:val="none"/>
          <w:lang w:val="en-US" w:eastAsia="zh-CN"/>
        </w:rPr>
        <w:t xml:space="preserve">对“第二章  院内公开采购项目需求”中“第六点 </w:t>
      </w:r>
      <w:r>
        <w:rPr>
          <w:rFonts w:hint="eastAsia" w:ascii="宋体" w:eastAsia="宋体" w:cs="宋体"/>
          <w:color w:val="auto"/>
          <w:szCs w:val="21"/>
          <w:highlight w:val="none"/>
          <w:lang w:eastAsia="zh-CN"/>
        </w:rPr>
        <w:t>服务内容及要求</w:t>
      </w:r>
      <w:r>
        <w:rPr>
          <w:rFonts w:hint="eastAsia" w:ascii="宋体" w:eastAsia="宋体" w:cs="宋体"/>
          <w:color w:val="auto"/>
          <w:szCs w:val="21"/>
          <w:highlight w:val="none"/>
          <w:lang w:val="en-US" w:eastAsia="zh-CN"/>
        </w:rPr>
        <w:t>”（一）至（三）条款</w:t>
      </w:r>
      <w:r>
        <w:rPr>
          <w:rFonts w:hint="eastAsia" w:ascii="宋体" w:eastAsia="宋体" w:cs="宋体"/>
          <w:color w:val="auto"/>
          <w:szCs w:val="21"/>
          <w:highlight w:val="none"/>
          <w:lang w:eastAsia="zh-CN"/>
        </w:rPr>
        <w:t>内容</w:t>
      </w:r>
      <w:r>
        <w:rPr>
          <w:rFonts w:hint="eastAsia" w:ascii="宋体" w:eastAsia="宋体" w:cs="宋体"/>
          <w:color w:val="auto"/>
          <w:szCs w:val="21"/>
          <w:highlight w:val="none"/>
        </w:rPr>
        <w:t>要求</w:t>
      </w:r>
      <w:r>
        <w:rPr>
          <w:rFonts w:hint="eastAsia" w:ascii="宋体" w:eastAsia="宋体" w:cs="宋体"/>
          <w:color w:val="auto"/>
          <w:szCs w:val="21"/>
          <w:highlight w:val="none"/>
          <w:lang w:val="en-US" w:eastAsia="zh-CN"/>
        </w:rPr>
        <w:t>逐项响应</w:t>
      </w:r>
      <w:r>
        <w:rPr>
          <w:rFonts w:hint="eastAsia" w:ascii="宋体" w:eastAsia="宋体" w:cs="宋体"/>
          <w:color w:val="auto"/>
          <w:szCs w:val="21"/>
          <w:highlight w:val="none"/>
        </w:rPr>
        <w:t>列在“</w:t>
      </w:r>
      <w:r>
        <w:rPr>
          <w:rFonts w:hint="eastAsia" w:ascii="宋体" w:eastAsia="宋体" w:cs="宋体"/>
          <w:color w:val="auto"/>
          <w:szCs w:val="21"/>
          <w:highlight w:val="none"/>
          <w:lang w:val="en-US" w:eastAsia="zh-CN"/>
        </w:rPr>
        <w:t>投标文件服务</w:t>
      </w:r>
      <w:r>
        <w:rPr>
          <w:rFonts w:hint="eastAsia" w:ascii="宋体" w:eastAsia="宋体" w:cs="宋体"/>
          <w:color w:val="auto"/>
          <w:szCs w:val="21"/>
          <w:highlight w:val="none"/>
        </w:rPr>
        <w:t>响应”栏中</w:t>
      </w:r>
      <w:r>
        <w:rPr>
          <w:rFonts w:hint="eastAsia" w:ascii="宋体" w:eastAsia="宋体" w:cs="宋体"/>
          <w:color w:val="auto"/>
          <w:szCs w:val="21"/>
          <w:highlight w:val="none"/>
          <w:lang w:eastAsia="zh-CN"/>
        </w:rPr>
        <w:t>。</w:t>
      </w:r>
      <w:r>
        <w:rPr>
          <w:rFonts w:hint="eastAsia" w:ascii="宋体" w:eastAsia="宋体" w:cs="宋体"/>
          <w:color w:val="auto"/>
          <w:szCs w:val="21"/>
          <w:highlight w:val="none"/>
          <w:lang w:val="en-US" w:eastAsia="zh-CN"/>
        </w:rPr>
        <w:t>若</w:t>
      </w:r>
      <w:r>
        <w:rPr>
          <w:rFonts w:hint="eastAsia" w:ascii="宋体" w:eastAsia="宋体" w:cs="宋体"/>
          <w:color w:val="auto"/>
          <w:szCs w:val="21"/>
          <w:highlight w:val="none"/>
        </w:rPr>
        <w:t>要求提供证明资料，在“说明”一栏中列明证明资料的位置，以便评审；未要求提供证明材料的，投标人可以不提供。</w:t>
      </w:r>
    </w:p>
    <w:p w14:paraId="3812C00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lang w:eastAsia="zh-CN"/>
        </w:rPr>
      </w:pPr>
      <w:r>
        <w:rPr>
          <w:rFonts w:hint="eastAsia" w:ascii="宋体" w:eastAsia="宋体" w:cs="宋体"/>
          <w:color w:val="auto"/>
          <w:szCs w:val="21"/>
          <w:highlight w:val="none"/>
          <w:lang w:val="en-US" w:eastAsia="zh-CN"/>
        </w:rPr>
        <w:t>3.</w:t>
      </w:r>
      <w:r>
        <w:rPr>
          <w:rFonts w:hint="eastAsia" w:ascii="宋体" w:eastAsia="宋体" w:cs="宋体"/>
          <w:color w:val="auto"/>
          <w:szCs w:val="21"/>
          <w:highlight w:val="none"/>
        </w:rPr>
        <w:t>完全与服务要求</w:t>
      </w:r>
      <w:r>
        <w:rPr>
          <w:rFonts w:hint="eastAsia" w:ascii="宋体" w:eastAsia="宋体" w:cs="宋体"/>
          <w:color w:val="auto"/>
          <w:szCs w:val="21"/>
          <w:highlight w:val="none"/>
          <w:lang w:val="en-US" w:eastAsia="zh-CN"/>
        </w:rPr>
        <w:t>条款</w:t>
      </w:r>
      <w:r>
        <w:rPr>
          <w:rFonts w:hint="eastAsia" w:ascii="宋体" w:eastAsia="宋体" w:cs="宋体"/>
          <w:color w:val="auto"/>
          <w:szCs w:val="21"/>
          <w:highlight w:val="none"/>
        </w:rPr>
        <w:t>相符的填“无偏离”，高于服务要求的填“正偏离”，没有达到服务要求的填“负偏离”，有其他事项请在“说明”栏中补充。</w:t>
      </w:r>
    </w:p>
    <w:p w14:paraId="67FAEE1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p>
    <w:p w14:paraId="04CF5B3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投标单位全称（加盖公章）：</w:t>
      </w:r>
    </w:p>
    <w:p w14:paraId="6F0A79C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法定代表人或其授权代表签名：</w:t>
      </w:r>
    </w:p>
    <w:p w14:paraId="3780570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s="宋体"/>
          <w:color w:val="auto"/>
          <w:szCs w:val="21"/>
          <w:highlight w:val="none"/>
        </w:rPr>
      </w:pPr>
      <w:r>
        <w:rPr>
          <w:rFonts w:hint="eastAsia" w:ascii="宋体" w:eastAsia="宋体" w:cs="宋体"/>
          <w:color w:val="auto"/>
          <w:szCs w:val="21"/>
          <w:highlight w:val="none"/>
        </w:rPr>
        <w:t>日期：      年    月    日</w:t>
      </w:r>
    </w:p>
    <w:p w14:paraId="3AFC1E2E">
      <w:pPr>
        <w:sectPr>
          <w:pgSz w:w="16838" w:h="11906" w:orient="landscape"/>
          <w:pgMar w:top="1304" w:right="2098" w:bottom="1474" w:left="1984" w:header="851" w:footer="1417" w:gutter="0"/>
          <w:pgNumType w:fmt="numberInDash"/>
          <w:cols w:space="0" w:num="1"/>
          <w:docGrid w:type="lines" w:linePitch="327" w:charSpace="0"/>
        </w:sectPr>
      </w:pPr>
    </w:p>
    <w:p w14:paraId="56D33815">
      <w:pPr>
        <w:pStyle w:val="16"/>
        <w:rPr>
          <w:rFonts w:hint="eastAsia"/>
          <w:lang w:val="zh-CN"/>
        </w:rPr>
      </w:pPr>
    </w:p>
    <w:p w14:paraId="30559B7E">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6972"/>
        <w:gridCol w:w="2290"/>
        <w:gridCol w:w="2096"/>
        <w:gridCol w:w="559"/>
      </w:tblGrid>
      <w:tr w14:paraId="276C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noWrap w:val="0"/>
            <w:vAlign w:val="center"/>
          </w:tcPr>
          <w:p w14:paraId="387FA499">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58" w:type="pct"/>
            <w:tcBorders>
              <w:top w:val="single" w:color="auto" w:sz="4" w:space="0"/>
              <w:left w:val="single" w:color="auto" w:sz="4" w:space="0"/>
              <w:bottom w:val="single" w:color="auto" w:sz="4" w:space="0"/>
              <w:right w:val="single" w:color="auto" w:sz="4" w:space="0"/>
            </w:tcBorders>
            <w:noWrap w:val="0"/>
            <w:vAlign w:val="center"/>
          </w:tcPr>
          <w:p w14:paraId="59037D74">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3CF9481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14:paraId="752214D7">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0FE4D1F1">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54A1691D">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14:paraId="652BC6CA">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14:paraId="53DA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31CB3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3707C8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2.交货地点：深圳市龙岗区第七人民医院。</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38A2448F">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297F074">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1C24D1D5">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05D8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8574E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2</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360C6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3.付款方式：中标人完成全部检测及评估工作，提交正式、有效的检测鉴定报告（含楼层承重性评估专篇），且经采购人验收合格后，中标人开具合法有效的全额发票，采购人在收到发票后10个工作日内一次性支付全部合同款项。</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09DE95FF">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6C1C0559">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2AB0D8BC">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2EAE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D7BBC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3</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3FF9E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（五）验收及售后服务</w:t>
            </w:r>
          </w:p>
          <w:p w14:paraId="6F5CD4F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1.中标人提交的报告存在弄虚作假、重大遗漏或错误（特别是楼层承重性评估结论严重失实），导致采购人做出错误决策并造成损失的，采购人有权解除合同，要求中标人退还已收取的全部款项，并赔偿采购人全部损失。</w:t>
            </w:r>
          </w:p>
          <w:p w14:paraId="7D8B07A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2.中标人须对其出具的报告真实性、准确性、合法性负责。若因报告问题导致采购人做出错误决策并造成损失的，中标人应承担相应法律责任及经济赔偿。</w:t>
            </w:r>
          </w:p>
          <w:p w14:paraId="05A0AB7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3.报告提交后，若采购人对报告内容有疑问（特别是楼层承重性评估结论），中标人应免费提供解释说明；若因采购人原因导致检测条件或设备参数发生变化，需要调整报告的，双方另行协商。</w:t>
            </w:r>
          </w:p>
          <w:p w14:paraId="69500FA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160F3B62">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47012A5F">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203E558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4F6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F08EF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7</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8B8017">
            <w:pPr>
              <w:pStyle w:val="38"/>
              <w:spacing w:line="360" w:lineRule="auto"/>
              <w:ind w:left="0" w:leftChars="0" w:firstLine="0" w:firstLineChars="0"/>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（六）违约责任</w:t>
            </w:r>
          </w:p>
          <w:p w14:paraId="399169F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ascii="Calibri" w:hAnsi="Calibri" w:eastAsia="宋体" w:cs="黑体"/>
                <w:color w:val="auto"/>
                <w:kern w:val="2"/>
                <w:sz w:val="22"/>
                <w:szCs w:val="24"/>
                <w:highlight w:val="none"/>
                <w:lang w:val="en-US" w:eastAsia="zh-CN" w:bidi="ar-SA"/>
              </w:rPr>
              <w:t>中标人未能按合同约定的时间（合同签订后40个日历日内）提交检测鉴定报告的，每逾期一日，应按合同总金额的1%向采购人支付违约金；逾期超过15日的，采</w:t>
            </w:r>
            <w:r>
              <w:rPr>
                <w:rFonts w:hint="eastAsia"/>
                <w:color w:val="auto"/>
                <w:sz w:val="22"/>
                <w:highlight w:val="none"/>
                <w:lang w:val="en-US" w:eastAsia="zh-CN"/>
              </w:rPr>
              <w:t>购人有权单方解除合同，并要求中标人赔偿损失。</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C7134F9">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17430039">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0544D9F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3DD6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73ACF4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10</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D44AC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（七）签订合同</w:t>
            </w:r>
          </w:p>
          <w:p w14:paraId="1849182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36655D1">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09C28C08">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7AB8152F">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1257C66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4605CB49">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38719E5F">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6CED40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p>
    <w:p w14:paraId="7F0BD0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14:paraId="7C30383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商务条款偏离表的“招标商务要求”等栏目对应“第二章 招标项目需求”中的“商务要求”章节相关内容。</w:t>
      </w:r>
    </w:p>
    <w:p w14:paraId="33997BB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14:paraId="0D2B63B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579A26C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35E4F1D7">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如本表内容与具体商务方案承诺内容有矛盾，以本表为准。</w:t>
      </w:r>
    </w:p>
    <w:p w14:paraId="595721DD">
      <w:pPr>
        <w:keepLines w:val="0"/>
        <w:pageBreakBefore w:val="0"/>
        <w:tabs>
          <w:tab w:val="left" w:pos="0"/>
        </w:tabs>
        <w:kinsoku/>
        <w:wordWrap/>
        <w:overflowPunct/>
        <w:topLinePunct w:val="0"/>
        <w:bidi w:val="0"/>
        <w:snapToGrid w:val="0"/>
        <w:spacing w:line="500" w:lineRule="exact"/>
        <w:rPr>
          <w:rFonts w:hint="eastAsia" w:ascii="仿宋" w:hAnsi="仿宋" w:eastAsia="仿宋" w:cs="仿宋"/>
          <w:b/>
          <w:bCs/>
          <w:color w:val="auto"/>
          <w:sz w:val="32"/>
          <w:szCs w:val="32"/>
          <w:highlight w:val="none"/>
        </w:rPr>
        <w:sectPr>
          <w:headerReference r:id="rId5" w:type="default"/>
          <w:footerReference r:id="rId6" w:type="default"/>
          <w:pgSz w:w="16838" w:h="11906" w:orient="landscape"/>
          <w:pgMar w:top="1304" w:right="2098" w:bottom="1142" w:left="1984" w:header="851" w:footer="1417" w:gutter="0"/>
          <w:pgNumType w:fmt="numberInDash"/>
          <w:cols w:space="0" w:num="1"/>
          <w:rtlGutter w:val="0"/>
          <w:docGrid w:type="lines" w:linePitch="338" w:charSpace="0"/>
        </w:sectPr>
      </w:pPr>
    </w:p>
    <w:p w14:paraId="6F5045FA">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合同模板仅供参考，中标人根据招投标文件拟定</w:t>
      </w:r>
      <w:r>
        <w:rPr>
          <w:rFonts w:hint="eastAsia" w:ascii="仿宋" w:hAnsi="仿宋" w:eastAsia="仿宋" w:cs="仿宋"/>
          <w:b/>
          <w:color w:val="auto"/>
          <w:kern w:val="0"/>
          <w:sz w:val="28"/>
          <w:szCs w:val="28"/>
          <w:highlight w:val="none"/>
          <w:lang w:eastAsia="zh-CN"/>
        </w:rPr>
        <w:t>）</w:t>
      </w:r>
    </w:p>
    <w:p w14:paraId="32CA353A">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龙岭院区（除门诊楼外）4栋建筑房屋结构</w:t>
      </w:r>
    </w:p>
    <w:p w14:paraId="0DBE23DC">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安全检测鉴定服务合同</w:t>
      </w:r>
    </w:p>
    <w:p w14:paraId="42F4D097">
      <w:pPr>
        <w:spacing w:line="440" w:lineRule="exact"/>
        <w:ind w:firstLine="420" w:firstLineChars="200"/>
        <w:rPr>
          <w:rFonts w:hint="eastAsia" w:ascii="仿宋" w:hAnsi="仿宋" w:eastAsia="仿宋" w:cs="Times New Roman"/>
          <w:szCs w:val="21"/>
        </w:rPr>
      </w:pPr>
    </w:p>
    <w:p w14:paraId="2D13B50A">
      <w:pPr>
        <w:spacing w:line="400" w:lineRule="exact"/>
        <w:ind w:firstLine="480" w:firstLineChars="200"/>
        <w:rPr>
          <w:rFonts w:hint="eastAsia" w:ascii="仿宋" w:hAnsi="仿宋" w:eastAsia="仿宋" w:cs="仿宋"/>
          <w:sz w:val="24"/>
        </w:rPr>
      </w:pPr>
      <w:r>
        <w:rPr>
          <w:rFonts w:hint="eastAsia" w:ascii="仿宋" w:hAnsi="仿宋" w:eastAsia="仿宋" w:cs="仿宋"/>
          <w:sz w:val="24"/>
        </w:rPr>
        <w:t>项目名称：深圳市龙岗区第七人民医院龙岭院区（除门诊楼外）4栋建筑房屋结构安全检测鉴定服务合同</w:t>
      </w:r>
    </w:p>
    <w:p w14:paraId="712037BD">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rPr>
        <w:t xml:space="preserve"> </w:t>
      </w:r>
    </w:p>
    <w:p w14:paraId="6C861A73">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项目类型：</w:t>
      </w:r>
      <w:r>
        <w:rPr>
          <w:rFonts w:hint="eastAsia" w:ascii="仿宋" w:hAnsi="仿宋" w:eastAsia="仿宋" w:cs="Times New Roman"/>
          <w:sz w:val="24"/>
        </w:rPr>
        <w:t>服务类</w:t>
      </w:r>
    </w:p>
    <w:p w14:paraId="7C473ABC">
      <w:pPr>
        <w:spacing w:line="400" w:lineRule="exact"/>
        <w:ind w:firstLine="480" w:firstLineChars="200"/>
        <w:rPr>
          <w:rFonts w:hint="eastAsia" w:ascii="仿宋" w:hAnsi="仿宋" w:eastAsia="仿宋" w:cs="仿宋"/>
          <w:sz w:val="24"/>
        </w:rPr>
      </w:pPr>
      <w:r>
        <w:rPr>
          <w:rFonts w:hint="eastAsia" w:ascii="仿宋" w:hAnsi="仿宋" w:eastAsia="仿宋" w:cs="仿宋"/>
          <w:sz w:val="24"/>
        </w:rPr>
        <w:t>采购单位（甲方）：</w:t>
      </w:r>
      <w:r>
        <w:rPr>
          <w:rFonts w:hint="eastAsia" w:ascii="仿宋" w:hAnsi="仿宋" w:eastAsia="仿宋" w:cs="Times New Roman"/>
          <w:sz w:val="24"/>
        </w:rPr>
        <w:t>深圳市龙岗区第七人民医院</w:t>
      </w:r>
    </w:p>
    <w:p w14:paraId="77962B93">
      <w:pPr>
        <w:spacing w:line="400" w:lineRule="exact"/>
        <w:ind w:firstLine="480" w:firstLineChars="200"/>
        <w:rPr>
          <w:rFonts w:hint="eastAsia" w:ascii="仿宋" w:hAnsi="仿宋" w:eastAsia="仿宋" w:cs="宋体"/>
          <w:kern w:val="0"/>
          <w:sz w:val="24"/>
          <w:u w:val="single"/>
        </w:rPr>
      </w:pPr>
      <w:r>
        <w:rPr>
          <w:rFonts w:hint="eastAsia" w:ascii="仿宋" w:hAnsi="仿宋" w:eastAsia="仿宋" w:cs="仿宋"/>
          <w:sz w:val="24"/>
        </w:rPr>
        <w:t>供 应 商（乙方）：</w:t>
      </w:r>
    </w:p>
    <w:p w14:paraId="34400EC3">
      <w:pPr>
        <w:spacing w:line="400" w:lineRule="exact"/>
        <w:ind w:firstLine="482"/>
        <w:rPr>
          <w:rFonts w:ascii="Verdana" w:hAnsi="Verdana" w:eastAsia="仿宋_GB2312" w:cs="Times New Roman"/>
          <w:b/>
          <w:bCs/>
          <w:kern w:val="0"/>
          <w:sz w:val="24"/>
        </w:rPr>
      </w:pPr>
    </w:p>
    <w:p w14:paraId="6F24B25C">
      <w:pPr>
        <w:spacing w:line="400" w:lineRule="exact"/>
        <w:ind w:firstLine="480" w:firstLineChars="200"/>
        <w:rPr>
          <w:rFonts w:hint="eastAsia" w:ascii="仿宋" w:hAnsi="仿宋" w:eastAsia="仿宋" w:cs="仿宋_GB2312"/>
          <w:sz w:val="24"/>
        </w:rPr>
      </w:pPr>
      <w:r>
        <w:rPr>
          <w:rFonts w:hint="eastAsia" w:ascii="仿宋" w:hAnsi="仿宋" w:eastAsia="仿宋" w:cs="仿宋"/>
          <w:sz w:val="24"/>
        </w:rPr>
        <w:t>根据《中华人民共和国政府采购法》《中华人民共和国民法典》《深圳经济特区政府采购条例》《深圳经济特区政府采购条例实施细则》等法律法规的规定，甲乙双方按照</w:t>
      </w:r>
      <w:r>
        <w:rPr>
          <w:rFonts w:hint="eastAsia" w:ascii="仿宋" w:hAnsi="仿宋" w:eastAsia="仿宋" w:cs="仿宋"/>
          <w:sz w:val="24"/>
          <w:u w:val="single"/>
        </w:rPr>
        <w:t>深圳市龙岗区第七人民医院龙岭院区（除门诊楼外）4栋建筑房屋结构安全检测鉴定服务项目</w:t>
      </w:r>
      <w:r>
        <w:rPr>
          <w:rFonts w:hint="eastAsia" w:ascii="仿宋" w:hAnsi="仿宋" w:eastAsia="仿宋" w:cs="仿宋"/>
          <w:sz w:val="24"/>
        </w:rPr>
        <w:t>的招标结果并经双方协商签订本合同。</w:t>
      </w:r>
    </w:p>
    <w:p w14:paraId="0B65C2ED">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第一条</w:t>
      </w:r>
      <w:r>
        <w:rPr>
          <w:rFonts w:hint="eastAsia" w:ascii="仿宋" w:hAnsi="仿宋" w:eastAsia="仿宋" w:cs="仿宋_GB2312"/>
          <w:b/>
          <w:bCs/>
          <w:sz w:val="24"/>
          <w:lang w:val="en-US" w:eastAsia="zh-CN"/>
        </w:rPr>
        <w:t xml:space="preserve"> </w:t>
      </w:r>
      <w:r>
        <w:rPr>
          <w:rFonts w:hint="eastAsia" w:ascii="仿宋" w:hAnsi="仿宋" w:eastAsia="仿宋" w:cs="仿宋_GB2312"/>
          <w:b/>
          <w:bCs/>
          <w:sz w:val="24"/>
        </w:rPr>
        <w:t xml:space="preserve"> 合同标的</w:t>
      </w:r>
    </w:p>
    <w:p w14:paraId="6868B84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乙方为甲方龙岭院区4栋建筑（外科楼、医技楼（含连廊）、附属楼、综合楼）提供全套房屋结构安全检测鉴定服务，具体包含：主体结构工程现场检测、地基基础工程检测、楼层承重性专项评估、结构承载力复核、结构安全性及抗震性能评估、结构损伤排查，最终出具合规有效的房屋结构安全检测鉴定报告，为甲方二次消防手续申报、临建转永久办理、院区功能布局及设备布设提供合法有效的技术依据。</w:t>
      </w:r>
    </w:p>
    <w:p w14:paraId="58BA7DD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自本合同签订之日起</w:t>
      </w:r>
      <w:r>
        <w:rPr>
          <w:rFonts w:hint="eastAsia" w:ascii="仿宋" w:hAnsi="仿宋" w:eastAsia="仿宋" w:cs="仿宋_GB2312"/>
          <w:sz w:val="24"/>
          <w:lang w:val="en-US" w:eastAsia="zh-CN"/>
        </w:rPr>
        <w:t>30</w:t>
      </w:r>
      <w:r>
        <w:rPr>
          <w:rFonts w:hint="eastAsia" w:ascii="仿宋" w:hAnsi="仿宋" w:eastAsia="仿宋" w:cs="仿宋_GB2312"/>
          <w:sz w:val="24"/>
        </w:rPr>
        <w:t>个日历日内，乙方完成全部现场检测、数据验算、评估分析及报告编制工作，向甲方提交正式盖章版检测鉴定成果。</w:t>
      </w:r>
    </w:p>
    <w:p w14:paraId="7D348149">
      <w:pPr>
        <w:tabs>
          <w:tab w:val="left" w:pos="7400"/>
        </w:tabs>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第二条  服务费用</w:t>
      </w:r>
      <w:r>
        <w:rPr>
          <w:rFonts w:hint="eastAsia" w:ascii="仿宋" w:hAnsi="仿宋" w:eastAsia="仿宋" w:cs="仿宋_GB2312"/>
          <w:b/>
          <w:bCs/>
          <w:sz w:val="24"/>
        </w:rPr>
        <w:tab/>
      </w:r>
    </w:p>
    <w:p w14:paraId="508A94A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本合同价款：合同总价为人民币</w:t>
      </w:r>
      <w:r>
        <w:rPr>
          <w:rFonts w:hint="eastAsia" w:ascii="仿宋" w:hAnsi="仿宋" w:eastAsia="仿宋" w:cs="仿宋_GB2312"/>
          <w:sz w:val="24"/>
          <w:u w:val="single"/>
        </w:rPr>
        <w:t xml:space="preserve"> </w:t>
      </w:r>
      <w:r>
        <w:rPr>
          <w:rFonts w:ascii="仿宋" w:hAnsi="仿宋" w:eastAsia="仿宋" w:cs="仿宋_GB2312"/>
          <w:sz w:val="24"/>
          <w:u w:val="single"/>
        </w:rPr>
        <w:t xml:space="preserve">   </w:t>
      </w:r>
      <w:r>
        <w:rPr>
          <w:rFonts w:hint="eastAsia" w:ascii="仿宋" w:hAnsi="仿宋" w:eastAsia="仿宋" w:cs="仿宋_GB2312"/>
          <w:sz w:val="24"/>
          <w:u w:val="single"/>
        </w:rPr>
        <w:t>元整</w:t>
      </w:r>
      <w:r>
        <w:rPr>
          <w:rFonts w:hint="eastAsia" w:ascii="仿宋" w:hAnsi="仿宋" w:eastAsia="仿宋" w:cs="仿宋"/>
          <w:sz w:val="24"/>
          <w:u w:val="single"/>
        </w:rPr>
        <w:t>（￥</w:t>
      </w:r>
      <w:r>
        <w:rPr>
          <w:rFonts w:ascii="仿宋" w:hAnsi="仿宋" w:eastAsia="仿宋" w:cs="宋体"/>
          <w:b/>
          <w:sz w:val="24"/>
          <w:u w:val="single"/>
        </w:rPr>
        <w:t xml:space="preserve">    </w:t>
      </w:r>
      <w:r>
        <w:rPr>
          <w:rFonts w:hint="eastAsia" w:ascii="仿宋" w:hAnsi="仿宋" w:eastAsia="仿宋" w:cs="宋体"/>
          <w:b/>
          <w:sz w:val="24"/>
          <w:u w:val="single"/>
        </w:rPr>
        <w:t>元</w:t>
      </w:r>
      <w:r>
        <w:rPr>
          <w:rFonts w:hint="eastAsia" w:ascii="仿宋" w:hAnsi="仿宋" w:eastAsia="仿宋" w:cs="仿宋"/>
          <w:sz w:val="24"/>
        </w:rPr>
        <w:t>）</w:t>
      </w:r>
      <w:r>
        <w:rPr>
          <w:rFonts w:hint="eastAsia" w:ascii="仿宋" w:hAnsi="仿宋" w:eastAsia="仿宋" w:cs="仿宋_GB2312"/>
          <w:sz w:val="24"/>
        </w:rPr>
        <w:t>。</w:t>
      </w:r>
    </w:p>
    <w:p w14:paraId="01C542B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本报价为全包价，包含现场检测、设备进场、人工勘测、数据验算、专项承重评估、报告编制、审核盖章、资料交付、税费、现场安全防护、微破损修复、售后答疑等完成本项目全部工作的所有费用，甲方无需额外支付其他任何费用。合同总价包干，不因现场工况、人员、材料、市场价格变动等任何因素调整。</w:t>
      </w:r>
    </w:p>
    <w:p w14:paraId="0045575D">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第三条  付款方式</w:t>
      </w:r>
    </w:p>
    <w:p w14:paraId="42AB2886">
      <w:pPr>
        <w:spacing w:line="400" w:lineRule="exact"/>
        <w:ind w:firstLine="480"/>
        <w:rPr>
          <w:rFonts w:hint="eastAsia" w:ascii="仿宋" w:hAnsi="仿宋" w:eastAsia="仿宋" w:cs="仿宋_GB2312"/>
          <w:sz w:val="24"/>
        </w:rPr>
      </w:pPr>
      <w:r>
        <w:rPr>
          <w:rFonts w:hint="eastAsia" w:ascii="仿宋" w:hAnsi="仿宋" w:eastAsia="仿宋" w:cs="仿宋_GB2312"/>
          <w:sz w:val="24"/>
        </w:rPr>
        <w:t>1</w:t>
      </w:r>
      <w:r>
        <w:rPr>
          <w:rFonts w:ascii="仿宋" w:hAnsi="仿宋" w:eastAsia="仿宋" w:cs="仿宋_GB2312"/>
          <w:sz w:val="24"/>
        </w:rPr>
        <w:t>.</w:t>
      </w:r>
      <w:r>
        <w:rPr>
          <w:rFonts w:hint="eastAsia" w:ascii="仿宋" w:hAnsi="仿宋" w:eastAsia="仿宋" w:cs="仿宋_GB2312"/>
          <w:sz w:val="24"/>
        </w:rPr>
        <w:t>付款方式：一次性结算付款。</w:t>
      </w:r>
    </w:p>
    <w:p w14:paraId="34864C03">
      <w:pPr>
        <w:spacing w:line="400" w:lineRule="exact"/>
        <w:ind w:firstLine="480"/>
        <w:rPr>
          <w:rFonts w:hint="eastAsia" w:ascii="仿宋" w:hAnsi="仿宋" w:eastAsia="仿宋" w:cs="仿宋_GB2312"/>
          <w:sz w:val="24"/>
        </w:rPr>
      </w:pPr>
      <w:r>
        <w:rPr>
          <w:rFonts w:hint="eastAsia" w:ascii="仿宋" w:hAnsi="仿宋" w:eastAsia="仿宋" w:cs="仿宋_GB2312"/>
          <w:sz w:val="24"/>
        </w:rPr>
        <w:t>2.付款条件：乙方完成全部4栋建筑检测鉴定工作，提交全套正式有效的检测鉴定报告（含楼层承重性评估专篇），经甲方验收合格后，乙方向甲方开具合法、合规、有效的全额增值税发票。</w:t>
      </w:r>
    </w:p>
    <w:p w14:paraId="3C2E8646">
      <w:pPr>
        <w:spacing w:line="400" w:lineRule="exact"/>
        <w:ind w:firstLine="480"/>
        <w:rPr>
          <w:rFonts w:hint="eastAsia" w:ascii="仿宋" w:hAnsi="仿宋" w:eastAsia="仿宋" w:cs="仿宋_GB2312"/>
          <w:sz w:val="24"/>
        </w:rPr>
      </w:pPr>
      <w:r>
        <w:rPr>
          <w:rFonts w:hint="eastAsia" w:ascii="仿宋" w:hAnsi="仿宋" w:eastAsia="仿宋" w:cs="仿宋_GB2312"/>
          <w:sz w:val="24"/>
        </w:rPr>
        <w:t>3.费用确认：</w:t>
      </w:r>
    </w:p>
    <w:p w14:paraId="37569AAB">
      <w:pPr>
        <w:spacing w:line="400" w:lineRule="exact"/>
        <w:ind w:firstLine="480"/>
        <w:rPr>
          <w:rFonts w:hint="eastAsia" w:ascii="仿宋" w:hAnsi="仿宋" w:eastAsia="仿宋" w:cs="仿宋_GB2312"/>
          <w:sz w:val="24"/>
        </w:rPr>
      </w:pPr>
      <w:r>
        <w:rPr>
          <w:rFonts w:hint="eastAsia" w:ascii="仿宋" w:hAnsi="仿宋" w:eastAsia="仿宋" w:cs="仿宋_GB2312"/>
          <w:sz w:val="24"/>
        </w:rPr>
        <w:t>（1）乙方需在每</w:t>
      </w:r>
      <w:r>
        <w:rPr>
          <w:rFonts w:hint="eastAsia" w:ascii="仿宋" w:hAnsi="仿宋" w:eastAsia="仿宋" w:cs="仿宋_GB2312"/>
          <w:sz w:val="24"/>
          <w:lang w:val="en-US" w:eastAsia="zh-CN"/>
        </w:rPr>
        <w:t>季度</w:t>
      </w:r>
      <w:r>
        <w:rPr>
          <w:rFonts w:hint="eastAsia" w:ascii="仿宋" w:hAnsi="仿宋" w:eastAsia="仿宋" w:cs="仿宋_GB2312"/>
          <w:sz w:val="24"/>
        </w:rPr>
        <w:t>结束后的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个工作日内，向甲方提交服务费用明细表。</w:t>
      </w:r>
    </w:p>
    <w:p w14:paraId="37E4E82C">
      <w:pPr>
        <w:spacing w:line="400" w:lineRule="exact"/>
        <w:ind w:firstLine="480"/>
        <w:rPr>
          <w:rFonts w:hint="eastAsia" w:ascii="仿宋" w:hAnsi="仿宋" w:eastAsia="仿宋" w:cs="仿宋_GB2312"/>
          <w:sz w:val="24"/>
        </w:rPr>
      </w:pPr>
      <w:r>
        <w:rPr>
          <w:rFonts w:hint="eastAsia" w:ascii="仿宋" w:hAnsi="仿宋" w:eastAsia="仿宋" w:cs="仿宋_GB2312"/>
          <w:sz w:val="24"/>
        </w:rPr>
        <w:t>（2）甲方在收到费用明细表后，完成审核并确认费用金额。</w:t>
      </w:r>
    </w:p>
    <w:p w14:paraId="1228E051">
      <w:pPr>
        <w:spacing w:line="400" w:lineRule="exact"/>
        <w:ind w:firstLine="480"/>
        <w:rPr>
          <w:rFonts w:hint="eastAsia" w:ascii="仿宋" w:hAnsi="仿宋" w:eastAsia="仿宋" w:cs="仿宋_GB2312"/>
          <w:sz w:val="24"/>
        </w:rPr>
      </w:pPr>
      <w:r>
        <w:rPr>
          <w:rFonts w:hint="eastAsia" w:ascii="仿宋" w:hAnsi="仿宋" w:eastAsia="仿宋" w:cs="仿宋_GB2312"/>
          <w:sz w:val="24"/>
        </w:rPr>
        <w:t>4.费用支付：</w:t>
      </w:r>
    </w:p>
    <w:p w14:paraId="0654D313">
      <w:pPr>
        <w:spacing w:line="400" w:lineRule="exact"/>
        <w:ind w:firstLine="480"/>
        <w:rPr>
          <w:rFonts w:hint="eastAsia" w:ascii="仿宋" w:hAnsi="仿宋" w:eastAsia="仿宋" w:cs="仿宋_GB2312"/>
          <w:sz w:val="24"/>
        </w:rPr>
      </w:pPr>
      <w:r>
        <w:rPr>
          <w:rFonts w:hint="eastAsia" w:ascii="仿宋" w:hAnsi="仿宋" w:eastAsia="仿宋" w:cs="仿宋_GB2312"/>
          <w:sz w:val="24"/>
        </w:rPr>
        <w:t>甲方在完成审核并收到发票后，以非现金（支票/转账)结算方式支付乙方服务费。甲方无故逾期支付，应就逾期部分按日支付万分之三的违约金，违约金总额累计不超过应付款项的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w:t>
      </w:r>
    </w:p>
    <w:p w14:paraId="65E88C2B">
      <w:pPr>
        <w:spacing w:line="400" w:lineRule="exact"/>
        <w:ind w:firstLine="480"/>
        <w:rPr>
          <w:rFonts w:hint="eastAsia" w:ascii="仿宋" w:hAnsi="仿宋" w:eastAsia="仿宋" w:cs="仿宋_GB2312"/>
          <w:sz w:val="24"/>
        </w:rPr>
      </w:pPr>
      <w:r>
        <w:rPr>
          <w:rFonts w:hint="eastAsia" w:ascii="仿宋" w:hAnsi="仿宋" w:eastAsia="仿宋" w:cs="仿宋_GB2312"/>
          <w:sz w:val="24"/>
        </w:rPr>
        <w:t>5.付款条款</w:t>
      </w:r>
    </w:p>
    <w:p w14:paraId="47A70CD3">
      <w:pPr>
        <w:spacing w:line="400" w:lineRule="exact"/>
        <w:ind w:firstLine="480"/>
        <w:rPr>
          <w:rFonts w:hint="eastAsia" w:ascii="仿宋" w:hAnsi="仿宋" w:eastAsia="仿宋" w:cs="仿宋_GB2312"/>
          <w:sz w:val="24"/>
        </w:rPr>
      </w:pPr>
      <w:r>
        <w:rPr>
          <w:rFonts w:hint="eastAsia" w:ascii="仿宋" w:hAnsi="仿宋" w:eastAsia="仿宋" w:cs="仿宋_GB2312"/>
          <w:sz w:val="24"/>
        </w:rPr>
        <w:t>（1）甲方支付服务费用前，乙方项目团队需确保所有监测工作和服务内容已经按时、按质完成。</w:t>
      </w:r>
    </w:p>
    <w:p w14:paraId="3C32AF53">
      <w:pPr>
        <w:spacing w:line="400" w:lineRule="exact"/>
        <w:ind w:firstLine="480"/>
        <w:rPr>
          <w:rFonts w:hint="eastAsia" w:ascii="仿宋" w:hAnsi="仿宋" w:eastAsia="仿宋" w:cs="仿宋_GB2312"/>
          <w:sz w:val="24"/>
        </w:rPr>
      </w:pPr>
      <w:r>
        <w:rPr>
          <w:rFonts w:hint="eastAsia" w:ascii="仿宋" w:hAnsi="仿宋" w:eastAsia="仿宋" w:cs="仿宋_GB2312"/>
          <w:sz w:val="24"/>
        </w:rPr>
        <w:t>（2）如甲方未能在规定时间内支付服务费用，应提前与项目团队协商延期支付事宜，并书面说明原因。</w:t>
      </w:r>
    </w:p>
    <w:p w14:paraId="515F2E43">
      <w:pPr>
        <w:spacing w:line="400" w:lineRule="exact"/>
        <w:ind w:firstLine="480"/>
        <w:rPr>
          <w:rFonts w:hint="eastAsia" w:ascii="仿宋" w:hAnsi="仿宋" w:eastAsia="仿宋" w:cs="仿宋_GB2312"/>
          <w:sz w:val="24"/>
        </w:rPr>
      </w:pPr>
      <w:r>
        <w:rPr>
          <w:rFonts w:ascii="仿宋" w:hAnsi="仿宋" w:eastAsia="仿宋" w:cs="仿宋_GB2312"/>
          <w:sz w:val="24"/>
        </w:rPr>
        <w:t>6</w:t>
      </w:r>
      <w:r>
        <w:rPr>
          <w:rFonts w:hint="eastAsia" w:ascii="仿宋" w:hAnsi="仿宋" w:eastAsia="仿宋" w:cs="仿宋_GB2312"/>
          <w:sz w:val="24"/>
        </w:rPr>
        <w:t>.乙方应在甲方付款前开具合法有效的增值税普通发票，甲方收到乙方发票后</w:t>
      </w:r>
      <w:r>
        <w:rPr>
          <w:rFonts w:hint="eastAsia" w:ascii="仿宋" w:hAnsi="仿宋" w:eastAsia="仿宋" w:cs="仿宋_GB2312"/>
          <w:sz w:val="24"/>
          <w:lang w:val="en-US" w:eastAsia="zh-CN"/>
        </w:rPr>
        <w:t>10个工作日内</w:t>
      </w:r>
      <w:r>
        <w:rPr>
          <w:rFonts w:hint="eastAsia" w:ascii="仿宋" w:hAnsi="仿宋" w:eastAsia="仿宋" w:cs="仿宋"/>
          <w:sz w:val="24"/>
        </w:rPr>
        <w:t>以转账方式付款</w:t>
      </w:r>
      <w:r>
        <w:rPr>
          <w:rFonts w:hint="eastAsia" w:ascii="仿宋" w:hAnsi="仿宋" w:eastAsia="仿宋" w:cs="仿宋_GB2312"/>
          <w:sz w:val="24"/>
        </w:rPr>
        <w:t>。若由于乙方逾期未提供合法有效的增值税发票或者提供结算票据不齐全，甲方有权拒绝付款，直至票据及结算票据齐全、合法，且不视为甲方违约。</w:t>
      </w:r>
    </w:p>
    <w:p w14:paraId="297CAAB5">
      <w:pPr>
        <w:pStyle w:val="6"/>
        <w:rPr>
          <w:rFonts w:hint="eastAsia" w:ascii="仿宋" w:hAnsi="仿宋" w:eastAsia="仿宋" w:cs="仿宋_GB2312"/>
          <w:sz w:val="24"/>
          <w:lang w:val="en-US" w:eastAsia="zh-CN"/>
        </w:rPr>
      </w:pPr>
      <w:r>
        <w:rPr>
          <w:rFonts w:hint="eastAsia" w:ascii="仿宋" w:hAnsi="仿宋" w:eastAsia="仿宋" w:cs="仿宋_GB2312"/>
          <w:sz w:val="24"/>
          <w:lang w:val="en-US" w:eastAsia="zh-CN"/>
        </w:rPr>
        <w:t>7.乙方需提供合法合规发票，如提供的发票被税务部门稽查认定为不合规发票，所有责任由乙方承担，乙方应当重新提供合法合规的发票，并按合同票面值支付20%的违约金。</w:t>
      </w:r>
    </w:p>
    <w:p w14:paraId="6AE76936">
      <w:pPr>
        <w:pStyle w:val="6"/>
        <w:rPr>
          <w:rFonts w:hint="default" w:eastAsia="仿宋"/>
          <w:lang w:val="en-US" w:eastAsia="zh-CN"/>
        </w:rPr>
      </w:pPr>
      <w:r>
        <w:rPr>
          <w:rFonts w:hint="eastAsia" w:ascii="仿宋" w:hAnsi="仿宋" w:eastAsia="仿宋" w:cs="仿宋_GB2312"/>
          <w:sz w:val="24"/>
          <w:lang w:val="en-US" w:eastAsia="zh-CN"/>
        </w:rPr>
        <w:t>8.双方支付金额上限以合同约定为准，超过合同约定金额的，乙方应及时终止提供服务，超过合同金额继续提供服务的，乙方应当向甲方支付超过部分价值20%的违约金；未达到合同约定金额的据实结算，双方另有约定除外。</w:t>
      </w:r>
    </w:p>
    <w:p w14:paraId="1A128935">
      <w:pPr>
        <w:spacing w:line="360" w:lineRule="exact"/>
        <w:ind w:firstLine="480" w:firstLineChars="200"/>
        <w:rPr>
          <w:rFonts w:hint="eastAsia" w:ascii="仿宋" w:hAnsi="仿宋" w:eastAsia="仿宋" w:cs="仿宋"/>
          <w:sz w:val="24"/>
        </w:rPr>
      </w:pPr>
      <w:r>
        <w:rPr>
          <w:rFonts w:hint="eastAsia" w:ascii="仿宋" w:hAnsi="仿宋" w:eastAsia="仿宋" w:cs="仿宋_GB2312"/>
          <w:sz w:val="24"/>
          <w:lang w:val="en-US" w:eastAsia="zh-CN"/>
        </w:rPr>
        <w:t>9</w:t>
      </w:r>
      <w:r>
        <w:rPr>
          <w:rFonts w:hint="eastAsia" w:ascii="仿宋" w:hAnsi="仿宋" w:eastAsia="仿宋" w:cs="仿宋_GB2312"/>
          <w:sz w:val="24"/>
        </w:rPr>
        <w:t>.</w:t>
      </w:r>
      <w:r>
        <w:rPr>
          <w:rFonts w:hint="eastAsia" w:ascii="仿宋" w:hAnsi="仿宋" w:eastAsia="仿宋" w:cs="仿宋"/>
          <w:sz w:val="24"/>
        </w:rPr>
        <w:t>乙方银行账户信息如下：</w:t>
      </w:r>
    </w:p>
    <w:p w14:paraId="149ECE99">
      <w:pPr>
        <w:spacing w:line="420" w:lineRule="exact"/>
        <w:ind w:firstLine="480" w:firstLineChars="200"/>
        <w:rPr>
          <w:rFonts w:hint="eastAsia" w:ascii="仿宋" w:hAnsi="仿宋" w:eastAsia="仿宋" w:cs="仿宋"/>
          <w:sz w:val="24"/>
        </w:rPr>
      </w:pPr>
      <w:r>
        <w:rPr>
          <w:rFonts w:hint="eastAsia" w:ascii="仿宋" w:hAnsi="仿宋" w:eastAsia="仿宋" w:cs="仿宋"/>
          <w:sz w:val="24"/>
        </w:rPr>
        <w:t xml:space="preserve">账户名称： </w:t>
      </w:r>
    </w:p>
    <w:p w14:paraId="5B882CB8">
      <w:pPr>
        <w:spacing w:line="420" w:lineRule="exact"/>
        <w:ind w:firstLine="480" w:firstLineChars="200"/>
        <w:rPr>
          <w:rFonts w:hint="eastAsia" w:ascii="仿宋" w:hAnsi="仿宋" w:eastAsia="仿宋" w:cs="仿宋"/>
          <w:sz w:val="24"/>
        </w:rPr>
      </w:pPr>
      <w:r>
        <w:rPr>
          <w:rFonts w:hint="eastAsia" w:ascii="仿宋" w:hAnsi="仿宋" w:eastAsia="仿宋" w:cs="仿宋"/>
          <w:sz w:val="24"/>
        </w:rPr>
        <w:t xml:space="preserve">开户行： </w:t>
      </w:r>
    </w:p>
    <w:p w14:paraId="5FCDD25A">
      <w:pPr>
        <w:spacing w:line="420" w:lineRule="exact"/>
        <w:ind w:firstLine="480" w:firstLineChars="200"/>
        <w:rPr>
          <w:rFonts w:hint="eastAsia" w:ascii="仿宋" w:hAnsi="仿宋" w:eastAsia="仿宋" w:cs="仿宋"/>
          <w:sz w:val="24"/>
        </w:rPr>
      </w:pPr>
      <w:r>
        <w:rPr>
          <w:rFonts w:hint="eastAsia" w:ascii="仿宋" w:hAnsi="仿宋" w:eastAsia="仿宋" w:cs="仿宋"/>
          <w:sz w:val="24"/>
        </w:rPr>
        <w:t>账  号：</w:t>
      </w:r>
    </w:p>
    <w:p w14:paraId="17BDE94B">
      <w:pPr>
        <w:spacing w:line="400" w:lineRule="exact"/>
        <w:ind w:firstLine="480"/>
        <w:rPr>
          <w:rFonts w:hint="eastAsia" w:ascii="仿宋" w:hAnsi="仿宋" w:eastAsia="仿宋" w:cs="仿宋"/>
          <w:sz w:val="24"/>
        </w:rPr>
      </w:pPr>
      <w:r>
        <w:rPr>
          <w:rFonts w:hint="eastAsia" w:ascii="仿宋" w:hAnsi="仿宋" w:eastAsia="仿宋" w:cs="仿宋"/>
          <w:sz w:val="24"/>
        </w:rPr>
        <w:t>纳税人识别号：</w:t>
      </w:r>
    </w:p>
    <w:p w14:paraId="52748E9F">
      <w:pPr>
        <w:spacing w:line="400" w:lineRule="exact"/>
        <w:ind w:firstLine="480"/>
        <w:rPr>
          <w:rFonts w:hint="eastAsia" w:ascii="仿宋" w:hAnsi="仿宋" w:eastAsia="仿宋" w:cs="仿宋_GB2312"/>
          <w:sz w:val="24"/>
        </w:rPr>
      </w:pPr>
      <w:r>
        <w:rPr>
          <w:rFonts w:hint="eastAsia" w:ascii="仿宋" w:hAnsi="仿宋" w:eastAsia="仿宋" w:cs="仿宋"/>
          <w:sz w:val="24"/>
          <w:lang w:val="en-US" w:eastAsia="zh-CN"/>
        </w:rPr>
        <w:t>10</w:t>
      </w:r>
      <w:r>
        <w:rPr>
          <w:rFonts w:hint="eastAsia" w:ascii="仿宋" w:hAnsi="仿宋" w:eastAsia="仿宋" w:cs="仿宋"/>
          <w:sz w:val="24"/>
        </w:rPr>
        <w:t>.</w:t>
      </w:r>
      <w:r>
        <w:rPr>
          <w:rFonts w:hint="eastAsia" w:ascii="仿宋" w:hAnsi="仿宋" w:eastAsia="仿宋" w:cs="仿宋_GB2312"/>
          <w:sz w:val="24"/>
        </w:rPr>
        <w:t>乙方应向甲方提供真实有效的银行账户，银行账户如有变更，应立即书面通知甲方，如乙方银行账户变更未书面通知甲方，甲方向本合同约定的收款账户付款造成乙方实际未收到款的，该责任由乙方自行承担。未经甲方书面认可，乙方不得将应收款项转让给任何第三方或让任何第三方代收，否则甲方有权拒绝付款。</w:t>
      </w:r>
    </w:p>
    <w:p w14:paraId="49420F1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lang w:val="en-US" w:eastAsia="zh-CN"/>
        </w:rPr>
        <w:t>11</w:t>
      </w:r>
      <w:r>
        <w:rPr>
          <w:rFonts w:hint="eastAsia" w:ascii="仿宋" w:hAnsi="仿宋" w:eastAsia="仿宋" w:cs="仿宋_GB2312"/>
          <w:sz w:val="24"/>
        </w:rPr>
        <w:t>.若本合同付款涉及甲方内部或财政审批迟延的特殊情况，因该种情况造成付款延迟的不视为甲方违约，乙方应继续履行本合同项下义务</w:t>
      </w:r>
    </w:p>
    <w:p w14:paraId="577D76D2">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第四条  具体服务要求与成果交付</w:t>
      </w:r>
    </w:p>
    <w:p w14:paraId="7002918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1.主体结构检测：对4栋建筑梁、板、柱、墙体等主体构件开展强度、变形、裂缝、损伤检测，完成结构整体稳定性、抗震性能验算，出具结构安全性评级结论。</w:t>
      </w:r>
    </w:p>
    <w:p w14:paraId="62156A8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2.地基基础检测：排查地基不均匀沉降、构件开裂、结构倾斜等问题，核验地基基础整体稳定性，出具地基基础安全评估结论。</w:t>
      </w:r>
    </w:p>
    <w:p w14:paraId="5F75FE2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楼层承重专项评估（核心要求）：逐楼层验算承重构件承载能力，明确各楼层设计活荷载、实际承载限值；针对大型医疗设备布设区域开展局部专项验算，出具明确的设备放置、楼层使用安全建议，形成独立完整的承重评估专篇。</w:t>
      </w:r>
    </w:p>
    <w:p w14:paraId="7E5B25C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4.综合承载力复核：结合甲方二次消防整改、临建转永久、院区改造及设备布设需求，完成全部关键构件承载力复核，确保成果适配甲方各项报审及使用需求。</w:t>
      </w:r>
    </w:p>
    <w:p w14:paraId="66FCDB6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5.成果交付标准</w:t>
      </w:r>
    </w:p>
    <w:p w14:paraId="5DD1E5C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（1）每栋建筑单独出具加盖乙方检测鉴定资质公章的《房屋结构安全检测鉴定报告》；</w:t>
      </w:r>
    </w:p>
    <w:p w14:paraId="031D31D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（2）所有报告必须包含楼层承重性评估专篇，数据完整、结论明确、建议可落地；</w:t>
      </w:r>
    </w:p>
    <w:p w14:paraId="102FD02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（3）交付纸质报告一式四份、电子版报告一份（U盘或邮件交付）；</w:t>
      </w:r>
    </w:p>
    <w:p w14:paraId="6AECF524">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（4）所有成果需符合住建、消防报审相关规范，可直接用于甲方二消申报、临建转永久备案使用。</w:t>
      </w:r>
    </w:p>
    <w:p w14:paraId="55486AF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6.现场作业要求</w:t>
      </w:r>
    </w:p>
    <w:p w14:paraId="0CD6AAF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（1）乙方进场作业需遵守甲方院内安全、治安、防疫及现场管理规定，提前报备作业计划；</w:t>
      </w:r>
    </w:p>
    <w:p w14:paraId="4F02170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（2）如需开展微破损检测，必须提前取得甲方书面同意，检测完成后由乙方自费完成修复，恢复现场原貌；</w:t>
      </w:r>
    </w:p>
    <w:p w14:paraId="18825B9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（3）乙方全程落实安全防护措施，作业过程中发生的人员伤亡、设备损坏、财产损失等全部责任由乙方承担。</w:t>
      </w:r>
    </w:p>
    <w:p w14:paraId="66CE4F45">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第五条  双方权利与义务</w:t>
      </w:r>
    </w:p>
    <w:p w14:paraId="7AED24B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（一）甲方权利与义务</w:t>
      </w:r>
    </w:p>
    <w:p w14:paraId="1A277FE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1.甲方有权全程监督乙方现场作业、检测流程、成果编制全过程，对不规范作业、不合格成果有权要求乙方整改、返工。</w:t>
      </w:r>
    </w:p>
    <w:p w14:paraId="1922761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2.甲方负责提供作业场地通行、基础资料配合，协助乙方协调院内作业事宜。</w:t>
      </w:r>
    </w:p>
    <w:p w14:paraId="34C81E6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3.甲方按合同约定，对乙方合格成果及时验收、按时支付服务费用。</w:t>
      </w:r>
    </w:p>
    <w:p w14:paraId="40C47CC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4.甲方有权对报告内容、承重评估结论进行核查，对存疑内容要求乙方免费答疑、补充说明。</w:t>
      </w:r>
    </w:p>
    <w:p w14:paraId="2C9ABC8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（二）乙方权利与义务</w:t>
      </w:r>
    </w:p>
    <w:p w14:paraId="73A332F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1.乙方有权在完成全部合格服务成果后，要求甲方按时足额支付合同款项。</w:t>
      </w:r>
    </w:p>
    <w:p w14:paraId="1B88BFB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2.乙方必须具备本项目对应的检测资质、技术能力，严格按照国家现行规范、招标文件及本合同约定开展全部检测鉴定工作。</w:t>
      </w:r>
    </w:p>
    <w:p w14:paraId="001362E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3.乙方保证所有检测数据真实、准确、完整，报告结论合法有效，可满足甲方二消申报、临建转永久、院区安全使用及改造需求。</w:t>
      </w:r>
    </w:p>
    <w:p w14:paraId="009D0A1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4.本项目严禁转包、违法分包，一经发现，甲方有权单方解除合同、追究乙方违约责任。</w:t>
      </w:r>
    </w:p>
    <w:p w14:paraId="62944515">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5.乙方需自主负责工作人员用工、薪酬、社保、安全管理，所有用工纠纷、安全事故、财产损失由乙方全权承担，与甲方无关。</w:t>
      </w:r>
    </w:p>
    <w:p w14:paraId="29BC763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6.报告交付后，乙方需长期免费为甲方提供报告答疑、技术咨询服务，配合甲方完成报审、核查答疑工作。</w:t>
      </w:r>
    </w:p>
    <w:p w14:paraId="0B65BD45">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第六条  服务团队</w:t>
      </w:r>
    </w:p>
    <w:p w14:paraId="3AE65C8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1.乙方指派</w:t>
      </w:r>
      <w:r>
        <w:rPr>
          <w:rFonts w:hint="eastAsia" w:ascii="仿宋" w:hAnsi="仿宋" w:eastAsia="仿宋" w:cs="仿宋_GB2312"/>
          <w:sz w:val="24"/>
          <w:u w:val="single"/>
        </w:rPr>
        <w:t xml:space="preserve">  </w:t>
      </w:r>
      <w:r>
        <w:rPr>
          <w:rFonts w:ascii="仿宋" w:hAnsi="仿宋" w:eastAsia="仿宋" w:cs="仿宋_GB2312"/>
          <w:sz w:val="24"/>
          <w:u w:val="single"/>
        </w:rPr>
        <w:t xml:space="preserve">  </w:t>
      </w:r>
      <w:r>
        <w:rPr>
          <w:rFonts w:hint="eastAsia" w:ascii="仿宋" w:hAnsi="仿宋" w:eastAsia="仿宋" w:cs="仿宋_GB2312"/>
          <w:sz w:val="24"/>
          <w:u w:val="single"/>
        </w:rPr>
        <w:t xml:space="preserve"> </w:t>
      </w:r>
      <w:r>
        <w:rPr>
          <w:rFonts w:hint="eastAsia" w:ascii="仿宋" w:hAnsi="仿宋" w:eastAsia="仿宋" w:cs="仿宋_GB2312"/>
          <w:sz w:val="24"/>
        </w:rPr>
        <w:t>为项目负责人（联系方式：</w:t>
      </w:r>
      <w:r>
        <w:rPr>
          <w:rFonts w:hint="eastAsia" w:ascii="仿宋" w:hAnsi="仿宋" w:eastAsia="仿宋" w:cs="仿宋_GB2312"/>
          <w:sz w:val="24"/>
          <w:u w:val="single"/>
        </w:rPr>
        <w:t xml:space="preserve"> </w:t>
      </w:r>
      <w:r>
        <w:rPr>
          <w:rFonts w:ascii="仿宋" w:hAnsi="仿宋" w:eastAsia="仿宋" w:cs="仿宋_GB2312"/>
          <w:sz w:val="24"/>
          <w:u w:val="single"/>
        </w:rPr>
        <w:t xml:space="preserve">    </w:t>
      </w:r>
      <w:r>
        <w:rPr>
          <w:rFonts w:hint="eastAsia" w:ascii="仿宋" w:hAnsi="仿宋" w:eastAsia="仿宋" w:cs="仿宋_GB2312"/>
          <w:sz w:val="24"/>
          <w:u w:val="single"/>
        </w:rPr>
        <w:t xml:space="preserve"> </w:t>
      </w:r>
      <w:r>
        <w:rPr>
          <w:rFonts w:hint="eastAsia" w:ascii="仿宋" w:hAnsi="仿宋" w:eastAsia="仿宋" w:cs="仿宋_GB2312"/>
          <w:sz w:val="24"/>
        </w:rPr>
        <w:t>）、</w:t>
      </w:r>
      <w:r>
        <w:rPr>
          <w:rFonts w:hint="eastAsia" w:ascii="仿宋" w:hAnsi="仿宋" w:eastAsia="仿宋" w:cs="仿宋_GB2312"/>
          <w:sz w:val="24"/>
          <w:u w:val="single"/>
        </w:rPr>
        <w:t xml:space="preserve">  </w:t>
      </w:r>
      <w:r>
        <w:rPr>
          <w:rFonts w:ascii="仿宋" w:hAnsi="仿宋" w:eastAsia="仿宋" w:cs="仿宋_GB2312"/>
          <w:sz w:val="24"/>
          <w:u w:val="single"/>
        </w:rPr>
        <w:t xml:space="preserve">  </w:t>
      </w:r>
      <w:r>
        <w:rPr>
          <w:rFonts w:hint="eastAsia" w:ascii="仿宋" w:hAnsi="仿宋" w:eastAsia="仿宋" w:cs="仿宋_GB2312"/>
          <w:sz w:val="24"/>
          <w:u w:val="single"/>
        </w:rPr>
        <w:t xml:space="preserve"> </w:t>
      </w:r>
      <w:r>
        <w:rPr>
          <w:rFonts w:hint="eastAsia" w:ascii="仿宋" w:hAnsi="仿宋" w:eastAsia="仿宋" w:cs="仿宋_GB2312"/>
          <w:sz w:val="24"/>
        </w:rPr>
        <w:t>为项目执行负责人（联系方式：</w:t>
      </w:r>
      <w:r>
        <w:rPr>
          <w:rFonts w:ascii="仿宋" w:hAnsi="仿宋" w:eastAsia="仿宋" w:cs="仿宋_GB2312"/>
          <w:sz w:val="24"/>
          <w:u w:val="single"/>
        </w:rPr>
        <w:t xml:space="preserve">      </w:t>
      </w:r>
      <w:r>
        <w:rPr>
          <w:rFonts w:hint="eastAsia" w:ascii="仿宋" w:hAnsi="仿宋" w:eastAsia="仿宋" w:cs="仿宋_GB2312"/>
          <w:sz w:val="24"/>
        </w:rPr>
        <w:t>），项目人员不得少于</w:t>
      </w:r>
      <w:r>
        <w:rPr>
          <w:rFonts w:ascii="仿宋" w:hAnsi="仿宋" w:eastAsia="仿宋" w:cs="仿宋_GB2312"/>
          <w:sz w:val="24"/>
        </w:rPr>
        <w:t xml:space="preserve">   </w:t>
      </w:r>
      <w:r>
        <w:rPr>
          <w:rFonts w:hint="eastAsia" w:ascii="仿宋" w:hAnsi="仿宋" w:eastAsia="仿宋" w:cs="仿宋_GB2312"/>
          <w:sz w:val="24"/>
        </w:rPr>
        <w:t>人，其中具有高级及以上职称人员不得少于</w:t>
      </w:r>
      <w:r>
        <w:rPr>
          <w:rFonts w:ascii="仿宋" w:hAnsi="仿宋" w:eastAsia="仿宋" w:cs="仿宋_GB2312"/>
          <w:sz w:val="24"/>
        </w:rPr>
        <w:t xml:space="preserve">  </w:t>
      </w:r>
      <w:r>
        <w:rPr>
          <w:rFonts w:hint="eastAsia" w:ascii="仿宋" w:hAnsi="仿宋" w:eastAsia="仿宋" w:cs="仿宋_GB2312"/>
          <w:sz w:val="24"/>
        </w:rPr>
        <w:t>人的工作团队为甲方提供服务；未经甲方书面同意，乙方不得随意更换团队成员。</w:t>
      </w:r>
    </w:p>
    <w:p w14:paraId="75E7D75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2.必须使用公司直属人员参与本项目服务，不得使用挂靠队伍。</w:t>
      </w:r>
    </w:p>
    <w:p w14:paraId="25143F09">
      <w:pPr>
        <w:spacing w:line="400" w:lineRule="exact"/>
        <w:ind w:firstLine="480" w:firstLineChars="200"/>
        <w:rPr>
          <w:rFonts w:hint="eastAsia" w:ascii="仿宋" w:hAnsi="仿宋" w:eastAsia="仿宋" w:cs="仿宋_GB2312"/>
          <w:b/>
          <w:bCs/>
          <w:sz w:val="24"/>
        </w:rPr>
      </w:pPr>
      <w:r>
        <w:rPr>
          <w:rFonts w:hint="eastAsia" w:ascii="仿宋" w:hAnsi="仿宋" w:eastAsia="仿宋" w:cs="仿宋_GB2312"/>
          <w:sz w:val="24"/>
        </w:rPr>
        <w:t>3.乙方指派的团队成员资质和能力必须与投标文件中的服务承诺书和服务组织实施方案一致。如甲方对团队成员有异议或要求，乙方保证无条件配合甲方更换团队成员，且更换后人员的资质和能力符合甲方的要求。</w:t>
      </w:r>
    </w:p>
    <w:p w14:paraId="578A3B17">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第七条  服务资料归属</w:t>
      </w:r>
    </w:p>
    <w:p w14:paraId="01F22FD4">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1.所有提交给甲方的服务文件及相关的资料的最后文本，包括为履行服务范围所编制的图纸、计划和证明资料等，都属于甲方的财产，乙方在提交给甲方之前应将上述资料进行整理归类和编制索引。</w:t>
      </w:r>
    </w:p>
    <w:p w14:paraId="6963A90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2.乙方未经甲方的书面同意，不得将上述资料用于与本咨询服务项目之外的任何项目。</w:t>
      </w:r>
    </w:p>
    <w:p w14:paraId="531E6D2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3.合同履行完毕，未经甲方的书面同意，乙方不得保存在履行合同过程中所获得或接触到的任何内部数据资料。</w:t>
      </w:r>
    </w:p>
    <w:p w14:paraId="6848FE3B">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第八条  甲方的权利与义务</w:t>
      </w:r>
    </w:p>
    <w:p w14:paraId="11E009D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1.甲方有权对乙方的工作进行监督和检查、有权对乙方提出修改意见和建议。</w:t>
      </w:r>
    </w:p>
    <w:p w14:paraId="4D2BF98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2.甲方有权对乙方提交的服务成果进行验收，验收不合格的有权要求乙方修改，直至甲方验收合格。</w:t>
      </w:r>
    </w:p>
    <w:p w14:paraId="01FDE024">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3.对于验收合格后的服务成果，甲方应向乙方支付服务费用。</w:t>
      </w:r>
    </w:p>
    <w:p w14:paraId="5C1CA63A">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第九条　乙方的权利与义务</w:t>
      </w:r>
    </w:p>
    <w:p w14:paraId="40A7956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1.乙方有权要求甲方支付服务费用。</w:t>
      </w:r>
    </w:p>
    <w:p w14:paraId="28A91D4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2.对于服务需求不明确的，乙方有权要求甲方明确具体服务需求。</w:t>
      </w:r>
    </w:p>
    <w:p w14:paraId="577F909A">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3.乙方应勤勉尽职地为甲方提供服务，并尽最大努力为满足甲方对乙方的专业服务需求。</w:t>
      </w:r>
    </w:p>
    <w:p w14:paraId="6F5FC940">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4.乙方应在约定时间内按照甲方要求的形式、数量提交服务成果。</w:t>
      </w:r>
    </w:p>
    <w:p w14:paraId="5A21FCD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5.未经甲方书面同意，乙方不得将本合同项下的服务内容全部或部分委托给第三方完成。</w:t>
      </w:r>
    </w:p>
    <w:p w14:paraId="1C65D1F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6.如乙方为提供本合同项下的服务而保管甲方交付的设备、物品等，保管期间，乙方应谨慎尽职，乙方需确保设备、物品的安全，不遭受损害。</w:t>
      </w:r>
    </w:p>
    <w:p w14:paraId="5E64F687">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7.乙方应做到合法用工，与工作人员建立合法的劳动/劳务关系，负责工作人员的工资、社会保险及其他保险的购买。乙方与其工作人员发生的一切纠纷均与甲方无关。</w:t>
      </w:r>
    </w:p>
    <w:p w14:paraId="7A96B26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8.乙方应按照国家规定为工作人员提供合理的工作条件与保护设施，乙方工作人员在甲方场地内除</w:t>
      </w:r>
      <w:r>
        <w:rPr>
          <w:rFonts w:ascii="仿宋" w:hAnsi="仿宋" w:eastAsia="仿宋" w:cs="仿宋_GB2312"/>
          <w:sz w:val="24"/>
        </w:rPr>
        <w:t>甲方原因</w:t>
      </w:r>
      <w:r>
        <w:rPr>
          <w:rFonts w:hint="eastAsia" w:ascii="仿宋" w:hAnsi="仿宋" w:eastAsia="仿宋" w:cs="仿宋_GB2312"/>
          <w:sz w:val="24"/>
        </w:rPr>
        <w:t>发生的一切意外、事故等均由乙方承担，与甲方无关。</w:t>
      </w:r>
    </w:p>
    <w:p w14:paraId="00DF2199">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9.乙方在甲方院内提供服务的，应保证其工作人员严格遵守甲方各项管理规定，服务过程中如造成甲方场所及设施损坏、工作人员人身伤害或第三方人身伤害、财产损失，乙方应承担全部赔偿责任。</w:t>
      </w:r>
    </w:p>
    <w:p w14:paraId="7264F956">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第十条 保证与承诺</w:t>
      </w:r>
    </w:p>
    <w:p w14:paraId="543CB29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1.乙方保证所提供的产品/服务/成果不侵犯任何第三方的知识产权或其他合法权益。</w:t>
      </w:r>
    </w:p>
    <w:p w14:paraId="26A9DD1B">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2.甲乙双方保证对在本次合作中知悉对方的商业秘密履行保密义务，在与本协议无关的工作中，不泄露、不以任何原因任意使用相关的合同、数据、资料与信息等。</w:t>
      </w:r>
    </w:p>
    <w:p w14:paraId="66C93068">
      <w:pPr>
        <w:spacing w:line="400" w:lineRule="exact"/>
        <w:ind w:firstLine="480" w:firstLineChars="200"/>
        <w:rPr>
          <w:rFonts w:hint="eastAsia" w:ascii="仿宋" w:hAnsi="仿宋" w:eastAsia="仿宋" w:cs="仿宋_GB2312"/>
          <w:sz w:val="24"/>
        </w:rPr>
      </w:pPr>
      <w:r>
        <w:rPr>
          <w:rFonts w:ascii="仿宋" w:hAnsi="仿宋" w:eastAsia="仿宋" w:cs="仿宋_GB2312"/>
          <w:sz w:val="24"/>
        </w:rPr>
        <w:t>3</w:t>
      </w:r>
      <w:r>
        <w:rPr>
          <w:rFonts w:hint="eastAsia" w:ascii="仿宋" w:hAnsi="仿宋" w:eastAsia="仿宋" w:cs="仿宋_GB2312"/>
          <w:sz w:val="24"/>
        </w:rPr>
        <w:t>.保密义务应同样适用于甲乙双方的员工、辅助人员和三方合作者。本条款的效力长期有效，不因合同履行完毕、终止而失效。如因司法机关或政府部门要求，甲方上级检查及同级单位学习而对外披露商业秘密的，不视为违反保密义务。</w:t>
      </w:r>
    </w:p>
    <w:p w14:paraId="6DDD2BBE">
      <w:pPr>
        <w:spacing w:line="400" w:lineRule="exact"/>
        <w:ind w:firstLine="480" w:firstLineChars="200"/>
        <w:rPr>
          <w:rFonts w:hint="eastAsia" w:ascii="仿宋" w:hAnsi="仿宋" w:eastAsia="仿宋" w:cs="仿宋_GB2312"/>
          <w:sz w:val="24"/>
        </w:rPr>
      </w:pPr>
      <w:r>
        <w:rPr>
          <w:rFonts w:ascii="仿宋" w:hAnsi="仿宋" w:eastAsia="仿宋" w:cs="仿宋_GB2312"/>
          <w:sz w:val="24"/>
        </w:rPr>
        <w:t>4</w:t>
      </w:r>
      <w:r>
        <w:rPr>
          <w:rFonts w:hint="eastAsia" w:ascii="仿宋" w:hAnsi="仿宋" w:eastAsia="仿宋" w:cs="仿宋_GB2312"/>
          <w:sz w:val="24"/>
        </w:rPr>
        <w:t>.合同履行期间，乙方应主动维护甲方的名誉与利益，不作出任何损害甲方名誉与利益的行为。</w:t>
      </w:r>
    </w:p>
    <w:p w14:paraId="06F12CCA">
      <w:pPr>
        <w:spacing w:line="400" w:lineRule="exact"/>
        <w:ind w:firstLine="480" w:firstLineChars="200"/>
        <w:rPr>
          <w:rFonts w:hint="eastAsia" w:ascii="仿宋" w:hAnsi="仿宋" w:eastAsia="仿宋" w:cs="仿宋_GB2312"/>
          <w:sz w:val="24"/>
        </w:rPr>
      </w:pPr>
      <w:r>
        <w:rPr>
          <w:rFonts w:ascii="仿宋" w:hAnsi="仿宋" w:eastAsia="仿宋" w:cs="仿宋_GB2312"/>
          <w:sz w:val="24"/>
        </w:rPr>
        <w:t>5</w:t>
      </w:r>
      <w:r>
        <w:rPr>
          <w:rFonts w:hint="eastAsia" w:ascii="仿宋" w:hAnsi="仿宋" w:eastAsia="仿宋" w:cs="仿宋_GB2312"/>
          <w:sz w:val="24"/>
        </w:rPr>
        <w:t>.未经甲方事先书面同意，乙方不得使用甲方名义等对外进行宣传。</w:t>
      </w:r>
    </w:p>
    <w:p w14:paraId="6B1123AA">
      <w:pPr>
        <w:spacing w:line="400" w:lineRule="exact"/>
        <w:ind w:firstLine="480" w:firstLineChars="200"/>
        <w:rPr>
          <w:rFonts w:hint="eastAsia" w:ascii="仿宋" w:hAnsi="仿宋" w:eastAsia="仿宋" w:cs="仿宋_GB2312"/>
          <w:sz w:val="24"/>
        </w:rPr>
      </w:pPr>
      <w:r>
        <w:rPr>
          <w:rFonts w:ascii="仿宋" w:hAnsi="仿宋" w:eastAsia="仿宋" w:cs="仿宋_GB2312"/>
          <w:sz w:val="24"/>
        </w:rPr>
        <w:t>6</w:t>
      </w:r>
      <w:r>
        <w:rPr>
          <w:rFonts w:hint="eastAsia" w:ascii="仿宋" w:hAnsi="仿宋" w:eastAsia="仿宋" w:cs="仿宋_GB2312"/>
          <w:sz w:val="24"/>
        </w:rPr>
        <w:t>.乙方及乙方参加项目的有关人员均需同甲方签订保密协议。</w:t>
      </w:r>
    </w:p>
    <w:p w14:paraId="6FA0EED2">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第十一条  免责条款</w:t>
      </w:r>
    </w:p>
    <w:p w14:paraId="49E5AA4C">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若甲、乙双方的任何一方由于不可抗力原因造成不能及时履行或不能履行合同时，应及时向对方通报不能履行或不能及时履行的理由，在取得有关证明后，允许延期履行、部分履行或不履行合同，并根据情况，免除相应责任。</w:t>
      </w:r>
    </w:p>
    <w:p w14:paraId="2A593E7F">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第十二条  违约责任</w:t>
      </w:r>
    </w:p>
    <w:p w14:paraId="1319ED99">
      <w:pPr>
        <w:spacing w:line="400" w:lineRule="exact"/>
        <w:ind w:firstLine="480" w:firstLineChars="200"/>
        <w:rPr>
          <w:rFonts w:hint="eastAsia" w:ascii="仿宋" w:hAnsi="仿宋" w:eastAsia="仿宋" w:cs="仿宋_GB2312"/>
          <w:sz w:val="24"/>
        </w:rPr>
      </w:pPr>
      <w:bookmarkStart w:id="18" w:name="_Hlk42353112"/>
      <w:r>
        <w:rPr>
          <w:rFonts w:hint="eastAsia" w:ascii="仿宋" w:hAnsi="仿宋" w:eastAsia="仿宋" w:cs="仿宋_GB2312"/>
          <w:sz w:val="24"/>
        </w:rPr>
        <w:t>1.双方均应忠实履行合同约定的各项内容，任何一方违反本合同，均应承担违约责任。双方约定如一方违反合同约定，则违约方应向守约方支付违约金，违约金的金额为合同总价款的</w:t>
      </w:r>
      <w:r>
        <w:rPr>
          <w:rFonts w:hint="eastAsia" w:ascii="仿宋" w:hAnsi="仿宋" w:eastAsia="仿宋" w:cs="仿宋_GB2312"/>
          <w:sz w:val="24"/>
          <w:u w:val="single"/>
        </w:rPr>
        <w:t>（</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u w:val="single"/>
        </w:rPr>
        <w:t>）</w:t>
      </w:r>
      <w:r>
        <w:rPr>
          <w:rFonts w:hint="eastAsia" w:ascii="仿宋" w:hAnsi="仿宋" w:eastAsia="仿宋" w:cs="仿宋_GB2312"/>
          <w:sz w:val="24"/>
        </w:rPr>
        <w:t>%，因一方违约给另一方造成经济损失的，违约方除应支付违约金外，还应另行根据守约方遭受损失的实际情况进行赔偿，赔偿范围包括直接损失、守约方因维权而产生的律师费、鉴定费、差旅费、诉讼费、保全费、保全担保费等合理支出。</w:t>
      </w:r>
    </w:p>
    <w:bookmarkEnd w:id="18"/>
    <w:p w14:paraId="423E62C1">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2.乙方未按照双方约定的时间提交服务成果的，每延迟一天，应该按照服务费用金额的</w:t>
      </w:r>
      <w:r>
        <w:rPr>
          <w:rFonts w:hint="eastAsia" w:ascii="仿宋" w:hAnsi="仿宋" w:eastAsia="仿宋" w:cs="仿宋_GB2312"/>
          <w:sz w:val="24"/>
          <w:u w:val="single"/>
        </w:rPr>
        <w:t>1</w:t>
      </w:r>
      <w:r>
        <w:rPr>
          <w:rFonts w:hint="eastAsia" w:ascii="仿宋" w:hAnsi="仿宋" w:eastAsia="仿宋" w:cs="仿宋_GB2312"/>
          <w:sz w:val="24"/>
        </w:rPr>
        <w:t>‰向甲方支付违约金。</w:t>
      </w:r>
    </w:p>
    <w:p w14:paraId="2450F19E">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3.发生以下情形之一，甲方有权单方解除本合同，乙方应向甲方退回已支付的全部款项，且甲方有权要求乙方按照服务费总金额的</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%支付违约金：</w:t>
      </w:r>
    </w:p>
    <w:p w14:paraId="081A3AB3">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（1）乙方延迟提交服务成果超过</w:t>
      </w:r>
      <w:r>
        <w:rPr>
          <w:rFonts w:hint="eastAsia" w:ascii="仿宋" w:hAnsi="仿宋" w:eastAsia="仿宋" w:cs="仿宋_GB2312"/>
          <w:sz w:val="24"/>
          <w:u w:val="single"/>
        </w:rPr>
        <w:t xml:space="preserve"> </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u w:val="single"/>
        </w:rPr>
        <w:t xml:space="preserve"> </w:t>
      </w:r>
      <w:r>
        <w:rPr>
          <w:rFonts w:hint="eastAsia" w:ascii="仿宋" w:hAnsi="仿宋" w:eastAsia="仿宋" w:cs="仿宋_GB2312"/>
          <w:sz w:val="24"/>
        </w:rPr>
        <w:t>天；</w:t>
      </w:r>
    </w:p>
    <w:p w14:paraId="1697539E">
      <w:pPr>
        <w:spacing w:line="400" w:lineRule="exact"/>
        <w:ind w:firstLine="480" w:firstLineChars="200"/>
        <w:rPr>
          <w:rFonts w:ascii="仿宋" w:hAnsi="仿宋" w:eastAsia="仿宋" w:cs="仿宋_GB2312"/>
          <w:sz w:val="24"/>
        </w:rPr>
      </w:pPr>
      <w:r>
        <w:rPr>
          <w:rFonts w:hint="eastAsia" w:ascii="仿宋" w:hAnsi="仿宋" w:eastAsia="仿宋" w:cs="仿宋_GB2312"/>
          <w:sz w:val="24"/>
        </w:rPr>
        <w:t>（2）未经甲方书面同意，乙方将本合同项下部分或全部工作委托给第三方承担的；</w:t>
      </w:r>
    </w:p>
    <w:p w14:paraId="22CA1196">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（3）乙方提交的服务成果未能通过甲方验收，乙方拒绝整改或经二次整改后仍未能通过甲方验收的。</w:t>
      </w:r>
    </w:p>
    <w:p w14:paraId="0DB5BD22">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4.如乙方原因导致提供的服务成果存在侵犯第三方知识产权或其他合法权益的情形，乙方除了承担全部赔偿责任之外，还应按照合同总金额</w:t>
      </w:r>
      <w:r>
        <w:rPr>
          <w:rFonts w:hint="eastAsia" w:ascii="仿宋" w:hAnsi="仿宋" w:eastAsia="仿宋" w:cs="仿宋_GB2312"/>
          <w:sz w:val="24"/>
          <w:u w:val="single"/>
          <w:lang w:val="en-US" w:eastAsia="zh-CN"/>
        </w:rPr>
        <w:t xml:space="preserve">   </w:t>
      </w:r>
      <w:r>
        <w:rPr>
          <w:rFonts w:hint="eastAsia" w:ascii="仿宋" w:hAnsi="仿宋" w:eastAsia="仿宋" w:cs="仿宋_GB2312"/>
          <w:sz w:val="24"/>
        </w:rPr>
        <w:t>%向甲方支付违约金。</w:t>
      </w:r>
    </w:p>
    <w:p w14:paraId="14EE1CB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5.甲方有权自应支付给乙方的服务费用中直接扣除各种索赔款项，包括但不限于赔偿款、违约金、律师费、诉讼费、鉴定费等。</w:t>
      </w:r>
    </w:p>
    <w:p w14:paraId="4CD5B385">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第十三条  争议解决</w:t>
      </w:r>
    </w:p>
    <w:p w14:paraId="18374E6D">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因履行本合同引起的或与本合同有关的争议，甲乙双方应首先通过友好协商解决，如果协商不能解决，则通过向甲方所在地有管辖权的人民法院提起诉讼解决。</w:t>
      </w:r>
    </w:p>
    <w:p w14:paraId="02161B13">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第十四条  本合同附件</w:t>
      </w:r>
    </w:p>
    <w:p w14:paraId="26C8CDB8">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以下附件及乙方投标时提供的投标文件和其他相关资料作为本合同的补充内容，具有同等法律效力。</w:t>
      </w:r>
    </w:p>
    <w:p w14:paraId="05EF3CA2">
      <w:pPr>
        <w:spacing w:line="400" w:lineRule="exact"/>
        <w:ind w:firstLine="480" w:firstLineChars="200"/>
        <w:rPr>
          <w:rFonts w:ascii="仿宋" w:hAnsi="仿宋" w:eastAsia="仿宋" w:cs="仿宋_GB2312"/>
          <w:sz w:val="24"/>
        </w:rPr>
      </w:pPr>
      <w:r>
        <w:rPr>
          <w:rFonts w:hint="eastAsia" w:ascii="仿宋" w:hAnsi="仿宋" w:eastAsia="仿宋" w:cs="仿宋_GB2312"/>
          <w:sz w:val="24"/>
        </w:rPr>
        <w:t>附件1：龙岗区进一步规范政商交往行为告知书；</w:t>
      </w:r>
    </w:p>
    <w:p w14:paraId="53E29F97">
      <w:pPr>
        <w:spacing w:line="400" w:lineRule="exact"/>
        <w:ind w:firstLine="480" w:firstLineChars="200"/>
        <w:rPr>
          <w:rFonts w:ascii="仿宋" w:hAnsi="仿宋" w:eastAsia="仿宋" w:cs="仿宋_GB2312"/>
          <w:sz w:val="24"/>
        </w:rPr>
      </w:pPr>
      <w:r>
        <w:rPr>
          <w:rFonts w:hint="eastAsia" w:ascii="仿宋" w:hAnsi="仿宋" w:eastAsia="仿宋" w:cs="仿宋_GB2312"/>
          <w:sz w:val="24"/>
        </w:rPr>
        <w:t>附件</w:t>
      </w:r>
      <w:r>
        <w:rPr>
          <w:rFonts w:hint="eastAsia" w:ascii="仿宋" w:hAnsi="仿宋" w:eastAsia="仿宋" w:cs="仿宋_GB2312"/>
          <w:sz w:val="24"/>
          <w:lang w:val="en-US" w:eastAsia="zh-CN"/>
        </w:rPr>
        <w:t>2</w:t>
      </w:r>
      <w:r>
        <w:rPr>
          <w:rFonts w:hint="eastAsia" w:ascii="仿宋" w:hAnsi="仿宋" w:eastAsia="仿宋" w:cs="仿宋_GB2312"/>
          <w:sz w:val="24"/>
        </w:rPr>
        <w:t>：</w:t>
      </w:r>
      <w:r>
        <w:rPr>
          <w:rFonts w:hint="eastAsia" w:ascii="仿宋" w:hAnsi="仿宋" w:eastAsia="仿宋" w:cs="仿宋_GB2312"/>
          <w:sz w:val="24"/>
          <w:lang w:val="en-US" w:eastAsia="zh-CN"/>
        </w:rPr>
        <w:t>龙岗区第七人民医院廉洁购销合同</w:t>
      </w:r>
      <w:r>
        <w:rPr>
          <w:rFonts w:hint="eastAsia" w:ascii="仿宋" w:hAnsi="仿宋" w:eastAsia="仿宋" w:cs="仿宋_GB2312"/>
          <w:sz w:val="24"/>
        </w:rPr>
        <w:t>；</w:t>
      </w:r>
    </w:p>
    <w:p w14:paraId="695F0BAF">
      <w:pPr>
        <w:spacing w:line="400" w:lineRule="exact"/>
        <w:ind w:firstLine="480" w:firstLineChars="200"/>
        <w:rPr>
          <w:rFonts w:hint="eastAsia" w:ascii="仿宋" w:hAnsi="仿宋" w:eastAsia="仿宋" w:cs="仿宋_GB2312"/>
          <w:sz w:val="24"/>
        </w:rPr>
      </w:pPr>
      <w:r>
        <w:rPr>
          <w:rFonts w:hint="eastAsia" w:ascii="仿宋" w:hAnsi="仿宋" w:eastAsia="仿宋" w:cs="仿宋_GB2312"/>
          <w:sz w:val="24"/>
        </w:rPr>
        <w:t>附件</w:t>
      </w:r>
      <w:r>
        <w:rPr>
          <w:rFonts w:hint="eastAsia" w:ascii="仿宋" w:hAnsi="仿宋" w:eastAsia="仿宋" w:cs="仿宋_GB2312"/>
          <w:sz w:val="24"/>
          <w:lang w:val="en-US" w:eastAsia="zh-CN"/>
        </w:rPr>
        <w:t>3</w:t>
      </w:r>
      <w:r>
        <w:rPr>
          <w:rFonts w:hint="eastAsia" w:ascii="仿宋" w:hAnsi="仿宋" w:eastAsia="仿宋" w:cs="仿宋_GB2312"/>
          <w:sz w:val="24"/>
        </w:rPr>
        <w:t>：安全</w:t>
      </w:r>
      <w:r>
        <w:rPr>
          <w:rFonts w:hint="eastAsia" w:ascii="仿宋" w:hAnsi="仿宋" w:eastAsia="仿宋" w:cs="仿宋_GB2312"/>
          <w:sz w:val="24"/>
          <w:lang w:val="en-US" w:eastAsia="zh-CN"/>
        </w:rPr>
        <w:t>生产责任协议书</w:t>
      </w:r>
      <w:r>
        <w:rPr>
          <w:rFonts w:hint="eastAsia" w:ascii="仿宋" w:hAnsi="仿宋" w:eastAsia="仿宋" w:cs="仿宋_GB2312"/>
          <w:sz w:val="24"/>
        </w:rPr>
        <w:t>。</w:t>
      </w:r>
    </w:p>
    <w:p w14:paraId="31B0090B">
      <w:pPr>
        <w:spacing w:line="400" w:lineRule="exact"/>
        <w:ind w:firstLine="482" w:firstLineChars="200"/>
        <w:rPr>
          <w:rFonts w:hint="eastAsia" w:ascii="仿宋" w:hAnsi="仿宋" w:eastAsia="仿宋" w:cs="仿宋_GB2312"/>
          <w:b/>
          <w:bCs/>
          <w:sz w:val="24"/>
        </w:rPr>
      </w:pPr>
      <w:r>
        <w:rPr>
          <w:rFonts w:hint="eastAsia" w:ascii="仿宋" w:hAnsi="仿宋" w:eastAsia="仿宋" w:cs="仿宋_GB2312"/>
          <w:b/>
          <w:bCs/>
          <w:sz w:val="24"/>
        </w:rPr>
        <w:t>第十五条  合同生效及其它</w:t>
      </w:r>
    </w:p>
    <w:p w14:paraId="697E3911">
      <w:pPr>
        <w:spacing w:line="400" w:lineRule="exact"/>
        <w:ind w:firstLine="480" w:firstLineChars="200"/>
        <w:rPr>
          <w:rFonts w:ascii="仿宋" w:hAnsi="仿宋" w:eastAsia="仿宋" w:cs="仿宋"/>
          <w:sz w:val="24"/>
        </w:rPr>
      </w:pPr>
      <w:r>
        <w:rPr>
          <w:rFonts w:hint="eastAsia" w:ascii="仿宋" w:hAnsi="仿宋" w:eastAsia="仿宋" w:cs="仿宋"/>
          <w:sz w:val="24"/>
        </w:rPr>
        <w:t>1.在本合同中，明确约定服务执行的标准与依据，即双方应严格遵循中标文件中详尽列明的各项技术参数、性能指标及服务要求，作为本服务提供与验收的核心基准。同时，中标时所附带的承诺书，其所有承诺内容均视为本合同不可分割的组成部分，服务提供方需全面、忠实地履行承诺书中的各项义务与保证，包括但不限于服务质量、时间节点、技术支持及后续服务等关键条款。</w:t>
      </w:r>
    </w:p>
    <w:p w14:paraId="7BCB85D0">
      <w:pPr>
        <w:spacing w:line="400" w:lineRule="exact"/>
        <w:ind w:firstLine="480" w:firstLineChars="200"/>
        <w:rPr>
          <w:rFonts w:hint="eastAsia" w:ascii="仿宋" w:hAnsi="仿宋" w:eastAsia="仿宋" w:cs="仿宋"/>
          <w:sz w:val="24"/>
        </w:rPr>
      </w:pPr>
      <w:r>
        <w:rPr>
          <w:rFonts w:hint="eastAsia" w:ascii="仿宋" w:hAnsi="仿宋" w:eastAsia="仿宋" w:cs="仿宋"/>
          <w:sz w:val="24"/>
        </w:rPr>
        <w:t>2.合同经双方法定代表人或授权委托代表人签字并加盖单位公章或合同专用章后生效。</w:t>
      </w:r>
    </w:p>
    <w:p w14:paraId="6C750881">
      <w:pPr>
        <w:spacing w:line="400" w:lineRule="exact"/>
        <w:ind w:firstLine="480" w:firstLineChars="200"/>
        <w:rPr>
          <w:rFonts w:hint="eastAsia" w:ascii="仿宋" w:hAnsi="仿宋" w:eastAsia="仿宋" w:cs="仿宋"/>
          <w:sz w:val="24"/>
          <w:u w:val="single"/>
        </w:rPr>
      </w:pPr>
      <w:r>
        <w:rPr>
          <w:rFonts w:hint="eastAsia" w:ascii="仿宋" w:hAnsi="仿宋" w:eastAsia="仿宋" w:cs="仿宋"/>
          <w:sz w:val="24"/>
        </w:rPr>
        <w:t>3.其他约定条款：</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5D308714">
      <w:pPr>
        <w:spacing w:line="400" w:lineRule="exact"/>
        <w:ind w:firstLine="480" w:firstLineChars="200"/>
        <w:rPr>
          <w:rFonts w:hint="eastAsia" w:ascii="仿宋" w:hAnsi="仿宋" w:eastAsia="仿宋" w:cs="仿宋"/>
          <w:sz w:val="24"/>
        </w:rPr>
      </w:pPr>
      <w:r>
        <w:rPr>
          <w:rFonts w:hint="eastAsia" w:ascii="仿宋" w:hAnsi="仿宋" w:eastAsia="仿宋" w:cs="仿宋"/>
          <w:sz w:val="24"/>
        </w:rPr>
        <w:t>4.本合同未尽事宜，遵照《民法典》有关条文执行。</w:t>
      </w:r>
    </w:p>
    <w:p w14:paraId="6CA25489">
      <w:pPr>
        <w:spacing w:line="400" w:lineRule="exact"/>
        <w:ind w:left="210" w:leftChars="100" w:firstLine="240" w:firstLineChars="100"/>
        <w:rPr>
          <w:rFonts w:hint="eastAsia" w:ascii="仿宋" w:hAnsi="仿宋" w:eastAsia="仿宋" w:cs="Times New Roman"/>
          <w:sz w:val="24"/>
        </w:rPr>
      </w:pPr>
      <w:r>
        <w:rPr>
          <w:rFonts w:hint="eastAsia" w:ascii="仿宋" w:hAnsi="仿宋" w:eastAsia="仿宋" w:cs="仿宋"/>
          <w:sz w:val="24"/>
        </w:rPr>
        <w:t>5.本合同正本一式</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陆</w:t>
      </w:r>
      <w:r>
        <w:rPr>
          <w:rFonts w:hint="eastAsia" w:ascii="仿宋" w:hAnsi="仿宋" w:eastAsia="仿宋" w:cs="仿宋"/>
          <w:sz w:val="24"/>
          <w:u w:val="single"/>
        </w:rPr>
        <w:t xml:space="preserve"> </w:t>
      </w:r>
      <w:r>
        <w:rPr>
          <w:rFonts w:hint="eastAsia" w:ascii="仿宋" w:hAnsi="仿宋" w:eastAsia="仿宋" w:cs="仿宋"/>
          <w:sz w:val="24"/>
        </w:rPr>
        <w:t>份，具有同等法律效力，甲方执</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肆</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贰</w:t>
      </w:r>
      <w:r>
        <w:rPr>
          <w:rFonts w:hint="eastAsia" w:ascii="仿宋" w:hAnsi="仿宋" w:eastAsia="仿宋" w:cs="仿宋"/>
          <w:sz w:val="24"/>
        </w:rPr>
        <w:t>份。</w:t>
      </w:r>
    </w:p>
    <w:p w14:paraId="361B8BD5">
      <w:pPr>
        <w:spacing w:line="440" w:lineRule="exact"/>
        <w:ind w:firstLine="420"/>
        <w:rPr>
          <w:rFonts w:ascii="Times New Roman" w:hAnsi="Times New Roman" w:cs="Times New Roman"/>
          <w:szCs w:val="20"/>
        </w:rPr>
      </w:pPr>
    </w:p>
    <w:tbl>
      <w:tblPr>
        <w:tblStyle w:val="19"/>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6"/>
        <w:gridCol w:w="4397"/>
      </w:tblGrid>
      <w:tr w14:paraId="69D0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846" w:type="dxa"/>
            <w:shd w:val="clear" w:color="auto" w:fill="auto"/>
            <w:noWrap/>
          </w:tcPr>
          <w:p w14:paraId="3448040B">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甲方（盖章）：深圳市龙岗区第七人民医院</w:t>
            </w:r>
          </w:p>
        </w:tc>
        <w:tc>
          <w:tcPr>
            <w:tcW w:w="4397" w:type="dxa"/>
            <w:shd w:val="clear" w:color="auto" w:fill="auto"/>
            <w:noWrap/>
          </w:tcPr>
          <w:p w14:paraId="21DCA819">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乙方（盖章）： </w:t>
            </w:r>
          </w:p>
        </w:tc>
      </w:tr>
      <w:tr w14:paraId="43EF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46" w:type="dxa"/>
            <w:shd w:val="clear" w:color="auto" w:fill="auto"/>
            <w:noWrap/>
          </w:tcPr>
          <w:p w14:paraId="0A6D4521">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地 址： </w:t>
            </w:r>
          </w:p>
        </w:tc>
        <w:tc>
          <w:tcPr>
            <w:tcW w:w="4397" w:type="dxa"/>
            <w:shd w:val="clear" w:color="auto" w:fill="auto"/>
            <w:noWrap/>
          </w:tcPr>
          <w:p w14:paraId="056ABB2A">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 xml:space="preserve">地 址： </w:t>
            </w:r>
          </w:p>
        </w:tc>
      </w:tr>
      <w:tr w14:paraId="55E8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46" w:type="dxa"/>
            <w:shd w:val="clear" w:color="auto" w:fill="auto"/>
            <w:noWrap/>
          </w:tcPr>
          <w:p w14:paraId="24014512">
            <w:pPr>
              <w:spacing w:line="360" w:lineRule="auto"/>
              <w:ind w:firstLine="482"/>
              <w:rPr>
                <w:rFonts w:hint="eastAsia" w:ascii="仿宋" w:hAnsi="仿宋" w:eastAsia="仿宋" w:cs="仿宋"/>
                <w:b/>
                <w:bCs/>
                <w:kern w:val="0"/>
                <w:sz w:val="24"/>
              </w:rPr>
            </w:pPr>
            <w:r>
              <w:rPr>
                <w:rFonts w:hint="eastAsia" w:ascii="仿宋" w:hAnsi="仿宋" w:eastAsia="仿宋" w:cs="仿宋"/>
                <w:b/>
                <w:bCs/>
                <w:color w:val="000000"/>
                <w:sz w:val="24"/>
              </w:rPr>
              <w:t>电 话：</w:t>
            </w:r>
          </w:p>
        </w:tc>
        <w:tc>
          <w:tcPr>
            <w:tcW w:w="4397" w:type="dxa"/>
            <w:shd w:val="clear" w:color="auto" w:fill="auto"/>
            <w:noWrap/>
          </w:tcPr>
          <w:p w14:paraId="5A867FE3">
            <w:pPr>
              <w:spacing w:line="360" w:lineRule="auto"/>
              <w:ind w:firstLine="482"/>
              <w:rPr>
                <w:rFonts w:hint="eastAsia" w:ascii="仿宋" w:hAnsi="仿宋" w:eastAsia="仿宋" w:cs="仿宋"/>
                <w:b/>
                <w:bCs/>
                <w:color w:val="000000"/>
                <w:sz w:val="24"/>
              </w:rPr>
            </w:pPr>
            <w:r>
              <w:rPr>
                <w:rFonts w:hint="eastAsia" w:ascii="仿宋" w:hAnsi="仿宋" w:eastAsia="仿宋" w:cs="仿宋"/>
                <w:b/>
                <w:bCs/>
                <w:color w:val="000000"/>
                <w:sz w:val="24"/>
              </w:rPr>
              <w:t>电 话：</w:t>
            </w:r>
          </w:p>
        </w:tc>
      </w:tr>
      <w:tr w14:paraId="1144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846" w:type="dxa"/>
            <w:shd w:val="clear" w:color="auto" w:fill="auto"/>
            <w:noWrap/>
          </w:tcPr>
          <w:p w14:paraId="1FAC2C55">
            <w:pPr>
              <w:spacing w:line="360" w:lineRule="auto"/>
              <w:ind w:firstLine="482"/>
              <w:rPr>
                <w:rFonts w:hint="eastAsia" w:ascii="仿宋" w:hAnsi="仿宋" w:eastAsia="仿宋" w:cs="仿宋"/>
                <w:b/>
                <w:bCs/>
                <w:kern w:val="0"/>
                <w:sz w:val="24"/>
              </w:rPr>
            </w:pPr>
            <w:r>
              <w:rPr>
                <w:rFonts w:hint="eastAsia" w:ascii="仿宋" w:hAnsi="仿宋" w:eastAsia="仿宋" w:cs="仿宋"/>
                <w:b/>
                <w:bCs/>
                <w:kern w:val="0"/>
                <w:sz w:val="24"/>
              </w:rPr>
              <w:t>甲方法定代表人或授权人（签字）：</w:t>
            </w:r>
          </w:p>
          <w:p w14:paraId="06C691F2">
            <w:pPr>
              <w:ind w:firstLine="420"/>
              <w:rPr>
                <w:rFonts w:ascii="Times New Roman" w:hAnsi="Times New Roman" w:cs="Times New Roman"/>
                <w:szCs w:val="20"/>
              </w:rPr>
            </w:pPr>
          </w:p>
          <w:p w14:paraId="585AD17F">
            <w:pPr>
              <w:ind w:firstLine="420"/>
              <w:rPr>
                <w:rFonts w:ascii="Times New Roman" w:hAnsi="Times New Roman" w:cs="Times New Roman"/>
                <w:szCs w:val="20"/>
              </w:rPr>
            </w:pPr>
          </w:p>
          <w:p w14:paraId="133D2E43">
            <w:pPr>
              <w:spacing w:line="360" w:lineRule="auto"/>
              <w:ind w:firstLine="482"/>
              <w:rPr>
                <w:rFonts w:ascii="Times New Roman" w:hAnsi="Times New Roman" w:cs="Times New Roman"/>
              </w:rPr>
            </w:pPr>
            <w:r>
              <w:rPr>
                <w:rFonts w:hint="eastAsia" w:ascii="仿宋" w:hAnsi="仿宋" w:eastAsia="仿宋" w:cs="仿宋"/>
                <w:b/>
                <w:bCs/>
                <w:kern w:val="0"/>
                <w:sz w:val="24"/>
              </w:rPr>
              <w:t>分管领导、经办科室负责人（签字）：</w:t>
            </w:r>
          </w:p>
        </w:tc>
        <w:tc>
          <w:tcPr>
            <w:tcW w:w="4397" w:type="dxa"/>
            <w:shd w:val="clear" w:color="auto" w:fill="auto"/>
            <w:noWrap/>
          </w:tcPr>
          <w:p w14:paraId="06F7D067">
            <w:pPr>
              <w:spacing w:line="360" w:lineRule="auto"/>
              <w:ind w:firstLine="482"/>
              <w:rPr>
                <w:rFonts w:ascii="Times New Roman" w:hAnsi="Times New Roman" w:cs="Times New Roman"/>
              </w:rPr>
            </w:pPr>
            <w:r>
              <w:rPr>
                <w:rFonts w:hint="eastAsia" w:ascii="仿宋" w:hAnsi="仿宋" w:eastAsia="仿宋" w:cs="仿宋"/>
                <w:b/>
                <w:bCs/>
                <w:kern w:val="0"/>
                <w:sz w:val="24"/>
              </w:rPr>
              <w:t>乙方法定代表人或授权人（签字）：</w:t>
            </w:r>
          </w:p>
        </w:tc>
      </w:tr>
      <w:tr w14:paraId="237B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3" w:type="dxa"/>
            <w:gridSpan w:val="2"/>
            <w:shd w:val="clear" w:color="auto" w:fill="auto"/>
            <w:noWrap/>
            <w:vAlign w:val="center"/>
          </w:tcPr>
          <w:p w14:paraId="0E667369">
            <w:pPr>
              <w:spacing w:line="480" w:lineRule="exact"/>
              <w:ind w:firstLine="482"/>
              <w:jc w:val="center"/>
              <w:rPr>
                <w:rFonts w:hint="eastAsia" w:ascii="仿宋" w:hAnsi="仿宋" w:eastAsia="仿宋" w:cs="仿宋"/>
                <w:b/>
                <w:bCs/>
                <w:color w:val="000000"/>
                <w:sz w:val="24"/>
              </w:rPr>
            </w:pPr>
            <w:r>
              <w:rPr>
                <w:rFonts w:hint="eastAsia" w:ascii="仿宋" w:hAnsi="仿宋" w:eastAsia="仿宋" w:cs="仿宋"/>
                <w:b/>
                <w:bCs/>
                <w:color w:val="000000"/>
                <w:sz w:val="24"/>
              </w:rPr>
              <w:t>签约时间：    年  月  日</w:t>
            </w:r>
          </w:p>
          <w:p w14:paraId="51DE388E">
            <w:pPr>
              <w:spacing w:line="480" w:lineRule="exact"/>
              <w:ind w:firstLine="482"/>
              <w:jc w:val="center"/>
              <w:rPr>
                <w:rFonts w:hint="eastAsia" w:ascii="宋体" w:hAnsi="宋体" w:cs="Times New Roman"/>
                <w:kern w:val="0"/>
                <w:sz w:val="24"/>
              </w:rPr>
            </w:pPr>
            <w:r>
              <w:rPr>
                <w:rFonts w:hint="eastAsia" w:ascii="仿宋" w:hAnsi="仿宋" w:eastAsia="仿宋" w:cs="仿宋"/>
                <w:b/>
                <w:bCs/>
                <w:color w:val="000000"/>
                <w:sz w:val="24"/>
              </w:rPr>
              <w:t>签约地址：深圳市龙岗区第七人民医院</w:t>
            </w:r>
          </w:p>
        </w:tc>
      </w:tr>
    </w:tbl>
    <w:p w14:paraId="6EC2B555">
      <w:pPr>
        <w:spacing w:line="400" w:lineRule="exact"/>
        <w:ind w:firstLine="643"/>
        <w:rPr>
          <w:rFonts w:ascii="Verdana" w:hAnsi="Verdana" w:eastAsia="仿宋_GB2312" w:cs="Times New Roman"/>
          <w:b/>
          <w:bCs/>
          <w:kern w:val="0"/>
          <w:sz w:val="24"/>
        </w:rPr>
      </w:pPr>
      <w:r>
        <w:rPr>
          <w:rFonts w:hint="eastAsia" w:ascii="仿宋" w:hAnsi="仿宋" w:eastAsia="仿宋" w:cs="仿宋_GB2312"/>
          <w:b/>
          <w:bCs/>
          <w:sz w:val="32"/>
          <w:szCs w:val="32"/>
        </w:rPr>
        <w:br w:type="page"/>
      </w:r>
    </w:p>
    <w:p w14:paraId="3021C1FF">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附件1</w:t>
      </w:r>
    </w:p>
    <w:p w14:paraId="2E715373">
      <w:pPr>
        <w:widowControl/>
        <w:spacing w:line="520" w:lineRule="exact"/>
        <w:ind w:firstLine="442" w:firstLineChars="100"/>
        <w:rPr>
          <w:rFonts w:cs="方正小标宋简体" w:asciiTheme="minorEastAsia" w:hAnsiTheme="minorEastAsia" w:eastAsiaTheme="minorEastAsia"/>
          <w:b/>
          <w:color w:val="000000"/>
          <w:kern w:val="0"/>
          <w:sz w:val="44"/>
          <w:szCs w:val="44"/>
        </w:rPr>
      </w:pPr>
      <w:r>
        <w:rPr>
          <w:rFonts w:hint="eastAsia" w:cs="方正小标宋简体" w:asciiTheme="minorEastAsia" w:hAnsiTheme="minorEastAsia" w:eastAsiaTheme="minorEastAsia"/>
          <w:b/>
          <w:color w:val="000000"/>
          <w:kern w:val="0"/>
          <w:sz w:val="44"/>
          <w:szCs w:val="44"/>
        </w:rPr>
        <w:t>龙岗区进一步规范政商交往行为告知书</w:t>
      </w:r>
    </w:p>
    <w:p w14:paraId="7F1C644E">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76A88F62">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一、不得向公职人员赠送礼品、礼金、消费卡等财物。</w:t>
      </w:r>
    </w:p>
    <w:p w14:paraId="4E40C29D">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二、不得违规向公职人员提供宴请、旅游、娱乐等安排。</w:t>
      </w:r>
    </w:p>
    <w:p w14:paraId="41820971">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三、不得通过打麻将等形式向公职人员输送利益。</w:t>
      </w:r>
    </w:p>
    <w:p w14:paraId="06D6D90C">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四、不得为公职人员报销应由其个人支付的费用。</w:t>
      </w:r>
    </w:p>
    <w:p w14:paraId="04E0B28B">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五、不得违规向公职人员及其亲友借贷款。</w:t>
      </w:r>
    </w:p>
    <w:p w14:paraId="5ECD117A">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六、不得违规将车辆、住房等借给公职人员使用。</w:t>
      </w:r>
    </w:p>
    <w:p w14:paraId="05EE096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七、不得在招投标中与公职人员搞暗箱操作、围标串标。</w:t>
      </w:r>
    </w:p>
    <w:p w14:paraId="09BFF8B5">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八、不得为利益相关人和公职人员牵线搭桥或者代为传递信息、传递财物。</w:t>
      </w:r>
    </w:p>
    <w:p w14:paraId="43CBEB94">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九、不得让公职人员在企业违规兼职取酬。</w:t>
      </w:r>
    </w:p>
    <w:p w14:paraId="3DFB3EBA">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十、不得为公职人员亲友违规承揽业务提供便利。</w:t>
      </w:r>
    </w:p>
    <w:p w14:paraId="10EC7A99">
      <w:pPr>
        <w:keepNext w:val="0"/>
        <w:keepLines w:val="0"/>
        <w:pageBreakBefore w:val="0"/>
        <w:kinsoku/>
        <w:wordWrap/>
        <w:overflowPunct/>
        <w:topLinePunct w:val="0"/>
        <w:autoSpaceDE/>
        <w:autoSpaceDN/>
        <w:bidi w:val="0"/>
        <w:adjustRightInd/>
        <w:snapToGrid/>
        <w:spacing w:line="480" w:lineRule="exac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5D77139D">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rPr>
      </w:pPr>
      <w:r>
        <w:rPr>
          <w:rFonts w:hint="eastAsia" w:ascii="仿宋" w:hAnsi="仿宋" w:eastAsia="仿宋" w:cs="仿宋_GB2312"/>
          <w:color w:val="000000"/>
          <w:kern w:val="0"/>
          <w:sz w:val="30"/>
          <w:szCs w:val="30"/>
        </w:rPr>
        <w:t>本人已知晓上述告知内容，并愿意遵照执行（签名、盖章）：</w:t>
      </w:r>
    </w:p>
    <w:p w14:paraId="309BC736">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仿宋_GB2312"/>
          <w:color w:val="000000"/>
          <w:kern w:val="0"/>
          <w:sz w:val="30"/>
          <w:szCs w:val="30"/>
        </w:rPr>
      </w:pPr>
    </w:p>
    <w:p w14:paraId="5A199C2A">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楷体_GB2312"/>
          <w:color w:val="000000"/>
          <w:kern w:val="0"/>
          <w:sz w:val="24"/>
          <w:szCs w:val="24"/>
        </w:rPr>
      </w:pPr>
      <w:r>
        <w:rPr>
          <w:rFonts w:hint="eastAsia" w:ascii="仿宋" w:hAnsi="仿宋" w:eastAsia="仿宋" w:cs="仿宋_GB2312"/>
          <w:color w:val="000000"/>
          <w:kern w:val="0"/>
          <w:sz w:val="30"/>
          <w:szCs w:val="30"/>
        </w:rPr>
        <w:t>20  年  月  日</w:t>
      </w:r>
    </w:p>
    <w:p w14:paraId="512B4E81">
      <w:pPr>
        <w:widowControl/>
        <w:jc w:val="left"/>
        <w:rPr>
          <w:rFonts w:ascii="仿宋" w:hAnsi="仿宋" w:eastAsia="仿宋" w:cs="仿宋_GB2312"/>
          <w:color w:val="000000"/>
          <w:sz w:val="24"/>
          <w:szCs w:val="24"/>
        </w:rPr>
      </w:pPr>
      <w:r>
        <w:rPr>
          <w:rFonts w:ascii="仿宋" w:hAnsi="仿宋" w:eastAsia="仿宋" w:cs="楷体_GB2312"/>
          <w:color w:val="000000"/>
          <w:kern w:val="0"/>
          <w:sz w:val="24"/>
          <w:szCs w:val="24"/>
        </w:rPr>
        <w:t>（本告知书一式两份，一份由被告知人保存，一份由告知人所在单位留存。）</w:t>
      </w:r>
    </w:p>
    <w:p w14:paraId="2F40E899">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附件2</w:t>
      </w:r>
    </w:p>
    <w:p w14:paraId="23237CA2">
      <w:pPr>
        <w:jc w:val="center"/>
        <w:rPr>
          <w:rFonts w:hint="eastAsia" w:ascii="宋体" w:hAnsi="宋体"/>
          <w:b w:val="0"/>
          <w:bCs/>
          <w:sz w:val="44"/>
          <w:szCs w:val="44"/>
        </w:rPr>
      </w:pPr>
      <w:r>
        <w:rPr>
          <w:rFonts w:hint="eastAsia" w:ascii="宋体" w:hAnsi="宋体"/>
          <w:b w:val="0"/>
          <w:bCs/>
          <w:sz w:val="44"/>
          <w:szCs w:val="44"/>
        </w:rPr>
        <w:t>深圳市龙岗区第七人民医院廉洁购销合同</w:t>
      </w:r>
    </w:p>
    <w:p w14:paraId="079CCEB0">
      <w:pPr>
        <w:jc w:val="center"/>
        <w:rPr>
          <w:rFonts w:hint="eastAsia" w:ascii="宋体" w:hAnsi="宋体"/>
          <w:b/>
          <w:sz w:val="24"/>
          <w:szCs w:val="24"/>
        </w:rPr>
      </w:pPr>
    </w:p>
    <w:p w14:paraId="5E007F76">
      <w:pPr>
        <w:spacing w:line="580" w:lineRule="exact"/>
        <w:rPr>
          <w:rFonts w:ascii="仿宋_GB2312" w:hAnsi="ˎ̥" w:eastAsia="仿宋_GB2312"/>
          <w:sz w:val="32"/>
          <w:szCs w:val="32"/>
        </w:rPr>
      </w:pPr>
      <w:r>
        <w:rPr>
          <w:rFonts w:hint="eastAsia" w:ascii="楷体_GB2312" w:hAnsi="ˎ̥" w:eastAsia="楷体_GB2312"/>
          <w:b/>
          <w:sz w:val="32"/>
          <w:szCs w:val="32"/>
        </w:rPr>
        <w:t>甲方</w:t>
      </w:r>
      <w:r>
        <w:rPr>
          <w:rFonts w:hint="eastAsia" w:ascii="仿宋_GB2312" w:hAnsi="ˎ̥" w:eastAsia="仿宋_GB2312"/>
          <w:sz w:val="32"/>
          <w:szCs w:val="32"/>
        </w:rPr>
        <w:t>：深圳市龙岗区第七人民医院</w:t>
      </w:r>
    </w:p>
    <w:p w14:paraId="20289B53">
      <w:pPr>
        <w:spacing w:line="400" w:lineRule="exact"/>
        <w:rPr>
          <w:rFonts w:hint="default" w:ascii="楷体_GB2312" w:hAnsi="ˎ̥" w:eastAsia="仿宋_GB2312"/>
          <w:b/>
          <w:sz w:val="32"/>
          <w:szCs w:val="32"/>
          <w:lang w:val="en-US" w:eastAsia="zh-CN"/>
        </w:rPr>
      </w:pPr>
      <w:r>
        <w:rPr>
          <w:rFonts w:hint="eastAsia" w:ascii="楷体_GB2312" w:hAnsi="ˎ̥" w:eastAsia="楷体_GB2312"/>
          <w:b/>
          <w:sz w:val="32"/>
          <w:szCs w:val="32"/>
        </w:rPr>
        <w:t>乙方</w:t>
      </w:r>
      <w:r>
        <w:rPr>
          <w:rFonts w:hint="eastAsia" w:ascii="仿宋_GB2312" w:hAnsi="ˎ̥" w:eastAsia="仿宋_GB2312"/>
          <w:sz w:val="32"/>
          <w:szCs w:val="32"/>
        </w:rPr>
        <w:t>：</w:t>
      </w:r>
    </w:p>
    <w:p w14:paraId="0E126D96">
      <w:pPr>
        <w:spacing w:line="580" w:lineRule="exact"/>
        <w:rPr>
          <w:rFonts w:hint="eastAsia" w:ascii="仿宋_GB2312" w:hAnsi="仿宋_GB2312" w:eastAsia="仿宋_GB2312" w:cs="仿宋_GB2312"/>
          <w:color w:val="000000"/>
          <w:sz w:val="32"/>
          <w:szCs w:val="32"/>
          <w:u w:val="none"/>
        </w:rPr>
      </w:pPr>
      <w:r>
        <w:rPr>
          <w:rFonts w:hint="eastAsia" w:ascii="楷体_GB2312" w:hAnsi="ˎ̥" w:eastAsia="楷体_GB2312"/>
          <w:b/>
          <w:sz w:val="32"/>
          <w:szCs w:val="32"/>
        </w:rPr>
        <w:t>项目名称：</w:t>
      </w:r>
      <w:r>
        <w:rPr>
          <w:rFonts w:hint="eastAsia" w:ascii="仿宋_GB2312" w:hAnsi="仿宋_GB2312" w:eastAsia="仿宋_GB2312" w:cs="仿宋_GB2312"/>
          <w:color w:val="000000"/>
          <w:sz w:val="32"/>
          <w:szCs w:val="32"/>
          <w:u w:val="none"/>
        </w:rPr>
        <w:t>龙岭院区（除门诊楼外）4栋建筑房屋结构安全检测鉴定服务</w:t>
      </w:r>
    </w:p>
    <w:p w14:paraId="66F48514">
      <w:pPr>
        <w:spacing w:line="580" w:lineRule="exact"/>
        <w:rPr>
          <w:rFonts w:hint="eastAsia" w:ascii="仿宋_GB2312" w:hAnsi="ˎ̥" w:eastAsia="仿宋_GB2312"/>
          <w:sz w:val="32"/>
          <w:szCs w:val="32"/>
          <w:lang w:val="en-US" w:eastAsia="zh-CN"/>
        </w:rPr>
      </w:pPr>
      <w:r>
        <w:rPr>
          <w:rFonts w:hint="eastAsia" w:ascii="楷体_GB2312" w:hAnsi="ˎ̥" w:eastAsia="楷体_GB2312"/>
          <w:b/>
          <w:sz w:val="32"/>
          <w:szCs w:val="32"/>
        </w:rPr>
        <w:t>合同总价</w:t>
      </w:r>
      <w:r>
        <w:rPr>
          <w:rFonts w:hint="eastAsia" w:ascii="楷体_GB2312" w:hAnsi="ˎ̥" w:eastAsia="楷体_GB2312"/>
          <w:sz w:val="32"/>
          <w:szCs w:val="32"/>
        </w:rPr>
        <w:t>：</w:t>
      </w:r>
      <w:r>
        <w:rPr>
          <w:rFonts w:hint="eastAsia" w:ascii="楷体_GB2312" w:hAnsi="ˎ̥" w:eastAsia="楷体_GB2312"/>
          <w:sz w:val="32"/>
          <w:szCs w:val="32"/>
          <w:highlight w:val="none"/>
          <w:lang w:val="en-US" w:eastAsia="zh-CN"/>
        </w:rPr>
        <w:t xml:space="preserve">       </w:t>
      </w:r>
      <w:r>
        <w:rPr>
          <w:rFonts w:hint="eastAsia" w:ascii="仿宋_GB2312" w:hAnsi="ˎ̥" w:eastAsia="仿宋_GB2312"/>
          <w:sz w:val="32"/>
          <w:szCs w:val="32"/>
          <w:highlight w:val="none"/>
          <w:lang w:val="en-US" w:eastAsia="zh-CN"/>
        </w:rPr>
        <w:t>元</w:t>
      </w:r>
    </w:p>
    <w:p w14:paraId="4C6A6BBB">
      <w:pPr>
        <w:spacing w:line="580" w:lineRule="exact"/>
        <w:rPr>
          <w:rFonts w:hint="eastAsia" w:ascii="楷体_GB2312" w:hAnsi="ˎ̥" w:eastAsia="楷体_GB2312"/>
          <w:b/>
          <w:sz w:val="32"/>
          <w:szCs w:val="32"/>
          <w:lang w:val="en-US" w:eastAsia="zh-CN"/>
        </w:rPr>
      </w:pPr>
      <w:r>
        <w:rPr>
          <w:rFonts w:hint="eastAsia" w:ascii="楷体_GB2312" w:hAnsi="ˎ̥" w:eastAsia="楷体_GB2312"/>
          <w:b/>
          <w:sz w:val="32"/>
          <w:szCs w:val="32"/>
        </w:rPr>
        <w:t>主办科室：</w:t>
      </w:r>
      <w:r>
        <w:rPr>
          <w:rFonts w:hint="eastAsia" w:ascii="楷体_GB2312" w:hAnsi="ˎ̥" w:eastAsia="楷体_GB2312"/>
          <w:b w:val="0"/>
          <w:bCs/>
          <w:sz w:val="32"/>
          <w:szCs w:val="32"/>
          <w:lang w:val="en-US" w:eastAsia="zh-CN"/>
        </w:rPr>
        <w:t>总务科</w:t>
      </w:r>
    </w:p>
    <w:p w14:paraId="047EAFC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为进一步加强医疗卫生行风建设，规范购销行为，有效防范商业贿赂，营造公平交易、诚实守信的购销环境，经甲、乙双方协商，同意签订本合同，并共同遵守：</w:t>
      </w:r>
    </w:p>
    <w:p w14:paraId="1620D6C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一、甲乙双方按照《</w:t>
      </w:r>
      <w:r>
        <w:rPr>
          <w:rFonts w:hint="eastAsia" w:ascii="仿宋_GB2312" w:hAnsi="ˎ̥" w:eastAsia="仿宋_GB2312"/>
          <w:sz w:val="32"/>
          <w:szCs w:val="32"/>
          <w:lang w:val="en-US" w:eastAsia="zh-CN"/>
        </w:rPr>
        <w:t>中华人民共和国民法典</w:t>
      </w:r>
      <w:r>
        <w:rPr>
          <w:rFonts w:hint="eastAsia" w:ascii="仿宋_GB2312" w:hAnsi="ˎ̥" w:eastAsia="仿宋_GB2312"/>
          <w:sz w:val="32"/>
          <w:szCs w:val="32"/>
        </w:rPr>
        <w:t>》及产品</w:t>
      </w:r>
      <w:r>
        <w:rPr>
          <w:rFonts w:hint="eastAsia" w:ascii="仿宋_GB2312" w:eastAsia="仿宋_GB2312"/>
          <w:sz w:val="32"/>
          <w:szCs w:val="32"/>
        </w:rPr>
        <w:t>购销合同</w:t>
      </w:r>
      <w:r>
        <w:rPr>
          <w:rFonts w:hint="eastAsia" w:ascii="仿宋_GB2312" w:hAnsi="ˎ̥" w:eastAsia="仿宋_GB2312"/>
          <w:sz w:val="32"/>
          <w:szCs w:val="32"/>
        </w:rPr>
        <w:t>约定实施购销行为。</w:t>
      </w:r>
    </w:p>
    <w:p w14:paraId="2A8E897F">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二、甲方应当严格执行验收、入库制度，对采购产品及发票进行查验，不得违反有关规定进行合同外采购、违价采购或从非规定渠道采购。</w:t>
      </w:r>
    </w:p>
    <w:p w14:paraId="5B729AD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三、甲方不得接受乙方以任何名义、形式给予的利益输送，不得将接受捐赠资助与采购挂钩。甲方工作人员不得参加乙方安排并支付费用的营业性娱乐场所的娱乐活动，</w:t>
      </w:r>
      <w:r>
        <w:rPr>
          <w:rFonts w:hint="eastAsia" w:ascii="仿宋_GB2312" w:eastAsia="仿宋_GB2312"/>
          <w:sz w:val="32"/>
          <w:szCs w:val="32"/>
        </w:rPr>
        <w:t>不得以任何形式向乙方索要现金、有价证券、支付凭证和贵重礼品等</w:t>
      </w:r>
      <w:r>
        <w:rPr>
          <w:rFonts w:hint="eastAsia" w:ascii="仿宋_GB2312" w:hAnsi="ˎ̥" w:eastAsia="仿宋_GB2312"/>
          <w:sz w:val="32"/>
          <w:szCs w:val="32"/>
        </w:rPr>
        <w:t>。被迫接受乙方给予的钱物，应予退还，无法退还的，有责任如实向纪检监察部门反映情况。</w:t>
      </w:r>
    </w:p>
    <w:p w14:paraId="65F0EC3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四、严禁甲方工作人员利用任何途径和方式，非法为乙方统计医师个人及临床科室有关医药产品用量信息，或为乙方统方提供便利。</w:t>
      </w:r>
    </w:p>
    <w:p w14:paraId="5FB414B2">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eastAsia="仿宋_GB2312"/>
          <w:sz w:val="32"/>
          <w:szCs w:val="32"/>
        </w:rPr>
        <w:t>五、</w:t>
      </w:r>
      <w:r>
        <w:rPr>
          <w:rFonts w:hint="eastAsia" w:ascii="仿宋_GB2312" w:hAnsi="ˎ̥" w:eastAsia="仿宋_GB2312"/>
          <w:sz w:val="32"/>
          <w:szCs w:val="32"/>
        </w:rPr>
        <w:t>乙方不得以回扣、</w:t>
      </w:r>
      <w:r>
        <w:rPr>
          <w:rFonts w:hint="eastAsia" w:ascii="仿宋_GB2312" w:eastAsia="仿宋_GB2312"/>
          <w:sz w:val="32"/>
          <w:szCs w:val="32"/>
        </w:rPr>
        <w:t>宴请等方式影响甲方工作人员采购或使用医药产品的选择权，不得在学术活动中提供旅游、超标准支付食宿费用，以及其他任何形式的利益输送。</w:t>
      </w:r>
    </w:p>
    <w:p w14:paraId="6744D81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rPr>
      </w:pPr>
      <w:r>
        <w:rPr>
          <w:rFonts w:hint="eastAsia" w:ascii="仿宋_GB2312" w:eastAsia="仿宋_GB2312"/>
          <w:sz w:val="32"/>
          <w:szCs w:val="32"/>
        </w:rPr>
        <w:t>六、乙方指定</w:t>
      </w:r>
      <w:r>
        <w:rPr>
          <w:rFonts w:hint="eastAsia" w:ascii="仿宋_GB2312" w:eastAsia="仿宋_GB2312"/>
          <w:sz w:val="32"/>
          <w:szCs w:val="32"/>
          <w:u w:val="single"/>
        </w:rPr>
        <w:t xml:space="preserve">        </w:t>
      </w:r>
      <w:r>
        <w:rPr>
          <w:rFonts w:hint="eastAsia" w:ascii="仿宋_GB2312" w:eastAsia="仿宋_GB2312"/>
          <w:sz w:val="32"/>
          <w:szCs w:val="32"/>
        </w:rPr>
        <w:t>作为销售代表洽谈业务。销售代表必须在工作时间到甲方指定地点联系商谈，不得到住院部、门诊部、医技科室等推销医药产品，不得借故到甲方相关领导、部门</w:t>
      </w:r>
      <w:r>
        <w:rPr>
          <w:rFonts w:hint="eastAsia" w:ascii="仿宋_GB2312" w:hAnsi="ˎ̥" w:eastAsia="仿宋_GB2312"/>
          <w:sz w:val="32"/>
          <w:szCs w:val="32"/>
        </w:rPr>
        <w:t>负责人及相关工作人员家中访谈并提供任何好处费。</w:t>
      </w:r>
    </w:p>
    <w:p w14:paraId="39FCF8FC">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eastAsia="仿宋_GB2312"/>
          <w:sz w:val="32"/>
          <w:szCs w:val="32"/>
        </w:rPr>
        <w:t>七、</w:t>
      </w:r>
      <w:r>
        <w:rPr>
          <w:rFonts w:hint="eastAsia" w:ascii="仿宋_GB2312" w:hAnsi="ˎ̥" w:eastAsia="仿宋_GB2312"/>
          <w:sz w:val="32"/>
          <w:szCs w:val="32"/>
        </w:rPr>
        <w:t>乙方如违反本合同，一经发现，</w:t>
      </w:r>
      <w:r>
        <w:rPr>
          <w:rFonts w:hint="eastAsia" w:ascii="仿宋_GB2312" w:eastAsia="仿宋_GB2312"/>
          <w:sz w:val="32"/>
          <w:szCs w:val="32"/>
        </w:rPr>
        <w:t>甲方有权终止产品购销合同，并向有关部门报告。如乙方被列入商业贿赂不良记录，则严格按照《国家</w:t>
      </w:r>
      <w:r>
        <w:rPr>
          <w:rFonts w:ascii="仿宋_GB2312" w:eastAsia="仿宋_GB2312"/>
          <w:sz w:val="32"/>
          <w:szCs w:val="32"/>
        </w:rPr>
        <w:t>卫生计生委关于建立医药购销领域商业贿赂不良记录的规定</w:t>
      </w:r>
      <w:r>
        <w:rPr>
          <w:rFonts w:hint="eastAsia" w:ascii="仿宋_GB2312" w:eastAsia="仿宋_GB2312"/>
          <w:sz w:val="32"/>
          <w:szCs w:val="32"/>
        </w:rPr>
        <w:t>》</w:t>
      </w:r>
      <w:r>
        <w:rPr>
          <w:rFonts w:eastAsia="仿宋_GB2312"/>
          <w:color w:val="000000"/>
          <w:sz w:val="32"/>
          <w:szCs w:val="32"/>
          <w:shd w:val="clear" w:color="auto" w:fill="FFFFFF"/>
        </w:rPr>
        <w:t>（国卫法制发〔2013〕50号）</w:t>
      </w:r>
      <w:r>
        <w:rPr>
          <w:rFonts w:hint="eastAsia" w:ascii="仿宋_GB2312" w:eastAsia="仿宋_GB2312"/>
          <w:sz w:val="32"/>
          <w:szCs w:val="32"/>
        </w:rPr>
        <w:t>相关规定处理。</w:t>
      </w:r>
    </w:p>
    <w:p w14:paraId="65DDDE8A">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rPr>
      </w:pPr>
      <w:r>
        <w:rPr>
          <w:rFonts w:hint="eastAsia" w:ascii="仿宋_GB2312" w:hAnsi="ˎ̥" w:eastAsia="仿宋_GB2312"/>
          <w:sz w:val="32"/>
          <w:szCs w:val="32"/>
        </w:rPr>
        <w:t>八、</w:t>
      </w:r>
      <w:r>
        <w:rPr>
          <w:rFonts w:hint="eastAsia" w:ascii="仿宋_GB2312" w:eastAsia="仿宋_GB2312"/>
          <w:sz w:val="32"/>
          <w:szCs w:val="32"/>
        </w:rPr>
        <w:t>本合同作为产品购销合同的组成部分，与购销合同一并执行，具有同等的法律效力。</w:t>
      </w:r>
    </w:p>
    <w:p w14:paraId="17C27D28">
      <w:pPr>
        <w:autoSpaceDE/>
        <w:autoSpaceDN/>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九、本合同一式叁份，甲方贰份（一份随购销主合同存档，一份交医院纪检监察部门），乙方壹份，从签订之日起生效。</w:t>
      </w:r>
    </w:p>
    <w:p w14:paraId="2DBFFBBF">
      <w:pPr>
        <w:pStyle w:val="8"/>
        <w:rPr>
          <w:sz w:val="24"/>
          <w:szCs w:val="24"/>
        </w:rPr>
      </w:pPr>
    </w:p>
    <w:p w14:paraId="7E430190">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rPr>
      </w:pPr>
      <w:r>
        <w:rPr>
          <w:rFonts w:hint="eastAsia" w:ascii="楷体_GB2312" w:eastAsia="楷体_GB2312"/>
          <w:b/>
          <w:sz w:val="32"/>
          <w:szCs w:val="32"/>
        </w:rPr>
        <w:t>甲方（盖章）：                  乙方（盖章）：</w:t>
      </w:r>
    </w:p>
    <w:p w14:paraId="4006527C">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rPr>
      </w:pPr>
      <w:r>
        <w:rPr>
          <w:rFonts w:hint="eastAsia" w:ascii="楷体_GB2312" w:eastAsia="楷体_GB2312"/>
          <w:b/>
          <w:sz w:val="32"/>
          <w:szCs w:val="32"/>
        </w:rPr>
        <w:t>法定代表人（</w:t>
      </w:r>
      <w:r>
        <w:rPr>
          <w:rFonts w:ascii="楷体_GB2312" w:eastAsia="楷体_GB2312"/>
          <w:b/>
          <w:sz w:val="32"/>
          <w:szCs w:val="32"/>
        </w:rPr>
        <w:t>负责人</w:t>
      </w:r>
      <w:r>
        <w:rPr>
          <w:rFonts w:hint="eastAsia" w:ascii="楷体_GB2312" w:eastAsia="楷体_GB2312"/>
          <w:b/>
          <w:sz w:val="32"/>
          <w:szCs w:val="32"/>
        </w:rPr>
        <w:t>）：          法定代表人（</w:t>
      </w:r>
      <w:r>
        <w:rPr>
          <w:rFonts w:ascii="楷体_GB2312" w:eastAsia="楷体_GB2312"/>
          <w:b/>
          <w:sz w:val="32"/>
          <w:szCs w:val="32"/>
        </w:rPr>
        <w:t>负责人</w:t>
      </w:r>
      <w:r>
        <w:rPr>
          <w:rFonts w:hint="eastAsia" w:ascii="楷体_GB2312" w:eastAsia="楷体_GB2312"/>
          <w:b/>
          <w:sz w:val="32"/>
          <w:szCs w:val="32"/>
        </w:rPr>
        <w:t>）：</w:t>
      </w:r>
    </w:p>
    <w:p w14:paraId="06E7EC69">
      <w:pPr>
        <w:keepNext w:val="0"/>
        <w:keepLines w:val="0"/>
        <w:pageBreakBefore w:val="0"/>
        <w:kinsoku/>
        <w:wordWrap/>
        <w:overflowPunct/>
        <w:topLinePunct w:val="0"/>
        <w:autoSpaceDE/>
        <w:autoSpaceDN/>
        <w:bidi w:val="0"/>
        <w:adjustRightInd/>
        <w:snapToGrid/>
        <w:spacing w:line="560" w:lineRule="exact"/>
        <w:rPr>
          <w:rFonts w:hint="eastAsia"/>
        </w:rPr>
      </w:pPr>
      <w:r>
        <w:rPr>
          <w:rFonts w:hint="eastAsia" w:ascii="楷体_GB2312" w:eastAsia="楷体_GB2312"/>
          <w:b/>
          <w:sz w:val="32"/>
          <w:szCs w:val="32"/>
        </w:rPr>
        <w:t>委托代理人签名：               经办人签名：</w:t>
      </w:r>
    </w:p>
    <w:p w14:paraId="5653F533">
      <w:pPr>
        <w:keepNext w:val="0"/>
        <w:keepLines w:val="0"/>
        <w:pageBreakBefore w:val="0"/>
        <w:kinsoku/>
        <w:wordWrap/>
        <w:overflowPunct/>
        <w:topLinePunct w:val="0"/>
        <w:autoSpaceDE/>
        <w:autoSpaceDN/>
        <w:bidi w:val="0"/>
        <w:adjustRightInd/>
        <w:snapToGrid/>
        <w:spacing w:line="560" w:lineRule="exact"/>
      </w:pPr>
      <w:r>
        <w:rPr>
          <w:rFonts w:hint="eastAsia" w:ascii="仿宋_GB2312" w:eastAsia="仿宋_GB2312"/>
          <w:sz w:val="32"/>
          <w:szCs w:val="32"/>
        </w:rPr>
        <w:t>年    月   日                 年    月   日</w:t>
      </w:r>
    </w:p>
    <w:p w14:paraId="2FD537A3">
      <w:pPr>
        <w:widowControl/>
        <w:spacing w:line="520" w:lineRule="exact"/>
        <w:ind w:firstLine="320" w:firstLineChars="100"/>
        <w:rPr>
          <w:rFonts w:hint="eastAsia"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附件3</w:t>
      </w:r>
    </w:p>
    <w:p w14:paraId="48604929">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安全生产责任协议书</w:t>
      </w:r>
    </w:p>
    <w:p w14:paraId="4BD16EA3">
      <w:pPr>
        <w:spacing w:line="560" w:lineRule="exact"/>
        <w:rPr>
          <w:rFonts w:ascii="方正小标宋简体" w:hAnsi="方正小标宋简体" w:eastAsia="方正小标宋简体" w:cs="方正小标宋简体"/>
          <w:color w:val="000000"/>
          <w:sz w:val="44"/>
        </w:rPr>
      </w:pPr>
    </w:p>
    <w:p w14:paraId="51A3C5D9">
      <w:pPr>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深圳市龙岗区</w:t>
      </w:r>
      <w:r>
        <w:rPr>
          <w:rFonts w:hint="eastAsia" w:ascii="仿宋_GB2312" w:hAnsi="仿宋_GB2312" w:eastAsia="仿宋_GB2312" w:cs="仿宋_GB2312"/>
          <w:color w:val="000000"/>
          <w:sz w:val="32"/>
          <w:szCs w:val="32"/>
          <w:lang w:val="en-US" w:eastAsia="zh-CN"/>
        </w:rPr>
        <w:t>第七</w:t>
      </w:r>
      <w:r>
        <w:rPr>
          <w:rFonts w:hint="eastAsia" w:ascii="仿宋_GB2312" w:hAnsi="仿宋_GB2312" w:eastAsia="仿宋_GB2312" w:cs="仿宋_GB2312"/>
          <w:color w:val="000000"/>
          <w:sz w:val="32"/>
          <w:szCs w:val="32"/>
        </w:rPr>
        <w:t>人民医院</w:t>
      </w:r>
    </w:p>
    <w:p w14:paraId="5C143E39">
      <w:pPr>
        <w:spacing w:line="400" w:lineRule="exact"/>
        <w:ind w:firstLine="640" w:firstLineChars="200"/>
        <w:rPr>
          <w:rFonts w:hint="eastAsia" w:ascii="仿宋_GB2312" w:hAnsi="仿宋_GB2312" w:eastAsia="仿宋_GB2312" w:cs="仿宋_GB2312"/>
          <w:color w:val="000000"/>
          <w:kern w:val="2"/>
          <w:sz w:val="32"/>
          <w:szCs w:val="32"/>
          <w:u w:val="none"/>
        </w:rPr>
      </w:pPr>
      <w:r>
        <w:rPr>
          <w:rFonts w:hint="eastAsia" w:ascii="仿宋_GB2312" w:hAnsi="仿宋_GB2312" w:eastAsia="仿宋_GB2312" w:cs="仿宋_GB2312"/>
          <w:color w:val="000000"/>
          <w:sz w:val="32"/>
          <w:szCs w:val="32"/>
        </w:rPr>
        <w:t>乙方</w:t>
      </w:r>
      <w:r>
        <w:rPr>
          <w:rFonts w:hint="eastAsia" w:ascii="仿宋_GB2312" w:hAnsi="仿宋_GB2312" w:eastAsia="仿宋_GB2312" w:cs="仿宋_GB2312"/>
          <w:color w:val="000000"/>
          <w:sz w:val="32"/>
          <w:szCs w:val="32"/>
          <w:lang w:eastAsia="zh-CN"/>
        </w:rPr>
        <w:t>：</w:t>
      </w:r>
    </w:p>
    <w:p w14:paraId="38D004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为贯彻“安全第一、预防为主、综合治理”的安全生产方针，规范乙方在承接甲方</w:t>
      </w:r>
      <w:r>
        <w:rPr>
          <w:rFonts w:hint="eastAsia" w:ascii="仿宋_GB2312" w:hAnsi="仿宋_GB2312" w:eastAsia="仿宋_GB2312" w:cs="仿宋_GB2312"/>
          <w:sz w:val="32"/>
          <w:szCs w:val="32"/>
        </w:rPr>
        <w:t>土建施</w:t>
      </w:r>
      <w:r>
        <w:rPr>
          <w:rFonts w:hint="eastAsia" w:ascii="仿宋_GB2312" w:hAnsi="仿宋_GB2312" w:eastAsia="仿宋_GB2312" w:cs="仿宋_GB2312"/>
          <w:color w:val="000000"/>
          <w:sz w:val="32"/>
          <w:szCs w:val="32"/>
        </w:rPr>
        <w:t>工、检修、工程安全及其他劳务活动时的安全行为，促使乙方加强本单位安全生产管理，建立、健全安全生产责任制度和切实有效的安全防范措施，确保安全生产。根据《中华人民共和国安全生产法》《</w:t>
      </w:r>
      <w:r>
        <w:rPr>
          <w:rFonts w:hint="eastAsia" w:ascii="仿宋_GB2312" w:hAnsi="仿宋_GB2312" w:eastAsia="仿宋_GB2312" w:cs="仿宋_GB2312"/>
          <w:color w:val="000000"/>
          <w:sz w:val="32"/>
          <w:szCs w:val="32"/>
          <w:lang w:eastAsia="zh-CN"/>
        </w:rPr>
        <w:t>中华人民共和国民法典</w:t>
      </w:r>
      <w:r>
        <w:rPr>
          <w:rFonts w:hint="eastAsia" w:ascii="仿宋_GB2312" w:hAnsi="仿宋_GB2312" w:eastAsia="仿宋_GB2312" w:cs="仿宋_GB2312"/>
          <w:color w:val="000000"/>
          <w:sz w:val="32"/>
          <w:szCs w:val="32"/>
        </w:rPr>
        <w:t>》等有关法律法规，双方在平等自愿的基础上，经过充分协商达成如下协议并共同遵守：</w:t>
      </w:r>
    </w:p>
    <w:p w14:paraId="3ED1DF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一、适用对象和范围</w:t>
      </w:r>
    </w:p>
    <w:p w14:paraId="5CD75A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甲方与一切具备国家法律法规规定的符合安全生产条件并具有独立承担民事责任资格的单位签订相应</w:t>
      </w:r>
      <w:r>
        <w:rPr>
          <w:rFonts w:hint="eastAsia" w:ascii="仿宋_GB2312" w:hAnsi="仿宋_GB2312" w:eastAsia="仿宋_GB2312" w:cs="仿宋_GB2312"/>
          <w:sz w:val="32"/>
          <w:szCs w:val="32"/>
        </w:rPr>
        <w:t>土建</w:t>
      </w:r>
      <w:r>
        <w:rPr>
          <w:rFonts w:hint="eastAsia" w:ascii="仿宋_GB2312" w:hAnsi="仿宋_GB2312" w:eastAsia="仿宋_GB2312" w:cs="仿宋_GB2312"/>
          <w:color w:val="000000"/>
          <w:sz w:val="32"/>
          <w:szCs w:val="32"/>
        </w:rPr>
        <w:t>施工、机械设备检修、工程安装</w:t>
      </w:r>
      <w:r>
        <w:rPr>
          <w:rFonts w:hint="eastAsia" w:ascii="仿宋_GB2312" w:hAnsi="仿宋_GB2312" w:eastAsia="仿宋_GB2312" w:cs="仿宋_GB2312"/>
          <w:color w:val="000000"/>
          <w:sz w:val="32"/>
          <w:szCs w:val="32"/>
          <w:lang w:eastAsia="zh-CN"/>
        </w:rPr>
        <w:t>及其他</w:t>
      </w:r>
      <w:r>
        <w:rPr>
          <w:rFonts w:hint="eastAsia" w:ascii="仿宋_GB2312" w:hAnsi="仿宋_GB2312" w:eastAsia="仿宋_GB2312" w:cs="仿宋_GB2312"/>
          <w:color w:val="000000"/>
          <w:sz w:val="32"/>
          <w:szCs w:val="32"/>
        </w:rPr>
        <w:t>劳务合同，合同签订后乙方可在甲方生产经营区域内从事相关</w:t>
      </w:r>
      <w:r>
        <w:rPr>
          <w:rFonts w:hint="eastAsia" w:ascii="仿宋_GB2312" w:hAnsi="仿宋_GB2312" w:eastAsia="仿宋_GB2312" w:cs="仿宋_GB2312"/>
          <w:sz w:val="32"/>
          <w:szCs w:val="32"/>
        </w:rPr>
        <w:t>土建</w:t>
      </w:r>
      <w:r>
        <w:rPr>
          <w:rFonts w:hint="eastAsia" w:ascii="仿宋_GB2312" w:hAnsi="仿宋_GB2312" w:eastAsia="仿宋_GB2312" w:cs="仿宋_GB2312"/>
          <w:color w:val="000000"/>
          <w:sz w:val="32"/>
          <w:szCs w:val="32"/>
        </w:rPr>
        <w:t>施工、机械设备检修、工程安装</w:t>
      </w:r>
      <w:r>
        <w:rPr>
          <w:rFonts w:hint="eastAsia" w:ascii="仿宋_GB2312" w:hAnsi="仿宋_GB2312" w:eastAsia="仿宋_GB2312" w:cs="仿宋_GB2312"/>
          <w:color w:val="000000"/>
          <w:sz w:val="32"/>
          <w:szCs w:val="32"/>
          <w:lang w:eastAsia="zh-CN"/>
        </w:rPr>
        <w:t>及其他有关</w:t>
      </w:r>
      <w:r>
        <w:rPr>
          <w:rFonts w:hint="eastAsia" w:ascii="仿宋_GB2312" w:hAnsi="仿宋_GB2312" w:eastAsia="仿宋_GB2312" w:cs="仿宋_GB2312"/>
          <w:color w:val="000000"/>
          <w:sz w:val="32"/>
          <w:szCs w:val="32"/>
        </w:rPr>
        <w:t>劳务活动。</w:t>
      </w:r>
    </w:p>
    <w:p w14:paraId="2E41C3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合同期内甲、乙双方应当依据本协议约定，享有各自权利、承担各自义务。</w:t>
      </w:r>
    </w:p>
    <w:p w14:paraId="45BEDA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二、双方应当遵循的基本原则</w:t>
      </w:r>
    </w:p>
    <w:p w14:paraId="51CBD7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双方安全生产监督管理人员应当坚持原则、忠于职守，严格</w:t>
      </w:r>
      <w:r>
        <w:rPr>
          <w:rFonts w:hint="eastAsia" w:ascii="仿宋_GB2312" w:hAnsi="仿宋_GB2312" w:eastAsia="仿宋_GB2312" w:cs="仿宋_GB2312"/>
          <w:color w:val="000000"/>
          <w:sz w:val="32"/>
          <w:szCs w:val="32"/>
          <w:lang w:eastAsia="zh-CN"/>
        </w:rPr>
        <w:t>按照</w:t>
      </w:r>
      <w:r>
        <w:rPr>
          <w:rFonts w:hint="eastAsia" w:ascii="仿宋_GB2312" w:hAnsi="仿宋_GB2312" w:eastAsia="仿宋_GB2312" w:cs="仿宋_GB2312"/>
          <w:color w:val="000000"/>
          <w:sz w:val="32"/>
          <w:szCs w:val="32"/>
        </w:rPr>
        <w:t>本协议的约定履行各自的权利、义务。</w:t>
      </w:r>
    </w:p>
    <w:p w14:paraId="0E6569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双方应相互配合，支持安检工作的检查和落实。乙方不得拒绝、</w:t>
      </w:r>
      <w:r>
        <w:rPr>
          <w:rFonts w:hint="eastAsia" w:ascii="仿宋_GB2312" w:hAnsi="仿宋_GB2312" w:eastAsia="仿宋_GB2312" w:cs="仿宋_GB2312"/>
          <w:color w:val="000000"/>
          <w:sz w:val="32"/>
          <w:szCs w:val="32"/>
          <w:highlight w:val="none"/>
        </w:rPr>
        <w:t>阻扰</w:t>
      </w:r>
      <w:r>
        <w:rPr>
          <w:rFonts w:hint="eastAsia" w:ascii="仿宋_GB2312" w:hAnsi="仿宋_GB2312" w:eastAsia="仿宋_GB2312" w:cs="仿宋_GB2312"/>
          <w:color w:val="000000"/>
          <w:sz w:val="32"/>
          <w:szCs w:val="32"/>
        </w:rPr>
        <w:t>甲方安全监督检查工作。</w:t>
      </w:r>
    </w:p>
    <w:p w14:paraId="437A49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乙方应牢固树立“安全第一”的指导思想，建立健全各项安全管理规章制度，制订并落实各项安全防护措施。</w:t>
      </w:r>
    </w:p>
    <w:p w14:paraId="6C8ACF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双方必须严守技术秘密和业务秘密。</w:t>
      </w:r>
    </w:p>
    <w:p w14:paraId="7DE53E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三、甲方的权利、义务</w:t>
      </w:r>
    </w:p>
    <w:p w14:paraId="47B012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乙方人员首次进入甲方现场开展劳务（含</w:t>
      </w:r>
      <w:r>
        <w:rPr>
          <w:rFonts w:hint="eastAsia" w:ascii="仿宋_GB2312" w:hAnsi="仿宋_GB2312" w:eastAsia="仿宋_GB2312" w:cs="仿宋_GB2312"/>
          <w:sz w:val="32"/>
          <w:szCs w:val="32"/>
        </w:rPr>
        <w:t>土建</w:t>
      </w:r>
      <w:r>
        <w:rPr>
          <w:rFonts w:hint="eastAsia" w:ascii="仿宋_GB2312" w:hAnsi="仿宋_GB2312" w:eastAsia="仿宋_GB2312" w:cs="仿宋_GB2312"/>
          <w:color w:val="000000"/>
          <w:sz w:val="32"/>
          <w:szCs w:val="32"/>
        </w:rPr>
        <w:t>施工、机械设备检修、工程安装等）之前，甲方应以书面或口头形式告知乙方本单位相关安全管理制度或规定。</w:t>
      </w:r>
    </w:p>
    <w:p w14:paraId="7CDF8A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甲方项目管理部门和安全监督管理部门为本协议甲方安全生产责任的职能管理部门，负责对乙方施工、检修、劳务等作业过程中的安全管理工作进行监督检查。</w:t>
      </w:r>
    </w:p>
    <w:p w14:paraId="7F2248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甲方针对乙方行为所作出的安全检查，须有书面记录，且须将检查情况向乙方通报。</w:t>
      </w:r>
    </w:p>
    <w:p w14:paraId="0E72F7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甲方项目管理部门和安全监督管理部门对乙方进行安全检查时，有权向乙方询问有关安全措施落实情况，调阅有关安全措施资料，指导或提出安检意见和建议。</w:t>
      </w:r>
    </w:p>
    <w:p w14:paraId="086BB5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甲方对乙方工作中存在的重大安全隐患，有权责令乙方立即整改、排除。否则有权单方终止与乙方之间的相关经济业务合同的履行。</w:t>
      </w:r>
    </w:p>
    <w:p w14:paraId="51AF3B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甲方负责向乙方提供符合安全、健康要求的工作环境。</w:t>
      </w:r>
    </w:p>
    <w:p w14:paraId="1EFA9A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确定乙方进行具体安检工作的机构和责任人，建立完备、规范的安检记录档案，对从事高危行业工作的人员必须审核其是否具备国家认可的相关资质。</w:t>
      </w:r>
    </w:p>
    <w:p w14:paraId="6482E3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黑体" w:hAnsi="黑体" w:eastAsia="黑体" w:cs="黑体"/>
          <w:color w:val="000000"/>
          <w:sz w:val="32"/>
          <w:szCs w:val="32"/>
        </w:rPr>
        <w:t>四、乙方的权利、义务</w:t>
      </w:r>
    </w:p>
    <w:p w14:paraId="489793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未经甲方同意，乙方严禁将承包的项目（或部分项目）违法转包、分包，否则所发生安全事故，由乙方承担相应的安全责任。</w:t>
      </w:r>
    </w:p>
    <w:p w14:paraId="6B3BFA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乙方人员应当遵守甲方规章制度，接受甲方安全检查、监督，对违反甲方有关安全管理制度及规定的行为，甲方有权责令乙方立即停止并给予考核。</w:t>
      </w:r>
    </w:p>
    <w:p w14:paraId="436EEF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乙方应具有安全管理组织体制（对特种作业的项目乙方必须出具有效的资质证书），在甲方施工、检修、劳务等现场作业期间，乙方应指派专（兼）职安全人员，负责项目的安全、现场、消防等工作。</w:t>
      </w:r>
    </w:p>
    <w:p w14:paraId="653FDB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人员进入甲方施工（检修、劳务）现场前，必须按照甲方安全管理要求办好相关手续，接受安全教育，严禁“三无”人员进入甲方工作区域，乙方人员必须按在甲方登记备案的名册人员进入作业区域，未经甲方认可不得擅自更换，否则所发生安全事故，由乙方承担相应的安全责任。</w:t>
      </w:r>
    </w:p>
    <w:p w14:paraId="796E72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乙方各类作业人员必须具有相应的安全技术素质，特种作业人员必须持有有效的特种作业操作证方准上岗，所使用的特种作业设备必须取得有效的特种作业设备强制安全检验合格证，方准现场使用。</w:t>
      </w:r>
    </w:p>
    <w:p w14:paraId="7D4C47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乙方人员在作业期间应当接受甲方的安全监督检查，经查证发现的安全隐患，乙方必须立即采取有效措施予以整改或纠正，否则甲方有权现场勒令停工。</w:t>
      </w:r>
    </w:p>
    <w:p w14:paraId="31736E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乙方人员在甲方作业期间，必须按工种需要正确穿戴好劳保防护用品，同时应严格遵守甲方各项安全生产管理制度。</w:t>
      </w:r>
    </w:p>
    <w:p w14:paraId="01C569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管理人员在员工作业前应先熟悉现场，并对所处区域的作业环境可能存在的危险因素、预防措施给员工进行交底，加强员工的安全教育，培训同时对使用的设施设备等，负有认真检查和确认的义务，严禁设施、设备等带病作业，否则因此而产生的法律后果，由乙方承担。</w:t>
      </w:r>
    </w:p>
    <w:p w14:paraId="118C42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人员在作业现场不得擅自动用或操作与本外包项目无关的甲方的机器和设备，如需动用或操作甲方的机器和设备，使用前应经甲方指定人员同意且按甲方要求及说明的方法进行使用，否则按本协议约定视为违约，承担违约金，因此酿成的后果由乙方负责。</w:t>
      </w:r>
    </w:p>
    <w:p w14:paraId="63B69C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人员凡高空作业必须有专人安全监护，不得一人操作。作业人员必须按规定穿戴好劳保防护用品，系好安全绳、安全带（高挂低用），扎好裤脚，戴好安全帽；不准穿光滑底、硬鞋底。当需要在轻型屋面工作或因作业场所环境限制无法系安全带时，乙方必须采取安全行走的技术措施，如铺设木板、跳板并加安全防护</w:t>
      </w:r>
      <w:r>
        <w:rPr>
          <w:rFonts w:hint="eastAsia" w:ascii="仿宋_GB2312" w:hAnsi="仿宋_GB2312" w:eastAsia="仿宋_GB2312" w:cs="仿宋_GB2312"/>
          <w:color w:val="000000"/>
          <w:sz w:val="32"/>
          <w:szCs w:val="32"/>
          <w:lang w:eastAsia="zh-CN"/>
        </w:rPr>
        <w:t>绳</w:t>
      </w:r>
      <w:r>
        <w:rPr>
          <w:rFonts w:hint="eastAsia" w:ascii="仿宋_GB2312" w:hAnsi="仿宋_GB2312" w:eastAsia="仿宋_GB2312" w:cs="仿宋_GB2312"/>
          <w:color w:val="000000"/>
          <w:sz w:val="32"/>
          <w:szCs w:val="32"/>
        </w:rPr>
        <w:t>等和在作业面下部增加安全防护网，严禁在没有安全技术措施的情况下冒险踩踏和作业。</w:t>
      </w:r>
    </w:p>
    <w:p w14:paraId="5B3ECC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乙方在作业期间自备的设备必须符合安全要求，如需借用（租赁）甲方设备、工器具，应由双方协商办理租借手续，借用方应保证设备、工器具符合安全要求，租借方必须</w:t>
      </w:r>
      <w:r>
        <w:rPr>
          <w:rFonts w:hint="eastAsia" w:ascii="仿宋_GB2312" w:hAnsi="仿宋_GB2312" w:eastAsia="仿宋_GB2312" w:cs="仿宋_GB2312"/>
          <w:color w:val="000000"/>
          <w:sz w:val="32"/>
          <w:szCs w:val="32"/>
          <w:lang w:eastAsia="zh-CN"/>
        </w:rPr>
        <w:t>进行</w:t>
      </w:r>
      <w:r>
        <w:rPr>
          <w:rFonts w:hint="eastAsia" w:ascii="仿宋_GB2312" w:hAnsi="仿宋_GB2312" w:eastAsia="仿宋_GB2312" w:cs="仿宋_GB2312"/>
          <w:color w:val="000000"/>
          <w:sz w:val="32"/>
          <w:szCs w:val="32"/>
        </w:rPr>
        <w:t>验收确认并</w:t>
      </w:r>
      <w:r>
        <w:rPr>
          <w:rFonts w:hint="eastAsia" w:ascii="仿宋_GB2312" w:hAnsi="仿宋_GB2312" w:eastAsia="仿宋_GB2312" w:cs="仿宋_GB2312"/>
          <w:color w:val="000000"/>
          <w:sz w:val="32"/>
          <w:szCs w:val="32"/>
          <w:lang w:eastAsia="zh-CN"/>
        </w:rPr>
        <w:t>做好</w:t>
      </w:r>
      <w:r>
        <w:rPr>
          <w:rFonts w:hint="eastAsia" w:ascii="仿宋_GB2312" w:hAnsi="仿宋_GB2312" w:eastAsia="仿宋_GB2312" w:cs="仿宋_GB2312"/>
          <w:color w:val="000000"/>
          <w:sz w:val="32"/>
          <w:szCs w:val="32"/>
        </w:rPr>
        <w:t>书面记录，租借方一经接受使用，表示该设备（工器具）完好无安全隐患，若造成安全事故，后果由租借方负责。</w:t>
      </w:r>
    </w:p>
    <w:p w14:paraId="30AB7D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乙方作业期间的用电必须取得甲方同意，将电源接入</w:t>
      </w:r>
      <w:r>
        <w:rPr>
          <w:rFonts w:hint="eastAsia" w:ascii="仿宋_GB2312" w:hAnsi="仿宋_GB2312" w:eastAsia="仿宋_GB2312" w:cs="仿宋_GB2312"/>
          <w:color w:val="000000"/>
          <w:sz w:val="32"/>
          <w:szCs w:val="32"/>
          <w:highlight w:val="none"/>
          <w:lang w:eastAsia="zh-CN"/>
        </w:rPr>
        <w:t>其</w:t>
      </w:r>
      <w:r>
        <w:rPr>
          <w:rFonts w:hint="eastAsia" w:ascii="仿宋_GB2312" w:hAnsi="仿宋_GB2312" w:eastAsia="仿宋_GB2312" w:cs="仿宋_GB2312"/>
          <w:color w:val="000000"/>
          <w:sz w:val="32"/>
          <w:szCs w:val="32"/>
        </w:rPr>
        <w:t>作业场所的总配电箱，必须有防止影响上一级电源的过流断路保护，乙方不得私自拉接电源。</w:t>
      </w:r>
    </w:p>
    <w:p w14:paraId="72510A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在易燃、易爆、有毒有害危险区域进行施工作业，甲乙双方必须严格执行有关专业管理制度，采取有效的预防措施，并办理相关的开工或动火手续，乙方必须提前将安全预防措施报送甲方</w:t>
      </w:r>
      <w:r>
        <w:rPr>
          <w:rFonts w:hint="eastAsia" w:ascii="仿宋_GB2312" w:hAnsi="仿宋_GB2312" w:eastAsia="仿宋_GB2312" w:cs="仿宋_GB2312"/>
          <w:sz w:val="32"/>
          <w:szCs w:val="32"/>
        </w:rPr>
        <w:t>审核</w:t>
      </w:r>
      <w:r>
        <w:rPr>
          <w:rFonts w:hint="eastAsia" w:ascii="仿宋_GB2312" w:hAnsi="仿宋_GB2312" w:eastAsia="仿宋_GB2312" w:cs="仿宋_GB2312"/>
          <w:color w:val="000000"/>
          <w:sz w:val="32"/>
          <w:szCs w:val="32"/>
        </w:rPr>
        <w:t>，甲方在收到其报送资料后，应当于48小时内作出是否同意的决定。</w:t>
      </w:r>
    </w:p>
    <w:p w14:paraId="2D6CF9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在甲方范围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包括工作区域和生活区域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内工作期间，因乙方工作人员管理不当、违章指挥或违章操作等导致发生高空坠落、物体打击、机械事故、触电或由乙方工作人员自身原因造成的失火失盗、人员伤亡事故，以及刑事、治安案件和食物中毒、疫情、职业危害、交通事故等非正常死亡，由此引起的经济损失及造成的不良影响和后果依法由乙方承担。</w:t>
      </w:r>
    </w:p>
    <w:p w14:paraId="5163774E">
      <w:pPr>
        <w:spacing w:line="400" w:lineRule="exact"/>
        <w:ind w:firstLine="640" w:firstLineChars="200"/>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乙方所承包的项目：</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龙岭院区（除门诊楼外）4栋建筑房屋结构安全检测鉴定服务</w:t>
      </w:r>
    </w:p>
    <w:p w14:paraId="6F31C2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p>
    <w:p w14:paraId="73E027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五、违约责任</w:t>
      </w:r>
    </w:p>
    <w:p w14:paraId="2464FC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本协议履行期间，若因一方违约行为导致发生安全事故，违约方除承担相应安全责任外，还需向守约方赔偿因安全事故所造成的相应的经济损失（损失包括但不</w:t>
      </w:r>
      <w:r>
        <w:rPr>
          <w:rFonts w:hint="eastAsia" w:ascii="仿宋_GB2312" w:hAnsi="仿宋_GB2312" w:eastAsia="仿宋_GB2312" w:cs="仿宋_GB2312"/>
          <w:color w:val="000000"/>
          <w:sz w:val="32"/>
          <w:szCs w:val="32"/>
          <w:lang w:eastAsia="zh-CN"/>
        </w:rPr>
        <w:t>限于</w:t>
      </w:r>
      <w:r>
        <w:rPr>
          <w:rFonts w:hint="eastAsia" w:ascii="仿宋_GB2312" w:hAnsi="仿宋_GB2312" w:eastAsia="仿宋_GB2312" w:cs="仿宋_GB2312"/>
          <w:color w:val="000000"/>
          <w:sz w:val="32"/>
          <w:szCs w:val="32"/>
        </w:rPr>
        <w:t>直接经济损失、律师费、保全费、差旅费、调查取证费等）。</w:t>
      </w:r>
    </w:p>
    <w:p w14:paraId="54EB49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六、附则</w:t>
      </w:r>
    </w:p>
    <w:p w14:paraId="152602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本协议与双方签订的相关业务合同具有同等法律效力。</w:t>
      </w:r>
    </w:p>
    <w:p w14:paraId="287181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本协议有效期与双方签订的相关业务合同有效期一致。</w:t>
      </w:r>
    </w:p>
    <w:p w14:paraId="77E3EF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七、余事商办</w:t>
      </w:r>
      <w:r>
        <w:rPr>
          <w:rFonts w:hint="eastAsia" w:ascii="黑体" w:hAnsi="黑体" w:eastAsia="黑体" w:cs="黑体"/>
          <w:color w:val="000000"/>
          <w:sz w:val="32"/>
          <w:szCs w:val="32"/>
          <w:lang w:eastAsia="zh-CN"/>
        </w:rPr>
        <w:t>。</w:t>
      </w:r>
      <w:r>
        <w:rPr>
          <w:rFonts w:hint="eastAsia" w:ascii="仿宋_GB2312" w:hAnsi="仿宋_GB2312" w:eastAsia="仿宋_GB2312" w:cs="仿宋_GB2312"/>
          <w:color w:val="000000"/>
          <w:sz w:val="32"/>
          <w:szCs w:val="32"/>
        </w:rPr>
        <w:t>协议未尽事宜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由双方另行协商处理。</w:t>
      </w:r>
    </w:p>
    <w:p w14:paraId="7ECA00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八、纠纷处理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本协议在履行过程中发生争议，由双方协商解决，协商不成可向合同履行地人民法院提起诉讼解决。</w:t>
      </w:r>
    </w:p>
    <w:p w14:paraId="332FBE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九、</w:t>
      </w:r>
      <w:r>
        <w:rPr>
          <w:rFonts w:hint="eastAsia" w:ascii="黑体" w:hAnsi="黑体" w:eastAsia="黑体" w:cs="黑体"/>
          <w:color w:val="000000"/>
          <w:sz w:val="32"/>
          <w:szCs w:val="32"/>
          <w:lang w:val="en-US" w:eastAsia="zh-CN"/>
        </w:rPr>
        <w:t>份数及生效要求</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本协议一式肆份，甲方执贰份、乙方执贰份，甲乙双方代表签字盖章后生效。</w:t>
      </w:r>
    </w:p>
    <w:p w14:paraId="26E849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szCs w:val="32"/>
        </w:rPr>
      </w:pPr>
      <w:r>
        <w:rPr>
          <w:rFonts w:hint="eastAsia" w:ascii="黑体" w:hAnsi="黑体" w:eastAsia="黑体" w:cs="黑体"/>
          <w:color w:val="000000"/>
          <w:sz w:val="32"/>
          <w:szCs w:val="32"/>
        </w:rPr>
        <w:t>十、履行地点</w:t>
      </w:r>
      <w:r>
        <w:rPr>
          <w:rFonts w:hint="eastAsia" w:ascii="黑体" w:hAnsi="黑体" w:eastAsia="黑体" w:cs="黑体"/>
          <w:color w:val="000000"/>
          <w:sz w:val="32"/>
          <w:szCs w:val="32"/>
          <w:lang w:eastAsia="zh-CN"/>
        </w:rPr>
        <w:t>。</w:t>
      </w:r>
      <w:r>
        <w:rPr>
          <w:rFonts w:hint="eastAsia" w:ascii="仿宋_GB2312" w:hAnsi="仿宋_GB2312" w:eastAsia="仿宋_GB2312" w:cs="仿宋_GB2312"/>
          <w:color w:val="000000"/>
          <w:sz w:val="32"/>
          <w:szCs w:val="32"/>
        </w:rPr>
        <w:t>本合同履行地：甲方所在地。</w:t>
      </w:r>
    </w:p>
    <w:p w14:paraId="733483E7">
      <w:pPr>
        <w:spacing w:line="560" w:lineRule="exact"/>
        <w:jc w:val="left"/>
        <w:rPr>
          <w:rFonts w:ascii="黑体" w:hAnsi="黑体" w:eastAsia="黑体" w:cs="黑体"/>
          <w:color w:val="000000"/>
          <w:sz w:val="32"/>
          <w:szCs w:val="32"/>
        </w:rPr>
      </w:pPr>
    </w:p>
    <w:tbl>
      <w:tblPr>
        <w:tblStyle w:val="20"/>
        <w:tblpPr w:leftFromText="180" w:rightFromText="180" w:vertAnchor="text" w:horzAnchor="page" w:tblpX="790" w:tblpY="1"/>
        <w:tblOverlap w:val="never"/>
        <w:tblW w:w="106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42"/>
        <w:gridCol w:w="5116"/>
      </w:tblGrid>
      <w:tr w14:paraId="5610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42" w:type="dxa"/>
            <w:noWrap w:val="0"/>
            <w:vAlign w:val="top"/>
          </w:tcPr>
          <w:p w14:paraId="34D0C782">
            <w:pPr>
              <w:widowControl/>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甲方（盖章）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深圳市龙岗区</w:t>
            </w:r>
            <w:r>
              <w:rPr>
                <w:rFonts w:hint="eastAsia" w:ascii="仿宋_GB2312" w:hAnsi="仿宋_GB2312" w:eastAsia="仿宋_GB2312" w:cs="仿宋_GB2312"/>
                <w:sz w:val="28"/>
                <w:szCs w:val="28"/>
                <w:lang w:val="en-US" w:eastAsia="zh-CN"/>
              </w:rPr>
              <w:t>第七</w:t>
            </w:r>
            <w:r>
              <w:rPr>
                <w:rFonts w:hint="eastAsia" w:ascii="仿宋_GB2312" w:hAnsi="仿宋_GB2312" w:eastAsia="仿宋_GB2312" w:cs="仿宋_GB2312"/>
                <w:sz w:val="28"/>
                <w:szCs w:val="28"/>
              </w:rPr>
              <w:t>人民医院</w:t>
            </w:r>
          </w:p>
        </w:tc>
        <w:tc>
          <w:tcPr>
            <w:tcW w:w="5116" w:type="dxa"/>
            <w:noWrap w:val="0"/>
            <w:vAlign w:val="top"/>
          </w:tcPr>
          <w:p w14:paraId="0E49ABA6">
            <w:pPr>
              <w:widowControl/>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乙方（盖章）</w:t>
            </w:r>
            <w:r>
              <w:rPr>
                <w:rFonts w:hint="eastAsia" w:ascii="仿宋_GB2312" w:hAnsi="仿宋_GB2312" w:eastAsia="仿宋_GB2312" w:cs="仿宋_GB2312"/>
                <w:sz w:val="28"/>
                <w:szCs w:val="28"/>
                <w:lang w:eastAsia="zh-CN"/>
              </w:rPr>
              <w:t>：</w:t>
            </w:r>
          </w:p>
          <w:p w14:paraId="53F2AF2B">
            <w:pPr>
              <w:widowControl/>
              <w:spacing w:line="560" w:lineRule="exact"/>
              <w:ind w:firstLine="1960" w:firstLineChars="700"/>
              <w:rPr>
                <w:rFonts w:ascii="仿宋_GB2312" w:hAnsi="仿宋_GB2312" w:eastAsia="仿宋_GB2312" w:cs="仿宋_GB2312"/>
                <w:sz w:val="28"/>
                <w:szCs w:val="28"/>
              </w:rPr>
            </w:pPr>
          </w:p>
        </w:tc>
      </w:tr>
      <w:tr w14:paraId="65D1B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42" w:type="dxa"/>
            <w:noWrap w:val="0"/>
            <w:vAlign w:val="top"/>
          </w:tcPr>
          <w:p w14:paraId="0D2ECD29">
            <w:pPr>
              <w:widowControl/>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法人或负责人（签名）：</w:t>
            </w:r>
          </w:p>
        </w:tc>
        <w:tc>
          <w:tcPr>
            <w:tcW w:w="5116" w:type="dxa"/>
            <w:noWrap w:val="0"/>
            <w:vAlign w:val="top"/>
          </w:tcPr>
          <w:p w14:paraId="3F84D758">
            <w:pPr>
              <w:widowControl/>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法人或负责人（签名）：</w:t>
            </w:r>
          </w:p>
          <w:p w14:paraId="2AB94931">
            <w:pPr>
              <w:widowControl/>
              <w:spacing w:line="560" w:lineRule="exact"/>
              <w:rPr>
                <w:rFonts w:ascii="仿宋_GB2312" w:hAnsi="仿宋_GB2312" w:eastAsia="仿宋_GB2312" w:cs="仿宋_GB2312"/>
                <w:sz w:val="28"/>
                <w:szCs w:val="28"/>
              </w:rPr>
            </w:pPr>
          </w:p>
        </w:tc>
      </w:tr>
      <w:tr w14:paraId="62A6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42" w:type="dxa"/>
            <w:noWrap w:val="0"/>
            <w:vAlign w:val="top"/>
          </w:tcPr>
          <w:p w14:paraId="3B2ADAA9">
            <w:pPr>
              <w:widowControl/>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管理人： </w:t>
            </w:r>
          </w:p>
        </w:tc>
        <w:tc>
          <w:tcPr>
            <w:tcW w:w="5116" w:type="dxa"/>
            <w:noWrap w:val="0"/>
            <w:vAlign w:val="top"/>
          </w:tcPr>
          <w:p w14:paraId="318A07F4">
            <w:pPr>
              <w:widowControl/>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管理人： </w:t>
            </w:r>
          </w:p>
          <w:p w14:paraId="2F958746">
            <w:pPr>
              <w:widowControl/>
              <w:spacing w:line="560" w:lineRule="exact"/>
              <w:rPr>
                <w:rFonts w:ascii="仿宋_GB2312" w:hAnsi="仿宋_GB2312" w:eastAsia="仿宋_GB2312" w:cs="仿宋_GB2312"/>
                <w:sz w:val="28"/>
                <w:szCs w:val="28"/>
              </w:rPr>
            </w:pPr>
          </w:p>
        </w:tc>
      </w:tr>
      <w:tr w14:paraId="28154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542" w:type="dxa"/>
            <w:noWrap w:val="0"/>
            <w:vAlign w:val="top"/>
          </w:tcPr>
          <w:p w14:paraId="55AFE804">
            <w:pPr>
              <w:widowControl/>
              <w:spacing w:line="560" w:lineRule="exact"/>
              <w:ind w:firstLine="1680" w:firstLineChars="6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年   月   日 </w:t>
            </w:r>
          </w:p>
        </w:tc>
        <w:tc>
          <w:tcPr>
            <w:tcW w:w="5116" w:type="dxa"/>
            <w:noWrap w:val="0"/>
            <w:vAlign w:val="top"/>
          </w:tcPr>
          <w:p w14:paraId="1D21AB52">
            <w:pPr>
              <w:widowControl/>
              <w:spacing w:line="560" w:lineRule="exact"/>
              <w:ind w:firstLine="1680" w:firstLineChars="6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年   月   日 </w:t>
            </w:r>
          </w:p>
        </w:tc>
      </w:tr>
    </w:tbl>
    <w:p w14:paraId="370FA274">
      <w:pPr>
        <w:pStyle w:val="11"/>
        <w:keepNext w:val="0"/>
        <w:keepLines w:val="0"/>
        <w:pageBreakBefore w:val="0"/>
        <w:kinsoku/>
        <w:wordWrap/>
        <w:overflowPunct/>
        <w:topLinePunct w:val="0"/>
        <w:autoSpaceDE/>
        <w:autoSpaceDN/>
        <w:bidi w:val="0"/>
        <w:adjustRightInd/>
        <w:snapToGrid/>
        <w:spacing w:line="480" w:lineRule="exact"/>
        <w:jc w:val="both"/>
        <w:rPr>
          <w:rFonts w:hint="eastAsia" w:ascii="宋体" w:eastAsia="宋体" w:cs="宋体"/>
          <w:b/>
          <w:color w:val="auto"/>
          <w:szCs w:val="21"/>
          <w:highlight w:val="none"/>
          <w:lang w:val="en-US" w:eastAsia="zh-CN"/>
        </w:rPr>
      </w:pPr>
    </w:p>
    <w:sectPr>
      <w:headerReference r:id="rId7" w:type="default"/>
      <w:footerReference r:id="rId8" w:type="default"/>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C8194A3-3AAC-4479-8F90-C1F31824E23F}"/>
  </w:font>
  <w:font w:name="黑体">
    <w:panose1 w:val="02010609060101010101"/>
    <w:charset w:val="86"/>
    <w:family w:val="auto"/>
    <w:pitch w:val="default"/>
    <w:sig w:usb0="800002BF" w:usb1="38CF7CFA" w:usb2="00000016" w:usb3="00000000" w:csb0="00040001" w:csb1="00000000"/>
    <w:embedRegular r:id="rId2" w:fontKey="{F8CE34B0-7BE4-42F7-ABCE-B15DAA07FE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444BC04-148C-4F26-9D1C-19AC1FC0CA3D}"/>
  </w:font>
  <w:font w:name="H Yb 2gj">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E9B0AF38-D871-4B49-8A8D-7C95127C829B}"/>
  </w:font>
  <w:font w:name="仿宋_GB2312">
    <w:panose1 w:val="02010609030101010101"/>
    <w:charset w:val="86"/>
    <w:family w:val="modern"/>
    <w:pitch w:val="default"/>
    <w:sig w:usb0="00000001" w:usb1="080E0000" w:usb2="00000000" w:usb3="00000000" w:csb0="00040000" w:csb1="00000000"/>
    <w:embedRegular r:id="rId5" w:fontKey="{2B02CEBB-8323-467D-B752-EB968B71BDC0}"/>
  </w:font>
  <w:font w:name="方正小标宋简体">
    <w:panose1 w:val="02000000000000000000"/>
    <w:charset w:val="86"/>
    <w:family w:val="auto"/>
    <w:pitch w:val="default"/>
    <w:sig w:usb0="00000001" w:usb1="08000000" w:usb2="00000000" w:usb3="00000000" w:csb0="00040000" w:csb1="00000000"/>
    <w:embedRegular r:id="rId6" w:fontKey="{165A0687-C012-479C-A5A4-0BE4FE02F0FC}"/>
  </w:font>
  <w:font w:name="楷体_GB2312">
    <w:panose1 w:val="02010609030101010101"/>
    <w:charset w:val="86"/>
    <w:family w:val="auto"/>
    <w:pitch w:val="default"/>
    <w:sig w:usb0="00000001" w:usb1="080E0000" w:usb2="00000000" w:usb3="00000000" w:csb0="00040000" w:csb1="00000000"/>
    <w:embedRegular r:id="rId7" w:fontKey="{D0E154A0-28DF-435D-BA33-F9AF24245357}"/>
  </w:font>
  <w:font w:name="Segoe UI">
    <w:panose1 w:val="020B0502040204020203"/>
    <w:charset w:val="00"/>
    <w:family w:val="auto"/>
    <w:pitch w:val="default"/>
    <w:sig w:usb0="E4002EFF" w:usb1="C000E47F" w:usb2="00000009" w:usb3="00000000" w:csb0="200001FF" w:csb1="00000000"/>
    <w:embedRegular r:id="rId8" w:fontKey="{C5328783-45E3-44D8-87F8-FA6F8BD53078}"/>
  </w:font>
  <w:font w:name="仿宋">
    <w:panose1 w:val="02010609060101010101"/>
    <w:charset w:val="86"/>
    <w:family w:val="auto"/>
    <w:pitch w:val="default"/>
    <w:sig w:usb0="800002BF" w:usb1="38CF7CFA" w:usb2="00000016" w:usb3="00000000" w:csb0="00040001" w:csb1="00000000"/>
    <w:embedRegular r:id="rId9" w:fontKey="{BA8EA964-E294-4ECE-B35F-4DFBBABC5484}"/>
  </w:font>
  <w:font w:name="Verdana">
    <w:panose1 w:val="020B0604030504040204"/>
    <w:charset w:val="00"/>
    <w:family w:val="swiss"/>
    <w:pitch w:val="default"/>
    <w:sig w:usb0="A00006FF" w:usb1="4000205B" w:usb2="00000010" w:usb3="00000000" w:csb0="2000019F" w:csb1="00000000"/>
    <w:embedRegular r:id="rId10" w:fontKey="{ED743E43-3151-419A-BF8C-0F67EF04DA70}"/>
  </w:font>
  <w:font w:name="ˎ̥">
    <w:altName w:val="Times New Roman"/>
    <w:panose1 w:val="00000000000000000000"/>
    <w:charset w:val="00"/>
    <w:family w:val="auto"/>
    <w:pitch w:val="default"/>
    <w:sig w:usb0="00000000" w:usb1="00000000" w:usb2="00000000" w:usb3="00000000" w:csb0="00040001" w:csb1="00000000"/>
    <w:embedRegular r:id="rId11" w:fontKey="{E26E516C-B01D-461F-9858-511148B8FBB0}"/>
  </w:font>
  <w:font w:name="WPSEMBED2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29028">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48FF88F">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14:paraId="248FF88F">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A5F11">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D9CE335">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fill on="f" focussize="0,0"/>
              <v:stroke on="f" weight="1.25pt"/>
              <v:imagedata o:title=""/>
              <o:lock v:ext="edit" aspectratio="f"/>
              <v:textbox inset="0mm,0mm,0mm,0mm" style="mso-fit-shape-to-text:t;">
                <w:txbxContent>
                  <w:p w14:paraId="1D9CE335">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B182">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DC75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0DC75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3DB4">
    <w:pPr>
      <w:pStyle w:val="15"/>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D879D">
    <w:pPr>
      <w:pStyle w:val="15"/>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2B4F0">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0C77917E"/>
    <w:multiLevelType w:val="singleLevel"/>
    <w:tmpl w:val="0C77917E"/>
    <w:lvl w:ilvl="0" w:tentative="0">
      <w:start w:val="4"/>
      <w:numFmt w:val="decimal"/>
      <w:lvlText w:val="%1."/>
      <w:lvlJc w:val="left"/>
      <w:pPr>
        <w:tabs>
          <w:tab w:val="left" w:pos="312"/>
        </w:tabs>
      </w:pPr>
    </w:lvl>
  </w:abstractNum>
  <w:abstractNum w:abstractNumId="2">
    <w:nsid w:val="22B7BE7E"/>
    <w:multiLevelType w:val="singleLevel"/>
    <w:tmpl w:val="22B7BE7E"/>
    <w:lvl w:ilvl="0" w:tentative="0">
      <w:start w:val="3"/>
      <w:numFmt w:val="chineseCounting"/>
      <w:suff w:val="nothing"/>
      <w:lvlText w:val="（%1）"/>
      <w:lvlJc w:val="left"/>
      <w:rPr>
        <w:rFonts w:hint="eastAsia"/>
      </w:rPr>
    </w:lvl>
  </w:abstractNum>
  <w:abstractNum w:abstractNumId="3">
    <w:nsid w:val="37C1C332"/>
    <w:multiLevelType w:val="singleLevel"/>
    <w:tmpl w:val="37C1C332"/>
    <w:lvl w:ilvl="0" w:tentative="0">
      <w:start w:val="2"/>
      <w:numFmt w:val="chineseCounting"/>
      <w:suff w:val="space"/>
      <w:lvlText w:val="第%1章"/>
      <w:lvlJc w:val="left"/>
      <w:rPr>
        <w:rFonts w:hint="eastAsia"/>
      </w:rPr>
    </w:lvl>
  </w:abstractNum>
  <w:abstractNum w:abstractNumId="4">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1021383"/>
    <w:rsid w:val="011137C5"/>
    <w:rsid w:val="012670EA"/>
    <w:rsid w:val="013613FF"/>
    <w:rsid w:val="01BC250C"/>
    <w:rsid w:val="025F4662"/>
    <w:rsid w:val="03083097"/>
    <w:rsid w:val="03127217"/>
    <w:rsid w:val="035166A0"/>
    <w:rsid w:val="036D47D9"/>
    <w:rsid w:val="0433224A"/>
    <w:rsid w:val="049D275A"/>
    <w:rsid w:val="04F459FA"/>
    <w:rsid w:val="04F71BD7"/>
    <w:rsid w:val="05182245"/>
    <w:rsid w:val="05243941"/>
    <w:rsid w:val="055F0467"/>
    <w:rsid w:val="05A131E3"/>
    <w:rsid w:val="05FE0636"/>
    <w:rsid w:val="060F45F1"/>
    <w:rsid w:val="063D4CBA"/>
    <w:rsid w:val="06440F1E"/>
    <w:rsid w:val="067F0EA1"/>
    <w:rsid w:val="07355EF4"/>
    <w:rsid w:val="08375DC9"/>
    <w:rsid w:val="086E0768"/>
    <w:rsid w:val="08EB30F3"/>
    <w:rsid w:val="0A3E1E30"/>
    <w:rsid w:val="0A4A3E4A"/>
    <w:rsid w:val="0AE70551"/>
    <w:rsid w:val="0B026F41"/>
    <w:rsid w:val="0B837613"/>
    <w:rsid w:val="0C3C77C2"/>
    <w:rsid w:val="0C631449"/>
    <w:rsid w:val="0D1F336B"/>
    <w:rsid w:val="0DCB34F3"/>
    <w:rsid w:val="0E0A5DCA"/>
    <w:rsid w:val="0E880A30"/>
    <w:rsid w:val="0EA24254"/>
    <w:rsid w:val="0ED463D8"/>
    <w:rsid w:val="0F1F3AF7"/>
    <w:rsid w:val="0F4E7F38"/>
    <w:rsid w:val="0F5A67F4"/>
    <w:rsid w:val="0FEE1638"/>
    <w:rsid w:val="10702130"/>
    <w:rsid w:val="10D601E5"/>
    <w:rsid w:val="11072A94"/>
    <w:rsid w:val="111073FE"/>
    <w:rsid w:val="114710E3"/>
    <w:rsid w:val="115C2CF7"/>
    <w:rsid w:val="11C7149D"/>
    <w:rsid w:val="11F443AB"/>
    <w:rsid w:val="12617F82"/>
    <w:rsid w:val="128D65FD"/>
    <w:rsid w:val="129C348E"/>
    <w:rsid w:val="130A686C"/>
    <w:rsid w:val="13710699"/>
    <w:rsid w:val="137E6912"/>
    <w:rsid w:val="13CE7899"/>
    <w:rsid w:val="145853B5"/>
    <w:rsid w:val="154871D8"/>
    <w:rsid w:val="15F35EDD"/>
    <w:rsid w:val="169F1079"/>
    <w:rsid w:val="16E55626"/>
    <w:rsid w:val="17656B71"/>
    <w:rsid w:val="17BF1CFD"/>
    <w:rsid w:val="18B057C0"/>
    <w:rsid w:val="18C36BEB"/>
    <w:rsid w:val="192341E3"/>
    <w:rsid w:val="19257F5C"/>
    <w:rsid w:val="19891DC1"/>
    <w:rsid w:val="19EF5AF8"/>
    <w:rsid w:val="19F3005A"/>
    <w:rsid w:val="1A6B4094"/>
    <w:rsid w:val="1AA611B2"/>
    <w:rsid w:val="1AEC0313"/>
    <w:rsid w:val="1AF95B35"/>
    <w:rsid w:val="1B157ABC"/>
    <w:rsid w:val="1B1A1616"/>
    <w:rsid w:val="1B59309C"/>
    <w:rsid w:val="1B9F30FF"/>
    <w:rsid w:val="1BAA3FC2"/>
    <w:rsid w:val="1C000F80"/>
    <w:rsid w:val="1D3F5364"/>
    <w:rsid w:val="1D850AA2"/>
    <w:rsid w:val="1D951E9C"/>
    <w:rsid w:val="1DCA7323"/>
    <w:rsid w:val="1E197963"/>
    <w:rsid w:val="1E390005"/>
    <w:rsid w:val="1E3B56D4"/>
    <w:rsid w:val="1E693EC0"/>
    <w:rsid w:val="1F3303C2"/>
    <w:rsid w:val="1F372797"/>
    <w:rsid w:val="1F84468E"/>
    <w:rsid w:val="1F850FAE"/>
    <w:rsid w:val="1FE87F35"/>
    <w:rsid w:val="1FEE1B49"/>
    <w:rsid w:val="20E56222"/>
    <w:rsid w:val="217557F8"/>
    <w:rsid w:val="21E84823"/>
    <w:rsid w:val="22CC25C7"/>
    <w:rsid w:val="22F56BF1"/>
    <w:rsid w:val="230778FE"/>
    <w:rsid w:val="230806C2"/>
    <w:rsid w:val="23E66539"/>
    <w:rsid w:val="241C63FF"/>
    <w:rsid w:val="24762A0C"/>
    <w:rsid w:val="2492046F"/>
    <w:rsid w:val="250524F8"/>
    <w:rsid w:val="257D2ECD"/>
    <w:rsid w:val="25822292"/>
    <w:rsid w:val="258F3E5B"/>
    <w:rsid w:val="269C578A"/>
    <w:rsid w:val="26B47F5C"/>
    <w:rsid w:val="26D62895"/>
    <w:rsid w:val="2753023F"/>
    <w:rsid w:val="276441C9"/>
    <w:rsid w:val="27716A62"/>
    <w:rsid w:val="27750300"/>
    <w:rsid w:val="27952750"/>
    <w:rsid w:val="27F51441"/>
    <w:rsid w:val="28216F3C"/>
    <w:rsid w:val="28610884"/>
    <w:rsid w:val="287C746C"/>
    <w:rsid w:val="28A6273B"/>
    <w:rsid w:val="28CB21A2"/>
    <w:rsid w:val="28CD627E"/>
    <w:rsid w:val="2984039C"/>
    <w:rsid w:val="29F85218"/>
    <w:rsid w:val="2A614B6C"/>
    <w:rsid w:val="2AA131BA"/>
    <w:rsid w:val="2AAA6513"/>
    <w:rsid w:val="2AF53506"/>
    <w:rsid w:val="2B593A95"/>
    <w:rsid w:val="2B5B780D"/>
    <w:rsid w:val="2B88437A"/>
    <w:rsid w:val="2B9B40AD"/>
    <w:rsid w:val="2BDE3F9A"/>
    <w:rsid w:val="2C3D6F12"/>
    <w:rsid w:val="2C8E4B7C"/>
    <w:rsid w:val="2CF92803"/>
    <w:rsid w:val="2CFE2B46"/>
    <w:rsid w:val="2D4C45A1"/>
    <w:rsid w:val="2DD5778F"/>
    <w:rsid w:val="2E291833"/>
    <w:rsid w:val="2E6D1C25"/>
    <w:rsid w:val="2E6E5AA9"/>
    <w:rsid w:val="2E7D3F3E"/>
    <w:rsid w:val="2E943223"/>
    <w:rsid w:val="2EB536D8"/>
    <w:rsid w:val="2F3E12DE"/>
    <w:rsid w:val="2F522419"/>
    <w:rsid w:val="2F8337D6"/>
    <w:rsid w:val="2F927575"/>
    <w:rsid w:val="2FFB336C"/>
    <w:rsid w:val="302F5A11"/>
    <w:rsid w:val="30663F74"/>
    <w:rsid w:val="30CC6B49"/>
    <w:rsid w:val="30F027A5"/>
    <w:rsid w:val="31132938"/>
    <w:rsid w:val="31691F2D"/>
    <w:rsid w:val="31EE221F"/>
    <w:rsid w:val="324E1E79"/>
    <w:rsid w:val="328A2F94"/>
    <w:rsid w:val="32912E68"/>
    <w:rsid w:val="32A11A16"/>
    <w:rsid w:val="32DC7485"/>
    <w:rsid w:val="33613E2E"/>
    <w:rsid w:val="342310E4"/>
    <w:rsid w:val="350E769E"/>
    <w:rsid w:val="35205C57"/>
    <w:rsid w:val="353043A7"/>
    <w:rsid w:val="359F2181"/>
    <w:rsid w:val="35D5415D"/>
    <w:rsid w:val="369D517D"/>
    <w:rsid w:val="36DE5DD1"/>
    <w:rsid w:val="3726778C"/>
    <w:rsid w:val="37405B09"/>
    <w:rsid w:val="374E2513"/>
    <w:rsid w:val="3A075AFE"/>
    <w:rsid w:val="3A502507"/>
    <w:rsid w:val="3A804118"/>
    <w:rsid w:val="3AF3026A"/>
    <w:rsid w:val="3B0B7C37"/>
    <w:rsid w:val="3B253993"/>
    <w:rsid w:val="3BBA2C38"/>
    <w:rsid w:val="3C074E47"/>
    <w:rsid w:val="3C1A001F"/>
    <w:rsid w:val="3C2B43F0"/>
    <w:rsid w:val="3C641CA7"/>
    <w:rsid w:val="3CA64AA0"/>
    <w:rsid w:val="3D000214"/>
    <w:rsid w:val="3D106B23"/>
    <w:rsid w:val="3D5F5CEB"/>
    <w:rsid w:val="3E3C34CE"/>
    <w:rsid w:val="3EC07C8A"/>
    <w:rsid w:val="3EC86B10"/>
    <w:rsid w:val="3F245438"/>
    <w:rsid w:val="3F4C7741"/>
    <w:rsid w:val="41054FBE"/>
    <w:rsid w:val="41082B51"/>
    <w:rsid w:val="4157061F"/>
    <w:rsid w:val="415B2A37"/>
    <w:rsid w:val="4173542A"/>
    <w:rsid w:val="42176969"/>
    <w:rsid w:val="42862F6A"/>
    <w:rsid w:val="42BC4BDD"/>
    <w:rsid w:val="42FD131E"/>
    <w:rsid w:val="43790D20"/>
    <w:rsid w:val="438D20D6"/>
    <w:rsid w:val="43BD0C0D"/>
    <w:rsid w:val="43D16DFB"/>
    <w:rsid w:val="441133CA"/>
    <w:rsid w:val="44150A49"/>
    <w:rsid w:val="44634DEC"/>
    <w:rsid w:val="44A92F3F"/>
    <w:rsid w:val="44AB4F09"/>
    <w:rsid w:val="4510737E"/>
    <w:rsid w:val="45967F9C"/>
    <w:rsid w:val="45EE77A4"/>
    <w:rsid w:val="461B1C1B"/>
    <w:rsid w:val="467F03FC"/>
    <w:rsid w:val="46C200B8"/>
    <w:rsid w:val="478832E0"/>
    <w:rsid w:val="47F37767"/>
    <w:rsid w:val="48C60B5F"/>
    <w:rsid w:val="4971555C"/>
    <w:rsid w:val="49925A7D"/>
    <w:rsid w:val="4A0A0C77"/>
    <w:rsid w:val="4A233794"/>
    <w:rsid w:val="4A2A5330"/>
    <w:rsid w:val="4A431964"/>
    <w:rsid w:val="4A6F4C2B"/>
    <w:rsid w:val="4A800BE6"/>
    <w:rsid w:val="4A951D4C"/>
    <w:rsid w:val="4B2B4033"/>
    <w:rsid w:val="4B7778F3"/>
    <w:rsid w:val="4BB60892"/>
    <w:rsid w:val="4BF03B4A"/>
    <w:rsid w:val="4C062E76"/>
    <w:rsid w:val="4C934C01"/>
    <w:rsid w:val="4CA54934"/>
    <w:rsid w:val="4CA74208"/>
    <w:rsid w:val="4CD00139"/>
    <w:rsid w:val="4CE90CC5"/>
    <w:rsid w:val="4D221AE1"/>
    <w:rsid w:val="4D246133"/>
    <w:rsid w:val="4DC1731C"/>
    <w:rsid w:val="4EB96475"/>
    <w:rsid w:val="4EC2357B"/>
    <w:rsid w:val="4ED432AF"/>
    <w:rsid w:val="4EFB6DE2"/>
    <w:rsid w:val="4F950C90"/>
    <w:rsid w:val="4FBF5D0D"/>
    <w:rsid w:val="4FD01CC8"/>
    <w:rsid w:val="50060682"/>
    <w:rsid w:val="50767D8A"/>
    <w:rsid w:val="50AA47D9"/>
    <w:rsid w:val="50C7131D"/>
    <w:rsid w:val="50D15CF8"/>
    <w:rsid w:val="51857D38"/>
    <w:rsid w:val="51B82A14"/>
    <w:rsid w:val="52173BDE"/>
    <w:rsid w:val="52BA7FE0"/>
    <w:rsid w:val="52C045C2"/>
    <w:rsid w:val="53C102A5"/>
    <w:rsid w:val="53EE45A5"/>
    <w:rsid w:val="54640C31"/>
    <w:rsid w:val="548D7284"/>
    <w:rsid w:val="54911254"/>
    <w:rsid w:val="5495703C"/>
    <w:rsid w:val="550C7ACC"/>
    <w:rsid w:val="55B13259"/>
    <w:rsid w:val="567D422C"/>
    <w:rsid w:val="571050A0"/>
    <w:rsid w:val="57546DC1"/>
    <w:rsid w:val="57600001"/>
    <w:rsid w:val="57C136CD"/>
    <w:rsid w:val="58466FCB"/>
    <w:rsid w:val="585963C3"/>
    <w:rsid w:val="58A528D5"/>
    <w:rsid w:val="596A0A97"/>
    <w:rsid w:val="598002BB"/>
    <w:rsid w:val="59CC1752"/>
    <w:rsid w:val="59CF1242"/>
    <w:rsid w:val="59EC0C94"/>
    <w:rsid w:val="59F12F67"/>
    <w:rsid w:val="59F26F59"/>
    <w:rsid w:val="5A2109E1"/>
    <w:rsid w:val="5B0B2544"/>
    <w:rsid w:val="5B7253B2"/>
    <w:rsid w:val="5B751975"/>
    <w:rsid w:val="5BC806C1"/>
    <w:rsid w:val="5BEB1E5A"/>
    <w:rsid w:val="5BEB56DE"/>
    <w:rsid w:val="5C435F5A"/>
    <w:rsid w:val="5C7165E1"/>
    <w:rsid w:val="5D1B4B7A"/>
    <w:rsid w:val="5D514C25"/>
    <w:rsid w:val="5DA86747"/>
    <w:rsid w:val="5E1A6CE7"/>
    <w:rsid w:val="5E2B3491"/>
    <w:rsid w:val="5F0E7E34"/>
    <w:rsid w:val="5F132D8C"/>
    <w:rsid w:val="5F182D44"/>
    <w:rsid w:val="5F2D4A41"/>
    <w:rsid w:val="5F7A57AC"/>
    <w:rsid w:val="5FBE3555"/>
    <w:rsid w:val="6028345A"/>
    <w:rsid w:val="60407D8C"/>
    <w:rsid w:val="606020F0"/>
    <w:rsid w:val="60AE5783"/>
    <w:rsid w:val="60E56871"/>
    <w:rsid w:val="61296C23"/>
    <w:rsid w:val="6175447D"/>
    <w:rsid w:val="61D30A56"/>
    <w:rsid w:val="62B60044"/>
    <w:rsid w:val="62E80C7F"/>
    <w:rsid w:val="63280D60"/>
    <w:rsid w:val="6387310C"/>
    <w:rsid w:val="63C811DC"/>
    <w:rsid w:val="63E7103C"/>
    <w:rsid w:val="63F01D9B"/>
    <w:rsid w:val="645A5BAC"/>
    <w:rsid w:val="64914D1F"/>
    <w:rsid w:val="64FD4FB2"/>
    <w:rsid w:val="65017861"/>
    <w:rsid w:val="650E70C3"/>
    <w:rsid w:val="6562740E"/>
    <w:rsid w:val="65D81104"/>
    <w:rsid w:val="660B7819"/>
    <w:rsid w:val="66171FA7"/>
    <w:rsid w:val="661F2C0A"/>
    <w:rsid w:val="667B0788"/>
    <w:rsid w:val="66B34245"/>
    <w:rsid w:val="66C13CC1"/>
    <w:rsid w:val="67392D70"/>
    <w:rsid w:val="67877971"/>
    <w:rsid w:val="67913794"/>
    <w:rsid w:val="679E072B"/>
    <w:rsid w:val="67C40EBB"/>
    <w:rsid w:val="67CD5355"/>
    <w:rsid w:val="68541290"/>
    <w:rsid w:val="686D2352"/>
    <w:rsid w:val="68B74A09"/>
    <w:rsid w:val="68EA39A3"/>
    <w:rsid w:val="68F309CB"/>
    <w:rsid w:val="695E0300"/>
    <w:rsid w:val="698E432E"/>
    <w:rsid w:val="699F1794"/>
    <w:rsid w:val="6A31115D"/>
    <w:rsid w:val="6A59526A"/>
    <w:rsid w:val="6AE52674"/>
    <w:rsid w:val="6BA42C8E"/>
    <w:rsid w:val="6C940230"/>
    <w:rsid w:val="6C9A0567"/>
    <w:rsid w:val="6D165BE9"/>
    <w:rsid w:val="6D8A7502"/>
    <w:rsid w:val="6D8F4B19"/>
    <w:rsid w:val="6DD34202"/>
    <w:rsid w:val="6E1E2833"/>
    <w:rsid w:val="6E341EFF"/>
    <w:rsid w:val="6E3D27C7"/>
    <w:rsid w:val="6E865F1C"/>
    <w:rsid w:val="6EA91C0A"/>
    <w:rsid w:val="6F524050"/>
    <w:rsid w:val="6F5A2F04"/>
    <w:rsid w:val="6F8D5088"/>
    <w:rsid w:val="6FCA62DC"/>
    <w:rsid w:val="70DF2FD7"/>
    <w:rsid w:val="7145465B"/>
    <w:rsid w:val="71522AC9"/>
    <w:rsid w:val="71FC02A3"/>
    <w:rsid w:val="72943F28"/>
    <w:rsid w:val="729F135A"/>
    <w:rsid w:val="730D7B4F"/>
    <w:rsid w:val="73D2575F"/>
    <w:rsid w:val="73FD4B26"/>
    <w:rsid w:val="7546441A"/>
    <w:rsid w:val="759552F3"/>
    <w:rsid w:val="75F145C2"/>
    <w:rsid w:val="760065B4"/>
    <w:rsid w:val="769907B6"/>
    <w:rsid w:val="76E97048"/>
    <w:rsid w:val="771263E5"/>
    <w:rsid w:val="771852A8"/>
    <w:rsid w:val="773651D5"/>
    <w:rsid w:val="776112D4"/>
    <w:rsid w:val="778D031B"/>
    <w:rsid w:val="77972419"/>
    <w:rsid w:val="77E912C9"/>
    <w:rsid w:val="786C6182"/>
    <w:rsid w:val="78E350FE"/>
    <w:rsid w:val="792702FB"/>
    <w:rsid w:val="79A9552B"/>
    <w:rsid w:val="79C505D8"/>
    <w:rsid w:val="7A3A41A1"/>
    <w:rsid w:val="7AEA338E"/>
    <w:rsid w:val="7B4118B2"/>
    <w:rsid w:val="7B5B603A"/>
    <w:rsid w:val="7BDF4EBD"/>
    <w:rsid w:val="7C9C1996"/>
    <w:rsid w:val="7CF077D4"/>
    <w:rsid w:val="7D200C7E"/>
    <w:rsid w:val="7D733B0F"/>
    <w:rsid w:val="7DA168CE"/>
    <w:rsid w:val="7DC13ACC"/>
    <w:rsid w:val="7DDA0140"/>
    <w:rsid w:val="7E576F8D"/>
    <w:rsid w:val="7EB50157"/>
    <w:rsid w:val="7F511C2E"/>
    <w:rsid w:val="7F5C0EA0"/>
    <w:rsid w:val="7FB81CAD"/>
    <w:rsid w:val="7FE5528A"/>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next w:val="9"/>
    <w:autoRedefine/>
    <w:qFormat/>
    <w:uiPriority w:val="0"/>
    <w:pPr>
      <w:autoSpaceDE w:val="0"/>
      <w:autoSpaceDN w:val="0"/>
      <w:jc w:val="left"/>
    </w:pPr>
    <w:rPr>
      <w:rFonts w:ascii="宋体" w:hAnsi="宋体"/>
      <w:kern w:val="0"/>
      <w:sz w:val="32"/>
      <w:szCs w:val="32"/>
    </w:rPr>
  </w:style>
  <w:style w:type="paragraph" w:styleId="9">
    <w:name w:val="Body Text 2"/>
    <w:basedOn w:val="1"/>
    <w:autoRedefine/>
    <w:qFormat/>
    <w:uiPriority w:val="0"/>
    <w:pPr>
      <w:spacing w:line="360" w:lineRule="auto"/>
    </w:pPr>
    <w:rPr>
      <w:sz w:val="24"/>
    </w:rPr>
  </w:style>
  <w:style w:type="paragraph" w:styleId="10">
    <w:name w:val="Body Text Indent"/>
    <w:basedOn w:val="1"/>
    <w:autoRedefine/>
    <w:qFormat/>
    <w:uiPriority w:val="0"/>
    <w:pPr>
      <w:spacing w:line="360" w:lineRule="auto"/>
      <w:ind w:firstLine="420" w:firstLineChars="200"/>
    </w:pPr>
    <w:rPr>
      <w:kern w:val="0"/>
      <w:sz w:val="20"/>
      <w:szCs w:val="24"/>
    </w:rPr>
  </w:style>
  <w:style w:type="paragraph" w:styleId="11">
    <w:name w:val="Plain Text"/>
    <w:basedOn w:val="1"/>
    <w:next w:val="12"/>
    <w:autoRedefine/>
    <w:qFormat/>
    <w:uiPriority w:val="0"/>
    <w:rPr>
      <w:rFonts w:hint="eastAsia" w:ascii="宋体" w:hAnsi="Courier New"/>
      <w:kern w:val="0"/>
      <w:sz w:val="20"/>
      <w:szCs w:val="21"/>
    </w:rPr>
  </w:style>
  <w:style w:type="paragraph" w:customStyle="1" w:styleId="12">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3">
    <w:name w:val="Balloon Text"/>
    <w:basedOn w:val="1"/>
    <w:autoRedefine/>
    <w:qFormat/>
    <w:uiPriority w:val="0"/>
    <w:rPr>
      <w:rFonts w:ascii="Calibri" w:hAnsi="Calibri"/>
      <w:sz w:val="18"/>
      <w:szCs w:val="18"/>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10"/>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character" w:styleId="24">
    <w:name w:val="Hyperlink"/>
    <w:basedOn w:val="21"/>
    <w:autoRedefine/>
    <w:qFormat/>
    <w:uiPriority w:val="0"/>
    <w:rPr>
      <w:color w:val="0000FF"/>
      <w:u w:val="single"/>
    </w:rPr>
  </w:style>
  <w:style w:type="paragraph" w:styleId="25">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6">
    <w:name w:val="p0"/>
    <w:basedOn w:val="1"/>
    <w:autoRedefine/>
    <w:qFormat/>
    <w:uiPriority w:val="0"/>
    <w:pPr>
      <w:widowControl/>
    </w:pPr>
    <w:rPr>
      <w:kern w:val="0"/>
      <w:szCs w:val="21"/>
    </w:rPr>
  </w:style>
  <w:style w:type="paragraph" w:customStyle="1" w:styleId="27">
    <w:name w:val="表格文字"/>
    <w:basedOn w:val="1"/>
    <w:autoRedefine/>
    <w:qFormat/>
    <w:uiPriority w:val="0"/>
    <w:pPr>
      <w:spacing w:before="25" w:after="25"/>
    </w:pPr>
    <w:rPr>
      <w:spacing w:val="10"/>
      <w:sz w:val="24"/>
    </w:rPr>
  </w:style>
  <w:style w:type="paragraph" w:customStyle="1" w:styleId="28">
    <w:name w:val="列出段落111"/>
    <w:basedOn w:val="1"/>
    <w:autoRedefine/>
    <w:qFormat/>
    <w:uiPriority w:val="0"/>
    <w:pPr>
      <w:ind w:firstLine="420" w:firstLineChars="200"/>
    </w:pPr>
  </w:style>
  <w:style w:type="paragraph" w:customStyle="1" w:styleId="29">
    <w:name w:val="保留正文"/>
    <w:basedOn w:val="8"/>
    <w:autoRedefine/>
    <w:qFormat/>
    <w:uiPriority w:val="0"/>
    <w:pPr>
      <w:keepNext/>
      <w:tabs>
        <w:tab w:val="left" w:pos="562"/>
        <w:tab w:val="left" w:pos="3372"/>
        <w:tab w:val="left" w:pos="3653"/>
      </w:tabs>
      <w:spacing w:after="160"/>
    </w:pPr>
    <w:rPr>
      <w:sz w:val="21"/>
    </w:rPr>
  </w:style>
  <w:style w:type="character" w:customStyle="1" w:styleId="30">
    <w:name w:val="font31"/>
    <w:basedOn w:val="21"/>
    <w:autoRedefine/>
    <w:qFormat/>
    <w:uiPriority w:val="0"/>
    <w:rPr>
      <w:rFonts w:hint="eastAsia" w:ascii="宋体" w:hAnsi="宋体" w:eastAsia="宋体" w:cs="宋体"/>
      <w:color w:val="000000"/>
      <w:sz w:val="24"/>
      <w:szCs w:val="24"/>
      <w:u w:val="none"/>
    </w:rPr>
  </w:style>
  <w:style w:type="paragraph" w:customStyle="1" w:styleId="31">
    <w:name w:val="列出段落1"/>
    <w:basedOn w:val="1"/>
    <w:autoRedefine/>
    <w:qFormat/>
    <w:uiPriority w:val="34"/>
    <w:pPr>
      <w:ind w:firstLine="420" w:firstLineChars="200"/>
    </w:pPr>
  </w:style>
  <w:style w:type="paragraph" w:customStyle="1" w:styleId="32">
    <w:name w:val="_Style 1"/>
    <w:basedOn w:val="1"/>
    <w:next w:val="1"/>
    <w:autoRedefine/>
    <w:qFormat/>
    <w:uiPriority w:val="99"/>
    <w:pPr>
      <w:ind w:firstLine="420" w:firstLineChars="200"/>
    </w:pPr>
  </w:style>
  <w:style w:type="paragraph" w:customStyle="1" w:styleId="33">
    <w:name w:val="表格小五F4"/>
    <w:basedOn w:val="34"/>
    <w:autoRedefine/>
    <w:qFormat/>
    <w:uiPriority w:val="0"/>
    <w:rPr>
      <w:sz w:val="18"/>
    </w:rPr>
  </w:style>
  <w:style w:type="paragraph" w:customStyle="1" w:styleId="34">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5">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6">
    <w:name w:val="列表段落1"/>
    <w:basedOn w:val="1"/>
    <w:autoRedefine/>
    <w:qFormat/>
    <w:uiPriority w:val="0"/>
    <w:pPr>
      <w:ind w:firstLine="420" w:firstLineChars="200"/>
    </w:pPr>
  </w:style>
  <w:style w:type="paragraph" w:customStyle="1" w:styleId="37">
    <w:name w:val="List Paragraph"/>
    <w:basedOn w:val="1"/>
    <w:autoRedefine/>
    <w:qFormat/>
    <w:uiPriority w:val="34"/>
    <w:pPr>
      <w:ind w:firstLine="420" w:firstLineChars="200"/>
    </w:pPr>
  </w:style>
  <w:style w:type="paragraph" w:customStyle="1" w:styleId="38">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68</Pages>
  <Words>9749</Words>
  <Characters>10016</Characters>
  <Lines>0</Lines>
  <Paragraphs>0</Paragraphs>
  <TotalTime>3</TotalTime>
  <ScaleCrop>false</ScaleCrop>
  <LinksUpToDate>false</LinksUpToDate>
  <CharactersWithSpaces>10062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Administrator</cp:lastModifiedBy>
  <dcterms:modified xsi:type="dcterms:W3CDTF">2026-07-14T08:36:30Z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136047CF1CA74FEA9AC094D67F99FBA5_13</vt:lpwstr>
  </property>
</Properties>
</file>