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4ADB0A">
      <w:pPr>
        <w:keepLines w:val="0"/>
        <w:pageBreakBefore w:val="0"/>
        <w:kinsoku/>
        <w:wordWrap/>
        <w:overflowPunct/>
        <w:topLinePunct w:val="0"/>
        <w:bidi w:val="0"/>
        <w:spacing w:line="560" w:lineRule="exact"/>
        <w:rPr>
          <w:color w:val="auto"/>
          <w:sz w:val="18"/>
          <w:szCs w:val="18"/>
          <w:highlight w:val="none"/>
        </w:rPr>
      </w:pPr>
    </w:p>
    <w:p w14:paraId="6156719E">
      <w:pPr>
        <w:keepLines w:val="0"/>
        <w:pageBreakBefore w:val="0"/>
        <w:kinsoku/>
        <w:wordWrap/>
        <w:overflowPunct/>
        <w:topLinePunct w:val="0"/>
        <w:bidi w:val="0"/>
        <w:spacing w:line="560" w:lineRule="exact"/>
        <w:jc w:val="center"/>
        <w:rPr>
          <w:rFonts w:ascii="宋体" w:hAnsi="宋体"/>
          <w:b/>
          <w:bCs/>
          <w:color w:val="auto"/>
          <w:sz w:val="44"/>
          <w:highlight w:val="none"/>
        </w:rPr>
      </w:pPr>
      <w:r>
        <w:rPr>
          <w:rFonts w:hint="eastAsia" w:ascii="宋体" w:hAnsi="宋体"/>
          <w:b/>
          <w:bCs/>
          <w:color w:val="auto"/>
          <w:sz w:val="44"/>
          <w:highlight w:val="none"/>
        </w:rPr>
        <w:t>深圳市龙岗区第七人民医院</w:t>
      </w:r>
    </w:p>
    <w:p w14:paraId="409467AC">
      <w:pPr>
        <w:keepLines w:val="0"/>
        <w:pageBreakBefore w:val="0"/>
        <w:kinsoku/>
        <w:wordWrap/>
        <w:overflowPunct/>
        <w:topLinePunct w:val="0"/>
        <w:bidi w:val="0"/>
        <w:spacing w:line="560" w:lineRule="exact"/>
        <w:jc w:val="center"/>
        <w:rPr>
          <w:rFonts w:ascii="宋体" w:hAnsi="宋体"/>
          <w:b/>
          <w:bCs/>
          <w:color w:val="auto"/>
          <w:sz w:val="44"/>
          <w:highlight w:val="none"/>
        </w:rPr>
      </w:pPr>
      <w:r>
        <w:rPr>
          <w:rFonts w:hint="eastAsia" w:ascii="宋体" w:hAnsi="宋体"/>
          <w:b/>
          <w:bCs/>
          <w:color w:val="auto"/>
          <w:sz w:val="44"/>
          <w:highlight w:val="none"/>
        </w:rPr>
        <w:t>院内采购标书</w:t>
      </w:r>
    </w:p>
    <w:p w14:paraId="3EFB3E03">
      <w:pPr>
        <w:keepLines w:val="0"/>
        <w:pageBreakBefore w:val="0"/>
        <w:kinsoku/>
        <w:wordWrap/>
        <w:overflowPunct/>
        <w:topLinePunct w:val="0"/>
        <w:bidi w:val="0"/>
        <w:spacing w:line="560" w:lineRule="exact"/>
        <w:jc w:val="center"/>
        <w:rPr>
          <w:rFonts w:ascii="宋体" w:hAnsi="宋体"/>
          <w:b/>
          <w:bCs/>
          <w:color w:val="auto"/>
          <w:sz w:val="44"/>
          <w:highlight w:val="none"/>
        </w:rPr>
      </w:pPr>
    </w:p>
    <w:p w14:paraId="716CF1DF">
      <w:pPr>
        <w:keepLines w:val="0"/>
        <w:pageBreakBefore w:val="0"/>
        <w:kinsoku/>
        <w:wordWrap/>
        <w:overflowPunct/>
        <w:topLinePunct w:val="0"/>
        <w:bidi w:val="0"/>
        <w:spacing w:line="560" w:lineRule="exact"/>
        <w:jc w:val="center"/>
        <w:rPr>
          <w:rFonts w:ascii="宋体" w:hAnsi="宋体"/>
          <w:b/>
          <w:bCs/>
          <w:color w:val="auto"/>
          <w:sz w:val="44"/>
          <w:highlight w:val="none"/>
        </w:rPr>
      </w:pPr>
      <w:r>
        <w:rPr>
          <w:rFonts w:hint="eastAsia" w:ascii="宋体" w:hAnsi="宋体"/>
          <w:b/>
          <w:bCs/>
          <w:color w:val="auto"/>
          <w:sz w:val="44"/>
          <w:highlight w:val="none"/>
        </w:rPr>
        <w:t>招标文件信息</w:t>
      </w:r>
    </w:p>
    <w:p w14:paraId="5C417394">
      <w:pPr>
        <w:keepLines w:val="0"/>
        <w:pageBreakBefore w:val="0"/>
        <w:kinsoku/>
        <w:wordWrap/>
        <w:overflowPunct/>
        <w:topLinePunct w:val="0"/>
        <w:bidi w:val="0"/>
        <w:spacing w:line="560" w:lineRule="exact"/>
        <w:jc w:val="center"/>
        <w:rPr>
          <w:rFonts w:ascii="宋体" w:hAnsi="宋体"/>
          <w:b/>
          <w:bCs/>
          <w:color w:val="auto"/>
          <w:sz w:val="44"/>
          <w:highlight w:val="none"/>
        </w:rPr>
      </w:pPr>
    </w:p>
    <w:p w14:paraId="287D7DD8">
      <w:pPr>
        <w:keepLines w:val="0"/>
        <w:pageBreakBefore w:val="0"/>
        <w:kinsoku/>
        <w:wordWrap/>
        <w:overflowPunct/>
        <w:topLinePunct w:val="0"/>
        <w:bidi w:val="0"/>
        <w:snapToGrid w:val="0"/>
        <w:spacing w:line="560" w:lineRule="exact"/>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采购项目：</w:t>
      </w:r>
      <w:r>
        <w:rPr>
          <w:rFonts w:hint="eastAsia" w:ascii="仿宋_GB2312" w:hAnsi="仿宋_GB2312" w:eastAsia="仿宋_GB2312" w:cs="仿宋_GB2312"/>
          <w:color w:val="auto"/>
          <w:sz w:val="36"/>
          <w:szCs w:val="36"/>
          <w:highlight w:val="none"/>
          <w:lang w:val="en-US" w:eastAsia="zh-CN"/>
        </w:rPr>
        <w:t>深圳市龙岗区第七人民医院龙岭院区（除门诊楼外）4栋建筑房屋结构安全检测鉴定服务项目</w:t>
      </w:r>
    </w:p>
    <w:p w14:paraId="5532616F">
      <w:pPr>
        <w:keepLines w:val="0"/>
        <w:pageBreakBefore w:val="0"/>
        <w:kinsoku/>
        <w:wordWrap/>
        <w:overflowPunct/>
        <w:topLinePunct w:val="0"/>
        <w:bidi w:val="0"/>
        <w:snapToGrid w:val="0"/>
        <w:spacing w:line="560" w:lineRule="exact"/>
        <w:rPr>
          <w:rFonts w:hint="default" w:ascii="仿宋_GB2312" w:hAnsi="仿宋_GB2312" w:eastAsia="仿宋_GB2312" w:cs="仿宋_GB2312"/>
          <w:color w:val="auto"/>
          <w:sz w:val="36"/>
          <w:szCs w:val="36"/>
          <w:highlight w:val="none"/>
          <w:lang w:val="en-US"/>
        </w:rPr>
      </w:pPr>
      <w:r>
        <w:rPr>
          <w:rFonts w:hint="eastAsia" w:ascii="仿宋_GB2312" w:hAnsi="仿宋_GB2312" w:eastAsia="仿宋_GB2312" w:cs="仿宋_GB2312"/>
          <w:b/>
          <w:bCs/>
          <w:color w:val="auto"/>
          <w:sz w:val="36"/>
          <w:szCs w:val="36"/>
          <w:highlight w:val="none"/>
        </w:rPr>
        <w:t>采购项目编号：</w:t>
      </w:r>
      <w:r>
        <w:rPr>
          <w:rFonts w:hint="eastAsia" w:ascii="仿宋_GB2312" w:hAnsi="仿宋_GB2312" w:eastAsia="仿宋_GB2312" w:cs="仿宋_GB2312"/>
          <w:color w:val="auto"/>
          <w:sz w:val="36"/>
          <w:szCs w:val="36"/>
          <w:highlight w:val="none"/>
          <w:lang w:val="en-US" w:eastAsia="zh-CN"/>
        </w:rPr>
        <w:t>深龙七医采[LGQY2026ZW007]</w:t>
      </w:r>
    </w:p>
    <w:p w14:paraId="49CAAE4F">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项目类型：</w:t>
      </w:r>
      <w:r>
        <w:rPr>
          <w:rFonts w:hint="eastAsia" w:ascii="仿宋_GB2312" w:hAnsi="仿宋_GB2312" w:eastAsia="仿宋_GB2312" w:cs="仿宋_GB2312"/>
          <w:color w:val="auto"/>
          <w:sz w:val="36"/>
          <w:szCs w:val="36"/>
          <w:highlight w:val="none"/>
          <w:lang w:val="en-US" w:eastAsia="zh-CN"/>
        </w:rPr>
        <w:t>服务</w:t>
      </w:r>
      <w:r>
        <w:rPr>
          <w:rFonts w:hint="eastAsia" w:ascii="仿宋_GB2312" w:hAnsi="仿宋_GB2312" w:eastAsia="仿宋_GB2312" w:cs="仿宋_GB2312"/>
          <w:color w:val="auto"/>
          <w:sz w:val="36"/>
          <w:szCs w:val="36"/>
          <w:highlight w:val="none"/>
        </w:rPr>
        <w:t>类</w:t>
      </w:r>
    </w:p>
    <w:p w14:paraId="29283008">
      <w:pPr>
        <w:keepLines w:val="0"/>
        <w:pageBreakBefore w:val="0"/>
        <w:kinsoku/>
        <w:wordWrap/>
        <w:overflowPunct/>
        <w:topLinePunct w:val="0"/>
        <w:bidi w:val="0"/>
        <w:snapToGrid w:val="0"/>
        <w:spacing w:line="560" w:lineRule="exact"/>
        <w:rPr>
          <w:rFonts w:eastAsia="仿宋_GB2312"/>
          <w:color w:val="auto"/>
          <w:highlight w:val="none"/>
        </w:rPr>
      </w:pPr>
      <w:r>
        <w:rPr>
          <w:rFonts w:hint="eastAsia" w:ascii="仿宋_GB2312" w:hAnsi="仿宋_GB2312" w:eastAsia="仿宋_GB2312" w:cs="仿宋_GB2312"/>
          <w:b/>
          <w:bCs/>
          <w:color w:val="auto"/>
          <w:sz w:val="36"/>
          <w:szCs w:val="36"/>
          <w:highlight w:val="none"/>
        </w:rPr>
        <w:t>采购数量：</w:t>
      </w:r>
      <w:r>
        <w:rPr>
          <w:rFonts w:hint="eastAsia" w:ascii="仿宋_GB2312" w:hAnsi="仿宋_GB2312" w:eastAsia="仿宋_GB2312" w:cs="仿宋_GB2312"/>
          <w:b w:val="0"/>
          <w:bCs w:val="0"/>
          <w:color w:val="auto"/>
          <w:sz w:val="36"/>
          <w:szCs w:val="36"/>
          <w:highlight w:val="none"/>
          <w:lang w:val="en-US" w:eastAsia="zh-CN"/>
        </w:rPr>
        <w:t>1项</w:t>
      </w:r>
    </w:p>
    <w:p w14:paraId="5363D971">
      <w:pPr>
        <w:keepLines w:val="0"/>
        <w:pageBreakBefore w:val="0"/>
        <w:kinsoku/>
        <w:wordWrap/>
        <w:overflowPunct/>
        <w:topLinePunct w:val="0"/>
        <w:bidi w:val="0"/>
        <w:snapToGrid w:val="0"/>
        <w:spacing w:line="560" w:lineRule="exact"/>
        <w:jc w:val="left"/>
        <w:rPr>
          <w:rFonts w:hint="default" w:ascii="仿宋_GB2312" w:hAnsi="仿宋_GB2312" w:eastAsia="仿宋_GB2312" w:cs="仿宋_GB2312"/>
          <w:color w:val="auto"/>
          <w:sz w:val="36"/>
          <w:szCs w:val="36"/>
          <w:highlight w:val="none"/>
          <w:lang w:val="en-US"/>
        </w:rPr>
      </w:pPr>
      <w:r>
        <w:rPr>
          <w:rFonts w:hint="eastAsia" w:ascii="仿宋_GB2312" w:hAnsi="仿宋_GB2312" w:eastAsia="仿宋_GB2312" w:cs="仿宋_GB2312"/>
          <w:b/>
          <w:bCs/>
          <w:color w:val="auto"/>
          <w:sz w:val="36"/>
          <w:szCs w:val="36"/>
          <w:highlight w:val="none"/>
        </w:rPr>
        <w:t>预算总金额：</w:t>
      </w:r>
      <w:r>
        <w:rPr>
          <w:rFonts w:hint="eastAsia" w:ascii="仿宋_GB2312" w:hAnsi="仿宋_GB2312" w:eastAsia="仿宋_GB2312" w:cs="仿宋_GB2312"/>
          <w:b w:val="0"/>
          <w:bCs w:val="0"/>
          <w:color w:val="auto"/>
          <w:sz w:val="36"/>
          <w:szCs w:val="36"/>
          <w:highlight w:val="none"/>
          <w:lang w:val="en-US" w:eastAsia="zh-CN"/>
        </w:rPr>
        <w:t>10.5万元</w:t>
      </w:r>
    </w:p>
    <w:p w14:paraId="26A92FA2">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采购方式：</w:t>
      </w:r>
      <w:r>
        <w:rPr>
          <w:rFonts w:hint="eastAsia" w:ascii="仿宋_GB2312" w:hAnsi="仿宋_GB2312" w:eastAsia="仿宋_GB2312" w:cs="仿宋_GB2312"/>
          <w:color w:val="auto"/>
          <w:sz w:val="36"/>
          <w:szCs w:val="36"/>
          <w:highlight w:val="none"/>
        </w:rPr>
        <w:t>院内公开</w:t>
      </w:r>
      <w:r>
        <w:rPr>
          <w:rFonts w:hint="eastAsia" w:ascii="仿宋_GB2312" w:hAnsi="仿宋_GB2312" w:eastAsia="仿宋_GB2312" w:cs="仿宋_GB2312"/>
          <w:color w:val="auto"/>
          <w:sz w:val="36"/>
          <w:szCs w:val="36"/>
          <w:highlight w:val="none"/>
          <w:lang w:val="en-US" w:eastAsia="zh-CN"/>
        </w:rPr>
        <w:t>招标</w:t>
      </w:r>
      <w:r>
        <w:rPr>
          <w:rFonts w:hint="eastAsia" w:ascii="仿宋_GB2312" w:hAnsi="仿宋_GB2312" w:eastAsia="仿宋_GB2312" w:cs="仿宋_GB2312"/>
          <w:color w:val="auto"/>
          <w:sz w:val="36"/>
          <w:szCs w:val="36"/>
          <w:highlight w:val="none"/>
        </w:rPr>
        <w:t>采购</w:t>
      </w:r>
    </w:p>
    <w:p w14:paraId="5770F939">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评标方法：</w:t>
      </w:r>
      <w:r>
        <w:rPr>
          <w:rFonts w:hint="eastAsia" w:ascii="仿宋_GB2312" w:hAnsi="仿宋_GB2312" w:eastAsia="仿宋_GB2312" w:cs="仿宋_GB2312"/>
          <w:color w:val="auto"/>
          <w:sz w:val="36"/>
          <w:szCs w:val="36"/>
          <w:highlight w:val="none"/>
        </w:rPr>
        <w:t>综合评分法</w:t>
      </w:r>
    </w:p>
    <w:p w14:paraId="7EBCB54F">
      <w:pPr>
        <w:keepLines w:val="0"/>
        <w:pageBreakBefore w:val="0"/>
        <w:kinsoku/>
        <w:wordWrap/>
        <w:overflowPunct/>
        <w:topLinePunct w:val="0"/>
        <w:bidi w:val="0"/>
        <w:snapToGrid w:val="0"/>
        <w:spacing w:line="560" w:lineRule="exact"/>
        <w:rPr>
          <w:rFonts w:ascii="仿宋_GB2312" w:hAnsi="仿宋_GB2312" w:eastAsia="仿宋_GB2312" w:cs="仿宋_GB2312"/>
          <w:color w:val="auto"/>
          <w:sz w:val="36"/>
          <w:szCs w:val="36"/>
          <w:highlight w:val="none"/>
        </w:rPr>
      </w:pPr>
      <w:r>
        <w:rPr>
          <w:rFonts w:hint="eastAsia" w:ascii="仿宋_GB2312" w:hAnsi="仿宋_GB2312" w:eastAsia="仿宋_GB2312" w:cs="仿宋_GB2312"/>
          <w:b/>
          <w:bCs/>
          <w:color w:val="auto"/>
          <w:sz w:val="36"/>
          <w:szCs w:val="36"/>
          <w:highlight w:val="none"/>
        </w:rPr>
        <w:t>投标货币</w:t>
      </w:r>
      <w:r>
        <w:rPr>
          <w:rFonts w:hint="eastAsia" w:ascii="仿宋_GB2312" w:hAnsi="仿宋_GB2312" w:eastAsia="仿宋_GB2312" w:cs="仿宋_GB2312"/>
          <w:color w:val="auto"/>
          <w:sz w:val="36"/>
          <w:szCs w:val="36"/>
          <w:highlight w:val="none"/>
        </w:rPr>
        <w:t>：人民币</w:t>
      </w:r>
    </w:p>
    <w:p w14:paraId="1D0AEA0E">
      <w:pPr>
        <w:pStyle w:val="11"/>
        <w:keepLines w:val="0"/>
        <w:pageBreakBefore w:val="0"/>
        <w:kinsoku/>
        <w:wordWrap/>
        <w:overflowPunct/>
        <w:topLinePunct w:val="0"/>
        <w:bidi w:val="0"/>
        <w:spacing w:line="560" w:lineRule="exact"/>
        <w:rPr>
          <w:rFonts w:hint="default"/>
          <w:color w:val="auto"/>
          <w:highlight w:val="none"/>
        </w:rPr>
      </w:pPr>
    </w:p>
    <w:p w14:paraId="347BB074">
      <w:pPr>
        <w:pStyle w:val="11"/>
        <w:keepLines w:val="0"/>
        <w:pageBreakBefore w:val="0"/>
        <w:kinsoku/>
        <w:wordWrap/>
        <w:overflowPunct/>
        <w:topLinePunct w:val="0"/>
        <w:bidi w:val="0"/>
        <w:spacing w:line="560" w:lineRule="exact"/>
        <w:rPr>
          <w:rFonts w:hint="default"/>
          <w:color w:val="auto"/>
          <w:szCs w:val="20"/>
          <w:highlight w:val="none"/>
        </w:rPr>
      </w:pPr>
    </w:p>
    <w:p w14:paraId="28854621">
      <w:pPr>
        <w:pStyle w:val="5"/>
        <w:keepLines w:val="0"/>
        <w:pageBreakBefore w:val="0"/>
        <w:kinsoku/>
        <w:wordWrap/>
        <w:overflowPunct/>
        <w:topLinePunct w:val="0"/>
        <w:bidi w:val="0"/>
        <w:spacing w:line="560" w:lineRule="exact"/>
        <w:rPr>
          <w:color w:val="auto"/>
          <w:highlight w:val="none"/>
        </w:rPr>
      </w:pPr>
    </w:p>
    <w:p w14:paraId="772726AD">
      <w:pPr>
        <w:keepLines w:val="0"/>
        <w:pageBreakBefore w:val="0"/>
        <w:kinsoku/>
        <w:wordWrap/>
        <w:overflowPunct/>
        <w:topLinePunct w:val="0"/>
        <w:bidi w:val="0"/>
        <w:spacing w:line="560" w:lineRule="exact"/>
        <w:rPr>
          <w:color w:val="auto"/>
          <w:highlight w:val="none"/>
        </w:rPr>
      </w:pPr>
    </w:p>
    <w:p w14:paraId="18AAA94F">
      <w:pPr>
        <w:pStyle w:val="3"/>
        <w:keepLines w:val="0"/>
        <w:pageBreakBefore w:val="0"/>
        <w:kinsoku/>
        <w:wordWrap/>
        <w:overflowPunct/>
        <w:topLinePunct w:val="0"/>
        <w:bidi w:val="0"/>
        <w:spacing w:line="560" w:lineRule="exact"/>
        <w:rPr>
          <w:color w:val="auto"/>
          <w:highlight w:val="none"/>
        </w:rPr>
      </w:pPr>
    </w:p>
    <w:p w14:paraId="3A4D45E5">
      <w:pPr>
        <w:keepLines w:val="0"/>
        <w:pageBreakBefore w:val="0"/>
        <w:kinsoku/>
        <w:wordWrap/>
        <w:overflowPunct/>
        <w:topLinePunct w:val="0"/>
        <w:bidi w:val="0"/>
        <w:spacing w:line="560" w:lineRule="exact"/>
        <w:rPr>
          <w:color w:val="auto"/>
          <w:highlight w:val="none"/>
        </w:rPr>
      </w:pPr>
    </w:p>
    <w:p w14:paraId="613B6E89">
      <w:pPr>
        <w:pStyle w:val="3"/>
        <w:keepLines w:val="0"/>
        <w:pageBreakBefore w:val="0"/>
        <w:kinsoku/>
        <w:wordWrap/>
        <w:overflowPunct/>
        <w:topLinePunct w:val="0"/>
        <w:bidi w:val="0"/>
        <w:spacing w:line="560" w:lineRule="exact"/>
        <w:ind w:firstLine="1920" w:firstLineChars="600"/>
        <w:rPr>
          <w:rFonts w:cs="宋体"/>
          <w:color w:val="auto"/>
          <w:sz w:val="40"/>
          <w:szCs w:val="40"/>
          <w:highlight w:val="none"/>
        </w:rPr>
      </w:pPr>
      <w:r>
        <w:rPr>
          <w:rFonts w:ascii="仿宋_GB2312" w:hAnsi="仿宋_GB2312" w:eastAsia="仿宋_GB2312" w:cs="仿宋_GB2312"/>
          <w:color w:val="auto"/>
          <w:sz w:val="32"/>
          <w:szCs w:val="32"/>
          <w:highlight w:val="none"/>
        </w:rPr>
        <w:t>日期：</w:t>
      </w:r>
      <w:r>
        <w:rPr>
          <w:rFonts w:hint="eastAsia" w:ascii="仿宋_GB2312" w:hAnsi="仿宋_GB2312" w:eastAsia="仿宋_GB2312" w:cs="仿宋_GB2312"/>
          <w:color w:val="auto"/>
          <w:sz w:val="32"/>
          <w:szCs w:val="32"/>
          <w:highlight w:val="none"/>
          <w:lang w:val="en-US" w:eastAsia="zh-CN"/>
        </w:rPr>
        <w:t>2026</w:t>
      </w:r>
      <w:r>
        <w:rPr>
          <w:rFonts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7</w:t>
      </w:r>
      <w:r>
        <w:rPr>
          <w:rFonts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13</w:t>
      </w:r>
      <w:r>
        <w:rPr>
          <w:rFonts w:ascii="仿宋_GB2312" w:hAnsi="仿宋_GB2312" w:eastAsia="仿宋_GB2312" w:cs="仿宋_GB2312"/>
          <w:color w:val="auto"/>
          <w:sz w:val="32"/>
          <w:szCs w:val="32"/>
          <w:highlight w:val="none"/>
        </w:rPr>
        <w:t>日</w:t>
      </w:r>
    </w:p>
    <w:p w14:paraId="33D99F34">
      <w:pPr>
        <w:spacing w:line="560" w:lineRule="exact"/>
        <w:rPr>
          <w:color w:val="auto"/>
          <w:highlight w:val="none"/>
        </w:rPr>
      </w:pPr>
      <w:r>
        <w:rPr>
          <w:color w:val="auto"/>
          <w:highlight w:val="none"/>
        </w:rPr>
        <w:br w:type="page"/>
      </w:r>
    </w:p>
    <w:p w14:paraId="74651C2B">
      <w:pPr>
        <w:pStyle w:val="2"/>
        <w:bidi w:val="0"/>
        <w:spacing w:line="560" w:lineRule="exact"/>
        <w:jc w:val="center"/>
        <w:rPr>
          <w:color w:val="auto"/>
          <w:sz w:val="40"/>
          <w:szCs w:val="22"/>
          <w:highlight w:val="none"/>
        </w:rPr>
      </w:pPr>
      <w:r>
        <w:rPr>
          <w:rFonts w:hint="eastAsia"/>
          <w:color w:val="auto"/>
          <w:sz w:val="40"/>
          <w:szCs w:val="22"/>
          <w:highlight w:val="none"/>
        </w:rPr>
        <w:t>第一章</w:t>
      </w:r>
    </w:p>
    <w:p w14:paraId="330097CC">
      <w:pPr>
        <w:keepLines w:val="0"/>
        <w:pageBreakBefore w:val="0"/>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kern w:val="0"/>
          <w:sz w:val="44"/>
          <w:szCs w:val="44"/>
          <w:highlight w:val="none"/>
          <w:lang w:val="en-US" w:eastAsia="zh-CN" w:bidi="ar-SA"/>
        </w:rPr>
        <w:t>深圳市龙岗区第七人民医院龙岭院区（除门诊楼外）4栋建筑房屋结构安全检测鉴定服务采购项目</w:t>
      </w:r>
      <w:r>
        <w:rPr>
          <w:rFonts w:hint="eastAsia" w:ascii="方正小标宋简体" w:hAnsi="方正小标宋简体" w:eastAsia="方正小标宋简体" w:cs="方正小标宋简体"/>
          <w:color w:val="auto"/>
          <w:sz w:val="44"/>
          <w:szCs w:val="44"/>
          <w:highlight w:val="none"/>
        </w:rPr>
        <w:t>院内公开采购的公告</w:t>
      </w:r>
    </w:p>
    <w:p w14:paraId="2EC640A4">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_GB2312" w:hAnsi="宋体" w:eastAsia="仿宋_GB2312"/>
          <w:color w:val="auto"/>
          <w:sz w:val="28"/>
          <w:szCs w:val="28"/>
          <w:highlight w:val="none"/>
        </w:rPr>
      </w:pPr>
    </w:p>
    <w:p w14:paraId="59EA1DF3">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宋体" w:eastAsia="仿宋_GB2312"/>
          <w:color w:val="auto"/>
          <w:sz w:val="28"/>
          <w:szCs w:val="28"/>
          <w:highlight w:val="none"/>
          <w:lang w:eastAsia="zh-CN"/>
        </w:rPr>
      </w:pPr>
      <w:r>
        <w:rPr>
          <w:rFonts w:hint="eastAsia" w:ascii="仿宋_GB2312" w:hAnsi="宋体" w:eastAsia="仿宋_GB2312"/>
          <w:color w:val="auto"/>
          <w:sz w:val="28"/>
          <w:szCs w:val="28"/>
          <w:highlight w:val="none"/>
        </w:rPr>
        <w:t>根据政府采</w:t>
      </w:r>
      <w:r>
        <w:rPr>
          <w:rFonts w:hint="eastAsia" w:ascii="仿宋_GB2312" w:hAnsi="宋体" w:eastAsia="仿宋_GB2312"/>
          <w:color w:val="auto"/>
          <w:sz w:val="28"/>
          <w:szCs w:val="28"/>
          <w:highlight w:val="none"/>
          <w:lang w:eastAsia="zh-CN"/>
        </w:rPr>
        <w:t>购的</w:t>
      </w:r>
      <w:r>
        <w:rPr>
          <w:rFonts w:hint="eastAsia" w:ascii="仿宋_GB2312" w:hAnsi="宋体" w:eastAsia="仿宋_GB2312"/>
          <w:color w:val="auto"/>
          <w:sz w:val="28"/>
          <w:szCs w:val="28"/>
          <w:highlight w:val="none"/>
        </w:rPr>
        <w:t>相关规定和《深圳市龙岗区第七人民医院采购管理办法》的有关规定，</w:t>
      </w:r>
      <w:r>
        <w:rPr>
          <w:rFonts w:hint="eastAsia" w:ascii="仿宋_GB2312" w:eastAsia="仿宋_GB2312"/>
          <w:color w:val="auto"/>
          <w:sz w:val="28"/>
          <w:szCs w:val="28"/>
          <w:highlight w:val="none"/>
        </w:rPr>
        <w:t>我院拟对以下项目进行院内公开采购，欢迎符合条件具有供应能力的</w:t>
      </w:r>
      <w:r>
        <w:rPr>
          <w:rFonts w:hint="eastAsia" w:ascii="仿宋_GB2312" w:hAnsi="宋体" w:eastAsia="仿宋_GB2312"/>
          <w:color w:val="auto"/>
          <w:sz w:val="28"/>
          <w:szCs w:val="28"/>
          <w:highlight w:val="none"/>
          <w:lang w:eastAsia="zh-CN"/>
        </w:rPr>
        <w:t>供应商或厂家前来报名参加。</w:t>
      </w:r>
    </w:p>
    <w:p w14:paraId="53A105FE">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olor w:val="auto"/>
          <w:sz w:val="28"/>
          <w:szCs w:val="28"/>
          <w:highlight w:val="none"/>
          <w:lang w:eastAsia="zh-CN"/>
        </w:rPr>
      </w:pPr>
      <w:r>
        <w:rPr>
          <w:rFonts w:hint="eastAsia" w:ascii="黑体" w:hAnsi="黑体" w:eastAsia="黑体"/>
          <w:color w:val="auto"/>
          <w:sz w:val="28"/>
          <w:szCs w:val="28"/>
          <w:highlight w:val="none"/>
          <w:lang w:eastAsia="zh-CN"/>
        </w:rPr>
        <w:t>一、采购项目</w:t>
      </w:r>
    </w:p>
    <w:p w14:paraId="00B9417E">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仿宋_GB2312" w:hAnsi="宋体" w:eastAsia="仿宋_GB2312"/>
          <w:color w:val="auto"/>
          <w:sz w:val="28"/>
          <w:szCs w:val="28"/>
          <w:highlight w:val="yellow"/>
          <w:lang w:val="en-US"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一</w:t>
      </w:r>
      <w:r>
        <w:rPr>
          <w:rFonts w:hint="eastAsia" w:ascii="楷体_GB2312" w:hAnsi="楷体_GB2312" w:eastAsia="楷体_GB2312" w:cs="楷体_GB2312"/>
          <w:color w:val="auto"/>
          <w:sz w:val="28"/>
          <w:szCs w:val="28"/>
          <w:highlight w:val="none"/>
          <w:lang w:eastAsia="zh-CN"/>
        </w:rPr>
        <w:t>）项目编号</w:t>
      </w:r>
      <w:r>
        <w:rPr>
          <w:rFonts w:hint="eastAsia" w:ascii="仿宋_GB2312" w:hAnsi="宋体" w:eastAsia="仿宋_GB2312"/>
          <w:color w:val="auto"/>
          <w:sz w:val="28"/>
          <w:szCs w:val="28"/>
          <w:highlight w:val="none"/>
          <w:lang w:eastAsia="zh-CN"/>
        </w:rPr>
        <w:t>：</w:t>
      </w:r>
      <w:r>
        <w:rPr>
          <w:rFonts w:hint="eastAsia" w:ascii="仿宋_GB2312" w:hAnsi="仿宋_GB2312" w:eastAsia="仿宋_GB2312" w:cs="仿宋_GB2312"/>
          <w:color w:val="auto"/>
          <w:kern w:val="2"/>
          <w:sz w:val="28"/>
          <w:szCs w:val="28"/>
          <w:highlight w:val="none"/>
          <w:lang w:val="en-US" w:eastAsia="zh-CN" w:bidi="ar-SA"/>
        </w:rPr>
        <w:t>深龙七医采[LGQY2026ZW007]</w:t>
      </w:r>
    </w:p>
    <w:p w14:paraId="06571B07">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二</w:t>
      </w:r>
      <w:r>
        <w:rPr>
          <w:rFonts w:hint="eastAsia" w:ascii="楷体_GB2312" w:hAnsi="楷体_GB2312" w:eastAsia="楷体_GB2312" w:cs="楷体_GB2312"/>
          <w:color w:val="auto"/>
          <w:sz w:val="28"/>
          <w:szCs w:val="28"/>
          <w:highlight w:val="none"/>
          <w:lang w:eastAsia="zh-CN"/>
        </w:rPr>
        <w:t>）项目名</w:t>
      </w:r>
      <w:r>
        <w:rPr>
          <w:rFonts w:hint="eastAsia" w:ascii="楷体_GB2312" w:hAnsi="楷体_GB2312" w:eastAsia="楷体_GB2312" w:cs="楷体_GB2312"/>
          <w:color w:val="auto"/>
          <w:sz w:val="28"/>
          <w:szCs w:val="28"/>
          <w:highlight w:val="none"/>
          <w:lang w:val="en-US" w:eastAsia="zh-CN"/>
        </w:rPr>
        <w:t>称：</w:t>
      </w:r>
      <w:r>
        <w:rPr>
          <w:rFonts w:hint="eastAsia" w:ascii="仿宋_GB2312" w:hAnsi="仿宋_GB2312" w:eastAsia="仿宋_GB2312" w:cs="仿宋_GB2312"/>
          <w:color w:val="auto"/>
          <w:kern w:val="2"/>
          <w:sz w:val="28"/>
          <w:szCs w:val="28"/>
          <w:highlight w:val="none"/>
          <w:lang w:val="en-US" w:eastAsia="zh-CN" w:bidi="ar-SA"/>
        </w:rPr>
        <w:t>深圳市龙岗区第七人民医院龙岭院区（除门诊楼外）4栋建筑房屋结构安全检测鉴定服务</w:t>
      </w:r>
    </w:p>
    <w:p w14:paraId="07F1C517">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宋体" w:eastAsia="仿宋_GB2312"/>
          <w:color w:val="auto"/>
          <w:sz w:val="28"/>
          <w:szCs w:val="28"/>
          <w:highlight w:val="none"/>
          <w:lang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三</w:t>
      </w:r>
      <w:r>
        <w:rPr>
          <w:rFonts w:hint="eastAsia" w:ascii="楷体_GB2312" w:hAnsi="楷体_GB2312" w:eastAsia="楷体_GB2312" w:cs="楷体_GB2312"/>
          <w:color w:val="auto"/>
          <w:sz w:val="28"/>
          <w:szCs w:val="28"/>
          <w:highlight w:val="none"/>
          <w:lang w:eastAsia="zh-CN"/>
        </w:rPr>
        <w:t>）采购数量：</w:t>
      </w:r>
      <w:r>
        <w:rPr>
          <w:rFonts w:hint="eastAsia" w:ascii="仿宋_GB2312" w:hAnsi="宋体" w:eastAsia="仿宋_GB2312"/>
          <w:color w:val="auto"/>
          <w:sz w:val="28"/>
          <w:szCs w:val="28"/>
          <w:highlight w:val="none"/>
          <w:lang w:val="en-US" w:eastAsia="zh-CN"/>
        </w:rPr>
        <w:t>1项</w:t>
      </w:r>
    </w:p>
    <w:p w14:paraId="2ECF69E9">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仿宋_GB2312" w:hAnsi="宋体" w:eastAsia="仿宋_GB2312"/>
          <w:color w:val="auto"/>
          <w:sz w:val="28"/>
          <w:szCs w:val="28"/>
          <w:highlight w:val="none"/>
          <w:lang w:val="en-US" w:eastAsia="zh-CN"/>
        </w:rPr>
      </w:pPr>
      <w:r>
        <w:rPr>
          <w:rFonts w:hint="eastAsia" w:ascii="楷体_GB2312" w:hAnsi="楷体_GB2312" w:eastAsia="楷体_GB2312" w:cs="楷体_GB2312"/>
          <w:color w:val="auto"/>
          <w:sz w:val="28"/>
          <w:szCs w:val="28"/>
          <w:highlight w:val="none"/>
          <w:lang w:eastAsia="zh-CN"/>
        </w:rPr>
        <w:t>（</w:t>
      </w:r>
      <w:r>
        <w:rPr>
          <w:rFonts w:hint="eastAsia" w:ascii="楷体_GB2312" w:hAnsi="楷体_GB2312" w:eastAsia="楷体_GB2312" w:cs="楷体_GB2312"/>
          <w:color w:val="auto"/>
          <w:sz w:val="28"/>
          <w:szCs w:val="28"/>
          <w:highlight w:val="none"/>
          <w:lang w:val="en-US" w:eastAsia="zh-CN"/>
        </w:rPr>
        <w:t>四</w:t>
      </w:r>
      <w:r>
        <w:rPr>
          <w:rFonts w:hint="eastAsia" w:ascii="楷体_GB2312" w:hAnsi="楷体_GB2312" w:eastAsia="楷体_GB2312" w:cs="楷体_GB2312"/>
          <w:color w:val="auto"/>
          <w:sz w:val="28"/>
          <w:szCs w:val="28"/>
          <w:highlight w:val="none"/>
          <w:lang w:eastAsia="zh-CN"/>
        </w:rPr>
        <w:t>）预算金额（最高限</w:t>
      </w:r>
      <w:r>
        <w:rPr>
          <w:rFonts w:hint="eastAsia" w:ascii="楷体_GB2312" w:hAnsi="楷体_GB2312" w:eastAsia="楷体_GB2312" w:cs="楷体_GB2312"/>
          <w:color w:val="auto"/>
          <w:sz w:val="28"/>
          <w:szCs w:val="28"/>
          <w:highlight w:val="none"/>
          <w:lang w:val="en-US" w:eastAsia="zh-CN"/>
        </w:rPr>
        <w:t>价</w:t>
      </w:r>
      <w:r>
        <w:rPr>
          <w:rFonts w:hint="eastAsia" w:ascii="楷体_GB2312" w:hAnsi="楷体_GB2312" w:eastAsia="楷体_GB2312" w:cs="楷体_GB2312"/>
          <w:color w:val="auto"/>
          <w:sz w:val="28"/>
          <w:szCs w:val="28"/>
          <w:highlight w:val="none"/>
          <w:lang w:eastAsia="zh-CN"/>
        </w:rPr>
        <w:t>）：</w:t>
      </w:r>
      <w:r>
        <w:rPr>
          <w:rFonts w:hint="eastAsia" w:ascii="仿宋_GB2312" w:hAnsi="宋体" w:eastAsia="仿宋_GB2312"/>
          <w:color w:val="auto"/>
          <w:sz w:val="28"/>
          <w:szCs w:val="28"/>
          <w:highlight w:val="none"/>
          <w:lang w:val="en-US" w:eastAsia="zh-CN"/>
        </w:rPr>
        <w:t>10.5万元</w:t>
      </w:r>
    </w:p>
    <w:p w14:paraId="12A8F7D2">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二、资质要求</w:t>
      </w:r>
    </w:p>
    <w:p w14:paraId="3D324DFC">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（一）基本资格条件</w:t>
      </w:r>
    </w:p>
    <w:p w14:paraId="2A30AEB2">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14:paraId="05E9F27B">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2.落实政府采购政策需满足的资格要求：无；</w:t>
      </w:r>
    </w:p>
    <w:p w14:paraId="3AE4DCD9">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（二）本项目的特定资格要求</w:t>
      </w:r>
    </w:p>
    <w:p w14:paraId="7184DC80">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1.参与本项目投标前三年内，在经营活动中没有重大违法记录（须按本项目投标文件格式要求提供《投标及履约承诺函》加盖投标人公章）；</w:t>
      </w:r>
    </w:p>
    <w:p w14:paraId="4803901F">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2.参与本项目政府采购活动时不存在被有关部门禁止参与政府采购活动且在有效期内的情况（须按本项目投标文件格式要求提供《投标及履约承诺函》加盖投标人公章）；</w:t>
      </w:r>
    </w:p>
    <w:p w14:paraId="6A423C55">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3.单位负责人为同一人或者存在直接控股、管理关系的不同供应商，不得参加同一合同项下的政府采购活动（须按本项目投标文件格式要求提供《投标及履约承诺函》加盖投标人公章）；</w:t>
      </w:r>
    </w:p>
    <w:p w14:paraId="4D7B78D5">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14:paraId="5E2578B2">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5.参与本项目不存在《深圳市财政局政府采购供应商信用信息管理办法》列明的严重违法失信行为（须按本项目投标文件格式要求提供《投标及履约承诺函》加盖投标人公章）；</w:t>
      </w:r>
    </w:p>
    <w:p w14:paraId="03B5330F">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6623DDCB">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14:paraId="3B227195">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8.投标人须提供国家企业信用信息公示系统或机关赋码和事业单位登记管理网或全国社会组织信用信息公示平台网站截图，作为不同供应商之间不存在单位负责人为同一人或者直接控股、管理关系的补充证明；</w:t>
      </w:r>
    </w:p>
    <w:p w14:paraId="56B1EB06">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9.本项目不接受联合体投标，不允许分包或转包；</w:t>
      </w:r>
    </w:p>
    <w:p w14:paraId="25DEBA7E">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10.投标人须具有省级及以上建设行政主管部门颁发的《建设工程质量检测机构资质证书》，检测范围须同时包含主体结构工程现场检测和地基基础工程检测（提供证书复印件并加盖投标人公章，原件备查）。</w:t>
      </w:r>
    </w:p>
    <w:p w14:paraId="4446DB69">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11.投标人须具有省级及以上质量技术监督部门颁发的《检验检测机构资质认定证书》（CMA认证）（提供证书复印件并加盖投标人公章，原件备查）。</w:t>
      </w:r>
    </w:p>
    <w:p w14:paraId="4F03896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12.投标人须位于深圳市住房和建设局发布的《深圳市房屋安全鉴定机构名录》内（提供名录截图证明）。</w:t>
      </w:r>
    </w:p>
    <w:p w14:paraId="06FC1756">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三、采购方式：</w:t>
      </w:r>
      <w:r>
        <w:rPr>
          <w:rFonts w:hint="eastAsia" w:ascii="仿宋_GB2312" w:hAnsi="仿宋_GB2312" w:eastAsia="仿宋_GB2312" w:cs="仿宋_GB2312"/>
          <w:color w:val="auto"/>
          <w:kern w:val="2"/>
          <w:sz w:val="28"/>
          <w:szCs w:val="28"/>
          <w:highlight w:val="none"/>
          <w:lang w:val="en-US" w:eastAsia="zh-CN" w:bidi="ar-SA"/>
        </w:rPr>
        <w:t>院内公开招标</w:t>
      </w:r>
    </w:p>
    <w:p w14:paraId="39EFDC18">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四、评标方法：</w:t>
      </w:r>
      <w:r>
        <w:rPr>
          <w:rFonts w:hint="eastAsia" w:ascii="仿宋_GB2312" w:hAnsi="仿宋_GB2312" w:eastAsia="仿宋_GB2312" w:cs="仿宋_GB2312"/>
          <w:color w:val="auto"/>
          <w:kern w:val="2"/>
          <w:sz w:val="28"/>
          <w:szCs w:val="28"/>
          <w:highlight w:val="none"/>
          <w:lang w:val="en-US" w:eastAsia="zh-CN" w:bidi="ar-SA"/>
        </w:rPr>
        <w:t>综合评分法</w:t>
      </w:r>
    </w:p>
    <w:p w14:paraId="3CA965DF">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五、投标人报名资料要求</w:t>
      </w:r>
    </w:p>
    <w:p w14:paraId="7A75BAED">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（一）院内采购报名表。</w:t>
      </w:r>
    </w:p>
    <w:p w14:paraId="4F8D0CFD">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（二）法定代表人参加的提供法定代表人资格证明书及个人身份证复印件；非法定代表人参加的须提供法定代表人资格证明书及法定代表人身份证复印件、法定代表人授权书及授权代表人身份证复印件。</w:t>
      </w:r>
    </w:p>
    <w:p w14:paraId="1BA24175">
      <w:pPr>
        <w:pStyle w:val="28"/>
        <w:keepNext w:val="0"/>
        <w:keepLines w:val="0"/>
        <w:pageBreakBefore w:val="0"/>
        <w:kinsoku/>
        <w:wordWrap/>
        <w:overflowPunct/>
        <w:topLinePunct w:val="0"/>
        <w:autoSpaceDE/>
        <w:autoSpaceDN/>
        <w:bidi w:val="0"/>
        <w:adjustRightInd/>
        <w:snapToGrid/>
        <w:spacing w:line="540" w:lineRule="exact"/>
        <w:ind w:firstLine="56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（三）供应商须提供具有独立承担民事责任能力的法人或其他组织或个体工商户的营业执照或法人证书等证明材料复印件或扫描件。</w:t>
      </w:r>
    </w:p>
    <w:p w14:paraId="49F91E49">
      <w:pPr>
        <w:pStyle w:val="28"/>
        <w:keepNext w:val="0"/>
        <w:keepLines w:val="0"/>
        <w:pageBreakBefore w:val="0"/>
        <w:kinsoku/>
        <w:wordWrap/>
        <w:overflowPunct/>
        <w:topLinePunct w:val="0"/>
        <w:autoSpaceDE/>
        <w:autoSpaceDN/>
        <w:bidi w:val="0"/>
        <w:adjustRightInd/>
        <w:snapToGrid/>
        <w:spacing w:line="540" w:lineRule="exact"/>
        <w:ind w:firstLine="56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（四）供应商基本情况表。</w:t>
      </w:r>
    </w:p>
    <w:p w14:paraId="131CF4C2">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（五）提供法定代表人、主要经营负责人、投标授权代表人、项目负责人（如有）、主要技术人员（如有）最近一个月的社保证明。</w:t>
      </w:r>
    </w:p>
    <w:p w14:paraId="3609A950">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通过以下官网的信用信息查询记录网络截图件并加盖投标人公章：①信用中国②中国政府采购网③深圳市政府采购监管网④国家企业信用信息公示系统或机关赋码和事业单位登记管理网或全国社会组织信用信息公示平台。相关信息以开标当日的查询结果为准。</w:t>
      </w:r>
    </w:p>
    <w:p w14:paraId="52E16C63">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（七）投标及履约承诺函。</w:t>
      </w:r>
    </w:p>
    <w:p w14:paraId="19C04C4A">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（八）提供省级及以上建设行政主管部门颁发的《建设工程质量检测机构资质证书》复印件（检测范围须同时包含主体结构工程现场检测和地基基础工程检测）。</w:t>
      </w:r>
    </w:p>
    <w:p w14:paraId="0B49AFF1">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（九）提供省级及以上质量技术监督部门颁发的《检验检测机构资质认定证书》（CMA认证）复印件。</w:t>
      </w:r>
    </w:p>
    <w:p w14:paraId="3B5230BC">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（十）提供投标人位于深圳市住房和建设局发布的《深圳市房屋安全鉴定机构名录》内的截图证明。</w:t>
      </w:r>
    </w:p>
    <w:p w14:paraId="61479749">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以上资料均需在有效期内并加盖投标方公章。本项目实行资格预审，投标人报名时将进行资格审查，未经审查或审查未通过的不能参与投标。</w:t>
      </w:r>
    </w:p>
    <w:p w14:paraId="3677B9E8">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六、报名方式：</w:t>
      </w:r>
      <w:r>
        <w:rPr>
          <w:rFonts w:hint="eastAsia" w:ascii="仿宋_GB2312" w:hAnsi="仿宋_GB2312" w:eastAsia="仿宋_GB2312" w:cs="仿宋_GB2312"/>
          <w:color w:val="auto"/>
          <w:kern w:val="2"/>
          <w:sz w:val="28"/>
          <w:szCs w:val="28"/>
          <w:highlight w:val="none"/>
          <w:lang w:val="en-US" w:eastAsia="zh-CN" w:bidi="ar-SA"/>
        </w:rPr>
        <w:t>现场报名或邮寄（选择邮寄方式需与采购人电话确认是否已签收并通过报名）。</w:t>
      </w:r>
    </w:p>
    <w:p w14:paraId="27AF7930">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七、报名截止时间及地点：</w:t>
      </w:r>
      <w:r>
        <w:rPr>
          <w:rFonts w:hint="eastAsia" w:ascii="仿宋_GB2312" w:hAnsi="仿宋_GB2312" w:eastAsia="仿宋_GB2312" w:cs="仿宋_GB2312"/>
          <w:color w:val="auto"/>
          <w:kern w:val="2"/>
          <w:sz w:val="28"/>
          <w:szCs w:val="28"/>
          <w:highlight w:val="none"/>
          <w:lang w:val="en-US" w:eastAsia="zh-CN" w:bidi="ar-SA"/>
        </w:rPr>
        <w:t>2026年7月20日</w:t>
      </w:r>
      <w:bookmarkStart w:id="0" w:name="OLE_LINK1"/>
      <w:r>
        <w:rPr>
          <w:rFonts w:hint="eastAsia" w:ascii="仿宋_GB2312" w:hAnsi="仿宋_GB2312" w:eastAsia="仿宋_GB2312" w:cs="仿宋_GB2312"/>
          <w:color w:val="auto"/>
          <w:kern w:val="2"/>
          <w:sz w:val="28"/>
          <w:szCs w:val="28"/>
          <w:highlight w:val="none"/>
          <w:lang w:val="en-US" w:eastAsia="zh-CN" w:bidi="ar-SA"/>
        </w:rPr>
        <w:t>17:00</w:t>
      </w:r>
      <w:bookmarkEnd w:id="0"/>
      <w:r>
        <w:rPr>
          <w:rFonts w:hint="eastAsia" w:ascii="仿宋_GB2312" w:hAnsi="仿宋_GB2312" w:eastAsia="仿宋_GB2312" w:cs="仿宋_GB2312"/>
          <w:color w:val="auto"/>
          <w:kern w:val="2"/>
          <w:sz w:val="28"/>
          <w:szCs w:val="28"/>
          <w:highlight w:val="none"/>
          <w:lang w:val="en-US" w:eastAsia="zh-CN" w:bidi="ar-SA"/>
        </w:rPr>
        <w:t>，布吉街道吉华路175号综合楼810招采办。</w:t>
      </w:r>
    </w:p>
    <w:p w14:paraId="20A7BF95">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八、递交投标文件及开标时间及地点：</w:t>
      </w:r>
      <w:r>
        <w:rPr>
          <w:rFonts w:hint="eastAsia" w:ascii="仿宋_GB2312" w:hAnsi="仿宋_GB2312" w:eastAsia="仿宋_GB2312" w:cs="仿宋_GB2312"/>
          <w:color w:val="auto"/>
          <w:kern w:val="2"/>
          <w:sz w:val="28"/>
          <w:szCs w:val="28"/>
          <w:highlight w:val="none"/>
          <w:lang w:val="en-US" w:eastAsia="zh-CN" w:bidi="ar-SA"/>
        </w:rPr>
        <w:t>2026年7月21日15:00</w:t>
      </w:r>
      <w:bookmarkStart w:id="19" w:name="_GoBack"/>
      <w:bookmarkEnd w:id="19"/>
      <w:r>
        <w:rPr>
          <w:rFonts w:hint="eastAsia" w:ascii="仿宋_GB2312" w:hAnsi="仿宋_GB2312" w:eastAsia="仿宋_GB2312" w:cs="仿宋_GB2312"/>
          <w:color w:val="auto"/>
          <w:kern w:val="2"/>
          <w:sz w:val="28"/>
          <w:szCs w:val="28"/>
          <w:highlight w:val="none"/>
          <w:lang w:val="en-US" w:eastAsia="zh-CN" w:bidi="ar-SA"/>
        </w:rPr>
        <w:t>，深圳市龙岗区布吉街道吉华路175号龙岭院区综合楼1002会议室（如有变动，另行通知）。</w:t>
      </w:r>
    </w:p>
    <w:p w14:paraId="3DC2F881">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九、联系人及联系电话：</w:t>
      </w:r>
      <w:r>
        <w:rPr>
          <w:rFonts w:hint="eastAsia" w:ascii="仿宋_GB2312" w:hAnsi="仿宋_GB2312" w:eastAsia="仿宋_GB2312" w:cs="仿宋_GB2312"/>
          <w:color w:val="auto"/>
          <w:kern w:val="2"/>
          <w:sz w:val="28"/>
          <w:szCs w:val="28"/>
          <w:highlight w:val="none"/>
          <w:lang w:val="en-US" w:eastAsia="zh-CN" w:bidi="ar-SA"/>
        </w:rPr>
        <w:t>陈工、李工，0755-28740606-3810。</w:t>
      </w:r>
    </w:p>
    <w:p w14:paraId="488F08F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仿宋_GB2312" w:hAnsi="仿宋_GB2312" w:eastAsia="仿宋_GB2312" w:cs="仿宋_GB2312"/>
          <w:sz w:val="32"/>
          <w:szCs w:val="32"/>
        </w:rPr>
      </w:pPr>
      <w:r>
        <w:rPr>
          <w:rFonts w:hint="eastAsia" w:ascii="黑体" w:hAnsi="黑体" w:eastAsia="黑体" w:cs="黑体"/>
          <w:color w:val="auto"/>
          <w:kern w:val="2"/>
          <w:sz w:val="28"/>
          <w:szCs w:val="28"/>
          <w:highlight w:val="none"/>
          <w:lang w:val="en-US" w:eastAsia="zh-CN" w:bidi="ar-SA"/>
        </w:rPr>
        <w:t>十、</w:t>
      </w:r>
      <w:r>
        <w:rPr>
          <w:rFonts w:hint="eastAsia" w:ascii="黑体" w:hAnsi="黑体" w:eastAsia="黑体" w:cs="黑体"/>
          <w:sz w:val="28"/>
          <w:szCs w:val="28"/>
        </w:rPr>
        <w:t>监督部门</w:t>
      </w:r>
    </w:p>
    <w:p w14:paraId="06F2228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4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医院纪审科监督联系电话:李女士，0755-28740471。</w:t>
      </w:r>
    </w:p>
    <w:p w14:paraId="56BF6E1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4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sz w:val="28"/>
          <w:szCs w:val="28"/>
        </w:rPr>
        <w:t>项目所属一级预算单位监督联系电话:0755-89551103。</w:t>
      </w:r>
    </w:p>
    <w:p w14:paraId="12056560">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十一、公告日期：</w:t>
      </w:r>
      <w:r>
        <w:rPr>
          <w:rFonts w:hint="eastAsia" w:ascii="仿宋_GB2312" w:hAnsi="仿宋_GB2312" w:eastAsia="仿宋_GB2312" w:cs="仿宋_GB2312"/>
          <w:color w:val="auto"/>
          <w:kern w:val="2"/>
          <w:sz w:val="28"/>
          <w:szCs w:val="28"/>
          <w:highlight w:val="none"/>
          <w:lang w:val="en-US" w:eastAsia="zh-CN" w:bidi="ar-SA"/>
        </w:rPr>
        <w:t>自公告发布之日起5个工作日。</w:t>
      </w:r>
    </w:p>
    <w:p w14:paraId="69355951">
      <w:pPr>
        <w:pStyle w:val="28"/>
        <w:keepNext w:val="0"/>
        <w:keepLines w:val="0"/>
        <w:pageBreakBefore w:val="0"/>
        <w:kinsoku/>
        <w:wordWrap/>
        <w:overflowPunct/>
        <w:topLinePunct w:val="0"/>
        <w:autoSpaceDE/>
        <w:autoSpaceDN/>
        <w:bidi w:val="0"/>
        <w:adjustRightInd/>
        <w:snapToGrid/>
        <w:spacing w:line="540" w:lineRule="exact"/>
        <w:ind w:firstLine="560"/>
        <w:jc w:val="left"/>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附件：</w:t>
      </w:r>
    </w:p>
    <w:p w14:paraId="3FE96198">
      <w:pPr>
        <w:pStyle w:val="28"/>
        <w:keepNext w:val="0"/>
        <w:keepLines w:val="0"/>
        <w:pageBreakBefore w:val="0"/>
        <w:kinsoku/>
        <w:wordWrap/>
        <w:overflowPunct/>
        <w:topLinePunct w:val="0"/>
        <w:autoSpaceDE/>
        <w:autoSpaceDN/>
        <w:bidi w:val="0"/>
        <w:adjustRightInd/>
        <w:snapToGrid/>
        <w:spacing w:line="540" w:lineRule="exact"/>
        <w:ind w:left="0" w:leftChars="0" w:firstLine="560" w:firstLineChars="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1.深圳市龙岗区第七人民医院院内公开采购报名表</w:t>
      </w:r>
    </w:p>
    <w:p w14:paraId="5B1DCBC0">
      <w:pPr>
        <w:keepNext w:val="0"/>
        <w:keepLines w:val="0"/>
        <w:pageBreakBefore w:val="0"/>
        <w:kinsoku/>
        <w:wordWrap/>
        <w:overflowPunct/>
        <w:topLinePunct w:val="0"/>
        <w:autoSpaceDE/>
        <w:autoSpaceDN/>
        <w:bidi w:val="0"/>
        <w:adjustRightInd/>
        <w:snapToGrid/>
        <w:spacing w:line="540" w:lineRule="exact"/>
        <w:ind w:left="839" w:leftChars="266" w:hanging="280" w:hangingChars="100"/>
        <w:jc w:val="both"/>
        <w:textAlignment w:val="auto"/>
        <w:rPr>
          <w:rFonts w:hint="eastAsia" w:ascii="仿宋_GB2312" w:hAnsi="宋体" w:eastAsia="仿宋_GB2312"/>
          <w:color w:val="auto"/>
          <w:sz w:val="28"/>
          <w:szCs w:val="28"/>
          <w:highlight w:val="none"/>
          <w:lang w:val="en-US" w:eastAsia="zh-CN"/>
        </w:rPr>
      </w:pPr>
      <w:r>
        <w:rPr>
          <w:rFonts w:hint="eastAsia" w:ascii="仿宋_GB2312" w:hAnsi="仿宋_GB2312" w:eastAsia="仿宋_GB2312" w:cs="仿宋_GB2312"/>
          <w:color w:val="auto"/>
          <w:kern w:val="2"/>
          <w:sz w:val="28"/>
          <w:szCs w:val="28"/>
          <w:highlight w:val="none"/>
          <w:lang w:val="en-US" w:eastAsia="zh-CN" w:bidi="ar-SA"/>
        </w:rPr>
        <w:t>2.</w:t>
      </w:r>
      <w:r>
        <w:rPr>
          <w:rFonts w:hint="eastAsia" w:ascii="仿宋_GB2312" w:hAnsi="宋体" w:eastAsia="仿宋_GB2312"/>
          <w:color w:val="auto"/>
          <w:sz w:val="28"/>
          <w:szCs w:val="28"/>
          <w:highlight w:val="none"/>
          <w:lang w:val="en-US" w:eastAsia="zh-CN"/>
        </w:rPr>
        <w:t>深圳市龙岗区第七人民医院龙岭院区（除门诊楼外）4栋建筑房屋</w:t>
      </w:r>
    </w:p>
    <w:p w14:paraId="731364E5">
      <w:pPr>
        <w:keepNext w:val="0"/>
        <w:keepLines w:val="0"/>
        <w:pageBreakBefore w:val="0"/>
        <w:kinsoku/>
        <w:wordWrap/>
        <w:overflowPunct/>
        <w:topLinePunct w:val="0"/>
        <w:autoSpaceDE/>
        <w:autoSpaceDN/>
        <w:bidi w:val="0"/>
        <w:adjustRightInd/>
        <w:snapToGrid/>
        <w:spacing w:line="540" w:lineRule="exact"/>
        <w:ind w:left="839" w:leftChars="266" w:hanging="280" w:hangingChars="100"/>
        <w:jc w:val="both"/>
        <w:textAlignment w:val="auto"/>
        <w:rPr>
          <w:rFonts w:ascii="仿宋_GB2312" w:eastAsia="仿宋_GB2312"/>
          <w:color w:val="auto"/>
          <w:sz w:val="28"/>
          <w:szCs w:val="28"/>
          <w:highlight w:val="none"/>
        </w:rPr>
      </w:pPr>
      <w:r>
        <w:rPr>
          <w:rFonts w:hint="eastAsia" w:ascii="仿宋_GB2312" w:hAnsi="宋体" w:eastAsia="仿宋_GB2312"/>
          <w:color w:val="auto"/>
          <w:sz w:val="28"/>
          <w:szCs w:val="28"/>
          <w:highlight w:val="none"/>
          <w:lang w:val="en-US" w:eastAsia="zh-CN"/>
        </w:rPr>
        <w:t>结构安全检测鉴定服务采购项目</w:t>
      </w:r>
      <w:r>
        <w:rPr>
          <w:rFonts w:hint="eastAsia" w:ascii="仿宋_GB2312" w:hAnsi="仿宋_GB2312" w:eastAsia="仿宋_GB2312" w:cs="仿宋_GB2312"/>
          <w:color w:val="auto"/>
          <w:kern w:val="2"/>
          <w:sz w:val="28"/>
          <w:szCs w:val="28"/>
          <w:highlight w:val="none"/>
          <w:lang w:val="en-US" w:eastAsia="zh-CN" w:bidi="ar-SA"/>
        </w:rPr>
        <w:t>招标文件</w:t>
      </w:r>
    </w:p>
    <w:p w14:paraId="3910D17E">
      <w:pPr>
        <w:pStyle w:val="28"/>
        <w:keepNext w:val="0"/>
        <w:keepLines w:val="0"/>
        <w:pageBreakBefore w:val="0"/>
        <w:kinsoku/>
        <w:wordWrap/>
        <w:overflowPunct/>
        <w:topLinePunct w:val="0"/>
        <w:autoSpaceDE/>
        <w:autoSpaceDN/>
        <w:bidi w:val="0"/>
        <w:adjustRightInd/>
        <w:snapToGrid/>
        <w:spacing w:line="540" w:lineRule="exact"/>
        <w:ind w:firstLine="560"/>
        <w:jc w:val="right"/>
        <w:textAlignment w:val="auto"/>
        <w:rPr>
          <w:rFonts w:hint="eastAsia" w:ascii="仿宋_GB2312" w:eastAsia="仿宋_GB2312"/>
          <w:color w:val="auto"/>
          <w:sz w:val="28"/>
          <w:szCs w:val="28"/>
          <w:highlight w:val="none"/>
        </w:rPr>
      </w:pPr>
    </w:p>
    <w:p w14:paraId="45936376">
      <w:pPr>
        <w:pStyle w:val="28"/>
        <w:keepNext w:val="0"/>
        <w:keepLines w:val="0"/>
        <w:pageBreakBefore w:val="0"/>
        <w:kinsoku/>
        <w:wordWrap/>
        <w:overflowPunct/>
        <w:topLinePunct w:val="0"/>
        <w:autoSpaceDE/>
        <w:autoSpaceDN/>
        <w:bidi w:val="0"/>
        <w:adjustRightInd/>
        <w:snapToGrid/>
        <w:spacing w:line="540" w:lineRule="exact"/>
        <w:ind w:firstLine="560"/>
        <w:jc w:val="right"/>
        <w:textAlignment w:val="auto"/>
        <w:rPr>
          <w:rFonts w:hint="eastAsia" w:ascii="仿宋_GB2312" w:eastAsia="仿宋_GB2312"/>
          <w:color w:val="auto"/>
          <w:sz w:val="28"/>
          <w:szCs w:val="28"/>
          <w:highlight w:val="none"/>
        </w:rPr>
      </w:pPr>
    </w:p>
    <w:p w14:paraId="14ED501F">
      <w:pPr>
        <w:pStyle w:val="28"/>
        <w:keepNext w:val="0"/>
        <w:keepLines w:val="0"/>
        <w:pageBreakBefore w:val="0"/>
        <w:kinsoku/>
        <w:wordWrap/>
        <w:overflowPunct/>
        <w:topLinePunct w:val="0"/>
        <w:autoSpaceDE/>
        <w:autoSpaceDN/>
        <w:bidi w:val="0"/>
        <w:adjustRightInd/>
        <w:snapToGrid/>
        <w:spacing w:line="540" w:lineRule="exact"/>
        <w:ind w:firstLine="560"/>
        <w:jc w:val="righ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深圳市龙岗区第七人民医院</w:t>
      </w:r>
    </w:p>
    <w:p w14:paraId="3E031971">
      <w:pPr>
        <w:pStyle w:val="28"/>
        <w:keepNext w:val="0"/>
        <w:keepLines w:val="0"/>
        <w:pageBreakBefore w:val="0"/>
        <w:kinsoku/>
        <w:wordWrap/>
        <w:overflowPunct/>
        <w:topLinePunct w:val="0"/>
        <w:autoSpaceDE/>
        <w:autoSpaceDN/>
        <w:bidi w:val="0"/>
        <w:adjustRightInd/>
        <w:snapToGrid/>
        <w:spacing w:line="540" w:lineRule="exact"/>
        <w:ind w:firstLine="56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eastAsia="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2026年7月13日</w:t>
      </w:r>
    </w:p>
    <w:p w14:paraId="54FD3480">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br w:type="page"/>
      </w:r>
    </w:p>
    <w:p w14:paraId="2411AE9A">
      <w:pPr>
        <w:keepNext w:val="0"/>
        <w:keepLines w:val="0"/>
        <w:pageBreakBefore w:val="0"/>
        <w:numPr>
          <w:ilvl w:val="0"/>
          <w:numId w:val="1"/>
        </w:numPr>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b/>
          <w:bCs/>
          <w:color w:val="auto"/>
          <w:sz w:val="44"/>
          <w:szCs w:val="44"/>
          <w:highlight w:val="none"/>
        </w:rPr>
      </w:pPr>
      <w:r>
        <w:rPr>
          <w:rFonts w:hint="eastAsia" w:ascii="仿宋_GB2312" w:hAnsi="仿宋_GB2312" w:eastAsia="仿宋_GB2312" w:cs="仿宋_GB2312"/>
          <w:b/>
          <w:bCs/>
          <w:color w:val="auto"/>
          <w:sz w:val="44"/>
          <w:szCs w:val="44"/>
          <w:highlight w:val="none"/>
        </w:rPr>
        <w:t>院内公开采购项目需求</w:t>
      </w:r>
    </w:p>
    <w:p w14:paraId="3C49D615">
      <w:pPr>
        <w:pStyle w:val="26"/>
        <w:keepNext w:val="0"/>
        <w:keepLines w:val="0"/>
        <w:pageBreakBefore w:val="0"/>
        <w:numPr>
          <w:ilvl w:val="0"/>
          <w:numId w:val="0"/>
        </w:numPr>
        <w:kinsoku/>
        <w:wordWrap/>
        <w:overflowPunct/>
        <w:topLinePunct w:val="0"/>
        <w:autoSpaceDE/>
        <w:autoSpaceDN/>
        <w:bidi w:val="0"/>
        <w:adjustRightInd/>
        <w:snapToGrid/>
        <w:spacing w:line="560" w:lineRule="exact"/>
        <w:ind w:right="-82" w:rightChars="-39" w:firstLine="422" w:firstLineChars="200"/>
        <w:jc w:val="both"/>
        <w:textAlignment w:val="auto"/>
        <w:rPr>
          <w:rFonts w:hint="eastAsia" w:cs="宋体"/>
          <w:b/>
          <w:color w:val="auto"/>
          <w:szCs w:val="21"/>
          <w:highlight w:val="none"/>
          <w:lang w:eastAsia="zh-CN"/>
        </w:rPr>
      </w:pPr>
    </w:p>
    <w:p w14:paraId="1B0B26D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trike/>
          <w:dstrike w:val="0"/>
          <w:color w:val="auto"/>
          <w:kern w:val="2"/>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一、项目概况：</w:t>
      </w:r>
      <w:r>
        <w:rPr>
          <w:rFonts w:hint="eastAsia" w:ascii="仿宋_GB2312" w:hAnsi="仿宋_GB2312" w:eastAsia="仿宋_GB2312" w:cs="仿宋_GB2312"/>
          <w:color w:val="auto"/>
          <w:kern w:val="2"/>
          <w:sz w:val="28"/>
          <w:szCs w:val="28"/>
          <w:highlight w:val="none"/>
          <w:lang w:val="en-US" w:eastAsia="zh-CN" w:bidi="ar-SA"/>
        </w:rPr>
        <w:t>我院拟开展深圳市龙岗区第七人民医院龙岭院区（除门诊楼外）4栋建筑房屋结构安全检测鉴定服务项目，对医技楼、综合楼、附属楼、外科楼4栋建筑开展房屋结构安全检测鉴定，为二消申报、技术复核及临建转永久工作提供必备的结构安全依据。</w:t>
      </w:r>
    </w:p>
    <w:p w14:paraId="2C6D6E56">
      <w:pPr>
        <w:pStyle w:val="3"/>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黑体" w:hAnsi="黑体" w:eastAsia="黑体" w:cs="黑体"/>
          <w:b w:val="0"/>
          <w:bCs w:val="0"/>
          <w:color w:val="auto"/>
          <w:kern w:val="0"/>
          <w:sz w:val="28"/>
          <w:szCs w:val="28"/>
          <w:highlight w:val="none"/>
          <w:lang w:val="en-US" w:eastAsia="zh-CN" w:bidi="ar-SA"/>
        </w:rPr>
        <w:t>二、预算金额：</w:t>
      </w:r>
      <w:r>
        <w:rPr>
          <w:rFonts w:ascii="仿宋_GB2312" w:hAnsi="仿宋_GB2312" w:eastAsia="仿宋_GB2312" w:cs="仿宋_GB2312"/>
          <w:color w:val="auto"/>
          <w:sz w:val="28"/>
          <w:szCs w:val="28"/>
          <w:highlight w:val="none"/>
        </w:rPr>
        <w:t>预算</w:t>
      </w:r>
      <w:r>
        <w:rPr>
          <w:rFonts w:hint="eastAsia" w:ascii="仿宋_GB2312" w:hAnsi="仿宋_GB2312" w:eastAsia="仿宋_GB2312" w:cs="仿宋_GB2312"/>
          <w:color w:val="auto"/>
          <w:kern w:val="0"/>
          <w:sz w:val="28"/>
          <w:szCs w:val="28"/>
          <w:highlight w:val="none"/>
        </w:rPr>
        <w:t>金额为</w:t>
      </w:r>
      <w:r>
        <w:rPr>
          <w:rFonts w:hint="eastAsia" w:ascii="仿宋_GB2312" w:hAnsi="仿宋_GB2312" w:eastAsia="仿宋_GB2312" w:cs="仿宋_GB2312"/>
          <w:color w:val="auto"/>
          <w:kern w:val="0"/>
          <w:sz w:val="28"/>
          <w:szCs w:val="28"/>
          <w:highlight w:val="none"/>
          <w:lang w:val="en-US" w:eastAsia="zh-CN"/>
        </w:rPr>
        <w:t>10.5万</w:t>
      </w:r>
      <w:r>
        <w:rPr>
          <w:rFonts w:hint="eastAsia" w:ascii="仿宋_GB2312" w:hAnsi="仿宋_GB2312" w:eastAsia="仿宋_GB2312" w:cs="仿宋_GB2312"/>
          <w:color w:val="auto"/>
          <w:kern w:val="0"/>
          <w:sz w:val="28"/>
          <w:szCs w:val="28"/>
          <w:highlight w:val="none"/>
        </w:rPr>
        <w:t>元</w:t>
      </w:r>
      <w:r>
        <w:rPr>
          <w:rFonts w:hint="eastAsia" w:ascii="仿宋_GB2312" w:hAnsi="仿宋_GB2312" w:eastAsia="仿宋_GB2312" w:cs="仿宋_GB2312"/>
          <w:color w:val="auto"/>
          <w:kern w:val="0"/>
          <w:sz w:val="28"/>
          <w:szCs w:val="28"/>
          <w:highlight w:val="none"/>
          <w:lang w:eastAsia="zh-CN"/>
        </w:rPr>
        <w:t>。</w:t>
      </w:r>
    </w:p>
    <w:p w14:paraId="5D94726A">
      <w:pPr>
        <w:pStyle w:val="26"/>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b/>
          <w:bCs/>
          <w:color w:val="auto"/>
          <w:sz w:val="28"/>
          <w:szCs w:val="28"/>
          <w:highlight w:val="none"/>
        </w:rPr>
      </w:pPr>
      <w:r>
        <w:rPr>
          <w:rFonts w:hint="eastAsia" w:ascii="黑体" w:hAnsi="黑体" w:eastAsia="黑体" w:cs="黑体"/>
          <w:b w:val="0"/>
          <w:bCs w:val="0"/>
          <w:color w:val="auto"/>
          <w:kern w:val="0"/>
          <w:sz w:val="28"/>
          <w:szCs w:val="28"/>
          <w:highlight w:val="none"/>
          <w:lang w:val="en-US" w:eastAsia="zh-CN" w:bidi="ar-SA"/>
        </w:rPr>
        <w:t>三、采购组织形式（勾选）：</w:t>
      </w:r>
      <w:r>
        <w:rPr>
          <w:rFonts w:hint="eastAsia" w:ascii="仿宋_GB2312" w:hAnsi="仿宋_GB2312" w:eastAsia="仿宋_GB2312" w:cs="仿宋_GB2312"/>
          <w:color w:val="auto"/>
          <w:sz w:val="28"/>
          <w:szCs w:val="28"/>
          <w:highlight w:val="none"/>
        </w:rPr>
        <w:t>政府集中采购□、院内集中采购☑、院内委托代理采购□、集团联合采购□、其他□。</w:t>
      </w:r>
    </w:p>
    <w:p w14:paraId="132EC41C">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color w:val="auto"/>
          <w:highlight w:val="none"/>
        </w:rPr>
      </w:pPr>
      <w:r>
        <w:rPr>
          <w:rFonts w:hint="eastAsia" w:ascii="黑体" w:hAnsi="黑体" w:eastAsia="黑体" w:cs="黑体"/>
          <w:b w:val="0"/>
          <w:bCs w:val="0"/>
          <w:color w:val="auto"/>
          <w:kern w:val="0"/>
          <w:sz w:val="28"/>
          <w:szCs w:val="28"/>
          <w:highlight w:val="none"/>
          <w:lang w:val="en-US" w:eastAsia="zh-CN" w:bidi="ar-SA"/>
        </w:rPr>
        <w:t>四、采购方式（勾选）：</w:t>
      </w:r>
      <w:r>
        <w:rPr>
          <w:rFonts w:hint="eastAsia" w:ascii="仿宋_GB2312" w:hAnsi="仿宋_GB2312" w:eastAsia="仿宋_GB2312" w:cs="仿宋_GB2312"/>
          <w:color w:val="auto"/>
          <w:sz w:val="28"/>
          <w:szCs w:val="28"/>
          <w:highlight w:val="none"/>
        </w:rPr>
        <w:t>院内招标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、院内竞价</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、院内邀标□、院内询价</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、竞争性磋商□、院内直接议价□、其他□。</w:t>
      </w:r>
    </w:p>
    <w:p w14:paraId="767D1C3C">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五、投标人资格要求</w:t>
      </w:r>
    </w:p>
    <w:p w14:paraId="712204CD">
      <w:pPr>
        <w:pStyle w:val="26"/>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（一）基本资格条件</w:t>
      </w:r>
    </w:p>
    <w:p w14:paraId="1BDF0374">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14:paraId="0E8C982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2.落实政府采购政策需满足的资格要求：无；</w:t>
      </w:r>
    </w:p>
    <w:p w14:paraId="731875B9">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color w:val="auto"/>
          <w:kern w:val="2"/>
          <w:sz w:val="28"/>
          <w:szCs w:val="28"/>
          <w:highlight w:val="none"/>
          <w:lang w:val="en-US" w:eastAsia="zh-CN" w:bidi="ar-SA"/>
        </w:rPr>
        <w:t>（二）本项目的特定资格要求</w:t>
      </w:r>
    </w:p>
    <w:p w14:paraId="1EAFC869">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1.参与本项目投标前三年内，在经营活动中没有重大违法记录（须按本项目投标文件格式要求提供《投标及履约承诺函》加盖投标人公章）；</w:t>
      </w:r>
    </w:p>
    <w:p w14:paraId="485C76A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2.参与本项目政府采购活动时不存在被有关部门禁止参与政府采购活动且在有效期内的情况（须按本项目投标文件格式要求提供《投标及履约承诺函》加盖投标人公章）；</w:t>
      </w:r>
    </w:p>
    <w:p w14:paraId="736B2A4D">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3.单位负责人为同一人或者存在直接控股、管理关系的不同供应商，不得参加同一合同项下的政府采购活动（须按本项目投标文件格式要求提供《投标及履约承诺函》加盖投标人公章）；</w:t>
      </w:r>
    </w:p>
    <w:p w14:paraId="55EC0145">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14:paraId="6A3CFA86">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5.参与本项目不存在《深圳市财政局政府采购供应商信用信息管理办法》列明的严重违法失信行为（须按本项目投标文件格式要求提供《投标及履约承诺函》加盖投标人公章）；</w:t>
      </w:r>
    </w:p>
    <w:p w14:paraId="43A25242">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78F10E9A">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14:paraId="00304DAE">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8.投标人须提供国家企业信用信息公示系统或机关赋码和事业单位登记管理网或全国社会组织信用信息公示平台网站截图，作为不同供应商之间不存在单位负责人为同一人或者直接控股、管理关系的补充证明；</w:t>
      </w:r>
    </w:p>
    <w:p w14:paraId="0F8E723D">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9.本项目不接受联合体投标，不允许分包或转包；</w:t>
      </w:r>
    </w:p>
    <w:p w14:paraId="7C4B02E5">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10.投标人须具有省级及以上建设行政主管部门颁发的《建设工程质量检测机构资质证书》，检测范围须同时包含主体结构工程现场检测和地基基础工程检测（提供证书复印件并加盖投标人公章，原件备查）。</w:t>
      </w:r>
    </w:p>
    <w:p w14:paraId="7B4A3A81">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11.投标人须具有省级及以上质量技术监督部门颁发的《检验检测机构资质认定证书》（CMA认证）（提供证书复印件并加盖投标人公章，原件备查）。</w:t>
      </w:r>
    </w:p>
    <w:p w14:paraId="65A1392F">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12.投标人须位于深圳市住房和建设局发布的《深圳市房屋安全鉴定机构名录》内（提供名录截图证明）。</w:t>
      </w:r>
    </w:p>
    <w:p w14:paraId="10683EA8">
      <w:pPr>
        <w:keepLines w:val="0"/>
        <w:pageBreakBefore w:val="0"/>
        <w:kinsoku/>
        <w:wordWrap/>
        <w:overflowPunct/>
        <w:topLinePunct w:val="0"/>
        <w:bidi w:val="0"/>
        <w:spacing w:line="560" w:lineRule="exact"/>
        <w:ind w:firstLine="560" w:firstLineChars="200"/>
        <w:rPr>
          <w:rFonts w:hint="default"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六、服务内容及要求</w:t>
      </w:r>
    </w:p>
    <w:p w14:paraId="74013858">
      <w:pPr>
        <w:keepLines w:val="0"/>
        <w:pageBreakBefore w:val="0"/>
        <w:widowControl/>
        <w:numPr>
          <w:ilvl w:val="-1"/>
          <w:numId w:val="0"/>
        </w:numPr>
        <w:kinsoku/>
        <w:wordWrap/>
        <w:overflowPunct/>
        <w:topLinePunct w:val="0"/>
        <w:bidi w:val="0"/>
        <w:spacing w:line="560" w:lineRule="exact"/>
        <w:ind w:leftChars="0" w:firstLine="560" w:firstLineChars="200"/>
        <w:rPr>
          <w:rFonts w:hint="default"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一</w:t>
      </w: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服务范围</w:t>
      </w:r>
    </w:p>
    <w:p w14:paraId="48A0061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lang w:val="en-US" w:eastAsia="zh-CN"/>
        </w:rPr>
      </w:pPr>
      <w:r>
        <w:rPr>
          <w:rFonts w:hint="eastAsia" w:ascii="仿宋_GB2312" w:hAnsi="仿宋_GB2312" w:eastAsia="仿宋_GB2312" w:cs="仿宋_GB2312"/>
          <w:color w:val="auto"/>
          <w:kern w:val="2"/>
          <w:sz w:val="28"/>
          <w:szCs w:val="28"/>
          <w:highlight w:val="none"/>
          <w:lang w:val="en-US" w:eastAsia="zh-CN" w:bidi="ar-SA"/>
        </w:rPr>
        <w:t>我院龙岭院区共有4栋建筑需纳入本次服务范围。</w:t>
      </w:r>
    </w:p>
    <w:tbl>
      <w:tblPr>
        <w:tblStyle w:val="19"/>
        <w:tblW w:w="0" w:type="auto"/>
        <w:tblInd w:w="-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93"/>
        <w:gridCol w:w="5139"/>
        <w:gridCol w:w="2710"/>
      </w:tblGrid>
      <w:tr w14:paraId="09B71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993" w:type="dxa"/>
            <w:tcBorders>
              <w:top w:val="single" w:color="auto" w:sz="4" w:space="0"/>
              <w:left w:val="single" w:color="auto" w:sz="0" w:space="0"/>
              <w:bottom w:val="single" w:color="auto" w:sz="4" w:space="0"/>
              <w:right w:val="single" w:color="auto" w:sz="4" w:space="0"/>
            </w:tcBorders>
            <w:noWrap w:val="0"/>
            <w:tcMar>
              <w:top w:w="150" w:type="dxa"/>
              <w:left w:w="0" w:type="dxa"/>
              <w:bottom w:w="150" w:type="dxa"/>
              <w:right w:w="240" w:type="dxa"/>
            </w:tcMar>
            <w:vAlign w:val="center"/>
          </w:tcPr>
          <w:p w14:paraId="1ACD7C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default" w:ascii="仿宋_GB2312" w:hAnsi="仿宋_GB2312" w:eastAsia="仿宋_GB2312" w:cs="仿宋_GB2312"/>
                <w:b/>
                <w:bCs/>
                <w:kern w:val="2"/>
                <w:sz w:val="28"/>
                <w:szCs w:val="28"/>
                <w:lang w:val="en-US" w:eastAsia="zh-CN" w:bidi="ar-SA"/>
              </w:rPr>
              <w:t>序号</w:t>
            </w:r>
          </w:p>
        </w:tc>
        <w:tc>
          <w:tcPr>
            <w:tcW w:w="5139"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26B828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default" w:ascii="仿宋_GB2312" w:hAnsi="仿宋_GB2312" w:eastAsia="仿宋_GB2312" w:cs="仿宋_GB2312"/>
                <w:b/>
                <w:bCs/>
                <w:kern w:val="2"/>
                <w:sz w:val="28"/>
                <w:szCs w:val="28"/>
                <w:lang w:val="en-US" w:eastAsia="zh-CN" w:bidi="ar-SA"/>
              </w:rPr>
              <w:t>建筑名称</w:t>
            </w:r>
          </w:p>
        </w:tc>
        <w:tc>
          <w:tcPr>
            <w:tcW w:w="2710"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4A0E2B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default" w:ascii="仿宋_GB2312" w:hAnsi="仿宋_GB2312" w:eastAsia="仿宋_GB2312" w:cs="仿宋_GB2312"/>
                <w:b/>
                <w:bCs/>
                <w:kern w:val="2"/>
                <w:sz w:val="28"/>
                <w:szCs w:val="28"/>
                <w:lang w:val="en-US" w:eastAsia="zh-CN" w:bidi="ar-SA"/>
              </w:rPr>
              <w:t>建筑面积（㎡）</w:t>
            </w:r>
          </w:p>
        </w:tc>
      </w:tr>
      <w:tr w14:paraId="1B639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93" w:type="dxa"/>
            <w:tcBorders>
              <w:top w:val="single" w:color="auto" w:sz="4" w:space="0"/>
              <w:left w:val="single" w:color="auto" w:sz="4" w:space="0"/>
              <w:bottom w:val="single" w:color="auto" w:sz="4" w:space="0"/>
              <w:right w:val="single" w:color="auto" w:sz="4" w:space="0"/>
            </w:tcBorders>
            <w:noWrap w:val="0"/>
            <w:tcMar>
              <w:top w:w="150" w:type="dxa"/>
              <w:left w:w="0" w:type="dxa"/>
              <w:bottom w:w="150" w:type="dxa"/>
              <w:right w:w="240" w:type="dxa"/>
            </w:tcMar>
            <w:vAlign w:val="center"/>
          </w:tcPr>
          <w:p w14:paraId="36CC56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default" w:ascii="仿宋_GB2312" w:hAnsi="仿宋_GB2312" w:eastAsia="仿宋_GB2312" w:cs="仿宋_GB2312"/>
                <w:b/>
                <w:bCs/>
                <w:kern w:val="2"/>
                <w:sz w:val="28"/>
                <w:szCs w:val="28"/>
                <w:lang w:val="en-US" w:eastAsia="zh-CN" w:bidi="ar-SA"/>
              </w:rPr>
              <w:t>1</w:t>
            </w:r>
          </w:p>
        </w:tc>
        <w:tc>
          <w:tcPr>
            <w:tcW w:w="5139"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208D6312">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外科楼</w:t>
            </w:r>
          </w:p>
        </w:tc>
        <w:tc>
          <w:tcPr>
            <w:tcW w:w="2710"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7B2FDF95">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2126.81</w:t>
            </w:r>
          </w:p>
        </w:tc>
      </w:tr>
      <w:tr w14:paraId="3154B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93" w:type="dxa"/>
            <w:tcBorders>
              <w:top w:val="single" w:color="auto" w:sz="4" w:space="0"/>
              <w:left w:val="single" w:color="auto" w:sz="4" w:space="0"/>
              <w:bottom w:val="single" w:color="auto" w:sz="4" w:space="0"/>
              <w:right w:val="single" w:color="auto" w:sz="4" w:space="0"/>
            </w:tcBorders>
            <w:noWrap w:val="0"/>
            <w:tcMar>
              <w:top w:w="150" w:type="dxa"/>
              <w:left w:w="0" w:type="dxa"/>
              <w:bottom w:w="150" w:type="dxa"/>
              <w:right w:w="240" w:type="dxa"/>
            </w:tcMar>
            <w:vAlign w:val="center"/>
          </w:tcPr>
          <w:p w14:paraId="3CB882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default" w:ascii="仿宋_GB2312" w:hAnsi="仿宋_GB2312" w:eastAsia="仿宋_GB2312" w:cs="仿宋_GB2312"/>
                <w:b/>
                <w:bCs/>
                <w:kern w:val="2"/>
                <w:sz w:val="28"/>
                <w:szCs w:val="28"/>
                <w:lang w:val="en-US" w:eastAsia="zh-CN" w:bidi="ar-SA"/>
              </w:rPr>
              <w:t>2</w:t>
            </w:r>
          </w:p>
        </w:tc>
        <w:tc>
          <w:tcPr>
            <w:tcW w:w="5139"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2ED4AFEF">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default" w:ascii="仿宋_GB2312" w:hAnsi="仿宋_GB2312" w:eastAsia="仿宋_GB2312" w:cs="仿宋_GB2312"/>
                <w:b w:val="0"/>
                <w:bCs w:val="0"/>
                <w:kern w:val="2"/>
                <w:sz w:val="28"/>
                <w:szCs w:val="28"/>
                <w:lang w:val="en-US" w:eastAsia="zh-CN" w:bidi="ar-SA"/>
              </w:rPr>
              <w:t>医技楼（含连廊）</w:t>
            </w:r>
          </w:p>
        </w:tc>
        <w:tc>
          <w:tcPr>
            <w:tcW w:w="2710"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3A1598A2">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default" w:ascii="仿宋_GB2312" w:hAnsi="仿宋_GB2312" w:eastAsia="仿宋_GB2312" w:cs="仿宋_GB2312"/>
                <w:b w:val="0"/>
                <w:bCs w:val="0"/>
                <w:kern w:val="2"/>
                <w:sz w:val="28"/>
                <w:szCs w:val="28"/>
                <w:lang w:val="en-US" w:eastAsia="zh-CN" w:bidi="ar-SA"/>
              </w:rPr>
              <w:t>5234.74</w:t>
            </w:r>
          </w:p>
        </w:tc>
      </w:tr>
      <w:tr w14:paraId="32D83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93" w:type="dxa"/>
            <w:tcBorders>
              <w:top w:val="single" w:color="auto" w:sz="4" w:space="0"/>
              <w:left w:val="single" w:color="auto" w:sz="4" w:space="0"/>
              <w:bottom w:val="single" w:color="auto" w:sz="4" w:space="0"/>
              <w:right w:val="single" w:color="auto" w:sz="4" w:space="0"/>
            </w:tcBorders>
            <w:noWrap w:val="0"/>
            <w:tcMar>
              <w:top w:w="150" w:type="dxa"/>
              <w:left w:w="0" w:type="dxa"/>
              <w:bottom w:w="150" w:type="dxa"/>
              <w:right w:w="240" w:type="dxa"/>
            </w:tcMar>
            <w:vAlign w:val="center"/>
          </w:tcPr>
          <w:p w14:paraId="1D4938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default" w:ascii="仿宋_GB2312" w:hAnsi="仿宋_GB2312" w:eastAsia="仿宋_GB2312" w:cs="仿宋_GB2312"/>
                <w:b/>
                <w:bCs/>
                <w:kern w:val="2"/>
                <w:sz w:val="28"/>
                <w:szCs w:val="28"/>
                <w:lang w:val="en-US" w:eastAsia="zh-CN" w:bidi="ar-SA"/>
              </w:rPr>
              <w:t>3</w:t>
            </w:r>
          </w:p>
        </w:tc>
        <w:tc>
          <w:tcPr>
            <w:tcW w:w="5139"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70905E29">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default" w:ascii="仿宋_GB2312" w:hAnsi="仿宋_GB2312" w:eastAsia="仿宋_GB2312" w:cs="仿宋_GB2312"/>
                <w:b w:val="0"/>
                <w:bCs w:val="0"/>
                <w:kern w:val="2"/>
                <w:sz w:val="28"/>
                <w:szCs w:val="28"/>
                <w:lang w:val="en-US" w:eastAsia="zh-CN" w:bidi="ar-SA"/>
              </w:rPr>
              <w:t>附属楼</w:t>
            </w:r>
          </w:p>
        </w:tc>
        <w:tc>
          <w:tcPr>
            <w:tcW w:w="2710"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73E95EDE">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904.79</w:t>
            </w:r>
          </w:p>
        </w:tc>
      </w:tr>
      <w:tr w14:paraId="44321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93" w:type="dxa"/>
            <w:tcBorders>
              <w:top w:val="single" w:color="auto" w:sz="4" w:space="0"/>
              <w:left w:val="single" w:color="auto" w:sz="4" w:space="0"/>
              <w:bottom w:val="single" w:color="auto" w:sz="4" w:space="0"/>
              <w:right w:val="single" w:color="auto" w:sz="4" w:space="0"/>
            </w:tcBorders>
            <w:noWrap w:val="0"/>
            <w:tcMar>
              <w:top w:w="150" w:type="dxa"/>
              <w:left w:w="0" w:type="dxa"/>
              <w:bottom w:w="150" w:type="dxa"/>
              <w:right w:w="240" w:type="dxa"/>
            </w:tcMar>
            <w:vAlign w:val="center"/>
          </w:tcPr>
          <w:p w14:paraId="536AC6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4</w:t>
            </w:r>
          </w:p>
        </w:tc>
        <w:tc>
          <w:tcPr>
            <w:tcW w:w="5139"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4EFBC73B">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综合楼</w:t>
            </w:r>
          </w:p>
        </w:tc>
        <w:tc>
          <w:tcPr>
            <w:tcW w:w="2710" w:type="dxa"/>
            <w:tcBorders>
              <w:top w:val="single" w:color="auto" w:sz="4" w:space="0"/>
              <w:left w:val="single" w:color="auto" w:sz="4" w:space="0"/>
              <w:bottom w:val="single" w:color="auto" w:sz="4" w:space="0"/>
              <w:right w:val="single" w:color="auto" w:sz="4" w:space="0"/>
            </w:tcBorders>
            <w:noWrap w:val="0"/>
            <w:tcMar>
              <w:top w:w="150" w:type="dxa"/>
              <w:left w:w="240" w:type="dxa"/>
              <w:bottom w:w="150" w:type="dxa"/>
              <w:right w:w="240" w:type="dxa"/>
            </w:tcMar>
            <w:vAlign w:val="center"/>
          </w:tcPr>
          <w:p w14:paraId="0925829D">
            <w:pPr>
              <w:pStyle w:val="32"/>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b w:val="0"/>
                <w:bCs w:val="0"/>
                <w:kern w:val="2"/>
                <w:sz w:val="28"/>
                <w:szCs w:val="28"/>
                <w:lang w:val="en-US" w:eastAsia="zh-CN" w:bidi="ar-SA"/>
              </w:rPr>
            </w:pPr>
            <w:r>
              <w:rPr>
                <w:rFonts w:hint="default" w:ascii="仿宋_GB2312" w:hAnsi="仿宋_GB2312" w:eastAsia="仿宋_GB2312" w:cs="仿宋_GB2312"/>
                <w:b w:val="0"/>
                <w:bCs w:val="0"/>
                <w:kern w:val="2"/>
                <w:sz w:val="28"/>
                <w:szCs w:val="28"/>
                <w:lang w:val="en-US" w:eastAsia="zh-CN" w:bidi="ar-SA"/>
              </w:rPr>
              <w:t>9028.89</w:t>
            </w:r>
          </w:p>
        </w:tc>
      </w:tr>
    </w:tbl>
    <w:p w14:paraId="4A8178D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次采购房屋结构安全检测鉴定服务为是二次消防申报的必备材料之一，如不能及时出具，将直接影响二消申报工作；外科楼虽已有二消手续，但后期办理临建转永久需此报告作为关键资料；同时4栋建筑均涉及医疗设备放置、功能布局调整，需对楼层承重性进行专项评估，确保结构安全。</w:t>
      </w:r>
    </w:p>
    <w:p w14:paraId="011A400D">
      <w:pPr>
        <w:keepLines w:val="0"/>
        <w:pageBreakBefore w:val="0"/>
        <w:widowControl/>
        <w:numPr>
          <w:ilvl w:val="-1"/>
          <w:numId w:val="0"/>
        </w:numPr>
        <w:kinsoku/>
        <w:wordWrap/>
        <w:overflowPunct/>
        <w:topLinePunct w:val="0"/>
        <w:bidi w:val="0"/>
        <w:spacing w:line="560" w:lineRule="exact"/>
        <w:ind w:leftChars="0" w:firstLine="560" w:firstLineChars="200"/>
        <w:rPr>
          <w:rFonts w:hint="eastAsia" w:ascii="仿宋_GB2312" w:hAnsi="仿宋_GB2312" w:eastAsia="仿宋_GB2312" w:cs="仿宋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二</w:t>
      </w: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服务内容</w:t>
      </w:r>
    </w:p>
    <w:p w14:paraId="008C03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1.主体结构工程现场检测：结构构件（梁、板、柱、墙等）强度、变形、裂缝检测；结构整体稳定性与抗震性能评估；既有建筑结构损伤调查与安全性评级；</w:t>
      </w:r>
    </w:p>
    <w:p w14:paraId="025C8A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2.地基基础工程检测：地基基础检测：检测上部结构是否存在因地基不均匀沉降引起构件开裂、变形、位移等不良反应以及整体结构是否出现明显倾斜现象，根据检测结果判断地基基础稳定性；</w:t>
      </w:r>
    </w:p>
    <w:p w14:paraId="479D56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3.楼层承重性评估（重点）：对楼板、梁、柱等主要承重构件进行承载能力验算，明确各楼层的设计活荷载标准值及当前实际承载能力，评估是否满足医院业务用房（如病房、诊室、设备放置等）的使用要求；针对拟放置大型医疗设备（如CT、DR、核磁等）的区域，进行专项局部承重验算，出具明确的荷载限值及安全使用建议；</w:t>
      </w:r>
    </w:p>
    <w:p w14:paraId="0A1E3D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4.承载力复核：结合消防整改、临建转永久及后续改造需求，对关键构件进行综合承载力验算。</w:t>
      </w:r>
    </w:p>
    <w:p w14:paraId="732DC801">
      <w:pPr>
        <w:keepLines w:val="0"/>
        <w:pageBreakBefore w:val="0"/>
        <w:widowControl/>
        <w:numPr>
          <w:ilvl w:val="-1"/>
          <w:numId w:val="0"/>
        </w:numPr>
        <w:kinsoku/>
        <w:wordWrap/>
        <w:overflowPunct/>
        <w:topLinePunct w:val="0"/>
        <w:bidi w:val="0"/>
        <w:spacing w:line="560" w:lineRule="exact"/>
        <w:ind w:leftChars="0" w:firstLine="560" w:firstLineChars="200"/>
        <w:rPr>
          <w:rFonts w:hint="default"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三</w:t>
      </w:r>
      <w:r>
        <w:rPr>
          <w:rFonts w:hint="eastAsia" w:ascii="楷体_GB2312" w:hAnsi="楷体_GB2312" w:eastAsia="楷体_GB2312" w:cs="楷体_GB2312"/>
          <w:b w:val="0"/>
          <w:bCs w:val="0"/>
          <w:color w:val="auto"/>
          <w:sz w:val="28"/>
          <w:szCs w:val="28"/>
          <w:highlight w:val="none"/>
          <w:lang w:eastAsia="zh-CN"/>
        </w:rPr>
        <w:t>）</w:t>
      </w:r>
      <w:r>
        <w:rPr>
          <w:rFonts w:hint="eastAsia" w:ascii="楷体_GB2312" w:hAnsi="楷体_GB2312" w:eastAsia="楷体_GB2312" w:cs="楷体_GB2312"/>
          <w:b w:val="0"/>
          <w:bCs w:val="0"/>
          <w:color w:val="auto"/>
          <w:sz w:val="28"/>
          <w:szCs w:val="28"/>
          <w:highlight w:val="none"/>
          <w:lang w:val="en-US" w:eastAsia="zh-CN"/>
        </w:rPr>
        <w:t>服务要求</w:t>
      </w:r>
    </w:p>
    <w:p w14:paraId="216339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1.各栋建筑分别出具加盖检测鉴定单位公章的《房屋结构安全检测鉴定报告》；报告须包含楼层承重性评估专篇，明确各楼层荷载限值及安全使用建议；提供纸质报告一式四份及电子版一份。</w:t>
      </w:r>
    </w:p>
    <w:p w14:paraId="56938E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2.中标人须对其出具的报告真实性、准确性、合法性负责。若因报告问题导致采购人做出错误决策并造成损失的，中标人应承担相应法律责任及经济赔偿。</w:t>
      </w:r>
    </w:p>
    <w:p w14:paraId="62150CA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3.中标人应遵守采购人医院内的安全管理规定，在检测过程中做好安全防护措施，因中标人原因造成的人员伤亡或财产损失，由中标人自行承担。</w:t>
      </w:r>
    </w:p>
    <w:p w14:paraId="34905C2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lang w:val="en-US" w:eastAsia="zh-CN"/>
        </w:rPr>
      </w:pPr>
      <w:r>
        <w:rPr>
          <w:rFonts w:hint="eastAsia" w:ascii="仿宋_GB2312" w:hAnsi="仿宋_GB2312" w:eastAsia="仿宋_GB2312" w:cs="仿宋_GB2312"/>
          <w:b w:val="0"/>
          <w:bCs w:val="0"/>
          <w:color w:val="auto"/>
          <w:sz w:val="28"/>
          <w:szCs w:val="28"/>
          <w:highlight w:val="none"/>
          <w:lang w:val="en-US" w:eastAsia="zh-CN"/>
        </w:rPr>
        <w:t>4.检测过程中如需对建筑结构进行微破损检测，须提前征得采购人书面同意，并在检测完成后按要求进行修复（费用自理）。</w:t>
      </w:r>
    </w:p>
    <w:p w14:paraId="671E8D8D">
      <w:pPr>
        <w:keepLines w:val="0"/>
        <w:pageBreakBefore w:val="0"/>
        <w:widowControl/>
        <w:numPr>
          <w:ilvl w:val="-1"/>
          <w:numId w:val="0"/>
        </w:numPr>
        <w:kinsoku/>
        <w:wordWrap/>
        <w:overflowPunct/>
        <w:topLinePunct w:val="0"/>
        <w:bidi w:val="0"/>
        <w:spacing w:line="560" w:lineRule="exact"/>
        <w:ind w:leftChars="0" w:firstLine="560" w:firstLineChars="200"/>
        <w:rPr>
          <w:rFonts w:hint="default"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val="en-US" w:eastAsia="zh-CN"/>
        </w:rPr>
        <w:t>（四）商务要求</w:t>
      </w:r>
    </w:p>
    <w:p w14:paraId="506826B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w:t>
      </w:r>
      <w:r>
        <w:rPr>
          <w:rFonts w:hint="eastAsia" w:ascii="仿宋_GB2312" w:hAnsi="仿宋_GB2312" w:eastAsia="仿宋_GB2312" w:cs="仿宋_GB2312"/>
          <w:b w:val="0"/>
          <w:bCs w:val="0"/>
          <w:color w:val="auto"/>
          <w:sz w:val="28"/>
          <w:szCs w:val="28"/>
          <w:highlight w:val="none"/>
          <w:lang w:val="en-US" w:eastAsia="zh-CN"/>
        </w:rPr>
        <w:t>1.服务</w:t>
      </w:r>
      <w:r>
        <w:rPr>
          <w:rFonts w:hint="eastAsia" w:ascii="仿宋_GB2312" w:hAnsi="仿宋_GB2312" w:eastAsia="仿宋_GB2312" w:cs="仿宋_GB2312"/>
          <w:b w:val="0"/>
          <w:bCs w:val="0"/>
          <w:color w:val="auto"/>
          <w:sz w:val="28"/>
          <w:szCs w:val="28"/>
          <w:highlight w:val="none"/>
          <w:lang w:eastAsia="zh-CN"/>
        </w:rPr>
        <w:t>期</w:t>
      </w:r>
      <w:r>
        <w:rPr>
          <w:rFonts w:hint="eastAsia" w:ascii="仿宋_GB2312" w:hAnsi="仿宋_GB2312" w:eastAsia="仿宋_GB2312" w:cs="仿宋_GB2312"/>
          <w:b w:val="0"/>
          <w:bCs w:val="0"/>
          <w:color w:val="auto"/>
          <w:sz w:val="28"/>
          <w:szCs w:val="28"/>
          <w:highlight w:val="none"/>
          <w:lang w:val="en-US" w:eastAsia="zh-CN"/>
        </w:rPr>
        <w:t>限</w:t>
      </w:r>
      <w:r>
        <w:rPr>
          <w:rFonts w:hint="eastAsia" w:ascii="仿宋_GB2312" w:hAnsi="仿宋_GB2312" w:eastAsia="仿宋_GB2312" w:cs="仿宋_GB2312"/>
          <w:b w:val="0"/>
          <w:bCs w:val="0"/>
          <w:color w:val="auto"/>
          <w:sz w:val="28"/>
          <w:szCs w:val="28"/>
          <w:highlight w:val="none"/>
          <w:lang w:eastAsia="zh-CN"/>
        </w:rPr>
        <w:t>：自合同签订之日起40日（日历日）内完成全部现场检测、评估并出具正式检测鉴定报告，完成全部服务并提交全部成果资料。（</w:t>
      </w:r>
      <w:r>
        <w:rPr>
          <w:rFonts w:hint="eastAsia" w:ascii="仿宋_GB2312" w:hAnsi="仿宋_GB2312" w:eastAsia="仿宋_GB2312" w:cs="仿宋_GB2312"/>
          <w:b w:val="0"/>
          <w:bCs w:val="0"/>
          <w:color w:val="auto"/>
          <w:sz w:val="28"/>
          <w:szCs w:val="28"/>
          <w:highlight w:val="none"/>
        </w:rPr>
        <w:t>日历日为自然天，包括双休日及法定节假日，不等同于工作日；投标文件中的交货期条款为不可负偏离条款，若投标文件中响应的</w:t>
      </w:r>
      <w:r>
        <w:rPr>
          <w:rFonts w:hint="eastAsia" w:ascii="仿宋_GB2312" w:hAnsi="仿宋_GB2312" w:eastAsia="仿宋_GB2312" w:cs="仿宋_GB2312"/>
          <w:b w:val="0"/>
          <w:bCs w:val="0"/>
          <w:color w:val="auto"/>
          <w:sz w:val="28"/>
          <w:szCs w:val="28"/>
          <w:highlight w:val="none"/>
          <w:lang w:val="en-US" w:eastAsia="zh-CN"/>
        </w:rPr>
        <w:t>服务</w:t>
      </w:r>
      <w:r>
        <w:rPr>
          <w:rFonts w:hint="eastAsia" w:ascii="仿宋_GB2312" w:hAnsi="仿宋_GB2312" w:eastAsia="仿宋_GB2312" w:cs="仿宋_GB2312"/>
          <w:b w:val="0"/>
          <w:bCs w:val="0"/>
          <w:color w:val="auto"/>
          <w:sz w:val="28"/>
          <w:szCs w:val="28"/>
          <w:highlight w:val="none"/>
        </w:rPr>
        <w:t>期超过招标文件规定期限时，其投标文件按投标无效处理。）</w:t>
      </w:r>
    </w:p>
    <w:p w14:paraId="24B1C1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2.</w:t>
      </w:r>
      <w:r>
        <w:rPr>
          <w:rFonts w:hint="eastAsia" w:ascii="仿宋_GB2312" w:hAnsi="仿宋_GB2312" w:eastAsia="仿宋_GB2312" w:cs="仿宋_GB2312"/>
          <w:b w:val="0"/>
          <w:bCs w:val="0"/>
          <w:color w:val="auto"/>
          <w:sz w:val="28"/>
          <w:szCs w:val="28"/>
          <w:highlight w:val="none"/>
        </w:rPr>
        <w:t>交货地点：深圳</w:t>
      </w:r>
      <w:r>
        <w:rPr>
          <w:rFonts w:hint="eastAsia" w:ascii="仿宋_GB2312" w:hAnsi="仿宋_GB2312" w:eastAsia="仿宋_GB2312" w:cs="仿宋_GB2312"/>
          <w:b w:val="0"/>
          <w:bCs w:val="0"/>
          <w:color w:val="auto"/>
          <w:sz w:val="28"/>
          <w:szCs w:val="28"/>
          <w:highlight w:val="none"/>
          <w:lang w:val="en-US" w:eastAsia="zh-CN"/>
        </w:rPr>
        <w:t>市</w:t>
      </w:r>
      <w:r>
        <w:rPr>
          <w:rFonts w:hint="eastAsia" w:ascii="仿宋_GB2312" w:hAnsi="仿宋_GB2312" w:eastAsia="仿宋_GB2312" w:cs="仿宋_GB2312"/>
          <w:b w:val="0"/>
          <w:bCs w:val="0"/>
          <w:color w:val="auto"/>
          <w:sz w:val="28"/>
          <w:szCs w:val="28"/>
          <w:highlight w:val="none"/>
        </w:rPr>
        <w:t>龙岗区</w:t>
      </w:r>
      <w:r>
        <w:rPr>
          <w:rFonts w:hint="eastAsia" w:ascii="仿宋_GB2312" w:hAnsi="仿宋_GB2312" w:eastAsia="仿宋_GB2312" w:cs="仿宋_GB2312"/>
          <w:b w:val="0"/>
          <w:bCs w:val="0"/>
          <w:color w:val="auto"/>
          <w:sz w:val="28"/>
          <w:szCs w:val="28"/>
          <w:highlight w:val="none"/>
          <w:lang w:val="en-US" w:eastAsia="zh-CN"/>
        </w:rPr>
        <w:t>第七</w:t>
      </w:r>
      <w:r>
        <w:rPr>
          <w:rFonts w:hint="eastAsia" w:ascii="仿宋_GB2312" w:hAnsi="仿宋_GB2312" w:eastAsia="仿宋_GB2312" w:cs="仿宋_GB2312"/>
          <w:b w:val="0"/>
          <w:bCs w:val="0"/>
          <w:color w:val="auto"/>
          <w:sz w:val="28"/>
          <w:szCs w:val="28"/>
          <w:highlight w:val="none"/>
        </w:rPr>
        <w:t>人民医院。</w:t>
      </w:r>
    </w:p>
    <w:p w14:paraId="0203F4F0">
      <w:pPr>
        <w:snapToGrid w:val="0"/>
        <w:spacing w:line="560" w:lineRule="exact"/>
        <w:ind w:firstLine="560" w:firstLineChars="200"/>
        <w:rPr>
          <w:rFonts w:hint="default" w:ascii="仿宋_GB2312" w:hAnsi="仿宋_GB2312" w:eastAsia="仿宋_GB2312" w:cs="仿宋_GB2312"/>
          <w:b w:val="0"/>
          <w:bCs w:val="0"/>
          <w:color w:val="auto"/>
          <w:sz w:val="28"/>
          <w:szCs w:val="28"/>
          <w:highlight w:val="none"/>
          <w:lang w:val="en-US"/>
        </w:rPr>
      </w:pPr>
      <w:r>
        <w:rPr>
          <w:rFonts w:hint="eastAsia" w:ascii="仿宋_GB2312" w:hAnsi="仿宋_GB2312" w:eastAsia="仿宋_GB2312" w:cs="仿宋_GB2312"/>
          <w:b w:val="0"/>
          <w:bCs w:val="0"/>
          <w:color w:val="auto"/>
          <w:sz w:val="28"/>
          <w:szCs w:val="28"/>
          <w:highlight w:val="none"/>
          <w:lang w:val="en-US" w:eastAsia="zh-CN"/>
        </w:rPr>
        <w:t>3.</w:t>
      </w:r>
      <w:r>
        <w:rPr>
          <w:rFonts w:hint="eastAsia" w:ascii="仿宋_GB2312" w:hAnsi="仿宋_GB2312" w:eastAsia="仿宋_GB2312" w:cs="仿宋_GB2312"/>
          <w:b w:val="0"/>
          <w:bCs w:val="0"/>
          <w:color w:val="auto"/>
          <w:sz w:val="28"/>
          <w:szCs w:val="28"/>
          <w:highlight w:val="none"/>
        </w:rPr>
        <w:t>付款方式：</w:t>
      </w:r>
      <w:r>
        <w:rPr>
          <w:rFonts w:hint="eastAsia" w:ascii="仿宋_GB2312" w:hAnsi="仿宋_GB2312" w:eastAsia="仿宋_GB2312" w:cs="仿宋_GB2312"/>
          <w:b w:val="0"/>
          <w:bCs w:val="0"/>
          <w:color w:val="auto"/>
          <w:sz w:val="28"/>
          <w:szCs w:val="28"/>
          <w:highlight w:val="none"/>
          <w:lang w:eastAsia="zh-CN"/>
        </w:rPr>
        <w:t>中标人完成全部检测及评估工作，提交正式、有效的检测鉴定报告（含楼层承重性评估专篇），且经采购人验收合格后，中标人开具合法有效的全额发票，采购人在收到发票后10个工作日内一次性支付全部合同款项。</w:t>
      </w:r>
      <w:r>
        <w:rPr>
          <w:rFonts w:hint="eastAsia" w:ascii="仿宋_GB2312" w:hAnsi="仿宋_GB2312" w:eastAsia="仿宋_GB2312" w:cs="仿宋_GB2312"/>
          <w:b w:val="0"/>
          <w:bCs w:val="0"/>
          <w:color w:val="auto"/>
          <w:sz w:val="28"/>
          <w:szCs w:val="28"/>
          <w:highlight w:val="none"/>
          <w:lang w:val="en-US" w:eastAsia="zh-CN"/>
        </w:rPr>
        <w:t>如采购人需暂停某栋楼宇检测工作，则服务费据实结算。</w:t>
      </w:r>
    </w:p>
    <w:p w14:paraId="6BBF89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rPr>
        <w:t>★</w:t>
      </w:r>
      <w:r>
        <w:rPr>
          <w:rFonts w:hint="eastAsia" w:ascii="仿宋_GB2312" w:hAnsi="仿宋_GB2312" w:eastAsia="仿宋_GB2312" w:cs="仿宋_GB2312"/>
          <w:b w:val="0"/>
          <w:bCs w:val="0"/>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报价要求：人民币报价</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精确到小数点后两位。投标报价总额上限为10.5万元</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在投标报价总额基础上，投标人应对各楼宇进行分项报价，总额需保持一致。</w:t>
      </w:r>
      <w:r>
        <w:rPr>
          <w:rFonts w:hint="eastAsia" w:ascii="仿宋_GB2312" w:hAnsi="仿宋_GB2312" w:eastAsia="仿宋_GB2312" w:cs="仿宋_GB2312"/>
          <w:color w:val="auto"/>
          <w:sz w:val="28"/>
          <w:szCs w:val="28"/>
          <w:highlight w:val="none"/>
        </w:rPr>
        <w:t>投标人应结合项目需求、市场行情及企业自身因素，自行填报投标总价。报价应包括检测费、验算费、报告编制费、人工费、设备费、交通费、税金等为完成本项目所需的一切费用。</w:t>
      </w:r>
    </w:p>
    <w:p w14:paraId="628E9397">
      <w:pPr>
        <w:keepLines w:val="0"/>
        <w:pageBreakBefore w:val="0"/>
        <w:widowControl/>
        <w:numPr>
          <w:ilvl w:val="-1"/>
          <w:numId w:val="0"/>
        </w:numPr>
        <w:kinsoku/>
        <w:wordWrap/>
        <w:overflowPunct/>
        <w:topLinePunct w:val="0"/>
        <w:bidi w:val="0"/>
        <w:spacing w:line="560" w:lineRule="exact"/>
        <w:ind w:leftChars="0" w:firstLine="560" w:firstLineChars="200"/>
        <w:rPr>
          <w:rFonts w:hint="eastAsia" w:ascii="楷体_GB2312" w:hAnsi="楷体_GB2312" w:eastAsia="楷体_GB2312" w:cs="楷体_GB2312"/>
          <w:b w:val="0"/>
          <w:bCs w:val="0"/>
          <w:color w:val="auto"/>
          <w:sz w:val="28"/>
          <w:szCs w:val="28"/>
          <w:highlight w:val="none"/>
          <w:lang w:val="en-US" w:eastAsia="zh-CN"/>
        </w:rPr>
      </w:pPr>
      <w:r>
        <w:rPr>
          <w:rFonts w:hint="eastAsia" w:ascii="楷体_GB2312" w:hAnsi="楷体_GB2312" w:eastAsia="楷体_GB2312" w:cs="楷体_GB2312"/>
          <w:b w:val="0"/>
          <w:bCs w:val="0"/>
          <w:color w:val="auto"/>
          <w:sz w:val="28"/>
          <w:szCs w:val="28"/>
          <w:highlight w:val="none"/>
          <w:lang w:val="en-US" w:eastAsia="zh-CN"/>
        </w:rPr>
        <w:t>（五）验收及售后服务</w:t>
      </w:r>
    </w:p>
    <w:p w14:paraId="553F745C">
      <w:pPr>
        <w:pStyle w:val="26"/>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中标人提交的报告存在弄虚作假、重大遗漏或错误（特别是楼层承重性评估结论严重失实），导致采购人做出错误决策并造成损失的，采购人有权解除合同，要求中标人退还已收取的全部款项，并赔偿采购人全部损失。</w:t>
      </w:r>
    </w:p>
    <w:p w14:paraId="4FAA5285">
      <w:pPr>
        <w:pStyle w:val="26"/>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2.中标人须对其出具的报告真实性、准确性、合法性负责。若因报告问题导致采购人做出错误决策并造成损失的，中标人应承担相应法律责任及经济赔偿。</w:t>
      </w:r>
    </w:p>
    <w:p w14:paraId="6D913BD7">
      <w:pPr>
        <w:pStyle w:val="26"/>
        <w:keepNext w:val="0"/>
        <w:keepLines w:val="0"/>
        <w:pageBreakBefore w:val="0"/>
        <w:numPr>
          <w:ilvl w:val="-1"/>
          <w:numId w:val="0"/>
        </w:numPr>
        <w:kinsoku/>
        <w:wordWrap/>
        <w:overflowPunct/>
        <w:topLinePunct w:val="0"/>
        <w:autoSpaceDE/>
        <w:autoSpaceDN/>
        <w:bidi w:val="0"/>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kern w:val="2"/>
          <w:sz w:val="28"/>
          <w:szCs w:val="28"/>
          <w:highlight w:val="none"/>
          <w:lang w:val="en-US" w:eastAsia="zh-CN" w:bidi="ar-SA"/>
        </w:rPr>
        <w:t>3.报告提交后，若采购人对报告内容有疑问（特别是楼层承重性评估结论），中标人应免费提供解释说明；若因采购人原因导致检测条件或设备参数发生变化，需要调整报告的，双方另行协商。</w:t>
      </w:r>
    </w:p>
    <w:p w14:paraId="58200B5D">
      <w:pPr>
        <w:pStyle w:val="38"/>
        <w:spacing w:line="360" w:lineRule="auto"/>
        <w:rPr>
          <w:rFonts w:hint="eastAsia" w:ascii="楷体_GB2312" w:hAnsi="楷体_GB2312" w:eastAsia="楷体_GB2312" w:cs="楷体_GB2312"/>
          <w:b w:val="0"/>
          <w:bCs w:val="0"/>
          <w:color w:val="auto"/>
          <w:kern w:val="2"/>
          <w:sz w:val="28"/>
          <w:szCs w:val="28"/>
          <w:highlight w:val="none"/>
          <w:lang w:val="en-US" w:eastAsia="zh-CN" w:bidi="ar-SA"/>
        </w:rPr>
      </w:pPr>
      <w:r>
        <w:rPr>
          <w:rFonts w:hint="eastAsia" w:ascii="楷体_GB2312" w:hAnsi="楷体_GB2312" w:eastAsia="楷体_GB2312" w:cs="楷体_GB2312"/>
          <w:b w:val="0"/>
          <w:bCs w:val="0"/>
          <w:color w:val="auto"/>
          <w:kern w:val="2"/>
          <w:sz w:val="28"/>
          <w:szCs w:val="28"/>
          <w:highlight w:val="none"/>
          <w:lang w:val="en-US" w:eastAsia="zh-CN" w:bidi="ar-SA"/>
        </w:rPr>
        <w:t>（六）违约责任</w:t>
      </w:r>
    </w:p>
    <w:p w14:paraId="2100510F">
      <w:pPr>
        <w:pStyle w:val="38"/>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中标人未能按合同约定的时间（合同签订后40个日历日内）提交检测鉴定报告的，每逾期一日，应按合同总金额的1%向采购人支付违约金；逾期超过15日的，采购人有权单方解除合同，并要求中标人赔偿损失。</w:t>
      </w:r>
    </w:p>
    <w:p w14:paraId="3B4976D1">
      <w:pPr>
        <w:pStyle w:val="38"/>
        <w:spacing w:line="360" w:lineRule="auto"/>
        <w:rPr>
          <w:rFonts w:hint="eastAsia" w:ascii="楷体_GB2312" w:hAnsi="楷体_GB2312" w:eastAsia="楷体_GB2312" w:cs="楷体_GB2312"/>
          <w:b w:val="0"/>
          <w:bCs w:val="0"/>
          <w:color w:val="auto"/>
          <w:kern w:val="2"/>
          <w:sz w:val="28"/>
          <w:szCs w:val="28"/>
          <w:highlight w:val="none"/>
          <w:lang w:val="en-US" w:eastAsia="zh-CN" w:bidi="ar-SA"/>
        </w:rPr>
      </w:pPr>
      <w:r>
        <w:rPr>
          <w:rFonts w:hint="eastAsia" w:ascii="楷体_GB2312" w:hAnsi="楷体_GB2312" w:eastAsia="楷体_GB2312" w:cs="楷体_GB2312"/>
          <w:b w:val="0"/>
          <w:bCs w:val="0"/>
          <w:color w:val="auto"/>
          <w:kern w:val="2"/>
          <w:sz w:val="28"/>
          <w:szCs w:val="28"/>
          <w:highlight w:val="none"/>
          <w:lang w:val="en-US" w:eastAsia="zh-CN" w:bidi="ar-SA"/>
        </w:rPr>
        <w:t>（七）签订合同</w:t>
      </w:r>
    </w:p>
    <w:p w14:paraId="5365A2CE">
      <w:pPr>
        <w:pStyle w:val="38"/>
        <w:spacing w:line="36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采购人和中标人应当自中标通知书发出之日起十个工作日内，按照招标文件和中标人的投标文件订立书面合同。</w:t>
      </w:r>
    </w:p>
    <w:p w14:paraId="0A27A723">
      <w:pPr>
        <w:pStyle w:val="26"/>
        <w:keepNext w:val="0"/>
        <w:keepLines w:val="0"/>
        <w:pageBreakBefore w:val="0"/>
        <w:numPr>
          <w:ilvl w:val="-1"/>
          <w:numId w:val="0"/>
        </w:numPr>
        <w:kinsoku/>
        <w:wordWrap/>
        <w:overflowPunct/>
        <w:topLinePunct w:val="0"/>
        <w:autoSpaceDE/>
        <w:autoSpaceDN/>
        <w:bidi w:val="0"/>
        <w:snapToGrid/>
        <w:spacing w:line="560" w:lineRule="exact"/>
        <w:textAlignment w:val="auto"/>
        <w:rPr>
          <w:rFonts w:hint="eastAsia" w:ascii="仿宋_GB2312" w:hAnsi="仿宋_GB2312" w:eastAsia="仿宋_GB2312" w:cs="仿宋_GB2312"/>
          <w:color w:val="auto"/>
          <w:kern w:val="2"/>
          <w:sz w:val="28"/>
          <w:szCs w:val="28"/>
          <w:highlight w:val="none"/>
          <w:lang w:val="en-US" w:eastAsia="zh-CN" w:bidi="ar-SA"/>
        </w:rPr>
      </w:pPr>
    </w:p>
    <w:p w14:paraId="75905F7A">
      <w:pPr>
        <w:keepLines w:val="0"/>
        <w:pageBreakBefore w:val="0"/>
        <w:kinsoku/>
        <w:wordWrap/>
        <w:overflowPunct/>
        <w:topLinePunct w:val="0"/>
        <w:bidi w:val="0"/>
        <w:ind w:firstLineChars="200"/>
        <w:rPr>
          <w:rFonts w:hint="default" w:ascii="仿宋_GB2312" w:hAnsi="仿宋_GB2312" w:eastAsia="仿宋_GB2312" w:cs="仿宋_GB2312"/>
          <w:color w:val="auto"/>
          <w:kern w:val="2"/>
          <w:sz w:val="28"/>
          <w:szCs w:val="28"/>
          <w:highlight w:val="none"/>
          <w:lang w:val="en-US" w:eastAsia="zh-CN" w:bidi="ar-SA"/>
        </w:rPr>
      </w:pPr>
      <w:r>
        <w:rPr>
          <w:rFonts w:hint="default" w:ascii="仿宋_GB2312" w:hAnsi="仿宋_GB2312" w:eastAsia="仿宋_GB2312" w:cs="仿宋_GB2312"/>
          <w:color w:val="auto"/>
          <w:kern w:val="2"/>
          <w:sz w:val="28"/>
          <w:szCs w:val="28"/>
          <w:highlight w:val="none"/>
          <w:lang w:val="en-US" w:eastAsia="zh-CN" w:bidi="ar-SA"/>
        </w:rPr>
        <w:br w:type="page"/>
      </w:r>
    </w:p>
    <w:p w14:paraId="447CA943">
      <w:pPr>
        <w:keepLines w:val="0"/>
        <w:pageBreakBefore w:val="0"/>
        <w:numPr>
          <w:ilvl w:val="0"/>
          <w:numId w:val="0"/>
        </w:numPr>
        <w:kinsoku/>
        <w:wordWrap/>
        <w:overflowPunct/>
        <w:topLinePunct w:val="0"/>
        <w:bidi w:val="0"/>
        <w:spacing w:line="560" w:lineRule="exact"/>
        <w:jc w:val="center"/>
        <w:rPr>
          <w:rFonts w:ascii="仿宋_GB2312" w:hAnsi="仿宋_GB2312" w:eastAsia="仿宋_GB2312" w:cs="仿宋_GB2312"/>
          <w:b/>
          <w:bCs/>
          <w:color w:val="auto"/>
          <w:sz w:val="36"/>
          <w:szCs w:val="36"/>
          <w:highlight w:val="none"/>
        </w:rPr>
      </w:pPr>
      <w:r>
        <w:rPr>
          <w:rFonts w:ascii="仿宋_GB2312" w:hAnsi="仿宋_GB2312" w:eastAsia="仿宋_GB2312" w:cs="仿宋_GB2312"/>
          <w:b/>
          <w:bCs/>
          <w:color w:val="auto"/>
          <w:kern w:val="2"/>
          <w:sz w:val="36"/>
          <w:szCs w:val="36"/>
          <w:highlight w:val="none"/>
          <w:lang w:val="en-US" w:eastAsia="zh-CN" w:bidi="ar-SA"/>
        </w:rPr>
        <w:t>第</w:t>
      </w:r>
      <w:r>
        <w:rPr>
          <w:rFonts w:hint="eastAsia" w:ascii="仿宋_GB2312" w:hAnsi="仿宋_GB2312" w:eastAsia="仿宋_GB2312" w:cs="仿宋_GB2312"/>
          <w:b/>
          <w:bCs/>
          <w:color w:val="auto"/>
          <w:kern w:val="2"/>
          <w:sz w:val="36"/>
          <w:szCs w:val="36"/>
          <w:highlight w:val="none"/>
          <w:lang w:val="en-US" w:eastAsia="zh-CN" w:bidi="ar-SA"/>
        </w:rPr>
        <w:t>三章 评标标准</w:t>
      </w:r>
    </w:p>
    <w:p w14:paraId="5FB52188">
      <w:pPr>
        <w:keepLines w:val="0"/>
        <w:pageBreakBefore w:val="0"/>
        <w:kinsoku/>
        <w:wordWrap/>
        <w:overflowPunct/>
        <w:topLinePunct w:val="0"/>
        <w:bidi w:val="0"/>
        <w:spacing w:line="560" w:lineRule="exact"/>
        <w:rPr>
          <w:rFonts w:hint="eastAsia" w:ascii="仿宋_GB2312" w:hAnsi="仿宋_GB2312" w:eastAsia="仿宋_GB2312" w:cs="仿宋_GB2312"/>
          <w:b/>
          <w:bCs/>
          <w:color w:val="auto"/>
          <w:kern w:val="0"/>
          <w:sz w:val="28"/>
          <w:szCs w:val="28"/>
          <w:highlight w:val="none"/>
        </w:rPr>
      </w:pPr>
    </w:p>
    <w:p w14:paraId="030ED7F4">
      <w:pPr>
        <w:keepLines w:val="0"/>
        <w:pageBreakBefore w:val="0"/>
        <w:kinsoku/>
        <w:wordWrap/>
        <w:overflowPunct/>
        <w:topLinePunct w:val="0"/>
        <w:bidi w:val="0"/>
        <w:spacing w:line="560" w:lineRule="exact"/>
        <w:ind w:firstLine="560" w:firstLineChars="200"/>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一、评标方法说明</w:t>
      </w:r>
    </w:p>
    <w:p w14:paraId="1B34C174">
      <w:pPr>
        <w:spacing w:line="360" w:lineRule="exact"/>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评标方法：综合评分法。按照招标文件中规定的各项因素进行量化打分，以评标总得分的平均分最高的投标人为中标候选供应商；采购人根据评标委员会评审结果确定中标候选供应商为中标人。</w:t>
      </w:r>
    </w:p>
    <w:p w14:paraId="36E517E8">
      <w:pPr>
        <w:spacing w:line="360" w:lineRule="exact"/>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综合评分法中的价格分统一采用低价优先法计算,即满足采购文件要求且投标价格最低的投标报价为评标基准价,其价格分为满分。其他投标人的价格分统一按照下列公式计算：投标报价得分=(评标基准价/投标报价)×权重。</w:t>
      </w:r>
    </w:p>
    <w:p w14:paraId="505E1F11">
      <w:pPr>
        <w:keepLines w:val="0"/>
        <w:pageBreakBefore w:val="0"/>
        <w:numPr>
          <w:ilvl w:val="0"/>
          <w:numId w:val="2"/>
        </w:numPr>
        <w:kinsoku/>
        <w:wordWrap/>
        <w:overflowPunct/>
        <w:topLinePunct w:val="0"/>
        <w:bidi w:val="0"/>
        <w:spacing w:line="560" w:lineRule="exact"/>
        <w:ind w:firstLine="560" w:firstLineChars="200"/>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评分标准</w:t>
      </w:r>
    </w:p>
    <w:tbl>
      <w:tblPr>
        <w:tblStyle w:val="1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935"/>
        <w:gridCol w:w="930"/>
        <w:gridCol w:w="5097"/>
      </w:tblGrid>
      <w:tr w14:paraId="6106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14:paraId="282E41FF">
            <w:pPr>
              <w:spacing w:line="360" w:lineRule="exact"/>
              <w:jc w:val="center"/>
              <w:rPr>
                <w:b/>
                <w:bCs/>
                <w:color w:val="auto"/>
                <w:sz w:val="22"/>
                <w:highlight w:val="none"/>
              </w:rPr>
            </w:pPr>
            <w:r>
              <w:rPr>
                <w:b/>
                <w:bCs/>
                <w:color w:val="auto"/>
                <w:sz w:val="22"/>
                <w:highlight w:val="none"/>
              </w:rPr>
              <w:t>评分项</w:t>
            </w:r>
          </w:p>
        </w:tc>
        <w:tc>
          <w:tcPr>
            <w:tcW w:w="5097" w:type="dxa"/>
            <w:tcBorders>
              <w:top w:val="single" w:color="auto" w:sz="4" w:space="0"/>
              <w:left w:val="single" w:color="auto" w:sz="4" w:space="0"/>
              <w:bottom w:val="single" w:color="auto" w:sz="4" w:space="0"/>
              <w:right w:val="single" w:color="auto" w:sz="4" w:space="0"/>
            </w:tcBorders>
            <w:vAlign w:val="center"/>
          </w:tcPr>
          <w:p w14:paraId="7BF5AF4F">
            <w:pPr>
              <w:spacing w:line="360" w:lineRule="exact"/>
              <w:jc w:val="center"/>
              <w:rPr>
                <w:b/>
                <w:bCs/>
                <w:color w:val="auto"/>
                <w:sz w:val="22"/>
                <w:highlight w:val="none"/>
              </w:rPr>
            </w:pPr>
            <w:r>
              <w:rPr>
                <w:b/>
                <w:bCs/>
                <w:color w:val="auto"/>
                <w:sz w:val="22"/>
                <w:highlight w:val="none"/>
              </w:rPr>
              <w:t>分值</w:t>
            </w:r>
          </w:p>
        </w:tc>
      </w:tr>
      <w:tr w14:paraId="06BC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14:paraId="0877E6E4">
            <w:pPr>
              <w:spacing w:line="360" w:lineRule="exact"/>
              <w:jc w:val="center"/>
              <w:rPr>
                <w:b/>
                <w:bCs/>
                <w:color w:val="auto"/>
                <w:sz w:val="22"/>
                <w:highlight w:val="none"/>
              </w:rPr>
            </w:pPr>
            <w:r>
              <w:rPr>
                <w:b/>
                <w:bCs/>
                <w:color w:val="auto"/>
                <w:sz w:val="22"/>
                <w:highlight w:val="none"/>
              </w:rPr>
              <w:t>价格</w:t>
            </w:r>
          </w:p>
        </w:tc>
        <w:tc>
          <w:tcPr>
            <w:tcW w:w="5097" w:type="dxa"/>
            <w:tcBorders>
              <w:top w:val="single" w:color="auto" w:sz="4" w:space="0"/>
              <w:left w:val="single" w:color="auto" w:sz="4" w:space="0"/>
              <w:bottom w:val="single" w:color="auto" w:sz="4" w:space="0"/>
              <w:right w:val="single" w:color="auto" w:sz="4" w:space="0"/>
            </w:tcBorders>
            <w:vAlign w:val="center"/>
          </w:tcPr>
          <w:p w14:paraId="1948F125">
            <w:pPr>
              <w:spacing w:line="360" w:lineRule="exact"/>
              <w:jc w:val="center"/>
              <w:rPr>
                <w:rFonts w:hint="default" w:eastAsia="宋体"/>
                <w:b/>
                <w:bCs/>
                <w:color w:val="auto"/>
                <w:sz w:val="22"/>
                <w:highlight w:val="none"/>
                <w:lang w:val="en-US" w:eastAsia="zh-CN"/>
              </w:rPr>
            </w:pPr>
            <w:r>
              <w:rPr>
                <w:rFonts w:hint="eastAsia"/>
                <w:b/>
                <w:bCs/>
                <w:color w:val="auto"/>
                <w:sz w:val="22"/>
                <w:highlight w:val="none"/>
                <w:lang w:val="en-US" w:eastAsia="zh-CN"/>
              </w:rPr>
              <w:t>10</w:t>
            </w:r>
          </w:p>
        </w:tc>
      </w:tr>
      <w:tr w14:paraId="6D55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14:paraId="517FF76C">
            <w:pPr>
              <w:spacing w:line="360" w:lineRule="exact"/>
              <w:jc w:val="center"/>
              <w:rPr>
                <w:b/>
                <w:bCs/>
                <w:color w:val="auto"/>
                <w:sz w:val="22"/>
                <w:highlight w:val="none"/>
              </w:rPr>
            </w:pPr>
            <w:r>
              <w:rPr>
                <w:b/>
                <w:bCs/>
                <w:color w:val="auto"/>
                <w:sz w:val="22"/>
                <w:highlight w:val="none"/>
              </w:rPr>
              <w:t>技术部分</w:t>
            </w:r>
          </w:p>
        </w:tc>
        <w:tc>
          <w:tcPr>
            <w:tcW w:w="5097" w:type="dxa"/>
            <w:tcBorders>
              <w:top w:val="single" w:color="auto" w:sz="4" w:space="0"/>
              <w:left w:val="single" w:color="auto" w:sz="4" w:space="0"/>
              <w:bottom w:val="single" w:color="auto" w:sz="4" w:space="0"/>
              <w:right w:val="single" w:color="auto" w:sz="4" w:space="0"/>
            </w:tcBorders>
            <w:vAlign w:val="center"/>
          </w:tcPr>
          <w:p w14:paraId="79B4F567">
            <w:pPr>
              <w:pStyle w:val="11"/>
              <w:spacing w:line="360" w:lineRule="exact"/>
              <w:jc w:val="center"/>
              <w:rPr>
                <w:rFonts w:hint="default" w:hAnsi="Times New Roman" w:eastAsia="宋体"/>
                <w:color w:val="auto"/>
                <w:sz w:val="22"/>
                <w:szCs w:val="22"/>
                <w:highlight w:val="none"/>
                <w:lang w:val="en-US" w:eastAsia="zh-CN"/>
              </w:rPr>
            </w:pPr>
            <w:r>
              <w:rPr>
                <w:rFonts w:hint="eastAsia" w:hAnsi="Times New Roman"/>
                <w:b/>
                <w:bCs/>
                <w:color w:val="auto"/>
                <w:sz w:val="22"/>
                <w:szCs w:val="22"/>
                <w:highlight w:val="none"/>
                <w:lang w:val="en-US" w:eastAsia="zh-CN"/>
              </w:rPr>
              <w:t>52</w:t>
            </w:r>
          </w:p>
        </w:tc>
      </w:tr>
      <w:tr w14:paraId="594B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C7DAF1"/>
            <w:vAlign w:val="center"/>
          </w:tcPr>
          <w:p w14:paraId="5F0DB707">
            <w:pPr>
              <w:spacing w:line="360" w:lineRule="exact"/>
              <w:jc w:val="center"/>
              <w:rPr>
                <w:color w:val="auto"/>
                <w:sz w:val="22"/>
                <w:highlight w:val="none"/>
              </w:rPr>
            </w:pPr>
            <w:r>
              <w:rPr>
                <w:color w:val="auto"/>
                <w:sz w:val="22"/>
                <w:highlight w:val="none"/>
              </w:rPr>
              <w:t>序号</w:t>
            </w:r>
          </w:p>
        </w:tc>
        <w:tc>
          <w:tcPr>
            <w:tcW w:w="1935" w:type="dxa"/>
            <w:tcBorders>
              <w:top w:val="single" w:color="auto" w:sz="4" w:space="0"/>
              <w:left w:val="single" w:color="auto" w:sz="4" w:space="0"/>
              <w:bottom w:val="single" w:color="auto" w:sz="4" w:space="0"/>
              <w:right w:val="single" w:color="auto" w:sz="4" w:space="0"/>
            </w:tcBorders>
            <w:shd w:val="clear" w:color="auto" w:fill="C7DAF1"/>
            <w:vAlign w:val="center"/>
          </w:tcPr>
          <w:p w14:paraId="6BCB2E1E">
            <w:pPr>
              <w:spacing w:line="360" w:lineRule="exact"/>
              <w:jc w:val="center"/>
              <w:rPr>
                <w:color w:val="auto"/>
                <w:sz w:val="22"/>
                <w:highlight w:val="none"/>
              </w:rPr>
            </w:pPr>
            <w:r>
              <w:rPr>
                <w:color w:val="auto"/>
                <w:sz w:val="22"/>
                <w:highlight w:val="none"/>
              </w:rPr>
              <w:t>评分因素</w:t>
            </w:r>
          </w:p>
        </w:tc>
        <w:tc>
          <w:tcPr>
            <w:tcW w:w="930" w:type="dxa"/>
            <w:tcBorders>
              <w:top w:val="single" w:color="auto" w:sz="4" w:space="0"/>
              <w:left w:val="single" w:color="auto" w:sz="4" w:space="0"/>
              <w:bottom w:val="single" w:color="auto" w:sz="4" w:space="0"/>
              <w:right w:val="single" w:color="auto" w:sz="4" w:space="0"/>
            </w:tcBorders>
            <w:shd w:val="clear" w:color="auto" w:fill="C7DAF1"/>
            <w:vAlign w:val="center"/>
          </w:tcPr>
          <w:p w14:paraId="4078B4E8">
            <w:pPr>
              <w:spacing w:line="360" w:lineRule="exact"/>
              <w:jc w:val="center"/>
              <w:rPr>
                <w:color w:val="auto"/>
                <w:sz w:val="22"/>
                <w:highlight w:val="none"/>
              </w:rPr>
            </w:pPr>
            <w:r>
              <w:rPr>
                <w:color w:val="auto"/>
                <w:sz w:val="22"/>
                <w:highlight w:val="none"/>
              </w:rPr>
              <w:t>分值</w:t>
            </w:r>
          </w:p>
        </w:tc>
        <w:tc>
          <w:tcPr>
            <w:tcW w:w="5097" w:type="dxa"/>
            <w:tcBorders>
              <w:top w:val="single" w:color="auto" w:sz="4" w:space="0"/>
              <w:left w:val="single" w:color="auto" w:sz="4" w:space="0"/>
              <w:bottom w:val="single" w:color="auto" w:sz="4" w:space="0"/>
              <w:right w:val="single" w:color="auto" w:sz="4" w:space="0"/>
            </w:tcBorders>
            <w:shd w:val="clear" w:color="auto" w:fill="C7DAF1"/>
            <w:vAlign w:val="center"/>
          </w:tcPr>
          <w:p w14:paraId="1DEFF6A0">
            <w:pPr>
              <w:spacing w:line="360" w:lineRule="exact"/>
              <w:jc w:val="center"/>
              <w:rPr>
                <w:color w:val="auto"/>
                <w:sz w:val="22"/>
                <w:highlight w:val="none"/>
              </w:rPr>
            </w:pPr>
            <w:r>
              <w:rPr>
                <w:color w:val="auto"/>
                <w:sz w:val="22"/>
                <w:highlight w:val="none"/>
              </w:rPr>
              <w:t>评分准则</w:t>
            </w:r>
          </w:p>
        </w:tc>
      </w:tr>
      <w:tr w14:paraId="72CF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2FD5E58">
            <w:pPr>
              <w:jc w:val="center"/>
              <w:rPr>
                <w:color w:val="auto"/>
                <w:sz w:val="22"/>
                <w:highlight w:val="none"/>
              </w:rPr>
            </w:pPr>
            <w:r>
              <w:rPr>
                <w:rFonts w:hint="eastAsia"/>
                <w:szCs w:val="21"/>
              </w:rPr>
              <w:t>1</w:t>
            </w:r>
          </w:p>
        </w:tc>
        <w:tc>
          <w:tcPr>
            <w:tcW w:w="1935" w:type="dxa"/>
            <w:tcBorders>
              <w:top w:val="single" w:color="auto" w:sz="4" w:space="0"/>
              <w:left w:val="single" w:color="auto" w:sz="4" w:space="0"/>
              <w:bottom w:val="single" w:color="auto" w:sz="4" w:space="0"/>
              <w:right w:val="single" w:color="auto" w:sz="4" w:space="0"/>
            </w:tcBorders>
            <w:vAlign w:val="center"/>
          </w:tcPr>
          <w:p w14:paraId="24594EA5">
            <w:pPr>
              <w:jc w:val="center"/>
              <w:rPr>
                <w:color w:val="auto"/>
                <w:sz w:val="22"/>
                <w:highlight w:val="none"/>
              </w:rPr>
            </w:pPr>
            <w:r>
              <w:rPr>
                <w:rFonts w:hint="eastAsia" w:ascii="宋体" w:hAnsi="宋体"/>
                <w:szCs w:val="21"/>
              </w:rPr>
              <w:t>项目团队配置及专业能力</w:t>
            </w:r>
          </w:p>
        </w:tc>
        <w:tc>
          <w:tcPr>
            <w:tcW w:w="930" w:type="dxa"/>
            <w:tcBorders>
              <w:top w:val="single" w:color="auto" w:sz="4" w:space="0"/>
              <w:left w:val="single" w:color="auto" w:sz="4" w:space="0"/>
              <w:bottom w:val="single" w:color="auto" w:sz="4" w:space="0"/>
              <w:right w:val="single" w:color="auto" w:sz="4" w:space="0"/>
            </w:tcBorders>
            <w:vAlign w:val="center"/>
          </w:tcPr>
          <w:p w14:paraId="2F7087F8">
            <w:pPr>
              <w:jc w:val="center"/>
              <w:rPr>
                <w:rFonts w:hint="default" w:eastAsia="宋体"/>
                <w:color w:val="auto"/>
                <w:sz w:val="22"/>
                <w:highlight w:val="none"/>
                <w:lang w:val="en-US" w:eastAsia="zh-CN"/>
              </w:rPr>
            </w:pPr>
            <w:r>
              <w:rPr>
                <w:rFonts w:hint="eastAsia" w:ascii="宋体" w:hAnsi="宋体"/>
                <w:szCs w:val="21"/>
                <w:lang w:val="en-US" w:eastAsia="zh-CN"/>
              </w:rPr>
              <w:t>15</w:t>
            </w:r>
          </w:p>
        </w:tc>
        <w:tc>
          <w:tcPr>
            <w:tcW w:w="5097" w:type="dxa"/>
            <w:tcBorders>
              <w:top w:val="single" w:color="auto" w:sz="4" w:space="0"/>
              <w:left w:val="single" w:color="auto" w:sz="4" w:space="0"/>
              <w:bottom w:val="single" w:color="auto" w:sz="4" w:space="0"/>
              <w:right w:val="single" w:color="auto" w:sz="4" w:space="0"/>
            </w:tcBorders>
            <w:vAlign w:val="top"/>
          </w:tcPr>
          <w:p w14:paraId="1E83594B">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02E1C8CE">
            <w:pPr>
              <w:rPr>
                <w:rFonts w:hint="eastAsia" w:ascii="宋体" w:hAnsi="宋体" w:cs="宋体"/>
                <w:szCs w:val="21"/>
                <w:lang w:val="en-US" w:eastAsia="zh-CN"/>
              </w:rPr>
            </w:pPr>
            <w:r>
              <w:rPr>
                <w:rFonts w:hint="eastAsia" w:ascii="宋体" w:hAnsi="宋体" w:cs="宋体"/>
                <w:szCs w:val="21"/>
                <w:lang w:val="en-US" w:eastAsia="zh-CN"/>
              </w:rPr>
              <w:t>1.拟安排的项目负责人（仅限1人）：</w:t>
            </w:r>
          </w:p>
          <w:p w14:paraId="46A7F444">
            <w:pPr>
              <w:rPr>
                <w:rFonts w:hint="eastAsia" w:ascii="宋体" w:hAnsi="宋体" w:cs="宋体"/>
                <w:szCs w:val="21"/>
                <w:lang w:val="en-US" w:eastAsia="zh-CN"/>
              </w:rPr>
            </w:pPr>
            <w:r>
              <w:rPr>
                <w:rFonts w:hint="eastAsia" w:ascii="宋体" w:hAnsi="宋体" w:cs="宋体"/>
                <w:szCs w:val="21"/>
                <w:lang w:val="en-US" w:eastAsia="zh-CN"/>
              </w:rPr>
              <w:t>需为投标人正式聘任员工，否则本项不得分。在此基础上，</w:t>
            </w:r>
            <w:r>
              <w:rPr>
                <w:rFonts w:hint="eastAsia" w:ascii="宋体" w:hAnsi="宋体" w:cs="宋体"/>
                <w:szCs w:val="21"/>
              </w:rPr>
              <w:t>具备建筑工程类或建筑结构专业高级及以上职称得5分；具备建筑工程类或建筑结构专业中级职称得3分；具备建筑工程类或建筑结构专业初级职称得</w:t>
            </w:r>
            <w:r>
              <w:rPr>
                <w:rFonts w:hint="eastAsia" w:ascii="宋体" w:hAnsi="宋体" w:cs="宋体"/>
                <w:szCs w:val="21"/>
                <w:lang w:val="en-US" w:eastAsia="zh-CN"/>
              </w:rPr>
              <w:t>2</w:t>
            </w:r>
            <w:r>
              <w:rPr>
                <w:rFonts w:hint="eastAsia" w:ascii="宋体" w:hAnsi="宋体" w:cs="宋体"/>
                <w:szCs w:val="21"/>
              </w:rPr>
              <w:t>分；无相关职称或专业不符</w:t>
            </w:r>
            <w:r>
              <w:rPr>
                <w:rFonts w:hint="eastAsia" w:ascii="宋体" w:hAnsi="宋体" w:cs="宋体"/>
                <w:szCs w:val="21"/>
                <w:lang w:val="en-US" w:eastAsia="zh-CN"/>
              </w:rPr>
              <w:t>本小项</w:t>
            </w:r>
            <w:r>
              <w:rPr>
                <w:rFonts w:hint="eastAsia" w:ascii="宋体" w:hAnsi="宋体" w:cs="宋体"/>
                <w:szCs w:val="21"/>
              </w:rPr>
              <w:t>不得分。</w:t>
            </w:r>
          </w:p>
          <w:p w14:paraId="683CE24D">
            <w:pPr>
              <w:rPr>
                <w:rFonts w:hint="eastAsia" w:ascii="宋体" w:hAnsi="宋体" w:cs="宋体"/>
                <w:szCs w:val="21"/>
                <w:lang w:eastAsia="zh-CN"/>
              </w:rPr>
            </w:pPr>
            <w:r>
              <w:rPr>
                <w:rFonts w:hint="eastAsia" w:ascii="宋体" w:hAnsi="宋体" w:cs="宋体"/>
                <w:szCs w:val="21"/>
                <w:lang w:val="en-US" w:eastAsia="zh-CN"/>
              </w:rPr>
              <w:t>2.</w:t>
            </w:r>
            <w:r>
              <w:rPr>
                <w:rFonts w:hint="eastAsia" w:ascii="宋体" w:hAnsi="宋体" w:cs="宋体"/>
                <w:szCs w:val="21"/>
              </w:rPr>
              <w:t>核心技术人员：除项目负责人外，投标人拟投入的核心技术</w:t>
            </w:r>
            <w:r>
              <w:rPr>
                <w:rFonts w:hint="eastAsia" w:ascii="宋体" w:hAnsi="宋体" w:cs="宋体"/>
                <w:szCs w:val="21"/>
                <w:lang w:val="en-US" w:eastAsia="zh-CN"/>
              </w:rPr>
              <w:t>人员</w:t>
            </w:r>
            <w:r>
              <w:rPr>
                <w:rFonts w:hint="eastAsia" w:ascii="宋体" w:hAnsi="宋体" w:cs="宋体"/>
                <w:szCs w:val="21"/>
              </w:rPr>
              <w:t>满足以下条件的，每人得</w:t>
            </w:r>
            <w:r>
              <w:rPr>
                <w:rFonts w:hint="eastAsia" w:ascii="宋体" w:hAnsi="宋体" w:cs="宋体"/>
                <w:szCs w:val="21"/>
                <w:lang w:val="en-US" w:eastAsia="zh-CN"/>
              </w:rPr>
              <w:t>2</w:t>
            </w:r>
            <w:r>
              <w:rPr>
                <w:rFonts w:hint="eastAsia" w:ascii="宋体" w:hAnsi="宋体" w:cs="宋体"/>
                <w:szCs w:val="21"/>
              </w:rPr>
              <w:t>分，本</w:t>
            </w:r>
            <w:r>
              <w:rPr>
                <w:rFonts w:hint="eastAsia" w:ascii="宋体" w:hAnsi="宋体" w:cs="宋体"/>
                <w:szCs w:val="21"/>
                <w:lang w:val="en-US" w:eastAsia="zh-CN"/>
              </w:rPr>
              <w:t>小</w:t>
            </w:r>
            <w:r>
              <w:rPr>
                <w:rFonts w:hint="eastAsia" w:ascii="宋体" w:hAnsi="宋体" w:cs="宋体"/>
                <w:szCs w:val="21"/>
              </w:rPr>
              <w:t>项最高得</w:t>
            </w:r>
            <w:r>
              <w:rPr>
                <w:rFonts w:hint="eastAsia" w:ascii="宋体" w:hAnsi="宋体" w:cs="宋体"/>
                <w:szCs w:val="21"/>
                <w:lang w:val="en-US" w:eastAsia="zh-CN"/>
              </w:rPr>
              <w:t>10</w:t>
            </w:r>
            <w:r>
              <w:rPr>
                <w:rFonts w:hint="eastAsia" w:ascii="宋体" w:hAnsi="宋体" w:cs="宋体"/>
                <w:szCs w:val="21"/>
              </w:rPr>
              <w:t>分（同一人不重复计分）</w:t>
            </w:r>
            <w:r>
              <w:rPr>
                <w:rFonts w:hint="eastAsia" w:ascii="宋体" w:hAnsi="宋体" w:cs="宋体"/>
                <w:szCs w:val="21"/>
                <w:lang w:eastAsia="zh-CN"/>
              </w:rPr>
              <w:t>：</w:t>
            </w:r>
          </w:p>
          <w:p w14:paraId="75D3B35C">
            <w:pPr>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具有建筑工程类中级及以上技术职称</w:t>
            </w:r>
            <w:r>
              <w:rPr>
                <w:rFonts w:hint="eastAsia" w:ascii="宋体" w:hAnsi="宋体" w:cs="宋体"/>
                <w:szCs w:val="21"/>
                <w:lang w:eastAsia="zh-CN"/>
              </w:rPr>
              <w:t>；</w:t>
            </w:r>
          </w:p>
          <w:p w14:paraId="22A7D574">
            <w:p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具有建筑结构、岩土工程或相关专业本科及以上学历</w:t>
            </w:r>
            <w:r>
              <w:rPr>
                <w:rFonts w:hint="eastAsia" w:ascii="宋体" w:hAnsi="宋体" w:cs="宋体"/>
                <w:szCs w:val="21"/>
                <w:lang w:val="en-US" w:eastAsia="zh-CN"/>
              </w:rPr>
              <w:t>且</w:t>
            </w:r>
            <w:r>
              <w:rPr>
                <w:rFonts w:hint="eastAsia" w:ascii="宋体" w:hAnsi="宋体" w:cs="宋体"/>
                <w:szCs w:val="21"/>
              </w:rPr>
              <w:t>从事结构设计或岩土工程相关工作年限累计满2年及以上</w:t>
            </w:r>
            <w:r>
              <w:rPr>
                <w:rFonts w:hint="eastAsia" w:ascii="宋体" w:hAnsi="宋体" w:cs="宋体"/>
                <w:szCs w:val="21"/>
                <w:lang w:val="en-US" w:eastAsia="zh-CN"/>
              </w:rPr>
              <w:t>的</w:t>
            </w:r>
            <w:r>
              <w:rPr>
                <w:rFonts w:hint="eastAsia" w:ascii="宋体" w:hAnsi="宋体" w:cs="宋体"/>
                <w:szCs w:val="21"/>
              </w:rPr>
              <w:t>。</w:t>
            </w:r>
          </w:p>
          <w:p w14:paraId="4A11995E">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0E746949">
            <w:pPr>
              <w:rPr>
                <w:rFonts w:ascii="宋体" w:hAnsi="宋体" w:cs="宋体"/>
                <w:kern w:val="0"/>
                <w:szCs w:val="21"/>
              </w:rPr>
            </w:pPr>
            <w:r>
              <w:rPr>
                <w:rFonts w:hint="eastAsia" w:ascii="宋体" w:hAnsi="宋体" w:eastAsia="宋体" w:cs="宋体"/>
                <w:b w:val="0"/>
                <w:color w:val="auto"/>
                <w:sz w:val="21"/>
                <w:szCs w:val="21"/>
                <w:highlight w:val="none"/>
                <w:lang w:val="en-US" w:eastAsia="zh-CN"/>
              </w:rPr>
              <w:t>1.</w:t>
            </w:r>
            <w:r>
              <w:rPr>
                <w:rFonts w:hint="eastAsia" w:ascii="宋体" w:hAnsi="宋体" w:cs="宋体"/>
                <w:szCs w:val="21"/>
              </w:rPr>
              <w:t>提供</w:t>
            </w:r>
            <w:r>
              <w:rPr>
                <w:rFonts w:ascii="宋体" w:hAnsi="宋体" w:cs="宋体"/>
                <w:bCs/>
                <w:color w:val="000000"/>
                <w:szCs w:val="21"/>
              </w:rPr>
              <w:t>项目</w:t>
            </w:r>
            <w:r>
              <w:rPr>
                <w:rFonts w:hint="eastAsia" w:ascii="宋体" w:hAnsi="宋体"/>
                <w:szCs w:val="21"/>
              </w:rPr>
              <w:t>负责人</w:t>
            </w:r>
            <w:r>
              <w:rPr>
                <w:rFonts w:hint="eastAsia" w:ascii="宋体" w:hAnsi="宋体" w:cs="宋体"/>
                <w:szCs w:val="21"/>
              </w:rPr>
              <w:t>通过投标人单位缴纳的</w:t>
            </w:r>
            <w:r>
              <w:rPr>
                <w:rFonts w:ascii="宋体" w:hAnsi="宋体" w:cs="宋体"/>
                <w:bCs/>
                <w:color w:val="000000"/>
                <w:szCs w:val="21"/>
              </w:rPr>
              <w:t>载有</w:t>
            </w:r>
            <w:r>
              <w:rPr>
                <w:rFonts w:hint="eastAsia" w:ascii="宋体" w:hAnsi="宋体" w:cs="宋体"/>
                <w:bCs/>
                <w:color w:val="000000"/>
                <w:szCs w:val="21"/>
              </w:rPr>
              <w:t>政府部门</w:t>
            </w:r>
            <w:r>
              <w:rPr>
                <w:rFonts w:ascii="宋体" w:hAnsi="宋体" w:cs="宋体"/>
                <w:bCs/>
                <w:color w:val="000000"/>
                <w:szCs w:val="21"/>
              </w:rPr>
              <w:t>印章的</w:t>
            </w:r>
            <w:r>
              <w:rPr>
                <w:rFonts w:hint="eastAsia" w:ascii="宋体" w:hAnsi="宋体" w:cs="宋体"/>
                <w:szCs w:val="21"/>
              </w:rPr>
              <w:t>近三个月任意一个月的社保证明作为本单位员工的证明依据。若投标人成立不足三个月的，</w:t>
            </w:r>
            <w:r>
              <w:rPr>
                <w:rFonts w:ascii="宋体" w:hAnsi="宋体" w:cs="宋体"/>
                <w:bCs/>
                <w:color w:val="000000"/>
                <w:szCs w:val="21"/>
              </w:rPr>
              <w:t>可提供加盖公章的情况说明或者证明材料亦视为符合。</w:t>
            </w:r>
            <w:r>
              <w:rPr>
                <w:szCs w:val="21"/>
              </w:rPr>
              <w:t>若为退休返聘人员，需提供</w:t>
            </w:r>
            <w:r>
              <w:rPr>
                <w:rFonts w:ascii="宋体" w:hAnsi="宋体" w:cs="宋体"/>
                <w:bCs/>
                <w:color w:val="000000"/>
                <w:szCs w:val="21"/>
              </w:rPr>
              <w:t>加盖公章的</w:t>
            </w:r>
            <w:r>
              <w:rPr>
                <w:szCs w:val="21"/>
              </w:rPr>
              <w:t>说明函（格式自拟），无需提供相关人员社保，亦可得分</w:t>
            </w:r>
            <w:r>
              <w:rPr>
                <w:rFonts w:hint="eastAsia"/>
                <w:szCs w:val="21"/>
              </w:rPr>
              <w:t>；</w:t>
            </w:r>
            <w:r>
              <w:rPr>
                <w:rFonts w:ascii="宋体" w:hAnsi="宋体" w:cs="宋体"/>
                <w:kern w:val="0"/>
                <w:szCs w:val="21"/>
              </w:rPr>
              <w:t xml:space="preserve"> </w:t>
            </w:r>
          </w:p>
          <w:p w14:paraId="74FAB254">
            <w:p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提供投标人为对应核心技术人员缴纳的投标截止时间前三个月内任意一个月的社会保险证明（如为退休返聘人员，须提供有效劳动合同及退休证明，无需提供社保证明）；提供对应核心技术人员有效的职称证书扫描件或学历证书扫描件；提供对应核心技术人员从事结构/岩土相关工作满</w:t>
            </w:r>
            <w:r>
              <w:rPr>
                <w:rFonts w:hint="eastAsia" w:ascii="宋体" w:hAnsi="宋体" w:cs="宋体"/>
                <w:szCs w:val="21"/>
                <w:lang w:val="en-US" w:eastAsia="zh-CN"/>
              </w:rPr>
              <w:t>2</w:t>
            </w:r>
            <w:r>
              <w:rPr>
                <w:rFonts w:hint="eastAsia" w:ascii="宋体" w:hAnsi="宋体" w:cs="宋体"/>
                <w:szCs w:val="21"/>
              </w:rPr>
              <w:t>年的工作经历证明材料（如劳动合同、用人单位出具的工作证明或社保缴纳记录等可佐证工作年限的材料）。上述证明材料须清晰可辨，能有效反映人员姓名、职称等级、专业类别、学历层次及工作年限等关键信息，未提供或提供不全者对应人员不得分。</w:t>
            </w:r>
          </w:p>
          <w:p w14:paraId="5E1069EB">
            <w:pP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3.提供职称证书复印件。</w:t>
            </w:r>
          </w:p>
          <w:p w14:paraId="748FDBBF">
            <w:pPr>
              <w:numPr>
                <w:ilvl w:val="0"/>
                <w:numId w:val="0"/>
              </w:numPr>
              <w:spacing w:line="240" w:lineRule="auto"/>
              <w:rPr>
                <w:rFonts w:ascii="Times New Roman" w:hAnsi="Times New Roman"/>
                <w:color w:val="auto"/>
                <w:sz w:val="22"/>
                <w:szCs w:val="22"/>
                <w:highlight w:val="none"/>
              </w:rPr>
            </w:pPr>
            <w:r>
              <w:rPr>
                <w:rFonts w:hint="eastAsia" w:ascii="宋体" w:hAnsi="宋体" w:eastAsia="宋体" w:cs="宋体"/>
                <w:b w:val="0"/>
                <w:color w:val="auto"/>
                <w:sz w:val="21"/>
                <w:szCs w:val="21"/>
                <w:highlight w:val="none"/>
                <w:lang w:val="en-US" w:eastAsia="zh-CN"/>
              </w:rPr>
              <w:t>备注：证明材料均提供复印件并加盖投标人公章，原件备查。未按要求提供或提供不清晰导致专家无法判断的不得分。</w:t>
            </w:r>
          </w:p>
        </w:tc>
      </w:tr>
      <w:tr w14:paraId="7691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1CF28354">
            <w:pPr>
              <w:spacing w:line="360" w:lineRule="exact"/>
              <w:jc w:val="center"/>
              <w:rPr>
                <w:color w:val="auto"/>
                <w:sz w:val="22"/>
                <w:highlight w:val="none"/>
              </w:rPr>
            </w:pPr>
            <w:r>
              <w:rPr>
                <w:color w:val="auto"/>
                <w:sz w:val="22"/>
                <w:highlight w:val="none"/>
              </w:rPr>
              <w:t>2</w:t>
            </w:r>
          </w:p>
        </w:tc>
        <w:tc>
          <w:tcPr>
            <w:tcW w:w="1935" w:type="dxa"/>
            <w:tcBorders>
              <w:top w:val="single" w:color="auto" w:sz="4" w:space="0"/>
              <w:left w:val="single" w:color="auto" w:sz="4" w:space="0"/>
              <w:bottom w:val="single" w:color="auto" w:sz="4" w:space="0"/>
              <w:right w:val="single" w:color="auto" w:sz="4" w:space="0"/>
            </w:tcBorders>
            <w:vAlign w:val="center"/>
          </w:tcPr>
          <w:p w14:paraId="43AC3A2C">
            <w:pPr>
              <w:jc w:val="center"/>
              <w:rPr>
                <w:rFonts w:hint="eastAsia" w:ascii="宋体" w:hAnsi="宋体" w:cs="宋体"/>
                <w:szCs w:val="21"/>
                <w:lang w:val="en-US" w:eastAsia="zh-CN"/>
              </w:rPr>
            </w:pPr>
            <w:r>
              <w:rPr>
                <w:rFonts w:hint="eastAsia" w:ascii="宋体" w:hAnsi="宋体" w:cs="宋体"/>
                <w:szCs w:val="21"/>
                <w:lang w:val="en-US" w:eastAsia="zh-CN"/>
              </w:rPr>
              <w:t>整体服务实施方案</w:t>
            </w:r>
          </w:p>
        </w:tc>
        <w:tc>
          <w:tcPr>
            <w:tcW w:w="930" w:type="dxa"/>
            <w:tcBorders>
              <w:top w:val="single" w:color="auto" w:sz="4" w:space="0"/>
              <w:left w:val="single" w:color="auto" w:sz="4" w:space="0"/>
              <w:bottom w:val="single" w:color="auto" w:sz="4" w:space="0"/>
              <w:right w:val="single" w:color="auto" w:sz="4" w:space="0"/>
            </w:tcBorders>
            <w:vAlign w:val="center"/>
          </w:tcPr>
          <w:p w14:paraId="428183A5">
            <w:pPr>
              <w:jc w:val="center"/>
              <w:rPr>
                <w:rFonts w:hint="default" w:ascii="宋体" w:hAnsi="宋体" w:cs="宋体"/>
                <w:szCs w:val="21"/>
                <w:lang w:val="en-US" w:eastAsia="zh-CN"/>
              </w:rPr>
            </w:pPr>
            <w:r>
              <w:rPr>
                <w:rFonts w:hint="eastAsia" w:ascii="宋体" w:hAnsi="宋体" w:cs="宋体"/>
                <w:color w:val="auto"/>
                <w:szCs w:val="21"/>
                <w:lang w:val="en-US" w:eastAsia="zh-CN"/>
              </w:rPr>
              <w:t>13</w:t>
            </w:r>
          </w:p>
        </w:tc>
        <w:tc>
          <w:tcPr>
            <w:tcW w:w="5097" w:type="dxa"/>
            <w:tcBorders>
              <w:top w:val="single" w:color="auto" w:sz="4" w:space="0"/>
              <w:left w:val="single" w:color="auto" w:sz="4" w:space="0"/>
              <w:bottom w:val="single" w:color="auto" w:sz="4" w:space="0"/>
              <w:right w:val="single" w:color="auto" w:sz="4" w:space="0"/>
            </w:tcBorders>
            <w:vAlign w:val="center"/>
          </w:tcPr>
          <w:p w14:paraId="38569A27">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6B1066F2">
            <w:pPr>
              <w:spacing w:line="240" w:lineRule="auto"/>
              <w:rPr>
                <w:rFonts w:hint="eastAsia"/>
                <w:szCs w:val="21"/>
              </w:rPr>
            </w:pPr>
            <w:r>
              <w:rPr>
                <w:rFonts w:hint="eastAsia"/>
                <w:szCs w:val="21"/>
              </w:rPr>
              <w:t>根据招标文件的需求，制定贴切本项目的整体服务实施方案，方案内容包括但不限于：</w:t>
            </w:r>
          </w:p>
          <w:p w14:paraId="2C5DB385">
            <w:pPr>
              <w:spacing w:line="240" w:lineRule="auto"/>
              <w:rPr>
                <w:rFonts w:hint="eastAsia"/>
                <w:szCs w:val="21"/>
                <w:lang w:eastAsia="zh-CN"/>
              </w:rPr>
            </w:pPr>
            <w:r>
              <w:rPr>
                <w:rFonts w:hint="eastAsia"/>
                <w:szCs w:val="21"/>
              </w:rPr>
              <w:t>①项目实施组织方案</w:t>
            </w:r>
            <w:r>
              <w:rPr>
                <w:rFonts w:hint="eastAsia"/>
                <w:szCs w:val="21"/>
                <w:lang w:eastAsia="zh-CN"/>
              </w:rPr>
              <w:t>；</w:t>
            </w:r>
          </w:p>
          <w:p w14:paraId="36239FB1">
            <w:pPr>
              <w:spacing w:line="240" w:lineRule="auto"/>
              <w:rPr>
                <w:rFonts w:hint="eastAsia"/>
                <w:szCs w:val="21"/>
                <w:lang w:eastAsia="zh-CN"/>
              </w:rPr>
            </w:pPr>
            <w:r>
              <w:rPr>
                <w:rFonts w:hint="eastAsia"/>
                <w:szCs w:val="21"/>
              </w:rPr>
              <w:t>②工作流程</w:t>
            </w:r>
            <w:r>
              <w:rPr>
                <w:rFonts w:hint="eastAsia"/>
                <w:szCs w:val="21"/>
                <w:lang w:eastAsia="zh-CN"/>
              </w:rPr>
              <w:t>；</w:t>
            </w:r>
          </w:p>
          <w:p w14:paraId="6E9F4D98">
            <w:pPr>
              <w:spacing w:line="240" w:lineRule="auto"/>
              <w:rPr>
                <w:rFonts w:hint="eastAsia"/>
                <w:szCs w:val="21"/>
                <w:lang w:eastAsia="zh-CN"/>
              </w:rPr>
            </w:pPr>
            <w:r>
              <w:rPr>
                <w:rFonts w:hint="eastAsia"/>
                <w:szCs w:val="21"/>
              </w:rPr>
              <w:t>③沟通协调处理机制</w:t>
            </w:r>
            <w:r>
              <w:rPr>
                <w:rFonts w:hint="eastAsia"/>
                <w:szCs w:val="21"/>
                <w:lang w:eastAsia="zh-CN"/>
              </w:rPr>
              <w:t>；</w:t>
            </w:r>
          </w:p>
          <w:p w14:paraId="29D4E34A">
            <w:pPr>
              <w:spacing w:line="240" w:lineRule="auto"/>
              <w:rPr>
                <w:rFonts w:hint="eastAsia"/>
                <w:szCs w:val="21"/>
                <w:lang w:eastAsia="zh-CN"/>
              </w:rPr>
            </w:pPr>
            <w:r>
              <w:rPr>
                <w:rFonts w:hint="eastAsia"/>
                <w:szCs w:val="21"/>
              </w:rPr>
              <w:t>④检测的规范标准</w:t>
            </w:r>
            <w:r>
              <w:rPr>
                <w:rFonts w:hint="eastAsia"/>
                <w:szCs w:val="21"/>
                <w:lang w:eastAsia="zh-CN"/>
              </w:rPr>
              <w:t>；</w:t>
            </w:r>
          </w:p>
          <w:p w14:paraId="20A379CE">
            <w:pPr>
              <w:spacing w:line="240" w:lineRule="auto"/>
              <w:rPr>
                <w:rFonts w:hint="eastAsia"/>
                <w:szCs w:val="21"/>
                <w:lang w:val="en-US" w:eastAsia="zh-CN"/>
              </w:rPr>
            </w:pPr>
            <w:r>
              <w:rPr>
                <w:rFonts w:hint="eastAsia"/>
                <w:szCs w:val="21"/>
              </w:rPr>
              <w:t>⑤内容、方法</w:t>
            </w:r>
            <w:r>
              <w:rPr>
                <w:rFonts w:hint="eastAsia"/>
                <w:szCs w:val="21"/>
                <w:lang w:eastAsia="zh-CN"/>
              </w:rPr>
              <w:t>。</w:t>
            </w:r>
          </w:p>
          <w:p w14:paraId="4D695A14">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7AF82031">
            <w:pPr>
              <w:spacing w:line="240" w:lineRule="auto"/>
              <w:rPr>
                <w:rFonts w:hint="eastAsia"/>
                <w:szCs w:val="21"/>
              </w:rPr>
            </w:pPr>
            <w:r>
              <w:rPr>
                <w:rFonts w:hint="eastAsia"/>
                <w:szCs w:val="21"/>
                <w:lang w:val="en-US" w:eastAsia="zh-CN"/>
              </w:rPr>
              <w:t>1.</w:t>
            </w:r>
            <w:r>
              <w:rPr>
                <w:rFonts w:hint="eastAsia"/>
                <w:szCs w:val="21"/>
              </w:rPr>
              <w:t>以上内容每提供一项得</w:t>
            </w:r>
            <w:r>
              <w:rPr>
                <w:rFonts w:hint="eastAsia"/>
                <w:szCs w:val="21"/>
                <w:lang w:val="en-US" w:eastAsia="zh-CN"/>
              </w:rPr>
              <w:t>1.5</w:t>
            </w:r>
            <w:r>
              <w:rPr>
                <w:rFonts w:hint="eastAsia"/>
                <w:szCs w:val="21"/>
              </w:rPr>
              <w:t>分，</w:t>
            </w:r>
            <w:r>
              <w:rPr>
                <w:rFonts w:hint="eastAsia"/>
                <w:szCs w:val="21"/>
                <w:lang w:val="en-US" w:eastAsia="zh-CN"/>
              </w:rPr>
              <w:t>全部满足最高</w:t>
            </w:r>
            <w:r>
              <w:rPr>
                <w:rFonts w:hint="eastAsia"/>
                <w:szCs w:val="21"/>
              </w:rPr>
              <w:t>得</w:t>
            </w:r>
            <w:r>
              <w:rPr>
                <w:rFonts w:hint="eastAsia"/>
                <w:szCs w:val="21"/>
                <w:lang w:val="en-US" w:eastAsia="zh-CN"/>
              </w:rPr>
              <w:t>7</w:t>
            </w:r>
            <w:r>
              <w:rPr>
                <w:rFonts w:hint="eastAsia"/>
                <w:szCs w:val="21"/>
              </w:rPr>
              <w:t>分，其它情况不得分。</w:t>
            </w:r>
          </w:p>
          <w:p w14:paraId="2A2332F9">
            <w:pPr>
              <w:spacing w:line="240" w:lineRule="auto"/>
              <w:rPr>
                <w:rFonts w:hint="eastAsia"/>
                <w:szCs w:val="21"/>
              </w:rPr>
            </w:pPr>
            <w:r>
              <w:rPr>
                <w:rFonts w:hint="eastAsia"/>
                <w:szCs w:val="21"/>
                <w:lang w:val="en-US" w:eastAsia="zh-CN"/>
              </w:rPr>
              <w:t>2.</w:t>
            </w:r>
            <w:r>
              <w:rPr>
                <w:rFonts w:hint="eastAsia"/>
                <w:szCs w:val="21"/>
              </w:rPr>
              <w:t>在此基础上，专家根据各供应商的具体响应内容按照量化的评审因素指标进一步评审：</w:t>
            </w:r>
          </w:p>
          <w:p w14:paraId="10B8CE3E">
            <w:pPr>
              <w:spacing w:line="240" w:lineRule="auto"/>
              <w:rPr>
                <w:rFonts w:hint="eastAsia"/>
                <w:szCs w:val="21"/>
              </w:rPr>
            </w:pPr>
            <w:r>
              <w:rPr>
                <w:rFonts w:hint="eastAsia"/>
                <w:szCs w:val="21"/>
              </w:rPr>
              <w:t>优评分标准：方案符合实际、完整、规范、思路清晰，内容合理性</w:t>
            </w:r>
            <w:r>
              <w:rPr>
                <w:rFonts w:hint="eastAsia"/>
                <w:szCs w:val="21"/>
                <w:lang w:eastAsia="zh-CN"/>
              </w:rPr>
              <w:t>、</w:t>
            </w:r>
            <w:r>
              <w:rPr>
                <w:rFonts w:hint="eastAsia"/>
                <w:szCs w:val="21"/>
                <w:lang w:val="en-US" w:eastAsia="zh-CN"/>
              </w:rPr>
              <w:t>针对性、可操作性</w:t>
            </w:r>
            <w:r>
              <w:rPr>
                <w:rFonts w:hint="eastAsia"/>
                <w:szCs w:val="21"/>
              </w:rPr>
              <w:t>强，加</w:t>
            </w:r>
            <w:r>
              <w:rPr>
                <w:rFonts w:hint="eastAsia"/>
                <w:szCs w:val="21"/>
                <w:lang w:val="en-US" w:eastAsia="zh-CN"/>
              </w:rPr>
              <w:t>6</w:t>
            </w:r>
            <w:r>
              <w:rPr>
                <w:rFonts w:hint="eastAsia"/>
                <w:szCs w:val="21"/>
              </w:rPr>
              <w:t>分。</w:t>
            </w:r>
          </w:p>
          <w:p w14:paraId="5D6BD9B4">
            <w:pPr>
              <w:spacing w:line="240" w:lineRule="auto"/>
              <w:rPr>
                <w:rFonts w:hint="eastAsia"/>
                <w:szCs w:val="21"/>
              </w:rPr>
            </w:pPr>
            <w:r>
              <w:rPr>
                <w:rFonts w:hint="eastAsia"/>
                <w:szCs w:val="21"/>
              </w:rPr>
              <w:t>良评分标准：方案较符合实际、较完整规范、思路较清晰，内容合理性</w:t>
            </w:r>
            <w:r>
              <w:rPr>
                <w:rFonts w:hint="eastAsia"/>
                <w:szCs w:val="21"/>
                <w:lang w:eastAsia="zh-CN"/>
              </w:rPr>
              <w:t>、</w:t>
            </w:r>
            <w:r>
              <w:rPr>
                <w:rFonts w:hint="eastAsia"/>
                <w:szCs w:val="21"/>
                <w:lang w:val="en-US" w:eastAsia="zh-CN"/>
              </w:rPr>
              <w:t>针对性、可操作性</w:t>
            </w:r>
            <w:r>
              <w:rPr>
                <w:rFonts w:hint="eastAsia"/>
                <w:szCs w:val="21"/>
              </w:rPr>
              <w:t>较强，加</w:t>
            </w:r>
            <w:r>
              <w:rPr>
                <w:rFonts w:hint="eastAsia"/>
                <w:szCs w:val="21"/>
                <w:lang w:val="en-US" w:eastAsia="zh-CN"/>
              </w:rPr>
              <w:t>3</w:t>
            </w:r>
            <w:r>
              <w:rPr>
                <w:rFonts w:hint="eastAsia"/>
                <w:szCs w:val="21"/>
              </w:rPr>
              <w:t xml:space="preserve">分。 </w:t>
            </w:r>
          </w:p>
          <w:p w14:paraId="0CE61F9B">
            <w:pPr>
              <w:spacing w:line="240" w:lineRule="auto"/>
              <w:rPr>
                <w:rFonts w:hint="eastAsia"/>
                <w:szCs w:val="21"/>
              </w:rPr>
            </w:pPr>
            <w:r>
              <w:rPr>
                <w:rFonts w:hint="eastAsia"/>
                <w:szCs w:val="21"/>
              </w:rPr>
              <w:t>中评分标准：方案较普通、完整性、规范性一般，思路不够清晰，内容合理性</w:t>
            </w:r>
            <w:r>
              <w:rPr>
                <w:rFonts w:hint="eastAsia"/>
                <w:szCs w:val="21"/>
                <w:lang w:eastAsia="zh-CN"/>
              </w:rPr>
              <w:t>、</w:t>
            </w:r>
            <w:r>
              <w:rPr>
                <w:rFonts w:hint="eastAsia"/>
                <w:szCs w:val="21"/>
                <w:lang w:val="en-US" w:eastAsia="zh-CN"/>
              </w:rPr>
              <w:t>针对性、可操作性</w:t>
            </w:r>
            <w:r>
              <w:rPr>
                <w:rFonts w:hint="eastAsia"/>
                <w:szCs w:val="21"/>
              </w:rPr>
              <w:t>一般，加</w:t>
            </w:r>
            <w:r>
              <w:rPr>
                <w:rFonts w:hint="eastAsia"/>
                <w:szCs w:val="21"/>
                <w:lang w:val="en-US" w:eastAsia="zh-CN"/>
              </w:rPr>
              <w:t>1</w:t>
            </w:r>
            <w:r>
              <w:rPr>
                <w:rFonts w:hint="eastAsia"/>
                <w:szCs w:val="21"/>
              </w:rPr>
              <w:t xml:space="preserve">分。 </w:t>
            </w:r>
          </w:p>
          <w:p w14:paraId="613DAF93">
            <w:pPr>
              <w:spacing w:line="240" w:lineRule="auto"/>
              <w:rPr>
                <w:rFonts w:hint="eastAsia" w:ascii="宋体" w:hAnsi="宋体" w:eastAsia="宋体" w:cs="宋体"/>
                <w:color w:val="auto"/>
                <w:sz w:val="21"/>
                <w:szCs w:val="21"/>
                <w:highlight w:val="none"/>
              </w:rPr>
            </w:pPr>
            <w:r>
              <w:rPr>
                <w:rFonts w:hint="eastAsia"/>
                <w:szCs w:val="21"/>
              </w:rPr>
              <w:t>差评分标准：方案不完整、不规范，思路不清晰，内容合理性</w:t>
            </w:r>
            <w:r>
              <w:rPr>
                <w:rFonts w:hint="eastAsia"/>
                <w:szCs w:val="21"/>
                <w:lang w:eastAsia="zh-CN"/>
              </w:rPr>
              <w:t>、</w:t>
            </w:r>
            <w:r>
              <w:rPr>
                <w:rFonts w:hint="eastAsia"/>
                <w:szCs w:val="21"/>
                <w:lang w:val="en-US" w:eastAsia="zh-CN"/>
              </w:rPr>
              <w:t>针对性、可操作性</w:t>
            </w:r>
            <w:r>
              <w:rPr>
                <w:rFonts w:hint="eastAsia"/>
                <w:szCs w:val="21"/>
              </w:rPr>
              <w:t>差或未提供，评价为差不加分。</w:t>
            </w:r>
          </w:p>
        </w:tc>
      </w:tr>
      <w:tr w14:paraId="6B7E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44A5EB1">
            <w:pPr>
              <w:spacing w:line="360" w:lineRule="exact"/>
              <w:jc w:val="center"/>
              <w:rPr>
                <w:color w:val="auto"/>
                <w:sz w:val="22"/>
                <w:highlight w:val="none"/>
              </w:rPr>
            </w:pPr>
            <w:r>
              <w:rPr>
                <w:color w:val="auto"/>
                <w:sz w:val="22"/>
                <w:highlight w:val="none"/>
              </w:rPr>
              <w:t>3</w:t>
            </w:r>
          </w:p>
        </w:tc>
        <w:tc>
          <w:tcPr>
            <w:tcW w:w="1935" w:type="dxa"/>
            <w:tcBorders>
              <w:top w:val="single" w:color="auto" w:sz="4" w:space="0"/>
              <w:left w:val="single" w:color="auto" w:sz="4" w:space="0"/>
              <w:bottom w:val="single" w:color="auto" w:sz="4" w:space="0"/>
              <w:right w:val="single" w:color="auto" w:sz="4" w:space="0"/>
            </w:tcBorders>
            <w:vAlign w:val="center"/>
          </w:tcPr>
          <w:p w14:paraId="236977F9">
            <w:pPr>
              <w:jc w:val="center"/>
              <w:rPr>
                <w:rFonts w:hint="eastAsia" w:ascii="宋体" w:hAnsi="宋体"/>
                <w:szCs w:val="21"/>
              </w:rPr>
            </w:pPr>
            <w:r>
              <w:rPr>
                <w:rFonts w:hint="eastAsia" w:ascii="宋体" w:hAnsi="宋体" w:eastAsia="宋体"/>
                <w:szCs w:val="21"/>
              </w:rPr>
              <w:t>项目重难点分析</w:t>
            </w:r>
            <w:r>
              <w:rPr>
                <w:rFonts w:hint="eastAsia" w:ascii="宋体" w:hAnsi="宋体" w:eastAsia="宋体"/>
                <w:szCs w:val="21"/>
                <w:lang w:eastAsia="zh-CN"/>
              </w:rPr>
              <w:t>、</w:t>
            </w:r>
            <w:r>
              <w:rPr>
                <w:rFonts w:hint="eastAsia" w:ascii="宋体" w:hAnsi="宋体" w:eastAsia="宋体"/>
                <w:szCs w:val="21"/>
              </w:rPr>
              <w:t>应对措施及合理化建议</w:t>
            </w:r>
          </w:p>
        </w:tc>
        <w:tc>
          <w:tcPr>
            <w:tcW w:w="930" w:type="dxa"/>
            <w:tcBorders>
              <w:top w:val="single" w:color="auto" w:sz="4" w:space="0"/>
              <w:left w:val="single" w:color="auto" w:sz="4" w:space="0"/>
              <w:bottom w:val="single" w:color="auto" w:sz="4" w:space="0"/>
              <w:right w:val="single" w:color="auto" w:sz="4" w:space="0"/>
            </w:tcBorders>
            <w:vAlign w:val="center"/>
          </w:tcPr>
          <w:p w14:paraId="59872243">
            <w:pPr>
              <w:jc w:val="center"/>
              <w:rPr>
                <w:rFonts w:hint="default" w:eastAsia="宋体"/>
                <w:color w:val="auto"/>
                <w:sz w:val="22"/>
                <w:highlight w:val="none"/>
                <w:lang w:val="en-US" w:eastAsia="zh-CN"/>
              </w:rPr>
            </w:pPr>
            <w:r>
              <w:rPr>
                <w:rFonts w:hint="eastAsia" w:ascii="宋体" w:hAnsi="宋体" w:cs="宋体"/>
                <w:szCs w:val="21"/>
                <w:lang w:val="en-US" w:eastAsia="zh-CN"/>
              </w:rPr>
              <w:t>12</w:t>
            </w:r>
          </w:p>
        </w:tc>
        <w:tc>
          <w:tcPr>
            <w:tcW w:w="5097" w:type="dxa"/>
            <w:tcBorders>
              <w:top w:val="single" w:color="auto" w:sz="4" w:space="0"/>
              <w:left w:val="single" w:color="auto" w:sz="4" w:space="0"/>
              <w:bottom w:val="single" w:color="auto" w:sz="4" w:space="0"/>
              <w:right w:val="single" w:color="auto" w:sz="4" w:space="0"/>
            </w:tcBorders>
            <w:vAlign w:val="top"/>
          </w:tcPr>
          <w:p w14:paraId="2FCDD506">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52E69962">
            <w:pPr>
              <w:spacing w:line="240" w:lineRule="auto"/>
              <w:rPr>
                <w:rFonts w:hint="eastAsia"/>
                <w:szCs w:val="21"/>
              </w:rPr>
            </w:pPr>
            <w:r>
              <w:rPr>
                <w:rFonts w:hint="eastAsia"/>
                <w:szCs w:val="21"/>
              </w:rPr>
              <w:t>根据招标文件的需求，制定贴切本项目的项目重难点分析及应对措施，方案内容包括但不限于：</w:t>
            </w:r>
          </w:p>
          <w:p w14:paraId="14A5EE73">
            <w:pPr>
              <w:spacing w:line="240" w:lineRule="auto"/>
              <w:rPr>
                <w:rFonts w:hint="eastAsia" w:eastAsia="宋体"/>
                <w:color w:val="auto"/>
                <w:szCs w:val="21"/>
                <w:lang w:val="en-US" w:eastAsia="zh-CN"/>
              </w:rPr>
            </w:pPr>
            <w:r>
              <w:rPr>
                <w:rFonts w:hint="eastAsia" w:eastAsia="宋体"/>
                <w:color w:val="auto"/>
                <w:szCs w:val="21"/>
                <w:lang w:val="en-US" w:eastAsia="zh-CN"/>
              </w:rPr>
              <w:t>1.提供符合本项目相关重点难点分析；</w:t>
            </w:r>
          </w:p>
          <w:p w14:paraId="517C8DD1">
            <w:pPr>
              <w:spacing w:line="240" w:lineRule="auto"/>
              <w:rPr>
                <w:rFonts w:hint="eastAsia" w:eastAsia="宋体"/>
                <w:color w:val="auto"/>
                <w:szCs w:val="21"/>
                <w:lang w:val="en-US" w:eastAsia="zh-CN"/>
              </w:rPr>
            </w:pPr>
            <w:r>
              <w:rPr>
                <w:rFonts w:hint="eastAsia" w:eastAsia="宋体"/>
                <w:color w:val="auto"/>
                <w:szCs w:val="21"/>
                <w:lang w:val="en-US" w:eastAsia="zh-CN"/>
              </w:rPr>
              <w:t>2.针对重点难点分析提出的应对措施；</w:t>
            </w:r>
          </w:p>
          <w:p w14:paraId="22F25B80">
            <w:pPr>
              <w:spacing w:line="240" w:lineRule="auto"/>
              <w:rPr>
                <w:rFonts w:hint="eastAsia" w:eastAsia="宋体"/>
                <w:color w:val="auto"/>
                <w:szCs w:val="21"/>
                <w:lang w:val="en-US" w:eastAsia="zh-CN"/>
              </w:rPr>
            </w:pPr>
            <w:r>
              <w:rPr>
                <w:rFonts w:hint="eastAsia" w:eastAsia="宋体"/>
                <w:color w:val="auto"/>
                <w:szCs w:val="21"/>
                <w:lang w:val="en-US" w:eastAsia="zh-CN"/>
              </w:rPr>
              <w:t>3.结合上述内容提出相关的合理化建议。</w:t>
            </w:r>
          </w:p>
          <w:p w14:paraId="4D72892E">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00230922">
            <w:pPr>
              <w:spacing w:line="240" w:lineRule="auto"/>
              <w:rPr>
                <w:rFonts w:hint="eastAsia" w:eastAsia="宋体"/>
                <w:szCs w:val="21"/>
              </w:rPr>
            </w:pPr>
            <w:r>
              <w:rPr>
                <w:rFonts w:hint="eastAsia" w:eastAsia="宋体"/>
                <w:color w:val="auto"/>
                <w:szCs w:val="21"/>
                <w:lang w:val="en-US" w:eastAsia="zh-CN"/>
              </w:rPr>
              <w:t>1.</w:t>
            </w:r>
            <w:r>
              <w:rPr>
                <w:rFonts w:hint="eastAsia" w:eastAsia="宋体"/>
                <w:color w:val="auto"/>
                <w:szCs w:val="21"/>
              </w:rPr>
              <w:t>以上内容每提供一项得</w:t>
            </w:r>
            <w:r>
              <w:rPr>
                <w:rFonts w:hint="eastAsia" w:eastAsia="宋体"/>
                <w:color w:val="auto"/>
                <w:szCs w:val="21"/>
                <w:lang w:val="en-US" w:eastAsia="zh-CN"/>
              </w:rPr>
              <w:t>2</w:t>
            </w:r>
            <w:r>
              <w:rPr>
                <w:rFonts w:hint="eastAsia" w:eastAsia="宋体"/>
                <w:color w:val="auto"/>
                <w:szCs w:val="21"/>
              </w:rPr>
              <w:t>分，最</w:t>
            </w:r>
            <w:r>
              <w:rPr>
                <w:rFonts w:hint="eastAsia" w:eastAsia="宋体"/>
                <w:szCs w:val="21"/>
              </w:rPr>
              <w:t>高得</w:t>
            </w:r>
            <w:r>
              <w:rPr>
                <w:rFonts w:hint="eastAsia" w:eastAsia="宋体"/>
                <w:szCs w:val="21"/>
                <w:lang w:val="en-US" w:eastAsia="zh-CN"/>
              </w:rPr>
              <w:t>6</w:t>
            </w:r>
            <w:r>
              <w:rPr>
                <w:rFonts w:hint="eastAsia" w:eastAsia="宋体"/>
                <w:szCs w:val="21"/>
              </w:rPr>
              <w:t>分，其它情况不得分。</w:t>
            </w:r>
          </w:p>
          <w:p w14:paraId="0765122E">
            <w:pPr>
              <w:spacing w:line="240" w:lineRule="auto"/>
              <w:rPr>
                <w:rFonts w:hint="eastAsia" w:eastAsia="宋体"/>
                <w:szCs w:val="21"/>
              </w:rPr>
            </w:pPr>
            <w:r>
              <w:rPr>
                <w:rFonts w:hint="eastAsia" w:eastAsia="宋体"/>
                <w:szCs w:val="21"/>
                <w:lang w:val="en-US" w:eastAsia="zh-CN"/>
              </w:rPr>
              <w:t>2.</w:t>
            </w:r>
            <w:r>
              <w:rPr>
                <w:rFonts w:hint="eastAsia" w:eastAsia="宋体"/>
                <w:szCs w:val="21"/>
              </w:rPr>
              <w:t>在此基础上，专家根据各供应商的具体响应内容按照量化的评审因素指标进一步评审：</w:t>
            </w:r>
          </w:p>
          <w:p w14:paraId="4375D7D0">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（1）响应内容全面：全面覆盖项目实施中的所有关键与难点，进行深入分析其本质、影响及风险，并从技术、成本、时间、资源等多维度综合考量。</w:t>
            </w:r>
          </w:p>
          <w:p w14:paraId="13E0995A">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（2）响应内容具体：应项目需求，针对每个重点难点提供具体解决方案、实施步骤、所需资源及时节点，并通过相关案例与数据支撑其可行性和决策依据。</w:t>
            </w:r>
          </w:p>
          <w:p w14:paraId="470D12A3">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（3）响应内容针对性强：准确识别项目实施过程中的具体问题，提供高度针对性和适用性的解决方案，并根据项目特性与需求提供定制化服务。</w:t>
            </w:r>
          </w:p>
          <w:p w14:paraId="6E1A1589">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（4）响应内容科学合理提供的解决方案应基于科学的理论和方法，确保技术上的可行性与可靠性，并对实施过程中的潜在风险进行全面评估及提供合理的应对措施。</w:t>
            </w:r>
          </w:p>
          <w:p w14:paraId="0637E7F1">
            <w:pPr>
              <w:pStyle w:val="8"/>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（5）响应内容可操作性强：提供具有明确实施步骤、合理资源分配和有效时间管理的解决方案，确保内容的可操作性和项目的顺利执行。</w:t>
            </w:r>
          </w:p>
          <w:p w14:paraId="0F5ADE30">
            <w:pPr>
              <w:spacing w:line="240" w:lineRule="auto"/>
              <w:rPr>
                <w:rFonts w:hint="eastAsia" w:eastAsia="宋体"/>
                <w:szCs w:val="21"/>
                <w:lang w:val="en-US" w:eastAsia="zh-CN"/>
              </w:rPr>
            </w:pPr>
            <w:r>
              <w:rPr>
                <w:rFonts w:hint="eastAsia" w:eastAsia="宋体"/>
                <w:szCs w:val="21"/>
                <w:lang w:val="en-US" w:eastAsia="zh-CN"/>
              </w:rPr>
              <w:t>优评分标准：满足以上五项要求的评价为优，加6分；</w:t>
            </w:r>
          </w:p>
          <w:p w14:paraId="0C635585">
            <w:pPr>
              <w:spacing w:line="240" w:lineRule="auto"/>
              <w:rPr>
                <w:rFonts w:hint="eastAsia" w:eastAsia="宋体"/>
                <w:szCs w:val="21"/>
                <w:lang w:val="en-US" w:eastAsia="zh-CN"/>
              </w:rPr>
            </w:pPr>
            <w:r>
              <w:rPr>
                <w:rFonts w:hint="eastAsia" w:eastAsia="宋体"/>
                <w:szCs w:val="21"/>
                <w:lang w:val="en-US" w:eastAsia="zh-CN"/>
              </w:rPr>
              <w:t>良评分标准：满足以上四项要求的评价为良，加3分；</w:t>
            </w:r>
          </w:p>
          <w:p w14:paraId="083D6C21">
            <w:pPr>
              <w:spacing w:line="240" w:lineRule="auto"/>
              <w:rPr>
                <w:rFonts w:hint="eastAsia" w:eastAsia="宋体"/>
                <w:szCs w:val="21"/>
                <w:lang w:val="en-US" w:eastAsia="zh-CN"/>
              </w:rPr>
            </w:pPr>
            <w:r>
              <w:rPr>
                <w:rFonts w:hint="eastAsia" w:eastAsia="宋体"/>
                <w:szCs w:val="21"/>
                <w:lang w:val="en-US" w:eastAsia="zh-CN"/>
              </w:rPr>
              <w:t>中评分标准：满足以上三项要求的评价为中，加1分；</w:t>
            </w:r>
          </w:p>
          <w:p w14:paraId="45A1CC4B">
            <w:pPr>
              <w:spacing w:line="240" w:lineRule="auto"/>
              <w:rPr>
                <w:rFonts w:hint="eastAsia" w:eastAsia="宋体"/>
                <w:szCs w:val="21"/>
                <w:lang w:val="en-US" w:eastAsia="zh-CN"/>
              </w:rPr>
            </w:pPr>
            <w:r>
              <w:rPr>
                <w:rFonts w:hint="eastAsia" w:eastAsia="宋体"/>
                <w:szCs w:val="21"/>
                <w:lang w:val="en-US" w:eastAsia="zh-CN"/>
              </w:rPr>
              <w:t>差评分标准：满足以上一项或二项要求的评价为差，得1分。</w:t>
            </w:r>
          </w:p>
          <w:p w14:paraId="0E34B640">
            <w:pPr>
              <w:spacing w:line="240" w:lineRule="auto"/>
              <w:rPr>
                <w:rFonts w:hint="eastAsia" w:ascii="宋体" w:hAnsi="宋体" w:eastAsia="宋体" w:cs="宋体"/>
                <w:sz w:val="21"/>
                <w:szCs w:val="21"/>
                <w:highlight w:val="none"/>
              </w:rPr>
            </w:pPr>
            <w:r>
              <w:rPr>
                <w:rFonts w:hint="eastAsia" w:eastAsia="宋体"/>
                <w:szCs w:val="21"/>
                <w:lang w:val="en-US" w:eastAsia="zh-CN"/>
              </w:rPr>
              <w:t>未提供方案不得分。</w:t>
            </w:r>
          </w:p>
        </w:tc>
      </w:tr>
      <w:tr w14:paraId="29C7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auto"/>
            <w:vAlign w:val="center"/>
          </w:tcPr>
          <w:p w14:paraId="01FF0047">
            <w:pPr>
              <w:jc w:val="center"/>
              <w:rPr>
                <w:rFonts w:hint="eastAsia" w:ascii="Calibri" w:hAnsi="Calibri" w:eastAsia="宋体" w:cs="黑体"/>
                <w:kern w:val="2"/>
                <w:sz w:val="21"/>
                <w:szCs w:val="21"/>
                <w:lang w:val="en-US" w:eastAsia="zh-CN" w:bidi="ar-SA"/>
              </w:rPr>
            </w:pPr>
            <w:r>
              <w:rPr>
                <w:rFonts w:hint="eastAsia"/>
                <w:szCs w:val="21"/>
                <w:lang w:val="en-US" w:eastAsia="zh-CN"/>
              </w:rPr>
              <w:t>4</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14:paraId="1B63D9E0">
            <w:pPr>
              <w:jc w:val="center"/>
              <w:rPr>
                <w:rFonts w:hint="eastAsia" w:ascii="宋体" w:hAnsi="宋体"/>
                <w:szCs w:val="21"/>
                <w:lang w:val="en-US" w:eastAsia="zh-CN"/>
              </w:rPr>
            </w:pPr>
            <w:r>
              <w:rPr>
                <w:rFonts w:hint="eastAsia" w:ascii="宋体" w:hAnsi="宋体"/>
                <w:szCs w:val="21"/>
              </w:rPr>
              <w:t>成果质量及售后保障方案</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C1D1AD3">
            <w:pPr>
              <w:jc w:val="center"/>
              <w:rPr>
                <w:rFonts w:hint="default" w:ascii="Calibri" w:hAnsi="Calibri" w:eastAsia="宋体" w:cs="黑体"/>
                <w:kern w:val="2"/>
                <w:sz w:val="21"/>
                <w:szCs w:val="21"/>
                <w:lang w:val="en-US" w:eastAsia="zh-CN" w:bidi="ar-SA"/>
              </w:rPr>
            </w:pPr>
            <w:r>
              <w:rPr>
                <w:rFonts w:hint="eastAsia" w:ascii="宋体" w:hAnsi="宋体" w:cs="宋体"/>
                <w:szCs w:val="21"/>
                <w:lang w:val="en-US" w:eastAsia="zh-CN"/>
              </w:rPr>
              <w:t>12</w:t>
            </w:r>
          </w:p>
        </w:tc>
        <w:tc>
          <w:tcPr>
            <w:tcW w:w="5097" w:type="dxa"/>
            <w:tcBorders>
              <w:top w:val="single" w:color="auto" w:sz="4" w:space="0"/>
              <w:left w:val="single" w:color="auto" w:sz="4" w:space="0"/>
              <w:bottom w:val="single" w:color="auto" w:sz="4" w:space="0"/>
              <w:right w:val="single" w:color="auto" w:sz="4" w:space="0"/>
            </w:tcBorders>
            <w:shd w:val="clear" w:color="auto" w:fill="auto"/>
            <w:vAlign w:val="top"/>
          </w:tcPr>
          <w:p w14:paraId="3BBD3C29">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6B34BF75">
            <w:pPr>
              <w:spacing w:line="240" w:lineRule="auto"/>
              <w:rPr>
                <w:rFonts w:hint="eastAsia"/>
                <w:color w:val="auto"/>
                <w:szCs w:val="21"/>
                <w:highlight w:val="none"/>
              </w:rPr>
            </w:pPr>
            <w:r>
              <w:rPr>
                <w:rFonts w:hint="eastAsia"/>
                <w:szCs w:val="21"/>
              </w:rPr>
              <w:t>根据招标文件的需求，制定贴切本项目的成果质量及</w:t>
            </w:r>
            <w:r>
              <w:rPr>
                <w:rFonts w:hint="eastAsia"/>
                <w:color w:val="auto"/>
                <w:szCs w:val="21"/>
                <w:highlight w:val="none"/>
              </w:rPr>
              <w:t>售后保障方案，方案内容包括但不限于：</w:t>
            </w:r>
          </w:p>
          <w:p w14:paraId="01E06FA6">
            <w:pPr>
              <w:spacing w:line="240" w:lineRule="auto"/>
              <w:rPr>
                <w:rFonts w:hint="eastAsia"/>
                <w:color w:val="auto"/>
                <w:szCs w:val="21"/>
                <w:highlight w:val="none"/>
                <w:lang w:eastAsia="zh-CN"/>
              </w:rPr>
            </w:pPr>
            <w:r>
              <w:rPr>
                <w:rFonts w:hint="eastAsia"/>
                <w:color w:val="auto"/>
                <w:szCs w:val="21"/>
                <w:highlight w:val="none"/>
              </w:rPr>
              <w:t>①</w:t>
            </w:r>
            <w:r>
              <w:rPr>
                <w:rFonts w:hint="eastAsia" w:ascii="宋体" w:hAnsi="宋体" w:eastAsia="宋体" w:cs="宋体"/>
                <w:color w:val="auto"/>
                <w:sz w:val="21"/>
                <w:szCs w:val="21"/>
                <w:highlight w:val="none"/>
              </w:rPr>
              <w:t>报告编制标准（明确引用规范、标准编号及质量等级要求）</w:t>
            </w:r>
            <w:r>
              <w:rPr>
                <w:rFonts w:hint="eastAsia"/>
                <w:color w:val="auto"/>
                <w:szCs w:val="21"/>
                <w:highlight w:val="none"/>
                <w:lang w:eastAsia="zh-CN"/>
              </w:rPr>
              <w:t>；</w:t>
            </w:r>
          </w:p>
          <w:p w14:paraId="38D9552C">
            <w:pPr>
              <w:spacing w:line="240" w:lineRule="auto"/>
              <w:rPr>
                <w:rFonts w:hint="eastAsia"/>
                <w:color w:val="auto"/>
                <w:szCs w:val="21"/>
                <w:highlight w:val="none"/>
                <w:lang w:eastAsia="zh-CN"/>
              </w:rPr>
            </w:pPr>
            <w:r>
              <w:rPr>
                <w:rFonts w:hint="eastAsia"/>
                <w:color w:val="auto"/>
                <w:szCs w:val="21"/>
                <w:highlight w:val="none"/>
              </w:rPr>
              <w:t>②</w:t>
            </w:r>
            <w:r>
              <w:rPr>
                <w:rFonts w:hint="eastAsia" w:ascii="宋体" w:hAnsi="宋体" w:eastAsia="宋体" w:cs="宋体"/>
                <w:color w:val="auto"/>
                <w:sz w:val="21"/>
                <w:szCs w:val="21"/>
                <w:highlight w:val="none"/>
              </w:rPr>
              <w:t>校核审核流程（具备三级审核机制描述，明确各级责任人及签批流程）</w:t>
            </w:r>
            <w:r>
              <w:rPr>
                <w:rFonts w:hint="eastAsia"/>
                <w:color w:val="auto"/>
                <w:szCs w:val="21"/>
                <w:highlight w:val="none"/>
                <w:lang w:eastAsia="zh-CN"/>
              </w:rPr>
              <w:t>；</w:t>
            </w:r>
          </w:p>
          <w:p w14:paraId="51E3464D">
            <w:pPr>
              <w:spacing w:line="240" w:lineRule="auto"/>
              <w:rPr>
                <w:rFonts w:hint="eastAsia"/>
                <w:color w:val="auto"/>
                <w:szCs w:val="21"/>
                <w:highlight w:val="none"/>
                <w:lang w:eastAsia="zh-CN"/>
              </w:rPr>
            </w:pPr>
            <w:r>
              <w:rPr>
                <w:rFonts w:hint="eastAsia"/>
                <w:color w:val="auto"/>
                <w:szCs w:val="21"/>
                <w:highlight w:val="none"/>
              </w:rPr>
              <w:t>③</w:t>
            </w:r>
            <w:r>
              <w:rPr>
                <w:rFonts w:hint="eastAsia" w:ascii="宋体" w:hAnsi="宋体" w:eastAsia="宋体" w:cs="宋体"/>
                <w:color w:val="auto"/>
                <w:sz w:val="21"/>
                <w:szCs w:val="21"/>
                <w:highlight w:val="none"/>
              </w:rPr>
              <w:t>成果纠错机制（包含错误发现、分类、修正及记录归档流程）</w:t>
            </w:r>
            <w:r>
              <w:rPr>
                <w:rFonts w:hint="eastAsia"/>
                <w:color w:val="auto"/>
                <w:szCs w:val="21"/>
                <w:highlight w:val="none"/>
                <w:lang w:eastAsia="zh-CN"/>
              </w:rPr>
              <w:t>；</w:t>
            </w:r>
          </w:p>
          <w:p w14:paraId="4689A89A">
            <w:pPr>
              <w:spacing w:line="240" w:lineRule="auto"/>
              <w:rPr>
                <w:rFonts w:hint="eastAsia"/>
                <w:color w:val="auto"/>
                <w:szCs w:val="21"/>
                <w:highlight w:val="none"/>
                <w:lang w:eastAsia="zh-CN"/>
              </w:rPr>
            </w:pPr>
            <w:r>
              <w:rPr>
                <w:rFonts w:hint="eastAsia"/>
                <w:color w:val="auto"/>
                <w:szCs w:val="21"/>
                <w:highlight w:val="none"/>
              </w:rPr>
              <w:t>④</w:t>
            </w:r>
            <w:r>
              <w:rPr>
                <w:rFonts w:hint="eastAsia" w:ascii="宋体" w:hAnsi="宋体" w:eastAsia="宋体" w:cs="宋体"/>
                <w:color w:val="auto"/>
                <w:sz w:val="21"/>
                <w:szCs w:val="21"/>
                <w:highlight w:val="none"/>
              </w:rPr>
              <w:t>配套完善的答疑、整改（明确答疑时限、整改响应时间及闭环管理流程）</w:t>
            </w:r>
            <w:r>
              <w:rPr>
                <w:rFonts w:hint="eastAsia"/>
                <w:color w:val="auto"/>
                <w:szCs w:val="21"/>
                <w:highlight w:val="none"/>
                <w:lang w:eastAsia="zh-CN"/>
              </w:rPr>
              <w:t>；</w:t>
            </w:r>
          </w:p>
          <w:p w14:paraId="4ABEE41B">
            <w:pPr>
              <w:spacing w:line="240" w:lineRule="auto"/>
              <w:rPr>
                <w:rFonts w:hint="eastAsia"/>
                <w:color w:val="auto"/>
                <w:szCs w:val="21"/>
                <w:highlight w:val="none"/>
                <w:lang w:val="en-US" w:eastAsia="zh-CN"/>
              </w:rPr>
            </w:pPr>
            <w:r>
              <w:rPr>
                <w:rFonts w:hint="eastAsia"/>
                <w:color w:val="auto"/>
                <w:szCs w:val="21"/>
                <w:highlight w:val="none"/>
              </w:rPr>
              <w:t>⑤</w:t>
            </w:r>
            <w:r>
              <w:rPr>
                <w:rFonts w:hint="eastAsia" w:ascii="宋体" w:hAnsi="宋体" w:eastAsia="宋体" w:cs="宋体"/>
                <w:color w:val="auto"/>
                <w:sz w:val="21"/>
                <w:szCs w:val="21"/>
                <w:highlight w:val="none"/>
              </w:rPr>
              <w:t>售后保障服务（包含服务期限、响应方式、人员配置及应急处理预案）</w:t>
            </w:r>
            <w:r>
              <w:rPr>
                <w:rFonts w:hint="eastAsia"/>
                <w:color w:val="auto"/>
                <w:szCs w:val="21"/>
                <w:highlight w:val="none"/>
                <w:lang w:eastAsia="zh-CN"/>
              </w:rPr>
              <w:t>。</w:t>
            </w:r>
          </w:p>
          <w:p w14:paraId="1E56AA16">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25A7579D">
            <w:pPr>
              <w:spacing w:line="240" w:lineRule="auto"/>
              <w:rPr>
                <w:rFonts w:hint="eastAsia"/>
                <w:szCs w:val="21"/>
              </w:rPr>
            </w:pPr>
            <w:r>
              <w:rPr>
                <w:rFonts w:hint="eastAsia"/>
                <w:szCs w:val="21"/>
                <w:lang w:val="en-US" w:eastAsia="zh-CN"/>
              </w:rPr>
              <w:t>1.</w:t>
            </w:r>
            <w:r>
              <w:rPr>
                <w:rFonts w:hint="eastAsia"/>
                <w:szCs w:val="21"/>
              </w:rPr>
              <w:t>以上内容每提供一项得</w:t>
            </w:r>
            <w:r>
              <w:rPr>
                <w:rFonts w:hint="eastAsia"/>
                <w:szCs w:val="21"/>
                <w:lang w:val="en-US" w:eastAsia="zh-CN"/>
              </w:rPr>
              <w:t>1.5</w:t>
            </w:r>
            <w:r>
              <w:rPr>
                <w:rFonts w:hint="eastAsia"/>
                <w:szCs w:val="21"/>
              </w:rPr>
              <w:t>分，最高得</w:t>
            </w:r>
            <w:r>
              <w:rPr>
                <w:rFonts w:hint="eastAsia"/>
                <w:szCs w:val="21"/>
                <w:lang w:val="en-US" w:eastAsia="zh-CN"/>
              </w:rPr>
              <w:t>7</w:t>
            </w:r>
            <w:r>
              <w:rPr>
                <w:rFonts w:hint="eastAsia"/>
                <w:szCs w:val="21"/>
              </w:rPr>
              <w:t>分，其它情况不得分。</w:t>
            </w:r>
          </w:p>
          <w:p w14:paraId="6F7E06F5">
            <w:pPr>
              <w:spacing w:line="240" w:lineRule="auto"/>
              <w:rPr>
                <w:rFonts w:hint="eastAsia"/>
                <w:szCs w:val="21"/>
              </w:rPr>
            </w:pPr>
            <w:r>
              <w:rPr>
                <w:rFonts w:hint="eastAsia"/>
                <w:szCs w:val="21"/>
                <w:lang w:val="en-US" w:eastAsia="zh-CN"/>
              </w:rPr>
              <w:t>2.</w:t>
            </w:r>
            <w:r>
              <w:rPr>
                <w:rFonts w:hint="eastAsia"/>
                <w:szCs w:val="21"/>
              </w:rPr>
              <w:t>在此基础上，专家根据各供应商的具体响应内容按照量化的评审因素指标进一步评审：</w:t>
            </w:r>
          </w:p>
          <w:p w14:paraId="07A7C039">
            <w:pPr>
              <w:spacing w:line="240" w:lineRule="auto"/>
              <w:rPr>
                <w:rFonts w:hint="eastAsia"/>
                <w:szCs w:val="21"/>
              </w:rPr>
            </w:pPr>
            <w:r>
              <w:rPr>
                <w:rFonts w:hint="eastAsia"/>
                <w:szCs w:val="21"/>
              </w:rPr>
              <w:t>优评分标准：方案符合实际、完整、规范、思路清晰，内容合理性</w:t>
            </w:r>
            <w:r>
              <w:rPr>
                <w:rFonts w:hint="eastAsia"/>
                <w:szCs w:val="21"/>
                <w:lang w:eastAsia="zh-CN"/>
              </w:rPr>
              <w:t>、</w:t>
            </w:r>
            <w:r>
              <w:rPr>
                <w:rFonts w:hint="eastAsia"/>
                <w:szCs w:val="21"/>
                <w:lang w:val="en-US" w:eastAsia="zh-CN"/>
              </w:rPr>
              <w:t>针对性、可操作性</w:t>
            </w:r>
            <w:r>
              <w:rPr>
                <w:rFonts w:hint="eastAsia"/>
                <w:szCs w:val="21"/>
              </w:rPr>
              <w:t>强，加</w:t>
            </w:r>
            <w:r>
              <w:rPr>
                <w:rFonts w:hint="eastAsia"/>
                <w:szCs w:val="21"/>
                <w:lang w:val="en-US" w:eastAsia="zh-CN"/>
              </w:rPr>
              <w:t>5</w:t>
            </w:r>
            <w:r>
              <w:rPr>
                <w:rFonts w:hint="eastAsia"/>
                <w:szCs w:val="21"/>
              </w:rPr>
              <w:t xml:space="preserve">分。 </w:t>
            </w:r>
          </w:p>
          <w:p w14:paraId="14D53E4D">
            <w:pPr>
              <w:spacing w:line="240" w:lineRule="auto"/>
              <w:rPr>
                <w:rFonts w:hint="eastAsia"/>
                <w:szCs w:val="21"/>
              </w:rPr>
            </w:pPr>
            <w:r>
              <w:rPr>
                <w:rFonts w:hint="eastAsia"/>
                <w:szCs w:val="21"/>
              </w:rPr>
              <w:t>良评分标准：方案较符合实际、较完整规范、思路较清晰，内容合理性</w:t>
            </w:r>
            <w:r>
              <w:rPr>
                <w:rFonts w:hint="eastAsia"/>
                <w:szCs w:val="21"/>
                <w:lang w:eastAsia="zh-CN"/>
              </w:rPr>
              <w:t>、</w:t>
            </w:r>
            <w:r>
              <w:rPr>
                <w:rFonts w:hint="eastAsia"/>
                <w:szCs w:val="21"/>
                <w:lang w:val="en-US" w:eastAsia="zh-CN"/>
              </w:rPr>
              <w:t>针对性、可操作性</w:t>
            </w:r>
            <w:r>
              <w:rPr>
                <w:rFonts w:hint="eastAsia"/>
                <w:szCs w:val="21"/>
              </w:rPr>
              <w:t>较强，加</w:t>
            </w:r>
            <w:r>
              <w:rPr>
                <w:rFonts w:hint="eastAsia"/>
                <w:szCs w:val="21"/>
                <w:lang w:val="en-US" w:eastAsia="zh-CN"/>
              </w:rPr>
              <w:t>3</w:t>
            </w:r>
            <w:r>
              <w:rPr>
                <w:rFonts w:hint="eastAsia"/>
                <w:szCs w:val="21"/>
              </w:rPr>
              <w:t xml:space="preserve">分。 </w:t>
            </w:r>
          </w:p>
          <w:p w14:paraId="082679CB">
            <w:pPr>
              <w:spacing w:line="240" w:lineRule="auto"/>
              <w:rPr>
                <w:rFonts w:hint="eastAsia"/>
                <w:szCs w:val="21"/>
              </w:rPr>
            </w:pPr>
            <w:r>
              <w:rPr>
                <w:rFonts w:hint="eastAsia"/>
                <w:szCs w:val="21"/>
              </w:rPr>
              <w:t>中评分标准：方案较普通、完整性、规范性一般，思路不够清晰，内容合理性</w:t>
            </w:r>
            <w:r>
              <w:rPr>
                <w:rFonts w:hint="eastAsia"/>
                <w:szCs w:val="21"/>
                <w:lang w:eastAsia="zh-CN"/>
              </w:rPr>
              <w:t>、</w:t>
            </w:r>
            <w:r>
              <w:rPr>
                <w:rFonts w:hint="eastAsia"/>
                <w:szCs w:val="21"/>
                <w:lang w:val="en-US" w:eastAsia="zh-CN"/>
              </w:rPr>
              <w:t>针对性、可操作性</w:t>
            </w:r>
            <w:r>
              <w:rPr>
                <w:rFonts w:hint="eastAsia"/>
                <w:szCs w:val="21"/>
              </w:rPr>
              <w:t>一般，加</w:t>
            </w:r>
            <w:r>
              <w:rPr>
                <w:rFonts w:hint="eastAsia"/>
                <w:szCs w:val="21"/>
                <w:lang w:val="en-US" w:eastAsia="zh-CN"/>
              </w:rPr>
              <w:t>1</w:t>
            </w:r>
            <w:r>
              <w:rPr>
                <w:rFonts w:hint="eastAsia"/>
                <w:szCs w:val="21"/>
              </w:rPr>
              <w:t xml:space="preserve">分。 </w:t>
            </w:r>
          </w:p>
          <w:p w14:paraId="58CE60FD">
            <w:pPr>
              <w:spacing w:line="240" w:lineRule="auto"/>
              <w:rPr>
                <w:rFonts w:hint="eastAsia" w:ascii="宋体" w:hAnsi="宋体" w:eastAsia="宋体" w:cs="宋体"/>
                <w:color w:val="FF0000"/>
                <w:kern w:val="0"/>
                <w:sz w:val="21"/>
                <w:szCs w:val="21"/>
                <w:highlight w:val="none"/>
                <w:lang w:val="en-US" w:eastAsia="zh-CN" w:bidi="ar-SA"/>
              </w:rPr>
            </w:pPr>
            <w:r>
              <w:rPr>
                <w:rFonts w:hint="eastAsia"/>
                <w:szCs w:val="21"/>
              </w:rPr>
              <w:t>差评分标准：方案不完整、不规范，思路不清晰，内容合理性</w:t>
            </w:r>
            <w:r>
              <w:rPr>
                <w:rFonts w:hint="eastAsia"/>
                <w:szCs w:val="21"/>
                <w:lang w:eastAsia="zh-CN"/>
              </w:rPr>
              <w:t>、</w:t>
            </w:r>
            <w:r>
              <w:rPr>
                <w:rFonts w:hint="eastAsia"/>
                <w:szCs w:val="21"/>
                <w:lang w:val="en-US" w:eastAsia="zh-CN"/>
              </w:rPr>
              <w:t>针对性、可操作性</w:t>
            </w:r>
            <w:r>
              <w:rPr>
                <w:rFonts w:hint="eastAsia"/>
                <w:szCs w:val="21"/>
              </w:rPr>
              <w:t>差或未提供，评价为差不加分。</w:t>
            </w:r>
          </w:p>
        </w:tc>
      </w:tr>
      <w:tr w14:paraId="7E33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vAlign w:val="center"/>
          </w:tcPr>
          <w:p w14:paraId="0DE9B5DE">
            <w:pPr>
              <w:spacing w:line="360" w:lineRule="exact"/>
              <w:jc w:val="center"/>
              <w:rPr>
                <w:b/>
                <w:bCs/>
                <w:color w:val="auto"/>
                <w:sz w:val="22"/>
                <w:highlight w:val="none"/>
              </w:rPr>
            </w:pPr>
            <w:r>
              <w:rPr>
                <w:b/>
                <w:bCs/>
                <w:color w:val="auto"/>
                <w:sz w:val="22"/>
                <w:highlight w:val="none"/>
              </w:rPr>
              <w:t>商务部分</w:t>
            </w:r>
          </w:p>
        </w:tc>
        <w:tc>
          <w:tcPr>
            <w:tcW w:w="5097" w:type="dxa"/>
            <w:tcBorders>
              <w:top w:val="single" w:color="auto" w:sz="4" w:space="0"/>
              <w:left w:val="single" w:color="auto" w:sz="4" w:space="0"/>
              <w:bottom w:val="single" w:color="auto" w:sz="4" w:space="0"/>
              <w:right w:val="single" w:color="auto" w:sz="4" w:space="0"/>
            </w:tcBorders>
            <w:vAlign w:val="center"/>
          </w:tcPr>
          <w:p w14:paraId="42A9619E">
            <w:pPr>
              <w:spacing w:line="240" w:lineRule="auto"/>
              <w:jc w:val="center"/>
              <w:rPr>
                <w:rFonts w:hint="default" w:eastAsia="宋体"/>
                <w:b/>
                <w:bCs/>
                <w:color w:val="auto"/>
                <w:sz w:val="22"/>
                <w:highlight w:val="none"/>
                <w:lang w:val="en-US" w:eastAsia="zh-CN"/>
              </w:rPr>
            </w:pPr>
            <w:r>
              <w:rPr>
                <w:rFonts w:hint="eastAsia"/>
                <w:b/>
                <w:bCs/>
                <w:color w:val="auto"/>
                <w:sz w:val="22"/>
                <w:highlight w:val="none"/>
                <w:lang w:val="en-US" w:eastAsia="zh-CN"/>
              </w:rPr>
              <w:t>33</w:t>
            </w:r>
          </w:p>
        </w:tc>
      </w:tr>
      <w:tr w14:paraId="71DC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C7DAF1"/>
            <w:vAlign w:val="center"/>
          </w:tcPr>
          <w:p w14:paraId="6B54F8FF">
            <w:pPr>
              <w:spacing w:line="360" w:lineRule="exact"/>
              <w:jc w:val="center"/>
              <w:rPr>
                <w:color w:val="auto"/>
                <w:sz w:val="22"/>
                <w:highlight w:val="none"/>
              </w:rPr>
            </w:pPr>
            <w:r>
              <w:rPr>
                <w:color w:val="auto"/>
                <w:sz w:val="22"/>
                <w:highlight w:val="none"/>
              </w:rPr>
              <w:t>序号</w:t>
            </w:r>
          </w:p>
        </w:tc>
        <w:tc>
          <w:tcPr>
            <w:tcW w:w="1935" w:type="dxa"/>
            <w:tcBorders>
              <w:top w:val="single" w:color="auto" w:sz="4" w:space="0"/>
              <w:left w:val="single" w:color="auto" w:sz="4" w:space="0"/>
              <w:bottom w:val="single" w:color="auto" w:sz="4" w:space="0"/>
              <w:right w:val="single" w:color="auto" w:sz="4" w:space="0"/>
            </w:tcBorders>
            <w:shd w:val="clear" w:color="auto" w:fill="C7DAF1"/>
            <w:vAlign w:val="center"/>
          </w:tcPr>
          <w:p w14:paraId="4147B946">
            <w:pPr>
              <w:spacing w:line="360" w:lineRule="exact"/>
              <w:jc w:val="center"/>
              <w:rPr>
                <w:color w:val="auto"/>
                <w:sz w:val="22"/>
                <w:highlight w:val="none"/>
              </w:rPr>
            </w:pPr>
            <w:r>
              <w:rPr>
                <w:color w:val="auto"/>
                <w:sz w:val="22"/>
                <w:highlight w:val="none"/>
              </w:rPr>
              <w:t>评分因素</w:t>
            </w:r>
          </w:p>
        </w:tc>
        <w:tc>
          <w:tcPr>
            <w:tcW w:w="930" w:type="dxa"/>
            <w:tcBorders>
              <w:top w:val="single" w:color="auto" w:sz="4" w:space="0"/>
              <w:left w:val="single" w:color="auto" w:sz="4" w:space="0"/>
              <w:bottom w:val="single" w:color="auto" w:sz="4" w:space="0"/>
              <w:right w:val="single" w:color="auto" w:sz="4" w:space="0"/>
            </w:tcBorders>
            <w:shd w:val="clear" w:color="auto" w:fill="C7DAF1"/>
            <w:vAlign w:val="center"/>
          </w:tcPr>
          <w:p w14:paraId="59DC83E4">
            <w:pPr>
              <w:spacing w:line="360" w:lineRule="exact"/>
              <w:jc w:val="center"/>
              <w:rPr>
                <w:color w:val="auto"/>
                <w:sz w:val="22"/>
                <w:highlight w:val="none"/>
              </w:rPr>
            </w:pPr>
            <w:r>
              <w:rPr>
                <w:color w:val="auto"/>
                <w:sz w:val="22"/>
                <w:highlight w:val="none"/>
              </w:rPr>
              <w:t>分值</w:t>
            </w:r>
          </w:p>
        </w:tc>
        <w:tc>
          <w:tcPr>
            <w:tcW w:w="5097" w:type="dxa"/>
            <w:tcBorders>
              <w:top w:val="single" w:color="auto" w:sz="4" w:space="0"/>
              <w:left w:val="single" w:color="auto" w:sz="4" w:space="0"/>
              <w:bottom w:val="single" w:color="auto" w:sz="4" w:space="0"/>
              <w:right w:val="single" w:color="auto" w:sz="4" w:space="0"/>
            </w:tcBorders>
            <w:shd w:val="clear" w:color="auto" w:fill="C7DAF1"/>
            <w:vAlign w:val="center"/>
          </w:tcPr>
          <w:p w14:paraId="1C736E3F">
            <w:pPr>
              <w:spacing w:line="240" w:lineRule="auto"/>
              <w:jc w:val="center"/>
              <w:rPr>
                <w:color w:val="auto"/>
                <w:sz w:val="22"/>
                <w:highlight w:val="none"/>
              </w:rPr>
            </w:pPr>
            <w:r>
              <w:rPr>
                <w:color w:val="auto"/>
                <w:sz w:val="22"/>
                <w:highlight w:val="none"/>
              </w:rPr>
              <w:t>评分准则</w:t>
            </w:r>
          </w:p>
        </w:tc>
      </w:tr>
      <w:tr w14:paraId="7F64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73C4C542">
            <w:pPr>
              <w:spacing w:line="360" w:lineRule="exact"/>
              <w:jc w:val="center"/>
              <w:rPr>
                <w:color w:val="auto"/>
                <w:sz w:val="22"/>
                <w:highlight w:val="none"/>
              </w:rPr>
            </w:pPr>
            <w:r>
              <w:rPr>
                <w:color w:val="auto"/>
                <w:sz w:val="22"/>
                <w:highlight w:val="none"/>
              </w:rPr>
              <w:t>1</w:t>
            </w:r>
          </w:p>
        </w:tc>
        <w:tc>
          <w:tcPr>
            <w:tcW w:w="1935" w:type="dxa"/>
            <w:tcBorders>
              <w:top w:val="single" w:color="auto" w:sz="4" w:space="0"/>
              <w:left w:val="single" w:color="auto" w:sz="4" w:space="0"/>
              <w:bottom w:val="single" w:color="auto" w:sz="4" w:space="0"/>
              <w:right w:val="single" w:color="auto" w:sz="4" w:space="0"/>
            </w:tcBorders>
            <w:vAlign w:val="center"/>
          </w:tcPr>
          <w:p w14:paraId="24132AB0">
            <w:pPr>
              <w:jc w:val="center"/>
              <w:rPr>
                <w:rFonts w:ascii="宋体" w:hAnsi="宋体"/>
                <w:szCs w:val="21"/>
              </w:rPr>
            </w:pPr>
            <w:r>
              <w:rPr>
                <w:rFonts w:hint="eastAsia" w:ascii="宋体" w:hAnsi="宋体"/>
                <w:szCs w:val="21"/>
              </w:rPr>
              <w:t>同类项目业绩</w:t>
            </w:r>
          </w:p>
          <w:p w14:paraId="3F755722">
            <w:pPr>
              <w:jc w:val="center"/>
              <w:rPr>
                <w:color w:val="auto"/>
                <w:sz w:val="22"/>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62038042">
            <w:pPr>
              <w:ind w:firstLine="210" w:firstLineChars="100"/>
              <w:jc w:val="both"/>
              <w:rPr>
                <w:color w:val="auto"/>
                <w:sz w:val="22"/>
                <w:highlight w:val="none"/>
              </w:rPr>
            </w:pPr>
            <w:r>
              <w:rPr>
                <w:rFonts w:hint="eastAsia" w:ascii="宋体" w:hAnsi="宋体"/>
                <w:szCs w:val="21"/>
                <w:lang w:val="en-US" w:eastAsia="zh-CN"/>
              </w:rPr>
              <w:t>12</w:t>
            </w:r>
          </w:p>
        </w:tc>
        <w:tc>
          <w:tcPr>
            <w:tcW w:w="5097" w:type="dxa"/>
            <w:tcBorders>
              <w:top w:val="single" w:color="auto" w:sz="4" w:space="0"/>
              <w:left w:val="single" w:color="auto" w:sz="4" w:space="0"/>
              <w:bottom w:val="single" w:color="auto" w:sz="4" w:space="0"/>
              <w:right w:val="single" w:color="auto" w:sz="4" w:space="0"/>
            </w:tcBorders>
            <w:vAlign w:val="top"/>
          </w:tcPr>
          <w:p w14:paraId="68FCDAF9">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39AF01F9">
            <w:pPr>
              <w:jc w:val="left"/>
              <w:rPr>
                <w:rFonts w:ascii="宋体" w:hAnsi="宋体"/>
                <w:b/>
                <w:szCs w:val="21"/>
              </w:rPr>
            </w:pPr>
            <w:r>
              <w:rPr>
                <w:rFonts w:hint="eastAsia" w:ascii="宋体" w:hAnsi="宋体"/>
                <w:szCs w:val="21"/>
              </w:rPr>
              <w:t>投标人2022</w:t>
            </w:r>
            <w:r>
              <w:rPr>
                <w:rFonts w:hint="eastAsia" w:ascii="宋体" w:hAnsi="宋体"/>
                <w:color w:val="auto"/>
                <w:szCs w:val="21"/>
              </w:rPr>
              <w:t>年</w:t>
            </w:r>
            <w:r>
              <w:rPr>
                <w:rFonts w:hint="eastAsia" w:ascii="宋体" w:hAnsi="宋体"/>
                <w:strike w:val="0"/>
                <w:dstrike w:val="0"/>
                <w:color w:val="auto"/>
                <w:szCs w:val="21"/>
                <w:lang w:val="en-US" w:eastAsia="zh-CN"/>
              </w:rPr>
              <w:t>6</w:t>
            </w:r>
            <w:r>
              <w:rPr>
                <w:rFonts w:hint="eastAsia" w:ascii="宋体" w:hAnsi="宋体"/>
                <w:color w:val="auto"/>
                <w:szCs w:val="21"/>
              </w:rPr>
              <w:t>月1日至投标截止时间</w:t>
            </w:r>
            <w:r>
              <w:rPr>
                <w:rFonts w:hint="eastAsia" w:ascii="宋体" w:hAnsi="宋体"/>
                <w:color w:val="auto"/>
                <w:szCs w:val="21"/>
                <w:lang w:eastAsia="zh-CN"/>
              </w:rPr>
              <w:t>（</w:t>
            </w:r>
            <w:r>
              <w:rPr>
                <w:rFonts w:hint="eastAsia" w:ascii="宋体" w:hAnsi="宋体"/>
                <w:color w:val="auto"/>
                <w:szCs w:val="21"/>
                <w:lang w:val="en-US" w:eastAsia="zh-CN"/>
              </w:rPr>
              <w:t>以合同签订时间为准）</w:t>
            </w:r>
            <w:r>
              <w:rPr>
                <w:rFonts w:hint="eastAsia" w:ascii="宋体" w:hAnsi="宋体"/>
                <w:color w:val="auto"/>
                <w:szCs w:val="21"/>
              </w:rPr>
              <w:t>已完成的</w:t>
            </w:r>
            <w:r>
              <w:rPr>
                <w:rFonts w:hint="eastAsia" w:ascii="宋体" w:hAnsi="宋体" w:eastAsia="宋体"/>
                <w:color w:val="auto"/>
                <w:szCs w:val="21"/>
              </w:rPr>
              <w:t>同类业绩</w:t>
            </w:r>
            <w:r>
              <w:rPr>
                <w:rFonts w:hint="eastAsia" w:ascii="宋体" w:hAnsi="宋体" w:eastAsia="宋体"/>
                <w:szCs w:val="21"/>
                <w:lang w:eastAsia="zh-CN"/>
              </w:rPr>
              <w:t>（</w:t>
            </w:r>
            <w:r>
              <w:rPr>
                <w:rFonts w:hint="eastAsia" w:ascii="宋体" w:hAnsi="宋体" w:eastAsia="宋体"/>
                <w:szCs w:val="21"/>
              </w:rPr>
              <w:t>房屋结构安全检测鉴定</w:t>
            </w:r>
            <w:r>
              <w:rPr>
                <w:rFonts w:hint="eastAsia" w:ascii="宋体" w:hAnsi="宋体" w:eastAsia="宋体"/>
                <w:szCs w:val="21"/>
                <w:lang w:val="en-US" w:eastAsia="zh-CN"/>
              </w:rPr>
              <w:t>或</w:t>
            </w:r>
            <w:r>
              <w:rPr>
                <w:rFonts w:hint="eastAsia" w:ascii="宋体" w:hAnsi="宋体" w:eastAsia="宋体"/>
                <w:szCs w:val="21"/>
              </w:rPr>
              <w:t>建筑主体及地基检测</w:t>
            </w:r>
            <w:r>
              <w:rPr>
                <w:rFonts w:hint="eastAsia" w:ascii="宋体" w:hAnsi="宋体" w:eastAsia="宋体"/>
                <w:szCs w:val="21"/>
                <w:lang w:val="en-US" w:eastAsia="zh-CN"/>
              </w:rPr>
              <w:t>或</w:t>
            </w:r>
            <w:r>
              <w:rPr>
                <w:rFonts w:hint="eastAsia" w:ascii="宋体" w:hAnsi="宋体" w:eastAsia="宋体"/>
                <w:szCs w:val="21"/>
              </w:rPr>
              <w:t>建筑结构评估</w:t>
            </w:r>
            <w:r>
              <w:rPr>
                <w:rFonts w:hint="eastAsia" w:ascii="宋体" w:hAnsi="宋体" w:eastAsia="宋体"/>
                <w:szCs w:val="21"/>
                <w:lang w:eastAsia="zh-CN"/>
              </w:rPr>
              <w:t>）</w:t>
            </w:r>
            <w:r>
              <w:rPr>
                <w:rFonts w:hint="eastAsia" w:ascii="宋体" w:hAnsi="宋体" w:eastAsia="宋体"/>
                <w:szCs w:val="21"/>
              </w:rPr>
              <w:t>，</w:t>
            </w:r>
            <w:r>
              <w:rPr>
                <w:rFonts w:hint="eastAsia" w:ascii="宋体" w:hAnsi="宋体" w:eastAsia="宋体"/>
                <w:color w:val="auto"/>
                <w:szCs w:val="21"/>
              </w:rPr>
              <w:t>每</w:t>
            </w:r>
            <w:r>
              <w:rPr>
                <w:rFonts w:hint="eastAsia" w:ascii="宋体" w:hAnsi="宋体"/>
                <w:szCs w:val="21"/>
              </w:rPr>
              <w:t>提供1个有效业绩得3分，最多得12分。</w:t>
            </w:r>
          </w:p>
          <w:p w14:paraId="67758450">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62CF6B49">
            <w:pPr>
              <w:jc w:val="left"/>
              <w:rPr>
                <w:color w:val="auto"/>
                <w:sz w:val="22"/>
                <w:szCs w:val="22"/>
                <w:highlight w:val="none"/>
              </w:rPr>
            </w:pPr>
            <w:r>
              <w:rPr>
                <w:rFonts w:hint="eastAsia" w:ascii="宋体" w:hAnsi="宋体"/>
                <w:szCs w:val="21"/>
              </w:rPr>
              <w:t>投标人须提供项目合同</w:t>
            </w:r>
            <w:r>
              <w:rPr>
                <w:rFonts w:hint="eastAsia" w:ascii="宋体" w:hAnsi="宋体"/>
                <w:color w:val="auto"/>
                <w:szCs w:val="21"/>
              </w:rPr>
              <w:t>关键页</w:t>
            </w:r>
            <w:r>
              <w:rPr>
                <w:rFonts w:hint="eastAsia" w:ascii="宋体" w:hAnsi="宋体" w:eastAsia="宋体" w:cs="宋体"/>
                <w:color w:val="auto"/>
                <w:sz w:val="22"/>
                <w:highlight w:val="none"/>
              </w:rPr>
              <w:t>（包括但不限于合同双方的单位名称、合同项目名称、项目内容、合同双方的签字盖章页、签订日期等）</w:t>
            </w:r>
            <w:r>
              <w:rPr>
                <w:rFonts w:hint="eastAsia" w:ascii="宋体" w:hAnsi="宋体"/>
                <w:color w:val="auto"/>
                <w:szCs w:val="21"/>
              </w:rPr>
              <w:t>，原</w:t>
            </w:r>
            <w:r>
              <w:rPr>
                <w:rFonts w:hint="eastAsia" w:ascii="宋体" w:hAnsi="宋体"/>
                <w:szCs w:val="21"/>
              </w:rPr>
              <w:t>件备查。</w:t>
            </w:r>
            <w:r>
              <w:rPr>
                <w:rFonts w:hint="eastAsia"/>
                <w:szCs w:val="21"/>
              </w:rPr>
              <w:t>未提供或提供不清晰导致无法判断的，不得分</w:t>
            </w:r>
            <w:r>
              <w:rPr>
                <w:rFonts w:hint="eastAsia" w:ascii="宋体" w:hAnsi="宋体" w:cs="宋体"/>
                <w:kern w:val="0"/>
                <w:szCs w:val="21"/>
              </w:rPr>
              <w:t>。</w:t>
            </w:r>
          </w:p>
        </w:tc>
      </w:tr>
      <w:tr w14:paraId="7F34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6DD8A975">
            <w:pPr>
              <w:spacing w:line="360" w:lineRule="exact"/>
              <w:jc w:val="center"/>
              <w:rPr>
                <w:color w:val="auto"/>
                <w:sz w:val="22"/>
                <w:highlight w:val="none"/>
              </w:rPr>
            </w:pPr>
            <w:r>
              <w:rPr>
                <w:color w:val="auto"/>
                <w:sz w:val="22"/>
                <w:highlight w:val="none"/>
              </w:rPr>
              <w:t>2</w:t>
            </w:r>
          </w:p>
        </w:tc>
        <w:tc>
          <w:tcPr>
            <w:tcW w:w="1935" w:type="dxa"/>
            <w:tcBorders>
              <w:top w:val="single" w:color="auto" w:sz="4" w:space="0"/>
              <w:left w:val="single" w:color="auto" w:sz="4" w:space="0"/>
              <w:bottom w:val="single" w:color="auto" w:sz="4" w:space="0"/>
              <w:right w:val="single" w:color="auto" w:sz="4" w:space="0"/>
            </w:tcBorders>
            <w:vAlign w:val="center"/>
          </w:tcPr>
          <w:p w14:paraId="4A4477D3">
            <w:pPr>
              <w:jc w:val="center"/>
              <w:rPr>
                <w:rFonts w:ascii="宋体" w:hAnsi="宋体" w:cs="宋体"/>
                <w:szCs w:val="21"/>
              </w:rPr>
            </w:pPr>
            <w:r>
              <w:rPr>
                <w:rFonts w:hint="eastAsia" w:ascii="宋体" w:hAnsi="宋体" w:cs="宋体"/>
                <w:szCs w:val="21"/>
              </w:rPr>
              <w:t>履约评价</w:t>
            </w:r>
          </w:p>
          <w:p w14:paraId="4B2A0CC9">
            <w:pPr>
              <w:jc w:val="center"/>
              <w:rPr>
                <w:rFonts w:hint="eastAsia" w:ascii="宋体" w:hAnsi="宋体"/>
                <w:szCs w:val="21"/>
              </w:rPr>
            </w:pPr>
          </w:p>
        </w:tc>
        <w:tc>
          <w:tcPr>
            <w:tcW w:w="930" w:type="dxa"/>
            <w:tcBorders>
              <w:top w:val="single" w:color="auto" w:sz="4" w:space="0"/>
              <w:left w:val="single" w:color="auto" w:sz="4" w:space="0"/>
              <w:bottom w:val="single" w:color="auto" w:sz="4" w:space="0"/>
              <w:right w:val="single" w:color="auto" w:sz="4" w:space="0"/>
            </w:tcBorders>
            <w:vAlign w:val="center"/>
          </w:tcPr>
          <w:p w14:paraId="7837909E">
            <w:pPr>
              <w:jc w:val="center"/>
              <w:rPr>
                <w:rFonts w:hint="default" w:ascii="宋体" w:hAnsi="宋体"/>
                <w:szCs w:val="21"/>
                <w:lang w:val="en-US" w:eastAsia="zh-CN"/>
              </w:rPr>
            </w:pPr>
            <w:r>
              <w:rPr>
                <w:rFonts w:hint="eastAsia" w:ascii="宋体" w:hAnsi="宋体" w:cs="宋体"/>
                <w:szCs w:val="21"/>
                <w:lang w:val="en-US" w:eastAsia="zh-CN"/>
              </w:rPr>
              <w:t>8</w:t>
            </w:r>
          </w:p>
        </w:tc>
        <w:tc>
          <w:tcPr>
            <w:tcW w:w="5097" w:type="dxa"/>
            <w:tcBorders>
              <w:top w:val="single" w:color="auto" w:sz="4" w:space="0"/>
              <w:left w:val="single" w:color="auto" w:sz="4" w:space="0"/>
              <w:bottom w:val="single" w:color="auto" w:sz="4" w:space="0"/>
              <w:right w:val="single" w:color="auto" w:sz="4" w:space="0"/>
            </w:tcBorders>
            <w:vAlign w:val="top"/>
          </w:tcPr>
          <w:p w14:paraId="4A1BD25E">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6E54B907">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投标人在上述“同类项目业绩”评审项中参加评审并被认定有效的业绩，能够提供合同甲方出具的履约评价书</w:t>
            </w:r>
            <w:r>
              <w:rPr>
                <w:rFonts w:hint="eastAsia" w:ascii="宋体" w:hAnsi="宋体"/>
                <w:color w:val="auto"/>
                <w:szCs w:val="21"/>
              </w:rPr>
              <w:t>（加盖公章）</w:t>
            </w:r>
            <w:r>
              <w:rPr>
                <w:rFonts w:hint="eastAsia" w:ascii="宋体" w:hAnsi="宋体" w:cs="宋体"/>
                <w:color w:val="auto"/>
                <w:szCs w:val="21"/>
                <w:highlight w:val="none"/>
              </w:rPr>
              <w:t>，且评价为优（或评价中的最高等级）的，每份评价书得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分，评价为</w:t>
            </w:r>
            <w:r>
              <w:rPr>
                <w:rFonts w:hint="eastAsia" w:ascii="宋体" w:hAnsi="宋体" w:cs="宋体"/>
                <w:color w:val="auto"/>
                <w:szCs w:val="21"/>
                <w:highlight w:val="none"/>
                <w:lang w:val="en-US" w:eastAsia="zh-CN"/>
              </w:rPr>
              <w:t>良</w:t>
            </w:r>
            <w:r>
              <w:rPr>
                <w:rFonts w:hint="eastAsia" w:ascii="宋体" w:hAnsi="宋体" w:cs="宋体"/>
                <w:color w:val="auto"/>
                <w:szCs w:val="21"/>
                <w:highlight w:val="none"/>
              </w:rPr>
              <w:t>（或评价中的</w:t>
            </w:r>
            <w:r>
              <w:rPr>
                <w:rFonts w:hint="eastAsia" w:ascii="宋体" w:hAnsi="宋体" w:cs="宋体"/>
                <w:color w:val="auto"/>
                <w:szCs w:val="21"/>
                <w:highlight w:val="none"/>
                <w:lang w:val="en-US" w:eastAsia="zh-CN"/>
              </w:rPr>
              <w:t>次</w:t>
            </w:r>
            <w:r>
              <w:rPr>
                <w:rFonts w:hint="eastAsia" w:ascii="宋体" w:hAnsi="宋体" w:cs="宋体"/>
                <w:color w:val="auto"/>
                <w:szCs w:val="21"/>
                <w:highlight w:val="none"/>
              </w:rPr>
              <w:t>高等级）的，每份评价书得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分，其他情况得0分，最高得</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p>
          <w:p w14:paraId="2E2A60F3">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0CD2AE79">
            <w:pPr>
              <w:spacing w:line="240" w:lineRule="auto"/>
              <w:rPr>
                <w:rFonts w:hint="eastAsia" w:ascii="宋体" w:hAnsi="宋体"/>
                <w:szCs w:val="21"/>
              </w:rPr>
            </w:pPr>
            <w:r>
              <w:rPr>
                <w:rFonts w:hint="eastAsia" w:ascii="宋体" w:hAnsi="宋体"/>
                <w:szCs w:val="21"/>
              </w:rPr>
              <w:t>投标人提供用户出具的履约评价书（</w:t>
            </w:r>
            <w:r>
              <w:rPr>
                <w:rFonts w:hint="eastAsia"/>
              </w:rPr>
              <w:t>加盖用户单位公章）</w:t>
            </w:r>
            <w:r>
              <w:rPr>
                <w:rFonts w:hint="eastAsia" w:ascii="宋体" w:hAnsi="宋体"/>
                <w:szCs w:val="21"/>
              </w:rPr>
              <w:t>原件扫描件，原件备查，</w:t>
            </w:r>
            <w:r>
              <w:rPr>
                <w:rFonts w:hint="eastAsia"/>
                <w:szCs w:val="21"/>
              </w:rPr>
              <w:t>未提供或提供不清晰导致无法判断的，不得分</w:t>
            </w:r>
            <w:r>
              <w:rPr>
                <w:rFonts w:hint="eastAsia" w:ascii="宋体" w:hAnsi="宋体" w:cs="宋体"/>
                <w:kern w:val="0"/>
                <w:szCs w:val="21"/>
              </w:rPr>
              <w:t>。</w:t>
            </w:r>
          </w:p>
        </w:tc>
      </w:tr>
      <w:tr w14:paraId="7D6C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A15E11E">
            <w:pPr>
              <w:spacing w:line="360" w:lineRule="exact"/>
              <w:jc w:val="center"/>
              <w:rPr>
                <w:color w:val="auto"/>
                <w:sz w:val="22"/>
                <w:highlight w:val="none"/>
              </w:rPr>
            </w:pPr>
            <w:r>
              <w:rPr>
                <w:color w:val="auto"/>
                <w:sz w:val="22"/>
                <w:highlight w:val="none"/>
              </w:rPr>
              <w:t>3</w:t>
            </w:r>
          </w:p>
        </w:tc>
        <w:tc>
          <w:tcPr>
            <w:tcW w:w="1935" w:type="dxa"/>
            <w:tcBorders>
              <w:top w:val="single" w:color="auto" w:sz="4" w:space="0"/>
              <w:left w:val="single" w:color="auto" w:sz="4" w:space="0"/>
              <w:bottom w:val="single" w:color="auto" w:sz="4" w:space="0"/>
              <w:right w:val="single" w:color="auto" w:sz="4" w:space="0"/>
            </w:tcBorders>
            <w:vAlign w:val="center"/>
          </w:tcPr>
          <w:p w14:paraId="3A0C0F18">
            <w:pPr>
              <w:jc w:val="center"/>
              <w:rPr>
                <w:rFonts w:hint="eastAsia" w:ascii="宋体" w:hAnsi="宋体"/>
                <w:szCs w:val="21"/>
              </w:rPr>
            </w:pPr>
            <w:r>
              <w:rPr>
                <w:rFonts w:hint="eastAsia" w:ascii="宋体" w:hAnsi="宋体" w:eastAsia="宋体"/>
                <w:szCs w:val="21"/>
              </w:rPr>
              <w:t>项目检测设备配置及先进性</w:t>
            </w:r>
          </w:p>
        </w:tc>
        <w:tc>
          <w:tcPr>
            <w:tcW w:w="930" w:type="dxa"/>
            <w:tcBorders>
              <w:top w:val="single" w:color="auto" w:sz="4" w:space="0"/>
              <w:left w:val="single" w:color="auto" w:sz="4" w:space="0"/>
              <w:bottom w:val="single" w:color="auto" w:sz="4" w:space="0"/>
              <w:right w:val="single" w:color="auto" w:sz="4" w:space="0"/>
            </w:tcBorders>
            <w:vAlign w:val="center"/>
          </w:tcPr>
          <w:p w14:paraId="06FCAA8A">
            <w:pPr>
              <w:jc w:val="center"/>
              <w:rPr>
                <w:rFonts w:hint="default" w:ascii="宋体" w:hAnsi="宋体"/>
                <w:szCs w:val="21"/>
                <w:lang w:val="en-US" w:eastAsia="zh-CN"/>
              </w:rPr>
            </w:pPr>
            <w:r>
              <w:rPr>
                <w:rFonts w:hint="eastAsia"/>
                <w:lang w:val="en-US" w:eastAsia="zh-CN"/>
              </w:rPr>
              <w:t>7</w:t>
            </w:r>
          </w:p>
        </w:tc>
        <w:tc>
          <w:tcPr>
            <w:tcW w:w="5097" w:type="dxa"/>
            <w:tcBorders>
              <w:top w:val="single" w:color="auto" w:sz="4" w:space="0"/>
              <w:left w:val="single" w:color="auto" w:sz="4" w:space="0"/>
              <w:bottom w:val="single" w:color="auto" w:sz="4" w:space="0"/>
              <w:right w:val="single" w:color="auto" w:sz="4" w:space="0"/>
            </w:tcBorders>
            <w:vAlign w:val="top"/>
          </w:tcPr>
          <w:p w14:paraId="39975857">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27423FD9">
            <w:pPr>
              <w:numPr>
                <w:ilvl w:val="0"/>
                <w:numId w:val="0"/>
              </w:numPr>
              <w:ind w:left="0" w:firstLine="0"/>
              <w:jc w:val="left"/>
              <w:rPr>
                <w:rFonts w:hint="eastAsia"/>
              </w:rPr>
            </w:pPr>
            <w:r>
              <w:rPr>
                <w:rFonts w:hint="eastAsia"/>
              </w:rPr>
              <w:t>根据本项目房屋结构安全检测需求（含主体结构承重构件检测、地基基础检测及钢结构检测），对投标人拟投入的检测设备进行评审：</w:t>
            </w:r>
          </w:p>
          <w:p w14:paraId="57EB8058">
            <w:pPr>
              <w:numPr>
                <w:ilvl w:val="0"/>
                <w:numId w:val="0"/>
              </w:numPr>
              <w:ind w:left="0" w:firstLine="0"/>
              <w:jc w:val="left"/>
              <w:rPr>
                <w:rFonts w:hint="eastAsia"/>
              </w:rPr>
            </w:pPr>
            <w:r>
              <w:rPr>
                <w:rFonts w:hint="eastAsia"/>
              </w:rPr>
              <w:t>1.拥有数字式混凝土回弹仪（用于现场检测梁、板、柱等承重构件的混凝土强度）；</w:t>
            </w:r>
          </w:p>
          <w:p w14:paraId="1A658246">
            <w:pPr>
              <w:numPr>
                <w:ilvl w:val="0"/>
                <w:numId w:val="0"/>
              </w:numPr>
              <w:ind w:left="0" w:firstLine="0"/>
              <w:jc w:val="left"/>
              <w:rPr>
                <w:rFonts w:hint="eastAsia"/>
              </w:rPr>
            </w:pPr>
            <w:r>
              <w:rPr>
                <w:rFonts w:hint="eastAsia"/>
              </w:rPr>
              <w:t>2.拥有钢筋探测仪/钢筋扫描仪（用于检测承重构件钢筋分布、保护层厚度）；</w:t>
            </w:r>
          </w:p>
          <w:p w14:paraId="693AAF1D">
            <w:pPr>
              <w:numPr>
                <w:ilvl w:val="0"/>
                <w:numId w:val="0"/>
              </w:numPr>
              <w:ind w:left="0" w:firstLine="0"/>
              <w:jc w:val="left"/>
              <w:rPr>
                <w:rFonts w:hint="eastAsia"/>
              </w:rPr>
            </w:pPr>
            <w:r>
              <w:rPr>
                <w:rFonts w:hint="eastAsia"/>
              </w:rPr>
              <w:t>3.拥有非金属超声波检测仪（用于检测混凝土内部缺陷、裂缝深度，评估结构完整性）；</w:t>
            </w:r>
          </w:p>
          <w:p w14:paraId="71E7EB8F">
            <w:pPr>
              <w:numPr>
                <w:ilvl w:val="0"/>
                <w:numId w:val="0"/>
              </w:numPr>
              <w:ind w:left="0" w:firstLine="0"/>
              <w:jc w:val="left"/>
              <w:rPr>
                <w:rFonts w:hint="eastAsia"/>
              </w:rPr>
            </w:pPr>
            <w:r>
              <w:rPr>
                <w:rFonts w:hint="eastAsia"/>
              </w:rPr>
              <w:t>4.拥有超声波测厚仪（用于精准测量钢构件及混凝土构件截面厚度，为承载力验算提供依据）；</w:t>
            </w:r>
          </w:p>
          <w:p w14:paraId="09F2E11A">
            <w:pPr>
              <w:numPr>
                <w:ilvl w:val="0"/>
                <w:numId w:val="0"/>
              </w:numPr>
              <w:ind w:left="0" w:firstLine="0"/>
              <w:jc w:val="left"/>
              <w:rPr>
                <w:rFonts w:hint="eastAsia" w:eastAsia="宋体"/>
                <w:lang w:eastAsia="zh-CN"/>
              </w:rPr>
            </w:pPr>
            <w:r>
              <w:rPr>
                <w:rFonts w:hint="eastAsia"/>
              </w:rPr>
              <w:t>5.拥有全站仪或电子经纬仪（用于测量房屋整体倾斜、梁板挠度变形）</w:t>
            </w:r>
            <w:r>
              <w:rPr>
                <w:rFonts w:hint="eastAsia"/>
                <w:lang w:eastAsia="zh-CN"/>
              </w:rPr>
              <w:t>；</w:t>
            </w:r>
          </w:p>
          <w:p w14:paraId="437A9DEA">
            <w:pPr>
              <w:numPr>
                <w:ilvl w:val="0"/>
                <w:numId w:val="0"/>
              </w:numPr>
              <w:ind w:left="0" w:firstLine="0"/>
              <w:jc w:val="left"/>
              <w:rPr>
                <w:rFonts w:hint="eastAsia"/>
              </w:rPr>
            </w:pPr>
            <w:r>
              <w:rPr>
                <w:rFonts w:hint="eastAsia"/>
                <w:lang w:val="en-US" w:eastAsia="zh-CN"/>
              </w:rPr>
              <w:t>6.</w:t>
            </w:r>
            <w:r>
              <w:rPr>
                <w:rFonts w:hint="eastAsia"/>
              </w:rPr>
              <w:t>拥有裂缝综合检测仪（精准测量裂缝宽度）；</w:t>
            </w:r>
          </w:p>
          <w:p w14:paraId="4B38BE32">
            <w:pPr>
              <w:numPr>
                <w:ilvl w:val="0"/>
                <w:numId w:val="0"/>
              </w:numPr>
              <w:ind w:left="0" w:firstLine="0"/>
              <w:jc w:val="left"/>
              <w:rPr>
                <w:rFonts w:hint="eastAsia"/>
              </w:rPr>
            </w:pPr>
            <w:r>
              <w:rPr>
                <w:rFonts w:hint="eastAsia"/>
                <w:lang w:val="en-US" w:eastAsia="zh-CN"/>
              </w:rPr>
              <w:t>7.</w:t>
            </w:r>
            <w:r>
              <w:rPr>
                <w:rFonts w:hint="eastAsia"/>
              </w:rPr>
              <w:t>拥有静力荷载测试设备（用于现场承重构件荷载试验）；</w:t>
            </w:r>
          </w:p>
          <w:p w14:paraId="18A4FA5D">
            <w:pPr>
              <w:numPr>
                <w:ilvl w:val="0"/>
                <w:numId w:val="0"/>
              </w:numPr>
              <w:ind w:left="0" w:firstLine="0"/>
              <w:jc w:val="left"/>
              <w:rPr>
                <w:rFonts w:hint="eastAsia" w:ascii="宋体" w:hAnsi="宋体" w:eastAsia="宋体" w:cs="宋体"/>
                <w:color w:val="000000"/>
                <w:kern w:val="0"/>
                <w:szCs w:val="21"/>
              </w:rPr>
            </w:pPr>
            <w:r>
              <w:rPr>
                <w:rFonts w:hint="eastAsia" w:ascii="宋体" w:hAnsi="宋体" w:eastAsia="宋体" w:cs="宋体"/>
                <w:color w:val="000000"/>
                <w:kern w:val="0"/>
                <w:szCs w:val="21"/>
              </w:rPr>
              <w:t>具有一项得</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分，最高得</w:t>
            </w: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分。</w:t>
            </w:r>
          </w:p>
          <w:p w14:paraId="2457A829">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44DA5E55">
            <w:pPr>
              <w:widowControl/>
              <w:numPr>
                <w:ilvl w:val="255"/>
                <w:numId w:val="0"/>
              </w:numPr>
              <w:jc w:val="left"/>
              <w:rPr>
                <w:rFonts w:hint="eastAsia" w:ascii="宋体" w:hAnsi="宋体" w:eastAsia="宋体" w:cs="宋体"/>
                <w:color w:val="000000"/>
                <w:kern w:val="0"/>
                <w:szCs w:val="21"/>
              </w:rPr>
            </w:pPr>
            <w:r>
              <w:rPr>
                <w:rFonts w:hint="eastAsia" w:ascii="宋体" w:hAnsi="宋体" w:eastAsia="宋体" w:cs="宋体"/>
                <w:color w:val="000000"/>
                <w:kern w:val="0"/>
                <w:szCs w:val="21"/>
              </w:rPr>
              <w:t>1.如为自有，提供</w:t>
            </w:r>
            <w:r>
              <w:rPr>
                <w:rFonts w:hint="eastAsia" w:ascii="宋体" w:hAnsi="宋体" w:cs="宋体"/>
                <w:color w:val="000000"/>
                <w:kern w:val="0"/>
                <w:szCs w:val="21"/>
                <w:lang w:val="en-US" w:eastAsia="zh-CN"/>
              </w:rPr>
              <w:t>设备采购合同或采购发票</w:t>
            </w:r>
            <w:r>
              <w:rPr>
                <w:rFonts w:hint="eastAsia" w:ascii="宋体" w:hAnsi="宋体" w:eastAsia="宋体" w:cs="宋体"/>
                <w:color w:val="000000"/>
                <w:kern w:val="0"/>
                <w:szCs w:val="21"/>
              </w:rPr>
              <w:t>；</w:t>
            </w:r>
          </w:p>
          <w:p w14:paraId="02D36512">
            <w:pPr>
              <w:widowControl/>
              <w:numPr>
                <w:ilvl w:val="255"/>
                <w:numId w:val="0"/>
              </w:numPr>
              <w:jc w:val="left"/>
              <w:rPr>
                <w:rFonts w:hint="eastAsia" w:ascii="宋体" w:hAnsi="宋体" w:eastAsia="宋体" w:cs="宋体"/>
                <w:color w:val="000000"/>
                <w:kern w:val="0"/>
                <w:szCs w:val="21"/>
              </w:rPr>
            </w:pPr>
            <w:r>
              <w:rPr>
                <w:rFonts w:hint="eastAsia" w:ascii="宋体" w:hAnsi="宋体" w:eastAsia="宋体" w:cs="宋体"/>
                <w:color w:val="000000"/>
                <w:kern w:val="0"/>
                <w:szCs w:val="21"/>
              </w:rPr>
              <w:t>2.如为租赁，提供</w:t>
            </w:r>
            <w:r>
              <w:rPr>
                <w:rFonts w:hint="eastAsia" w:ascii="宋体" w:hAnsi="宋体" w:cs="宋体"/>
                <w:color w:val="000000"/>
                <w:kern w:val="0"/>
                <w:szCs w:val="21"/>
                <w:lang w:val="en-US" w:eastAsia="zh-CN"/>
              </w:rPr>
              <w:t>租赁合同（或租赁发票）及承诺函（承诺中标后设备租赁期限涵盖本项目服务期限，格式自拟）</w:t>
            </w:r>
            <w:r>
              <w:rPr>
                <w:rFonts w:hint="eastAsia" w:ascii="宋体" w:hAnsi="宋体" w:eastAsia="宋体" w:cs="宋体"/>
                <w:color w:val="000000"/>
                <w:kern w:val="0"/>
                <w:szCs w:val="21"/>
              </w:rPr>
              <w:t>；</w:t>
            </w:r>
          </w:p>
          <w:p w14:paraId="304FDC45">
            <w:pPr>
              <w:spacing w:line="240" w:lineRule="auto"/>
              <w:rPr>
                <w:rFonts w:hint="eastAsia"/>
                <w:highlight w:val="none"/>
              </w:rPr>
            </w:pPr>
            <w:r>
              <w:rPr>
                <w:rFonts w:hint="eastAsia"/>
                <w:highlight w:val="none"/>
                <w:lang w:val="en-US" w:eastAsia="zh-CN"/>
              </w:rPr>
              <w:t>3</w:t>
            </w:r>
            <w:r>
              <w:rPr>
                <w:rFonts w:hint="eastAsia"/>
                <w:highlight w:val="none"/>
              </w:rPr>
              <w:t>.提供以上设备有效的检定/校准证书（须在有效期内）复印件并加盖投标人公章，未提供或已过期的对应项不得分；</w:t>
            </w:r>
          </w:p>
          <w:p w14:paraId="1473C71C">
            <w:pPr>
              <w:spacing w:line="240" w:lineRule="auto"/>
              <w:rPr>
                <w:rFonts w:hint="eastAsia" w:ascii="宋体" w:hAnsi="宋体"/>
                <w:szCs w:val="21"/>
              </w:rPr>
            </w:pPr>
            <w:r>
              <w:rPr>
                <w:rFonts w:hint="eastAsia" w:ascii="宋体" w:hAnsi="宋体" w:cs="宋体"/>
                <w:color w:val="000000"/>
                <w:kern w:val="0"/>
                <w:szCs w:val="21"/>
                <w:lang w:val="en-US" w:eastAsia="zh-CN"/>
              </w:rPr>
              <w:t>4.相关证明材料的设备名称与招标文件的设备名称不完全一致的，需提供为同种设备的说明；若名称不完全一致又未提供说明的，由评审委员会判定是否符合招标文件要求。</w:t>
            </w:r>
          </w:p>
        </w:tc>
      </w:tr>
      <w:tr w14:paraId="3DE8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auto"/>
            <w:vAlign w:val="center"/>
          </w:tcPr>
          <w:p w14:paraId="3A99D7B9">
            <w:pPr>
              <w:jc w:val="center"/>
              <w:rPr>
                <w:rFonts w:hint="eastAsia" w:ascii="Calibri" w:hAnsi="Calibri" w:eastAsia="宋体" w:cs="黑体"/>
                <w:kern w:val="2"/>
                <w:sz w:val="21"/>
                <w:szCs w:val="21"/>
                <w:lang w:val="en-US" w:eastAsia="zh-CN" w:bidi="ar-SA"/>
              </w:rPr>
            </w:pPr>
            <w:r>
              <w:rPr>
                <w:rFonts w:hint="eastAsia"/>
                <w:szCs w:val="21"/>
              </w:rPr>
              <w:t>4</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14:paraId="5DCFE85D">
            <w:pPr>
              <w:rPr>
                <w:rFonts w:hint="eastAsia" w:ascii="Calibri" w:hAnsi="Calibri" w:eastAsia="宋体" w:cs="黑体"/>
                <w:kern w:val="2"/>
                <w:sz w:val="21"/>
                <w:szCs w:val="24"/>
                <w:lang w:val="en-US" w:eastAsia="zh-CN" w:bidi="ar-SA"/>
              </w:rPr>
            </w:pPr>
            <w:r>
              <w:rPr>
                <w:rFonts w:hint="eastAsia" w:ascii="宋体" w:hAnsi="宋体" w:eastAsia="宋体"/>
                <w:szCs w:val="21"/>
              </w:rPr>
              <w:t>体系认证证书情况</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0997982E">
            <w:pPr>
              <w:jc w:val="center"/>
              <w:rPr>
                <w:rFonts w:hint="eastAsia" w:ascii="Calibri" w:hAnsi="Calibri" w:eastAsia="宋体" w:cs="黑体"/>
                <w:kern w:val="2"/>
                <w:sz w:val="21"/>
                <w:szCs w:val="24"/>
                <w:lang w:val="en-US" w:eastAsia="zh-CN" w:bidi="ar-SA"/>
              </w:rPr>
            </w:pPr>
            <w:r>
              <w:rPr>
                <w:rFonts w:hint="eastAsia"/>
                <w:lang w:val="en-US" w:eastAsia="zh-CN"/>
              </w:rPr>
              <w:t>6</w:t>
            </w:r>
          </w:p>
        </w:tc>
        <w:tc>
          <w:tcPr>
            <w:tcW w:w="5097" w:type="dxa"/>
            <w:tcBorders>
              <w:top w:val="single" w:color="auto" w:sz="4" w:space="0"/>
              <w:left w:val="single" w:color="auto" w:sz="4" w:space="0"/>
              <w:bottom w:val="single" w:color="auto" w:sz="4" w:space="0"/>
              <w:right w:val="single" w:color="auto" w:sz="4" w:space="0"/>
            </w:tcBorders>
            <w:shd w:val="clear" w:color="auto" w:fill="auto"/>
            <w:vAlign w:val="top"/>
          </w:tcPr>
          <w:p w14:paraId="30794C00">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30134EAD">
            <w:pPr>
              <w:spacing w:line="240" w:lineRule="auto"/>
              <w:rPr>
                <w:rFonts w:hint="eastAsia"/>
              </w:rPr>
            </w:pPr>
            <w:r>
              <w:rPr>
                <w:rFonts w:hint="eastAsia"/>
              </w:rPr>
              <w:t>投标人具备有效体系认证：①质量管理体系认证、②环境管理体系认证、③职业健康安全管理体系认证，每提供1项得</w:t>
            </w:r>
            <w:r>
              <w:rPr>
                <w:rFonts w:hint="eastAsia"/>
                <w:lang w:val="en-US" w:eastAsia="zh-CN"/>
              </w:rPr>
              <w:t>2</w:t>
            </w:r>
            <w:r>
              <w:rPr>
                <w:rFonts w:hint="eastAsia"/>
              </w:rPr>
              <w:t>分，全部提供</w:t>
            </w:r>
            <w:r>
              <w:rPr>
                <w:rFonts w:hint="eastAsia"/>
                <w:lang w:val="en-US" w:eastAsia="zh-CN"/>
              </w:rPr>
              <w:t>最高</w:t>
            </w:r>
            <w:r>
              <w:rPr>
                <w:rFonts w:hint="eastAsia"/>
              </w:rPr>
              <w:t>得</w:t>
            </w:r>
            <w:r>
              <w:rPr>
                <w:rFonts w:hint="eastAsia"/>
                <w:lang w:val="en-US" w:eastAsia="zh-CN"/>
              </w:rPr>
              <w:t>6</w:t>
            </w:r>
            <w:r>
              <w:rPr>
                <w:rFonts w:hint="eastAsia"/>
              </w:rPr>
              <w:t>分。</w:t>
            </w:r>
          </w:p>
          <w:p w14:paraId="6DAF2B7D">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06C9E235">
            <w:pPr>
              <w:numPr>
                <w:ilvl w:val="0"/>
                <w:numId w:val="0"/>
              </w:numPr>
              <w:spacing w:line="240" w:lineRule="auto"/>
              <w:rPr>
                <w:rFonts w:hint="eastAsia" w:ascii="Calibri" w:hAnsi="Calibri" w:eastAsia="宋体" w:cs="黑体"/>
                <w:b/>
                <w:bCs/>
                <w:kern w:val="2"/>
                <w:sz w:val="21"/>
                <w:szCs w:val="24"/>
                <w:lang w:val="en-US" w:eastAsia="zh-CN" w:bidi="ar-SA"/>
              </w:rPr>
            </w:pPr>
            <w:r>
              <w:rPr>
                <w:rFonts w:hint="eastAsia"/>
              </w:rPr>
              <w:t>投标人提供认证证书复印件及全国认证认可信息公共服务平台（http://cx.cnca.cn） 查询截图，证书状态须为“有效”。若投标人因成立时间不足3个月而无法取得上述认证，可提供承诺函（格式自拟，内容须包含：承诺在中标后</w:t>
            </w:r>
            <w:r>
              <w:rPr>
                <w:rFonts w:hint="eastAsia"/>
                <w:color w:val="auto"/>
                <w:lang w:val="en-US" w:eastAsia="zh-CN"/>
              </w:rPr>
              <w:t>4</w:t>
            </w:r>
            <w:r>
              <w:rPr>
                <w:rFonts w:hint="eastAsia"/>
                <w:color w:val="auto"/>
              </w:rPr>
              <w:t>个</w:t>
            </w:r>
            <w:r>
              <w:rPr>
                <w:rFonts w:hint="eastAsia"/>
              </w:rPr>
              <w:t>月内取得相关认证，此项按对应分值计分。以上</w:t>
            </w:r>
            <w:r>
              <w:rPr>
                <w:rFonts w:hint="eastAsia"/>
                <w:lang w:val="en-US" w:eastAsia="zh-CN"/>
              </w:rPr>
              <w:t>资料</w:t>
            </w:r>
            <w:r>
              <w:rPr>
                <w:rFonts w:hint="eastAsia"/>
              </w:rPr>
              <w:t>复印件加盖公章，原件备查，不清晰或未提供不得分。</w:t>
            </w:r>
          </w:p>
        </w:tc>
      </w:tr>
      <w:tr w14:paraId="4B88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23866F3">
            <w:pPr>
              <w:spacing w:line="360" w:lineRule="exact"/>
              <w:jc w:val="center"/>
              <w:rPr>
                <w:rFonts w:hint="eastAsia" w:ascii="Calibri" w:hAnsi="Calibri" w:eastAsia="宋体" w:cs="黑体"/>
                <w:b/>
                <w:bCs/>
                <w:color w:val="auto"/>
                <w:kern w:val="2"/>
                <w:sz w:val="22"/>
                <w:szCs w:val="24"/>
                <w:highlight w:val="none"/>
                <w:lang w:val="en-US" w:eastAsia="zh-CN" w:bidi="ar-SA"/>
              </w:rPr>
            </w:pPr>
            <w:r>
              <w:rPr>
                <w:rFonts w:hint="eastAsia"/>
                <w:b/>
                <w:bCs/>
                <w:color w:val="auto"/>
                <w:sz w:val="22"/>
                <w:highlight w:val="none"/>
                <w:lang w:val="en-US" w:eastAsia="zh-CN"/>
              </w:rPr>
              <w:t>诚信</w:t>
            </w:r>
            <w:r>
              <w:rPr>
                <w:b/>
                <w:bCs/>
                <w:color w:val="auto"/>
                <w:sz w:val="22"/>
                <w:highlight w:val="none"/>
              </w:rPr>
              <w:t>部分</w:t>
            </w:r>
          </w:p>
        </w:tc>
        <w:tc>
          <w:tcPr>
            <w:tcW w:w="5097" w:type="dxa"/>
            <w:tcBorders>
              <w:top w:val="single" w:color="auto" w:sz="4" w:space="0"/>
              <w:left w:val="single" w:color="auto" w:sz="4" w:space="0"/>
              <w:bottom w:val="single" w:color="auto" w:sz="4" w:space="0"/>
              <w:right w:val="single" w:color="auto" w:sz="4" w:space="0"/>
            </w:tcBorders>
            <w:shd w:val="clear" w:color="auto" w:fill="auto"/>
            <w:vAlign w:val="center"/>
          </w:tcPr>
          <w:p w14:paraId="4C07A765">
            <w:pPr>
              <w:spacing w:line="240" w:lineRule="auto"/>
              <w:jc w:val="center"/>
              <w:rPr>
                <w:rFonts w:hint="eastAsia" w:ascii="Calibri" w:hAnsi="Calibri" w:eastAsia="宋体" w:cs="黑体"/>
                <w:b/>
                <w:bCs/>
                <w:color w:val="auto"/>
                <w:kern w:val="2"/>
                <w:sz w:val="22"/>
                <w:szCs w:val="24"/>
                <w:highlight w:val="none"/>
                <w:lang w:val="en-US" w:eastAsia="zh-CN" w:bidi="ar-SA"/>
              </w:rPr>
            </w:pPr>
            <w:r>
              <w:rPr>
                <w:rFonts w:hint="eastAsia"/>
                <w:b/>
                <w:bCs/>
                <w:color w:val="auto"/>
                <w:sz w:val="22"/>
                <w:highlight w:val="none"/>
                <w:lang w:val="en-US" w:eastAsia="zh-CN"/>
              </w:rPr>
              <w:t>5</w:t>
            </w:r>
          </w:p>
        </w:tc>
      </w:tr>
      <w:tr w14:paraId="6B9A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shd w:val="clear" w:color="auto" w:fill="C7DAF1"/>
            <w:vAlign w:val="center"/>
          </w:tcPr>
          <w:p w14:paraId="15CE2D9F">
            <w:pPr>
              <w:spacing w:line="360" w:lineRule="exact"/>
              <w:jc w:val="center"/>
              <w:rPr>
                <w:rFonts w:hint="eastAsia" w:ascii="Calibri" w:hAnsi="Calibri" w:eastAsia="宋体" w:cs="黑体"/>
                <w:color w:val="auto"/>
                <w:kern w:val="2"/>
                <w:sz w:val="22"/>
                <w:szCs w:val="24"/>
                <w:highlight w:val="none"/>
                <w:lang w:val="en-US" w:eastAsia="zh-CN" w:bidi="ar-SA"/>
              </w:rPr>
            </w:pPr>
            <w:r>
              <w:rPr>
                <w:color w:val="auto"/>
                <w:sz w:val="22"/>
                <w:highlight w:val="none"/>
              </w:rPr>
              <w:t>序号</w:t>
            </w:r>
          </w:p>
        </w:tc>
        <w:tc>
          <w:tcPr>
            <w:tcW w:w="1935" w:type="dxa"/>
            <w:tcBorders>
              <w:top w:val="single" w:color="auto" w:sz="4" w:space="0"/>
              <w:left w:val="single" w:color="auto" w:sz="4" w:space="0"/>
              <w:bottom w:val="single" w:color="auto" w:sz="4" w:space="0"/>
              <w:right w:val="single" w:color="auto" w:sz="4" w:space="0"/>
            </w:tcBorders>
            <w:shd w:val="clear" w:color="auto" w:fill="C7DAF1"/>
            <w:vAlign w:val="center"/>
          </w:tcPr>
          <w:p w14:paraId="4F3A6EEB">
            <w:pPr>
              <w:spacing w:line="360" w:lineRule="exact"/>
              <w:jc w:val="center"/>
              <w:rPr>
                <w:rFonts w:hint="eastAsia" w:ascii="Calibri" w:hAnsi="Calibri" w:eastAsia="宋体" w:cs="黑体"/>
                <w:color w:val="auto"/>
                <w:kern w:val="2"/>
                <w:sz w:val="22"/>
                <w:szCs w:val="24"/>
                <w:highlight w:val="none"/>
                <w:lang w:val="en-US" w:eastAsia="zh-CN" w:bidi="ar-SA"/>
              </w:rPr>
            </w:pPr>
            <w:r>
              <w:rPr>
                <w:color w:val="auto"/>
                <w:sz w:val="22"/>
                <w:highlight w:val="none"/>
              </w:rPr>
              <w:t>评分因素</w:t>
            </w:r>
          </w:p>
        </w:tc>
        <w:tc>
          <w:tcPr>
            <w:tcW w:w="930" w:type="dxa"/>
            <w:tcBorders>
              <w:top w:val="single" w:color="auto" w:sz="4" w:space="0"/>
              <w:left w:val="single" w:color="auto" w:sz="4" w:space="0"/>
              <w:bottom w:val="single" w:color="auto" w:sz="4" w:space="0"/>
              <w:right w:val="single" w:color="auto" w:sz="4" w:space="0"/>
            </w:tcBorders>
            <w:shd w:val="clear" w:color="auto" w:fill="C7DAF1"/>
            <w:vAlign w:val="center"/>
          </w:tcPr>
          <w:p w14:paraId="19CEB55B">
            <w:pPr>
              <w:spacing w:line="360" w:lineRule="exact"/>
              <w:jc w:val="center"/>
              <w:rPr>
                <w:rFonts w:hint="eastAsia" w:ascii="Calibri" w:hAnsi="Calibri" w:eastAsia="宋体" w:cs="黑体"/>
                <w:color w:val="auto"/>
                <w:kern w:val="2"/>
                <w:sz w:val="22"/>
                <w:szCs w:val="24"/>
                <w:highlight w:val="none"/>
                <w:lang w:val="en-US" w:eastAsia="zh-CN" w:bidi="ar-SA"/>
              </w:rPr>
            </w:pPr>
            <w:r>
              <w:rPr>
                <w:color w:val="auto"/>
                <w:sz w:val="22"/>
                <w:highlight w:val="none"/>
              </w:rPr>
              <w:t>分值</w:t>
            </w:r>
          </w:p>
        </w:tc>
        <w:tc>
          <w:tcPr>
            <w:tcW w:w="5097" w:type="dxa"/>
            <w:tcBorders>
              <w:top w:val="single" w:color="auto" w:sz="4" w:space="0"/>
              <w:left w:val="single" w:color="auto" w:sz="4" w:space="0"/>
              <w:bottom w:val="single" w:color="auto" w:sz="4" w:space="0"/>
              <w:right w:val="single" w:color="auto" w:sz="4" w:space="0"/>
            </w:tcBorders>
            <w:shd w:val="clear" w:color="auto" w:fill="C7DAF1"/>
            <w:vAlign w:val="center"/>
          </w:tcPr>
          <w:p w14:paraId="5ED6DEE9">
            <w:pPr>
              <w:spacing w:line="240" w:lineRule="auto"/>
              <w:jc w:val="center"/>
              <w:rPr>
                <w:rFonts w:hint="eastAsia" w:ascii="Calibri" w:hAnsi="Calibri" w:eastAsia="宋体" w:cs="黑体"/>
                <w:color w:val="auto"/>
                <w:kern w:val="2"/>
                <w:sz w:val="22"/>
                <w:szCs w:val="24"/>
                <w:highlight w:val="none"/>
                <w:lang w:val="en-US" w:eastAsia="zh-CN" w:bidi="ar-SA"/>
              </w:rPr>
            </w:pPr>
            <w:r>
              <w:rPr>
                <w:color w:val="auto"/>
                <w:sz w:val="22"/>
                <w:highlight w:val="none"/>
              </w:rPr>
              <w:t>评分准则</w:t>
            </w:r>
          </w:p>
        </w:tc>
      </w:tr>
      <w:tr w14:paraId="7A53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DB35358">
            <w:pPr>
              <w:spacing w:line="360" w:lineRule="exact"/>
              <w:jc w:val="center"/>
              <w:rPr>
                <w:rFonts w:hint="eastAsia" w:eastAsia="宋体"/>
                <w:color w:val="auto"/>
                <w:sz w:val="22"/>
                <w:highlight w:val="none"/>
                <w:lang w:eastAsia="zh-CN"/>
              </w:rPr>
            </w:pPr>
            <w:r>
              <w:rPr>
                <w:rFonts w:hint="eastAsia"/>
                <w:color w:val="auto"/>
                <w:sz w:val="22"/>
                <w:highlight w:val="none"/>
                <w:lang w:val="en-US" w:eastAsia="zh-CN"/>
              </w:rPr>
              <w:t>1</w:t>
            </w:r>
          </w:p>
        </w:tc>
        <w:tc>
          <w:tcPr>
            <w:tcW w:w="1935" w:type="dxa"/>
            <w:tcBorders>
              <w:top w:val="single" w:color="auto" w:sz="4" w:space="0"/>
              <w:left w:val="single" w:color="auto" w:sz="4" w:space="0"/>
              <w:bottom w:val="single" w:color="auto" w:sz="4" w:space="0"/>
              <w:right w:val="single" w:color="auto" w:sz="4" w:space="0"/>
            </w:tcBorders>
            <w:vAlign w:val="center"/>
          </w:tcPr>
          <w:p w14:paraId="38236C3B">
            <w:pPr>
              <w:spacing w:line="360" w:lineRule="exact"/>
              <w:jc w:val="center"/>
              <w:rPr>
                <w:color w:val="auto"/>
                <w:sz w:val="22"/>
                <w:highlight w:val="none"/>
              </w:rPr>
            </w:pPr>
            <w:r>
              <w:rPr>
                <w:rFonts w:hint="eastAsia" w:ascii="宋体" w:hAnsi="宋体" w:eastAsia="宋体"/>
                <w:szCs w:val="21"/>
              </w:rPr>
              <w:t>诚信</w:t>
            </w:r>
          </w:p>
        </w:tc>
        <w:tc>
          <w:tcPr>
            <w:tcW w:w="930" w:type="dxa"/>
            <w:tcBorders>
              <w:top w:val="single" w:color="auto" w:sz="4" w:space="0"/>
              <w:left w:val="single" w:color="auto" w:sz="4" w:space="0"/>
              <w:bottom w:val="single" w:color="auto" w:sz="4" w:space="0"/>
              <w:right w:val="single" w:color="auto" w:sz="4" w:space="0"/>
            </w:tcBorders>
            <w:vAlign w:val="center"/>
          </w:tcPr>
          <w:p w14:paraId="45AF0C1A">
            <w:pPr>
              <w:spacing w:line="360" w:lineRule="exact"/>
              <w:jc w:val="center"/>
              <w:rPr>
                <w:rFonts w:hint="eastAsia" w:eastAsia="宋体"/>
                <w:color w:val="auto"/>
                <w:sz w:val="22"/>
                <w:highlight w:val="none"/>
                <w:lang w:eastAsia="zh-CN"/>
              </w:rPr>
            </w:pPr>
            <w:r>
              <w:rPr>
                <w:rFonts w:hint="eastAsia"/>
                <w:color w:val="auto"/>
                <w:sz w:val="22"/>
                <w:highlight w:val="none"/>
                <w:lang w:val="en-US" w:eastAsia="zh-CN"/>
              </w:rPr>
              <w:t>5</w:t>
            </w:r>
          </w:p>
        </w:tc>
        <w:tc>
          <w:tcPr>
            <w:tcW w:w="5097" w:type="dxa"/>
            <w:tcBorders>
              <w:top w:val="single" w:color="auto" w:sz="4" w:space="0"/>
              <w:left w:val="single" w:color="auto" w:sz="4" w:space="0"/>
              <w:bottom w:val="single" w:color="auto" w:sz="4" w:space="0"/>
              <w:right w:val="single" w:color="auto" w:sz="4" w:space="0"/>
            </w:tcBorders>
          </w:tcPr>
          <w:p w14:paraId="27DF08A8">
            <w:pPr>
              <w:pStyle w:val="7"/>
              <w:spacing w:line="240" w:lineRule="auto"/>
              <w:rPr>
                <w:color w:val="auto"/>
                <w:sz w:val="22"/>
                <w:szCs w:val="22"/>
                <w:highlight w:val="none"/>
              </w:rPr>
            </w:pPr>
            <w:r>
              <w:rPr>
                <w:color w:val="auto"/>
                <w:sz w:val="22"/>
                <w:szCs w:val="22"/>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color w:val="auto"/>
                <w:sz w:val="22"/>
                <w:szCs w:val="22"/>
                <w:highlight w:val="none"/>
                <w:lang w:val="en-US" w:eastAsia="zh-CN"/>
              </w:rPr>
              <w:t>5</w:t>
            </w:r>
            <w:r>
              <w:rPr>
                <w:color w:val="auto"/>
                <w:sz w:val="22"/>
                <w:szCs w:val="22"/>
                <w:highlight w:val="none"/>
              </w:rPr>
              <w:t>分。（采购代理机构通过“信用中国”、“中国政府采购网”、“深圳市政府采购监管网”以及市、区财政部门认定的其他渠道查询供应商信用信息，投标人无需提供证明材料。）</w:t>
            </w:r>
          </w:p>
        </w:tc>
      </w:tr>
    </w:tbl>
    <w:p w14:paraId="6BEC7F5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备注：1.价格、技术、商务</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lang w:val="en-US" w:eastAsia="zh-CN"/>
        </w:rPr>
        <w:t>诚信</w:t>
      </w:r>
      <w:r>
        <w:rPr>
          <w:rFonts w:hint="eastAsia" w:ascii="仿宋_GB2312" w:hAnsi="仿宋_GB2312" w:eastAsia="仿宋_GB2312" w:cs="仿宋_GB2312"/>
          <w:bCs/>
          <w:color w:val="auto"/>
          <w:kern w:val="0"/>
          <w:sz w:val="28"/>
          <w:szCs w:val="28"/>
          <w:highlight w:val="none"/>
        </w:rPr>
        <w:t>部分累加分为100分。</w:t>
      </w:r>
    </w:p>
    <w:p w14:paraId="78A1246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lang w:val="en-US" w:eastAsia="zh-CN"/>
        </w:rPr>
      </w:pPr>
      <w:r>
        <w:rPr>
          <w:rFonts w:hint="eastAsia" w:ascii="仿宋_GB2312" w:hAnsi="仿宋_GB2312" w:eastAsia="仿宋_GB2312" w:cs="仿宋_GB2312"/>
          <w:bCs/>
          <w:color w:val="auto"/>
          <w:kern w:val="0"/>
          <w:sz w:val="28"/>
          <w:szCs w:val="28"/>
          <w:highlight w:val="none"/>
        </w:rPr>
        <w:t>2.各投标人得分精确到小数点后两位。</w:t>
      </w:r>
    </w:p>
    <w:p w14:paraId="5169F15F">
      <w:pPr>
        <w:pStyle w:val="26"/>
        <w:keepLines w:val="0"/>
        <w:pageBreakBefore w:val="0"/>
        <w:kinsoku/>
        <w:wordWrap/>
        <w:overflowPunct/>
        <w:topLinePunct w:val="0"/>
        <w:bidi w:val="0"/>
        <w:spacing w:line="560" w:lineRule="exact"/>
        <w:ind w:firstLine="560" w:firstLineChars="200"/>
        <w:rPr>
          <w:rFonts w:hint="eastAsia" w:ascii="黑体" w:hAnsi="黑体" w:eastAsia="黑体" w:cs="黑体"/>
          <w:b w:val="0"/>
          <w:bCs w:val="0"/>
          <w:color w:val="auto"/>
          <w:kern w:val="0"/>
          <w:sz w:val="28"/>
          <w:szCs w:val="28"/>
          <w:highlight w:val="none"/>
          <w:lang w:val="en-US" w:eastAsia="zh-CN" w:bidi="ar-SA"/>
        </w:rPr>
      </w:pPr>
      <w:r>
        <w:rPr>
          <w:rFonts w:hint="eastAsia" w:ascii="黑体" w:hAnsi="黑体" w:eastAsia="黑体" w:cs="黑体"/>
          <w:b w:val="0"/>
          <w:bCs w:val="0"/>
          <w:color w:val="auto"/>
          <w:kern w:val="0"/>
          <w:sz w:val="28"/>
          <w:szCs w:val="28"/>
          <w:highlight w:val="none"/>
          <w:lang w:val="en-US" w:eastAsia="zh-CN" w:bidi="ar-SA"/>
        </w:rPr>
        <w:t>三、政策导向</w:t>
      </w:r>
    </w:p>
    <w:p w14:paraId="6A8060D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（1）投标人提供的服务</w:t>
      </w:r>
      <w:r>
        <w:rPr>
          <w:rFonts w:hint="eastAsia" w:ascii="仿宋_GB2312" w:hAnsi="仿宋_GB2312" w:eastAsia="仿宋_GB2312" w:cs="仿宋_GB2312"/>
          <w:bCs/>
          <w:color w:val="auto"/>
          <w:kern w:val="0"/>
          <w:sz w:val="28"/>
          <w:szCs w:val="28"/>
          <w:highlight w:val="none"/>
          <w:lang w:eastAsia="zh-CN"/>
        </w:rPr>
        <w:t>全部</w:t>
      </w:r>
      <w:r>
        <w:rPr>
          <w:rFonts w:hint="eastAsia" w:ascii="仿宋_GB2312" w:hAnsi="仿宋_GB2312" w:eastAsia="仿宋_GB2312" w:cs="仿宋_GB2312"/>
          <w:bCs/>
          <w:color w:val="auto"/>
          <w:kern w:val="0"/>
          <w:sz w:val="28"/>
          <w:szCs w:val="28"/>
          <w:highlight w:val="none"/>
        </w:rPr>
        <w:t>由优惠主体承接，则对其投标总价给予</w:t>
      </w:r>
      <w:r>
        <w:rPr>
          <w:rFonts w:hint="eastAsia" w:ascii="仿宋_GB2312" w:hAnsi="仿宋_GB2312" w:eastAsia="仿宋_GB2312" w:cs="仿宋_GB2312"/>
          <w:b/>
          <w:bCs w:val="0"/>
          <w:color w:val="auto"/>
          <w:kern w:val="0"/>
          <w:sz w:val="28"/>
          <w:szCs w:val="28"/>
          <w:highlight w:val="none"/>
          <w:u w:val="single"/>
        </w:rPr>
        <w:t>10%</w:t>
      </w:r>
      <w:r>
        <w:rPr>
          <w:rFonts w:hint="eastAsia" w:ascii="仿宋_GB2312" w:hAnsi="仿宋_GB2312" w:eastAsia="仿宋_GB2312" w:cs="仿宋_GB2312"/>
          <w:bCs/>
          <w:color w:val="auto"/>
          <w:kern w:val="0"/>
          <w:sz w:val="28"/>
          <w:szCs w:val="28"/>
          <w:highlight w:val="none"/>
        </w:rPr>
        <w:t>的扣除，用扣除后的价格参与评审。满足多项优惠政策的企业，不重复享受多项价格扣除政策。</w:t>
      </w:r>
    </w:p>
    <w:p w14:paraId="287941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rPr>
        <w:t>b</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rPr>
        <w:t>优惠主体承接是指提供服务的人员为中小企业依照《中华人民共和国劳动合同法》订立劳动合同的从业人员。</w:t>
      </w:r>
    </w:p>
    <w:p w14:paraId="4DCE4F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2）根据《工业和信息化部、国家统计局、国家发展和改革委员会、财政部关于印发中小企业划型标准规定的通知》（工信部联企业〔2011〕300号），本项目采购标的（项目需求）对应的中小企业划分标准所属行业为</w:t>
      </w:r>
      <w:r>
        <w:rPr>
          <w:rFonts w:ascii="Segoe UI" w:hAnsi="Segoe UI" w:eastAsia="Segoe UI" w:cs="Segoe UI"/>
          <w:b/>
          <w:bCs/>
          <w:i w:val="0"/>
          <w:iCs w:val="0"/>
          <w:caps w:val="0"/>
          <w:color w:val="0F1115"/>
          <w:spacing w:val="0"/>
          <w:sz w:val="24"/>
          <w:szCs w:val="24"/>
          <w:u w:val="single"/>
          <w:shd w:val="clear" w:fill="FFFFFF"/>
        </w:rPr>
        <w:t>其他未列明行业</w:t>
      </w:r>
      <w:r>
        <w:rPr>
          <w:rFonts w:hint="eastAsia" w:ascii="仿宋_GB2312" w:hAnsi="仿宋_GB2312" w:eastAsia="仿宋_GB2312" w:cs="仿宋_GB2312"/>
          <w:bCs/>
          <w:color w:val="auto"/>
          <w:kern w:val="0"/>
          <w:sz w:val="28"/>
          <w:szCs w:val="28"/>
          <w:highlight w:val="none"/>
        </w:rPr>
        <w:t>。</w:t>
      </w:r>
    </w:p>
    <w:p w14:paraId="530257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（3）小型企业、微型企业、残疾人福利性单位作为优惠主体的认定资料为《中小企业声明函</w:t>
      </w:r>
      <w:r>
        <w:rPr>
          <w:rFonts w:hint="eastAsia" w:ascii="仿宋_GB2312" w:hAnsi="仿宋_GB2312" w:eastAsia="仿宋_GB2312" w:cs="仿宋_GB2312"/>
          <w:bCs/>
          <w:color w:val="auto"/>
          <w:kern w:val="0"/>
          <w:sz w:val="28"/>
          <w:szCs w:val="28"/>
          <w:highlight w:val="none"/>
          <w:lang w:eastAsia="zh-CN"/>
        </w:rPr>
        <w:t>》《</w:t>
      </w:r>
      <w:r>
        <w:rPr>
          <w:rFonts w:hint="eastAsia" w:ascii="仿宋_GB2312" w:hAnsi="仿宋_GB2312" w:eastAsia="仿宋_GB2312" w:cs="仿宋_GB2312"/>
          <w:bCs/>
          <w:color w:val="auto"/>
          <w:kern w:val="0"/>
          <w:sz w:val="28"/>
          <w:szCs w:val="28"/>
          <w:highlight w:val="none"/>
        </w:rPr>
        <w:t>残疾人福利性单位声明函》；监狱企业作为优惠主体的认定资料为省级以上监狱管理局、戒毒管理局出具的监狱企业证明文件。监狱企业或者代理提供监狱企业货物的供应商如须享受优惠政策，除上述资料外，还须提供省级以上监狱管理局、戒毒管理局出具的监狱企业证明文件。</w:t>
      </w:r>
    </w:p>
    <w:p w14:paraId="36E011B2">
      <w:pPr>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（4）享受价格扣除获得政府采购合同的，小微企业不得将合同分包给大中型企业。</w:t>
      </w:r>
    </w:p>
    <w:p w14:paraId="64B757CF">
      <w:pPr>
        <w:keepNext w:val="0"/>
        <w:keepLines w:val="0"/>
        <w:pageBreakBefore w:val="0"/>
        <w:widowControl/>
        <w:numPr>
          <w:ilvl w:val="-1"/>
          <w:numId w:val="0"/>
        </w:numPr>
        <w:kinsoku/>
        <w:wordWrap/>
        <w:overflowPunct/>
        <w:topLinePunct w:val="0"/>
        <w:autoSpaceDE/>
        <w:autoSpaceDN/>
        <w:bidi w:val="0"/>
        <w:adjustRightInd/>
        <w:spacing w:line="240" w:lineRule="auto"/>
        <w:jc w:val="left"/>
        <w:textAlignment w:val="auto"/>
        <w:rPr>
          <w:rFonts w:ascii="仿宋_GB2312" w:hAnsi="仿宋_GB2312" w:eastAsia="仿宋_GB2312" w:cs="仿宋_GB2312"/>
          <w:b/>
          <w:bCs/>
          <w:color w:val="auto"/>
          <w:kern w:val="2"/>
          <w:sz w:val="36"/>
          <w:szCs w:val="36"/>
          <w:highlight w:val="none"/>
          <w:lang w:val="en-US" w:eastAsia="zh-CN" w:bidi="ar-SA"/>
        </w:rPr>
      </w:pPr>
      <w:r>
        <w:rPr>
          <w:rFonts w:ascii="仿宋_GB2312" w:hAnsi="仿宋_GB2312" w:eastAsia="仿宋_GB2312" w:cs="仿宋_GB2312"/>
          <w:b/>
          <w:bCs/>
          <w:color w:val="auto"/>
          <w:kern w:val="2"/>
          <w:sz w:val="36"/>
          <w:szCs w:val="36"/>
          <w:highlight w:val="none"/>
          <w:lang w:val="en-US" w:eastAsia="zh-CN" w:bidi="ar-SA"/>
        </w:rPr>
        <w:br w:type="page"/>
      </w:r>
    </w:p>
    <w:p w14:paraId="07A405DD">
      <w:pPr>
        <w:keepNext w:val="0"/>
        <w:keepLines w:val="0"/>
        <w:pageBreakBefore w:val="0"/>
        <w:widowControl w:val="0"/>
        <w:numPr>
          <w:ilvl w:val="0"/>
          <w:numId w:val="0"/>
        </w:numPr>
        <w:kinsoku/>
        <w:wordWrap/>
        <w:overflowPunct/>
        <w:topLinePunct w:val="0"/>
        <w:autoSpaceDE/>
        <w:autoSpaceDN/>
        <w:bidi w:val="0"/>
        <w:adjustRightInd/>
        <w:spacing w:line="560" w:lineRule="exact"/>
        <w:jc w:val="center"/>
        <w:textAlignment w:val="auto"/>
        <w:rPr>
          <w:rFonts w:ascii="仿宋_GB2312" w:hAnsi="仿宋_GB2312" w:eastAsia="仿宋_GB2312" w:cs="仿宋_GB2312"/>
          <w:b/>
          <w:bCs/>
          <w:color w:val="auto"/>
          <w:sz w:val="36"/>
          <w:szCs w:val="36"/>
          <w:highlight w:val="none"/>
        </w:rPr>
      </w:pPr>
      <w:r>
        <w:rPr>
          <w:rFonts w:ascii="仿宋_GB2312" w:hAnsi="仿宋_GB2312" w:eastAsia="仿宋_GB2312" w:cs="仿宋_GB2312"/>
          <w:b/>
          <w:bCs/>
          <w:color w:val="auto"/>
          <w:kern w:val="2"/>
          <w:sz w:val="36"/>
          <w:szCs w:val="36"/>
          <w:highlight w:val="none"/>
          <w:lang w:val="en-US" w:eastAsia="zh-CN" w:bidi="ar-SA"/>
        </w:rPr>
        <w:t>第</w:t>
      </w:r>
      <w:r>
        <w:rPr>
          <w:rFonts w:hint="eastAsia" w:ascii="仿宋_GB2312" w:hAnsi="仿宋_GB2312" w:eastAsia="仿宋_GB2312" w:cs="仿宋_GB2312"/>
          <w:b/>
          <w:bCs/>
          <w:color w:val="auto"/>
          <w:kern w:val="2"/>
          <w:sz w:val="36"/>
          <w:szCs w:val="36"/>
          <w:highlight w:val="none"/>
          <w:lang w:val="en-US" w:eastAsia="zh-CN" w:bidi="ar-SA"/>
        </w:rPr>
        <w:t>四</w:t>
      </w:r>
      <w:r>
        <w:rPr>
          <w:rFonts w:ascii="仿宋_GB2312" w:hAnsi="仿宋_GB2312" w:eastAsia="仿宋_GB2312" w:cs="仿宋_GB2312"/>
          <w:b/>
          <w:bCs/>
          <w:color w:val="auto"/>
          <w:kern w:val="2"/>
          <w:sz w:val="36"/>
          <w:szCs w:val="36"/>
          <w:highlight w:val="none"/>
          <w:lang w:val="en-US" w:eastAsia="zh-CN" w:bidi="ar-SA"/>
        </w:rPr>
        <w:t>章</w:t>
      </w:r>
      <w:r>
        <w:rPr>
          <w:rFonts w:hint="eastAsia" w:ascii="仿宋_GB2312" w:hAnsi="仿宋_GB2312" w:eastAsia="仿宋_GB2312" w:cs="仿宋_GB2312"/>
          <w:b/>
          <w:bCs/>
          <w:color w:val="auto"/>
          <w:kern w:val="2"/>
          <w:sz w:val="36"/>
          <w:szCs w:val="36"/>
          <w:highlight w:val="none"/>
          <w:lang w:val="en-US" w:eastAsia="zh-CN" w:bidi="ar-SA"/>
        </w:rPr>
        <w:t xml:space="preserve"> </w:t>
      </w:r>
      <w:r>
        <w:rPr>
          <w:rFonts w:hint="eastAsia" w:ascii="仿宋_GB2312" w:hAnsi="仿宋_GB2312" w:eastAsia="仿宋_GB2312" w:cs="仿宋_GB2312"/>
          <w:b/>
          <w:bCs/>
          <w:color w:val="auto"/>
          <w:sz w:val="36"/>
          <w:szCs w:val="36"/>
          <w:highlight w:val="none"/>
        </w:rPr>
        <w:t>投标须知</w:t>
      </w:r>
    </w:p>
    <w:p w14:paraId="1419BAE2">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一、为充分体现公平、公正、公开原则，择优选择供应商，参加投标的单位必须满足本项目投标供应商的资质要求。</w:t>
      </w:r>
    </w:p>
    <w:p w14:paraId="72FCBC8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本项目的潜在供应商应在递交投标文件截止日之前到医院招采办报名投标。</w:t>
      </w:r>
    </w:p>
    <w:p w14:paraId="11E1C9B0">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b/>
          <w:bCs/>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符合条件的供应商严格按照采购单位提供的招标文件，认真填写投标资料，并在规定时间</w:t>
      </w:r>
      <w:r>
        <w:rPr>
          <w:rFonts w:hint="eastAsia" w:ascii="仿宋" w:hAnsi="仿宋" w:eastAsia="仿宋" w:cs="仿宋"/>
          <w:color w:val="auto"/>
          <w:sz w:val="28"/>
          <w:szCs w:val="28"/>
          <w:highlight w:val="none"/>
          <w:lang w:val="en-US" w:eastAsia="zh-CN"/>
        </w:rPr>
        <w:t>内</w:t>
      </w:r>
      <w:r>
        <w:rPr>
          <w:rFonts w:hint="eastAsia" w:ascii="仿宋" w:hAnsi="仿宋" w:eastAsia="仿宋" w:cs="仿宋"/>
          <w:color w:val="auto"/>
          <w:sz w:val="28"/>
          <w:szCs w:val="28"/>
          <w:highlight w:val="none"/>
        </w:rPr>
        <w:t>将</w:t>
      </w:r>
      <w:r>
        <w:rPr>
          <w:rFonts w:hint="eastAsia" w:ascii="仿宋" w:hAnsi="仿宋" w:eastAsia="仿宋" w:cs="仿宋"/>
          <w:b/>
          <w:bCs/>
          <w:color w:val="auto"/>
          <w:sz w:val="28"/>
          <w:szCs w:val="28"/>
          <w:highlight w:val="none"/>
        </w:rPr>
        <w:t>投标文件密封</w:t>
      </w:r>
      <w:r>
        <w:rPr>
          <w:rFonts w:hint="eastAsia" w:ascii="仿宋" w:hAnsi="仿宋" w:eastAsia="仿宋" w:cs="仿宋"/>
          <w:color w:val="auto"/>
          <w:sz w:val="28"/>
          <w:szCs w:val="28"/>
          <w:highlight w:val="none"/>
        </w:rPr>
        <w:t>送达指定地点。投标单位法定代表人或授权代</w:t>
      </w:r>
      <w:r>
        <w:rPr>
          <w:rFonts w:hint="eastAsia" w:ascii="仿宋" w:hAnsi="仿宋" w:eastAsia="仿宋" w:cs="仿宋"/>
          <w:color w:val="auto"/>
          <w:sz w:val="28"/>
          <w:szCs w:val="28"/>
          <w:highlight w:val="none"/>
          <w:lang w:eastAsia="zh-CN"/>
        </w:rPr>
        <w:t>表人</w:t>
      </w:r>
      <w:r>
        <w:rPr>
          <w:rFonts w:hint="eastAsia" w:ascii="仿宋" w:hAnsi="仿宋" w:eastAsia="仿宋" w:cs="仿宋"/>
          <w:color w:val="auto"/>
          <w:sz w:val="28"/>
          <w:szCs w:val="28"/>
          <w:highlight w:val="none"/>
        </w:rPr>
        <w:t>在规定的时间内未递交投标资料的，视为自动放弃。</w:t>
      </w:r>
    </w:p>
    <w:p w14:paraId="6A621DAA">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院内公开招标有效投标的供应商不足三家，不得开标。</w:t>
      </w:r>
    </w:p>
    <w:p w14:paraId="5B2F966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存在下列情形的，应予废标：</w:t>
      </w:r>
    </w:p>
    <w:p w14:paraId="1D62E2DC">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符合专业条件的供应商或者对招标文件作实质性响应的供应商不足三家的；</w:t>
      </w:r>
    </w:p>
    <w:p w14:paraId="79348A3B">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出现影响采购公正的违法、违规行为的；</w:t>
      </w:r>
    </w:p>
    <w:p w14:paraId="7039147F">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投标人的报价均超过采购预算或最高限价，采购人不能支付的；</w:t>
      </w:r>
    </w:p>
    <w:p w14:paraId="2ED379CE">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因重大变故，采购任务取消的。</w:t>
      </w:r>
    </w:p>
    <w:p w14:paraId="4347964C">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投标文件有效期</w:t>
      </w:r>
    </w:p>
    <w:p w14:paraId="6AF0D288">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在递交投标文件截止日期之后的60天内有效</w:t>
      </w:r>
      <w:r>
        <w:rPr>
          <w:rFonts w:hint="eastAsia" w:ascii="仿宋" w:hAnsi="仿宋" w:eastAsia="仿宋" w:cs="仿宋"/>
          <w:color w:val="auto"/>
          <w:sz w:val="28"/>
          <w:szCs w:val="28"/>
          <w:highlight w:val="none"/>
          <w:lang w:val="en-US" w:eastAsia="zh-CN"/>
        </w:rPr>
        <w:t>；</w:t>
      </w:r>
    </w:p>
    <w:p w14:paraId="19828A72">
      <w:pPr>
        <w:keepNext w:val="0"/>
        <w:keepLines w:val="0"/>
        <w:pageBreakBefore w:val="0"/>
        <w:widowControl w:val="0"/>
        <w:kinsoku/>
        <w:wordWrap/>
        <w:overflowPunct/>
        <w:topLinePunct w:val="0"/>
        <w:autoSpaceDE/>
        <w:autoSpaceDN/>
        <w:bidi w:val="0"/>
        <w:adjustRightInd/>
        <w:snapToGrid w:val="0"/>
        <w:spacing w:line="540" w:lineRule="exact"/>
        <w:ind w:firstLine="638" w:firstLineChars="228"/>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在原定投标文件有效期满之前，如果出现特殊情况，招采办可以书面形式向供应商提出延长投标文件有效期的要求。</w:t>
      </w:r>
    </w:p>
    <w:p w14:paraId="74C81292">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二、需提供资料及标准</w:t>
      </w:r>
    </w:p>
    <w:p w14:paraId="376E5837">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36"/>
          <w:highlight w:val="none"/>
        </w:rPr>
        <w:t>（一）投标文件的规定。投标文件</w:t>
      </w:r>
      <w:r>
        <w:rPr>
          <w:rFonts w:hint="eastAsia" w:ascii="仿宋_GB2312" w:hAnsi="仿宋_GB2312" w:eastAsia="仿宋_GB2312" w:cs="仿宋_GB2312"/>
          <w:b/>
          <w:bCs/>
          <w:color w:val="auto"/>
          <w:sz w:val="28"/>
          <w:szCs w:val="36"/>
          <w:highlight w:val="none"/>
        </w:rPr>
        <w:t>须密封装袋</w:t>
      </w:r>
      <w:r>
        <w:rPr>
          <w:rFonts w:hint="eastAsia" w:ascii="仿宋_GB2312" w:hAnsi="仿宋_GB2312" w:eastAsia="仿宋_GB2312" w:cs="仿宋_GB2312"/>
          <w:color w:val="auto"/>
          <w:sz w:val="28"/>
          <w:szCs w:val="36"/>
          <w:highlight w:val="none"/>
        </w:rPr>
        <w:t>，制作</w:t>
      </w:r>
      <w:r>
        <w:rPr>
          <w:rFonts w:hint="eastAsia" w:ascii="仿宋_GB2312" w:hAnsi="仿宋_GB2312" w:eastAsia="仿宋_GB2312" w:cs="仿宋_GB2312"/>
          <w:b/>
          <w:bCs/>
          <w:color w:val="auto"/>
          <w:sz w:val="28"/>
          <w:szCs w:val="36"/>
          <w:highlight w:val="none"/>
        </w:rPr>
        <w:t>一本正本，2本副本（另：提交一本电子投标文件，用U盘拷贝，U盘不退还，并标明项目名称和公司名称）</w:t>
      </w:r>
      <w:r>
        <w:rPr>
          <w:rFonts w:hint="eastAsia" w:ascii="仿宋_GB2312" w:hAnsi="仿宋_GB2312" w:eastAsia="仿宋_GB2312" w:cs="仿宋_GB2312"/>
          <w:color w:val="auto"/>
          <w:sz w:val="28"/>
          <w:szCs w:val="36"/>
          <w:highlight w:val="none"/>
        </w:rPr>
        <w:t>，每份投标文件必须装订且须在封面上清楚标明“</w:t>
      </w:r>
      <w:r>
        <w:rPr>
          <w:rFonts w:hint="eastAsia" w:ascii="仿宋_GB2312" w:hAnsi="仿宋_GB2312" w:eastAsia="仿宋_GB2312" w:cs="仿宋_GB2312"/>
          <w:b/>
          <w:bCs/>
          <w:color w:val="auto"/>
          <w:sz w:val="28"/>
          <w:szCs w:val="36"/>
          <w:highlight w:val="none"/>
        </w:rPr>
        <w:t>正本</w:t>
      </w:r>
      <w:r>
        <w:rPr>
          <w:rFonts w:hint="eastAsia" w:ascii="仿宋_GB2312" w:hAnsi="仿宋_GB2312" w:eastAsia="仿宋_GB2312" w:cs="仿宋_GB2312"/>
          <w:color w:val="auto"/>
          <w:sz w:val="28"/>
          <w:szCs w:val="36"/>
          <w:highlight w:val="none"/>
        </w:rPr>
        <w:t>”或“</w:t>
      </w:r>
      <w:r>
        <w:rPr>
          <w:rFonts w:hint="eastAsia" w:ascii="仿宋_GB2312" w:hAnsi="仿宋_GB2312" w:eastAsia="仿宋_GB2312" w:cs="仿宋_GB2312"/>
          <w:b/>
          <w:bCs/>
          <w:color w:val="auto"/>
          <w:sz w:val="28"/>
          <w:szCs w:val="36"/>
          <w:highlight w:val="none"/>
        </w:rPr>
        <w:t>副本</w:t>
      </w:r>
      <w:r>
        <w:rPr>
          <w:rFonts w:hint="eastAsia" w:ascii="仿宋_GB2312" w:hAnsi="仿宋_GB2312" w:eastAsia="仿宋_GB2312" w:cs="仿宋_GB2312"/>
          <w:color w:val="auto"/>
          <w:sz w:val="28"/>
          <w:szCs w:val="36"/>
          <w:highlight w:val="none"/>
        </w:rPr>
        <w:t>”字样。一旦正本与副本不符，以正本为准。 投标文件不得涂改和增删，如要修改错漏处，必须由同一签署人</w:t>
      </w:r>
      <w:r>
        <w:rPr>
          <w:rFonts w:hint="eastAsia" w:ascii="仿宋_GB2312" w:hAnsi="仿宋_GB2312" w:eastAsia="仿宋_GB2312" w:cs="仿宋_GB2312"/>
          <w:b/>
          <w:bCs/>
          <w:color w:val="auto"/>
          <w:sz w:val="28"/>
          <w:szCs w:val="36"/>
          <w:highlight w:val="none"/>
        </w:rPr>
        <w:t>在修改处签字或盖章</w:t>
      </w:r>
      <w:r>
        <w:rPr>
          <w:rFonts w:hint="eastAsia" w:ascii="仿宋_GB2312" w:hAnsi="仿宋_GB2312" w:eastAsia="仿宋_GB2312" w:cs="仿宋_GB2312"/>
          <w:color w:val="auto"/>
          <w:sz w:val="28"/>
          <w:szCs w:val="36"/>
          <w:highlight w:val="none"/>
        </w:rPr>
        <w:t>。</w:t>
      </w:r>
    </w:p>
    <w:p w14:paraId="748CD172">
      <w:pPr>
        <w:keepNext w:val="0"/>
        <w:keepLines w:val="0"/>
        <w:pageBreakBefore w:val="0"/>
        <w:widowControl w:val="0"/>
        <w:kinsoku/>
        <w:wordWrap/>
        <w:overflowPunct/>
        <w:topLinePunct w:val="0"/>
        <w:autoSpaceDE/>
        <w:autoSpaceDN/>
        <w:bidi w:val="0"/>
        <w:adjustRightInd/>
        <w:spacing w:line="540" w:lineRule="exact"/>
        <w:ind w:firstLine="562"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（二）提供本项目开标一览表一份，开标一览表须加盖公章并单独密封，供应商须在开标一览表上签名确认。</w:t>
      </w:r>
    </w:p>
    <w:p w14:paraId="69BD7143">
      <w:pPr>
        <w:keepNext w:val="0"/>
        <w:keepLines w:val="0"/>
        <w:pageBreakBefore w:val="0"/>
        <w:widowControl w:val="0"/>
        <w:kinsoku/>
        <w:wordWrap/>
        <w:overflowPunct/>
        <w:topLinePunct w:val="0"/>
        <w:autoSpaceDE/>
        <w:autoSpaceDN/>
        <w:bidi w:val="0"/>
        <w:adjustRightInd/>
        <w:spacing w:line="54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（三）资料封面注有公司名称、地址、联系人、手机号码、办公电话和邮箱地址。</w:t>
      </w:r>
    </w:p>
    <w:p w14:paraId="770D887A">
      <w:pPr>
        <w:keepNext w:val="0"/>
        <w:keepLines w:val="0"/>
        <w:pageBreakBefore w:val="0"/>
        <w:widowControl w:val="0"/>
        <w:numPr>
          <w:ilvl w:val="-1"/>
          <w:numId w:val="0"/>
        </w:numPr>
        <w:kinsoku/>
        <w:wordWrap/>
        <w:overflowPunct/>
        <w:topLinePunct w:val="0"/>
        <w:autoSpaceDE/>
        <w:autoSpaceDN/>
        <w:bidi w:val="0"/>
        <w:adjustRightInd/>
        <w:snapToGrid w:val="0"/>
        <w:spacing w:line="540" w:lineRule="exact"/>
        <w:ind w:left="-5" w:firstLine="560" w:firstLineChars="200"/>
        <w:jc w:val="left"/>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lang w:val="en-US" w:eastAsia="zh-CN"/>
        </w:rPr>
        <w:t>1.</w:t>
      </w:r>
      <w:r>
        <w:rPr>
          <w:rFonts w:hint="eastAsia" w:ascii="仿宋_GB2312" w:hAnsi="仿宋_GB2312" w:eastAsia="仿宋_GB2312" w:cs="仿宋_GB2312"/>
          <w:snapToGrid w:val="0"/>
          <w:color w:val="auto"/>
          <w:kern w:val="144"/>
          <w:sz w:val="28"/>
          <w:szCs w:val="28"/>
          <w:highlight w:val="none"/>
        </w:rPr>
        <w:t>所有资料要有封面、目录、页码、装订成册。</w:t>
      </w:r>
    </w:p>
    <w:p w14:paraId="564EA6C9">
      <w:pPr>
        <w:keepNext w:val="0"/>
        <w:keepLines w:val="0"/>
        <w:pageBreakBefore w:val="0"/>
        <w:widowControl w:val="0"/>
        <w:numPr>
          <w:ilvl w:val="-1"/>
          <w:numId w:val="0"/>
        </w:numPr>
        <w:kinsoku/>
        <w:wordWrap/>
        <w:overflowPunct/>
        <w:topLinePunct w:val="0"/>
        <w:autoSpaceDE/>
        <w:autoSpaceDN/>
        <w:bidi w:val="0"/>
        <w:adjustRightInd/>
        <w:snapToGrid w:val="0"/>
        <w:spacing w:line="540" w:lineRule="exact"/>
        <w:ind w:left="-5" w:firstLine="560" w:firstLineChars="200"/>
        <w:jc w:val="left"/>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lang w:val="en-US" w:eastAsia="zh-CN"/>
        </w:rPr>
        <w:t>2.</w:t>
      </w:r>
      <w:r>
        <w:rPr>
          <w:rFonts w:hint="eastAsia" w:ascii="仿宋_GB2312" w:hAnsi="仿宋_GB2312" w:eastAsia="仿宋_GB2312" w:cs="仿宋_GB2312"/>
          <w:snapToGrid w:val="0"/>
          <w:color w:val="auto"/>
          <w:kern w:val="144"/>
          <w:sz w:val="28"/>
          <w:szCs w:val="28"/>
          <w:highlight w:val="none"/>
        </w:rPr>
        <w:t>所有资料</w:t>
      </w:r>
      <w:r>
        <w:rPr>
          <w:rFonts w:hint="eastAsia" w:ascii="仿宋_GB2312" w:hAnsi="仿宋_GB2312" w:eastAsia="仿宋_GB2312" w:cs="仿宋_GB2312"/>
          <w:b/>
          <w:bCs/>
          <w:snapToGrid w:val="0"/>
          <w:color w:val="auto"/>
          <w:kern w:val="144"/>
          <w:sz w:val="28"/>
          <w:szCs w:val="28"/>
          <w:highlight w:val="none"/>
        </w:rPr>
        <w:t>每页须加盖公章</w:t>
      </w:r>
      <w:r>
        <w:rPr>
          <w:rFonts w:hint="eastAsia" w:ascii="仿宋_GB2312" w:hAnsi="仿宋_GB2312" w:eastAsia="仿宋_GB2312" w:cs="仿宋_GB2312"/>
          <w:snapToGrid w:val="0"/>
          <w:color w:val="auto"/>
          <w:kern w:val="144"/>
          <w:sz w:val="28"/>
          <w:szCs w:val="28"/>
          <w:highlight w:val="none"/>
        </w:rPr>
        <w:t>。</w:t>
      </w:r>
    </w:p>
    <w:p w14:paraId="389BA7E9">
      <w:pPr>
        <w:keepNext w:val="0"/>
        <w:keepLines w:val="0"/>
        <w:pageBreakBefore w:val="0"/>
        <w:widowControl w:val="0"/>
        <w:numPr>
          <w:ilvl w:val="-1"/>
          <w:numId w:val="0"/>
        </w:numPr>
        <w:kinsoku/>
        <w:wordWrap/>
        <w:overflowPunct/>
        <w:topLinePunct w:val="0"/>
        <w:autoSpaceDE/>
        <w:autoSpaceDN/>
        <w:bidi w:val="0"/>
        <w:adjustRightInd/>
        <w:snapToGrid w:val="0"/>
        <w:spacing w:line="540" w:lineRule="exact"/>
        <w:ind w:left="-5" w:firstLine="560" w:firstLineChars="200"/>
        <w:jc w:val="left"/>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lang w:val="en-US" w:eastAsia="zh-CN"/>
        </w:rPr>
        <w:t>3.</w:t>
      </w:r>
      <w:r>
        <w:rPr>
          <w:rFonts w:hint="eastAsia" w:ascii="仿宋_GB2312" w:hAnsi="仿宋_GB2312" w:eastAsia="仿宋_GB2312" w:cs="仿宋_GB2312"/>
          <w:snapToGrid w:val="0"/>
          <w:color w:val="auto"/>
          <w:kern w:val="144"/>
          <w:sz w:val="28"/>
          <w:szCs w:val="28"/>
          <w:highlight w:val="none"/>
        </w:rPr>
        <w:t>所有资料须</w:t>
      </w:r>
      <w:r>
        <w:rPr>
          <w:rFonts w:hint="eastAsia" w:ascii="仿宋_GB2312" w:hAnsi="仿宋_GB2312" w:eastAsia="仿宋_GB2312" w:cs="仿宋_GB2312"/>
          <w:b/>
          <w:bCs/>
          <w:snapToGrid w:val="0"/>
          <w:color w:val="auto"/>
          <w:kern w:val="144"/>
          <w:sz w:val="28"/>
          <w:szCs w:val="28"/>
          <w:highlight w:val="none"/>
        </w:rPr>
        <w:t>密封并加盖公章</w:t>
      </w:r>
      <w:r>
        <w:rPr>
          <w:rFonts w:hint="eastAsia" w:ascii="仿宋_GB2312" w:hAnsi="仿宋_GB2312" w:eastAsia="仿宋_GB2312" w:cs="仿宋_GB2312"/>
          <w:snapToGrid w:val="0"/>
          <w:color w:val="auto"/>
          <w:kern w:val="144"/>
          <w:sz w:val="28"/>
          <w:szCs w:val="28"/>
          <w:highlight w:val="none"/>
        </w:rPr>
        <w:t>。</w:t>
      </w:r>
    </w:p>
    <w:p w14:paraId="1376AC9C">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rPr>
        <w:t>（四）携带完整资料到招采办报名登记好公司名称、业务代表姓名、联系电话及提供的产品项目。</w:t>
      </w:r>
    </w:p>
    <w:p w14:paraId="24505EE3">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snapToGrid w:val="0"/>
          <w:color w:val="auto"/>
          <w:kern w:val="144"/>
          <w:sz w:val="28"/>
          <w:szCs w:val="28"/>
          <w:highlight w:val="none"/>
        </w:rPr>
      </w:pPr>
      <w:r>
        <w:rPr>
          <w:rFonts w:hint="eastAsia" w:ascii="仿宋_GB2312" w:hAnsi="仿宋_GB2312" w:eastAsia="仿宋_GB2312" w:cs="仿宋_GB2312"/>
          <w:snapToGrid w:val="0"/>
          <w:color w:val="auto"/>
          <w:kern w:val="144"/>
          <w:sz w:val="28"/>
          <w:szCs w:val="28"/>
          <w:highlight w:val="none"/>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内公开采购活动。</w:t>
      </w:r>
    </w:p>
    <w:p w14:paraId="2E5E8934">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（六）投标人的产品质量及服务承诺书不能严重低于招标文件中的服务要求标准</w:t>
      </w:r>
      <w:r>
        <w:rPr>
          <w:rFonts w:hint="eastAsia" w:ascii="仿宋_GB2312" w:hAnsi="仿宋_GB2312" w:eastAsia="仿宋_GB2312" w:cs="仿宋_GB2312"/>
          <w:color w:val="auto"/>
          <w:sz w:val="28"/>
          <w:szCs w:val="36"/>
          <w:highlight w:val="none"/>
          <w:lang w:val="en-US" w:eastAsia="zh-CN"/>
        </w:rPr>
        <w:t>作</w:t>
      </w:r>
      <w:r>
        <w:rPr>
          <w:rFonts w:hint="eastAsia" w:ascii="仿宋_GB2312" w:hAnsi="仿宋_GB2312" w:eastAsia="仿宋_GB2312" w:cs="仿宋_GB2312"/>
          <w:color w:val="auto"/>
          <w:sz w:val="28"/>
          <w:szCs w:val="36"/>
          <w:highlight w:val="none"/>
        </w:rPr>
        <w:t>出响应，允许出现负偏差，但不得出现严重负偏差。</w:t>
      </w:r>
    </w:p>
    <w:p w14:paraId="549B9024">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36"/>
          <w:highlight w:val="none"/>
        </w:rPr>
        <w:t>（七）评审结束，中标结果公示</w:t>
      </w:r>
      <w:r>
        <w:rPr>
          <w:rFonts w:hint="eastAsia" w:ascii="仿宋_GB2312" w:hAnsi="仿宋_GB2312" w:eastAsia="仿宋_GB2312" w:cs="仿宋_GB2312"/>
          <w:b w:val="0"/>
          <w:bCs w:val="0"/>
          <w:color w:val="auto"/>
          <w:sz w:val="28"/>
          <w:szCs w:val="36"/>
          <w:highlight w:val="none"/>
        </w:rPr>
        <w:t>3天</w:t>
      </w:r>
      <w:r>
        <w:rPr>
          <w:rFonts w:hint="eastAsia" w:ascii="仿宋_GB2312" w:hAnsi="仿宋_GB2312" w:eastAsia="仿宋_GB2312" w:cs="仿宋_GB2312"/>
          <w:color w:val="auto"/>
          <w:sz w:val="28"/>
          <w:szCs w:val="36"/>
          <w:highlight w:val="none"/>
        </w:rPr>
        <w:t>，中标供应商须在收到我院中标通知书后</w:t>
      </w:r>
      <w:r>
        <w:rPr>
          <w:rFonts w:hint="eastAsia" w:ascii="仿宋_GB2312" w:hAnsi="仿宋_GB2312" w:eastAsia="仿宋_GB2312" w:cs="仿宋_GB2312"/>
          <w:b/>
          <w:bCs/>
          <w:color w:val="auto"/>
          <w:sz w:val="28"/>
          <w:szCs w:val="36"/>
          <w:highlight w:val="none"/>
        </w:rPr>
        <w:t>10个工作日内</w:t>
      </w:r>
      <w:r>
        <w:rPr>
          <w:rFonts w:hint="eastAsia" w:ascii="仿宋_GB2312" w:hAnsi="仿宋_GB2312" w:eastAsia="仿宋_GB2312" w:cs="仿宋_GB2312"/>
          <w:color w:val="auto"/>
          <w:sz w:val="28"/>
          <w:szCs w:val="36"/>
          <w:highlight w:val="none"/>
        </w:rPr>
        <w:t>到我院签署合同，超过</w:t>
      </w:r>
      <w:r>
        <w:rPr>
          <w:rFonts w:hint="eastAsia" w:ascii="仿宋_GB2312" w:hAnsi="仿宋_GB2312" w:eastAsia="仿宋_GB2312" w:cs="仿宋_GB2312"/>
          <w:b/>
          <w:bCs/>
          <w:color w:val="auto"/>
          <w:sz w:val="28"/>
          <w:szCs w:val="36"/>
          <w:highlight w:val="none"/>
        </w:rPr>
        <w:t>10个工作日</w:t>
      </w:r>
      <w:r>
        <w:rPr>
          <w:rFonts w:hint="eastAsia" w:ascii="仿宋_GB2312" w:hAnsi="仿宋_GB2312" w:eastAsia="仿宋_GB2312" w:cs="仿宋_GB2312"/>
          <w:color w:val="auto"/>
          <w:sz w:val="28"/>
          <w:szCs w:val="36"/>
          <w:highlight w:val="none"/>
        </w:rPr>
        <w:t>未前来</w:t>
      </w:r>
      <w:r>
        <w:rPr>
          <w:rFonts w:hint="eastAsia" w:ascii="仿宋_GB2312" w:hAnsi="仿宋_GB2312" w:eastAsia="仿宋_GB2312" w:cs="仿宋_GB2312"/>
          <w:color w:val="auto"/>
          <w:sz w:val="28"/>
          <w:szCs w:val="36"/>
          <w:highlight w:val="none"/>
          <w:lang w:eastAsia="zh-CN"/>
        </w:rPr>
        <w:t>签订</w:t>
      </w:r>
      <w:r>
        <w:rPr>
          <w:rFonts w:hint="eastAsia" w:ascii="仿宋_GB2312" w:hAnsi="仿宋_GB2312" w:eastAsia="仿宋_GB2312" w:cs="仿宋_GB2312"/>
          <w:color w:val="auto"/>
          <w:sz w:val="28"/>
          <w:szCs w:val="36"/>
          <w:highlight w:val="none"/>
        </w:rPr>
        <w:t>合同的，我院有权宣布本次采购结果作废，重新确定供应商。</w:t>
      </w:r>
    </w:p>
    <w:p w14:paraId="010A046D">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三、招标文件的澄清</w:t>
      </w:r>
    </w:p>
    <w:p w14:paraId="42B6AA1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1.投标人在收到招标文件后，可以对已发出的招标文件进行必要的澄清或者修改。澄清或者修改应当在原公告发布媒体上发布澄清（更正/变更）公告。</w:t>
      </w:r>
    </w:p>
    <w:p w14:paraId="62E18937">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14:paraId="288413A7">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3.采购人发出的澄清或修改（更正/变更）的内容为招标文件的组成部分，并对供应商具有约束力。</w:t>
      </w:r>
    </w:p>
    <w:p w14:paraId="4FFAFE32">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对招标文件中描述有歧义或前后不一致的地方，评标委员会有权进行评判，但对同一条款的评判应适用于每个投标人。</w:t>
      </w:r>
    </w:p>
    <w:p w14:paraId="2DD5AA83">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四、招标文件的补充和修正</w:t>
      </w:r>
    </w:p>
    <w:p w14:paraId="18AEF574">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w:t>
      </w:r>
      <w:r>
        <w:rPr>
          <w:rFonts w:hint="eastAsia" w:ascii="仿宋" w:hAnsi="仿宋" w:eastAsia="仿宋" w:cs="仿宋"/>
          <w:color w:val="auto"/>
          <w:sz w:val="28"/>
          <w:szCs w:val="28"/>
          <w:highlight w:val="none"/>
        </w:rPr>
        <w:t>采购人可以对已发出的招标文件进行必要的澄清或者修改。澄清或者修改应当在原公告发布媒体上发布澄清（更正/变更）公告。</w:t>
      </w:r>
    </w:p>
    <w:p w14:paraId="49440609">
      <w:pPr>
        <w:pStyle w:val="3"/>
        <w:keepNext w:val="0"/>
        <w:keepLines w:val="0"/>
        <w:pageBreakBefore w:val="0"/>
        <w:widowControl w:val="0"/>
        <w:kinsoku/>
        <w:wordWrap/>
        <w:overflowPunct/>
        <w:topLinePunct w:val="0"/>
        <w:autoSpaceDE/>
        <w:autoSpaceDN/>
        <w:bidi w:val="0"/>
        <w:adjustRightInd/>
        <w:spacing w:line="54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2.</w:t>
      </w:r>
      <w:r>
        <w:rPr>
          <w:rFonts w:ascii="仿宋" w:hAnsi="仿宋" w:eastAsia="仿宋" w:cs="仿宋"/>
          <w:color w:val="auto"/>
          <w:sz w:val="28"/>
          <w:szCs w:val="28"/>
          <w:highlight w:val="none"/>
        </w:rPr>
        <w:t>采购人对招标文件的补充和修正，将以电子文件等方式发给所有获得招标文件的供应商，补充通知作为招标文件的组成部分，对同意参与招标单位起约束作用。</w:t>
      </w:r>
    </w:p>
    <w:p w14:paraId="67E776B8">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五、投标文件有效期</w:t>
      </w:r>
    </w:p>
    <w:p w14:paraId="1A63FDDA">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1.</w:t>
      </w:r>
      <w:r>
        <w:rPr>
          <w:rFonts w:hint="eastAsia" w:ascii="仿宋" w:hAnsi="仿宋" w:eastAsia="仿宋" w:cs="仿宋"/>
          <w:color w:val="auto"/>
          <w:sz w:val="28"/>
          <w:szCs w:val="28"/>
          <w:highlight w:val="none"/>
        </w:rPr>
        <w:t>在递交投标文件截止日期之后的60天内有效。</w:t>
      </w:r>
    </w:p>
    <w:p w14:paraId="037A91C5">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2.</w:t>
      </w:r>
      <w:r>
        <w:rPr>
          <w:rFonts w:hint="eastAsia" w:ascii="仿宋" w:hAnsi="仿宋" w:eastAsia="仿宋" w:cs="仿宋"/>
          <w:color w:val="auto"/>
          <w:sz w:val="28"/>
          <w:szCs w:val="28"/>
          <w:highlight w:val="none"/>
        </w:rPr>
        <w:t>在原定投标文件有效期满之前，如果出现特殊情况，招采办可以书面形式向投标人提出延长投标文件有效期的要求。</w:t>
      </w:r>
    </w:p>
    <w:p w14:paraId="261FB3EC">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3.</w:t>
      </w:r>
      <w:r>
        <w:rPr>
          <w:rFonts w:hint="eastAsia" w:ascii="仿宋" w:hAnsi="仿宋" w:eastAsia="仿宋" w:cs="仿宋"/>
          <w:color w:val="auto"/>
          <w:sz w:val="28"/>
          <w:szCs w:val="28"/>
          <w:highlight w:val="none"/>
        </w:rPr>
        <w:t>质疑期限：凡对招标文件有任何质疑的（包括认为招标文件的技术指标或参数存在排他性或歧视性条款），请于开标之日前提出疑问，逾期不予处理。</w:t>
      </w:r>
    </w:p>
    <w:p w14:paraId="4E1B687E">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420" w:firstLineChars="200"/>
        <w:textAlignment w:val="auto"/>
        <w:rPr>
          <w:rFonts w:hint="eastAsia" w:ascii="仿宋" w:hAnsi="仿宋" w:eastAsia="仿宋" w:cs="仿宋"/>
          <w:color w:val="auto"/>
          <w:sz w:val="28"/>
          <w:szCs w:val="28"/>
          <w:highlight w:val="none"/>
        </w:rPr>
      </w:pPr>
      <w:r>
        <w:rPr>
          <w:rFonts w:hint="eastAsia" w:cs="黑体"/>
          <w:color w:val="auto"/>
          <w:kern w:val="2"/>
          <w:sz w:val="21"/>
          <w:szCs w:val="24"/>
          <w:highlight w:val="none"/>
          <w:lang w:val="en-US" w:eastAsia="zh-CN" w:bidi="ar-SA"/>
        </w:rPr>
        <w:t>4.</w:t>
      </w:r>
      <w:r>
        <w:rPr>
          <w:rFonts w:hint="eastAsia" w:ascii="仿宋" w:hAnsi="仿宋" w:eastAsia="仿宋" w:cs="仿宋"/>
          <w:color w:val="auto"/>
          <w:sz w:val="28"/>
          <w:szCs w:val="28"/>
          <w:highlight w:val="none"/>
        </w:rPr>
        <w:t>招采办将</w:t>
      </w:r>
      <w:r>
        <w:rPr>
          <w:rFonts w:hint="eastAsia" w:ascii="仿宋" w:hAnsi="仿宋" w:eastAsia="仿宋" w:cs="仿宋"/>
          <w:color w:val="auto"/>
          <w:sz w:val="28"/>
          <w:szCs w:val="28"/>
          <w:highlight w:val="none"/>
          <w:lang w:val="en-US" w:eastAsia="zh-CN"/>
        </w:rPr>
        <w:t>作</w:t>
      </w:r>
      <w:r>
        <w:rPr>
          <w:rFonts w:hint="eastAsia" w:ascii="仿宋" w:hAnsi="仿宋" w:eastAsia="仿宋" w:cs="仿宋"/>
          <w:color w:val="auto"/>
          <w:sz w:val="28"/>
          <w:szCs w:val="28"/>
          <w:highlight w:val="none"/>
        </w:rPr>
        <w:t>出澄清和解答，逾期未提交质疑文件的视同无问题。</w:t>
      </w:r>
    </w:p>
    <w:p w14:paraId="6DFF092B">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560" w:firstLineChars="200"/>
        <w:textAlignment w:val="auto"/>
        <w:rPr>
          <w:rFonts w:hint="eastAsia" w:ascii="仿宋" w:hAnsi="仿宋" w:eastAsia="仿宋" w:cs="仿宋"/>
          <w:color w:val="auto"/>
          <w:sz w:val="28"/>
          <w:szCs w:val="28"/>
          <w:highlight w:val="none"/>
        </w:rPr>
      </w:pPr>
    </w:p>
    <w:p w14:paraId="3E590074">
      <w:pPr>
        <w:keepNext w:val="0"/>
        <w:keepLines w:val="0"/>
        <w:pageBreakBefore w:val="0"/>
        <w:widowControl w:val="0"/>
        <w:kinsoku/>
        <w:wordWrap/>
        <w:overflowPunct/>
        <w:topLinePunct w:val="0"/>
        <w:bidi w:val="0"/>
        <w:adjustRightInd/>
        <w:spacing w:line="500" w:lineRule="exact"/>
        <w:jc w:val="center"/>
        <w:textAlignment w:val="auto"/>
        <w:outlineLvl w:val="0"/>
        <w:rPr>
          <w:rFonts w:hint="eastAsia" w:ascii="宋体" w:hAnsi="宋体"/>
          <w:color w:val="auto"/>
          <w:sz w:val="24"/>
          <w:highlight w:val="none"/>
        </w:rPr>
      </w:pPr>
      <w:bookmarkStart w:id="1" w:name="_Toc20472"/>
      <w:r>
        <w:rPr>
          <w:rFonts w:hint="eastAsia" w:asciiTheme="minorEastAsia" w:hAnsiTheme="minorEastAsia" w:eastAsiaTheme="minorEastAsia"/>
          <w:b/>
          <w:bCs/>
          <w:color w:val="auto"/>
          <w:sz w:val="44"/>
          <w:szCs w:val="44"/>
          <w:highlight w:val="none"/>
        </w:rPr>
        <w:t>特别警示条款</w:t>
      </w:r>
      <w:bookmarkEnd w:id="1"/>
    </w:p>
    <w:p w14:paraId="16909D7F">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bookmarkStart w:id="2" w:name="_Toc4719"/>
      <w:bookmarkStart w:id="3" w:name="_Toc28128"/>
      <w:bookmarkStart w:id="4" w:name="_Toc16742"/>
    </w:p>
    <w:p w14:paraId="37030B28">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一、《深圳经济特区政府采购条例》</w:t>
      </w:r>
      <w:bookmarkEnd w:id="2"/>
      <w:bookmarkEnd w:id="3"/>
      <w:bookmarkEnd w:id="4"/>
    </w:p>
    <w:p w14:paraId="735B1742">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A652F7E">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（一）在采购活动中应当回避而未回避的；</w:t>
      </w:r>
    </w:p>
    <w:p w14:paraId="32F6C1A5">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（二）未按本条例规定签订、履行采购合同，造成严重后果的；</w:t>
      </w:r>
    </w:p>
    <w:p w14:paraId="5DDFF381">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（三）隐瞒真实情况，提供虚假资料的；</w:t>
      </w:r>
    </w:p>
    <w:p w14:paraId="1E879A5F">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（四）以非法手段排斥其他供应商参与竞争的；</w:t>
      </w:r>
    </w:p>
    <w:p w14:paraId="4526EA36">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（五）与其他采购参加人串通投标的；</w:t>
      </w:r>
    </w:p>
    <w:p w14:paraId="50D8EAA8">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（六）恶意投诉的；</w:t>
      </w:r>
    </w:p>
    <w:p w14:paraId="701E5E7D">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（七）向采购项目相关人行贿或者提供其他不当利益的；</w:t>
      </w:r>
    </w:p>
    <w:p w14:paraId="63F7D9E6">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（八）阻碍、抗拒主管部门监督检查的；</w:t>
      </w:r>
    </w:p>
    <w:p w14:paraId="1A7EDFE2">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（九）其他违反本条例规定的行为。</w:t>
      </w:r>
    </w:p>
    <w:p w14:paraId="1A4D59A8">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bookmarkStart w:id="5" w:name="_Toc17680"/>
      <w:bookmarkStart w:id="6" w:name="_Toc6288"/>
      <w:bookmarkStart w:id="7" w:name="_Toc4026"/>
      <w:r>
        <w:rPr>
          <w:rFonts w:hint="eastAsia" w:ascii="仿宋" w:hAnsi="仿宋" w:eastAsia="仿宋" w:cs="仿宋"/>
          <w:color w:val="auto"/>
          <w:sz w:val="28"/>
          <w:szCs w:val="28"/>
          <w:highlight w:val="none"/>
        </w:rPr>
        <w:t>二、《深圳经济特区政府采购条例实施细则》</w:t>
      </w:r>
      <w:bookmarkEnd w:id="5"/>
      <w:bookmarkEnd w:id="6"/>
      <w:bookmarkEnd w:id="7"/>
    </w:p>
    <w:p w14:paraId="0BC0295F">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第七十五条  供应商有下列情形的，属于采购条例所称的串通投标行为，按照采购条例第五十七条有关规定处理：</w:t>
      </w:r>
    </w:p>
    <w:p w14:paraId="2227772B">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（一）投标供应商之间相互约定给予未中标的供应商利益补偿；</w:t>
      </w:r>
    </w:p>
    <w:p w14:paraId="40448B01">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（二）不同投标供应商的法定代表人、主要经营负责人、项目投标授权代表人、项目负责人、主要技术人员为同一人、属于同一单位或者在同一单位缴纳社会保险；</w:t>
      </w:r>
    </w:p>
    <w:p w14:paraId="7BED55E9">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（三）不同投标供应商的投标文件由同一单位或者同一人编制，或者由同一人分阶段参与编制的；</w:t>
      </w:r>
    </w:p>
    <w:p w14:paraId="097AED66">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（四）不同投标供应商的投标文件或部分投标文件相互混装；</w:t>
      </w:r>
    </w:p>
    <w:p w14:paraId="27571102">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（五）不同投标供应商的投标文件内容存在非正常一致；</w:t>
      </w:r>
    </w:p>
    <w:p w14:paraId="50CF37CA">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（六）由同一单位工作人员为两家以上（含两家）供应商进行同一项投标活动的；</w:t>
      </w:r>
    </w:p>
    <w:p w14:paraId="5C327CBD">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（七）主管部门依照法律法规认定的其他情形。</w:t>
      </w:r>
    </w:p>
    <w:p w14:paraId="686E0FA4">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第七十七条  供应商有下列情形之一的，属于隐瞒真实情况，提供虚假资料，按照采购条例第五十七条的有关规定处理：</w:t>
      </w:r>
    </w:p>
    <w:p w14:paraId="4E689945">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（一）通过转让或者租借等方式从其他单位获取资格或者资质证书投标的；</w:t>
      </w:r>
    </w:p>
    <w:p w14:paraId="3870E8CC">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（二）由其他单位或者其他单位负责人在投标供应商编制的投标文件上加盖印章或者签字的；</w:t>
      </w:r>
    </w:p>
    <w:p w14:paraId="60399EFB">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（三）项目负责人或者主要技术人员不是本单位人员的；</w:t>
      </w:r>
    </w:p>
    <w:p w14:paraId="1C8B88BE">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（四）投标保证金不是从投标供应商基本账户转出的；</w:t>
      </w:r>
    </w:p>
    <w:p w14:paraId="13573790">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（五）其他隐瞒真实情况、提供虚假资料的行为。</w:t>
      </w:r>
    </w:p>
    <w:p w14:paraId="08D77B12">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投标供应商不能提供项目负责人或者主要技术人员的劳动合同、社会保险等劳动关系证明材料的，视为存在前款第（三）项规定的情形。</w:t>
      </w:r>
    </w:p>
    <w:p w14:paraId="1D490484">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bookmarkStart w:id="8" w:name="_Toc5544"/>
      <w:bookmarkStart w:id="9" w:name="_Toc13409"/>
      <w:bookmarkStart w:id="10" w:name="_Toc12769"/>
      <w:r>
        <w:rPr>
          <w:rFonts w:hint="eastAsia" w:ascii="仿宋" w:hAnsi="仿宋" w:eastAsia="仿宋" w:cs="仿宋"/>
          <w:color w:val="auto"/>
          <w:sz w:val="28"/>
          <w:szCs w:val="28"/>
          <w:highlight w:val="none"/>
        </w:rPr>
        <w:t>三、《中华人民共和国政府采购法实施条例》</w:t>
      </w:r>
      <w:bookmarkEnd w:id="8"/>
      <w:bookmarkEnd w:id="9"/>
      <w:bookmarkEnd w:id="10"/>
    </w:p>
    <w:p w14:paraId="170A05BC">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第十八条  单位负责人为同一人或者存在直接控股、管理关系的不同供应商，不得参加同一合同项下的政府采购活动。</w:t>
      </w:r>
    </w:p>
    <w:p w14:paraId="00E2868F">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除单一来源采购项目外，为采购项目提供整体设计、规范编制或者项目管理、监理、检测等服务的供应商，不得再参加该采购项目的其他采购活动。</w:t>
      </w:r>
    </w:p>
    <w:p w14:paraId="603E2CC5">
      <w:pPr>
        <w:keepNext w:val="0"/>
        <w:keepLines w:val="0"/>
        <w:pageBreakBefore w:val="0"/>
        <w:widowControl w:val="0"/>
        <w:kinsoku/>
        <w:wordWrap/>
        <w:overflowPunct/>
        <w:topLinePunct w:val="0"/>
        <w:autoSpaceDE w:val="0"/>
        <w:autoSpaceDN w:val="0"/>
        <w:bidi w:val="0"/>
        <w:adjustRightInd/>
        <w:spacing w:line="500" w:lineRule="exact"/>
        <w:ind w:firstLine="498" w:firstLineChars="177"/>
        <w:textAlignment w:val="auto"/>
        <w:rPr>
          <w:rFonts w:hint="eastAsia" w:ascii="仿宋_GB2312" w:eastAsia="仿宋_GB2312" w:hAnsiTheme="minorEastAsia"/>
          <w:b/>
          <w:color w:val="auto"/>
          <w:sz w:val="28"/>
          <w:highlight w:val="none"/>
        </w:rPr>
      </w:pPr>
      <w:r>
        <w:rPr>
          <w:rFonts w:hint="eastAsia" w:ascii="仿宋_GB2312" w:eastAsia="仿宋_GB2312" w:hAnsiTheme="minorEastAsia"/>
          <w:b/>
          <w:color w:val="auto"/>
          <w:sz w:val="28"/>
          <w:szCs w:val="28"/>
          <w:highlight w:val="none"/>
        </w:rPr>
        <w:t>投标供应商涉嫌存在串通投标等违法行为的，将书面报告财政主管部门依法处理。</w:t>
      </w:r>
    </w:p>
    <w:p w14:paraId="5FF54559">
      <w:pPr>
        <w:keepNext w:val="0"/>
        <w:keepLines w:val="0"/>
        <w:pageBreakBefore w:val="0"/>
        <w:widowControl w:val="0"/>
        <w:kinsoku/>
        <w:wordWrap/>
        <w:overflowPunct/>
        <w:topLinePunct w:val="0"/>
        <w:bidi w:val="0"/>
        <w:spacing w:line="560" w:lineRule="exact"/>
        <w:jc w:val="center"/>
        <w:textAlignment w:val="auto"/>
        <w:rPr>
          <w:rFonts w:hint="eastAsia" w:ascii="仿宋_GB2312" w:hAnsi="仿宋_GB2312" w:eastAsia="仿宋_GB2312" w:cs="仿宋_GB2312"/>
          <w:b/>
          <w:bCs/>
          <w:color w:val="auto"/>
          <w:sz w:val="36"/>
          <w:szCs w:val="36"/>
          <w:highlight w:val="none"/>
        </w:rPr>
      </w:pPr>
    </w:p>
    <w:p w14:paraId="5FBAA371">
      <w:pPr>
        <w:keepNext w:val="0"/>
        <w:keepLines w:val="0"/>
        <w:pageBreakBefore w:val="0"/>
        <w:widowControl w:val="0"/>
        <w:kinsoku/>
        <w:wordWrap/>
        <w:overflowPunct/>
        <w:topLinePunct w:val="0"/>
        <w:bidi w:val="0"/>
        <w:spacing w:line="560" w:lineRule="exact"/>
        <w:jc w:val="center"/>
        <w:textAlignment w:val="auto"/>
        <w:rPr>
          <w:rFonts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投标文件初审表</w:t>
      </w:r>
    </w:p>
    <w:p w14:paraId="20AABCF6">
      <w:pPr>
        <w:keepNext w:val="0"/>
        <w:keepLines w:val="0"/>
        <w:pageBreakBefore w:val="0"/>
        <w:widowControl w:val="0"/>
        <w:kinsoku/>
        <w:wordWrap/>
        <w:overflowPunct/>
        <w:topLinePunct w:val="0"/>
        <w:bidi w:val="0"/>
        <w:spacing w:line="560" w:lineRule="exact"/>
        <w:jc w:val="center"/>
        <w:textAlignment w:val="auto"/>
        <w:rPr>
          <w:rFonts w:asciiTheme="majorEastAsia" w:hAnsiTheme="majorEastAsia" w:eastAsiaTheme="majorEastAsia"/>
          <w:color w:val="auto"/>
          <w:sz w:val="30"/>
          <w:szCs w:val="30"/>
          <w:highlight w:val="none"/>
        </w:rPr>
      </w:pPr>
      <w:r>
        <w:rPr>
          <w:rFonts w:hint="eastAsia" w:ascii="仿宋" w:hAnsi="仿宋" w:eastAsia="仿宋" w:cs="仿宋"/>
          <w:b/>
          <w:color w:val="auto"/>
          <w:sz w:val="22"/>
          <w:szCs w:val="28"/>
          <w:highlight w:val="none"/>
        </w:rPr>
        <w:t>（凡未满足下列情形的，投标文件无效，投标作废标处理）</w:t>
      </w:r>
    </w:p>
    <w:p w14:paraId="2E399F0F">
      <w:pPr>
        <w:pStyle w:val="3"/>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（一）资格性审查表</w:t>
      </w:r>
    </w:p>
    <w:tbl>
      <w:tblPr>
        <w:tblStyle w:val="19"/>
        <w:tblW w:w="10090" w:type="dxa"/>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7634"/>
        <w:gridCol w:w="1573"/>
      </w:tblGrid>
      <w:tr w14:paraId="32AF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83" w:type="dxa"/>
            <w:vAlign w:val="center"/>
          </w:tcPr>
          <w:p w14:paraId="0CEAE23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cs="宋体"/>
                <w:b/>
                <w:color w:val="auto"/>
                <w:highlight w:val="none"/>
              </w:rPr>
            </w:pPr>
            <w:r>
              <w:rPr>
                <w:rFonts w:hint="eastAsia" w:ascii="宋体" w:cs="宋体"/>
                <w:b/>
                <w:color w:val="auto"/>
                <w:highlight w:val="none"/>
              </w:rPr>
              <w:t>序号</w:t>
            </w:r>
          </w:p>
        </w:tc>
        <w:tc>
          <w:tcPr>
            <w:tcW w:w="7634" w:type="dxa"/>
            <w:vAlign w:val="center"/>
          </w:tcPr>
          <w:p w14:paraId="04DE217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宋体" w:cs="宋体"/>
                <w:b/>
                <w:color w:val="auto"/>
                <w:highlight w:val="none"/>
              </w:rPr>
            </w:pPr>
            <w:r>
              <w:rPr>
                <w:rFonts w:hint="eastAsia" w:ascii="宋体" w:hAnsi="宋体" w:cs="宋体"/>
                <w:b/>
                <w:color w:val="auto"/>
                <w:highlight w:val="none"/>
              </w:rPr>
              <w:t>评 审 内 容</w:t>
            </w:r>
          </w:p>
        </w:tc>
        <w:tc>
          <w:tcPr>
            <w:tcW w:w="1573" w:type="dxa"/>
            <w:vAlign w:val="center"/>
          </w:tcPr>
          <w:p w14:paraId="72D6791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自查情况</w:t>
            </w:r>
          </w:p>
          <w:p w14:paraId="184AC7F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color w:val="auto"/>
                <w:highlight w:val="none"/>
              </w:rPr>
            </w:pPr>
            <w:r>
              <w:rPr>
                <w:rFonts w:hint="eastAsia" w:ascii="宋体" w:hAnsi="宋体"/>
                <w:color w:val="auto"/>
                <w:szCs w:val="21"/>
                <w:highlight w:val="none"/>
                <w:lang w:eastAsia="zh-CN"/>
              </w:rPr>
              <w:t>（填写“</w:t>
            </w:r>
            <w:r>
              <w:rPr>
                <w:rFonts w:hint="eastAsia" w:ascii="宋体" w:hAnsi="宋体"/>
                <w:color w:val="auto"/>
                <w:szCs w:val="21"/>
                <w:highlight w:val="none"/>
                <w:lang w:val="en-US" w:eastAsia="zh-CN"/>
              </w:rPr>
              <w:t>满足</w:t>
            </w:r>
            <w:r>
              <w:rPr>
                <w:rFonts w:hint="eastAsia" w:ascii="宋体" w:hAnsi="宋体"/>
                <w:color w:val="auto"/>
                <w:szCs w:val="21"/>
                <w:highlight w:val="none"/>
                <w:lang w:eastAsia="zh-CN"/>
              </w:rPr>
              <w:t>”或“</w:t>
            </w:r>
            <w:r>
              <w:rPr>
                <w:rFonts w:hint="eastAsia" w:ascii="宋体" w:hAnsi="宋体"/>
                <w:color w:val="auto"/>
                <w:szCs w:val="21"/>
                <w:highlight w:val="none"/>
                <w:lang w:val="en-US" w:eastAsia="zh-CN"/>
              </w:rPr>
              <w:t>不满足</w:t>
            </w:r>
            <w:r>
              <w:rPr>
                <w:rFonts w:hint="eastAsia" w:ascii="宋体" w:hAnsi="宋体"/>
                <w:color w:val="auto"/>
                <w:szCs w:val="21"/>
                <w:highlight w:val="none"/>
                <w:lang w:eastAsia="zh-CN"/>
              </w:rPr>
              <w:t>”）</w:t>
            </w:r>
          </w:p>
        </w:tc>
      </w:tr>
      <w:tr w14:paraId="66AF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14:paraId="1BAFCA66">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p>
        </w:tc>
        <w:tc>
          <w:tcPr>
            <w:tcW w:w="7634" w:type="dxa"/>
            <w:vAlign w:val="center"/>
          </w:tcPr>
          <w:p w14:paraId="2F40766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具备招标文件中规定要求的资格，且资格证明文件齐全</w:t>
            </w:r>
            <w:r>
              <w:rPr>
                <w:rFonts w:hint="eastAsia" w:ascii="宋体" w:hAnsi="宋体" w:cs="宋体"/>
                <w:color w:val="auto"/>
                <w:sz w:val="22"/>
                <w:szCs w:val="22"/>
                <w:highlight w:val="none"/>
                <w:lang w:eastAsia="zh-CN"/>
              </w:rPr>
              <w:t>。</w:t>
            </w:r>
          </w:p>
        </w:tc>
        <w:tc>
          <w:tcPr>
            <w:tcW w:w="1573" w:type="dxa"/>
            <w:vAlign w:val="center"/>
          </w:tcPr>
          <w:p w14:paraId="034315F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tr w14:paraId="07E3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14:paraId="7ECA453E">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p>
        </w:tc>
        <w:tc>
          <w:tcPr>
            <w:tcW w:w="7634" w:type="dxa"/>
            <w:vAlign w:val="center"/>
          </w:tcPr>
          <w:p w14:paraId="4AD674F4">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投标及履约承诺函已提交并符合招标文件要求的</w:t>
            </w:r>
            <w:r>
              <w:rPr>
                <w:rFonts w:hint="eastAsia" w:ascii="宋体" w:hAnsi="宋体" w:cs="宋体"/>
                <w:color w:val="auto"/>
                <w:sz w:val="22"/>
                <w:szCs w:val="22"/>
                <w:highlight w:val="none"/>
                <w:lang w:eastAsia="zh-CN"/>
              </w:rPr>
              <w:t>。</w:t>
            </w:r>
          </w:p>
        </w:tc>
        <w:tc>
          <w:tcPr>
            <w:tcW w:w="1573" w:type="dxa"/>
            <w:vAlign w:val="center"/>
          </w:tcPr>
          <w:p w14:paraId="5F71106C">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tr w14:paraId="3274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14:paraId="28CF63B8">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bookmarkStart w:id="11" w:name="_Toc15975"/>
          </w:p>
        </w:tc>
        <w:tc>
          <w:tcPr>
            <w:tcW w:w="7634" w:type="dxa"/>
            <w:vAlign w:val="center"/>
          </w:tcPr>
          <w:p w14:paraId="56EFBC73">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供应商基本情况表已提交，提供法定代表人、主要经营负责人、项目投标授权代表人、项目负责人</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、主要技术人员</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最近一个月的社会保险证明。</w:t>
            </w:r>
          </w:p>
          <w:p w14:paraId="2B296609">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备注：</w:t>
            </w:r>
          </w:p>
          <w:p w14:paraId="32B3A9FA">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1.法定代表人、主要经营负责人、项目投标授权代表人的社会保险未由投标人单位缴纳，亦须提供相应单位为其缴纳的社会保险证明。</w:t>
            </w:r>
          </w:p>
          <w:p w14:paraId="043361B9">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2.项目负责人和主要技术人员的社会保险须由投标人单位缴纳。</w:t>
            </w:r>
          </w:p>
          <w:p w14:paraId="50B22A38">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3.投标人为新成立企业且成立时间不足一个月可提供加盖投标人公章的情况说明或者证明材料亦视为符合。</w:t>
            </w:r>
          </w:p>
          <w:p w14:paraId="10FB3990">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4.若为退休人员，提供退休证明。如依法不需要缴纳社会保险的，应提供相应文件证明。</w:t>
            </w:r>
          </w:p>
          <w:p w14:paraId="5DAE8DC9">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5.若因社保部门原因无法提供的，需提供劳动合同及社保部门官方通知证明</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或官网公告截图</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w:t>
            </w:r>
          </w:p>
          <w:p w14:paraId="1350498B">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6.如本项目未安排项目负责人、主要技术人员的，无需提供项目负责人、主要技术人员的社保。</w:t>
            </w:r>
          </w:p>
        </w:tc>
        <w:tc>
          <w:tcPr>
            <w:tcW w:w="1573" w:type="dxa"/>
            <w:vAlign w:val="center"/>
          </w:tcPr>
          <w:p w14:paraId="0BF0F43F">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tr w14:paraId="5CFB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83" w:type="dxa"/>
            <w:vAlign w:val="center"/>
          </w:tcPr>
          <w:p w14:paraId="4F642D26">
            <w:pPr>
              <w:keepNext w:val="0"/>
              <w:keepLines w:val="0"/>
              <w:pageBreakBefore w:val="0"/>
              <w:widowControl w:val="0"/>
              <w:numPr>
                <w:ilvl w:val="0"/>
                <w:numId w:val="3"/>
              </w:numPr>
              <w:tabs>
                <w:tab w:val="left" w:pos="176"/>
                <w:tab w:val="left" w:pos="612"/>
              </w:tabs>
              <w:kinsoku/>
              <w:wordWrap/>
              <w:overflowPunct/>
              <w:topLinePunct w:val="0"/>
              <w:autoSpaceDE/>
              <w:autoSpaceDN/>
              <w:bidi w:val="0"/>
              <w:adjustRightInd/>
              <w:snapToGrid/>
              <w:spacing w:line="240" w:lineRule="atLeast"/>
              <w:ind w:left="342"/>
              <w:jc w:val="center"/>
              <w:textAlignment w:val="auto"/>
              <w:rPr>
                <w:rFonts w:ascii="宋体" w:hAnsi="宋体" w:cs="宋体"/>
                <w:color w:val="auto"/>
                <w:highlight w:val="none"/>
              </w:rPr>
            </w:pPr>
          </w:p>
        </w:tc>
        <w:tc>
          <w:tcPr>
            <w:tcW w:w="7634" w:type="dxa"/>
            <w:vAlign w:val="center"/>
          </w:tcPr>
          <w:p w14:paraId="79313B74">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cs="宋体"/>
                <w:color w:val="auto"/>
                <w:sz w:val="22"/>
                <w:szCs w:val="22"/>
                <w:highlight w:val="none"/>
              </w:rPr>
            </w:pPr>
            <w:r>
              <w:rPr>
                <w:rFonts w:hint="eastAsia" w:ascii="宋体" w:hAnsi="宋体" w:cs="宋体"/>
                <w:color w:val="auto"/>
                <w:sz w:val="22"/>
                <w:szCs w:val="22"/>
                <w:highlight w:val="none"/>
              </w:rPr>
              <w:t>不同供应商的法定代表人、主要经营负责人、项目投标授权代表人、项目负责人</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、主要技术人员</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如有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不存在为同一人或在同一单位缴纳社会保险；或者不存在直接控股、管理关系；不存在因违法行为而被禁止参加政府采购活动等情形。</w:t>
            </w:r>
          </w:p>
        </w:tc>
        <w:tc>
          <w:tcPr>
            <w:tcW w:w="1573" w:type="dxa"/>
            <w:vAlign w:val="center"/>
          </w:tcPr>
          <w:p w14:paraId="2F2B6FB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p>
        </w:tc>
      </w:tr>
      <w:bookmarkEnd w:id="11"/>
    </w:tbl>
    <w:p w14:paraId="7544708A">
      <w:pPr>
        <w:pStyle w:val="3"/>
        <w:spacing w:line="240" w:lineRule="atLeast"/>
        <w:rPr>
          <w:color w:val="auto"/>
          <w:highlight w:val="none"/>
        </w:rPr>
      </w:pPr>
    </w:p>
    <w:p w14:paraId="11941E4E">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投标人（公章）：</w:t>
      </w:r>
    </w:p>
    <w:p w14:paraId="709601BC">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法定代表人或其授权代表签名：</w:t>
      </w:r>
    </w:p>
    <w:p w14:paraId="7ADCD0C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日期：      年    月    日</w:t>
      </w:r>
    </w:p>
    <w:p w14:paraId="473C6ECB">
      <w:pPr>
        <w:rPr>
          <w:color w:val="auto"/>
          <w:highlight w:val="none"/>
        </w:rPr>
      </w:pPr>
    </w:p>
    <w:p w14:paraId="382ED2D4">
      <w:pPr>
        <w:rPr>
          <w:color w:val="auto"/>
          <w:highlight w:val="none"/>
        </w:rPr>
      </w:pPr>
    </w:p>
    <w:p w14:paraId="12908A21">
      <w:pPr>
        <w:rPr>
          <w:color w:val="auto"/>
          <w:highlight w:val="none"/>
        </w:rPr>
      </w:pPr>
    </w:p>
    <w:p w14:paraId="30135864">
      <w:pPr>
        <w:rPr>
          <w:color w:val="auto"/>
          <w:highlight w:val="none"/>
        </w:rPr>
      </w:pPr>
    </w:p>
    <w:p w14:paraId="2ADDE7FE">
      <w:pPr>
        <w:rPr>
          <w:color w:val="auto"/>
          <w:highlight w:val="none"/>
        </w:rPr>
      </w:pPr>
    </w:p>
    <w:p w14:paraId="208314E7">
      <w:pPr>
        <w:rPr>
          <w:color w:val="auto"/>
          <w:highlight w:val="none"/>
        </w:rPr>
      </w:pPr>
    </w:p>
    <w:p w14:paraId="49927C54">
      <w:pPr>
        <w:pStyle w:val="3"/>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（二）符合性检查表</w:t>
      </w:r>
    </w:p>
    <w:tbl>
      <w:tblPr>
        <w:tblStyle w:val="19"/>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7650"/>
        <w:gridCol w:w="1613"/>
      </w:tblGrid>
      <w:tr w14:paraId="42D6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0" w:type="dxa"/>
            <w:noWrap/>
            <w:vAlign w:val="center"/>
          </w:tcPr>
          <w:p w14:paraId="0397675C">
            <w:pPr>
              <w:keepNext w:val="0"/>
              <w:keepLines w:val="0"/>
              <w:pageBreakBefore w:val="0"/>
              <w:widowControl w:val="0"/>
              <w:kinsoku/>
              <w:wordWrap/>
              <w:overflowPunct/>
              <w:topLinePunct w:val="0"/>
              <w:bidi w:val="0"/>
              <w:spacing w:line="240" w:lineRule="atLeast"/>
              <w:jc w:val="left"/>
              <w:textAlignment w:val="auto"/>
              <w:rPr>
                <w:rFonts w:ascii="宋体" w:hAnsi="宋体" w:cs="宋体"/>
                <w:b/>
                <w:color w:val="auto"/>
                <w:highlight w:val="none"/>
              </w:rPr>
            </w:pPr>
            <w:r>
              <w:rPr>
                <w:rFonts w:hint="eastAsia" w:ascii="宋体" w:hAnsi="宋体" w:cs="宋体"/>
                <w:b/>
                <w:color w:val="auto"/>
                <w:highlight w:val="none"/>
              </w:rPr>
              <w:t>序号</w:t>
            </w:r>
          </w:p>
        </w:tc>
        <w:tc>
          <w:tcPr>
            <w:tcW w:w="7650" w:type="dxa"/>
            <w:noWrap/>
            <w:vAlign w:val="center"/>
          </w:tcPr>
          <w:p w14:paraId="3A074A4B">
            <w:pPr>
              <w:keepNext w:val="0"/>
              <w:keepLines w:val="0"/>
              <w:pageBreakBefore w:val="0"/>
              <w:widowControl w:val="0"/>
              <w:kinsoku/>
              <w:wordWrap/>
              <w:overflowPunct/>
              <w:topLinePunct w:val="0"/>
              <w:bidi w:val="0"/>
              <w:spacing w:line="240" w:lineRule="atLeast"/>
              <w:jc w:val="left"/>
              <w:textAlignment w:val="auto"/>
              <w:rPr>
                <w:rFonts w:ascii="宋体" w:hAnsi="宋体" w:cs="宋体"/>
                <w:b/>
                <w:color w:val="auto"/>
                <w:highlight w:val="none"/>
              </w:rPr>
            </w:pPr>
            <w:r>
              <w:rPr>
                <w:rFonts w:hint="eastAsia" w:ascii="宋体" w:hAnsi="宋体" w:cs="宋体"/>
                <w:b/>
                <w:color w:val="auto"/>
                <w:highlight w:val="none"/>
              </w:rPr>
              <w:t>评审内容</w:t>
            </w:r>
          </w:p>
        </w:tc>
        <w:tc>
          <w:tcPr>
            <w:tcW w:w="1613" w:type="dxa"/>
            <w:noWrap/>
            <w:vAlign w:val="center"/>
          </w:tcPr>
          <w:p w14:paraId="4388D7A7">
            <w:pPr>
              <w:keepNext w:val="0"/>
              <w:keepLines w:val="0"/>
              <w:pageBreakBefore w:val="0"/>
              <w:widowControl w:val="0"/>
              <w:kinsoku/>
              <w:wordWrap/>
              <w:overflowPunct/>
              <w:topLinePunct w:val="0"/>
              <w:bidi w:val="0"/>
              <w:spacing w:line="240" w:lineRule="atLeast"/>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自查情况</w:t>
            </w:r>
          </w:p>
          <w:p w14:paraId="7FB07A50">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
                <w:color w:val="auto"/>
                <w:highlight w:val="none"/>
              </w:rPr>
            </w:pPr>
            <w:r>
              <w:rPr>
                <w:rFonts w:hint="eastAsia" w:ascii="宋体" w:hAnsi="宋体"/>
                <w:color w:val="auto"/>
                <w:szCs w:val="21"/>
                <w:highlight w:val="none"/>
                <w:lang w:eastAsia="zh-CN"/>
              </w:rPr>
              <w:t>（填写“</w:t>
            </w:r>
            <w:r>
              <w:rPr>
                <w:rFonts w:hint="eastAsia" w:ascii="宋体" w:hAnsi="宋体"/>
                <w:color w:val="auto"/>
                <w:szCs w:val="21"/>
                <w:highlight w:val="none"/>
                <w:lang w:val="en-US" w:eastAsia="zh-CN"/>
              </w:rPr>
              <w:t>满足</w:t>
            </w:r>
            <w:r>
              <w:rPr>
                <w:rFonts w:hint="eastAsia" w:ascii="宋体" w:hAnsi="宋体"/>
                <w:color w:val="auto"/>
                <w:szCs w:val="21"/>
                <w:highlight w:val="none"/>
                <w:lang w:eastAsia="zh-CN"/>
              </w:rPr>
              <w:t>”或“</w:t>
            </w:r>
            <w:r>
              <w:rPr>
                <w:rFonts w:hint="eastAsia" w:ascii="宋体" w:hAnsi="宋体"/>
                <w:color w:val="auto"/>
                <w:szCs w:val="21"/>
                <w:highlight w:val="none"/>
                <w:lang w:val="en-US" w:eastAsia="zh-CN"/>
              </w:rPr>
              <w:t>不满足</w:t>
            </w:r>
            <w:r>
              <w:rPr>
                <w:rFonts w:hint="eastAsia" w:ascii="宋体" w:hAnsi="宋体"/>
                <w:color w:val="auto"/>
                <w:szCs w:val="21"/>
                <w:highlight w:val="none"/>
                <w:lang w:eastAsia="zh-CN"/>
              </w:rPr>
              <w:t>”）</w:t>
            </w:r>
          </w:p>
        </w:tc>
      </w:tr>
      <w:tr w14:paraId="760B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10" w:type="dxa"/>
            <w:noWrap/>
            <w:vAlign w:val="center"/>
          </w:tcPr>
          <w:p w14:paraId="55FC62BF">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1</w:t>
            </w:r>
          </w:p>
        </w:tc>
        <w:tc>
          <w:tcPr>
            <w:tcW w:w="7650" w:type="dxa"/>
            <w:noWrap/>
            <w:vAlign w:val="center"/>
          </w:tcPr>
          <w:p w14:paraId="03B7237B">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color w:val="auto"/>
                <w:highlight w:val="none"/>
              </w:rPr>
              <w:t>未</w:t>
            </w:r>
            <w:r>
              <w:rPr>
                <w:rFonts w:hint="eastAsia" w:ascii="宋体" w:hAnsi="宋体" w:cs="宋体"/>
                <w:bCs/>
                <w:color w:val="auto"/>
                <w:sz w:val="22"/>
                <w:szCs w:val="22"/>
                <w:highlight w:val="none"/>
              </w:rPr>
              <w:t>将一个包中的内容拆开投标。</w:t>
            </w:r>
          </w:p>
        </w:tc>
        <w:tc>
          <w:tcPr>
            <w:tcW w:w="1613" w:type="dxa"/>
            <w:noWrap/>
            <w:vAlign w:val="center"/>
          </w:tcPr>
          <w:p w14:paraId="2626ADD3">
            <w:pPr>
              <w:keepNext w:val="0"/>
              <w:keepLines w:val="0"/>
              <w:pageBreakBefore w:val="0"/>
              <w:widowControl w:val="0"/>
              <w:kinsoku/>
              <w:wordWrap/>
              <w:overflowPunct/>
              <w:topLinePunct w:val="0"/>
              <w:bidi w:val="0"/>
              <w:spacing w:line="240" w:lineRule="atLeast"/>
              <w:jc w:val="left"/>
              <w:textAlignment w:val="auto"/>
              <w:rPr>
                <w:rFonts w:hint="eastAsia"/>
                <w:color w:val="auto"/>
                <w:highlight w:val="none"/>
              </w:rPr>
            </w:pPr>
          </w:p>
        </w:tc>
      </w:tr>
      <w:tr w14:paraId="5237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10" w:type="dxa"/>
            <w:noWrap/>
            <w:vAlign w:val="center"/>
          </w:tcPr>
          <w:p w14:paraId="07280585">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2</w:t>
            </w:r>
          </w:p>
        </w:tc>
        <w:tc>
          <w:tcPr>
            <w:tcW w:w="7650" w:type="dxa"/>
            <w:noWrap/>
            <w:vAlign w:val="center"/>
          </w:tcPr>
          <w:p w14:paraId="7B9D82BA">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招标文件未规定允许有替代方案时，对同一货物投标时，</w:t>
            </w:r>
            <w:r>
              <w:rPr>
                <w:rFonts w:hint="eastAsia"/>
                <w:color w:val="auto"/>
                <w:highlight w:val="none"/>
              </w:rPr>
              <w:t>未</w:t>
            </w:r>
            <w:r>
              <w:rPr>
                <w:rFonts w:hint="eastAsia" w:ascii="宋体" w:hAnsi="宋体" w:cs="宋体"/>
                <w:bCs/>
                <w:color w:val="auto"/>
                <w:sz w:val="22"/>
                <w:szCs w:val="22"/>
                <w:highlight w:val="none"/>
              </w:rPr>
              <w:t>同时提供两套或两套以上的投标方案。</w:t>
            </w:r>
          </w:p>
        </w:tc>
        <w:tc>
          <w:tcPr>
            <w:tcW w:w="1613" w:type="dxa"/>
            <w:noWrap/>
            <w:vAlign w:val="center"/>
          </w:tcPr>
          <w:p w14:paraId="560F01BB">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0EB0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0" w:type="dxa"/>
            <w:noWrap/>
            <w:vAlign w:val="center"/>
          </w:tcPr>
          <w:p w14:paraId="599CAE1E">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3</w:t>
            </w:r>
          </w:p>
        </w:tc>
        <w:tc>
          <w:tcPr>
            <w:tcW w:w="7650" w:type="dxa"/>
            <w:noWrap/>
            <w:vAlign w:val="center"/>
          </w:tcPr>
          <w:p w14:paraId="08E7C60E">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color w:val="auto"/>
                <w:szCs w:val="21"/>
                <w:highlight w:val="none"/>
              </w:rPr>
              <w:t>投标报价按照招标文件要求进行报价，</w:t>
            </w:r>
            <w:r>
              <w:rPr>
                <w:rFonts w:hint="eastAsia" w:ascii="宋体" w:hAnsi="宋体" w:cs="宋体"/>
                <w:bCs/>
                <w:color w:val="auto"/>
                <w:sz w:val="22"/>
                <w:szCs w:val="22"/>
                <w:highlight w:val="none"/>
              </w:rPr>
              <w:t>投标总价或分项报价</w:t>
            </w:r>
            <w:r>
              <w:rPr>
                <w:rFonts w:hint="eastAsia"/>
                <w:color w:val="auto"/>
                <w:highlight w:val="none"/>
              </w:rPr>
              <w:t>未</w:t>
            </w:r>
            <w:r>
              <w:rPr>
                <w:rFonts w:hint="eastAsia" w:ascii="宋体" w:hAnsi="宋体" w:cs="宋体"/>
                <w:bCs/>
                <w:color w:val="auto"/>
                <w:sz w:val="22"/>
                <w:szCs w:val="22"/>
                <w:highlight w:val="none"/>
              </w:rPr>
              <w:t>高于项目预算限额。</w:t>
            </w:r>
          </w:p>
        </w:tc>
        <w:tc>
          <w:tcPr>
            <w:tcW w:w="1613" w:type="dxa"/>
            <w:noWrap/>
            <w:vAlign w:val="center"/>
          </w:tcPr>
          <w:p w14:paraId="3393150D">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color w:val="auto"/>
                <w:szCs w:val="21"/>
                <w:highlight w:val="none"/>
              </w:rPr>
            </w:pPr>
          </w:p>
        </w:tc>
      </w:tr>
      <w:tr w14:paraId="5030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910" w:type="dxa"/>
            <w:noWrap/>
            <w:vAlign w:val="center"/>
          </w:tcPr>
          <w:p w14:paraId="25A5F3EF">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4</w:t>
            </w:r>
          </w:p>
        </w:tc>
        <w:tc>
          <w:tcPr>
            <w:tcW w:w="7650" w:type="dxa"/>
            <w:noWrap/>
            <w:vAlign w:val="center"/>
          </w:tcPr>
          <w:p w14:paraId="185947A0">
            <w:pPr>
              <w:keepNext w:val="0"/>
              <w:keepLines w:val="0"/>
              <w:pageBreakBefore w:val="0"/>
              <w:widowControl w:val="0"/>
              <w:kinsoku/>
              <w:wordWrap/>
              <w:overflowPunct/>
              <w:topLinePunct w:val="0"/>
              <w:bidi w:val="0"/>
              <w:spacing w:line="240" w:lineRule="atLeast"/>
              <w:jc w:val="left"/>
              <w:textAlignment w:val="auto"/>
              <w:rPr>
                <w:rFonts w:hint="eastAsia" w:ascii="宋体" w:hAnsi="宋体" w:eastAsia="宋体" w:cs="宋体"/>
                <w:bCs/>
                <w:color w:val="auto"/>
                <w:sz w:val="22"/>
                <w:szCs w:val="22"/>
                <w:highlight w:val="none"/>
                <w:lang w:eastAsia="zh-CN"/>
              </w:rPr>
            </w:pPr>
            <w:r>
              <w:rPr>
                <w:rFonts w:hint="eastAsia" w:ascii="宋体" w:hAnsi="宋体" w:eastAsia="宋体" w:cs="宋体"/>
                <w:color w:val="auto"/>
                <w:szCs w:val="21"/>
                <w:highlight w:val="none"/>
              </w:rPr>
              <w:t>本项目评审中出现下列情形之一的，评审委员会应当启动异常低价投标(响应)审查程序：（1）投标（响应）报价低于全部通过符合性审查供应商投标（响应）报价平均值50%的，即投标（响应）报价&lt;全部通过符合性审查供应商投标（响应）报价平均值×50%；（2）投标（响应）报价低于通过符合性审查且报价次低供应商投标（响应）报价50%的，即投标（响应）报价&lt;通过符合性审查且报价次低供应商投标（响应）报价×50%；（3）投标（响应）报价低于采购项目最高限价45%的，即投标（响应）报价&lt;采购项目最高限价×45%；（4）评审委员会基于专业判断，认为供应商报价过低，有可能影响产品质量或者不能诚信履约的其他情形</w:t>
            </w:r>
            <w:r>
              <w:rPr>
                <w:rFonts w:hint="eastAsia" w:ascii="宋体" w:hAnsi="宋体" w:eastAsia="宋体" w:cs="宋体"/>
                <w:color w:val="auto"/>
                <w:szCs w:val="21"/>
                <w:highlight w:val="none"/>
                <w:lang w:eastAsia="zh-CN"/>
              </w:rPr>
              <w:t>。</w:t>
            </w:r>
          </w:p>
        </w:tc>
        <w:tc>
          <w:tcPr>
            <w:tcW w:w="1613" w:type="dxa"/>
            <w:noWrap/>
            <w:vAlign w:val="center"/>
          </w:tcPr>
          <w:p w14:paraId="0937CADF">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6795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10" w:type="dxa"/>
            <w:noWrap/>
            <w:vAlign w:val="center"/>
          </w:tcPr>
          <w:p w14:paraId="500D6CDA">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5</w:t>
            </w:r>
          </w:p>
        </w:tc>
        <w:tc>
          <w:tcPr>
            <w:tcW w:w="7650" w:type="dxa"/>
            <w:noWrap/>
            <w:vAlign w:val="center"/>
          </w:tcPr>
          <w:p w14:paraId="5873DEB8">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13" w:type="dxa"/>
            <w:noWrap/>
            <w:vAlign w:val="center"/>
          </w:tcPr>
          <w:p w14:paraId="174E738C">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11FE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10" w:type="dxa"/>
            <w:noWrap/>
            <w:vAlign w:val="center"/>
          </w:tcPr>
          <w:p w14:paraId="4CA467C1">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6</w:t>
            </w:r>
          </w:p>
        </w:tc>
        <w:tc>
          <w:tcPr>
            <w:tcW w:w="7650" w:type="dxa"/>
            <w:noWrap/>
            <w:vAlign w:val="center"/>
          </w:tcPr>
          <w:p w14:paraId="77342F90">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投标报价无缺漏项目或未对采购文件规定的服务清单项目及数量进行修改。</w:t>
            </w:r>
          </w:p>
        </w:tc>
        <w:tc>
          <w:tcPr>
            <w:tcW w:w="1613" w:type="dxa"/>
            <w:noWrap/>
            <w:vAlign w:val="center"/>
          </w:tcPr>
          <w:p w14:paraId="6C174240">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16A9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910" w:type="dxa"/>
            <w:noWrap/>
            <w:vAlign w:val="center"/>
          </w:tcPr>
          <w:p w14:paraId="1C1045FB">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7</w:t>
            </w:r>
          </w:p>
        </w:tc>
        <w:tc>
          <w:tcPr>
            <w:tcW w:w="7650" w:type="dxa"/>
            <w:noWrap/>
            <w:vAlign w:val="center"/>
          </w:tcPr>
          <w:p w14:paraId="5C040F68">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所投产品、工程、服务在质量、技术、方案等方面实质性满足采购文件要求，本项目实质性条款以标注“★”条款为准（是否实质性满足招标文件要求，由评审委员会根据《实质性条款响应情况表》作出评判）。</w:t>
            </w:r>
          </w:p>
        </w:tc>
        <w:tc>
          <w:tcPr>
            <w:tcW w:w="1613" w:type="dxa"/>
            <w:noWrap/>
            <w:vAlign w:val="center"/>
          </w:tcPr>
          <w:p w14:paraId="61A2A12B">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3525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10" w:type="dxa"/>
            <w:noWrap/>
            <w:vAlign w:val="center"/>
          </w:tcPr>
          <w:p w14:paraId="4F8125D8">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8</w:t>
            </w:r>
          </w:p>
        </w:tc>
        <w:tc>
          <w:tcPr>
            <w:tcW w:w="7650" w:type="dxa"/>
            <w:noWrap/>
            <w:vAlign w:val="center"/>
          </w:tcPr>
          <w:p w14:paraId="7FCF16F8">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color w:val="auto"/>
                <w:sz w:val="22"/>
                <w:szCs w:val="22"/>
                <w:highlight w:val="none"/>
                <w:lang w:bidi="ar"/>
              </w:rPr>
              <w:t>法定代表人授权书</w:t>
            </w:r>
            <w:r>
              <w:rPr>
                <w:rFonts w:hint="eastAsia" w:ascii="宋体" w:hAnsi="宋体" w:cs="宋体"/>
                <w:bCs/>
                <w:color w:val="auto"/>
                <w:sz w:val="22"/>
                <w:szCs w:val="22"/>
                <w:highlight w:val="none"/>
              </w:rPr>
              <w:t>”或“分项报价表”。</w:t>
            </w:r>
          </w:p>
        </w:tc>
        <w:tc>
          <w:tcPr>
            <w:tcW w:w="1613" w:type="dxa"/>
            <w:noWrap/>
            <w:vAlign w:val="center"/>
          </w:tcPr>
          <w:p w14:paraId="36473BF2">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43D8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10" w:type="dxa"/>
            <w:noWrap/>
            <w:vAlign w:val="center"/>
          </w:tcPr>
          <w:p w14:paraId="716EE978">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9</w:t>
            </w:r>
          </w:p>
        </w:tc>
        <w:tc>
          <w:tcPr>
            <w:tcW w:w="7650" w:type="dxa"/>
            <w:noWrap/>
            <w:vAlign w:val="center"/>
          </w:tcPr>
          <w:p w14:paraId="6FE175F2">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与其他投标供应商的投标文件未存在异常雷同现象的。</w:t>
            </w:r>
          </w:p>
        </w:tc>
        <w:tc>
          <w:tcPr>
            <w:tcW w:w="1613" w:type="dxa"/>
            <w:noWrap/>
            <w:vAlign w:val="center"/>
          </w:tcPr>
          <w:p w14:paraId="3898F053">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3F5A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noWrap/>
            <w:vAlign w:val="center"/>
          </w:tcPr>
          <w:p w14:paraId="20ECA98F">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10</w:t>
            </w:r>
          </w:p>
        </w:tc>
        <w:tc>
          <w:tcPr>
            <w:tcW w:w="7650" w:type="dxa"/>
            <w:noWrap/>
            <w:vAlign w:val="center"/>
          </w:tcPr>
          <w:p w14:paraId="69043067">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未存在招标文件规定的其他投标无效情形。</w:t>
            </w:r>
          </w:p>
        </w:tc>
        <w:tc>
          <w:tcPr>
            <w:tcW w:w="1613" w:type="dxa"/>
            <w:noWrap/>
            <w:vAlign w:val="center"/>
          </w:tcPr>
          <w:p w14:paraId="7C2D9D45">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r w14:paraId="4F78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10" w:type="dxa"/>
            <w:noWrap/>
            <w:vAlign w:val="center"/>
          </w:tcPr>
          <w:p w14:paraId="625527EB">
            <w:pPr>
              <w:keepNext w:val="0"/>
              <w:keepLines w:val="0"/>
              <w:pageBreakBefore w:val="0"/>
              <w:widowControl w:val="0"/>
              <w:kinsoku/>
              <w:wordWrap/>
              <w:overflowPunct/>
              <w:topLinePunct w:val="0"/>
              <w:bidi w:val="0"/>
              <w:spacing w:line="240" w:lineRule="atLeast"/>
              <w:jc w:val="left"/>
              <w:textAlignment w:val="auto"/>
              <w:rPr>
                <w:rFonts w:ascii="宋体" w:hAnsi="宋体" w:cs="宋体"/>
                <w:color w:val="auto"/>
                <w:sz w:val="20"/>
                <w:szCs w:val="20"/>
                <w:highlight w:val="none"/>
              </w:rPr>
            </w:pPr>
            <w:r>
              <w:rPr>
                <w:rFonts w:hint="eastAsia" w:ascii="宋体" w:hAnsi="宋体" w:cs="宋体"/>
                <w:color w:val="auto"/>
                <w:sz w:val="20"/>
                <w:szCs w:val="20"/>
                <w:highlight w:val="none"/>
              </w:rPr>
              <w:t>11</w:t>
            </w:r>
          </w:p>
        </w:tc>
        <w:tc>
          <w:tcPr>
            <w:tcW w:w="7650" w:type="dxa"/>
            <w:noWrap/>
            <w:vAlign w:val="center"/>
          </w:tcPr>
          <w:p w14:paraId="456CD6A7">
            <w:pPr>
              <w:keepNext w:val="0"/>
              <w:keepLines w:val="0"/>
              <w:pageBreakBefore w:val="0"/>
              <w:widowControl w:val="0"/>
              <w:kinsoku/>
              <w:wordWrap/>
              <w:overflowPunct/>
              <w:topLinePunct w:val="0"/>
              <w:bidi w:val="0"/>
              <w:spacing w:line="240" w:lineRule="atLeast"/>
              <w:jc w:val="left"/>
              <w:textAlignment w:val="auto"/>
              <w:rPr>
                <w:rFonts w:ascii="宋体" w:hAnsi="宋体" w:cs="宋体"/>
                <w:bCs/>
                <w:color w:val="auto"/>
                <w:sz w:val="22"/>
                <w:szCs w:val="22"/>
                <w:highlight w:val="none"/>
              </w:rPr>
            </w:pPr>
            <w:r>
              <w:rPr>
                <w:rFonts w:hint="eastAsia" w:ascii="宋体" w:hAnsi="宋体" w:cs="宋体"/>
                <w:bCs/>
                <w:color w:val="auto"/>
                <w:sz w:val="22"/>
                <w:szCs w:val="22"/>
                <w:highlight w:val="none"/>
              </w:rPr>
              <w:t>法律、法规规定的其他情形。</w:t>
            </w:r>
          </w:p>
        </w:tc>
        <w:tc>
          <w:tcPr>
            <w:tcW w:w="1613" w:type="dxa"/>
            <w:noWrap/>
            <w:vAlign w:val="center"/>
          </w:tcPr>
          <w:p w14:paraId="7F3239EE">
            <w:pPr>
              <w:keepNext w:val="0"/>
              <w:keepLines w:val="0"/>
              <w:pageBreakBefore w:val="0"/>
              <w:widowControl w:val="0"/>
              <w:kinsoku/>
              <w:wordWrap/>
              <w:overflowPunct/>
              <w:topLinePunct w:val="0"/>
              <w:bidi w:val="0"/>
              <w:spacing w:line="240" w:lineRule="atLeast"/>
              <w:jc w:val="left"/>
              <w:textAlignment w:val="auto"/>
              <w:rPr>
                <w:rFonts w:hint="eastAsia" w:ascii="宋体" w:hAnsi="宋体" w:cs="宋体"/>
                <w:bCs/>
                <w:color w:val="auto"/>
                <w:sz w:val="22"/>
                <w:szCs w:val="22"/>
                <w:highlight w:val="none"/>
              </w:rPr>
            </w:pPr>
          </w:p>
        </w:tc>
      </w:tr>
    </w:tbl>
    <w:p w14:paraId="16E32394">
      <w:pPr>
        <w:keepNext w:val="0"/>
        <w:keepLines w:val="0"/>
        <w:pageBreakBefore w:val="0"/>
        <w:widowControl w:val="0"/>
        <w:kinsoku/>
        <w:wordWrap/>
        <w:overflowPunct/>
        <w:topLinePunct w:val="0"/>
        <w:bidi w:val="0"/>
        <w:spacing w:line="240" w:lineRule="atLeast"/>
        <w:jc w:val="both"/>
        <w:textAlignment w:val="auto"/>
        <w:rPr>
          <w:rFonts w:hint="eastAsia" w:ascii="宋体" w:hAnsi="宋体" w:cs="宋体"/>
          <w:color w:val="auto"/>
          <w:highlight w:val="none"/>
        </w:rPr>
      </w:pPr>
    </w:p>
    <w:p w14:paraId="47F1F4D2">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投标人（公章）：</w:t>
      </w:r>
    </w:p>
    <w:p w14:paraId="22D02AA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法定代表人或其授权代表签名：</w:t>
      </w:r>
    </w:p>
    <w:p w14:paraId="772FF368">
      <w:pPr>
        <w:keepNext w:val="0"/>
        <w:keepLines w:val="0"/>
        <w:pageBreakBefore w:val="0"/>
        <w:widowControl w:val="0"/>
        <w:kinsoku/>
        <w:wordWrap/>
        <w:overflowPunct/>
        <w:topLinePunct w:val="0"/>
        <w:bidi w:val="0"/>
        <w:spacing w:line="240" w:lineRule="atLeast"/>
        <w:jc w:val="both"/>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日期：      年    月    日</w:t>
      </w:r>
    </w:p>
    <w:p w14:paraId="286812C1">
      <w:pPr>
        <w:keepNext w:val="0"/>
        <w:keepLines w:val="0"/>
        <w:pageBreakBefore w:val="0"/>
        <w:widowControl w:val="0"/>
        <w:kinsoku/>
        <w:wordWrap/>
        <w:overflowPunct/>
        <w:topLinePunct w:val="0"/>
        <w:bidi w:val="0"/>
        <w:spacing w:line="240" w:lineRule="atLeast"/>
        <w:jc w:val="both"/>
        <w:textAlignment w:val="auto"/>
        <w:rPr>
          <w:rFonts w:hint="eastAsia" w:ascii="宋体" w:hAnsi="宋体" w:cs="宋体"/>
          <w:color w:val="auto"/>
          <w:sz w:val="22"/>
          <w:szCs w:val="22"/>
          <w:highlight w:val="none"/>
        </w:rPr>
      </w:pPr>
    </w:p>
    <w:p w14:paraId="77477A77">
      <w:pPr>
        <w:keepNext w:val="0"/>
        <w:keepLines w:val="0"/>
        <w:pageBreakBefore w:val="0"/>
        <w:widowControl w:val="0"/>
        <w:kinsoku/>
        <w:wordWrap/>
        <w:overflowPunct/>
        <w:topLinePunct w:val="0"/>
        <w:bidi w:val="0"/>
        <w:spacing w:line="240" w:lineRule="atLeast"/>
        <w:jc w:val="both"/>
        <w:textAlignment w:val="auto"/>
        <w:rPr>
          <w:rFonts w:hint="eastAsia" w:ascii="宋体" w:hAnsi="宋体" w:eastAsia="宋体" w:cs="宋体"/>
          <w:b/>
          <w:bCs/>
          <w:color w:val="auto"/>
          <w:sz w:val="40"/>
          <w:szCs w:val="40"/>
          <w:highlight w:val="none"/>
          <w:lang w:eastAsia="zh-CN"/>
        </w:rPr>
      </w:pPr>
      <w:r>
        <w:rPr>
          <w:rFonts w:hint="eastAsia" w:ascii="宋体" w:hAnsi="宋体" w:cs="宋体"/>
          <w:color w:val="auto"/>
          <w:highlight w:val="none"/>
        </w:rPr>
        <w:t>说明：</w:t>
      </w:r>
      <w:r>
        <w:rPr>
          <w:rFonts w:hint="eastAsia" w:ascii="宋体" w:hAnsi="宋体"/>
          <w:color w:val="auto"/>
          <w:highlight w:val="none"/>
        </w:rPr>
        <w:t>投标人必须严格按照《资格性审查表》《符合性检查表》的评审内容的要求如实提供材料</w:t>
      </w:r>
      <w:r>
        <w:rPr>
          <w:rFonts w:hint="eastAsia" w:ascii="宋体" w:hAnsi="宋体"/>
          <w:bCs/>
          <w:color w:val="auto"/>
          <w:highlight w:val="none"/>
        </w:rPr>
        <w:t>并应加盖投标人公章</w:t>
      </w:r>
      <w:r>
        <w:rPr>
          <w:rFonts w:hint="eastAsia" w:ascii="宋体" w:hAnsi="宋体"/>
          <w:bCs/>
          <w:color w:val="auto"/>
          <w:highlight w:val="none"/>
          <w:lang w:eastAsia="zh-CN"/>
        </w:rPr>
        <w:t>，</w:t>
      </w:r>
      <w:r>
        <w:rPr>
          <w:rFonts w:hint="eastAsia" w:ascii="宋体" w:hAnsi="宋体"/>
          <w:color w:val="auto"/>
          <w:highlight w:val="none"/>
        </w:rPr>
        <w:t>对缺漏或不符合项将直接导致无效投标</w:t>
      </w:r>
      <w:r>
        <w:rPr>
          <w:rFonts w:hint="eastAsia" w:ascii="宋体" w:cs="宋体"/>
          <w:color w:val="auto"/>
          <w:szCs w:val="21"/>
          <w:highlight w:val="none"/>
        </w:rPr>
        <w:t>。</w:t>
      </w:r>
    </w:p>
    <w:p w14:paraId="034F1828">
      <w:pPr>
        <w:pStyle w:val="3"/>
        <w:spacing w:line="400" w:lineRule="exact"/>
        <w:jc w:val="center"/>
        <w:rPr>
          <w:rFonts w:ascii="宋体" w:hAnsi="宋体" w:cs="宋体"/>
          <w:b/>
          <w:bCs/>
          <w:color w:val="auto"/>
          <w:sz w:val="32"/>
          <w:szCs w:val="32"/>
          <w:highlight w:val="none"/>
        </w:rPr>
      </w:pPr>
      <w:bookmarkStart w:id="12" w:name="_Toc417"/>
      <w:bookmarkStart w:id="13" w:name="_Toc24877"/>
      <w:bookmarkStart w:id="14" w:name="_Toc20190"/>
      <w:r>
        <w:rPr>
          <w:rFonts w:hint="eastAsia" w:ascii="宋体" w:hAnsi="宋体" w:cs="宋体"/>
          <w:b/>
          <w:bCs/>
          <w:color w:val="auto"/>
          <w:sz w:val="28"/>
          <w:szCs w:val="28"/>
          <w:highlight w:val="none"/>
        </w:rPr>
        <w:t>（三）供应商自查表</w:t>
      </w:r>
      <w:bookmarkEnd w:id="12"/>
      <w:bookmarkEnd w:id="13"/>
      <w:bookmarkEnd w:id="14"/>
    </w:p>
    <w:p w14:paraId="17F277DE">
      <w:pPr>
        <w:spacing w:before="157" w:line="198" w:lineRule="auto"/>
        <w:ind w:left="126" w:right="-21" w:rightChars="-10"/>
        <w:jc w:val="center"/>
        <w:rPr>
          <w:color w:val="auto"/>
          <w:highlight w:val="none"/>
        </w:rPr>
      </w:pPr>
      <w:r>
        <w:rPr>
          <w:rFonts w:hint="eastAsia" w:ascii="宋体" w:hAnsi="宋体" w:cs="宋体"/>
          <w:color w:val="auto"/>
          <w:szCs w:val="21"/>
          <w:highlight w:val="none"/>
        </w:rPr>
        <w:t xml:space="preserve">填表单位：（加盖单位公章）       </w:t>
      </w:r>
      <w:r>
        <w:rPr>
          <w:rFonts w:hint="eastAsia" w:ascii="宋体" w:hAnsi="宋体" w:cs="宋体"/>
          <w:color w:val="auto"/>
          <w:spacing w:val="4"/>
          <w:szCs w:val="21"/>
          <w:highlight w:val="none"/>
        </w:rPr>
        <w:t xml:space="preserve">             </w:t>
      </w:r>
      <w:r>
        <w:rPr>
          <w:rFonts w:hint="eastAsia" w:ascii="宋体" w:hAnsi="宋体" w:cs="宋体"/>
          <w:color w:val="auto"/>
          <w:szCs w:val="21"/>
          <w:highlight w:val="none"/>
        </w:rPr>
        <w:t>填表日期：</w:t>
      </w:r>
      <w:r>
        <w:rPr>
          <w:rFonts w:hint="eastAsia" w:ascii="宋体" w:hAnsi="宋体" w:cs="宋体"/>
          <w:color w:val="auto"/>
          <w:spacing w:val="13"/>
          <w:szCs w:val="21"/>
          <w:highlight w:val="none"/>
        </w:rPr>
        <w:t xml:space="preserve">   </w:t>
      </w:r>
      <w:r>
        <w:rPr>
          <w:rFonts w:hint="eastAsia" w:ascii="宋体" w:hAnsi="宋体" w:cs="宋体"/>
          <w:color w:val="auto"/>
          <w:szCs w:val="21"/>
          <w:highlight w:val="none"/>
        </w:rPr>
        <w:t>年   月   日</w:t>
      </w:r>
    </w:p>
    <w:tbl>
      <w:tblPr>
        <w:tblStyle w:val="19"/>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5985"/>
        <w:gridCol w:w="2820"/>
        <w:gridCol w:w="780"/>
      </w:tblGrid>
      <w:tr w14:paraId="6994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1" w:type="dxa"/>
            <w:vAlign w:val="center"/>
          </w:tcPr>
          <w:p w14:paraId="76EB523E">
            <w:pPr>
              <w:spacing w:line="360" w:lineRule="exact"/>
              <w:jc w:val="center"/>
              <w:rPr>
                <w:rFonts w:ascii="宋体" w:hAnsi="宋体"/>
                <w:color w:val="auto"/>
                <w:szCs w:val="21"/>
                <w:highlight w:val="none"/>
              </w:rPr>
            </w:pPr>
            <w:r>
              <w:rPr>
                <w:rFonts w:hint="eastAsia" w:ascii="宋体" w:hAnsi="宋体"/>
                <w:color w:val="auto"/>
                <w:szCs w:val="21"/>
                <w:highlight w:val="none"/>
              </w:rPr>
              <w:t>序号</w:t>
            </w:r>
          </w:p>
        </w:tc>
        <w:tc>
          <w:tcPr>
            <w:tcW w:w="5985" w:type="dxa"/>
            <w:vAlign w:val="center"/>
          </w:tcPr>
          <w:p w14:paraId="20318186">
            <w:pPr>
              <w:spacing w:line="360" w:lineRule="exact"/>
              <w:jc w:val="center"/>
              <w:rPr>
                <w:rFonts w:ascii="宋体" w:hAnsi="宋体"/>
                <w:color w:val="auto"/>
                <w:szCs w:val="21"/>
                <w:highlight w:val="none"/>
              </w:rPr>
            </w:pPr>
            <w:r>
              <w:rPr>
                <w:rFonts w:hint="eastAsia" w:ascii="宋体" w:hAnsi="宋体"/>
                <w:color w:val="auto"/>
                <w:szCs w:val="21"/>
                <w:highlight w:val="none"/>
              </w:rPr>
              <w:t>是否存在以下投标违规行为</w:t>
            </w:r>
          </w:p>
        </w:tc>
        <w:tc>
          <w:tcPr>
            <w:tcW w:w="2820" w:type="dxa"/>
            <w:vAlign w:val="center"/>
          </w:tcPr>
          <w:p w14:paraId="4CCAEE72">
            <w:pPr>
              <w:spacing w:line="360" w:lineRule="exact"/>
              <w:jc w:val="center"/>
              <w:rPr>
                <w:rFonts w:ascii="宋体" w:hAnsi="宋体"/>
                <w:color w:val="auto"/>
                <w:szCs w:val="21"/>
                <w:highlight w:val="none"/>
              </w:rPr>
            </w:pPr>
            <w:r>
              <w:rPr>
                <w:rFonts w:hint="eastAsia" w:ascii="宋体" w:hAnsi="宋体"/>
                <w:color w:val="auto"/>
                <w:szCs w:val="21"/>
                <w:highlight w:val="none"/>
              </w:rPr>
              <w:t>自查情况</w:t>
            </w:r>
          </w:p>
          <w:p w14:paraId="518DC42A">
            <w:pPr>
              <w:spacing w:line="360" w:lineRule="exact"/>
              <w:jc w:val="center"/>
              <w:rPr>
                <w:rFonts w:ascii="宋体" w:hAnsi="宋体"/>
                <w:color w:val="auto"/>
                <w:szCs w:val="21"/>
                <w:highlight w:val="none"/>
              </w:rPr>
            </w:pPr>
            <w:r>
              <w:rPr>
                <w:rFonts w:hint="eastAsia" w:ascii="宋体" w:hAnsi="宋体"/>
                <w:color w:val="auto"/>
                <w:szCs w:val="21"/>
                <w:highlight w:val="none"/>
              </w:rPr>
              <w:t>（填写“不存在”或“存在”）</w:t>
            </w:r>
          </w:p>
        </w:tc>
        <w:tc>
          <w:tcPr>
            <w:tcW w:w="780" w:type="dxa"/>
            <w:vAlign w:val="center"/>
          </w:tcPr>
          <w:p w14:paraId="5F7D7628">
            <w:pPr>
              <w:spacing w:line="360" w:lineRule="exact"/>
              <w:jc w:val="center"/>
              <w:rPr>
                <w:rFonts w:ascii="宋体" w:hAnsi="宋体"/>
                <w:color w:val="auto"/>
                <w:szCs w:val="21"/>
                <w:highlight w:val="none"/>
              </w:rPr>
            </w:pPr>
            <w:r>
              <w:rPr>
                <w:rFonts w:hint="eastAsia" w:ascii="宋体" w:hAnsi="宋体"/>
                <w:color w:val="auto"/>
                <w:szCs w:val="21"/>
                <w:highlight w:val="none"/>
              </w:rPr>
              <w:t>备注</w:t>
            </w:r>
          </w:p>
        </w:tc>
      </w:tr>
      <w:tr w14:paraId="21A5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61" w:type="dxa"/>
            <w:vAlign w:val="center"/>
          </w:tcPr>
          <w:p w14:paraId="6E956925">
            <w:pPr>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5985" w:type="dxa"/>
            <w:vAlign w:val="center"/>
          </w:tcPr>
          <w:p w14:paraId="5483A4CE">
            <w:pPr>
              <w:jc w:val="left"/>
              <w:rPr>
                <w:rFonts w:ascii="宋体" w:hAnsi="宋体" w:cs="宋体"/>
                <w:color w:val="auto"/>
                <w:highlight w:val="none"/>
              </w:rPr>
            </w:pPr>
            <w:r>
              <w:rPr>
                <w:rFonts w:hint="eastAsia" w:ascii="宋体" w:hAnsi="宋体" w:cs="宋体"/>
                <w:bCs/>
                <w:color w:val="auto"/>
                <w:szCs w:val="21"/>
                <w:highlight w:val="none"/>
              </w:rPr>
              <w:t>投标供应商之间相互约定给予未中标的供应商利益补偿。</w:t>
            </w:r>
          </w:p>
        </w:tc>
        <w:tc>
          <w:tcPr>
            <w:tcW w:w="2820" w:type="dxa"/>
            <w:vAlign w:val="center"/>
          </w:tcPr>
          <w:p w14:paraId="003B4D4F">
            <w:pPr>
              <w:spacing w:line="360" w:lineRule="exact"/>
              <w:jc w:val="center"/>
              <w:rPr>
                <w:rFonts w:ascii="宋体" w:hAnsi="宋体"/>
                <w:b/>
                <w:color w:val="auto"/>
                <w:szCs w:val="21"/>
                <w:highlight w:val="none"/>
              </w:rPr>
            </w:pPr>
          </w:p>
        </w:tc>
        <w:tc>
          <w:tcPr>
            <w:tcW w:w="780" w:type="dxa"/>
            <w:vAlign w:val="center"/>
          </w:tcPr>
          <w:p w14:paraId="2058ABAF">
            <w:pPr>
              <w:spacing w:line="360" w:lineRule="exact"/>
              <w:jc w:val="center"/>
              <w:rPr>
                <w:rFonts w:ascii="宋体" w:hAnsi="宋体"/>
                <w:b/>
                <w:color w:val="auto"/>
                <w:szCs w:val="21"/>
                <w:highlight w:val="none"/>
              </w:rPr>
            </w:pPr>
          </w:p>
        </w:tc>
      </w:tr>
      <w:tr w14:paraId="2788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61" w:type="dxa"/>
            <w:vAlign w:val="center"/>
          </w:tcPr>
          <w:p w14:paraId="79978D6A">
            <w:pPr>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5985" w:type="dxa"/>
            <w:vAlign w:val="center"/>
          </w:tcPr>
          <w:p w14:paraId="00D20AB6">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不同投标供应商的法定代表人、主要经营负责人、项目投标授权代表人、项目负责人、主要技术人员为同一人、属于同一单位或者在同一单位缴纳社会保险。</w:t>
            </w:r>
          </w:p>
        </w:tc>
        <w:tc>
          <w:tcPr>
            <w:tcW w:w="2820" w:type="dxa"/>
            <w:vAlign w:val="center"/>
          </w:tcPr>
          <w:p w14:paraId="7F6E1771">
            <w:pPr>
              <w:spacing w:line="360" w:lineRule="exact"/>
              <w:jc w:val="center"/>
              <w:rPr>
                <w:rFonts w:ascii="宋体" w:hAnsi="宋体"/>
                <w:b/>
                <w:color w:val="auto"/>
                <w:szCs w:val="21"/>
                <w:highlight w:val="none"/>
              </w:rPr>
            </w:pPr>
          </w:p>
        </w:tc>
        <w:tc>
          <w:tcPr>
            <w:tcW w:w="780" w:type="dxa"/>
            <w:vAlign w:val="center"/>
          </w:tcPr>
          <w:p w14:paraId="33CFF461">
            <w:pPr>
              <w:spacing w:line="360" w:lineRule="exact"/>
              <w:jc w:val="center"/>
              <w:rPr>
                <w:rFonts w:ascii="宋体" w:hAnsi="宋体"/>
                <w:b/>
                <w:color w:val="auto"/>
                <w:szCs w:val="21"/>
                <w:highlight w:val="none"/>
              </w:rPr>
            </w:pPr>
          </w:p>
        </w:tc>
      </w:tr>
      <w:tr w14:paraId="33DF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61" w:type="dxa"/>
            <w:vAlign w:val="center"/>
          </w:tcPr>
          <w:p w14:paraId="084FB223">
            <w:pPr>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5985" w:type="dxa"/>
            <w:vAlign w:val="center"/>
          </w:tcPr>
          <w:p w14:paraId="3E0D25EE">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不同投标供应商的投标文件由同一单位或者同一人编制，或者由同一人分阶段参与编制的。</w:t>
            </w:r>
          </w:p>
        </w:tc>
        <w:tc>
          <w:tcPr>
            <w:tcW w:w="2820" w:type="dxa"/>
            <w:vAlign w:val="center"/>
          </w:tcPr>
          <w:p w14:paraId="274DA99C">
            <w:pPr>
              <w:spacing w:line="360" w:lineRule="exact"/>
              <w:jc w:val="center"/>
              <w:rPr>
                <w:rFonts w:ascii="宋体" w:hAnsi="宋体"/>
                <w:b/>
                <w:color w:val="auto"/>
                <w:szCs w:val="21"/>
                <w:highlight w:val="none"/>
              </w:rPr>
            </w:pPr>
          </w:p>
        </w:tc>
        <w:tc>
          <w:tcPr>
            <w:tcW w:w="780" w:type="dxa"/>
            <w:vAlign w:val="center"/>
          </w:tcPr>
          <w:p w14:paraId="45EDA361">
            <w:pPr>
              <w:spacing w:line="360" w:lineRule="exact"/>
              <w:jc w:val="center"/>
              <w:rPr>
                <w:rFonts w:ascii="宋体" w:hAnsi="宋体"/>
                <w:b/>
                <w:color w:val="auto"/>
                <w:szCs w:val="21"/>
                <w:highlight w:val="none"/>
              </w:rPr>
            </w:pPr>
          </w:p>
        </w:tc>
      </w:tr>
      <w:tr w14:paraId="3A02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1" w:type="dxa"/>
            <w:vAlign w:val="center"/>
          </w:tcPr>
          <w:p w14:paraId="45805EAD">
            <w:pPr>
              <w:spacing w:line="360" w:lineRule="exact"/>
              <w:jc w:val="center"/>
              <w:rPr>
                <w:rFonts w:ascii="宋体" w:hAnsi="宋体"/>
                <w:color w:val="auto"/>
                <w:szCs w:val="21"/>
                <w:highlight w:val="none"/>
              </w:rPr>
            </w:pPr>
            <w:r>
              <w:rPr>
                <w:rFonts w:hint="eastAsia" w:ascii="宋体" w:hAnsi="宋体"/>
                <w:color w:val="auto"/>
                <w:szCs w:val="21"/>
                <w:highlight w:val="none"/>
              </w:rPr>
              <w:t>4</w:t>
            </w:r>
          </w:p>
        </w:tc>
        <w:tc>
          <w:tcPr>
            <w:tcW w:w="5985" w:type="dxa"/>
            <w:vAlign w:val="center"/>
          </w:tcPr>
          <w:p w14:paraId="60DD534C">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不同投标供应商的投标文件或部分投标文件相互混装。</w:t>
            </w:r>
          </w:p>
        </w:tc>
        <w:tc>
          <w:tcPr>
            <w:tcW w:w="2820" w:type="dxa"/>
            <w:vAlign w:val="center"/>
          </w:tcPr>
          <w:p w14:paraId="03F2CB88">
            <w:pPr>
              <w:spacing w:line="360" w:lineRule="exact"/>
              <w:jc w:val="center"/>
              <w:rPr>
                <w:rFonts w:ascii="宋体" w:hAnsi="宋体"/>
                <w:b/>
                <w:color w:val="auto"/>
                <w:szCs w:val="21"/>
                <w:highlight w:val="none"/>
              </w:rPr>
            </w:pPr>
          </w:p>
        </w:tc>
        <w:tc>
          <w:tcPr>
            <w:tcW w:w="780" w:type="dxa"/>
            <w:vAlign w:val="center"/>
          </w:tcPr>
          <w:p w14:paraId="6EFDF228">
            <w:pPr>
              <w:spacing w:line="360" w:lineRule="exact"/>
              <w:jc w:val="center"/>
              <w:rPr>
                <w:rFonts w:ascii="宋体" w:hAnsi="宋体"/>
                <w:b/>
                <w:color w:val="auto"/>
                <w:szCs w:val="21"/>
                <w:highlight w:val="none"/>
              </w:rPr>
            </w:pPr>
          </w:p>
        </w:tc>
      </w:tr>
      <w:tr w14:paraId="2CFF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Align w:val="center"/>
          </w:tcPr>
          <w:p w14:paraId="3EBCB17A">
            <w:pPr>
              <w:spacing w:line="360" w:lineRule="exact"/>
              <w:jc w:val="center"/>
              <w:rPr>
                <w:rFonts w:ascii="宋体" w:hAnsi="宋体"/>
                <w:color w:val="auto"/>
                <w:szCs w:val="21"/>
                <w:highlight w:val="none"/>
              </w:rPr>
            </w:pPr>
            <w:r>
              <w:rPr>
                <w:rFonts w:hint="eastAsia" w:ascii="宋体" w:hAnsi="宋体"/>
                <w:color w:val="auto"/>
                <w:szCs w:val="21"/>
                <w:highlight w:val="none"/>
              </w:rPr>
              <w:t>5</w:t>
            </w:r>
          </w:p>
        </w:tc>
        <w:tc>
          <w:tcPr>
            <w:tcW w:w="5985" w:type="dxa"/>
            <w:vAlign w:val="center"/>
          </w:tcPr>
          <w:p w14:paraId="36CE5DD1">
            <w:pPr>
              <w:jc w:val="left"/>
              <w:rPr>
                <w:rFonts w:ascii="宋体" w:hAnsi="宋体" w:cs="宋体"/>
                <w:snapToGrid w:val="0"/>
                <w:color w:val="auto"/>
                <w:kern w:val="0"/>
                <w:szCs w:val="21"/>
                <w:highlight w:val="none"/>
              </w:rPr>
            </w:pPr>
            <w:r>
              <w:rPr>
                <w:color w:val="auto"/>
                <w:szCs w:val="21"/>
                <w:highlight w:val="none"/>
              </w:rPr>
              <w:t>不同投标供应商的投标文件内容存在非正常一致。</w:t>
            </w:r>
          </w:p>
        </w:tc>
        <w:tc>
          <w:tcPr>
            <w:tcW w:w="2820" w:type="dxa"/>
            <w:vAlign w:val="center"/>
          </w:tcPr>
          <w:p w14:paraId="0F2A8FB4">
            <w:pPr>
              <w:spacing w:line="360" w:lineRule="exact"/>
              <w:jc w:val="center"/>
              <w:rPr>
                <w:rFonts w:ascii="宋体" w:hAnsi="宋体"/>
                <w:b/>
                <w:color w:val="auto"/>
                <w:szCs w:val="21"/>
                <w:highlight w:val="none"/>
              </w:rPr>
            </w:pPr>
          </w:p>
        </w:tc>
        <w:tc>
          <w:tcPr>
            <w:tcW w:w="780" w:type="dxa"/>
            <w:vAlign w:val="center"/>
          </w:tcPr>
          <w:p w14:paraId="592589AF">
            <w:pPr>
              <w:spacing w:line="360" w:lineRule="exact"/>
              <w:jc w:val="center"/>
              <w:rPr>
                <w:rFonts w:ascii="宋体" w:hAnsi="宋体"/>
                <w:b/>
                <w:color w:val="auto"/>
                <w:szCs w:val="21"/>
                <w:highlight w:val="none"/>
              </w:rPr>
            </w:pPr>
          </w:p>
        </w:tc>
      </w:tr>
      <w:tr w14:paraId="25BD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Align w:val="center"/>
          </w:tcPr>
          <w:p w14:paraId="25EDA8D2">
            <w:pPr>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5985" w:type="dxa"/>
            <w:vAlign w:val="center"/>
          </w:tcPr>
          <w:p w14:paraId="606C8189">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由同一单位工作人员为两家以上（含两家）供应商进行同一项投标活动。</w:t>
            </w:r>
          </w:p>
        </w:tc>
        <w:tc>
          <w:tcPr>
            <w:tcW w:w="2820" w:type="dxa"/>
            <w:vAlign w:val="center"/>
          </w:tcPr>
          <w:p w14:paraId="3867146E">
            <w:pPr>
              <w:spacing w:line="360" w:lineRule="exact"/>
              <w:jc w:val="center"/>
              <w:rPr>
                <w:rFonts w:ascii="宋体" w:hAnsi="宋体"/>
                <w:b/>
                <w:color w:val="auto"/>
                <w:szCs w:val="21"/>
                <w:highlight w:val="none"/>
              </w:rPr>
            </w:pPr>
          </w:p>
        </w:tc>
        <w:tc>
          <w:tcPr>
            <w:tcW w:w="780" w:type="dxa"/>
            <w:vAlign w:val="center"/>
          </w:tcPr>
          <w:p w14:paraId="0CFE1A37">
            <w:pPr>
              <w:spacing w:line="360" w:lineRule="exact"/>
              <w:jc w:val="center"/>
              <w:rPr>
                <w:rFonts w:ascii="宋体" w:hAnsi="宋体"/>
                <w:b/>
                <w:color w:val="auto"/>
                <w:szCs w:val="21"/>
                <w:highlight w:val="none"/>
              </w:rPr>
            </w:pPr>
          </w:p>
        </w:tc>
      </w:tr>
      <w:tr w14:paraId="3CAE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1" w:type="dxa"/>
            <w:vAlign w:val="center"/>
          </w:tcPr>
          <w:p w14:paraId="56AB104D">
            <w:pPr>
              <w:spacing w:line="360" w:lineRule="exact"/>
              <w:jc w:val="center"/>
              <w:rPr>
                <w:rFonts w:ascii="宋体" w:hAnsi="宋体"/>
                <w:color w:val="auto"/>
                <w:szCs w:val="21"/>
                <w:highlight w:val="none"/>
              </w:rPr>
            </w:pPr>
            <w:r>
              <w:rPr>
                <w:rFonts w:hint="eastAsia" w:ascii="宋体" w:hAnsi="宋体"/>
                <w:color w:val="auto"/>
                <w:szCs w:val="21"/>
                <w:highlight w:val="none"/>
              </w:rPr>
              <w:t>7</w:t>
            </w:r>
          </w:p>
        </w:tc>
        <w:tc>
          <w:tcPr>
            <w:tcW w:w="5985" w:type="dxa"/>
            <w:vAlign w:val="center"/>
          </w:tcPr>
          <w:p w14:paraId="7A0D4E89">
            <w:pPr>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不同投标人的投标文件载明的项目管理成员或者联系人员为同一人。</w:t>
            </w:r>
          </w:p>
        </w:tc>
        <w:tc>
          <w:tcPr>
            <w:tcW w:w="2820" w:type="dxa"/>
            <w:vAlign w:val="center"/>
          </w:tcPr>
          <w:p w14:paraId="63090F6F">
            <w:pPr>
              <w:spacing w:line="360" w:lineRule="exact"/>
              <w:jc w:val="center"/>
              <w:rPr>
                <w:rFonts w:ascii="宋体" w:hAnsi="宋体"/>
                <w:b/>
                <w:color w:val="auto"/>
                <w:szCs w:val="21"/>
                <w:highlight w:val="none"/>
              </w:rPr>
            </w:pPr>
          </w:p>
        </w:tc>
        <w:tc>
          <w:tcPr>
            <w:tcW w:w="780" w:type="dxa"/>
            <w:vAlign w:val="center"/>
          </w:tcPr>
          <w:p w14:paraId="3D0660D3">
            <w:pPr>
              <w:spacing w:line="360" w:lineRule="exact"/>
              <w:jc w:val="center"/>
              <w:rPr>
                <w:rFonts w:ascii="宋体" w:hAnsi="宋体"/>
                <w:b/>
                <w:color w:val="auto"/>
                <w:szCs w:val="21"/>
                <w:highlight w:val="none"/>
              </w:rPr>
            </w:pPr>
          </w:p>
        </w:tc>
      </w:tr>
      <w:tr w14:paraId="4A9B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1" w:type="dxa"/>
            <w:vAlign w:val="center"/>
          </w:tcPr>
          <w:p w14:paraId="79D30ED2">
            <w:pPr>
              <w:spacing w:line="360" w:lineRule="exact"/>
              <w:jc w:val="center"/>
              <w:rPr>
                <w:rFonts w:ascii="宋体" w:hAnsi="宋体"/>
                <w:color w:val="auto"/>
                <w:szCs w:val="21"/>
                <w:highlight w:val="none"/>
              </w:rPr>
            </w:pPr>
            <w:r>
              <w:rPr>
                <w:rFonts w:hint="eastAsia" w:ascii="宋体" w:hAnsi="宋体"/>
                <w:color w:val="auto"/>
                <w:szCs w:val="21"/>
                <w:highlight w:val="none"/>
              </w:rPr>
              <w:t>8</w:t>
            </w:r>
          </w:p>
        </w:tc>
        <w:tc>
          <w:tcPr>
            <w:tcW w:w="5985" w:type="dxa"/>
            <w:vAlign w:val="center"/>
          </w:tcPr>
          <w:p w14:paraId="06FAC4C3">
            <w:pPr>
              <w:jc w:val="left"/>
              <w:rPr>
                <w:rFonts w:ascii="宋体" w:hAnsi="宋体" w:cs="宋体"/>
                <w:snapToGrid w:val="0"/>
                <w:color w:val="auto"/>
                <w:kern w:val="0"/>
                <w:szCs w:val="21"/>
                <w:highlight w:val="none"/>
              </w:rPr>
            </w:pPr>
            <w:r>
              <w:rPr>
                <w:rFonts w:hint="eastAsia" w:ascii="宋体" w:hAnsi="宋体" w:cs="宋体"/>
                <w:color w:val="auto"/>
                <w:highlight w:val="none"/>
              </w:rPr>
              <w:t>不同投标人的投标报价呈规律性差异。</w:t>
            </w:r>
          </w:p>
        </w:tc>
        <w:tc>
          <w:tcPr>
            <w:tcW w:w="2820" w:type="dxa"/>
            <w:vAlign w:val="center"/>
          </w:tcPr>
          <w:p w14:paraId="073959E6">
            <w:pPr>
              <w:spacing w:line="360" w:lineRule="exact"/>
              <w:jc w:val="center"/>
              <w:rPr>
                <w:rFonts w:ascii="宋体" w:hAnsi="宋体"/>
                <w:b/>
                <w:color w:val="auto"/>
                <w:szCs w:val="21"/>
                <w:highlight w:val="none"/>
              </w:rPr>
            </w:pPr>
          </w:p>
        </w:tc>
        <w:tc>
          <w:tcPr>
            <w:tcW w:w="780" w:type="dxa"/>
            <w:vAlign w:val="center"/>
          </w:tcPr>
          <w:p w14:paraId="64ABFF47">
            <w:pPr>
              <w:spacing w:line="360" w:lineRule="exact"/>
              <w:jc w:val="center"/>
              <w:rPr>
                <w:rFonts w:ascii="宋体" w:hAnsi="宋体"/>
                <w:b/>
                <w:color w:val="auto"/>
                <w:szCs w:val="21"/>
                <w:highlight w:val="none"/>
              </w:rPr>
            </w:pPr>
          </w:p>
        </w:tc>
      </w:tr>
      <w:tr w14:paraId="6604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61" w:type="dxa"/>
            <w:vAlign w:val="center"/>
          </w:tcPr>
          <w:p w14:paraId="6B1CC982">
            <w:pPr>
              <w:spacing w:line="360" w:lineRule="exact"/>
              <w:jc w:val="center"/>
              <w:rPr>
                <w:rFonts w:ascii="宋体" w:hAnsi="宋体"/>
                <w:color w:val="auto"/>
                <w:szCs w:val="21"/>
                <w:highlight w:val="none"/>
              </w:rPr>
            </w:pPr>
            <w:r>
              <w:rPr>
                <w:rFonts w:hint="eastAsia" w:ascii="宋体" w:hAnsi="宋体"/>
                <w:color w:val="auto"/>
                <w:szCs w:val="21"/>
                <w:highlight w:val="none"/>
              </w:rPr>
              <w:t>9</w:t>
            </w:r>
          </w:p>
        </w:tc>
        <w:tc>
          <w:tcPr>
            <w:tcW w:w="5985" w:type="dxa"/>
            <w:vAlign w:val="center"/>
          </w:tcPr>
          <w:p w14:paraId="55A12987">
            <w:pPr>
              <w:jc w:val="left"/>
              <w:rPr>
                <w:rFonts w:ascii="宋体" w:hAnsi="宋体" w:cs="宋体"/>
                <w:snapToGrid w:val="0"/>
                <w:color w:val="auto"/>
                <w:kern w:val="0"/>
                <w:szCs w:val="21"/>
                <w:highlight w:val="none"/>
              </w:rPr>
            </w:pPr>
            <w:r>
              <w:rPr>
                <w:rFonts w:hint="eastAsia" w:ascii="宋体" w:hAnsi="宋体" w:cs="宋体"/>
                <w:color w:val="auto"/>
                <w:highlight w:val="none"/>
              </w:rPr>
              <w:t>不同投标人的投标保证金从同一单位或者个人的账户转出。</w:t>
            </w:r>
          </w:p>
        </w:tc>
        <w:tc>
          <w:tcPr>
            <w:tcW w:w="2820" w:type="dxa"/>
            <w:vAlign w:val="center"/>
          </w:tcPr>
          <w:p w14:paraId="3FF7D21E">
            <w:pPr>
              <w:spacing w:line="360" w:lineRule="exact"/>
              <w:jc w:val="center"/>
              <w:rPr>
                <w:rFonts w:ascii="宋体" w:hAnsi="宋体"/>
                <w:b/>
                <w:color w:val="auto"/>
                <w:szCs w:val="21"/>
                <w:highlight w:val="none"/>
              </w:rPr>
            </w:pPr>
          </w:p>
        </w:tc>
        <w:tc>
          <w:tcPr>
            <w:tcW w:w="780" w:type="dxa"/>
            <w:vAlign w:val="center"/>
          </w:tcPr>
          <w:p w14:paraId="1E76EA58">
            <w:pPr>
              <w:spacing w:line="360" w:lineRule="exact"/>
              <w:jc w:val="center"/>
              <w:rPr>
                <w:rFonts w:ascii="宋体" w:hAnsi="宋体"/>
                <w:b/>
                <w:color w:val="auto"/>
                <w:szCs w:val="21"/>
                <w:highlight w:val="none"/>
              </w:rPr>
            </w:pPr>
          </w:p>
        </w:tc>
      </w:tr>
      <w:tr w14:paraId="3F18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1A4BC344">
            <w:pPr>
              <w:spacing w:line="360" w:lineRule="exact"/>
              <w:jc w:val="center"/>
              <w:rPr>
                <w:rFonts w:ascii="宋体" w:hAnsi="宋体"/>
                <w:color w:val="auto"/>
                <w:szCs w:val="21"/>
                <w:highlight w:val="none"/>
              </w:rPr>
            </w:pPr>
            <w:r>
              <w:rPr>
                <w:rFonts w:hint="eastAsia" w:ascii="宋体" w:hAnsi="宋体"/>
                <w:color w:val="auto"/>
                <w:szCs w:val="21"/>
                <w:highlight w:val="none"/>
              </w:rPr>
              <w:t>10</w:t>
            </w:r>
          </w:p>
        </w:tc>
        <w:tc>
          <w:tcPr>
            <w:tcW w:w="5985" w:type="dxa"/>
            <w:vAlign w:val="center"/>
          </w:tcPr>
          <w:p w14:paraId="17C4BF58">
            <w:pPr>
              <w:jc w:val="left"/>
              <w:rPr>
                <w:rFonts w:ascii="宋体" w:hAnsi="宋体" w:cs="宋体"/>
                <w:color w:val="auto"/>
                <w:szCs w:val="21"/>
                <w:highlight w:val="none"/>
              </w:rPr>
            </w:pPr>
            <w:r>
              <w:rPr>
                <w:rFonts w:hint="eastAsia" w:ascii="宋体" w:hAnsi="宋体"/>
                <w:color w:val="auto"/>
                <w:szCs w:val="21"/>
                <w:highlight w:val="none"/>
              </w:rPr>
              <w:t>投标人之间协商投标报价等投标文件的实质性内容。</w:t>
            </w:r>
          </w:p>
        </w:tc>
        <w:tc>
          <w:tcPr>
            <w:tcW w:w="2820" w:type="dxa"/>
            <w:vAlign w:val="center"/>
          </w:tcPr>
          <w:p w14:paraId="01093FF8">
            <w:pPr>
              <w:spacing w:line="360" w:lineRule="exact"/>
              <w:jc w:val="center"/>
              <w:rPr>
                <w:rFonts w:ascii="宋体" w:hAnsi="宋体"/>
                <w:b/>
                <w:color w:val="auto"/>
                <w:szCs w:val="21"/>
                <w:highlight w:val="none"/>
              </w:rPr>
            </w:pPr>
          </w:p>
        </w:tc>
        <w:tc>
          <w:tcPr>
            <w:tcW w:w="780" w:type="dxa"/>
            <w:vAlign w:val="center"/>
          </w:tcPr>
          <w:p w14:paraId="1F1A3647">
            <w:pPr>
              <w:spacing w:line="360" w:lineRule="exact"/>
              <w:jc w:val="center"/>
              <w:rPr>
                <w:rFonts w:ascii="宋体" w:hAnsi="宋体"/>
                <w:b/>
                <w:color w:val="auto"/>
                <w:szCs w:val="21"/>
                <w:highlight w:val="none"/>
              </w:rPr>
            </w:pPr>
          </w:p>
        </w:tc>
      </w:tr>
      <w:tr w14:paraId="0865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046BE94A">
            <w:pPr>
              <w:spacing w:line="360" w:lineRule="exact"/>
              <w:jc w:val="center"/>
              <w:rPr>
                <w:rFonts w:ascii="宋体" w:hAnsi="宋体"/>
                <w:color w:val="auto"/>
                <w:szCs w:val="21"/>
                <w:highlight w:val="none"/>
              </w:rPr>
            </w:pPr>
            <w:r>
              <w:rPr>
                <w:rFonts w:hint="eastAsia" w:ascii="宋体" w:hAnsi="宋体"/>
                <w:color w:val="auto"/>
                <w:szCs w:val="21"/>
                <w:highlight w:val="none"/>
              </w:rPr>
              <w:t>11</w:t>
            </w:r>
          </w:p>
        </w:tc>
        <w:tc>
          <w:tcPr>
            <w:tcW w:w="5985" w:type="dxa"/>
            <w:vAlign w:val="center"/>
          </w:tcPr>
          <w:p w14:paraId="08D8F6CA">
            <w:pPr>
              <w:jc w:val="left"/>
              <w:rPr>
                <w:rFonts w:ascii="宋体" w:hAnsi="宋体" w:cs="宋体"/>
                <w:color w:val="auto"/>
                <w:szCs w:val="21"/>
                <w:highlight w:val="none"/>
              </w:rPr>
            </w:pPr>
            <w:r>
              <w:rPr>
                <w:rFonts w:hint="eastAsia" w:ascii="宋体" w:hAnsi="宋体"/>
                <w:color w:val="auto"/>
                <w:szCs w:val="21"/>
                <w:highlight w:val="none"/>
              </w:rPr>
              <w:t>投标人之间约定中标人。</w:t>
            </w:r>
          </w:p>
        </w:tc>
        <w:tc>
          <w:tcPr>
            <w:tcW w:w="2820" w:type="dxa"/>
            <w:vAlign w:val="center"/>
          </w:tcPr>
          <w:p w14:paraId="0330377C">
            <w:pPr>
              <w:spacing w:line="360" w:lineRule="exact"/>
              <w:jc w:val="center"/>
              <w:rPr>
                <w:rFonts w:ascii="宋体" w:hAnsi="宋体"/>
                <w:b/>
                <w:color w:val="auto"/>
                <w:szCs w:val="21"/>
                <w:highlight w:val="none"/>
              </w:rPr>
            </w:pPr>
          </w:p>
        </w:tc>
        <w:tc>
          <w:tcPr>
            <w:tcW w:w="780" w:type="dxa"/>
            <w:vAlign w:val="center"/>
          </w:tcPr>
          <w:p w14:paraId="57413A16">
            <w:pPr>
              <w:spacing w:line="360" w:lineRule="exact"/>
              <w:jc w:val="center"/>
              <w:rPr>
                <w:rFonts w:ascii="宋体" w:hAnsi="宋体"/>
                <w:b/>
                <w:color w:val="auto"/>
                <w:szCs w:val="21"/>
                <w:highlight w:val="none"/>
              </w:rPr>
            </w:pPr>
          </w:p>
        </w:tc>
      </w:tr>
      <w:tr w14:paraId="1575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1DB2F675">
            <w:pPr>
              <w:spacing w:line="360" w:lineRule="exact"/>
              <w:jc w:val="center"/>
              <w:rPr>
                <w:rFonts w:ascii="宋体" w:hAnsi="宋体"/>
                <w:color w:val="auto"/>
                <w:szCs w:val="21"/>
                <w:highlight w:val="none"/>
              </w:rPr>
            </w:pPr>
            <w:r>
              <w:rPr>
                <w:rFonts w:hint="eastAsia" w:ascii="宋体" w:hAnsi="宋体"/>
                <w:color w:val="auto"/>
                <w:szCs w:val="21"/>
                <w:highlight w:val="none"/>
              </w:rPr>
              <w:t>12</w:t>
            </w:r>
          </w:p>
        </w:tc>
        <w:tc>
          <w:tcPr>
            <w:tcW w:w="5985" w:type="dxa"/>
            <w:vAlign w:val="center"/>
          </w:tcPr>
          <w:p w14:paraId="1EA3B0EA">
            <w:pPr>
              <w:jc w:val="left"/>
              <w:rPr>
                <w:rFonts w:ascii="宋体" w:hAnsi="宋体" w:cs="宋体"/>
                <w:color w:val="auto"/>
                <w:szCs w:val="21"/>
                <w:highlight w:val="none"/>
              </w:rPr>
            </w:pPr>
            <w:r>
              <w:rPr>
                <w:rFonts w:hint="eastAsia" w:ascii="宋体" w:hAnsi="宋体"/>
                <w:color w:val="auto"/>
                <w:szCs w:val="21"/>
                <w:highlight w:val="none"/>
              </w:rPr>
              <w:t>投标人之间约定部分投标人放弃投标或者中标。</w:t>
            </w:r>
          </w:p>
        </w:tc>
        <w:tc>
          <w:tcPr>
            <w:tcW w:w="2820" w:type="dxa"/>
            <w:vAlign w:val="center"/>
          </w:tcPr>
          <w:p w14:paraId="472FB70E">
            <w:pPr>
              <w:spacing w:line="360" w:lineRule="exact"/>
              <w:jc w:val="center"/>
              <w:rPr>
                <w:rFonts w:ascii="宋体" w:hAnsi="宋体"/>
                <w:b/>
                <w:color w:val="auto"/>
                <w:szCs w:val="21"/>
                <w:highlight w:val="none"/>
              </w:rPr>
            </w:pPr>
          </w:p>
        </w:tc>
        <w:tc>
          <w:tcPr>
            <w:tcW w:w="780" w:type="dxa"/>
            <w:vAlign w:val="center"/>
          </w:tcPr>
          <w:p w14:paraId="0AC68E8D">
            <w:pPr>
              <w:spacing w:line="360" w:lineRule="exact"/>
              <w:jc w:val="center"/>
              <w:rPr>
                <w:rFonts w:ascii="宋体" w:hAnsi="宋体"/>
                <w:b/>
                <w:color w:val="auto"/>
                <w:szCs w:val="21"/>
                <w:highlight w:val="none"/>
              </w:rPr>
            </w:pPr>
          </w:p>
        </w:tc>
      </w:tr>
      <w:tr w14:paraId="4DC1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0F128AFF">
            <w:pPr>
              <w:spacing w:line="360" w:lineRule="exact"/>
              <w:jc w:val="center"/>
              <w:rPr>
                <w:rFonts w:ascii="宋体" w:hAnsi="宋体"/>
                <w:color w:val="auto"/>
                <w:szCs w:val="21"/>
                <w:highlight w:val="none"/>
              </w:rPr>
            </w:pPr>
            <w:r>
              <w:rPr>
                <w:rFonts w:hint="eastAsia" w:ascii="宋体" w:hAnsi="宋体"/>
                <w:color w:val="auto"/>
                <w:szCs w:val="21"/>
                <w:highlight w:val="none"/>
              </w:rPr>
              <w:t>13</w:t>
            </w:r>
          </w:p>
        </w:tc>
        <w:tc>
          <w:tcPr>
            <w:tcW w:w="5985" w:type="dxa"/>
            <w:vAlign w:val="center"/>
          </w:tcPr>
          <w:p w14:paraId="01E82CF4">
            <w:pPr>
              <w:jc w:val="left"/>
              <w:rPr>
                <w:rFonts w:ascii="宋体" w:hAnsi="宋体" w:cs="宋体"/>
                <w:color w:val="auto"/>
                <w:szCs w:val="21"/>
                <w:highlight w:val="none"/>
              </w:rPr>
            </w:pPr>
            <w:r>
              <w:rPr>
                <w:rFonts w:hint="eastAsia" w:ascii="宋体" w:hAnsi="宋体"/>
                <w:color w:val="auto"/>
                <w:szCs w:val="21"/>
                <w:highlight w:val="none"/>
              </w:rPr>
              <w:t>属于同一集团、协会、商会等组织成员的投标人按照该组织要求协同投标。</w:t>
            </w:r>
          </w:p>
        </w:tc>
        <w:tc>
          <w:tcPr>
            <w:tcW w:w="2820" w:type="dxa"/>
            <w:vAlign w:val="center"/>
          </w:tcPr>
          <w:p w14:paraId="64AAB374">
            <w:pPr>
              <w:spacing w:line="360" w:lineRule="exact"/>
              <w:jc w:val="center"/>
              <w:rPr>
                <w:rFonts w:ascii="宋体" w:hAnsi="宋体"/>
                <w:b/>
                <w:color w:val="auto"/>
                <w:szCs w:val="21"/>
                <w:highlight w:val="none"/>
              </w:rPr>
            </w:pPr>
          </w:p>
        </w:tc>
        <w:tc>
          <w:tcPr>
            <w:tcW w:w="780" w:type="dxa"/>
            <w:vAlign w:val="center"/>
          </w:tcPr>
          <w:p w14:paraId="194A9520">
            <w:pPr>
              <w:spacing w:line="360" w:lineRule="exact"/>
              <w:jc w:val="center"/>
              <w:rPr>
                <w:rFonts w:ascii="宋体" w:hAnsi="宋体"/>
                <w:b/>
                <w:color w:val="auto"/>
                <w:szCs w:val="21"/>
                <w:highlight w:val="none"/>
              </w:rPr>
            </w:pPr>
          </w:p>
        </w:tc>
      </w:tr>
      <w:tr w14:paraId="1D1E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2B0B70C0">
            <w:pPr>
              <w:spacing w:line="360" w:lineRule="exact"/>
              <w:jc w:val="center"/>
              <w:rPr>
                <w:rFonts w:ascii="宋体" w:hAnsi="宋体"/>
                <w:color w:val="auto"/>
                <w:szCs w:val="21"/>
                <w:highlight w:val="none"/>
              </w:rPr>
            </w:pPr>
            <w:r>
              <w:rPr>
                <w:rFonts w:hint="eastAsia" w:ascii="宋体" w:hAnsi="宋体"/>
                <w:color w:val="auto"/>
                <w:szCs w:val="21"/>
                <w:highlight w:val="none"/>
              </w:rPr>
              <w:t>14</w:t>
            </w:r>
          </w:p>
        </w:tc>
        <w:tc>
          <w:tcPr>
            <w:tcW w:w="5985" w:type="dxa"/>
            <w:vAlign w:val="center"/>
          </w:tcPr>
          <w:p w14:paraId="169428AE">
            <w:pPr>
              <w:jc w:val="left"/>
              <w:rPr>
                <w:rFonts w:ascii="宋体" w:hAnsi="宋体" w:cs="宋体"/>
                <w:color w:val="auto"/>
                <w:szCs w:val="21"/>
                <w:highlight w:val="none"/>
              </w:rPr>
            </w:pPr>
            <w:r>
              <w:rPr>
                <w:rFonts w:hint="eastAsia" w:ascii="宋体" w:hAnsi="宋体"/>
                <w:color w:val="auto"/>
                <w:szCs w:val="21"/>
                <w:highlight w:val="none"/>
              </w:rPr>
              <w:t>投标人之间为谋取中标或者排斥特定投标人而采取的其他联合行动。</w:t>
            </w:r>
          </w:p>
        </w:tc>
        <w:tc>
          <w:tcPr>
            <w:tcW w:w="2820" w:type="dxa"/>
            <w:vAlign w:val="center"/>
          </w:tcPr>
          <w:p w14:paraId="506FD1BC">
            <w:pPr>
              <w:spacing w:line="360" w:lineRule="exact"/>
              <w:jc w:val="center"/>
              <w:rPr>
                <w:rFonts w:ascii="宋体" w:hAnsi="宋体"/>
                <w:b/>
                <w:color w:val="auto"/>
                <w:szCs w:val="21"/>
                <w:highlight w:val="none"/>
              </w:rPr>
            </w:pPr>
          </w:p>
        </w:tc>
        <w:tc>
          <w:tcPr>
            <w:tcW w:w="780" w:type="dxa"/>
            <w:vAlign w:val="center"/>
          </w:tcPr>
          <w:p w14:paraId="638005B7">
            <w:pPr>
              <w:spacing w:line="360" w:lineRule="exact"/>
              <w:jc w:val="center"/>
              <w:rPr>
                <w:rFonts w:ascii="宋体" w:hAnsi="宋体"/>
                <w:b/>
                <w:color w:val="auto"/>
                <w:szCs w:val="21"/>
                <w:highlight w:val="none"/>
              </w:rPr>
            </w:pPr>
          </w:p>
        </w:tc>
      </w:tr>
      <w:tr w14:paraId="08BD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5802AA92">
            <w:pPr>
              <w:spacing w:line="360" w:lineRule="exact"/>
              <w:jc w:val="center"/>
              <w:rPr>
                <w:rFonts w:ascii="宋体" w:hAnsi="宋体"/>
                <w:color w:val="auto"/>
                <w:szCs w:val="21"/>
                <w:highlight w:val="none"/>
              </w:rPr>
            </w:pPr>
            <w:r>
              <w:rPr>
                <w:rFonts w:hint="eastAsia" w:ascii="宋体" w:hAnsi="宋体"/>
                <w:color w:val="auto"/>
                <w:szCs w:val="21"/>
                <w:highlight w:val="none"/>
              </w:rPr>
              <w:t>15</w:t>
            </w:r>
          </w:p>
        </w:tc>
        <w:tc>
          <w:tcPr>
            <w:tcW w:w="5985" w:type="dxa"/>
            <w:vAlign w:val="center"/>
          </w:tcPr>
          <w:p w14:paraId="27983C4F">
            <w:pPr>
              <w:jc w:val="left"/>
              <w:rPr>
                <w:rFonts w:ascii="宋体" w:hAnsi="宋体" w:cs="宋体"/>
                <w:color w:val="auto"/>
                <w:szCs w:val="21"/>
                <w:highlight w:val="none"/>
              </w:rPr>
            </w:pPr>
            <w:r>
              <w:rPr>
                <w:rFonts w:hint="eastAsia" w:ascii="宋体" w:hAnsi="宋体"/>
                <w:snapToGrid w:val="0"/>
                <w:color w:val="auto"/>
                <w:highlight w:val="none"/>
              </w:rPr>
              <w:t>其他与政府采购活动参加人串通投标的</w:t>
            </w:r>
            <w:r>
              <w:rPr>
                <w:rFonts w:hint="eastAsia" w:ascii="宋体" w:hAnsi="宋体" w:cs="宋体"/>
                <w:color w:val="auto"/>
                <w:szCs w:val="21"/>
                <w:highlight w:val="none"/>
              </w:rPr>
              <w:t>行为。</w:t>
            </w:r>
          </w:p>
        </w:tc>
        <w:tc>
          <w:tcPr>
            <w:tcW w:w="2820" w:type="dxa"/>
            <w:vAlign w:val="center"/>
          </w:tcPr>
          <w:p w14:paraId="2C4AA6CA">
            <w:pPr>
              <w:spacing w:line="360" w:lineRule="exact"/>
              <w:jc w:val="center"/>
              <w:rPr>
                <w:rFonts w:ascii="宋体" w:hAnsi="宋体"/>
                <w:b/>
                <w:color w:val="auto"/>
                <w:szCs w:val="21"/>
                <w:highlight w:val="none"/>
              </w:rPr>
            </w:pPr>
          </w:p>
        </w:tc>
        <w:tc>
          <w:tcPr>
            <w:tcW w:w="780" w:type="dxa"/>
            <w:vAlign w:val="center"/>
          </w:tcPr>
          <w:p w14:paraId="792A4CC1">
            <w:pPr>
              <w:spacing w:line="360" w:lineRule="exact"/>
              <w:jc w:val="center"/>
              <w:rPr>
                <w:rFonts w:ascii="宋体" w:hAnsi="宋体"/>
                <w:b/>
                <w:color w:val="auto"/>
                <w:szCs w:val="21"/>
                <w:highlight w:val="none"/>
              </w:rPr>
            </w:pPr>
          </w:p>
        </w:tc>
      </w:tr>
      <w:tr w14:paraId="6406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1" w:type="dxa"/>
            <w:vAlign w:val="center"/>
          </w:tcPr>
          <w:p w14:paraId="6369CA5E">
            <w:pPr>
              <w:spacing w:line="360" w:lineRule="exact"/>
              <w:jc w:val="center"/>
              <w:rPr>
                <w:rFonts w:ascii="宋体" w:hAnsi="宋体"/>
                <w:color w:val="auto"/>
                <w:szCs w:val="21"/>
                <w:highlight w:val="none"/>
              </w:rPr>
            </w:pPr>
            <w:r>
              <w:rPr>
                <w:rFonts w:hint="eastAsia" w:ascii="宋体" w:hAnsi="宋体"/>
                <w:color w:val="auto"/>
                <w:szCs w:val="21"/>
                <w:highlight w:val="none"/>
              </w:rPr>
              <w:t>16</w:t>
            </w:r>
          </w:p>
        </w:tc>
        <w:tc>
          <w:tcPr>
            <w:tcW w:w="5985" w:type="dxa"/>
            <w:vAlign w:val="center"/>
          </w:tcPr>
          <w:p w14:paraId="4FD138EA">
            <w:pPr>
              <w:jc w:val="left"/>
              <w:rPr>
                <w:rFonts w:ascii="宋体" w:hAnsi="宋体" w:cs="宋体"/>
                <w:snapToGrid w:val="0"/>
                <w:color w:val="auto"/>
                <w:kern w:val="0"/>
                <w:szCs w:val="21"/>
                <w:highlight w:val="none"/>
              </w:rPr>
            </w:pPr>
            <w:r>
              <w:rPr>
                <w:rFonts w:hint="eastAsia" w:ascii="宋体" w:hAnsi="宋体" w:cs="宋体"/>
                <w:color w:val="auto"/>
                <w:szCs w:val="21"/>
                <w:highlight w:val="none"/>
              </w:rPr>
              <w:t>通过转让或者租借等方式从其他单位获取资格或者资质证书投标。</w:t>
            </w:r>
          </w:p>
        </w:tc>
        <w:tc>
          <w:tcPr>
            <w:tcW w:w="2820" w:type="dxa"/>
            <w:vAlign w:val="center"/>
          </w:tcPr>
          <w:p w14:paraId="1C301240">
            <w:pPr>
              <w:spacing w:line="360" w:lineRule="exact"/>
              <w:jc w:val="center"/>
              <w:rPr>
                <w:rFonts w:ascii="宋体" w:hAnsi="宋体"/>
                <w:b/>
                <w:color w:val="auto"/>
                <w:szCs w:val="21"/>
                <w:highlight w:val="none"/>
              </w:rPr>
            </w:pPr>
          </w:p>
        </w:tc>
        <w:tc>
          <w:tcPr>
            <w:tcW w:w="780" w:type="dxa"/>
            <w:vAlign w:val="center"/>
          </w:tcPr>
          <w:p w14:paraId="26110D0E">
            <w:pPr>
              <w:spacing w:line="360" w:lineRule="exact"/>
              <w:jc w:val="center"/>
              <w:rPr>
                <w:rFonts w:ascii="宋体" w:hAnsi="宋体"/>
                <w:b/>
                <w:color w:val="auto"/>
                <w:szCs w:val="21"/>
                <w:highlight w:val="none"/>
              </w:rPr>
            </w:pPr>
          </w:p>
        </w:tc>
      </w:tr>
      <w:tr w14:paraId="58F3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61" w:type="dxa"/>
            <w:vAlign w:val="center"/>
          </w:tcPr>
          <w:p w14:paraId="0FFA7B64">
            <w:pPr>
              <w:spacing w:line="360" w:lineRule="exact"/>
              <w:jc w:val="center"/>
              <w:rPr>
                <w:rFonts w:ascii="宋体" w:hAnsi="宋体"/>
                <w:color w:val="auto"/>
                <w:szCs w:val="21"/>
                <w:highlight w:val="none"/>
              </w:rPr>
            </w:pPr>
            <w:r>
              <w:rPr>
                <w:rFonts w:hint="eastAsia" w:ascii="宋体" w:hAnsi="宋体"/>
                <w:color w:val="auto"/>
                <w:szCs w:val="21"/>
                <w:highlight w:val="none"/>
              </w:rPr>
              <w:t>17</w:t>
            </w:r>
          </w:p>
        </w:tc>
        <w:tc>
          <w:tcPr>
            <w:tcW w:w="5985" w:type="dxa"/>
            <w:vAlign w:val="center"/>
          </w:tcPr>
          <w:p w14:paraId="725C77F8">
            <w:pPr>
              <w:jc w:val="left"/>
              <w:rPr>
                <w:rFonts w:ascii="宋体" w:hAnsi="宋体" w:cs="宋体"/>
                <w:snapToGrid w:val="0"/>
                <w:color w:val="auto"/>
                <w:kern w:val="0"/>
                <w:szCs w:val="21"/>
                <w:highlight w:val="none"/>
              </w:rPr>
            </w:pPr>
            <w:r>
              <w:rPr>
                <w:rFonts w:hint="eastAsia" w:ascii="宋体" w:hAnsi="宋体" w:cs="宋体"/>
                <w:color w:val="auto"/>
                <w:szCs w:val="21"/>
                <w:highlight w:val="none"/>
              </w:rPr>
              <w:t>由其他单位或者其他单位负责人在投标供应商编制的投标文件上加盖印章或者签字。</w:t>
            </w:r>
          </w:p>
        </w:tc>
        <w:tc>
          <w:tcPr>
            <w:tcW w:w="2820" w:type="dxa"/>
            <w:vAlign w:val="center"/>
          </w:tcPr>
          <w:p w14:paraId="672184BF">
            <w:pPr>
              <w:spacing w:line="360" w:lineRule="exact"/>
              <w:jc w:val="center"/>
              <w:rPr>
                <w:rFonts w:ascii="宋体" w:hAnsi="宋体"/>
                <w:b/>
                <w:color w:val="auto"/>
                <w:szCs w:val="21"/>
                <w:highlight w:val="none"/>
              </w:rPr>
            </w:pPr>
          </w:p>
        </w:tc>
        <w:tc>
          <w:tcPr>
            <w:tcW w:w="780" w:type="dxa"/>
            <w:vAlign w:val="center"/>
          </w:tcPr>
          <w:p w14:paraId="54C51719">
            <w:pPr>
              <w:spacing w:line="360" w:lineRule="exact"/>
              <w:jc w:val="center"/>
              <w:rPr>
                <w:rFonts w:ascii="宋体" w:hAnsi="宋体"/>
                <w:b/>
                <w:color w:val="auto"/>
                <w:szCs w:val="21"/>
                <w:highlight w:val="none"/>
              </w:rPr>
            </w:pPr>
          </w:p>
        </w:tc>
      </w:tr>
      <w:tr w14:paraId="7260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61" w:type="dxa"/>
            <w:vAlign w:val="center"/>
          </w:tcPr>
          <w:p w14:paraId="494C9430">
            <w:pPr>
              <w:spacing w:line="360" w:lineRule="exact"/>
              <w:jc w:val="center"/>
              <w:rPr>
                <w:rFonts w:ascii="宋体" w:hAnsi="宋体"/>
                <w:color w:val="auto"/>
                <w:szCs w:val="21"/>
                <w:highlight w:val="none"/>
              </w:rPr>
            </w:pPr>
            <w:r>
              <w:rPr>
                <w:rFonts w:hint="eastAsia" w:ascii="宋体" w:hAnsi="宋体"/>
                <w:color w:val="auto"/>
                <w:szCs w:val="21"/>
                <w:highlight w:val="none"/>
              </w:rPr>
              <w:t>18</w:t>
            </w:r>
          </w:p>
        </w:tc>
        <w:tc>
          <w:tcPr>
            <w:tcW w:w="5985" w:type="dxa"/>
            <w:vAlign w:val="center"/>
          </w:tcPr>
          <w:p w14:paraId="638B563A">
            <w:pPr>
              <w:jc w:val="left"/>
              <w:rPr>
                <w:rFonts w:ascii="宋体" w:hAnsi="宋体" w:cs="宋体"/>
                <w:snapToGrid w:val="0"/>
                <w:color w:val="auto"/>
                <w:kern w:val="0"/>
                <w:szCs w:val="21"/>
                <w:highlight w:val="none"/>
              </w:rPr>
            </w:pPr>
            <w:r>
              <w:rPr>
                <w:rFonts w:hint="eastAsia" w:ascii="宋体" w:hAnsi="宋体" w:cs="宋体"/>
                <w:color w:val="auto"/>
                <w:szCs w:val="21"/>
                <w:highlight w:val="none"/>
              </w:rPr>
              <w:t>项目负责人或者主要技术人员不是本单位人员，不能提供项目负责人或者主要技术人员的劳动合同、社会保险等劳动关系证明材料。</w:t>
            </w:r>
          </w:p>
        </w:tc>
        <w:tc>
          <w:tcPr>
            <w:tcW w:w="2820" w:type="dxa"/>
            <w:vAlign w:val="center"/>
          </w:tcPr>
          <w:p w14:paraId="53FE1DE0">
            <w:pPr>
              <w:spacing w:line="360" w:lineRule="exact"/>
              <w:jc w:val="center"/>
              <w:rPr>
                <w:rFonts w:ascii="宋体" w:hAnsi="宋体"/>
                <w:b/>
                <w:color w:val="auto"/>
                <w:szCs w:val="21"/>
                <w:highlight w:val="none"/>
              </w:rPr>
            </w:pPr>
          </w:p>
        </w:tc>
        <w:tc>
          <w:tcPr>
            <w:tcW w:w="780" w:type="dxa"/>
            <w:vAlign w:val="center"/>
          </w:tcPr>
          <w:p w14:paraId="687E6E7A">
            <w:pPr>
              <w:spacing w:line="360" w:lineRule="exact"/>
              <w:jc w:val="center"/>
              <w:rPr>
                <w:rFonts w:ascii="宋体" w:hAnsi="宋体"/>
                <w:b/>
                <w:color w:val="auto"/>
                <w:szCs w:val="21"/>
                <w:highlight w:val="none"/>
              </w:rPr>
            </w:pPr>
          </w:p>
        </w:tc>
      </w:tr>
      <w:tr w14:paraId="3C1B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61" w:type="dxa"/>
            <w:vAlign w:val="center"/>
          </w:tcPr>
          <w:p w14:paraId="21AEC5EC">
            <w:pPr>
              <w:spacing w:line="360" w:lineRule="exact"/>
              <w:jc w:val="center"/>
              <w:rPr>
                <w:rFonts w:ascii="宋体" w:hAnsi="宋体"/>
                <w:color w:val="auto"/>
                <w:szCs w:val="21"/>
                <w:highlight w:val="none"/>
              </w:rPr>
            </w:pPr>
            <w:r>
              <w:rPr>
                <w:rFonts w:hint="eastAsia" w:ascii="宋体" w:hAnsi="宋体"/>
                <w:color w:val="auto"/>
                <w:szCs w:val="21"/>
                <w:highlight w:val="none"/>
              </w:rPr>
              <w:t>19</w:t>
            </w:r>
          </w:p>
        </w:tc>
        <w:tc>
          <w:tcPr>
            <w:tcW w:w="5985" w:type="dxa"/>
            <w:vAlign w:val="center"/>
          </w:tcPr>
          <w:p w14:paraId="727E79A6">
            <w:pPr>
              <w:jc w:val="left"/>
              <w:rPr>
                <w:rFonts w:ascii="宋体" w:hAnsi="宋体" w:cs="宋体"/>
                <w:snapToGrid w:val="0"/>
                <w:color w:val="auto"/>
                <w:kern w:val="0"/>
                <w:szCs w:val="21"/>
                <w:highlight w:val="none"/>
              </w:rPr>
            </w:pPr>
            <w:r>
              <w:rPr>
                <w:rFonts w:hint="eastAsia" w:ascii="宋体" w:hAnsi="宋体" w:cs="宋体"/>
                <w:color w:val="auto"/>
                <w:szCs w:val="21"/>
                <w:highlight w:val="none"/>
              </w:rPr>
              <w:t>投标保证金不是从投标供应商基本账户转出。</w:t>
            </w:r>
          </w:p>
        </w:tc>
        <w:tc>
          <w:tcPr>
            <w:tcW w:w="2820" w:type="dxa"/>
            <w:vAlign w:val="center"/>
          </w:tcPr>
          <w:p w14:paraId="4E3931B2">
            <w:pPr>
              <w:spacing w:line="360" w:lineRule="exact"/>
              <w:jc w:val="center"/>
              <w:rPr>
                <w:rFonts w:ascii="宋体" w:hAnsi="宋体"/>
                <w:b/>
                <w:color w:val="auto"/>
                <w:szCs w:val="21"/>
                <w:highlight w:val="none"/>
              </w:rPr>
            </w:pPr>
          </w:p>
        </w:tc>
        <w:tc>
          <w:tcPr>
            <w:tcW w:w="780" w:type="dxa"/>
            <w:vAlign w:val="center"/>
          </w:tcPr>
          <w:p w14:paraId="69A017C5">
            <w:pPr>
              <w:spacing w:line="360" w:lineRule="exact"/>
              <w:jc w:val="center"/>
              <w:rPr>
                <w:rFonts w:ascii="宋体" w:hAnsi="宋体"/>
                <w:b/>
                <w:color w:val="auto"/>
                <w:szCs w:val="21"/>
                <w:highlight w:val="none"/>
              </w:rPr>
            </w:pPr>
          </w:p>
        </w:tc>
      </w:tr>
      <w:tr w14:paraId="3487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14:paraId="16C092E4">
            <w:pPr>
              <w:spacing w:line="360" w:lineRule="exact"/>
              <w:jc w:val="center"/>
              <w:rPr>
                <w:rFonts w:ascii="宋体" w:hAnsi="宋体"/>
                <w:color w:val="auto"/>
                <w:szCs w:val="21"/>
                <w:highlight w:val="none"/>
              </w:rPr>
            </w:pPr>
            <w:r>
              <w:rPr>
                <w:rFonts w:hint="eastAsia" w:ascii="宋体" w:hAnsi="宋体"/>
                <w:color w:val="auto"/>
                <w:szCs w:val="21"/>
                <w:highlight w:val="none"/>
              </w:rPr>
              <w:t>20</w:t>
            </w:r>
          </w:p>
        </w:tc>
        <w:tc>
          <w:tcPr>
            <w:tcW w:w="5985" w:type="dxa"/>
            <w:vAlign w:val="center"/>
          </w:tcPr>
          <w:p w14:paraId="434B1EC9">
            <w:pPr>
              <w:jc w:val="left"/>
              <w:rPr>
                <w:rFonts w:ascii="宋体" w:hAnsi="宋体" w:cs="宋体"/>
                <w:snapToGrid w:val="0"/>
                <w:color w:val="auto"/>
                <w:kern w:val="0"/>
                <w:szCs w:val="21"/>
                <w:highlight w:val="none"/>
              </w:rPr>
            </w:pPr>
            <w:r>
              <w:rPr>
                <w:color w:val="auto"/>
                <w:szCs w:val="21"/>
                <w:highlight w:val="none"/>
              </w:rPr>
              <w:t>其他隐瞒真实情况、提供虚假资料的行为。</w:t>
            </w:r>
          </w:p>
        </w:tc>
        <w:tc>
          <w:tcPr>
            <w:tcW w:w="2820" w:type="dxa"/>
            <w:vAlign w:val="center"/>
          </w:tcPr>
          <w:p w14:paraId="1D90C52D">
            <w:pPr>
              <w:spacing w:line="360" w:lineRule="exact"/>
              <w:jc w:val="center"/>
              <w:rPr>
                <w:rFonts w:ascii="宋体" w:hAnsi="宋体"/>
                <w:b/>
                <w:color w:val="auto"/>
                <w:szCs w:val="21"/>
                <w:highlight w:val="none"/>
              </w:rPr>
            </w:pPr>
          </w:p>
        </w:tc>
        <w:tc>
          <w:tcPr>
            <w:tcW w:w="780" w:type="dxa"/>
            <w:vAlign w:val="center"/>
          </w:tcPr>
          <w:p w14:paraId="1C889A0A">
            <w:pPr>
              <w:spacing w:line="360" w:lineRule="exact"/>
              <w:jc w:val="center"/>
              <w:rPr>
                <w:rFonts w:ascii="宋体" w:hAnsi="宋体"/>
                <w:b/>
                <w:color w:val="auto"/>
                <w:szCs w:val="21"/>
                <w:highlight w:val="none"/>
              </w:rPr>
            </w:pPr>
          </w:p>
        </w:tc>
      </w:tr>
    </w:tbl>
    <w:p w14:paraId="34952601">
      <w:pPr>
        <w:keepNext w:val="0"/>
        <w:keepLines w:val="0"/>
        <w:pageBreakBefore w:val="0"/>
        <w:widowControl w:val="0"/>
        <w:numPr>
          <w:ilvl w:val="0"/>
          <w:numId w:val="0"/>
        </w:numPr>
        <w:kinsoku/>
        <w:wordWrap/>
        <w:overflowPunct/>
        <w:topLinePunct w:val="0"/>
        <w:bidi w:val="0"/>
        <w:snapToGrid w:val="0"/>
        <w:spacing w:line="560" w:lineRule="exact"/>
        <w:ind w:left="0" w:leftChars="0" w:firstLine="420" w:firstLineChars="200"/>
        <w:textAlignment w:val="auto"/>
        <w:rPr>
          <w:rFonts w:hint="eastAsia" w:ascii="仿宋" w:hAnsi="仿宋" w:eastAsia="仿宋" w:cs="仿宋"/>
          <w:color w:val="auto"/>
          <w:sz w:val="28"/>
          <w:szCs w:val="28"/>
          <w:highlight w:val="none"/>
        </w:rPr>
      </w:pPr>
      <w:r>
        <w:rPr>
          <w:rFonts w:hint="eastAsia" w:ascii="宋体" w:hAnsi="宋体" w:cs="宋体"/>
          <w:color w:val="auto"/>
          <w:szCs w:val="21"/>
          <w:highlight w:val="none"/>
        </w:rPr>
        <w:t>注：投标供应商出现上述与其他采购参加人串通投标、隐瞒真实情况</w:t>
      </w:r>
      <w:r>
        <w:rPr>
          <w:rFonts w:hint="eastAsia" w:cs="宋体"/>
          <w:color w:val="auto"/>
          <w:szCs w:val="21"/>
          <w:highlight w:val="none"/>
        </w:rPr>
        <w:t>或者</w:t>
      </w:r>
      <w:r>
        <w:rPr>
          <w:rFonts w:hint="eastAsia" w:ascii="宋体" w:hAnsi="宋体" w:cs="宋体"/>
          <w:color w:val="auto"/>
          <w:szCs w:val="21"/>
          <w:highlight w:val="none"/>
        </w:rPr>
        <w:t>提供虚假资料行为的，将依法承担法律责任。</w:t>
      </w:r>
    </w:p>
    <w:p w14:paraId="59CBEAD2">
      <w:pPr>
        <w:keepLines w:val="0"/>
        <w:pageBreakBefore w:val="0"/>
        <w:numPr>
          <w:ilvl w:val="0"/>
          <w:numId w:val="0"/>
        </w:numPr>
        <w:kinsoku/>
        <w:wordWrap/>
        <w:overflowPunct/>
        <w:topLinePunct w:val="0"/>
        <w:bidi w:val="0"/>
        <w:snapToGrid w:val="0"/>
        <w:spacing w:line="56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44"/>
          <w:szCs w:val="44"/>
          <w:highlight w:val="none"/>
        </w:rPr>
        <w:t>第五章  供应商标书</w:t>
      </w:r>
    </w:p>
    <w:tbl>
      <w:tblPr>
        <w:tblStyle w:val="1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587A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5" w:hRule="atLeast"/>
          <w:jc w:val="center"/>
        </w:trPr>
        <w:tc>
          <w:tcPr>
            <w:tcW w:w="9061" w:type="dxa"/>
            <w:noWrap/>
            <w:vAlign w:val="center"/>
          </w:tcPr>
          <w:p w14:paraId="60FDE996">
            <w:pPr>
              <w:keepLines w:val="0"/>
              <w:pageBreakBefore w:val="0"/>
              <w:kinsoku/>
              <w:wordWrap/>
              <w:overflowPunct/>
              <w:topLinePunct w:val="0"/>
              <w:bidi w:val="0"/>
              <w:snapToGrid w:val="0"/>
              <w:spacing w:line="560" w:lineRule="exact"/>
              <w:jc w:val="center"/>
              <w:rPr>
                <w:rFonts w:hint="eastAsia" w:ascii="仿宋" w:hAnsi="仿宋" w:eastAsia="仿宋" w:cs="仿宋"/>
                <w:b/>
                <w:bCs/>
                <w:color w:val="auto"/>
                <w:sz w:val="96"/>
                <w:szCs w:val="96"/>
                <w:highlight w:val="none"/>
              </w:rPr>
            </w:pPr>
          </w:p>
          <w:p w14:paraId="56275549">
            <w:pPr>
              <w:keepLines w:val="0"/>
              <w:pageBreakBefore w:val="0"/>
              <w:kinsoku/>
              <w:wordWrap/>
              <w:overflowPunct/>
              <w:topLinePunct w:val="0"/>
              <w:bidi w:val="0"/>
              <w:snapToGrid w:val="0"/>
              <w:spacing w:line="560" w:lineRule="exact"/>
              <w:jc w:val="center"/>
              <w:rPr>
                <w:rFonts w:hint="eastAsia" w:ascii="仿宋" w:hAnsi="仿宋" w:eastAsia="仿宋" w:cs="仿宋"/>
                <w:color w:val="auto"/>
                <w:sz w:val="72"/>
                <w:szCs w:val="72"/>
                <w:highlight w:val="none"/>
                <w:lang w:eastAsia="zh-CN"/>
              </w:rPr>
            </w:pPr>
            <w:r>
              <w:rPr>
                <w:rFonts w:hint="eastAsia" w:ascii="仿宋" w:hAnsi="仿宋" w:eastAsia="仿宋" w:cs="仿宋"/>
                <w:b/>
                <w:bCs/>
                <w:color w:val="auto"/>
                <w:sz w:val="56"/>
                <w:szCs w:val="56"/>
                <w:highlight w:val="none"/>
                <w:lang w:val="en-US" w:eastAsia="zh-CN"/>
              </w:rPr>
              <w:t>投标书</w:t>
            </w:r>
          </w:p>
          <w:p w14:paraId="1F8B9F90">
            <w:pPr>
              <w:keepLines w:val="0"/>
              <w:pageBreakBefore w:val="0"/>
              <w:kinsoku/>
              <w:wordWrap/>
              <w:overflowPunct/>
              <w:topLinePunct w:val="0"/>
              <w:bidi w:val="0"/>
              <w:snapToGrid w:val="0"/>
              <w:spacing w:line="560" w:lineRule="exact"/>
              <w:rPr>
                <w:rFonts w:ascii="仿宋" w:hAnsi="仿宋" w:eastAsia="仿宋" w:cs="仿宋"/>
                <w:color w:val="auto"/>
                <w:sz w:val="72"/>
                <w:szCs w:val="72"/>
                <w:highlight w:val="none"/>
              </w:rPr>
            </w:pPr>
          </w:p>
          <w:p w14:paraId="4D4DB32A">
            <w:pPr>
              <w:pStyle w:val="26"/>
              <w:keepLines w:val="0"/>
              <w:pageBreakBefore w:val="0"/>
              <w:numPr>
                <w:ilvl w:val="0"/>
                <w:numId w:val="0"/>
              </w:numPr>
              <w:kinsoku/>
              <w:wordWrap/>
              <w:overflowPunct/>
              <w:topLinePunct w:val="0"/>
              <w:bidi w:val="0"/>
              <w:snapToGrid w:val="0"/>
              <w:spacing w:line="560" w:lineRule="exact"/>
              <w:jc w:val="center"/>
              <w:rPr>
                <w:rFonts w:hint="eastAsia" w:ascii="仿宋_GB2312" w:hAnsi="仿宋_GB2312" w:eastAsia="仿宋_GB2312" w:cs="仿宋_GB2312"/>
                <w:color w:val="auto"/>
                <w:sz w:val="44"/>
                <w:szCs w:val="44"/>
                <w:highlight w:val="none"/>
                <w:lang w:val="en-US" w:eastAsia="zh-CN"/>
              </w:rPr>
            </w:pPr>
            <w:r>
              <w:rPr>
                <w:rFonts w:hint="eastAsia" w:ascii="仿宋_GB2312" w:hAnsi="仿宋_GB2312" w:eastAsia="仿宋_GB2312" w:cs="仿宋_GB2312"/>
                <w:color w:val="auto"/>
                <w:sz w:val="44"/>
                <w:szCs w:val="44"/>
                <w:highlight w:val="none"/>
              </w:rPr>
              <w:t>项目名称</w:t>
            </w:r>
            <w:r>
              <w:rPr>
                <w:rFonts w:hint="eastAsia" w:ascii="仿宋_GB2312" w:hAnsi="仿宋_GB2312" w:eastAsia="仿宋_GB2312" w:cs="仿宋_GB2312"/>
                <w:color w:val="auto"/>
                <w:sz w:val="44"/>
                <w:szCs w:val="44"/>
                <w:highlight w:val="none"/>
                <w:lang w:eastAsia="zh-CN"/>
              </w:rPr>
              <w:t>：</w:t>
            </w:r>
            <w:r>
              <w:rPr>
                <w:rFonts w:hint="eastAsia" w:ascii="仿宋_GB2312" w:hAnsi="仿宋_GB2312" w:eastAsia="仿宋_GB2312" w:cs="仿宋_GB2312"/>
                <w:color w:val="auto"/>
                <w:sz w:val="44"/>
                <w:szCs w:val="44"/>
                <w:highlight w:val="none"/>
                <w:lang w:val="en-US" w:eastAsia="zh-CN"/>
              </w:rPr>
              <w:t>深圳市龙岗区第七人民医院龙岭</w:t>
            </w:r>
          </w:p>
          <w:p w14:paraId="1E82097B">
            <w:pPr>
              <w:pStyle w:val="26"/>
              <w:keepLines w:val="0"/>
              <w:pageBreakBefore w:val="0"/>
              <w:numPr>
                <w:ilvl w:val="0"/>
                <w:numId w:val="0"/>
              </w:numPr>
              <w:kinsoku/>
              <w:wordWrap/>
              <w:overflowPunct/>
              <w:topLinePunct w:val="0"/>
              <w:bidi w:val="0"/>
              <w:snapToGrid w:val="0"/>
              <w:spacing w:line="560" w:lineRule="exact"/>
              <w:jc w:val="center"/>
              <w:rPr>
                <w:rFonts w:hint="eastAsia" w:ascii="仿宋_GB2312" w:hAnsi="仿宋_GB2312" w:eastAsia="仿宋_GB2312" w:cs="仿宋_GB2312"/>
                <w:color w:val="auto"/>
                <w:sz w:val="44"/>
                <w:szCs w:val="44"/>
                <w:highlight w:val="none"/>
                <w:lang w:val="en-US" w:eastAsia="zh-CN"/>
              </w:rPr>
            </w:pPr>
            <w:r>
              <w:rPr>
                <w:rFonts w:hint="eastAsia" w:ascii="仿宋_GB2312" w:hAnsi="仿宋_GB2312" w:eastAsia="仿宋_GB2312" w:cs="仿宋_GB2312"/>
                <w:color w:val="auto"/>
                <w:sz w:val="44"/>
                <w:szCs w:val="44"/>
                <w:highlight w:val="none"/>
                <w:lang w:val="en-US" w:eastAsia="zh-CN"/>
              </w:rPr>
              <w:t>院区（除门诊楼外）4栋建筑房屋结构</w:t>
            </w:r>
          </w:p>
          <w:p w14:paraId="03081196">
            <w:pPr>
              <w:pStyle w:val="26"/>
              <w:keepLines w:val="0"/>
              <w:pageBreakBefore w:val="0"/>
              <w:numPr>
                <w:ilvl w:val="0"/>
                <w:numId w:val="0"/>
              </w:numPr>
              <w:kinsoku/>
              <w:wordWrap/>
              <w:overflowPunct/>
              <w:topLinePunct w:val="0"/>
              <w:bidi w:val="0"/>
              <w:snapToGrid w:val="0"/>
              <w:spacing w:line="560" w:lineRule="exact"/>
              <w:jc w:val="center"/>
              <w:rPr>
                <w:rFonts w:hint="eastAsia" w:ascii="仿宋_GB2312" w:hAnsi="仿宋_GB2312" w:eastAsia="仿宋_GB2312" w:cs="仿宋_GB2312"/>
                <w:b w:val="0"/>
                <w:bCs w:val="0"/>
                <w:color w:val="auto"/>
                <w:sz w:val="44"/>
                <w:szCs w:val="44"/>
                <w:highlight w:val="none"/>
                <w:lang w:val="en-US" w:eastAsia="zh-CN"/>
              </w:rPr>
            </w:pPr>
            <w:r>
              <w:rPr>
                <w:rFonts w:hint="eastAsia" w:ascii="仿宋_GB2312" w:hAnsi="仿宋_GB2312" w:eastAsia="仿宋_GB2312" w:cs="仿宋_GB2312"/>
                <w:color w:val="auto"/>
                <w:sz w:val="44"/>
                <w:szCs w:val="44"/>
                <w:highlight w:val="none"/>
                <w:lang w:val="en-US" w:eastAsia="zh-CN"/>
              </w:rPr>
              <w:t>安全检测鉴定服务项目</w:t>
            </w:r>
          </w:p>
          <w:p w14:paraId="217698DC">
            <w:pPr>
              <w:keepLines w:val="0"/>
              <w:pageBreakBefore w:val="0"/>
              <w:kinsoku/>
              <w:wordWrap/>
              <w:overflowPunct/>
              <w:topLinePunct w:val="0"/>
              <w:bidi w:val="0"/>
              <w:snapToGrid w:val="0"/>
              <w:spacing w:line="560" w:lineRule="exact"/>
              <w:ind w:left="0" w:firstLine="0" w:firstLineChars="0"/>
              <w:rPr>
                <w:rFonts w:ascii="仿宋_GB2312" w:hAnsi="仿宋_GB2312" w:eastAsia="仿宋_GB2312" w:cs="仿宋_GB2312"/>
                <w:color w:val="auto"/>
                <w:sz w:val="44"/>
                <w:szCs w:val="44"/>
                <w:highlight w:val="none"/>
              </w:rPr>
            </w:pPr>
          </w:p>
          <w:p w14:paraId="7FCAE1C6">
            <w:pPr>
              <w:pStyle w:val="31"/>
              <w:keepLines w:val="0"/>
              <w:pageBreakBefore w:val="0"/>
              <w:kinsoku/>
              <w:wordWrap/>
              <w:overflowPunct/>
              <w:topLinePunct w:val="0"/>
              <w:bidi w:val="0"/>
              <w:snapToGrid w:val="0"/>
              <w:spacing w:line="560" w:lineRule="exact"/>
              <w:ind w:firstLine="0" w:firstLineChars="0"/>
              <w:jc w:val="center"/>
              <w:rPr>
                <w:rFonts w:ascii="仿宋_GB2312" w:hAnsi="仿宋_GB2312" w:eastAsia="仿宋_GB2312" w:cs="仿宋_GB2312"/>
                <w:color w:val="auto"/>
                <w:sz w:val="44"/>
                <w:szCs w:val="44"/>
                <w:highlight w:val="none"/>
              </w:rPr>
            </w:pPr>
            <w:r>
              <w:rPr>
                <w:rFonts w:hint="eastAsia" w:ascii="仿宋_GB2312" w:hAnsi="仿宋_GB2312" w:eastAsia="仿宋_GB2312" w:cs="仿宋_GB2312"/>
                <w:color w:val="auto"/>
                <w:sz w:val="44"/>
                <w:szCs w:val="44"/>
                <w:highlight w:val="none"/>
              </w:rPr>
              <w:t>（</w:t>
            </w:r>
            <w:r>
              <w:rPr>
                <w:rFonts w:hint="eastAsia" w:ascii="仿宋_GB2312" w:hAnsi="仿宋_GB2312" w:eastAsia="仿宋_GB2312" w:cs="仿宋_GB2312"/>
                <w:color w:val="auto"/>
                <w:sz w:val="36"/>
                <w:szCs w:val="36"/>
                <w:highlight w:val="none"/>
                <w:lang w:val="en-US" w:eastAsia="zh-CN"/>
              </w:rPr>
              <w:t>深龙七医采[LGQY2026ZW007]</w:t>
            </w:r>
            <w:r>
              <w:rPr>
                <w:rFonts w:hint="eastAsia" w:ascii="仿宋_GB2312" w:hAnsi="仿宋_GB2312" w:eastAsia="仿宋_GB2312" w:cs="仿宋_GB2312"/>
                <w:color w:val="auto"/>
                <w:sz w:val="44"/>
                <w:szCs w:val="44"/>
                <w:highlight w:val="none"/>
              </w:rPr>
              <w:t>）</w:t>
            </w:r>
          </w:p>
          <w:p w14:paraId="3CD23406">
            <w:pPr>
              <w:pStyle w:val="31"/>
              <w:keepLines w:val="0"/>
              <w:pageBreakBefore w:val="0"/>
              <w:kinsoku/>
              <w:wordWrap/>
              <w:overflowPunct/>
              <w:topLinePunct w:val="0"/>
              <w:bidi w:val="0"/>
              <w:snapToGrid w:val="0"/>
              <w:spacing w:line="560" w:lineRule="exact"/>
              <w:ind w:firstLine="0" w:firstLineChars="0"/>
              <w:jc w:val="center"/>
              <w:rPr>
                <w:rFonts w:ascii="仿宋_GB2312" w:hAnsi="仿宋_GB2312" w:eastAsia="仿宋_GB2312" w:cs="仿宋_GB2312"/>
                <w:color w:val="auto"/>
                <w:sz w:val="44"/>
                <w:szCs w:val="44"/>
                <w:highlight w:val="none"/>
              </w:rPr>
            </w:pPr>
          </w:p>
          <w:p w14:paraId="2B1D1921">
            <w:pPr>
              <w:keepLines w:val="0"/>
              <w:pageBreakBefore w:val="0"/>
              <w:kinsoku/>
              <w:wordWrap/>
              <w:overflowPunct/>
              <w:topLinePunct w:val="0"/>
              <w:bidi w:val="0"/>
              <w:snapToGrid w:val="0"/>
              <w:spacing w:line="560" w:lineRule="exact"/>
              <w:jc w:val="center"/>
              <w:rPr>
                <w:rFonts w:ascii="仿宋_GB2312" w:hAnsi="仿宋_GB2312" w:eastAsia="仿宋_GB2312" w:cs="仿宋_GB2312"/>
                <w:color w:val="auto"/>
                <w:sz w:val="44"/>
                <w:szCs w:val="44"/>
                <w:highlight w:val="none"/>
              </w:rPr>
            </w:pPr>
            <w:r>
              <w:rPr>
                <w:rFonts w:hint="eastAsia" w:ascii="仿宋_GB2312" w:hAnsi="仿宋_GB2312" w:eastAsia="仿宋_GB2312" w:cs="仿宋_GB2312"/>
                <w:color w:val="auto"/>
                <w:sz w:val="44"/>
                <w:szCs w:val="44"/>
                <w:highlight w:val="none"/>
              </w:rPr>
              <w:t>采购单位：深圳市龙岗区第七人民医院</w:t>
            </w:r>
          </w:p>
          <w:p w14:paraId="1E256858">
            <w:pPr>
              <w:keepLines w:val="0"/>
              <w:pageBreakBefore w:val="0"/>
              <w:kinsoku/>
              <w:wordWrap/>
              <w:overflowPunct/>
              <w:topLinePunct w:val="0"/>
              <w:bidi w:val="0"/>
              <w:snapToGrid w:val="0"/>
              <w:spacing w:line="560" w:lineRule="exact"/>
              <w:jc w:val="center"/>
              <w:rPr>
                <w:rFonts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w:t>
            </w:r>
            <w:r>
              <w:rPr>
                <w:rFonts w:hint="eastAsia" w:ascii="仿宋_GB2312" w:hAnsi="仿宋_GB2312" w:eastAsia="仿宋_GB2312" w:cs="仿宋_GB2312"/>
                <w:color w:val="auto"/>
                <w:sz w:val="44"/>
                <w:szCs w:val="44"/>
                <w:highlight w:val="none"/>
              </w:rPr>
              <w:t>202</w:t>
            </w:r>
            <w:r>
              <w:rPr>
                <w:rFonts w:hint="eastAsia" w:ascii="仿宋_GB2312" w:hAnsi="仿宋_GB2312" w:eastAsia="仿宋_GB2312" w:cs="仿宋_GB2312"/>
                <w:color w:val="auto"/>
                <w:sz w:val="44"/>
                <w:szCs w:val="44"/>
                <w:highlight w:val="none"/>
                <w:lang w:val="en-US" w:eastAsia="zh-CN"/>
              </w:rPr>
              <w:t>6</w:t>
            </w:r>
            <w:r>
              <w:rPr>
                <w:rFonts w:hint="eastAsia" w:ascii="仿宋_GB2312" w:hAnsi="仿宋_GB2312" w:eastAsia="仿宋_GB2312" w:cs="仿宋_GB2312"/>
                <w:color w:val="auto"/>
                <w:sz w:val="44"/>
                <w:szCs w:val="44"/>
                <w:highlight w:val="none"/>
              </w:rPr>
              <w:t>年</w:t>
            </w:r>
            <w:r>
              <w:rPr>
                <w:rFonts w:hint="eastAsia" w:ascii="仿宋_GB2312" w:hAnsi="仿宋_GB2312" w:eastAsia="仿宋_GB2312" w:cs="仿宋_GB2312"/>
                <w:b/>
                <w:color w:val="auto"/>
                <w:sz w:val="44"/>
                <w:szCs w:val="44"/>
                <w:highlight w:val="none"/>
              </w:rPr>
              <w:t>）</w:t>
            </w:r>
          </w:p>
          <w:p w14:paraId="13956CA4">
            <w:pPr>
              <w:keepLines w:val="0"/>
              <w:pageBreakBefore w:val="0"/>
              <w:kinsoku/>
              <w:wordWrap/>
              <w:overflowPunct/>
              <w:topLinePunct w:val="0"/>
              <w:bidi w:val="0"/>
              <w:snapToGrid w:val="0"/>
              <w:spacing w:line="560" w:lineRule="exact"/>
              <w:rPr>
                <w:rFonts w:ascii="仿宋" w:hAnsi="仿宋" w:eastAsia="仿宋" w:cs="仿宋"/>
                <w:b/>
                <w:color w:val="auto"/>
                <w:sz w:val="36"/>
                <w:szCs w:val="36"/>
                <w:highlight w:val="none"/>
              </w:rPr>
            </w:pPr>
          </w:p>
          <w:p w14:paraId="0809F738">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投标人：</w:t>
            </w:r>
          </w:p>
          <w:p w14:paraId="5F34988D">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地  址：</w:t>
            </w:r>
          </w:p>
          <w:p w14:paraId="6283EB57">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联系人：</w:t>
            </w:r>
          </w:p>
          <w:p w14:paraId="50993708">
            <w:pPr>
              <w:keepLines w:val="0"/>
              <w:pageBreakBefore w:val="0"/>
              <w:kinsoku/>
              <w:wordWrap/>
              <w:overflowPunct/>
              <w:topLinePunct w:val="0"/>
              <w:bidi w:val="0"/>
              <w:snapToGrid w:val="0"/>
              <w:spacing w:line="560" w:lineRule="exact"/>
              <w:jc w:val="left"/>
              <w:rPr>
                <w:rFonts w:ascii="仿宋" w:hAnsi="仿宋" w:eastAsia="仿宋" w:cs="仿宋"/>
                <w:b/>
                <w:color w:val="auto"/>
                <w:sz w:val="40"/>
                <w:szCs w:val="40"/>
                <w:highlight w:val="none"/>
              </w:rPr>
            </w:pPr>
            <w:r>
              <w:rPr>
                <w:rFonts w:hint="eastAsia" w:ascii="仿宋" w:hAnsi="仿宋" w:eastAsia="仿宋" w:cs="仿宋"/>
                <w:b/>
                <w:color w:val="auto"/>
                <w:sz w:val="40"/>
                <w:szCs w:val="40"/>
                <w:highlight w:val="none"/>
              </w:rPr>
              <w:t>电  话：</w:t>
            </w:r>
          </w:p>
          <w:p w14:paraId="73DFA2DD">
            <w:pPr>
              <w:keepLines w:val="0"/>
              <w:pageBreakBefore w:val="0"/>
              <w:kinsoku/>
              <w:wordWrap/>
              <w:overflowPunct/>
              <w:topLinePunct w:val="0"/>
              <w:bidi w:val="0"/>
              <w:snapToGrid w:val="0"/>
              <w:spacing w:line="560" w:lineRule="exact"/>
              <w:jc w:val="left"/>
              <w:rPr>
                <w:rFonts w:ascii="仿宋" w:hAnsi="仿宋" w:eastAsia="仿宋" w:cs="仿宋"/>
                <w:color w:val="auto"/>
                <w:sz w:val="28"/>
                <w:highlight w:val="none"/>
              </w:rPr>
            </w:pPr>
            <w:r>
              <w:rPr>
                <w:rFonts w:hint="eastAsia" w:ascii="仿宋" w:hAnsi="仿宋" w:eastAsia="仿宋" w:cs="仿宋"/>
                <w:b/>
                <w:color w:val="auto"/>
                <w:sz w:val="40"/>
                <w:szCs w:val="40"/>
                <w:highlight w:val="none"/>
              </w:rPr>
              <w:t>邮  箱：</w:t>
            </w:r>
          </w:p>
        </w:tc>
      </w:tr>
    </w:tbl>
    <w:p w14:paraId="0F2F4693">
      <w:pPr>
        <w:keepLines w:val="0"/>
        <w:pageBreakBefore w:val="0"/>
        <w:kinsoku/>
        <w:wordWrap/>
        <w:overflowPunct/>
        <w:topLinePunct w:val="0"/>
        <w:bidi w:val="0"/>
        <w:spacing w:line="560" w:lineRule="exact"/>
        <w:jc w:val="center"/>
        <w:rPr>
          <w:rFonts w:hint="eastAsia" w:ascii="仿宋_GB2312" w:hAnsi="仿宋_GB2312" w:eastAsia="仿宋_GB2312" w:cs="仿宋_GB2312"/>
          <w:color w:val="auto"/>
          <w:sz w:val="28"/>
          <w:szCs w:val="28"/>
          <w:highlight w:val="none"/>
        </w:rPr>
      </w:pPr>
      <w:r>
        <w:rPr>
          <w:rFonts w:hint="eastAsia" w:ascii="宋体" w:hAnsi="宋体" w:cs="宋体"/>
          <w:b/>
          <w:bCs/>
          <w:color w:val="auto"/>
          <w:sz w:val="44"/>
          <w:szCs w:val="44"/>
          <w:highlight w:val="none"/>
        </w:rPr>
        <w:t>目录</w:t>
      </w:r>
      <w:r>
        <w:rPr>
          <w:rFonts w:hint="eastAsia" w:ascii="宋体" w:hAnsi="宋体" w:cs="宋体"/>
          <w:b/>
          <w:bCs/>
          <w:color w:val="auto"/>
          <w:sz w:val="28"/>
          <w:szCs w:val="28"/>
          <w:highlight w:val="none"/>
        </w:rPr>
        <w:t>（附页码）</w:t>
      </w:r>
    </w:p>
    <w:p w14:paraId="6F7CB353">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1.封面</w:t>
      </w:r>
    </w:p>
    <w:p w14:paraId="7208C933">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2.目录</w:t>
      </w:r>
    </w:p>
    <w:p w14:paraId="020906EC">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3.法定代表人资格证明书及身份证复印件</w:t>
      </w:r>
    </w:p>
    <w:p w14:paraId="1771DEC6">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r>
        <w:rPr>
          <w:rFonts w:hint="eastAsia" w:ascii="仿宋_GB2312" w:hAnsi="仿宋_GB2312" w:eastAsia="仿宋_GB2312" w:cs="仿宋_GB2312"/>
          <w:color w:val="auto"/>
          <w:sz w:val="28"/>
          <w:szCs w:val="28"/>
          <w:highlight w:val="none"/>
          <w:lang w:bidi="ar"/>
        </w:rPr>
        <w:t>法定代表人授权书</w:t>
      </w:r>
      <w:r>
        <w:rPr>
          <w:rFonts w:hint="eastAsia" w:ascii="仿宋_GB2312" w:hAnsi="仿宋_GB2312" w:eastAsia="仿宋_GB2312" w:cs="仿宋_GB2312"/>
          <w:color w:val="auto"/>
          <w:sz w:val="28"/>
          <w:szCs w:val="28"/>
          <w:highlight w:val="none"/>
        </w:rPr>
        <w:t>及授权代表人身份证复印件（如有）</w:t>
      </w:r>
    </w:p>
    <w:p w14:paraId="19F22A13">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default" w:ascii="仿宋_GB2312" w:hAnsi="仿宋_GB2312" w:eastAsia="仿宋_GB2312" w:cs="仿宋_GB2312"/>
          <w:color w:val="auto"/>
          <w:sz w:val="28"/>
          <w:szCs w:val="28"/>
          <w:highlight w:val="none"/>
          <w:lang w:val="en-US" w:eastAsia="zh-CN" w:bidi="ar"/>
        </w:rPr>
      </w:pPr>
      <w:r>
        <w:rPr>
          <w:rFonts w:hint="eastAsia" w:ascii="仿宋_GB2312" w:hAnsi="仿宋_GB2312" w:eastAsia="仿宋_GB2312" w:cs="仿宋_GB2312"/>
          <w:color w:val="auto"/>
          <w:sz w:val="28"/>
          <w:szCs w:val="28"/>
          <w:highlight w:val="none"/>
        </w:rPr>
        <w:t>5.独立承担民事责任能力的法人或其他组织或个体工商户的营业执照或法人证</w:t>
      </w:r>
      <w:r>
        <w:rPr>
          <w:rFonts w:hint="eastAsia" w:ascii="仿宋_GB2312" w:hAnsi="仿宋_GB2312" w:eastAsia="仿宋_GB2312" w:cs="仿宋_GB2312"/>
          <w:color w:val="auto"/>
          <w:sz w:val="28"/>
          <w:szCs w:val="28"/>
          <w:highlight w:val="none"/>
          <w:lang w:bidi="ar"/>
        </w:rPr>
        <w:t>书等证明材料复印件</w:t>
      </w:r>
      <w:r>
        <w:rPr>
          <w:rFonts w:hint="eastAsia" w:ascii="仿宋_GB2312" w:hAnsi="仿宋_GB2312" w:eastAsia="仿宋_GB2312" w:cs="仿宋_GB2312"/>
          <w:color w:val="auto"/>
          <w:sz w:val="28"/>
          <w:szCs w:val="28"/>
          <w:highlight w:val="none"/>
          <w:lang w:val="en-US" w:eastAsia="zh-CN" w:bidi="ar"/>
        </w:rPr>
        <w:t>或扫描件</w:t>
      </w:r>
    </w:p>
    <w:p w14:paraId="3C00F188">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val="en-US" w:eastAsia="zh-CN" w:bidi="ar"/>
        </w:rPr>
      </w:pPr>
      <w:r>
        <w:rPr>
          <w:rFonts w:hint="eastAsia" w:ascii="仿宋_GB2312" w:hAnsi="仿宋_GB2312" w:eastAsia="仿宋_GB2312" w:cs="仿宋_GB2312"/>
          <w:color w:val="auto"/>
          <w:sz w:val="28"/>
          <w:szCs w:val="28"/>
          <w:highlight w:val="none"/>
          <w:lang w:val="en-US" w:eastAsia="zh-CN" w:bidi="ar"/>
        </w:rPr>
        <w:t>6.提供省级及以上建设行政主管部门颁发的《建设工程质量检测机构资质证书》复印件（检测范围须同时包含主体结构工程现场检测和地基基础工程检测）</w:t>
      </w:r>
    </w:p>
    <w:p w14:paraId="72525DF2">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val="en-US" w:eastAsia="zh-CN" w:bidi="ar"/>
        </w:rPr>
      </w:pPr>
      <w:r>
        <w:rPr>
          <w:rFonts w:hint="eastAsia" w:ascii="仿宋_GB2312" w:hAnsi="仿宋_GB2312" w:eastAsia="仿宋_GB2312" w:cs="仿宋_GB2312"/>
          <w:color w:val="auto"/>
          <w:sz w:val="28"/>
          <w:szCs w:val="28"/>
          <w:highlight w:val="none"/>
          <w:lang w:val="en-US" w:eastAsia="zh-CN" w:bidi="ar"/>
        </w:rPr>
        <w:t>7.提供省级及以上质量技术监督部门颁发的《检验检测机构资质认定证书》（CMA认证）复印件</w:t>
      </w:r>
    </w:p>
    <w:p w14:paraId="4260D11F">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val="en-US" w:eastAsia="zh-CN" w:bidi="ar"/>
        </w:rPr>
      </w:pPr>
      <w:r>
        <w:rPr>
          <w:rFonts w:hint="eastAsia" w:ascii="仿宋_GB2312" w:hAnsi="仿宋_GB2312" w:eastAsia="仿宋_GB2312" w:cs="仿宋_GB2312"/>
          <w:color w:val="auto"/>
          <w:sz w:val="28"/>
          <w:szCs w:val="28"/>
          <w:highlight w:val="none"/>
          <w:lang w:val="en-US" w:eastAsia="zh-CN" w:bidi="ar"/>
        </w:rPr>
        <w:t>8.提供投标人位于深圳市住房和建设局发布的《深圳市房屋安全鉴定机构名录》内的截图证明</w:t>
      </w:r>
    </w:p>
    <w:p w14:paraId="04D71438">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bidi="ar"/>
        </w:rPr>
        <w:t>9</w:t>
      </w:r>
      <w:r>
        <w:rPr>
          <w:rFonts w:hint="eastAsia" w:ascii="仿宋_GB2312" w:hAnsi="仿宋_GB2312" w:eastAsia="仿宋_GB2312" w:cs="仿宋_GB2312"/>
          <w:color w:val="auto"/>
          <w:sz w:val="28"/>
          <w:szCs w:val="28"/>
          <w:highlight w:val="none"/>
          <w:lang w:bidi="ar"/>
        </w:rPr>
        <w:t>.投标文件初审表</w:t>
      </w:r>
    </w:p>
    <w:p w14:paraId="026C2E39">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bidi="ar"/>
        </w:rPr>
        <w:t>10</w:t>
      </w:r>
      <w:r>
        <w:rPr>
          <w:rFonts w:hint="eastAsia" w:ascii="仿宋_GB2312" w:hAnsi="仿宋_GB2312" w:eastAsia="仿宋_GB2312" w:cs="仿宋_GB2312"/>
          <w:color w:val="auto"/>
          <w:sz w:val="28"/>
          <w:szCs w:val="28"/>
          <w:highlight w:val="none"/>
          <w:lang w:bidi="ar"/>
        </w:rPr>
        <w:t>.供应商自查表</w:t>
      </w:r>
    </w:p>
    <w:p w14:paraId="18296ACE">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bidi="ar"/>
        </w:rPr>
        <w:t>11</w:t>
      </w:r>
      <w:r>
        <w:rPr>
          <w:rFonts w:hint="eastAsia" w:ascii="仿宋_GB2312" w:hAnsi="仿宋_GB2312" w:eastAsia="仿宋_GB2312" w:cs="仿宋_GB2312"/>
          <w:color w:val="auto"/>
          <w:sz w:val="28"/>
          <w:szCs w:val="28"/>
          <w:highlight w:val="none"/>
          <w:lang w:bidi="ar"/>
        </w:rPr>
        <w:t>.投标函</w:t>
      </w:r>
    </w:p>
    <w:p w14:paraId="782ACCFB">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12</w:t>
      </w:r>
      <w:r>
        <w:rPr>
          <w:rFonts w:hint="eastAsia" w:ascii="仿宋_GB2312" w:hAnsi="仿宋_GB2312" w:eastAsia="仿宋_GB2312" w:cs="仿宋_GB2312"/>
          <w:color w:val="auto"/>
          <w:sz w:val="28"/>
          <w:szCs w:val="28"/>
          <w:highlight w:val="none"/>
        </w:rPr>
        <w:t>.投标及履约承诺函</w:t>
      </w:r>
    </w:p>
    <w:p w14:paraId="53D3F584">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13</w:t>
      </w:r>
      <w:r>
        <w:rPr>
          <w:rFonts w:hint="eastAsia" w:ascii="仿宋_GB2312" w:hAnsi="仿宋_GB2312" w:eastAsia="仿宋_GB2312" w:cs="仿宋_GB2312"/>
          <w:color w:val="auto"/>
          <w:sz w:val="28"/>
          <w:szCs w:val="28"/>
          <w:highlight w:val="none"/>
          <w:lang w:val="zh-CN"/>
        </w:rPr>
        <w:t>.供应商基本情况表</w:t>
      </w:r>
    </w:p>
    <w:p w14:paraId="6D3908FB">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val="zh-CN"/>
        </w:rPr>
        <w:t>.社会保险证明</w:t>
      </w:r>
    </w:p>
    <w:p w14:paraId="24CBB1F8">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val="zh-CN"/>
        </w:rPr>
        <w:t>.开标一览表</w:t>
      </w:r>
    </w:p>
    <w:p w14:paraId="3A9412F2">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16.</w:t>
      </w:r>
      <w:r>
        <w:rPr>
          <w:rFonts w:hint="eastAsia" w:ascii="仿宋_GB2312" w:hAnsi="仿宋_GB2312" w:eastAsia="仿宋_GB2312" w:cs="仿宋_GB2312"/>
          <w:color w:val="auto"/>
          <w:sz w:val="28"/>
          <w:szCs w:val="28"/>
          <w:highlight w:val="none"/>
          <w:lang w:val="zh-CN"/>
        </w:rPr>
        <w:t>分</w:t>
      </w:r>
      <w:r>
        <w:rPr>
          <w:rFonts w:hint="eastAsia" w:ascii="仿宋_GB2312" w:hAnsi="仿宋_GB2312" w:eastAsia="仿宋_GB2312" w:cs="仿宋_GB2312"/>
          <w:color w:val="auto"/>
          <w:sz w:val="28"/>
          <w:szCs w:val="28"/>
          <w:highlight w:val="none"/>
          <w:lang w:val="en-US" w:eastAsia="zh-CN"/>
        </w:rPr>
        <w:t>项</w:t>
      </w:r>
      <w:r>
        <w:rPr>
          <w:rFonts w:hint="eastAsia" w:ascii="仿宋_GB2312" w:hAnsi="仿宋_GB2312" w:eastAsia="仿宋_GB2312" w:cs="仿宋_GB2312"/>
          <w:color w:val="auto"/>
          <w:sz w:val="28"/>
          <w:szCs w:val="28"/>
          <w:highlight w:val="none"/>
          <w:lang w:val="zh-CN"/>
        </w:rPr>
        <w:t>报价表</w:t>
      </w:r>
    </w:p>
    <w:p w14:paraId="07815E99">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17.</w:t>
      </w:r>
      <w:r>
        <w:rPr>
          <w:rFonts w:hint="eastAsia" w:ascii="仿宋_GB2312" w:hAnsi="仿宋_GB2312" w:eastAsia="仿宋_GB2312" w:cs="仿宋_GB2312"/>
          <w:color w:val="auto"/>
          <w:sz w:val="28"/>
          <w:szCs w:val="28"/>
          <w:highlight w:val="none"/>
          <w:lang w:val="zh-CN"/>
        </w:rPr>
        <w:t>实质性条款响应情况表</w:t>
      </w:r>
    </w:p>
    <w:p w14:paraId="54EAB715">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val="zh-CN"/>
        </w:rPr>
        <w:t>.商务条款偏离表</w:t>
      </w:r>
    </w:p>
    <w:p w14:paraId="4774DA5C">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eastAsia="zh-CN"/>
        </w:rPr>
      </w:pPr>
      <w:r>
        <w:rPr>
          <w:rFonts w:hint="eastAsia" w:ascii="仿宋_GB2312" w:hAnsi="仿宋_GB2312" w:eastAsia="仿宋_GB2312" w:cs="仿宋_GB2312"/>
          <w:color w:val="auto"/>
          <w:sz w:val="28"/>
          <w:szCs w:val="28"/>
          <w:highlight w:val="none"/>
          <w:lang w:val="zh-CN"/>
        </w:rPr>
        <w:t>1</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lang w:val="en-US" w:eastAsia="zh-CN"/>
        </w:rPr>
        <w:t>服务</w:t>
      </w:r>
      <w:r>
        <w:rPr>
          <w:rFonts w:hint="eastAsia" w:ascii="仿宋_GB2312" w:hAnsi="仿宋_GB2312" w:eastAsia="仿宋_GB2312" w:cs="仿宋_GB2312"/>
          <w:color w:val="auto"/>
          <w:sz w:val="28"/>
          <w:szCs w:val="28"/>
          <w:highlight w:val="none"/>
          <w:lang w:val="zh-CN"/>
        </w:rPr>
        <w:t>条款偏离</w:t>
      </w:r>
      <w:r>
        <w:rPr>
          <w:rFonts w:hint="eastAsia" w:ascii="仿宋_GB2312" w:hAnsi="仿宋_GB2312" w:eastAsia="仿宋_GB2312" w:cs="仿宋_GB2312"/>
          <w:color w:val="auto"/>
          <w:sz w:val="28"/>
          <w:szCs w:val="28"/>
          <w:highlight w:val="none"/>
          <w:lang w:val="en-US" w:eastAsia="zh-CN"/>
        </w:rPr>
        <w:t>表</w:t>
      </w:r>
    </w:p>
    <w:p w14:paraId="0D3642AB">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19.</w:t>
      </w:r>
      <w:r>
        <w:rPr>
          <w:rFonts w:hint="eastAsia" w:ascii="仿宋_GB2312" w:hAnsi="仿宋_GB2312" w:eastAsia="仿宋_GB2312" w:cs="仿宋_GB2312"/>
          <w:color w:val="auto"/>
          <w:sz w:val="28"/>
          <w:szCs w:val="28"/>
          <w:highlight w:val="none"/>
        </w:rPr>
        <w:t>项目团队配置及专业能力</w:t>
      </w:r>
    </w:p>
    <w:p w14:paraId="339E005B">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20</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lang w:val="en-US" w:eastAsia="zh-CN"/>
        </w:rPr>
        <w:t>整体服务实施方案</w:t>
      </w:r>
    </w:p>
    <w:p w14:paraId="4540C82F">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21</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rPr>
        <w:t>项目重难点分析</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应对措施及合理化建议</w:t>
      </w:r>
    </w:p>
    <w:p w14:paraId="16675249">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22</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rPr>
        <w:t>成果质量及售后保障方案</w:t>
      </w:r>
    </w:p>
    <w:p w14:paraId="2EC924D7">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23.同类项目业绩</w:t>
      </w:r>
    </w:p>
    <w:p w14:paraId="5AF07481">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24.履约评价</w:t>
      </w:r>
    </w:p>
    <w:p w14:paraId="00D1DC5E">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25.</w:t>
      </w:r>
      <w:r>
        <w:rPr>
          <w:rFonts w:hint="eastAsia" w:ascii="仿宋_GB2312" w:hAnsi="仿宋_GB2312" w:eastAsia="仿宋_GB2312" w:cs="仿宋_GB2312"/>
          <w:color w:val="auto"/>
          <w:sz w:val="28"/>
          <w:szCs w:val="28"/>
          <w:highlight w:val="none"/>
        </w:rPr>
        <w:t>体系认证证书情况</w:t>
      </w:r>
    </w:p>
    <w:p w14:paraId="29C60CAE">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2</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val="zh-CN"/>
        </w:rPr>
        <w:t>.企业诚信</w:t>
      </w:r>
    </w:p>
    <w:p w14:paraId="6D9E1485">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27.</w:t>
      </w:r>
      <w:r>
        <w:rPr>
          <w:rFonts w:hint="eastAsia" w:ascii="仿宋_GB2312" w:hAnsi="仿宋_GB2312" w:eastAsia="仿宋_GB2312" w:cs="仿宋_GB2312"/>
          <w:color w:val="auto"/>
          <w:sz w:val="28"/>
          <w:szCs w:val="28"/>
          <w:highlight w:val="none"/>
          <w:lang w:val="zh-CN"/>
        </w:rPr>
        <w:t>中小企业声明函</w:t>
      </w:r>
    </w:p>
    <w:p w14:paraId="03D30677">
      <w:pPr>
        <w:keepNext w:val="0"/>
        <w:keepLines w:val="0"/>
        <w:pageBreakBefore w:val="0"/>
        <w:tabs>
          <w:tab w:val="left" w:pos="630"/>
          <w:tab w:val="left" w:pos="840"/>
        </w:tabs>
        <w:kinsoku/>
        <w:wordWrap/>
        <w:overflowPunct/>
        <w:topLinePunct w:val="0"/>
        <w:autoSpaceDE/>
        <w:autoSpaceDN/>
        <w:bidi w:val="0"/>
        <w:adjustRightInd/>
        <w:snapToGrid/>
        <w:spacing w:line="500" w:lineRule="exact"/>
        <w:ind w:left="42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2</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lang w:val="zh-CN"/>
        </w:rPr>
        <w:t>.其他证明材料</w:t>
      </w:r>
    </w:p>
    <w:p w14:paraId="0F1E402D">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112E5552">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532F2BFC">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462398D0">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4FECD21A">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1284BF25">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73520116">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7DDDE122">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65463EA0">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5397AA57">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6E2D1EC8">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1D0E3BA4">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3FB4897E">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45DA90B5">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6F4980F3">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1414CBB1">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ind w:left="420"/>
        <w:jc w:val="left"/>
        <w:textAlignment w:val="auto"/>
        <w:rPr>
          <w:rFonts w:hint="eastAsia" w:ascii="仿宋_GB2312" w:hAnsi="仿宋_GB2312" w:eastAsia="仿宋_GB2312" w:cs="仿宋_GB2312"/>
          <w:color w:val="auto"/>
          <w:sz w:val="28"/>
          <w:szCs w:val="28"/>
          <w:highlight w:val="none"/>
          <w:lang w:bidi="ar"/>
        </w:rPr>
      </w:pPr>
    </w:p>
    <w:p w14:paraId="26C6062B">
      <w:pPr>
        <w:keepNext w:val="0"/>
        <w:keepLines w:val="0"/>
        <w:pageBreakBefore w:val="0"/>
        <w:widowControl/>
        <w:tabs>
          <w:tab w:val="left" w:pos="630"/>
          <w:tab w:val="left" w:pos="840"/>
        </w:tabs>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8"/>
          <w:szCs w:val="28"/>
          <w:highlight w:val="none"/>
          <w:lang w:bidi="ar"/>
        </w:rPr>
      </w:pPr>
    </w:p>
    <w:p w14:paraId="69646A18">
      <w:pPr>
        <w:keepLines w:val="0"/>
        <w:pageBreakBefore w:val="0"/>
        <w:kinsoku/>
        <w:wordWrap/>
        <w:overflowPunct/>
        <w:topLinePunct w:val="0"/>
        <w:bidi w:val="0"/>
        <w:spacing w:line="500" w:lineRule="exact"/>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投标函</w:t>
      </w:r>
    </w:p>
    <w:p w14:paraId="6870D892">
      <w:pPr>
        <w:keepLines w:val="0"/>
        <w:pageBreakBefore w:val="0"/>
        <w:kinsoku/>
        <w:wordWrap/>
        <w:overflowPunct/>
        <w:topLinePunct w:val="0"/>
        <w:bidi w:val="0"/>
        <w:spacing w:line="500" w:lineRule="exact"/>
        <w:jc w:val="center"/>
        <w:rPr>
          <w:rFonts w:hint="eastAsia" w:ascii="仿宋" w:hAnsi="仿宋" w:eastAsia="仿宋" w:cs="仿宋"/>
          <w:b/>
          <w:bCs/>
          <w:color w:val="auto"/>
          <w:sz w:val="36"/>
          <w:szCs w:val="44"/>
          <w:highlight w:val="none"/>
        </w:rPr>
      </w:pPr>
    </w:p>
    <w:p w14:paraId="57A16584">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深圳市龙岗区第七人民医院：</w:t>
      </w:r>
    </w:p>
    <w:p w14:paraId="61BE6001">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我司已经认真仔细阅读了贵单位关于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
    <w:p w14:paraId="31E1F078">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项目的招标文件，完全同意招标文件中的所有条款，愿意按招标文件要求，决定以投标报价：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元参与投标并按招标文件要求承包上述项目，并许以如下承诺：</w:t>
      </w:r>
    </w:p>
    <w:p w14:paraId="4DCFA4B8">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1.我方愿意向招标人提供与本次招标的相关资料，并对其真实性、合法性、有效性负责。</w:t>
      </w:r>
    </w:p>
    <w:p w14:paraId="3D62C306">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2.我方将严格履行本投标文件中的全部承诺和责任，并遵守招标文件中对投标人的所有规定。</w:t>
      </w:r>
    </w:p>
    <w:p w14:paraId="170AC9D7">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3.我方完全理解招标人有保留在授标之前，任何时候根据评标委员会的意见接受或拒绝任何投标的权利，并完全理解招标人对此无解释的义务。</w:t>
      </w:r>
    </w:p>
    <w:p w14:paraId="00891479">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4.我方完全理解招标人不保证投标价最低的投标人中标。</w:t>
      </w:r>
    </w:p>
    <w:p w14:paraId="1C86B71C">
      <w:pPr>
        <w:keepLines w:val="0"/>
        <w:pageBreakBefore w:val="0"/>
        <w:kinsoku/>
        <w:wordWrap/>
        <w:overflowPunct/>
        <w:topLinePunct w:val="0"/>
        <w:bidi w:val="0"/>
        <w:spacing w:line="5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5.我方承诺在此次招标过程中涉及的一切应当保密的事项，不向任何第三方泄露，否则承担一切法律责任。</w:t>
      </w:r>
    </w:p>
    <w:p w14:paraId="77DE35D0">
      <w:pPr>
        <w:keepLines w:val="0"/>
        <w:pageBreakBefore w:val="0"/>
        <w:kinsoku/>
        <w:wordWrap/>
        <w:overflowPunct/>
        <w:topLinePunct w:val="0"/>
        <w:bidi w:val="0"/>
        <w:spacing w:line="500" w:lineRule="exact"/>
        <w:ind w:firstLine="560" w:firstLineChars="200"/>
        <w:rPr>
          <w:color w:val="auto"/>
          <w:sz w:val="28"/>
          <w:szCs w:val="28"/>
          <w:highlight w:val="none"/>
        </w:rPr>
      </w:pPr>
      <w:r>
        <w:rPr>
          <w:rFonts w:hint="eastAsia" w:ascii="仿宋_GB2312" w:hAnsi="仿宋_GB2312" w:eastAsia="仿宋_GB2312" w:cs="仿宋_GB2312"/>
          <w:color w:val="auto"/>
          <w:sz w:val="28"/>
          <w:szCs w:val="28"/>
          <w:highlight w:val="none"/>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14:paraId="48F465F3">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14:paraId="0D369D2A">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p>
    <w:p w14:paraId="6A06DCF9">
      <w:pPr>
        <w:keepLines w:val="0"/>
        <w:pageBreakBefore w:val="0"/>
        <w:kinsoku/>
        <w:wordWrap/>
        <w:overflowPunct/>
        <w:topLinePunct w:val="0"/>
        <w:bidi w:val="0"/>
        <w:spacing w:line="500" w:lineRule="exact"/>
        <w:ind w:firstLine="3360" w:firstLineChars="1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法定代表人或其授权代表人（签字）：</w:t>
      </w:r>
    </w:p>
    <w:p w14:paraId="51BD705F">
      <w:pPr>
        <w:keepLines w:val="0"/>
        <w:pageBreakBefore w:val="0"/>
        <w:kinsoku/>
        <w:wordWrap/>
        <w:overflowPunct/>
        <w:topLinePunct w:val="0"/>
        <w:bidi w:val="0"/>
        <w:spacing w:line="5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投标单位全称（加盖公章）：</w:t>
      </w:r>
    </w:p>
    <w:p w14:paraId="22B3A8EA">
      <w:pPr>
        <w:keepLines w:val="0"/>
        <w:pageBreakBefore w:val="0"/>
        <w:kinsoku/>
        <w:wordWrap/>
        <w:overflowPunct/>
        <w:topLinePunct w:val="0"/>
        <w:bidi w:val="0"/>
        <w:spacing w:line="500" w:lineRule="exact"/>
        <w:ind w:firstLine="3640" w:firstLineChars="13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日期：</w:t>
      </w:r>
      <w:r>
        <w:rPr>
          <w:rFonts w:hint="eastAsia" w:ascii="仿宋_GB2312" w:hAnsi="仿宋_GB2312" w:eastAsia="仿宋_GB2312" w:cs="仿宋_GB2312"/>
          <w:color w:val="auto"/>
          <w:sz w:val="28"/>
          <w:szCs w:val="28"/>
          <w:highlight w:val="none"/>
        </w:rPr>
        <w:t xml:space="preserve">      年    月    日</w:t>
      </w:r>
    </w:p>
    <w:p w14:paraId="69DFAFE8">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br w:type="page"/>
      </w:r>
    </w:p>
    <w:p w14:paraId="190D8813">
      <w:pPr>
        <w:keepLines w:val="0"/>
        <w:pageBreakBefore w:val="0"/>
        <w:kinsoku/>
        <w:wordWrap/>
        <w:overflowPunct/>
        <w:topLinePunct w:val="0"/>
        <w:bidi w:val="0"/>
        <w:spacing w:line="560" w:lineRule="exact"/>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投标及履约承诺函</w:t>
      </w:r>
    </w:p>
    <w:p w14:paraId="27E88CA3">
      <w:pPr>
        <w:keepLines w:val="0"/>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p>
    <w:p w14:paraId="3356D2AB">
      <w:pPr>
        <w:keepLines w:val="0"/>
        <w:pageBreakBefore w:val="0"/>
        <w:kinsoku/>
        <w:wordWrap/>
        <w:overflowPunct/>
        <w:topLinePunct w:val="0"/>
        <w:bidi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深圳市龙岗区第七人民医院：</w:t>
      </w:r>
    </w:p>
    <w:p w14:paraId="4F30D853">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我公司参与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项目，编号：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（以下简称“本项目”）院内采购活动，承诺：</w:t>
      </w:r>
    </w:p>
    <w:p w14:paraId="30AAD2EC">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1.我单位参与本项目所投标（响应）的货物、工程或服务，不存在侵犯知识产权的情况；已知悉并同意中标（成交）结果信息公示（公开）的内容。</w:t>
      </w:r>
    </w:p>
    <w:p w14:paraId="5F180A2F">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2.我单位参与该项目投标，符合采购文件关于联合体及进口产品的相关资格要求。</w:t>
      </w:r>
    </w:p>
    <w:p w14:paraId="089E0273">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3.我单位参与本项目投标前三年内，在经营活动中没有重大违法记录。</w:t>
      </w:r>
    </w:p>
    <w:p w14:paraId="6E6A0ED2">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4.我单位参与本项目政府采购活动时不存在被有关部门禁止参与政府采购活动且在有效期内的情况。</w:t>
      </w:r>
    </w:p>
    <w:p w14:paraId="1F5D58EE">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5.我单位具备《中华人民共和国政府采购法》第二十二条的条件。</w:t>
      </w:r>
    </w:p>
    <w:p w14:paraId="517BEB2E">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6.我单位未被列入失信被执行人、重大税收违法案件当事人名单（重大税收违法失信主体）、政府采购严重违法失信行为记录名单。</w:t>
      </w:r>
    </w:p>
    <w:p w14:paraId="69D35702">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539F1AFE">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我单位如果中标，做到守信，不偷工减料，依照本项目采购文件需求内容、签署的采购合同及本单位在投标中所作的一切承诺履约。我单位对本项目的报价负责，中标后将严格按照本项目采购文件需求、签署的采购合同及我单位在投标中所作的全部承诺履行。</w:t>
      </w:r>
    </w:p>
    <w:p w14:paraId="779EE3F1">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9F3616E">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3A8CDC61">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10.我单位承诺中标后项目不转包，未经采购人同意不进行分包。</w:t>
      </w:r>
    </w:p>
    <w:p w14:paraId="0EA50407">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9093935">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12.我单位保证，若所投货物涉及《财政部生态环境部关于印发节能产品政府采购品目清单的通知》（财库〔2019〕19号）列明的政府采购强制产品，则所投该产品符合节能产品的认证要求。</w:t>
      </w:r>
    </w:p>
    <w:p w14:paraId="69E779CE">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13.我单位保证，不存在“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的情形。</w:t>
      </w:r>
    </w:p>
    <w:p w14:paraId="2906BC39">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14.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75AE460">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15.我单位清楚，如存在违反投标承诺行为情节严重的，将根据《深圳市财政局关于印发&lt;深圳市财政局政府采购供应商信用信息管理办法&gt;的通知》，依法被列入失信信息。</w:t>
      </w:r>
    </w:p>
    <w:p w14:paraId="319067D6">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16.我单位保证，参与本项目不存在《深圳市财政局政府采购供应商信用信息管理办法》列明的严重违法失信行为。</w:t>
      </w:r>
    </w:p>
    <w:p w14:paraId="3CBCD0EA">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p>
    <w:p w14:paraId="19F69084">
      <w:pPr>
        <w:keepLines w:val="0"/>
        <w:pageBreakBefore w:val="0"/>
        <w:widowControl/>
        <w:kinsoku/>
        <w:wordWrap/>
        <w:overflowPunct/>
        <w:topLinePunct w:val="0"/>
        <w:bidi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以上承诺，如有违反，愿依照国家相关法律法规处理，并承担由此给采购人带来的损失。</w:t>
      </w:r>
    </w:p>
    <w:p w14:paraId="524364C2">
      <w:pPr>
        <w:keepLines w:val="0"/>
        <w:pageBreakBefore w:val="0"/>
        <w:widowControl/>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p>
    <w:p w14:paraId="4D93CC51">
      <w:pPr>
        <w:keepLines w:val="0"/>
        <w:pageBreakBefore w:val="0"/>
        <w:widowControl/>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p>
    <w:p w14:paraId="4D4852DA">
      <w:pPr>
        <w:keepLines w:val="0"/>
        <w:pageBreakBefore w:val="0"/>
        <w:widowControl/>
        <w:kinsoku/>
        <w:wordWrap/>
        <w:overflowPunct/>
        <w:topLinePunct w:val="0"/>
        <w:bidi w:val="0"/>
        <w:spacing w:line="560" w:lineRule="exact"/>
        <w:ind w:firstLine="3080" w:firstLineChars="11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投标人（公章）：</w:t>
      </w:r>
    </w:p>
    <w:p w14:paraId="4006A35E">
      <w:pPr>
        <w:keepLines w:val="0"/>
        <w:pageBreakBefore w:val="0"/>
        <w:widowControl/>
        <w:kinsoku/>
        <w:wordWrap/>
        <w:overflowPunct/>
        <w:topLinePunct w:val="0"/>
        <w:bidi w:val="0"/>
        <w:spacing w:line="560" w:lineRule="exact"/>
        <w:ind w:firstLine="3080" w:firstLineChars="11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法定代表人或其授权代表签名：</w:t>
      </w:r>
    </w:p>
    <w:p w14:paraId="36937CA2">
      <w:pPr>
        <w:keepLines w:val="0"/>
        <w:pageBreakBefore w:val="0"/>
        <w:widowControl/>
        <w:kinsoku/>
        <w:wordWrap/>
        <w:overflowPunct/>
        <w:topLinePunct w:val="0"/>
        <w:bidi w:val="0"/>
        <w:spacing w:line="560" w:lineRule="exact"/>
        <w:ind w:firstLine="3080" w:firstLineChars="1100"/>
        <w:jc w:val="left"/>
        <w:rPr>
          <w:rFonts w:hint="eastAsia" w:ascii="宋体" w:hAnsi="宋体" w:cs="宋体"/>
          <w:color w:val="auto"/>
          <w:kern w:val="0"/>
          <w:sz w:val="44"/>
          <w:szCs w:val="44"/>
          <w:highlight w:val="none"/>
          <w:lang w:bidi="ar"/>
        </w:rPr>
      </w:pPr>
      <w:r>
        <w:rPr>
          <w:rFonts w:hint="eastAsia" w:ascii="仿宋_GB2312" w:hAnsi="仿宋_GB2312" w:eastAsia="仿宋_GB2312" w:cs="仿宋_GB2312"/>
          <w:color w:val="auto"/>
          <w:sz w:val="28"/>
          <w:szCs w:val="28"/>
          <w:highlight w:val="none"/>
        </w:rPr>
        <w:t>日期：      年    月    日</w:t>
      </w:r>
      <w:bookmarkStart w:id="15" w:name="_Toc24111"/>
    </w:p>
    <w:p w14:paraId="57671D9E">
      <w:pPr>
        <w:keepLines w:val="0"/>
        <w:pageBreakBefore w:val="0"/>
        <w:widowControl/>
        <w:kinsoku/>
        <w:wordWrap/>
        <w:overflowPunct/>
        <w:topLinePunct w:val="0"/>
        <w:bidi w:val="0"/>
        <w:spacing w:line="560" w:lineRule="exact"/>
        <w:jc w:val="center"/>
        <w:textAlignment w:val="center"/>
        <w:rPr>
          <w:rFonts w:hint="eastAsia" w:ascii="宋体" w:hAnsi="宋体" w:cs="宋体"/>
          <w:color w:val="auto"/>
          <w:kern w:val="0"/>
          <w:sz w:val="44"/>
          <w:szCs w:val="44"/>
          <w:highlight w:val="none"/>
          <w:lang w:bidi="ar"/>
        </w:rPr>
      </w:pPr>
    </w:p>
    <w:p w14:paraId="607D7C78">
      <w:pP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br w:type="page"/>
      </w:r>
    </w:p>
    <w:p w14:paraId="40A4258F">
      <w:pPr>
        <w:keepLines w:val="0"/>
        <w:pageBreakBefore w:val="0"/>
        <w:widowControl/>
        <w:kinsoku/>
        <w:wordWrap/>
        <w:overflowPunct/>
        <w:topLinePunct w:val="0"/>
        <w:bidi w:val="0"/>
        <w:spacing w:line="560" w:lineRule="exact"/>
        <w:jc w:val="both"/>
        <w:textAlignment w:val="center"/>
        <w:rPr>
          <w:rFonts w:hint="eastAsia" w:ascii="宋体" w:hAnsi="宋体" w:cs="宋体"/>
          <w:color w:val="auto"/>
          <w:kern w:val="0"/>
          <w:sz w:val="44"/>
          <w:szCs w:val="44"/>
          <w:highlight w:val="none"/>
          <w:lang w:bidi="ar"/>
        </w:rPr>
      </w:pPr>
    </w:p>
    <w:p w14:paraId="51425379">
      <w:pPr>
        <w:keepLines w:val="0"/>
        <w:pageBreakBefore w:val="0"/>
        <w:widowControl/>
        <w:kinsoku/>
        <w:wordWrap/>
        <w:overflowPunct/>
        <w:topLinePunct w:val="0"/>
        <w:bidi w:val="0"/>
        <w:spacing w:line="560" w:lineRule="exact"/>
        <w:jc w:val="center"/>
        <w:textAlignment w:val="cente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法定代表人证明书</w:t>
      </w:r>
    </w:p>
    <w:p w14:paraId="3927501F">
      <w:pPr>
        <w:keepLines w:val="0"/>
        <w:pageBreakBefore w:val="0"/>
        <w:kinsoku/>
        <w:wordWrap/>
        <w:overflowPunct/>
        <w:topLinePunct w:val="0"/>
        <w:bidi w:val="0"/>
        <w:spacing w:line="560" w:lineRule="exact"/>
        <w:rPr>
          <w:rFonts w:hint="eastAsia" w:ascii="仿宋" w:hAnsi="仿宋" w:eastAsia="仿宋" w:cs="仿宋"/>
          <w:color w:val="auto"/>
          <w:sz w:val="28"/>
          <w:szCs w:val="28"/>
          <w:highlight w:val="none"/>
        </w:rPr>
      </w:pPr>
    </w:p>
    <w:p w14:paraId="6BAEC92F">
      <w:pPr>
        <w:keepLines w:val="0"/>
        <w:pageBreakBefore w:val="0"/>
        <w:kinsoku/>
        <w:wordWrap/>
        <w:overflowPunct/>
        <w:topLinePunct w:val="0"/>
        <w:bidi w:val="0"/>
        <w:spacing w:line="5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先生/小姐，现任我单位</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职务，为法定代表人，特此证明。</w:t>
      </w:r>
    </w:p>
    <w:p w14:paraId="7B6BDCC7">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p>
    <w:p w14:paraId="7E882241">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有效日期：               签发日期：  </w:t>
      </w:r>
    </w:p>
    <w:p w14:paraId="5979BA03">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                   （盖章）</w:t>
      </w:r>
    </w:p>
    <w:p w14:paraId="21619EC8">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w:t>
      </w:r>
    </w:p>
    <w:p w14:paraId="775CEE09">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代表人性别：        年龄：       身份证号码：</w:t>
      </w:r>
    </w:p>
    <w:p w14:paraId="4828C9F3">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营业执照号码：                   经济性质：</w:t>
      </w:r>
    </w:p>
    <w:p w14:paraId="2F916D6E">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主营（产）：</w:t>
      </w:r>
    </w:p>
    <w:p w14:paraId="3EA211DC">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兼营（产）：</w:t>
      </w:r>
    </w:p>
    <w:p w14:paraId="16C26F44">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进口物品经营许可证号码：</w:t>
      </w:r>
    </w:p>
    <w:p w14:paraId="7A525B48">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主营（产）：</w:t>
      </w:r>
    </w:p>
    <w:p w14:paraId="11C55E0A">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兼营（产）：</w:t>
      </w:r>
    </w:p>
    <w:p w14:paraId="3843C12F">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p>
    <w:p w14:paraId="2F3FBFC4">
      <w:pPr>
        <w:keepLines w:val="0"/>
        <w:pageBreakBefore w:val="0"/>
        <w:kinsoku/>
        <w:wordWrap/>
        <w:overflowPunct/>
        <w:topLinePunct w:val="0"/>
        <w:bidi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身份证复印件：</w:t>
      </w:r>
    </w:p>
    <w:tbl>
      <w:tblPr>
        <w:tblStyle w:val="19"/>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14:paraId="7CDD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14:paraId="24F394CA">
            <w:pPr>
              <w:keepLines w:val="0"/>
              <w:pageBreakBefore w:val="0"/>
              <w:kinsoku/>
              <w:wordWrap/>
              <w:overflowPunct/>
              <w:topLinePunct w:val="0"/>
              <w:bidi w:val="0"/>
              <w:spacing w:line="560" w:lineRule="exact"/>
              <w:rPr>
                <w:color w:val="auto"/>
                <w:highlight w:val="none"/>
              </w:rPr>
            </w:pPr>
          </w:p>
          <w:p w14:paraId="48D84C8E">
            <w:pPr>
              <w:keepLines w:val="0"/>
              <w:pageBreakBefore w:val="0"/>
              <w:kinsoku/>
              <w:wordWrap/>
              <w:overflowPunct/>
              <w:topLinePunct w:val="0"/>
              <w:bidi w:val="0"/>
              <w:spacing w:line="560" w:lineRule="exact"/>
              <w:rPr>
                <w:color w:val="auto"/>
                <w:highlight w:val="none"/>
              </w:rPr>
            </w:pPr>
          </w:p>
          <w:p w14:paraId="0069741B">
            <w:pPr>
              <w:pStyle w:val="8"/>
              <w:keepLines w:val="0"/>
              <w:pageBreakBefore w:val="0"/>
              <w:kinsoku/>
              <w:wordWrap/>
              <w:overflowPunct/>
              <w:topLinePunct w:val="0"/>
              <w:bidi w:val="0"/>
              <w:spacing w:line="560" w:lineRule="exact"/>
              <w:rPr>
                <w:rFonts w:hint="eastAsia"/>
                <w:color w:val="auto"/>
                <w:highlight w:val="none"/>
              </w:rPr>
            </w:pPr>
          </w:p>
          <w:p w14:paraId="28D7F0B9">
            <w:pPr>
              <w:keepLines w:val="0"/>
              <w:pageBreakBefore w:val="0"/>
              <w:kinsoku/>
              <w:wordWrap/>
              <w:overflowPunct/>
              <w:topLinePunct w:val="0"/>
              <w:bidi w:val="0"/>
              <w:spacing w:line="560" w:lineRule="exact"/>
              <w:ind w:firstLine="2100" w:firstLineChars="1000"/>
              <w:rPr>
                <w:color w:val="auto"/>
                <w:highlight w:val="none"/>
              </w:rPr>
            </w:pPr>
            <w:r>
              <w:rPr>
                <w:rFonts w:hint="eastAsia"/>
                <w:color w:val="auto"/>
                <w:highlight w:val="none"/>
              </w:rPr>
              <w:t>正反面</w:t>
            </w:r>
          </w:p>
        </w:tc>
      </w:tr>
    </w:tbl>
    <w:p w14:paraId="6AE9EA57">
      <w:pP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br w:type="page"/>
      </w:r>
    </w:p>
    <w:p w14:paraId="1BB0CC19">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法定代表人授权书</w:t>
      </w:r>
    </w:p>
    <w:p w14:paraId="3D6ADAF1">
      <w:pPr>
        <w:keepNext w:val="0"/>
        <w:keepLines w:val="0"/>
        <w:pageBreakBefore w:val="0"/>
        <w:kinsoku/>
        <w:wordWrap/>
        <w:overflowPunct/>
        <w:topLinePunct w:val="0"/>
        <w:autoSpaceDE/>
        <w:autoSpaceDN/>
        <w:bidi w:val="0"/>
        <w:adjustRightInd/>
        <w:snapToGrid/>
        <w:spacing w:line="500" w:lineRule="exact"/>
        <w:rPr>
          <w:color w:val="auto"/>
          <w:highlight w:val="none"/>
        </w:rPr>
      </w:pPr>
    </w:p>
    <w:p w14:paraId="38E155CE">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14:paraId="113A8E7D">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本授权书于</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日签字生效，有效期至</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14:paraId="432F3C09">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特此声明。</w:t>
      </w:r>
    </w:p>
    <w:p w14:paraId="0AD1A27F">
      <w:pPr>
        <w:keepNext w:val="0"/>
        <w:keepLines w:val="0"/>
        <w:pageBreakBefore w:val="0"/>
        <w:kinsoku/>
        <w:wordWrap/>
        <w:overflowPunct/>
        <w:topLinePunct w:val="0"/>
        <w:autoSpaceDE/>
        <w:autoSpaceDN/>
        <w:bidi w:val="0"/>
        <w:adjustRightInd/>
        <w:snapToGrid/>
        <w:spacing w:line="500" w:lineRule="exact"/>
        <w:ind w:firstLine="560" w:firstLineChars="200"/>
        <w:rPr>
          <w:rFonts w:hint="eastAsia" w:ascii="仿宋" w:hAnsi="仿宋" w:eastAsia="仿宋" w:cs="仿宋"/>
          <w:color w:val="auto"/>
          <w:sz w:val="28"/>
          <w:szCs w:val="28"/>
          <w:highlight w:val="none"/>
        </w:rPr>
      </w:pPr>
    </w:p>
    <w:p w14:paraId="4E8351F0">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法定代表人签字： </w:t>
      </w:r>
    </w:p>
    <w:p w14:paraId="390AE5EB">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被授权人签字：　</w:t>
      </w:r>
    </w:p>
    <w:p w14:paraId="26C2E6BF">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单位盖章：　</w:t>
      </w:r>
    </w:p>
    <w:p w14:paraId="6AEED0F9">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w:t>
      </w:r>
    </w:p>
    <w:p w14:paraId="3E6F8675">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被授权人姓名：                       身份证号：</w:t>
      </w:r>
    </w:p>
    <w:p w14:paraId="5B35DCFE">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p w14:paraId="08DFFE59">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详细通信地址：</w:t>
      </w:r>
    </w:p>
    <w:p w14:paraId="6A2AB7FF">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邮政编码：</w:t>
      </w:r>
    </w:p>
    <w:p w14:paraId="7D14820C">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p>
    <w:p w14:paraId="6DFEAA34">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移动电话：</w:t>
      </w:r>
    </w:p>
    <w:p w14:paraId="325C566A">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传真：</w:t>
      </w:r>
    </w:p>
    <w:p w14:paraId="76D65FA4">
      <w:pPr>
        <w:keepNext w:val="0"/>
        <w:keepLines w:val="0"/>
        <w:pageBreakBefore w:val="0"/>
        <w:kinsoku/>
        <w:wordWrap/>
        <w:overflowPunct/>
        <w:topLinePunct w:val="0"/>
        <w:autoSpaceDE/>
        <w:autoSpaceDN/>
        <w:bidi w:val="0"/>
        <w:adjustRightInd/>
        <w:snapToGrid/>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身份证复印件：</w:t>
      </w:r>
    </w:p>
    <w:tbl>
      <w:tblPr>
        <w:tblStyle w:val="19"/>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14:paraId="73D9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1" w:hRule="atLeast"/>
        </w:trPr>
        <w:tc>
          <w:tcPr>
            <w:tcW w:w="5580" w:type="dxa"/>
            <w:noWrap/>
          </w:tcPr>
          <w:p w14:paraId="716863F8">
            <w:pPr>
              <w:keepNext w:val="0"/>
              <w:keepLines w:val="0"/>
              <w:pageBreakBefore w:val="0"/>
              <w:kinsoku/>
              <w:wordWrap/>
              <w:overflowPunct/>
              <w:topLinePunct w:val="0"/>
              <w:autoSpaceDE/>
              <w:autoSpaceDN/>
              <w:bidi w:val="0"/>
              <w:adjustRightInd/>
              <w:snapToGrid/>
              <w:spacing w:line="500" w:lineRule="exact"/>
              <w:rPr>
                <w:color w:val="auto"/>
                <w:highlight w:val="none"/>
              </w:rPr>
            </w:pPr>
          </w:p>
          <w:p w14:paraId="14EA3CE9">
            <w:pPr>
              <w:keepNext w:val="0"/>
              <w:keepLines w:val="0"/>
              <w:pageBreakBefore w:val="0"/>
              <w:kinsoku/>
              <w:wordWrap/>
              <w:overflowPunct/>
              <w:topLinePunct w:val="0"/>
              <w:autoSpaceDE/>
              <w:autoSpaceDN/>
              <w:bidi w:val="0"/>
              <w:adjustRightInd/>
              <w:snapToGrid/>
              <w:spacing w:line="500" w:lineRule="exact"/>
              <w:rPr>
                <w:color w:val="auto"/>
                <w:highlight w:val="none"/>
              </w:rPr>
            </w:pPr>
          </w:p>
          <w:p w14:paraId="1C40E0A0">
            <w:pPr>
              <w:keepNext w:val="0"/>
              <w:keepLines w:val="0"/>
              <w:pageBreakBefore w:val="0"/>
              <w:kinsoku/>
              <w:wordWrap/>
              <w:overflowPunct/>
              <w:topLinePunct w:val="0"/>
              <w:autoSpaceDE/>
              <w:autoSpaceDN/>
              <w:bidi w:val="0"/>
              <w:adjustRightInd/>
              <w:snapToGrid/>
              <w:spacing w:line="500" w:lineRule="exact"/>
              <w:ind w:firstLine="2310" w:firstLineChars="1100"/>
              <w:rPr>
                <w:color w:val="auto"/>
                <w:highlight w:val="none"/>
              </w:rPr>
            </w:pPr>
          </w:p>
          <w:p w14:paraId="17F3569D">
            <w:pPr>
              <w:keepNext w:val="0"/>
              <w:keepLines w:val="0"/>
              <w:pageBreakBefore w:val="0"/>
              <w:kinsoku/>
              <w:wordWrap/>
              <w:overflowPunct/>
              <w:topLinePunct w:val="0"/>
              <w:autoSpaceDE/>
              <w:autoSpaceDN/>
              <w:bidi w:val="0"/>
              <w:adjustRightInd/>
              <w:snapToGrid/>
              <w:spacing w:line="500" w:lineRule="exact"/>
              <w:ind w:firstLine="2310" w:firstLineChars="1100"/>
              <w:rPr>
                <w:color w:val="auto"/>
                <w:highlight w:val="none"/>
              </w:rPr>
            </w:pPr>
            <w:r>
              <w:rPr>
                <w:rFonts w:hint="eastAsia"/>
                <w:color w:val="auto"/>
                <w:highlight w:val="none"/>
              </w:rPr>
              <w:t>正反面</w:t>
            </w:r>
          </w:p>
        </w:tc>
      </w:tr>
    </w:tbl>
    <w:p w14:paraId="6672B319">
      <w:pPr>
        <w:pStyle w:val="3"/>
        <w:keepLines w:val="0"/>
        <w:pageBreakBefore w:val="0"/>
        <w:kinsoku/>
        <w:wordWrap/>
        <w:overflowPunct/>
        <w:topLinePunct w:val="0"/>
        <w:bidi w:val="0"/>
        <w:spacing w:line="560" w:lineRule="exact"/>
        <w:ind w:left="420" w:hanging="420"/>
        <w:jc w:val="center"/>
        <w:rPr>
          <w:rFonts w:hint="eastAsia" w:ascii="宋体" w:hAnsi="宋体" w:cs="宋体"/>
          <w:b/>
          <w:bCs/>
          <w:color w:val="auto"/>
          <w:sz w:val="44"/>
          <w:szCs w:val="44"/>
          <w:highlight w:val="none"/>
        </w:rPr>
      </w:pPr>
    </w:p>
    <w:p w14:paraId="3EAC3D75">
      <w:pPr>
        <w:pStyle w:val="3"/>
        <w:keepLines w:val="0"/>
        <w:pageBreakBefore w:val="0"/>
        <w:kinsoku/>
        <w:wordWrap/>
        <w:overflowPunct/>
        <w:topLinePunct w:val="0"/>
        <w:bidi w:val="0"/>
        <w:spacing w:line="560" w:lineRule="exact"/>
        <w:ind w:left="420" w:hanging="420"/>
        <w:jc w:val="center"/>
        <w:rPr>
          <w:rFonts w:hint="eastAsia" w:ascii="宋体" w:hAnsi="宋体" w:cs="宋体"/>
          <w:color w:val="auto"/>
          <w:kern w:val="0"/>
          <w:sz w:val="44"/>
          <w:szCs w:val="44"/>
          <w:highlight w:val="none"/>
          <w:lang w:bidi="ar"/>
        </w:rPr>
      </w:pPr>
      <w:r>
        <w:rPr>
          <w:rFonts w:hint="eastAsia" w:ascii="宋体" w:hAnsi="宋体" w:cs="宋体"/>
          <w:color w:val="auto"/>
          <w:kern w:val="0"/>
          <w:sz w:val="44"/>
          <w:szCs w:val="44"/>
          <w:highlight w:val="none"/>
          <w:lang w:bidi="ar"/>
        </w:rPr>
        <w:t>供应商基本情况表</w:t>
      </w:r>
      <w:bookmarkEnd w:id="15"/>
    </w:p>
    <w:p w14:paraId="3296108C">
      <w:pPr>
        <w:keepLines w:val="0"/>
        <w:pageBreakBefore w:val="0"/>
        <w:kinsoku/>
        <w:wordWrap/>
        <w:overflowPunct/>
        <w:topLinePunct w:val="0"/>
        <w:bidi w:val="0"/>
        <w:spacing w:line="560" w:lineRule="exact"/>
        <w:rPr>
          <w:color w:val="auto"/>
          <w:highlight w:val="none"/>
          <w:u w:val="single"/>
        </w:rPr>
      </w:pPr>
      <w:r>
        <w:rPr>
          <w:rFonts w:hint="eastAsia"/>
          <w:color w:val="auto"/>
          <w:highlight w:val="none"/>
        </w:rPr>
        <w:t>填表单位：</w:t>
      </w:r>
      <w:r>
        <w:rPr>
          <w:rFonts w:hint="eastAsia"/>
          <w:color w:val="auto"/>
          <w:highlight w:val="none"/>
          <w:u w:val="single"/>
        </w:rPr>
        <w:t xml:space="preserve">           </w:t>
      </w:r>
      <w:r>
        <w:rPr>
          <w:rFonts w:hint="eastAsia"/>
          <w:color w:val="auto"/>
          <w:highlight w:val="none"/>
        </w:rPr>
        <w:t xml:space="preserve"> （加盖单位公章）                       填表日期：      年  月  日</w:t>
      </w: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6E38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14:paraId="52AB4C51">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采购单位</w:t>
            </w:r>
          </w:p>
        </w:tc>
        <w:tc>
          <w:tcPr>
            <w:tcW w:w="3386" w:type="dxa"/>
            <w:gridSpan w:val="2"/>
            <w:vAlign w:val="center"/>
          </w:tcPr>
          <w:p w14:paraId="7A4D38B7">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14:paraId="45D9205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583" w:type="dxa"/>
            <w:vAlign w:val="center"/>
          </w:tcPr>
          <w:p w14:paraId="21B594D5">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0471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6D60D0AE">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投标（响应）供应商</w:t>
            </w:r>
          </w:p>
        </w:tc>
        <w:tc>
          <w:tcPr>
            <w:tcW w:w="3386" w:type="dxa"/>
            <w:gridSpan w:val="2"/>
            <w:vAlign w:val="center"/>
          </w:tcPr>
          <w:p w14:paraId="0EFB8B2B">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14:paraId="68B97CF0">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供应商统一社会信用代码</w:t>
            </w:r>
          </w:p>
        </w:tc>
        <w:tc>
          <w:tcPr>
            <w:tcW w:w="1583" w:type="dxa"/>
            <w:vAlign w:val="center"/>
          </w:tcPr>
          <w:p w14:paraId="1BC2DDF4">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05DF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54C01C8F">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投标（响应）供应商相关人员情况</w:t>
            </w:r>
          </w:p>
        </w:tc>
      </w:tr>
      <w:tr w14:paraId="6A7C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341D3910">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57" w:type="dxa"/>
            <w:vAlign w:val="center"/>
          </w:tcPr>
          <w:p w14:paraId="2A658BCD">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429" w:type="dxa"/>
            <w:vAlign w:val="center"/>
          </w:tcPr>
          <w:p w14:paraId="5A38AF34">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1583" w:type="dxa"/>
            <w:vAlign w:val="center"/>
          </w:tcPr>
          <w:p w14:paraId="22EF2C0D">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身份证号码</w:t>
            </w:r>
          </w:p>
        </w:tc>
        <w:tc>
          <w:tcPr>
            <w:tcW w:w="1583" w:type="dxa"/>
            <w:vAlign w:val="center"/>
          </w:tcPr>
          <w:p w14:paraId="0D24406A">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劳动合同</w:t>
            </w:r>
          </w:p>
          <w:p w14:paraId="793B3581">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关系单位</w:t>
            </w:r>
          </w:p>
        </w:tc>
        <w:tc>
          <w:tcPr>
            <w:tcW w:w="1583" w:type="dxa"/>
            <w:vAlign w:val="center"/>
          </w:tcPr>
          <w:p w14:paraId="7E3DF1C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缴纳社会</w:t>
            </w:r>
          </w:p>
          <w:p w14:paraId="4417016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保险单位</w:t>
            </w:r>
          </w:p>
        </w:tc>
      </w:tr>
      <w:tr w14:paraId="116D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1AAC23FB">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57" w:type="dxa"/>
            <w:vAlign w:val="center"/>
          </w:tcPr>
          <w:p w14:paraId="5568069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法定代表人/单位负责人</w:t>
            </w:r>
          </w:p>
        </w:tc>
        <w:tc>
          <w:tcPr>
            <w:tcW w:w="1429" w:type="dxa"/>
            <w:vAlign w:val="center"/>
          </w:tcPr>
          <w:p w14:paraId="7B14F72E">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731991AF">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067FA772">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4A0F24F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4833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45DFC1C">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957" w:type="dxa"/>
            <w:vAlign w:val="center"/>
          </w:tcPr>
          <w:p w14:paraId="338B9DF7">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主要经营负责人</w:t>
            </w:r>
          </w:p>
        </w:tc>
        <w:tc>
          <w:tcPr>
            <w:tcW w:w="1429" w:type="dxa"/>
            <w:vAlign w:val="center"/>
          </w:tcPr>
          <w:p w14:paraId="24BA81E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5BBE4F3B">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4E1145E6">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10557CF4">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034F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0824659B">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957" w:type="dxa"/>
            <w:vAlign w:val="center"/>
          </w:tcPr>
          <w:p w14:paraId="711F4E0B">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项目投标授权代表人</w:t>
            </w:r>
          </w:p>
        </w:tc>
        <w:tc>
          <w:tcPr>
            <w:tcW w:w="1429" w:type="dxa"/>
            <w:vAlign w:val="center"/>
          </w:tcPr>
          <w:p w14:paraId="03F5A9D9">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5B4A589F">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43878EC5">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058FDA0A">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2D59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2171ABEA">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957" w:type="dxa"/>
            <w:vAlign w:val="center"/>
          </w:tcPr>
          <w:p w14:paraId="4911BC82">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项目负责人</w:t>
            </w:r>
          </w:p>
        </w:tc>
        <w:tc>
          <w:tcPr>
            <w:tcW w:w="1429" w:type="dxa"/>
            <w:vAlign w:val="center"/>
          </w:tcPr>
          <w:p w14:paraId="06A4439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0DDBC7CA">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017A0054">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1B634FCF">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036E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5DA23234">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957" w:type="dxa"/>
            <w:vAlign w:val="center"/>
          </w:tcPr>
          <w:p w14:paraId="4EC95612">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主要技术人员</w:t>
            </w:r>
          </w:p>
        </w:tc>
        <w:tc>
          <w:tcPr>
            <w:tcW w:w="1429" w:type="dxa"/>
            <w:vAlign w:val="center"/>
          </w:tcPr>
          <w:p w14:paraId="6D6F87AB">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7EBB4F7F">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294B5817">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0D2616AD">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17E9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697AF1BD">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957" w:type="dxa"/>
            <w:vAlign w:val="center"/>
          </w:tcPr>
          <w:p w14:paraId="6757D7F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投标文件编制人员</w:t>
            </w:r>
          </w:p>
        </w:tc>
        <w:tc>
          <w:tcPr>
            <w:tcW w:w="1429" w:type="dxa"/>
            <w:vAlign w:val="center"/>
          </w:tcPr>
          <w:p w14:paraId="166DAC3F">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6DBBE8A6">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49CCD38E">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1583" w:type="dxa"/>
            <w:vAlign w:val="center"/>
          </w:tcPr>
          <w:p w14:paraId="10F74B53">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r>
      <w:tr w14:paraId="6B67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5EAFD221">
            <w:pPr>
              <w:keepLines w:val="0"/>
              <w:pageBreakBefore w:val="0"/>
              <w:kinsoku/>
              <w:wordWrap/>
              <w:overflowPunct/>
              <w:topLinePunct w:val="0"/>
              <w:bidi w:val="0"/>
              <w:spacing w:line="560" w:lineRule="exact"/>
              <w:jc w:val="left"/>
              <w:rPr>
                <w:rFonts w:hint="eastAsia" w:ascii="宋体" w:hAnsi="宋体" w:cs="宋体"/>
                <w:color w:val="auto"/>
                <w:szCs w:val="21"/>
                <w:highlight w:val="none"/>
              </w:rPr>
            </w:pPr>
            <w:r>
              <w:rPr>
                <w:rFonts w:hint="eastAsia" w:ascii="宋体" w:hAnsi="宋体" w:cs="宋体"/>
                <w:b/>
                <w:bCs/>
                <w:color w:val="auto"/>
                <w:szCs w:val="21"/>
                <w:highlight w:val="none"/>
              </w:rPr>
              <w:t>说明：同一职务有多人担任（如主要技术人员），应分行填写。</w:t>
            </w:r>
          </w:p>
        </w:tc>
      </w:tr>
      <w:tr w14:paraId="59F9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1F2B665E">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投标（响应）供应商关联关系情况</w:t>
            </w:r>
          </w:p>
        </w:tc>
      </w:tr>
      <w:tr w14:paraId="6224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44A4436C">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3386" w:type="dxa"/>
            <w:gridSpan w:val="2"/>
            <w:vAlign w:val="center"/>
          </w:tcPr>
          <w:p w14:paraId="2ED5A0E0">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关联关系类型</w:t>
            </w:r>
          </w:p>
        </w:tc>
        <w:tc>
          <w:tcPr>
            <w:tcW w:w="1583" w:type="dxa"/>
            <w:vAlign w:val="center"/>
          </w:tcPr>
          <w:p w14:paraId="4D590549">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关联主体名称</w:t>
            </w:r>
          </w:p>
        </w:tc>
        <w:tc>
          <w:tcPr>
            <w:tcW w:w="3166" w:type="dxa"/>
            <w:gridSpan w:val="2"/>
            <w:vAlign w:val="center"/>
          </w:tcPr>
          <w:p w14:paraId="49B0AAA2">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5575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54043185">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386" w:type="dxa"/>
            <w:gridSpan w:val="2"/>
            <w:vAlign w:val="center"/>
          </w:tcPr>
          <w:p w14:paraId="724468B7">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控股股东</w:t>
            </w:r>
          </w:p>
        </w:tc>
        <w:tc>
          <w:tcPr>
            <w:tcW w:w="1583" w:type="dxa"/>
            <w:vAlign w:val="center"/>
          </w:tcPr>
          <w:p w14:paraId="164E8850">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14:paraId="0D3D653E">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14:paraId="5125B39E">
            <w:pPr>
              <w:keepLines w:val="0"/>
              <w:pageBreakBefore w:val="0"/>
              <w:kinsoku/>
              <w:wordWrap/>
              <w:overflowPunct/>
              <w:topLinePunct w:val="0"/>
              <w:bidi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影响的股东。</w:t>
            </w:r>
          </w:p>
        </w:tc>
      </w:tr>
      <w:tr w14:paraId="6F57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1A9DCD95">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386" w:type="dxa"/>
            <w:gridSpan w:val="2"/>
            <w:vAlign w:val="center"/>
          </w:tcPr>
          <w:p w14:paraId="5CEFF29D">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管理关系</w:t>
            </w:r>
          </w:p>
        </w:tc>
        <w:tc>
          <w:tcPr>
            <w:tcW w:w="1583" w:type="dxa"/>
            <w:vAlign w:val="center"/>
          </w:tcPr>
          <w:p w14:paraId="1256E539">
            <w:pPr>
              <w:keepLines w:val="0"/>
              <w:pageBreakBefore w:val="0"/>
              <w:kinsoku/>
              <w:wordWrap/>
              <w:overflowPunct/>
              <w:topLinePunct w:val="0"/>
              <w:bidi w:val="0"/>
              <w:spacing w:line="560" w:lineRule="exact"/>
              <w:jc w:val="center"/>
              <w:rPr>
                <w:rFonts w:hint="eastAsia" w:ascii="宋体" w:hAnsi="宋体" w:cs="宋体"/>
                <w:color w:val="auto"/>
                <w:szCs w:val="21"/>
                <w:highlight w:val="none"/>
              </w:rPr>
            </w:pPr>
          </w:p>
        </w:tc>
        <w:tc>
          <w:tcPr>
            <w:tcW w:w="3166" w:type="dxa"/>
            <w:gridSpan w:val="2"/>
            <w:vAlign w:val="center"/>
          </w:tcPr>
          <w:p w14:paraId="6E761F92">
            <w:pPr>
              <w:keepLines w:val="0"/>
              <w:pageBreakBefore w:val="0"/>
              <w:kinsoku/>
              <w:wordWrap/>
              <w:overflowPunct/>
              <w:topLinePunct w:val="0"/>
              <w:bidi w:val="0"/>
              <w:spacing w:line="560" w:lineRule="exact"/>
              <w:rPr>
                <w:rFonts w:hint="eastAsia" w:ascii="宋体" w:hAnsi="宋体" w:cs="宋体"/>
                <w:color w:val="auto"/>
                <w:szCs w:val="21"/>
                <w:highlight w:val="none"/>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1843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53BD8B34">
            <w:pPr>
              <w:keepLines w:val="0"/>
              <w:pageBreakBefore w:val="0"/>
              <w:kinsoku/>
              <w:wordWrap/>
              <w:overflowPunct/>
              <w:topLinePunct w:val="0"/>
              <w:bidi w:val="0"/>
              <w:spacing w:line="560" w:lineRule="exact"/>
              <w:jc w:val="left"/>
              <w:rPr>
                <w:rFonts w:hint="eastAsia" w:ascii="宋体" w:hAnsi="宋体" w:cs="宋体"/>
                <w:color w:val="auto"/>
                <w:szCs w:val="21"/>
                <w:highlight w:val="none"/>
              </w:rPr>
            </w:pPr>
            <w:r>
              <w:rPr>
                <w:rFonts w:hint="eastAsia" w:ascii="宋体" w:hAnsi="宋体" w:cs="宋体"/>
                <w:b/>
                <w:bCs/>
                <w:color w:val="auto"/>
                <w:szCs w:val="21"/>
                <w:highlight w:val="none"/>
              </w:rPr>
              <w:t>说明：同一关联关系类型有多个主体的，应分行填写。</w:t>
            </w:r>
          </w:p>
        </w:tc>
      </w:tr>
    </w:tbl>
    <w:p w14:paraId="0861F099">
      <w:pPr>
        <w:keepLines w:val="0"/>
        <w:pageBreakBefore w:val="0"/>
        <w:kinsoku/>
        <w:wordWrap/>
        <w:overflowPunct/>
        <w:topLinePunct w:val="0"/>
        <w:bidi w:val="0"/>
        <w:spacing w:line="560" w:lineRule="exact"/>
        <w:rPr>
          <w:rFonts w:hint="eastAsia" w:ascii="宋体" w:hAnsi="宋体" w:cs="宋体"/>
          <w:b/>
          <w:bCs/>
          <w:color w:val="auto"/>
          <w:highlight w:val="none"/>
        </w:rPr>
      </w:pPr>
      <w:r>
        <w:rPr>
          <w:rFonts w:hint="eastAsia" w:ascii="宋体" w:hAnsi="宋体" w:cs="宋体"/>
          <w:b/>
          <w:bCs/>
          <w:color w:val="auto"/>
          <w:highlight w:val="none"/>
        </w:rPr>
        <w:t>备注：</w:t>
      </w:r>
    </w:p>
    <w:p w14:paraId="0941E4C3">
      <w:pPr>
        <w:keepLines w:val="0"/>
        <w:pageBreakBefore w:val="0"/>
        <w:kinsoku/>
        <w:wordWrap/>
        <w:overflowPunct/>
        <w:topLinePunct w:val="0"/>
        <w:bidi w:val="0"/>
        <w:spacing w:line="560" w:lineRule="exact"/>
        <w:rPr>
          <w:rFonts w:hint="eastAsia" w:ascii="宋体" w:hAnsi="宋体" w:cs="宋体"/>
          <w:b/>
          <w:bCs/>
          <w:color w:val="auto"/>
          <w:highlight w:val="none"/>
        </w:rPr>
      </w:pPr>
      <w:r>
        <w:rPr>
          <w:rFonts w:hint="eastAsia" w:ascii="宋体" w:hAnsi="宋体" w:cs="宋体"/>
          <w:b/>
          <w:bCs/>
          <w:color w:val="auto"/>
          <w:highlight w:val="none"/>
        </w:rPr>
        <w:t>1.本表中填报的人员姓名、身份证号码、缴纳社会保险单位应与社保证明材料中显示的信息相同。</w:t>
      </w:r>
    </w:p>
    <w:p w14:paraId="150813EF">
      <w:pPr>
        <w:keepLines w:val="0"/>
        <w:pageBreakBefore w:val="0"/>
        <w:kinsoku/>
        <w:wordWrap/>
        <w:overflowPunct/>
        <w:topLinePunct w:val="0"/>
        <w:bidi w:val="0"/>
        <w:spacing w:line="560" w:lineRule="exact"/>
        <w:rPr>
          <w:rFonts w:hint="eastAsia" w:ascii="宋体" w:hAnsi="宋体" w:cs="宋体"/>
          <w:b/>
          <w:bCs/>
          <w:color w:val="auto"/>
          <w:highlight w:val="none"/>
        </w:rPr>
      </w:pPr>
      <w:r>
        <w:rPr>
          <w:rFonts w:hint="eastAsia" w:ascii="宋体" w:hAnsi="宋体" w:cs="宋体"/>
          <w:b/>
          <w:bCs/>
          <w:color w:val="auto"/>
          <w:highlight w:val="none"/>
        </w:rPr>
        <w:t>2.投标（响应）供应商未按要求填报《供应商基本情况表》或未加盖公章或未按要求提供证明材料的，将按投标（响应）无效处理。</w:t>
      </w:r>
    </w:p>
    <w:p w14:paraId="27B595C4">
      <w:pPr>
        <w:keepLines w:val="0"/>
        <w:pageBreakBefore w:val="0"/>
        <w:kinsoku/>
        <w:wordWrap/>
        <w:overflowPunct/>
        <w:topLinePunct w:val="0"/>
        <w:bidi w:val="0"/>
        <w:spacing w:line="560" w:lineRule="exact"/>
        <w:rPr>
          <w:rFonts w:hint="eastAsia" w:ascii="宋体" w:hAnsi="宋体" w:cs="宋体"/>
          <w:color w:val="auto"/>
          <w:sz w:val="30"/>
          <w:szCs w:val="30"/>
          <w:highlight w:val="none"/>
        </w:rPr>
      </w:pPr>
      <w:r>
        <w:rPr>
          <w:rFonts w:hint="eastAsia" w:ascii="宋体" w:hAnsi="宋体" w:cs="宋体"/>
          <w:color w:val="auto"/>
          <w:sz w:val="30"/>
          <w:szCs w:val="30"/>
          <w:highlight w:val="none"/>
        </w:rPr>
        <w:br w:type="page"/>
      </w:r>
    </w:p>
    <w:p w14:paraId="3CDFD2D5">
      <w:pPr>
        <w:pStyle w:val="3"/>
        <w:keepNext w:val="0"/>
        <w:keepLines w:val="0"/>
        <w:pageBreakBefore w:val="0"/>
        <w:widowControl w:val="0"/>
        <w:kinsoku/>
        <w:wordWrap/>
        <w:overflowPunct/>
        <w:topLinePunct w:val="0"/>
        <w:bidi w:val="0"/>
        <w:adjustRightInd/>
        <w:snapToGrid/>
        <w:spacing w:line="500" w:lineRule="exact"/>
        <w:ind w:left="420" w:hanging="420"/>
        <w:jc w:val="center"/>
        <w:textAlignment w:val="auto"/>
        <w:rPr>
          <w:rFonts w:hint="eastAsia" w:ascii="宋体" w:hAnsi="宋体" w:cs="宋体"/>
          <w:color w:val="auto"/>
          <w:kern w:val="0"/>
          <w:sz w:val="44"/>
          <w:szCs w:val="44"/>
          <w:highlight w:val="none"/>
          <w:lang w:bidi="ar"/>
        </w:rPr>
      </w:pPr>
      <w:bookmarkStart w:id="16" w:name="_Toc17532"/>
      <w:bookmarkStart w:id="17" w:name="_Toc14311"/>
      <w:r>
        <w:rPr>
          <w:rFonts w:hint="eastAsia" w:ascii="宋体" w:hAnsi="宋体" w:cs="宋体"/>
          <w:color w:val="auto"/>
          <w:kern w:val="0"/>
          <w:sz w:val="44"/>
          <w:szCs w:val="44"/>
          <w:highlight w:val="none"/>
          <w:lang w:bidi="ar"/>
        </w:rPr>
        <w:t>提供社会保险证明</w:t>
      </w:r>
      <w:bookmarkEnd w:id="16"/>
      <w:bookmarkEnd w:id="17"/>
    </w:p>
    <w:p w14:paraId="2334237C">
      <w:pPr>
        <w:pStyle w:val="25"/>
        <w:keepNext w:val="0"/>
        <w:keepLines w:val="0"/>
        <w:pageBreakBefore w:val="0"/>
        <w:widowControl w:val="0"/>
        <w:kinsoku/>
        <w:wordWrap/>
        <w:overflowPunct/>
        <w:topLinePunct w:val="0"/>
        <w:bidi w:val="0"/>
        <w:adjustRightInd/>
        <w:snapToGrid/>
        <w:spacing w:line="500" w:lineRule="exact"/>
        <w:textAlignment w:val="auto"/>
        <w:rPr>
          <w:color w:val="auto"/>
          <w:highlight w:val="none"/>
        </w:rPr>
      </w:pPr>
    </w:p>
    <w:p w14:paraId="5888C03D">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提供法定代表人最近一个月的社保证明：</w:t>
      </w:r>
    </w:p>
    <w:p w14:paraId="54F8D651">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提供主要经营负责人最近一个月的社保证明：</w:t>
      </w:r>
    </w:p>
    <w:p w14:paraId="2F373DCB">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项目投标授权代表人最近一个月的社保证明：</w:t>
      </w:r>
    </w:p>
    <w:p w14:paraId="4004D2F2">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提供项目负责人最近一个月的社保证明（如有）：</w:t>
      </w:r>
    </w:p>
    <w:p w14:paraId="2963B131">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提供主要技术人员最近一个月的社保证明（如有）：</w:t>
      </w:r>
    </w:p>
    <w:p w14:paraId="212C0C90">
      <w:pPr>
        <w:keepNext w:val="0"/>
        <w:keepLines w:val="0"/>
        <w:pageBreakBefore w:val="0"/>
        <w:widowControl w:val="0"/>
        <w:kinsoku/>
        <w:wordWrap/>
        <w:overflowPunct/>
        <w:topLinePunct w:val="0"/>
        <w:bidi w:val="0"/>
        <w:adjustRightInd/>
        <w:snapToGrid/>
        <w:spacing w:line="500" w:lineRule="exact"/>
        <w:textAlignment w:val="auto"/>
        <w:rPr>
          <w:rFonts w:hint="eastAsia" w:ascii="宋体" w:hAnsi="宋体"/>
          <w:color w:val="auto"/>
          <w:sz w:val="28"/>
          <w:szCs w:val="28"/>
          <w:highlight w:val="none"/>
        </w:rPr>
      </w:pPr>
    </w:p>
    <w:p w14:paraId="7AAF2C3B">
      <w:pPr>
        <w:pStyle w:val="8"/>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color w:val="auto"/>
          <w:sz w:val="28"/>
          <w:szCs w:val="28"/>
          <w:highlight w:val="none"/>
        </w:rPr>
      </w:pPr>
      <w:r>
        <w:rPr>
          <w:rFonts w:hint="eastAsia"/>
          <w:color w:val="auto"/>
          <w:sz w:val="28"/>
          <w:szCs w:val="28"/>
          <w:highlight w:val="none"/>
        </w:rPr>
        <w:t>注：</w:t>
      </w:r>
    </w:p>
    <w:p w14:paraId="187096A1">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1.法定代表人、主要经营负责人、项目投标授权代表人的社会保险未由投标人单位缴纳，亦须提供相应单位为其缴纳的社会保险证明（须体现投标人的单位信息）。</w:t>
      </w:r>
    </w:p>
    <w:p w14:paraId="1C3DC895">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2.项目负责人和主要技术人员的社会保险须由投标人单位缴纳（须体现投标人的单位信息）。</w:t>
      </w:r>
    </w:p>
    <w:p w14:paraId="4F592BDD">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3.投标人为新成立企业且成立时间不足一个月可提供加盖投标人公章的情况说明或者证明材料亦视为符合。</w:t>
      </w:r>
    </w:p>
    <w:p w14:paraId="7876EF0F">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4.由于社保部门或税务部门的原因最近一个月的社保证明无法提供的可往前顺延一个月。</w:t>
      </w:r>
    </w:p>
    <w:p w14:paraId="730F5B8D">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5.如依法不需要缴纳社会保险的，应提供相应文件证明；如为退休返聘人员提供退休证明和聘用合同。</w:t>
      </w:r>
    </w:p>
    <w:p w14:paraId="0A2C848A">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6.若因社保部门原因无法提供的，需提供劳动合同及社保部门官方通知证明（或官网公告截图）。</w:t>
      </w:r>
    </w:p>
    <w:p w14:paraId="5B9984B6">
      <w:pPr>
        <w:keepNext w:val="0"/>
        <w:keepLines w:val="0"/>
        <w:pageBreakBefore w:val="0"/>
        <w:widowControl w:val="0"/>
        <w:kinsoku/>
        <w:wordWrap/>
        <w:overflowPunct/>
        <w:topLinePunct w:val="0"/>
        <w:bidi w:val="0"/>
        <w:adjustRightInd/>
        <w:snapToGrid/>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7.如本项目未安排项目负责人、主要技术人员的，无需提供项目负责人、主要技术人员的社会保险证明。</w:t>
      </w:r>
    </w:p>
    <w:p w14:paraId="4FD3AF5F">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br w:type="page"/>
      </w:r>
    </w:p>
    <w:p w14:paraId="41774DD3">
      <w:pPr>
        <w:keepLines w:val="0"/>
        <w:pageBreakBefore w:val="0"/>
        <w:kinsoku/>
        <w:wordWrap/>
        <w:overflowPunct/>
        <w:topLinePunct w:val="0"/>
        <w:bidi w:val="0"/>
        <w:spacing w:line="560" w:lineRule="exact"/>
        <w:jc w:val="both"/>
        <w:rPr>
          <w:rFonts w:hint="eastAsia" w:ascii="宋体" w:hAnsi="宋体" w:cs="宋体"/>
          <w:b/>
          <w:bCs/>
          <w:color w:val="auto"/>
          <w:sz w:val="44"/>
          <w:szCs w:val="44"/>
          <w:highlight w:val="none"/>
        </w:rPr>
      </w:pPr>
    </w:p>
    <w:p w14:paraId="22B64DC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黑体"/>
          <w:color w:val="auto"/>
          <w:sz w:val="32"/>
          <w:szCs w:val="32"/>
          <w:highlight w:val="none"/>
        </w:rPr>
      </w:pPr>
      <w:r>
        <w:rPr>
          <w:rFonts w:hint="eastAsia" w:ascii="宋体" w:hAnsi="宋体" w:cs="宋体"/>
          <w:b/>
          <w:bCs/>
          <w:color w:val="auto"/>
          <w:sz w:val="44"/>
          <w:szCs w:val="44"/>
          <w:highlight w:val="none"/>
        </w:rPr>
        <w:t>政府采购优惠政策（根据实际情况提供）</w:t>
      </w:r>
    </w:p>
    <w:p w14:paraId="64CCE1E7">
      <w:pPr>
        <w:pStyle w:val="4"/>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560" w:firstLineChars="200"/>
        <w:jc w:val="both"/>
        <w:textAlignment w:val="auto"/>
        <w:rPr>
          <w:rFonts w:ascii="黑体" w:hAnsi="黑体" w:eastAsia="黑体" w:cs="黑体"/>
          <w:bCs/>
          <w:color w:val="auto"/>
          <w:sz w:val="28"/>
          <w:szCs w:val="28"/>
          <w:highlight w:val="none"/>
        </w:rPr>
      </w:pPr>
      <w:r>
        <w:rPr>
          <w:rFonts w:ascii="黑体" w:hAnsi="黑体" w:eastAsia="黑体" w:cs="黑体"/>
          <w:color w:val="auto"/>
          <w:sz w:val="28"/>
          <w:szCs w:val="28"/>
          <w:highlight w:val="none"/>
        </w:rPr>
        <w:t>一、投标人情况及资格证明文件</w:t>
      </w:r>
    </w:p>
    <w:p w14:paraId="3C1653F9">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outlineLvl w:val="3"/>
        <w:rPr>
          <w:rFonts w:hint="eastAsia" w:ascii="楷体" w:hAnsi="楷体" w:eastAsia="楷体" w:cs="楷体"/>
          <w:bCs/>
          <w:color w:val="auto"/>
          <w:sz w:val="28"/>
          <w:szCs w:val="28"/>
          <w:highlight w:val="none"/>
        </w:rPr>
      </w:pPr>
      <w:r>
        <w:rPr>
          <w:rFonts w:hint="eastAsia" w:ascii="楷体" w:hAnsi="楷体" w:eastAsia="楷体" w:cs="楷体"/>
          <w:bCs/>
          <w:color w:val="auto"/>
          <w:sz w:val="28"/>
          <w:szCs w:val="28"/>
          <w:highlight w:val="none"/>
        </w:rPr>
        <w:t>（一）投标人资格证明文件</w:t>
      </w:r>
    </w:p>
    <w:p w14:paraId="59CFED3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eastAsia="仿宋_GB2312"/>
          <w:b/>
          <w:bCs/>
          <w:color w:val="auto"/>
          <w:sz w:val="28"/>
          <w:szCs w:val="28"/>
          <w:highlight w:val="none"/>
        </w:rPr>
      </w:pPr>
      <w:r>
        <w:rPr>
          <w:rFonts w:hint="eastAsia" w:ascii="仿宋_GB2312" w:hAnsi="仿宋_GB2312" w:eastAsia="仿宋_GB2312" w:cs="仿宋_GB2312"/>
          <w:color w:val="auto"/>
          <w:sz w:val="28"/>
          <w:szCs w:val="28"/>
          <w:highlight w:val="none"/>
        </w:rPr>
        <w:t>[特别提示：投标人须按本招标文件第一册第一章招标公告“申请人的资格要求”（即投标人资格要求）提供相关的资格证明资料，未提供或提供不完整、不符合要求的，将作投标无效处理]</w:t>
      </w:r>
    </w:p>
    <w:p w14:paraId="30115876">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outlineLvl w:val="3"/>
        <w:rPr>
          <w:rFonts w:hint="eastAsia" w:ascii="楷体" w:hAnsi="楷体" w:eastAsia="楷体" w:cs="楷体"/>
          <w:bCs/>
          <w:color w:val="auto"/>
          <w:sz w:val="28"/>
          <w:szCs w:val="28"/>
          <w:highlight w:val="none"/>
        </w:rPr>
      </w:pPr>
      <w:r>
        <w:rPr>
          <w:rFonts w:hint="eastAsia" w:ascii="楷体" w:hAnsi="楷体" w:eastAsia="楷体" w:cs="楷体"/>
          <w:bCs/>
          <w:color w:val="auto"/>
          <w:sz w:val="28"/>
          <w:szCs w:val="28"/>
          <w:highlight w:val="none"/>
        </w:rPr>
        <w:t>（二）中小企业声明函、残疾人福利性单位声明函及监狱企业声明函</w:t>
      </w:r>
    </w:p>
    <w:p w14:paraId="5435A5AB">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填写指引：</w:t>
      </w:r>
    </w:p>
    <w:p w14:paraId="41233C68">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36D2853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2.该部分内容填写需要参考的相关文件：</w:t>
      </w:r>
    </w:p>
    <w:p w14:paraId="11069E95">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（1）财政部《政府采购促进中小企业发展管理办法》（财库〔2020〕46号）；</w:t>
      </w:r>
    </w:p>
    <w:p w14:paraId="6FBC0B5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（2）《工业和信息化部、国家统计局、国家发展和改革委员会、财政部关于印发中小企业划型标准规定的通知》（工信部联企业〔2011〕300号，以下简称300号文）；</w:t>
      </w:r>
    </w:p>
    <w:p w14:paraId="7A087080">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（3）《政府采购促进中小企业发展管理办法》（财库〔2020〕46号）；</w:t>
      </w:r>
    </w:p>
    <w:p w14:paraId="1600194F">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（4）《关于印发中小企业划型标准规定的通知》（工信部联企业〔2011〕300号）；</w:t>
      </w:r>
    </w:p>
    <w:p w14:paraId="76FC62D1">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color w:val="auto"/>
          <w:sz w:val="28"/>
          <w:szCs w:val="28"/>
          <w:highlight w:val="none"/>
        </w:rPr>
      </w:pPr>
      <w:r>
        <w:rPr>
          <w:rFonts w:hint="eastAsia" w:ascii="仿宋_GB2312" w:hAnsi="仿宋_GB2312" w:eastAsia="仿宋_GB2312" w:cs="仿宋_GB2312"/>
          <w:color w:val="auto"/>
          <w:sz w:val="28"/>
          <w:szCs w:val="28"/>
          <w:highlight w:val="none"/>
        </w:rPr>
        <w:t>（5）《统计上大中小微型企业划分办法（2017）》（国统字〔2017〕213号）；</w:t>
      </w:r>
    </w:p>
    <w:p w14:paraId="3D1E77EE">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（6）《关于促进残疾人就业政府采购政策的通知》（财库〔2017〕141号）；</w:t>
      </w:r>
    </w:p>
    <w:p w14:paraId="18764E60">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（7）《关于政府采购支持监狱企业发展有关问题的通知》（财库〔2014〕68号）。</w:t>
      </w:r>
    </w:p>
    <w:p w14:paraId="103FDE56">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3.请依照提供的格式和内容填写声明函，不要随意变更格式；声明函不需要盖章或签字；满足多项优惠政策的投标人，不重复享受多项价格扣除政策。</w:t>
      </w:r>
    </w:p>
    <w:p w14:paraId="64BA1088">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4.声明函具体填写要求：</w:t>
      </w:r>
    </w:p>
    <w:p w14:paraId="1C7C1F48">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（1）声明是中小企业须填写《中小企业声明函》的以下内容：</w:t>
      </w:r>
    </w:p>
    <w:p w14:paraId="207B7A0A">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第一处，在“单位名称”下划线处如实填写采购人名称（深圳公共资源交易中心不是本项目的采购人，而是组织实施机构）；</w:t>
      </w:r>
    </w:p>
    <w:p w14:paraId="4B9E580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第二处，在“项目名称”下划线处如实填写采购项目名称；</w:t>
      </w:r>
    </w:p>
    <w:p w14:paraId="0991BC2B">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第三处，在“标的名称”下划线处填写所采购货物（标的）的具体名称；如果涉及多项货物（标的）为同一企业制造，“标的名称”下划线处可以如实填写多项货物；</w:t>
      </w:r>
    </w:p>
    <w:p w14:paraId="17249B3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第四处，在“招标文件中明确的所属行业”下划线处填写采购标的对应的中小企业划分标准所属行业；</w:t>
      </w:r>
    </w:p>
    <w:p w14:paraId="3F344C32">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18D7424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（2）声明：残疾人福利性单位须填写《残疾人福利性单位声明函》的相关内容，具体参照以上《中小企业声明函》填写要求执行。</w:t>
      </w:r>
    </w:p>
    <w:p w14:paraId="1DEBE492">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（3）声明：监狱企业须填写《监狱企业声明函》的三项内容（填写位置的字体已加粗），具体参照以上《中小企业声明函》填写要求执行。</w:t>
      </w:r>
    </w:p>
    <w:p w14:paraId="57B41A05">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5.声明函的有效性最终由评审委员会判定；如评审委员会判定声明函无效，相关供应商不享受价格扣除（但不作投标无效处理）。</w:t>
      </w:r>
    </w:p>
    <w:p w14:paraId="0E2BFE07">
      <w:pPr>
        <w:pStyle w:val="4"/>
        <w:keepLines w:val="0"/>
        <w:pageBreakBefore w:val="0"/>
        <w:kinsoku/>
        <w:wordWrap/>
        <w:overflowPunct/>
        <w:topLinePunct w:val="0"/>
        <w:bidi w:val="0"/>
        <w:spacing w:beforeAutospacing="0" w:afterAutospacing="0" w:line="560" w:lineRule="exact"/>
        <w:ind w:firstLine="560" w:firstLineChars="200"/>
        <w:jc w:val="both"/>
        <w:rPr>
          <w:rFonts w:ascii="黑体" w:hAnsi="黑体" w:eastAsia="黑体" w:cs="黑体"/>
          <w:color w:val="auto"/>
          <w:sz w:val="28"/>
          <w:szCs w:val="28"/>
          <w:highlight w:val="none"/>
        </w:rPr>
      </w:pPr>
    </w:p>
    <w:p w14:paraId="60E0723D">
      <w:pPr>
        <w:pStyle w:val="4"/>
        <w:keepLines w:val="0"/>
        <w:pageBreakBefore w:val="0"/>
        <w:kinsoku/>
        <w:wordWrap/>
        <w:overflowPunct/>
        <w:topLinePunct w:val="0"/>
        <w:bidi w:val="0"/>
        <w:spacing w:beforeAutospacing="0" w:afterAutospacing="0" w:line="560" w:lineRule="exact"/>
        <w:jc w:val="both"/>
        <w:rPr>
          <w:rFonts w:hint="eastAsia"/>
          <w:b/>
          <w:color w:val="auto"/>
          <w:sz w:val="36"/>
          <w:szCs w:val="36"/>
          <w:highlight w:val="none"/>
        </w:rPr>
      </w:pPr>
      <w:r>
        <w:rPr>
          <w:rFonts w:ascii="黑体" w:hAnsi="黑体" w:eastAsia="黑体" w:cs="黑体"/>
          <w:color w:val="auto"/>
          <w:sz w:val="28"/>
          <w:szCs w:val="28"/>
          <w:highlight w:val="none"/>
        </w:rPr>
        <w:t>二、相关模板</w:t>
      </w:r>
    </w:p>
    <w:p w14:paraId="6E8CF614">
      <w:pPr>
        <w:pStyle w:val="6"/>
        <w:keepLines w:val="0"/>
        <w:pageBreakBefore w:val="0"/>
        <w:kinsoku/>
        <w:wordWrap/>
        <w:overflowPunct/>
        <w:topLinePunct w:val="0"/>
        <w:bidi w:val="0"/>
        <w:adjustRightInd w:val="0"/>
        <w:snapToGrid w:val="0"/>
        <w:spacing w:line="560" w:lineRule="exact"/>
        <w:ind w:firstLine="0"/>
        <w:jc w:val="center"/>
        <w:outlineLvl w:val="3"/>
        <w:rPr>
          <w:rFonts w:hint="eastAsia" w:ascii="仿宋_GB2312" w:hAnsi="仿宋_GB2312" w:eastAsia="仿宋_GB2312" w:cs="仿宋_GB2312"/>
          <w:b/>
          <w:color w:val="auto"/>
          <w:kern w:val="2"/>
          <w:sz w:val="36"/>
          <w:szCs w:val="36"/>
          <w:highlight w:val="none"/>
          <w:lang w:val="en-US" w:eastAsia="zh-CN" w:bidi="ar-SA"/>
        </w:rPr>
      </w:pPr>
      <w:r>
        <w:rPr>
          <w:rFonts w:hint="eastAsia" w:ascii="仿宋_GB2312" w:hAnsi="仿宋_GB2312" w:eastAsia="仿宋_GB2312" w:cs="仿宋_GB2312"/>
          <w:b/>
          <w:color w:val="auto"/>
          <w:kern w:val="2"/>
          <w:sz w:val="36"/>
          <w:szCs w:val="36"/>
          <w:highlight w:val="none"/>
          <w:lang w:val="en-US" w:eastAsia="zh-CN" w:bidi="ar-SA"/>
        </w:rPr>
        <w:t>（一）中小企业声明函</w:t>
      </w:r>
    </w:p>
    <w:p w14:paraId="68B1C7CE">
      <w:pPr>
        <w:pStyle w:val="8"/>
        <w:keepLines w:val="0"/>
        <w:pageBreakBefore w:val="0"/>
        <w:kinsoku/>
        <w:wordWrap/>
        <w:overflowPunct/>
        <w:topLinePunct w:val="0"/>
        <w:bidi w:val="0"/>
        <w:spacing w:line="560" w:lineRule="exact"/>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40002AC0">
      <w:pPr>
        <w:pStyle w:val="8"/>
        <w:keepLines w:val="0"/>
        <w:pageBreakBefore w:val="0"/>
        <w:kinsoku/>
        <w:wordWrap/>
        <w:overflowPunct/>
        <w:topLinePunct w:val="0"/>
        <w:bidi w:val="0"/>
        <w:spacing w:line="560" w:lineRule="exact"/>
        <w:ind w:firstLine="64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1.</w:t>
      </w:r>
      <w:r>
        <w:rPr>
          <w:rFonts w:hint="eastAsia" w:ascii="仿宋_GB2312" w:hAnsi="仿宋_GB2312" w:eastAsia="仿宋_GB2312" w:cs="仿宋_GB2312"/>
          <w:color w:val="auto"/>
          <w:kern w:val="2"/>
          <w:sz w:val="28"/>
          <w:szCs w:val="28"/>
          <w:highlight w:val="none"/>
          <w:u w:val="single"/>
          <w:lang w:val="en-US" w:eastAsia="zh-CN" w:bidi="ar-SA"/>
        </w:rPr>
        <w:t xml:space="preserve"> （采购标的名称）</w:t>
      </w:r>
      <w:r>
        <w:rPr>
          <w:rFonts w:hint="eastAsia" w:ascii="仿宋_GB2312" w:hAnsi="仿宋_GB2312" w:eastAsia="仿宋_GB2312" w:cs="仿宋_GB2312"/>
          <w:color w:val="auto"/>
          <w:kern w:val="2"/>
          <w:sz w:val="28"/>
          <w:szCs w:val="28"/>
          <w:highlight w:val="none"/>
          <w:lang w:val="en-US" w:eastAsia="zh-CN" w:bidi="ar-SA"/>
        </w:rPr>
        <w:t>，属于</w:t>
      </w:r>
      <w:r>
        <w:rPr>
          <w:rFonts w:hint="eastAsia" w:ascii="仿宋_GB2312" w:hAnsi="仿宋_GB2312" w:eastAsia="仿宋_GB2312" w:cs="仿宋_GB2312"/>
          <w:color w:val="auto"/>
          <w:kern w:val="2"/>
          <w:sz w:val="28"/>
          <w:szCs w:val="28"/>
          <w:highlight w:val="none"/>
          <w:u w:val="single"/>
          <w:lang w:val="en-US" w:eastAsia="zh-CN" w:bidi="ar-SA"/>
        </w:rPr>
        <w:t xml:space="preserve"> 工业 </w:t>
      </w:r>
      <w:r>
        <w:rPr>
          <w:rFonts w:hint="eastAsia" w:ascii="仿宋_GB2312" w:hAnsi="仿宋_GB2312" w:eastAsia="仿宋_GB2312" w:cs="仿宋_GB2312"/>
          <w:color w:val="auto"/>
          <w:kern w:val="2"/>
          <w:sz w:val="28"/>
          <w:szCs w:val="28"/>
          <w:highlight w:val="none"/>
          <w:lang w:val="en-US" w:eastAsia="zh-CN" w:bidi="ar-SA"/>
        </w:rPr>
        <w:t>行业；制造商为</w:t>
      </w:r>
      <w:r>
        <w:rPr>
          <w:rFonts w:hint="eastAsia" w:ascii="仿宋_GB2312" w:hAnsi="仿宋_GB2312" w:eastAsia="仿宋_GB2312" w:cs="仿宋_GB2312"/>
          <w:color w:val="auto"/>
          <w:kern w:val="2"/>
          <w:sz w:val="28"/>
          <w:szCs w:val="28"/>
          <w:highlight w:val="none"/>
          <w:u w:val="single"/>
          <w:lang w:val="en-US" w:eastAsia="zh-CN" w:bidi="ar-SA"/>
        </w:rPr>
        <w:t>（企业名称）</w:t>
      </w:r>
      <w:r>
        <w:rPr>
          <w:rFonts w:hint="eastAsia" w:ascii="仿宋_GB2312" w:hAnsi="仿宋_GB2312" w:eastAsia="仿宋_GB2312" w:cs="仿宋_GB2312"/>
          <w:color w:val="auto"/>
          <w:kern w:val="2"/>
          <w:sz w:val="28"/>
          <w:szCs w:val="28"/>
          <w:highlight w:val="none"/>
          <w:lang w:val="en-US" w:eastAsia="zh-CN" w:bidi="ar-SA"/>
        </w:rPr>
        <w:t>，从业人员</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single"/>
          <w:lang w:val="en-US" w:eastAsia="zh-CN" w:bidi="ar-SA"/>
        </w:rPr>
        <w:tab/>
      </w:r>
      <w:r>
        <w:rPr>
          <w:rFonts w:hint="eastAsia" w:ascii="仿宋_GB2312" w:hAnsi="仿宋_GB2312" w:eastAsia="仿宋_GB2312" w:cs="仿宋_GB2312"/>
          <w:color w:val="auto"/>
          <w:kern w:val="2"/>
          <w:sz w:val="28"/>
          <w:szCs w:val="28"/>
          <w:highlight w:val="none"/>
          <w:lang w:val="en-US" w:eastAsia="zh-CN" w:bidi="ar-SA"/>
        </w:rPr>
        <w:t>人，营业收入为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single"/>
          <w:lang w:val="en-US" w:eastAsia="zh-CN" w:bidi="ar-SA"/>
        </w:rPr>
        <w:tab/>
      </w:r>
      <w:r>
        <w:rPr>
          <w:rFonts w:hint="eastAsia" w:ascii="仿宋_GB2312" w:hAnsi="仿宋_GB2312" w:eastAsia="仿宋_GB2312" w:cs="仿宋_GB2312"/>
          <w:color w:val="auto"/>
          <w:kern w:val="2"/>
          <w:sz w:val="28"/>
          <w:szCs w:val="28"/>
          <w:highlight w:val="none"/>
          <w:lang w:val="en-US" w:eastAsia="zh-CN" w:bidi="ar-SA"/>
        </w:rPr>
        <w:t>万元，资产总额为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single"/>
          <w:lang w:val="en-US" w:eastAsia="zh-CN" w:bidi="ar-SA"/>
        </w:rPr>
        <w:tab/>
      </w:r>
      <w:r>
        <w:rPr>
          <w:rFonts w:hint="eastAsia" w:ascii="仿宋_GB2312" w:hAnsi="仿宋_GB2312" w:eastAsia="仿宋_GB2312" w:cs="仿宋_GB2312"/>
          <w:color w:val="auto"/>
          <w:kern w:val="2"/>
          <w:sz w:val="28"/>
          <w:szCs w:val="28"/>
          <w:highlight w:val="none"/>
          <w:lang w:val="en-US" w:eastAsia="zh-CN" w:bidi="ar-SA"/>
        </w:rPr>
        <w:t>万元，属于</w:t>
      </w:r>
      <w:r>
        <w:rPr>
          <w:rFonts w:hint="eastAsia" w:ascii="仿宋_GB2312" w:hAnsi="仿宋_GB2312" w:eastAsia="仿宋_GB2312" w:cs="仿宋_GB2312"/>
          <w:color w:val="auto"/>
          <w:kern w:val="2"/>
          <w:sz w:val="28"/>
          <w:szCs w:val="28"/>
          <w:highlight w:val="none"/>
          <w:u w:val="single"/>
          <w:lang w:val="en-US" w:eastAsia="zh-CN" w:bidi="ar-SA"/>
        </w:rPr>
        <w:t>（中型企业、小型企业、微型企业）</w:t>
      </w:r>
      <w:r>
        <w:rPr>
          <w:rFonts w:hint="eastAsia" w:ascii="仿宋_GB2312" w:hAnsi="仿宋_GB2312" w:eastAsia="仿宋_GB2312" w:cs="仿宋_GB2312"/>
          <w:color w:val="auto"/>
          <w:kern w:val="2"/>
          <w:sz w:val="28"/>
          <w:szCs w:val="28"/>
          <w:highlight w:val="none"/>
          <w:lang w:val="en-US" w:eastAsia="zh-CN" w:bidi="ar-SA"/>
        </w:rPr>
        <w:t>；</w:t>
      </w:r>
    </w:p>
    <w:p w14:paraId="1F5E9B7D">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以上企业，不属于大企业的分支机构，不存在控股股东为大企业的情形，也不存在与大企业的负责人为同一人的情形。</w:t>
      </w:r>
    </w:p>
    <w:p w14:paraId="5A47040B">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本企业对上述声明内容的真实性负责。如有虚假，将依法承担相应责任。</w:t>
      </w:r>
    </w:p>
    <w:p w14:paraId="7213CB4A">
      <w:pPr>
        <w:pStyle w:val="8"/>
        <w:keepLines w:val="0"/>
        <w:pageBreakBefore w:val="0"/>
        <w:kinsoku/>
        <w:wordWrap/>
        <w:overflowPunct/>
        <w:topLinePunct w:val="0"/>
        <w:bidi w:val="0"/>
        <w:spacing w:line="560" w:lineRule="exact"/>
        <w:ind w:firstLine="645"/>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w:t>
      </w:r>
    </w:p>
    <w:p w14:paraId="2720A994">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企业名称（盖章）：</w:t>
      </w:r>
    </w:p>
    <w:p w14:paraId="624A7B50">
      <w:pPr>
        <w:pStyle w:val="8"/>
        <w:keepLines w:val="0"/>
        <w:pageBreakBefore w:val="0"/>
        <w:kinsoku/>
        <w:wordWrap/>
        <w:overflowPunct/>
        <w:topLinePunct w:val="0"/>
        <w:bidi w:val="0"/>
        <w:spacing w:line="560" w:lineRule="exact"/>
        <w:ind w:firstLine="645"/>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日期：</w:t>
      </w:r>
    </w:p>
    <w:p w14:paraId="0FF1D902">
      <w:pPr>
        <w:keepLines w:val="0"/>
        <w:pageBreakBefore w:val="0"/>
        <w:kinsoku/>
        <w:wordWrap/>
        <w:overflowPunct/>
        <w:topLinePunct w:val="0"/>
        <w:bidi w:val="0"/>
        <w:spacing w:line="560" w:lineRule="exact"/>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从业人员、营业收入、资产总额填报上一年度数据，无上一年度数据的新成立企业可不填报。</w:t>
      </w:r>
    </w:p>
    <w:p w14:paraId="50E53B03">
      <w:pPr>
        <w:pStyle w:val="8"/>
        <w:keepLines w:val="0"/>
        <w:pageBreakBefore w:val="0"/>
        <w:kinsoku/>
        <w:wordWrap/>
        <w:overflowPunct/>
        <w:topLinePunct w:val="0"/>
        <w:bidi w:val="0"/>
        <w:spacing w:line="560" w:lineRule="exact"/>
        <w:rPr>
          <w:rFonts w:hint="eastAsia"/>
          <w:color w:val="auto"/>
          <w:highlight w:val="none"/>
        </w:rPr>
      </w:pPr>
    </w:p>
    <w:p w14:paraId="25D2E3BE">
      <w:pPr>
        <w:pStyle w:val="8"/>
        <w:keepLines w:val="0"/>
        <w:pageBreakBefore w:val="0"/>
        <w:kinsoku/>
        <w:wordWrap/>
        <w:overflowPunct/>
        <w:topLinePunct w:val="0"/>
        <w:bidi w:val="0"/>
        <w:spacing w:line="560" w:lineRule="exact"/>
        <w:rPr>
          <w:rFonts w:hint="eastAsia"/>
          <w:color w:val="auto"/>
          <w:highlight w:val="none"/>
        </w:rPr>
      </w:pPr>
    </w:p>
    <w:p w14:paraId="6A661FBA">
      <w:pPr>
        <w:pStyle w:val="8"/>
        <w:keepLines w:val="0"/>
        <w:pageBreakBefore w:val="0"/>
        <w:kinsoku/>
        <w:wordWrap/>
        <w:overflowPunct/>
        <w:topLinePunct w:val="0"/>
        <w:bidi w:val="0"/>
        <w:spacing w:line="560" w:lineRule="exact"/>
        <w:rPr>
          <w:rFonts w:hint="eastAsia"/>
          <w:color w:val="auto"/>
          <w:highlight w:val="none"/>
        </w:rPr>
      </w:pPr>
    </w:p>
    <w:p w14:paraId="7E396FF4">
      <w:pPr>
        <w:spacing w:line="560" w:lineRule="exact"/>
        <w:rPr>
          <w:rFonts w:hint="eastAsia"/>
          <w:color w:val="auto"/>
          <w:highlight w:val="none"/>
        </w:rPr>
      </w:pPr>
    </w:p>
    <w:p w14:paraId="71F8300D">
      <w:pPr>
        <w:keepLines w:val="0"/>
        <w:pageBreakBefore w:val="0"/>
        <w:kinsoku/>
        <w:wordWrap/>
        <w:overflowPunct/>
        <w:topLinePunct w:val="0"/>
        <w:bidi w:val="0"/>
        <w:spacing w:line="560" w:lineRule="exact"/>
        <w:jc w:val="center"/>
        <w:rPr>
          <w:b/>
          <w:color w:val="auto"/>
          <w:sz w:val="36"/>
          <w:szCs w:val="36"/>
          <w:highlight w:val="none"/>
        </w:rPr>
      </w:pPr>
      <w:r>
        <w:rPr>
          <w:rFonts w:hint="eastAsia"/>
          <w:b/>
          <w:color w:val="auto"/>
          <w:sz w:val="36"/>
          <w:szCs w:val="36"/>
          <w:highlight w:val="none"/>
        </w:rPr>
        <w:t>（二）残疾人福利性单位声明函</w:t>
      </w:r>
    </w:p>
    <w:p w14:paraId="73835A0F">
      <w:pPr>
        <w:keepLines w:val="0"/>
        <w:pageBreakBefore w:val="0"/>
        <w:kinsoku/>
        <w:wordWrap/>
        <w:overflowPunct/>
        <w:topLinePunct w:val="0"/>
        <w:bidi w:val="0"/>
        <w:spacing w:line="560" w:lineRule="exact"/>
        <w:ind w:firstLine="640" w:firstLineChars="200"/>
        <w:jc w:val="left"/>
        <w:rPr>
          <w:rFonts w:hint="eastAsia" w:ascii="仿宋_GB2312" w:hAnsi="仿宋_GB2312" w:eastAsia="仿宋_GB2312" w:cs="仿宋_GB2312"/>
          <w:color w:val="auto"/>
          <w:sz w:val="32"/>
          <w:szCs w:val="32"/>
          <w:highlight w:val="none"/>
        </w:rPr>
      </w:pPr>
    </w:p>
    <w:p w14:paraId="742E15D8">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本单位知悉《促进残疾人就业政府采购政策的通知》（财库〔2017〕141号）的规定，承诺提供的声明函内容是真实的，如提供声明函内容不实，则依法追究相关法律责任。</w:t>
      </w:r>
    </w:p>
    <w:p w14:paraId="52AE4FD2">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B834C81">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本单位对上述声明的真实性负责。如有虚假，将依法承担相应责任。</w:t>
      </w:r>
    </w:p>
    <w:p w14:paraId="3CE410F8">
      <w:pPr>
        <w:pStyle w:val="8"/>
        <w:keepLines w:val="0"/>
        <w:pageBreakBefore w:val="0"/>
        <w:tabs>
          <w:tab w:val="left" w:pos="562"/>
          <w:tab w:val="left" w:pos="3372"/>
          <w:tab w:val="left" w:pos="3653"/>
        </w:tabs>
        <w:kinsoku/>
        <w:wordWrap/>
        <w:overflowPunct/>
        <w:topLinePunct w:val="0"/>
        <w:bidi w:val="0"/>
        <w:spacing w:line="560" w:lineRule="exact"/>
        <w:rPr>
          <w:rFonts w:hint="eastAsia" w:ascii="仿宋_GB2312" w:hAnsi="仿宋_GB2312" w:eastAsia="仿宋_GB2312" w:cs="仿宋_GB2312"/>
          <w:color w:val="auto"/>
          <w:sz w:val="28"/>
          <w:szCs w:val="28"/>
          <w:highlight w:val="none"/>
        </w:rPr>
      </w:pPr>
    </w:p>
    <w:p w14:paraId="19EBDFC9">
      <w:pPr>
        <w:keepLines w:val="0"/>
        <w:pageBreakBefore w:val="0"/>
        <w:kinsoku/>
        <w:wordWrap/>
        <w:overflowPunct/>
        <w:topLinePunct w:val="0"/>
        <w:bidi w:val="0"/>
        <w:spacing w:line="560" w:lineRule="exact"/>
        <w:rPr>
          <w:color w:val="auto"/>
          <w:sz w:val="28"/>
          <w:szCs w:val="28"/>
          <w:highlight w:val="none"/>
        </w:rPr>
      </w:pPr>
    </w:p>
    <w:p w14:paraId="7E10FAA5">
      <w:pPr>
        <w:keepLines w:val="0"/>
        <w:pageBreakBefore w:val="0"/>
        <w:kinsoku/>
        <w:wordWrap/>
        <w:overflowPunct/>
        <w:topLinePunct w:val="0"/>
        <w:bidi w:val="0"/>
        <w:spacing w:line="560" w:lineRule="exact"/>
        <w:ind w:firstLine="3920" w:firstLineChars="14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单位名称（盖章）：</w:t>
      </w:r>
    </w:p>
    <w:p w14:paraId="7889E27D">
      <w:pPr>
        <w:keepLines w:val="0"/>
        <w:pageBreakBefore w:val="0"/>
        <w:kinsoku/>
        <w:wordWrap/>
        <w:overflowPunct/>
        <w:topLinePunct w:val="0"/>
        <w:bidi w:val="0"/>
        <w:spacing w:line="560" w:lineRule="exact"/>
        <w:ind w:firstLine="3920" w:firstLineChars="14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日  期：</w:t>
      </w:r>
    </w:p>
    <w:p w14:paraId="70A4749D">
      <w:pPr>
        <w:keepLines w:val="0"/>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p>
    <w:p w14:paraId="77686A28">
      <w:pPr>
        <w:pStyle w:val="3"/>
        <w:spacing w:line="560" w:lineRule="exact"/>
        <w:rPr>
          <w:rFonts w:hint="eastAsia" w:ascii="仿宋_GB2312" w:hAnsi="仿宋_GB2312" w:eastAsia="仿宋_GB2312" w:cs="仿宋_GB2312"/>
          <w:color w:val="auto"/>
          <w:sz w:val="32"/>
          <w:szCs w:val="32"/>
          <w:highlight w:val="none"/>
        </w:rPr>
      </w:pPr>
    </w:p>
    <w:p w14:paraId="3F975F3E">
      <w:pPr>
        <w:spacing w:line="560" w:lineRule="exact"/>
        <w:rPr>
          <w:rFonts w:hint="eastAsia" w:ascii="仿宋_GB2312" w:hAnsi="仿宋_GB2312" w:eastAsia="仿宋_GB2312" w:cs="仿宋_GB2312"/>
          <w:color w:val="auto"/>
          <w:sz w:val="32"/>
          <w:szCs w:val="32"/>
          <w:highlight w:val="none"/>
        </w:rPr>
      </w:pPr>
    </w:p>
    <w:p w14:paraId="3BC86F61">
      <w:pPr>
        <w:spacing w:line="560" w:lineRule="exact"/>
        <w:rPr>
          <w:rFonts w:hint="eastAsia" w:ascii="仿宋_GB2312" w:hAnsi="仿宋_GB2312" w:eastAsia="仿宋_GB2312" w:cs="仿宋_GB2312"/>
          <w:color w:val="auto"/>
          <w:sz w:val="32"/>
          <w:szCs w:val="32"/>
          <w:highlight w:val="none"/>
        </w:rPr>
      </w:pPr>
    </w:p>
    <w:p w14:paraId="1535F3DE">
      <w:pPr>
        <w:spacing w:line="560" w:lineRule="exact"/>
        <w:rPr>
          <w:rFonts w:hint="eastAsia" w:ascii="仿宋_GB2312" w:hAnsi="仿宋_GB2312" w:eastAsia="仿宋_GB2312" w:cs="仿宋_GB2312"/>
          <w:color w:val="auto"/>
          <w:sz w:val="32"/>
          <w:szCs w:val="32"/>
          <w:highlight w:val="none"/>
        </w:rPr>
      </w:pPr>
    </w:p>
    <w:p w14:paraId="7B19C096">
      <w:pPr>
        <w:spacing w:line="560" w:lineRule="exact"/>
        <w:rPr>
          <w:rFonts w:hint="eastAsia" w:ascii="仿宋_GB2312" w:hAnsi="仿宋_GB2312" w:eastAsia="仿宋_GB2312" w:cs="仿宋_GB2312"/>
          <w:color w:val="auto"/>
          <w:sz w:val="32"/>
          <w:szCs w:val="32"/>
          <w:highlight w:val="none"/>
        </w:rPr>
      </w:pPr>
    </w:p>
    <w:p w14:paraId="669E605E">
      <w:pPr>
        <w:pStyle w:val="3"/>
        <w:spacing w:line="560" w:lineRule="exact"/>
        <w:rPr>
          <w:rFonts w:hint="eastAsia"/>
          <w:color w:val="auto"/>
          <w:highlight w:val="none"/>
        </w:rPr>
      </w:pPr>
    </w:p>
    <w:p w14:paraId="676BA1E7">
      <w:pPr>
        <w:keepLines w:val="0"/>
        <w:pageBreakBefore w:val="0"/>
        <w:numPr>
          <w:ilvl w:val="0"/>
          <w:numId w:val="4"/>
        </w:numPr>
        <w:kinsoku/>
        <w:wordWrap/>
        <w:overflowPunct/>
        <w:topLinePunct w:val="0"/>
        <w:bidi w:val="0"/>
        <w:spacing w:line="560" w:lineRule="exact"/>
        <w:jc w:val="center"/>
        <w:rPr>
          <w:b/>
          <w:color w:val="auto"/>
          <w:sz w:val="36"/>
          <w:szCs w:val="36"/>
          <w:highlight w:val="none"/>
        </w:rPr>
      </w:pPr>
      <w:r>
        <w:rPr>
          <w:rFonts w:hint="eastAsia"/>
          <w:b/>
          <w:color w:val="auto"/>
          <w:sz w:val="36"/>
          <w:szCs w:val="36"/>
          <w:highlight w:val="none"/>
        </w:rPr>
        <w:t>监狱企业声明函</w:t>
      </w:r>
    </w:p>
    <w:p w14:paraId="345B673A">
      <w:pPr>
        <w:pStyle w:val="8"/>
        <w:keepLines w:val="0"/>
        <w:pageBreakBefore w:val="0"/>
        <w:kinsoku/>
        <w:wordWrap/>
        <w:overflowPunct/>
        <w:topLinePunct w:val="0"/>
        <w:bidi w:val="0"/>
        <w:spacing w:line="560" w:lineRule="exact"/>
        <w:rPr>
          <w:rFonts w:hint="eastAsia"/>
          <w:color w:val="auto"/>
          <w:highlight w:val="none"/>
        </w:rPr>
      </w:pPr>
    </w:p>
    <w:p w14:paraId="3281807B">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15D8AC1C">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本单位对上述声明的真实性负责。如有虚假，将依法承担相应责任。</w:t>
      </w:r>
    </w:p>
    <w:p w14:paraId="4DCA1398">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附：省级以上监狱管理局、戒毒管理局（含新疆生产建设兵团）出具的监狱企业证明文件。</w:t>
      </w:r>
    </w:p>
    <w:p w14:paraId="72425F84">
      <w:pPr>
        <w:keepLines w:val="0"/>
        <w:pageBreakBefore w:val="0"/>
        <w:kinsoku/>
        <w:wordWrap/>
        <w:overflowPunct/>
        <w:topLinePunct w:val="0"/>
        <w:bidi w:val="0"/>
        <w:spacing w:line="560" w:lineRule="exact"/>
        <w:ind w:firstLine="560" w:firstLineChars="200"/>
        <w:jc w:val="left"/>
        <w:rPr>
          <w:rFonts w:hint="eastAsia" w:ascii="仿宋_GB2312" w:hAnsi="仿宋_GB2312" w:eastAsia="仿宋_GB2312" w:cs="仿宋_GB2312"/>
          <w:color w:val="auto"/>
          <w:sz w:val="28"/>
          <w:szCs w:val="28"/>
          <w:highlight w:val="none"/>
        </w:rPr>
      </w:pPr>
    </w:p>
    <w:p w14:paraId="77D8EEFE">
      <w:pPr>
        <w:pStyle w:val="8"/>
        <w:keepLines w:val="0"/>
        <w:pageBreakBefore w:val="0"/>
        <w:kinsoku/>
        <w:wordWrap/>
        <w:overflowPunct/>
        <w:topLinePunct w:val="0"/>
        <w:bidi w:val="0"/>
        <w:spacing w:line="560" w:lineRule="exact"/>
        <w:rPr>
          <w:rFonts w:hint="eastAsia"/>
          <w:color w:val="auto"/>
          <w:sz w:val="28"/>
          <w:szCs w:val="28"/>
          <w:highlight w:val="none"/>
        </w:rPr>
      </w:pPr>
    </w:p>
    <w:p w14:paraId="79986500">
      <w:pPr>
        <w:keepLines w:val="0"/>
        <w:pageBreakBefore w:val="0"/>
        <w:kinsoku/>
        <w:wordWrap/>
        <w:overflowPunct/>
        <w:topLinePunct w:val="0"/>
        <w:bidi w:val="0"/>
        <w:spacing w:line="560" w:lineRule="exact"/>
        <w:ind w:firstLine="4480" w:firstLineChars="16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单位名称（盖章）：</w:t>
      </w:r>
    </w:p>
    <w:p w14:paraId="60583C68">
      <w:pPr>
        <w:keepLines w:val="0"/>
        <w:pageBreakBefore w:val="0"/>
        <w:kinsoku/>
        <w:wordWrap/>
        <w:overflowPunct/>
        <w:topLinePunct w:val="0"/>
        <w:bidi w:val="0"/>
        <w:spacing w:line="560" w:lineRule="exact"/>
        <w:ind w:firstLine="4480" w:firstLineChars="1600"/>
        <w:jc w:val="left"/>
        <w:rPr>
          <w:b/>
          <w:color w:val="auto"/>
          <w:sz w:val="28"/>
          <w:szCs w:val="28"/>
          <w:highlight w:val="none"/>
        </w:rPr>
      </w:pPr>
      <w:r>
        <w:rPr>
          <w:rFonts w:hint="eastAsia" w:ascii="仿宋_GB2312" w:hAnsi="仿宋_GB2312" w:eastAsia="仿宋_GB2312" w:cs="仿宋_GB2312"/>
          <w:color w:val="auto"/>
          <w:sz w:val="28"/>
          <w:szCs w:val="28"/>
          <w:highlight w:val="none"/>
        </w:rPr>
        <w:t>日  期：</w:t>
      </w:r>
    </w:p>
    <w:p w14:paraId="0B22127C">
      <w:pPr>
        <w:pStyle w:val="4"/>
        <w:keepLines w:val="0"/>
        <w:pageBreakBefore w:val="0"/>
        <w:kinsoku/>
        <w:wordWrap/>
        <w:overflowPunct/>
        <w:topLinePunct w:val="0"/>
        <w:bidi w:val="0"/>
        <w:spacing w:beforeAutospacing="0" w:afterAutospacing="0" w:line="560" w:lineRule="exact"/>
        <w:ind w:firstLine="643" w:firstLineChars="200"/>
        <w:jc w:val="both"/>
        <w:rPr>
          <w:rFonts w:hint="default" w:ascii="Calibri" w:hAnsi="Calibri" w:cs="黑体"/>
          <w:b/>
          <w:color w:val="auto"/>
          <w:kern w:val="2"/>
          <w:sz w:val="32"/>
          <w:szCs w:val="32"/>
          <w:highlight w:val="none"/>
        </w:rPr>
      </w:pPr>
    </w:p>
    <w:p w14:paraId="28C84C2A">
      <w:pPr>
        <w:pStyle w:val="4"/>
        <w:keepLines w:val="0"/>
        <w:pageBreakBefore w:val="0"/>
        <w:kinsoku/>
        <w:wordWrap/>
        <w:overflowPunct/>
        <w:topLinePunct w:val="0"/>
        <w:bidi w:val="0"/>
        <w:spacing w:beforeAutospacing="0" w:afterAutospacing="0" w:line="560" w:lineRule="exact"/>
        <w:ind w:firstLine="643" w:firstLineChars="200"/>
        <w:jc w:val="both"/>
        <w:rPr>
          <w:rFonts w:hint="default" w:ascii="Calibri" w:hAnsi="Calibri" w:cs="黑体"/>
          <w:b/>
          <w:color w:val="auto"/>
          <w:kern w:val="2"/>
          <w:sz w:val="32"/>
          <w:szCs w:val="32"/>
          <w:highlight w:val="none"/>
        </w:rPr>
      </w:pPr>
    </w:p>
    <w:p w14:paraId="102DF739">
      <w:pPr>
        <w:keepLines w:val="0"/>
        <w:pageBreakBefore w:val="0"/>
        <w:kinsoku/>
        <w:wordWrap/>
        <w:overflowPunct/>
        <w:topLinePunct w:val="0"/>
        <w:bidi w:val="0"/>
        <w:spacing w:line="560" w:lineRule="exact"/>
        <w:rPr>
          <w:color w:val="auto"/>
          <w:highlight w:val="none"/>
        </w:rPr>
        <w:sectPr>
          <w:headerReference r:id="rId3" w:type="default"/>
          <w:footerReference r:id="rId4" w:type="default"/>
          <w:pgSz w:w="11906" w:h="16838"/>
          <w:pgMar w:top="1644" w:right="1474" w:bottom="1531" w:left="1474" w:header="31" w:footer="1587" w:gutter="0"/>
          <w:pgNumType w:fmt="numberInDash"/>
          <w:cols w:space="720" w:num="1"/>
          <w:docGrid w:type="lines" w:linePitch="312" w:charSpace="0"/>
        </w:sectPr>
      </w:pPr>
    </w:p>
    <w:tbl>
      <w:tblPr>
        <w:tblStyle w:val="19"/>
        <w:tblW w:w="13061" w:type="dxa"/>
        <w:tblInd w:w="0" w:type="dxa"/>
        <w:tblLayout w:type="fixed"/>
        <w:tblCellMar>
          <w:top w:w="15" w:type="dxa"/>
          <w:left w:w="15" w:type="dxa"/>
          <w:bottom w:w="15" w:type="dxa"/>
          <w:right w:w="15" w:type="dxa"/>
        </w:tblCellMar>
      </w:tblPr>
      <w:tblGrid>
        <w:gridCol w:w="7515"/>
        <w:gridCol w:w="5546"/>
      </w:tblGrid>
      <w:tr w14:paraId="2ABF3F3D">
        <w:tblPrEx>
          <w:tblCellMar>
            <w:top w:w="15" w:type="dxa"/>
            <w:left w:w="15" w:type="dxa"/>
            <w:bottom w:w="15" w:type="dxa"/>
            <w:right w:w="15" w:type="dxa"/>
          </w:tblCellMar>
        </w:tblPrEx>
        <w:trPr>
          <w:trHeight w:val="705" w:hRule="atLeast"/>
        </w:trPr>
        <w:tc>
          <w:tcPr>
            <w:tcW w:w="13061" w:type="dxa"/>
            <w:gridSpan w:val="2"/>
            <w:noWrap/>
            <w:vAlign w:val="center"/>
          </w:tcPr>
          <w:p w14:paraId="059F026E">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kern w:val="0"/>
                <w:sz w:val="44"/>
                <w:szCs w:val="44"/>
                <w:highlight w:val="none"/>
              </w:rPr>
            </w:pPr>
          </w:p>
          <w:p w14:paraId="1B67C4C9">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sz w:val="44"/>
                <w:szCs w:val="44"/>
                <w:highlight w:val="none"/>
              </w:rPr>
            </w:pPr>
            <w:r>
              <w:rPr>
                <w:rFonts w:hint="eastAsia" w:ascii="仿宋" w:hAnsi="仿宋" w:eastAsia="仿宋" w:cs="仿宋"/>
                <w:b/>
                <w:color w:val="auto"/>
                <w:kern w:val="0"/>
                <w:sz w:val="44"/>
                <w:szCs w:val="44"/>
                <w:highlight w:val="none"/>
              </w:rPr>
              <w:t>开标一览表</w:t>
            </w:r>
          </w:p>
        </w:tc>
      </w:tr>
      <w:tr w14:paraId="174559B3">
        <w:tblPrEx>
          <w:tblCellMar>
            <w:top w:w="15" w:type="dxa"/>
            <w:left w:w="15" w:type="dxa"/>
            <w:bottom w:w="15" w:type="dxa"/>
            <w:right w:w="15" w:type="dxa"/>
          </w:tblCellMar>
        </w:tblPrEx>
        <w:trPr>
          <w:trHeight w:val="524" w:hRule="atLeast"/>
        </w:trPr>
        <w:tc>
          <w:tcPr>
            <w:tcW w:w="13061" w:type="dxa"/>
            <w:gridSpan w:val="2"/>
            <w:tcBorders>
              <w:top w:val="single" w:color="000000" w:sz="4" w:space="0"/>
              <w:left w:val="single" w:color="000000" w:sz="4" w:space="0"/>
              <w:bottom w:val="single" w:color="000000" w:sz="4" w:space="0"/>
              <w:right w:val="single" w:color="000000" w:sz="4" w:space="0"/>
            </w:tcBorders>
            <w:noWrap/>
            <w:vAlign w:val="center"/>
          </w:tcPr>
          <w:p w14:paraId="59501BF2">
            <w:pPr>
              <w:keepLines w:val="0"/>
              <w:pageBreakBefore w:val="0"/>
              <w:widowControl/>
              <w:kinsoku/>
              <w:wordWrap/>
              <w:overflowPunct/>
              <w:topLinePunct w:val="0"/>
              <w:bidi w:val="0"/>
              <w:spacing w:line="560" w:lineRule="exact"/>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32"/>
                <w:szCs w:val="32"/>
                <w:highlight w:val="none"/>
              </w:rPr>
              <w:t>投标人名称：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32"/>
                <w:szCs w:val="32"/>
                <w:highlight w:val="none"/>
              </w:rPr>
              <w:t>采购项目编号：</w:t>
            </w:r>
            <w:r>
              <w:rPr>
                <w:rFonts w:hint="eastAsia" w:ascii="仿宋" w:hAnsi="仿宋" w:eastAsia="仿宋" w:cs="仿宋"/>
                <w:color w:val="auto"/>
                <w:kern w:val="0"/>
                <w:sz w:val="32"/>
                <w:szCs w:val="32"/>
                <w:highlight w:val="none"/>
                <w:lang w:val="en-US" w:eastAsia="zh-CN"/>
              </w:rPr>
              <w:t>深龙七医采[LGQY2026ZW007]</w:t>
            </w:r>
          </w:p>
        </w:tc>
      </w:tr>
      <w:tr w14:paraId="4042833D">
        <w:tblPrEx>
          <w:tblCellMar>
            <w:top w:w="15" w:type="dxa"/>
            <w:left w:w="15" w:type="dxa"/>
            <w:bottom w:w="15" w:type="dxa"/>
            <w:right w:w="15" w:type="dxa"/>
          </w:tblCellMar>
        </w:tblPrEx>
        <w:trPr>
          <w:trHeight w:val="509" w:hRule="atLeast"/>
        </w:trPr>
        <w:tc>
          <w:tcPr>
            <w:tcW w:w="7515" w:type="dxa"/>
            <w:tcBorders>
              <w:top w:val="single" w:color="000000" w:sz="4" w:space="0"/>
              <w:left w:val="single" w:color="000000" w:sz="4" w:space="0"/>
              <w:bottom w:val="single" w:color="000000" w:sz="4" w:space="0"/>
              <w:right w:val="single" w:color="000000" w:sz="4" w:space="0"/>
            </w:tcBorders>
            <w:noWrap/>
            <w:vAlign w:val="center"/>
          </w:tcPr>
          <w:p w14:paraId="0BFA128B">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p>
        </w:tc>
        <w:tc>
          <w:tcPr>
            <w:tcW w:w="5546" w:type="dxa"/>
            <w:tcBorders>
              <w:top w:val="single" w:color="000000" w:sz="4" w:space="0"/>
              <w:left w:val="single" w:color="000000" w:sz="4" w:space="0"/>
              <w:bottom w:val="single" w:color="000000" w:sz="4" w:space="0"/>
              <w:right w:val="single" w:color="000000" w:sz="4" w:space="0"/>
            </w:tcBorders>
            <w:noWrap/>
            <w:vAlign w:val="center"/>
          </w:tcPr>
          <w:p w14:paraId="28848ABB">
            <w:pPr>
              <w:keepLines w:val="0"/>
              <w:pageBreakBefore w:val="0"/>
              <w:widowControl/>
              <w:kinsoku/>
              <w:wordWrap/>
              <w:overflowPunct/>
              <w:topLinePunct w:val="0"/>
              <w:bidi w:val="0"/>
              <w:spacing w:line="560" w:lineRule="exact"/>
              <w:jc w:val="center"/>
              <w:textAlignment w:val="center"/>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投标报价（元）</w:t>
            </w:r>
          </w:p>
        </w:tc>
      </w:tr>
      <w:tr w14:paraId="557BB0D7">
        <w:tblPrEx>
          <w:tblCellMar>
            <w:top w:w="15" w:type="dxa"/>
            <w:left w:w="15" w:type="dxa"/>
            <w:bottom w:w="15" w:type="dxa"/>
            <w:right w:w="15" w:type="dxa"/>
          </w:tblCellMar>
        </w:tblPrEx>
        <w:trPr>
          <w:trHeight w:val="655" w:hRule="atLeast"/>
        </w:trPr>
        <w:tc>
          <w:tcPr>
            <w:tcW w:w="7515" w:type="dxa"/>
            <w:tcBorders>
              <w:top w:val="single" w:color="000000" w:sz="4" w:space="0"/>
              <w:left w:val="single" w:color="000000" w:sz="4" w:space="0"/>
              <w:bottom w:val="single" w:color="000000" w:sz="4" w:space="0"/>
              <w:right w:val="single" w:color="000000" w:sz="4" w:space="0"/>
            </w:tcBorders>
            <w:noWrap/>
            <w:vAlign w:val="center"/>
          </w:tcPr>
          <w:p w14:paraId="595F5E9A">
            <w:pPr>
              <w:pStyle w:val="26"/>
              <w:keepNext w:val="0"/>
              <w:keepLines w:val="0"/>
              <w:pageBreakBefore w:val="0"/>
              <w:widowControl/>
              <w:numPr>
                <w:ilvl w:val="0"/>
                <w:numId w:val="0"/>
              </w:numPr>
              <w:kinsoku/>
              <w:wordWrap/>
              <w:overflowPunct/>
              <w:topLinePunct w:val="0"/>
              <w:autoSpaceDE/>
              <w:autoSpaceDN/>
              <w:bidi w:val="0"/>
              <w:adjustRightInd/>
              <w:snapToGrid w:val="0"/>
              <w:spacing w:line="560" w:lineRule="exact"/>
              <w:jc w:val="center"/>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深圳市龙岗区第七人民医院龙岭院区（除门诊楼外）</w:t>
            </w:r>
          </w:p>
          <w:p w14:paraId="6FD30DBB">
            <w:pPr>
              <w:pStyle w:val="26"/>
              <w:keepNext w:val="0"/>
              <w:keepLines w:val="0"/>
              <w:pageBreakBefore w:val="0"/>
              <w:widowControl/>
              <w:numPr>
                <w:ilvl w:val="0"/>
                <w:numId w:val="0"/>
              </w:numPr>
              <w:kinsoku/>
              <w:wordWrap/>
              <w:overflowPunct/>
              <w:topLinePunct w:val="0"/>
              <w:autoSpaceDE/>
              <w:autoSpaceDN/>
              <w:bidi w:val="0"/>
              <w:adjustRightInd/>
              <w:snapToGrid w:val="0"/>
              <w:spacing w:line="560" w:lineRule="exact"/>
              <w:jc w:val="center"/>
              <w:textAlignment w:val="auto"/>
              <w:rPr>
                <w:rFonts w:hint="eastAsia" w:eastAsia="宋体"/>
                <w:color w:val="auto"/>
                <w:sz w:val="22"/>
                <w:szCs w:val="28"/>
                <w:highlight w:val="none"/>
                <w:lang w:val="en-US" w:eastAsia="zh-CN"/>
              </w:rPr>
            </w:pPr>
            <w:r>
              <w:rPr>
                <w:rFonts w:hint="eastAsia" w:ascii="仿宋" w:hAnsi="仿宋" w:eastAsia="仿宋" w:cs="仿宋"/>
                <w:color w:val="auto"/>
                <w:kern w:val="2"/>
                <w:sz w:val="32"/>
                <w:szCs w:val="32"/>
                <w:highlight w:val="none"/>
                <w:lang w:val="en-US" w:eastAsia="zh-CN" w:bidi="ar-SA"/>
              </w:rPr>
              <w:t>4栋建筑房屋结构安全检测鉴定服务项目</w:t>
            </w:r>
          </w:p>
        </w:tc>
        <w:tc>
          <w:tcPr>
            <w:tcW w:w="5546" w:type="dxa"/>
            <w:tcBorders>
              <w:top w:val="single" w:color="000000" w:sz="4" w:space="0"/>
              <w:left w:val="single" w:color="000000" w:sz="4" w:space="0"/>
              <w:bottom w:val="single" w:color="000000" w:sz="4" w:space="0"/>
              <w:right w:val="single" w:color="000000" w:sz="4" w:space="0"/>
            </w:tcBorders>
            <w:noWrap/>
            <w:vAlign w:val="center"/>
          </w:tcPr>
          <w:p w14:paraId="080B7034">
            <w:pPr>
              <w:spacing w:line="560" w:lineRule="exac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大写：</w:t>
            </w:r>
          </w:p>
          <w:p w14:paraId="5E607E33">
            <w:pPr>
              <w:keepLines w:val="0"/>
              <w:pageBreakBefore w:val="0"/>
              <w:kinsoku/>
              <w:wordWrap/>
              <w:overflowPunct/>
              <w:topLinePunct w:val="0"/>
              <w:bidi w:val="0"/>
              <w:spacing w:line="5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32"/>
                <w:szCs w:val="32"/>
                <w:highlight w:val="none"/>
                <w:lang w:val="en-US" w:eastAsia="zh-CN" w:bidi="ar-SA"/>
              </w:rPr>
              <w:t>小写：</w:t>
            </w:r>
          </w:p>
        </w:tc>
      </w:tr>
    </w:tbl>
    <w:p w14:paraId="5EE03769">
      <w:pPr>
        <w:keepLines w:val="0"/>
        <w:pageBreakBefore w:val="0"/>
        <w:kinsoku/>
        <w:wordWrap/>
        <w:overflowPunct/>
        <w:topLinePunct w:val="0"/>
        <w:bidi w:val="0"/>
        <w:spacing w:line="560" w:lineRule="exact"/>
        <w:ind w:left="425" w:hanging="42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w:t>
      </w:r>
    </w:p>
    <w:p w14:paraId="34BA0FBB">
      <w:pPr>
        <w:keepLines w:val="0"/>
        <w:pageBreakBefore w:val="0"/>
        <w:kinsoku/>
        <w:wordWrap/>
        <w:overflowPunct/>
        <w:topLinePunct w:val="0"/>
        <w:bidi w:val="0"/>
        <w:spacing w:line="560" w:lineRule="exact"/>
        <w:ind w:left="425" w:hanging="42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ascii="仿宋" w:hAnsi="仿宋" w:eastAsia="仿宋" w:cs="仿宋"/>
          <w:color w:val="auto"/>
          <w:sz w:val="28"/>
          <w:szCs w:val="28"/>
          <w:highlight w:val="none"/>
        </w:rPr>
        <w:t>.</w:t>
      </w:r>
      <w:r>
        <w:rPr>
          <w:rFonts w:hint="eastAsia" w:ascii="仿宋" w:hAnsi="仿宋" w:eastAsia="仿宋" w:cs="仿宋"/>
          <w:color w:val="auto"/>
          <w:sz w:val="28"/>
          <w:szCs w:val="28"/>
          <w:highlight w:val="none"/>
        </w:rPr>
        <w:t>开标一览表格式不得自行改动。</w:t>
      </w:r>
    </w:p>
    <w:p w14:paraId="2D761F7B">
      <w:pPr>
        <w:keepLines w:val="0"/>
        <w:pageBreakBefore w:val="0"/>
        <w:kinsoku/>
        <w:wordWrap/>
        <w:overflowPunct/>
        <w:topLinePunct w:val="0"/>
        <w:bidi w:val="0"/>
        <w:spacing w:line="560" w:lineRule="exact"/>
        <w:ind w:left="425" w:hanging="42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ascii="仿宋" w:hAnsi="仿宋" w:eastAsia="仿宋" w:cs="仿宋"/>
          <w:color w:val="auto"/>
          <w:sz w:val="28"/>
          <w:szCs w:val="28"/>
          <w:highlight w:val="none"/>
        </w:rPr>
        <w:t>.</w:t>
      </w:r>
      <w:r>
        <w:rPr>
          <w:rFonts w:hint="eastAsia" w:ascii="仿宋" w:hAnsi="仿宋" w:eastAsia="仿宋" w:cs="仿宋"/>
          <w:color w:val="auto"/>
          <w:sz w:val="28"/>
          <w:szCs w:val="28"/>
          <w:highlight w:val="none"/>
        </w:rPr>
        <w:t>价格条件为能否满足标书要求的投标报价。</w:t>
      </w:r>
    </w:p>
    <w:p w14:paraId="4718A2E4">
      <w:pPr>
        <w:keepLines w:val="0"/>
        <w:pageBreakBefore w:val="0"/>
        <w:kinsoku/>
        <w:wordWrap/>
        <w:overflowPunct/>
        <w:topLinePunct w:val="0"/>
        <w:bidi w:val="0"/>
        <w:spacing w:line="560" w:lineRule="exact"/>
        <w:rPr>
          <w:rFonts w:hint="eastAsia" w:ascii="仿宋" w:hAnsi="仿宋" w:eastAsia="仿宋" w:cs="仿宋"/>
          <w:color w:val="auto"/>
          <w:sz w:val="28"/>
          <w:szCs w:val="28"/>
          <w:highlight w:val="none"/>
        </w:rPr>
      </w:pPr>
    </w:p>
    <w:p w14:paraId="59C0C217">
      <w:pPr>
        <w:keepLines w:val="0"/>
        <w:pageBreakBefore w:val="0"/>
        <w:kinsoku/>
        <w:wordWrap/>
        <w:overflowPunct/>
        <w:topLinePunct w:val="0"/>
        <w:bidi w:val="0"/>
        <w:spacing w:line="560" w:lineRule="exact"/>
        <w:ind w:firstLine="6160" w:firstLineChars="2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法定代表人或其授权代表人（签字）：</w:t>
      </w:r>
    </w:p>
    <w:p w14:paraId="04C10D9D">
      <w:pPr>
        <w:keepLines w:val="0"/>
        <w:pageBreakBefore w:val="0"/>
        <w:kinsoku/>
        <w:wordWrap/>
        <w:overflowPunct/>
        <w:topLinePunct w:val="0"/>
        <w:bidi w:val="0"/>
        <w:spacing w:line="56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投标单位全称（加盖公章）：</w:t>
      </w:r>
    </w:p>
    <w:p w14:paraId="18D25523">
      <w:pPr>
        <w:keepLines w:val="0"/>
        <w:pageBreakBefore w:val="0"/>
        <w:kinsoku/>
        <w:wordWrap/>
        <w:overflowPunct/>
        <w:topLinePunct w:val="0"/>
        <w:bidi w:val="0"/>
        <w:spacing w:line="56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日期：      年    月    日</w:t>
      </w:r>
    </w:p>
    <w:p w14:paraId="125F7AE5">
      <w:pPr>
        <w:keepLines w:val="0"/>
        <w:pageBreakBefore w:val="0"/>
        <w:kinsoku/>
        <w:wordWrap/>
        <w:overflowPunct/>
        <w:topLinePunct w:val="0"/>
        <w:bidi w:val="0"/>
        <w:spacing w:line="560" w:lineRule="exact"/>
        <w:outlineLvl w:val="2"/>
        <w:rPr>
          <w:rFonts w:hint="eastAsia" w:ascii="宋体" w:cs="宋体"/>
          <w:b/>
          <w:color w:val="auto"/>
          <w:szCs w:val="21"/>
          <w:highlight w:val="none"/>
        </w:rPr>
      </w:pPr>
    </w:p>
    <w:p w14:paraId="4FB3A609">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kern w:val="0"/>
          <w:sz w:val="44"/>
          <w:szCs w:val="44"/>
          <w:highlight w:val="none"/>
          <w:lang w:val="zh-CN"/>
        </w:rPr>
      </w:pPr>
    </w:p>
    <w:p w14:paraId="5B466B33">
      <w:pPr>
        <w:keepLines w:val="0"/>
        <w:pageBreakBefore w:val="0"/>
        <w:widowControl/>
        <w:kinsoku/>
        <w:wordWrap/>
        <w:overflowPunct/>
        <w:topLinePunct w:val="0"/>
        <w:bidi w:val="0"/>
        <w:spacing w:line="560" w:lineRule="exact"/>
        <w:jc w:val="center"/>
        <w:textAlignment w:val="center"/>
        <w:rPr>
          <w:rFonts w:hint="eastAsia" w:ascii="仿宋" w:hAnsi="仿宋" w:eastAsia="仿宋" w:cs="仿宋"/>
          <w:b/>
          <w:color w:val="auto"/>
          <w:kern w:val="0"/>
          <w:sz w:val="44"/>
          <w:szCs w:val="44"/>
          <w:highlight w:val="none"/>
          <w:lang w:val="zh-CN"/>
        </w:rPr>
      </w:pPr>
      <w:r>
        <w:rPr>
          <w:rFonts w:hint="eastAsia" w:ascii="仿宋" w:hAnsi="仿宋" w:eastAsia="仿宋" w:cs="仿宋"/>
          <w:b/>
          <w:color w:val="auto"/>
          <w:kern w:val="0"/>
          <w:sz w:val="44"/>
          <w:szCs w:val="44"/>
          <w:highlight w:val="none"/>
          <w:lang w:val="zh-CN"/>
        </w:rPr>
        <w:t>分</w:t>
      </w:r>
      <w:r>
        <w:rPr>
          <w:rFonts w:hint="eastAsia" w:ascii="仿宋" w:hAnsi="仿宋" w:eastAsia="仿宋" w:cs="仿宋"/>
          <w:b/>
          <w:color w:val="auto"/>
          <w:kern w:val="0"/>
          <w:sz w:val="44"/>
          <w:szCs w:val="44"/>
          <w:highlight w:val="none"/>
          <w:lang w:val="en-US" w:eastAsia="zh-CN"/>
        </w:rPr>
        <w:t>项</w:t>
      </w:r>
      <w:r>
        <w:rPr>
          <w:rFonts w:hint="eastAsia" w:ascii="仿宋" w:hAnsi="仿宋" w:eastAsia="仿宋" w:cs="仿宋"/>
          <w:b/>
          <w:color w:val="auto"/>
          <w:kern w:val="0"/>
          <w:sz w:val="44"/>
          <w:szCs w:val="44"/>
          <w:highlight w:val="none"/>
          <w:lang w:val="zh-CN"/>
        </w:rPr>
        <w:t>报价表</w:t>
      </w:r>
    </w:p>
    <w:p w14:paraId="38E7340E">
      <w:pPr>
        <w:pStyle w:val="6"/>
        <w:rPr>
          <w:rFonts w:hint="eastAsia"/>
          <w:lang w:val="zh-CN"/>
        </w:rPr>
      </w:pPr>
    </w:p>
    <w:p w14:paraId="50E98499">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440"/>
        <w:textAlignment w:val="auto"/>
        <w:rPr>
          <w:rFonts w:hint="eastAsia" w:ascii="Calibri" w:hAnsi="Calibri" w:eastAsia="宋体" w:cs="黑体"/>
          <w:color w:val="auto"/>
          <w:kern w:val="2"/>
          <w:sz w:val="21"/>
          <w:szCs w:val="24"/>
          <w:highlight w:val="none"/>
          <w:lang w:val="zh-CN" w:eastAsia="zh-CN" w:bidi="ar-SA"/>
        </w:rPr>
      </w:pPr>
      <w:r>
        <w:rPr>
          <w:rFonts w:hint="eastAsia" w:ascii="Calibri" w:hAnsi="Calibri" w:eastAsia="宋体" w:cs="黑体"/>
          <w:color w:val="auto"/>
          <w:kern w:val="2"/>
          <w:sz w:val="21"/>
          <w:szCs w:val="24"/>
          <w:highlight w:val="none"/>
          <w:lang w:val="zh-CN" w:eastAsia="zh-CN" w:bidi="ar-SA"/>
        </w:rPr>
        <w:t>项目名称：</w:t>
      </w:r>
      <w:r>
        <w:rPr>
          <w:rFonts w:hint="eastAsia" w:ascii="Calibri" w:hAnsi="Calibri" w:eastAsia="宋体" w:cs="黑体"/>
          <w:color w:val="auto"/>
          <w:kern w:val="2"/>
          <w:sz w:val="21"/>
          <w:szCs w:val="24"/>
          <w:highlight w:val="none"/>
          <w:lang w:val="en-US" w:eastAsia="zh-CN" w:bidi="ar-SA"/>
        </w:rPr>
        <w:t>深圳市龙岗区第七人民医院龙岭院区（除门诊楼外）4栋建筑房屋结构安全检测鉴定服务项目</w:t>
      </w:r>
    </w:p>
    <w:p w14:paraId="6198BDC8">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440"/>
        <w:textAlignment w:val="auto"/>
        <w:rPr>
          <w:rFonts w:hint="default" w:ascii="Calibri" w:hAnsi="Calibri" w:eastAsia="宋体" w:cs="黑体"/>
          <w:color w:val="auto"/>
          <w:kern w:val="2"/>
          <w:sz w:val="21"/>
          <w:szCs w:val="24"/>
          <w:highlight w:val="none"/>
          <w:lang w:val="en-US" w:eastAsia="zh-CN" w:bidi="ar-SA"/>
        </w:rPr>
      </w:pPr>
      <w:r>
        <w:rPr>
          <w:rFonts w:hint="eastAsia" w:ascii="Calibri" w:hAnsi="Calibri" w:eastAsia="宋体" w:cs="黑体"/>
          <w:color w:val="auto"/>
          <w:kern w:val="2"/>
          <w:sz w:val="21"/>
          <w:szCs w:val="24"/>
          <w:highlight w:val="none"/>
          <w:lang w:val="en-US" w:eastAsia="zh-CN" w:bidi="ar-SA"/>
        </w:rPr>
        <w:t>项目编号：深龙七医采[LGQY2026ZW007]</w:t>
      </w:r>
    </w:p>
    <w:tbl>
      <w:tblPr>
        <w:tblStyle w:val="19"/>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5"/>
        <w:gridCol w:w="3286"/>
        <w:gridCol w:w="3024"/>
        <w:gridCol w:w="2881"/>
        <w:gridCol w:w="2323"/>
      </w:tblGrid>
      <w:tr w14:paraId="373E9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561" w:type="pct"/>
            <w:vAlign w:val="center"/>
          </w:tcPr>
          <w:p w14:paraId="2B69CE78">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序号</w:t>
            </w:r>
          </w:p>
        </w:tc>
        <w:tc>
          <w:tcPr>
            <w:tcW w:w="1266" w:type="pct"/>
            <w:vAlign w:val="center"/>
          </w:tcPr>
          <w:p w14:paraId="6998AB1B">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房屋名称</w:t>
            </w:r>
          </w:p>
        </w:tc>
        <w:tc>
          <w:tcPr>
            <w:tcW w:w="1165" w:type="pct"/>
            <w:vAlign w:val="center"/>
          </w:tcPr>
          <w:p w14:paraId="34F7F016">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建筑面积（㎡）</w:t>
            </w:r>
          </w:p>
        </w:tc>
        <w:tc>
          <w:tcPr>
            <w:tcW w:w="1110" w:type="pct"/>
            <w:vAlign w:val="center"/>
          </w:tcPr>
          <w:p w14:paraId="3651C7F7">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投标分项报价（元）</w:t>
            </w:r>
          </w:p>
        </w:tc>
        <w:tc>
          <w:tcPr>
            <w:tcW w:w="895" w:type="pct"/>
            <w:vAlign w:val="center"/>
          </w:tcPr>
          <w:p w14:paraId="3CBE5697">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合计</w:t>
            </w:r>
            <w:r>
              <w:rPr>
                <w:rFonts w:hint="eastAsia" w:ascii="宋体" w:hAnsi="宋体" w:cs="宋体"/>
                <w:b/>
                <w:i w:val="0"/>
                <w:iCs w:val="0"/>
                <w:color w:val="auto"/>
                <w:kern w:val="0"/>
                <w:sz w:val="24"/>
                <w:szCs w:val="24"/>
                <w:highlight w:val="none"/>
                <w:u w:val="none"/>
                <w:lang w:val="en-US" w:eastAsia="zh-CN" w:bidi="ar"/>
              </w:rPr>
              <w:t>（元）</w:t>
            </w:r>
          </w:p>
        </w:tc>
      </w:tr>
      <w:tr w14:paraId="11DFD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561" w:type="pct"/>
            <w:vAlign w:val="center"/>
          </w:tcPr>
          <w:p w14:paraId="7680D77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1</w:t>
            </w:r>
          </w:p>
        </w:tc>
        <w:tc>
          <w:tcPr>
            <w:tcW w:w="1266" w:type="pct"/>
            <w:vAlign w:val="center"/>
          </w:tcPr>
          <w:p w14:paraId="1E6AA22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外科楼</w:t>
            </w:r>
          </w:p>
        </w:tc>
        <w:tc>
          <w:tcPr>
            <w:tcW w:w="1165" w:type="pct"/>
            <w:vAlign w:val="center"/>
          </w:tcPr>
          <w:p w14:paraId="522092A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2126.81</w:t>
            </w:r>
          </w:p>
        </w:tc>
        <w:tc>
          <w:tcPr>
            <w:tcW w:w="1110" w:type="pct"/>
            <w:vAlign w:val="center"/>
          </w:tcPr>
          <w:p w14:paraId="36CEF0C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p>
        </w:tc>
        <w:tc>
          <w:tcPr>
            <w:tcW w:w="895" w:type="pct"/>
            <w:vMerge w:val="restart"/>
            <w:vAlign w:val="center"/>
          </w:tcPr>
          <w:p w14:paraId="4939503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p>
        </w:tc>
      </w:tr>
      <w:tr w14:paraId="51679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561" w:type="pct"/>
            <w:vAlign w:val="center"/>
          </w:tcPr>
          <w:p w14:paraId="0177591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2</w:t>
            </w:r>
          </w:p>
        </w:tc>
        <w:tc>
          <w:tcPr>
            <w:tcW w:w="1266" w:type="pct"/>
            <w:vAlign w:val="center"/>
          </w:tcPr>
          <w:p w14:paraId="260CCBD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医技楼（含连廊）</w:t>
            </w:r>
          </w:p>
        </w:tc>
        <w:tc>
          <w:tcPr>
            <w:tcW w:w="1165" w:type="pct"/>
            <w:vAlign w:val="center"/>
          </w:tcPr>
          <w:p w14:paraId="248BEFE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5234.74</w:t>
            </w:r>
          </w:p>
        </w:tc>
        <w:tc>
          <w:tcPr>
            <w:tcW w:w="1110" w:type="pct"/>
            <w:vAlign w:val="center"/>
          </w:tcPr>
          <w:p w14:paraId="7037006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p>
        </w:tc>
        <w:tc>
          <w:tcPr>
            <w:tcW w:w="895" w:type="pct"/>
            <w:vMerge w:val="continue"/>
            <w:vAlign w:val="center"/>
          </w:tcPr>
          <w:p w14:paraId="221E1084">
            <w:pPr>
              <w:keepNext w:val="0"/>
              <w:keepLines w:val="0"/>
              <w:pageBreakBefore w:val="0"/>
              <w:kinsoku/>
              <w:wordWrap/>
              <w:overflowPunct/>
              <w:topLinePunct w:val="0"/>
              <w:bidi w:val="0"/>
              <w:spacing w:line="240" w:lineRule="atLeast"/>
              <w:jc w:val="center"/>
              <w:textAlignment w:val="auto"/>
              <w:rPr>
                <w:rFonts w:hint="eastAsia" w:ascii="宋体" w:hAnsi="宋体" w:eastAsia="宋体" w:cs="宋体"/>
                <w:b w:val="0"/>
                <w:bCs w:val="0"/>
                <w:color w:val="auto"/>
                <w:sz w:val="22"/>
                <w:szCs w:val="22"/>
                <w:highlight w:val="none"/>
                <w:lang w:val="en-US" w:eastAsia="zh-CN"/>
              </w:rPr>
            </w:pPr>
          </w:p>
        </w:tc>
      </w:tr>
      <w:tr w14:paraId="73FF0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561" w:type="pct"/>
            <w:vAlign w:val="center"/>
          </w:tcPr>
          <w:p w14:paraId="734C437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3</w:t>
            </w:r>
          </w:p>
        </w:tc>
        <w:tc>
          <w:tcPr>
            <w:tcW w:w="1266" w:type="pct"/>
            <w:vAlign w:val="center"/>
          </w:tcPr>
          <w:p w14:paraId="6BD6F8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附属楼</w:t>
            </w:r>
          </w:p>
        </w:tc>
        <w:tc>
          <w:tcPr>
            <w:tcW w:w="1165" w:type="pct"/>
            <w:vAlign w:val="center"/>
          </w:tcPr>
          <w:p w14:paraId="6971610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904.76</w:t>
            </w:r>
          </w:p>
        </w:tc>
        <w:tc>
          <w:tcPr>
            <w:tcW w:w="1110" w:type="pct"/>
            <w:vAlign w:val="center"/>
          </w:tcPr>
          <w:p w14:paraId="0CE486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p>
        </w:tc>
        <w:tc>
          <w:tcPr>
            <w:tcW w:w="895" w:type="pct"/>
            <w:vMerge w:val="continue"/>
            <w:vAlign w:val="center"/>
          </w:tcPr>
          <w:p w14:paraId="71FD66C9">
            <w:pPr>
              <w:keepNext w:val="0"/>
              <w:keepLines w:val="0"/>
              <w:pageBreakBefore w:val="0"/>
              <w:kinsoku/>
              <w:wordWrap/>
              <w:overflowPunct/>
              <w:topLinePunct w:val="0"/>
              <w:bidi w:val="0"/>
              <w:spacing w:line="240" w:lineRule="atLeast"/>
              <w:jc w:val="center"/>
              <w:textAlignment w:val="auto"/>
              <w:rPr>
                <w:rFonts w:hint="eastAsia" w:ascii="宋体" w:hAnsi="宋体" w:eastAsia="宋体" w:cs="宋体"/>
                <w:b w:val="0"/>
                <w:bCs w:val="0"/>
                <w:color w:val="auto"/>
                <w:sz w:val="22"/>
                <w:szCs w:val="22"/>
                <w:highlight w:val="none"/>
                <w:lang w:val="en-US" w:eastAsia="zh-CN"/>
              </w:rPr>
            </w:pPr>
          </w:p>
        </w:tc>
      </w:tr>
      <w:tr w14:paraId="69AD1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1" w:type="pct"/>
            <w:vAlign w:val="center"/>
          </w:tcPr>
          <w:p w14:paraId="4E37E8D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4</w:t>
            </w:r>
          </w:p>
        </w:tc>
        <w:tc>
          <w:tcPr>
            <w:tcW w:w="1266" w:type="pct"/>
            <w:vAlign w:val="top"/>
          </w:tcPr>
          <w:p w14:paraId="2714B1B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综合楼</w:t>
            </w:r>
          </w:p>
        </w:tc>
        <w:tc>
          <w:tcPr>
            <w:tcW w:w="1165" w:type="pct"/>
          </w:tcPr>
          <w:p w14:paraId="1BDD22F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r>
              <w:rPr>
                <w:rFonts w:hint="eastAsia" w:eastAsia="宋体"/>
                <w:color w:val="auto"/>
                <w:sz w:val="22"/>
                <w:highlight w:val="none"/>
                <w:lang w:val="en-US" w:eastAsia="zh-CN"/>
              </w:rPr>
              <w:t>9028.89</w:t>
            </w:r>
          </w:p>
        </w:tc>
        <w:tc>
          <w:tcPr>
            <w:tcW w:w="1110" w:type="pct"/>
            <w:vAlign w:val="top"/>
          </w:tcPr>
          <w:p w14:paraId="44EA02F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宋体"/>
                <w:color w:val="auto"/>
                <w:sz w:val="22"/>
                <w:highlight w:val="none"/>
                <w:lang w:val="en-US" w:eastAsia="zh-CN"/>
              </w:rPr>
            </w:pPr>
          </w:p>
        </w:tc>
        <w:tc>
          <w:tcPr>
            <w:tcW w:w="895" w:type="pct"/>
            <w:vMerge w:val="continue"/>
            <w:vAlign w:val="top"/>
          </w:tcPr>
          <w:p w14:paraId="2FFACCA7">
            <w:pPr>
              <w:keepNext w:val="0"/>
              <w:keepLines w:val="0"/>
              <w:pageBreakBefore w:val="0"/>
              <w:kinsoku/>
              <w:wordWrap/>
              <w:overflowPunct/>
              <w:topLinePunct w:val="0"/>
              <w:bidi w:val="0"/>
              <w:spacing w:line="240" w:lineRule="atLeast"/>
              <w:jc w:val="center"/>
              <w:textAlignment w:val="auto"/>
              <w:rPr>
                <w:rFonts w:hint="eastAsia" w:ascii="宋体" w:hAnsi="宋体" w:eastAsia="宋体" w:cs="宋体"/>
                <w:b w:val="0"/>
                <w:bCs w:val="0"/>
                <w:color w:val="auto"/>
                <w:sz w:val="22"/>
                <w:szCs w:val="22"/>
                <w:highlight w:val="none"/>
                <w:lang w:val="en-US" w:eastAsia="zh-CN"/>
              </w:rPr>
            </w:pPr>
          </w:p>
        </w:tc>
      </w:tr>
    </w:tbl>
    <w:p w14:paraId="77F0B8F0">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textAlignment w:val="auto"/>
        <w:rPr>
          <w:rFonts w:hint="default" w:ascii="Calibri" w:hAnsi="Calibri" w:eastAsia="宋体" w:cs="黑体"/>
          <w:color w:val="auto"/>
          <w:kern w:val="2"/>
          <w:sz w:val="21"/>
          <w:szCs w:val="24"/>
          <w:highlight w:val="none"/>
          <w:lang w:val="zh-CN" w:eastAsia="zh-CN" w:bidi="ar-SA"/>
        </w:rPr>
      </w:pPr>
    </w:p>
    <w:p w14:paraId="31B7B759">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textAlignment w:val="auto"/>
        <w:rPr>
          <w:rFonts w:hint="default" w:ascii="Calibri" w:hAnsi="Calibri" w:eastAsia="宋体" w:cs="黑体"/>
          <w:color w:val="auto"/>
          <w:kern w:val="2"/>
          <w:sz w:val="21"/>
          <w:szCs w:val="24"/>
          <w:highlight w:val="none"/>
          <w:lang w:val="zh-CN" w:eastAsia="zh-CN" w:bidi="ar-SA"/>
        </w:rPr>
      </w:pPr>
      <w:r>
        <w:rPr>
          <w:rFonts w:hint="default" w:ascii="Calibri" w:hAnsi="Calibri" w:eastAsia="宋体" w:cs="黑体"/>
          <w:color w:val="auto"/>
          <w:kern w:val="2"/>
          <w:sz w:val="21"/>
          <w:szCs w:val="24"/>
          <w:highlight w:val="none"/>
          <w:lang w:val="zh-CN" w:eastAsia="zh-CN" w:bidi="ar-SA"/>
        </w:rPr>
        <w:t>注：1.本表可按同样格式扩展。</w:t>
      </w:r>
    </w:p>
    <w:p w14:paraId="212BDC56">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440"/>
        <w:textAlignment w:val="auto"/>
        <w:rPr>
          <w:rFonts w:hint="default" w:ascii="Calibri" w:hAnsi="Calibri" w:eastAsia="宋体" w:cs="黑体"/>
          <w:color w:val="auto"/>
          <w:kern w:val="2"/>
          <w:sz w:val="21"/>
          <w:szCs w:val="24"/>
          <w:highlight w:val="none"/>
          <w:lang w:val="zh-CN" w:eastAsia="zh-CN" w:bidi="ar-SA"/>
        </w:rPr>
      </w:pPr>
      <w:r>
        <w:rPr>
          <w:rFonts w:hint="eastAsia" w:ascii="Calibri" w:hAnsi="Calibri" w:eastAsia="宋体" w:cs="黑体"/>
          <w:color w:val="auto"/>
          <w:kern w:val="2"/>
          <w:sz w:val="21"/>
          <w:szCs w:val="24"/>
          <w:highlight w:val="none"/>
          <w:lang w:val="en-US" w:eastAsia="zh-CN" w:bidi="ar-SA"/>
        </w:rPr>
        <w:t>2</w:t>
      </w:r>
      <w:r>
        <w:rPr>
          <w:rFonts w:hint="default" w:ascii="Calibri" w:hAnsi="Calibri" w:eastAsia="宋体" w:cs="黑体"/>
          <w:color w:val="auto"/>
          <w:kern w:val="2"/>
          <w:sz w:val="21"/>
          <w:szCs w:val="24"/>
          <w:highlight w:val="none"/>
          <w:lang w:val="zh-CN" w:eastAsia="zh-CN" w:bidi="ar-SA"/>
        </w:rPr>
        <w:t>.以上分项报价表的投标总价应当与开标一览表的投标总价一致。单价、合价和投标总价为包干价，即三者均应包含</w:t>
      </w:r>
      <w:r>
        <w:rPr>
          <w:rFonts w:hint="eastAsia" w:ascii="Calibri" w:hAnsi="Calibri" w:eastAsia="宋体" w:cs="黑体"/>
          <w:color w:val="auto"/>
          <w:kern w:val="2"/>
          <w:sz w:val="21"/>
          <w:szCs w:val="24"/>
          <w:highlight w:val="none"/>
          <w:lang w:val="zh-CN" w:eastAsia="zh-CN" w:bidi="ar-SA"/>
        </w:rPr>
        <w:t>检测费、验算费、报告编制费、人工费、设备费、交通费、税金等为完成本项目所需的一切费用。</w:t>
      </w:r>
    </w:p>
    <w:p w14:paraId="5554EAD2">
      <w:pPr>
        <w:pStyle w:val="18"/>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440"/>
        <w:textAlignment w:val="auto"/>
        <w:rPr>
          <w:rFonts w:hint="default" w:ascii="Calibri" w:hAnsi="Calibri" w:eastAsia="宋体" w:cs="黑体"/>
          <w:color w:val="auto"/>
          <w:kern w:val="2"/>
          <w:sz w:val="21"/>
          <w:szCs w:val="24"/>
          <w:highlight w:val="none"/>
          <w:lang w:val="zh-CN" w:eastAsia="zh-CN" w:bidi="ar-SA"/>
        </w:rPr>
      </w:pPr>
      <w:r>
        <w:rPr>
          <w:rFonts w:hint="eastAsia" w:ascii="Calibri" w:hAnsi="Calibri" w:eastAsia="宋体" w:cs="黑体"/>
          <w:color w:val="auto"/>
          <w:kern w:val="2"/>
          <w:sz w:val="21"/>
          <w:szCs w:val="24"/>
          <w:highlight w:val="none"/>
          <w:lang w:val="en-US" w:eastAsia="zh-CN" w:bidi="ar-SA"/>
        </w:rPr>
        <w:t>3.</w:t>
      </w:r>
      <w:r>
        <w:rPr>
          <w:rFonts w:hint="default" w:ascii="Calibri" w:hAnsi="Calibri" w:eastAsia="宋体" w:cs="黑体"/>
          <w:color w:val="auto"/>
          <w:kern w:val="2"/>
          <w:sz w:val="21"/>
          <w:szCs w:val="24"/>
          <w:highlight w:val="none"/>
          <w:lang w:val="zh-CN" w:eastAsia="zh-CN" w:bidi="ar-SA"/>
        </w:rPr>
        <w:t>本项目预算金额为人民币</w:t>
      </w:r>
      <w:r>
        <w:rPr>
          <w:rFonts w:hint="eastAsia" w:ascii="Calibri" w:hAnsi="Calibri" w:eastAsia="宋体" w:cs="黑体"/>
          <w:color w:val="auto"/>
          <w:kern w:val="2"/>
          <w:sz w:val="21"/>
          <w:szCs w:val="24"/>
          <w:highlight w:val="none"/>
          <w:lang w:val="en-US" w:eastAsia="zh-CN" w:bidi="ar-SA"/>
        </w:rPr>
        <w:t>10.5万</w:t>
      </w:r>
      <w:r>
        <w:rPr>
          <w:rFonts w:hint="default" w:ascii="Calibri" w:hAnsi="Calibri" w:eastAsia="宋体" w:cs="黑体"/>
          <w:color w:val="auto"/>
          <w:kern w:val="2"/>
          <w:sz w:val="21"/>
          <w:szCs w:val="24"/>
          <w:highlight w:val="none"/>
          <w:lang w:val="zh-CN" w:eastAsia="zh-CN" w:bidi="ar-SA"/>
        </w:rPr>
        <w:t>元，最高限价为人民币</w:t>
      </w:r>
      <w:r>
        <w:rPr>
          <w:rFonts w:hint="eastAsia" w:ascii="Calibri" w:hAnsi="Calibri" w:eastAsia="宋体" w:cs="黑体"/>
          <w:color w:val="auto"/>
          <w:kern w:val="2"/>
          <w:sz w:val="21"/>
          <w:szCs w:val="24"/>
          <w:highlight w:val="none"/>
          <w:lang w:val="en-US" w:eastAsia="zh-CN" w:bidi="ar-SA"/>
        </w:rPr>
        <w:t>10.5万</w:t>
      </w:r>
      <w:r>
        <w:rPr>
          <w:rFonts w:hint="default" w:ascii="Calibri" w:hAnsi="Calibri" w:eastAsia="宋体" w:cs="黑体"/>
          <w:color w:val="auto"/>
          <w:kern w:val="2"/>
          <w:sz w:val="21"/>
          <w:szCs w:val="24"/>
          <w:highlight w:val="none"/>
          <w:lang w:val="zh-CN" w:eastAsia="zh-CN" w:bidi="ar-SA"/>
        </w:rPr>
        <w:t>元，超出最高限价</w:t>
      </w:r>
      <w:r>
        <w:rPr>
          <w:rFonts w:hint="eastAsia" w:ascii="Calibri" w:hAnsi="Calibri" w:eastAsia="宋体" w:cs="黑体"/>
          <w:color w:val="auto"/>
          <w:kern w:val="2"/>
          <w:sz w:val="21"/>
          <w:szCs w:val="24"/>
          <w:highlight w:val="none"/>
          <w:lang w:val="en-US" w:eastAsia="zh-CN" w:bidi="ar-SA"/>
        </w:rPr>
        <w:t>或</w:t>
      </w:r>
      <w:r>
        <w:rPr>
          <w:rFonts w:hint="default" w:ascii="Calibri" w:hAnsi="Calibri" w:eastAsia="宋体" w:cs="黑体"/>
          <w:color w:val="auto"/>
          <w:kern w:val="2"/>
          <w:sz w:val="21"/>
          <w:szCs w:val="24"/>
          <w:highlight w:val="none"/>
          <w:lang w:val="zh-CN" w:eastAsia="zh-CN" w:bidi="ar-SA"/>
        </w:rPr>
        <w:t>单价限价的投标将导致投标无效。</w:t>
      </w:r>
    </w:p>
    <w:p w14:paraId="5044E36C">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default" w:ascii="Calibri" w:hAnsi="Calibri" w:eastAsia="宋体" w:cs="黑体"/>
          <w:color w:val="auto"/>
          <w:kern w:val="2"/>
          <w:sz w:val="21"/>
          <w:szCs w:val="24"/>
          <w:highlight w:val="none"/>
          <w:lang w:val="zh-CN" w:eastAsia="zh-CN" w:bidi="ar-SA"/>
        </w:rPr>
      </w:pPr>
    </w:p>
    <w:p w14:paraId="0C68C58D">
      <w:pPr>
        <w:pStyle w:val="6"/>
        <w:rPr>
          <w:rFonts w:hint="default" w:ascii="Calibri" w:hAnsi="Calibri" w:eastAsia="宋体" w:cs="黑体"/>
          <w:color w:val="auto"/>
          <w:kern w:val="2"/>
          <w:sz w:val="21"/>
          <w:szCs w:val="24"/>
          <w:highlight w:val="none"/>
          <w:lang w:val="zh-CN" w:eastAsia="zh-CN" w:bidi="ar-SA"/>
        </w:rPr>
      </w:pPr>
    </w:p>
    <w:p w14:paraId="4EE08B03">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default" w:ascii="Calibri" w:hAnsi="Calibri" w:eastAsia="宋体" w:cs="黑体"/>
          <w:color w:val="auto"/>
          <w:kern w:val="2"/>
          <w:sz w:val="21"/>
          <w:szCs w:val="24"/>
          <w:highlight w:val="none"/>
          <w:lang w:val="en-US" w:eastAsia="zh-CN" w:bidi="ar-SA"/>
        </w:rPr>
      </w:pPr>
      <w:r>
        <w:rPr>
          <w:rFonts w:hint="default" w:ascii="Calibri" w:hAnsi="Calibri" w:eastAsia="宋体" w:cs="黑体"/>
          <w:color w:val="auto"/>
          <w:kern w:val="2"/>
          <w:sz w:val="21"/>
          <w:szCs w:val="24"/>
          <w:highlight w:val="none"/>
          <w:lang w:val="zh-CN" w:eastAsia="zh-CN" w:bidi="ar-SA"/>
        </w:rPr>
        <w:t>法定代表人（</w:t>
      </w:r>
      <w:r>
        <w:rPr>
          <w:rFonts w:hint="default" w:ascii="Calibri" w:hAnsi="Calibri" w:eastAsia="宋体" w:cs="黑体"/>
          <w:color w:val="auto"/>
          <w:kern w:val="2"/>
          <w:sz w:val="21"/>
          <w:szCs w:val="24"/>
          <w:highlight w:val="none"/>
          <w:lang w:val="en-US" w:eastAsia="zh-CN" w:bidi="ar-SA"/>
        </w:rPr>
        <w:t>单位负责人</w:t>
      </w:r>
      <w:r>
        <w:rPr>
          <w:rFonts w:hint="default" w:ascii="Calibri" w:hAnsi="Calibri" w:eastAsia="宋体" w:cs="黑体"/>
          <w:color w:val="auto"/>
          <w:kern w:val="2"/>
          <w:sz w:val="21"/>
          <w:szCs w:val="24"/>
          <w:highlight w:val="none"/>
          <w:lang w:val="zh-CN" w:eastAsia="zh-CN" w:bidi="ar-SA"/>
        </w:rPr>
        <w:t>）或其授权代表（签字</w:t>
      </w:r>
      <w:r>
        <w:rPr>
          <w:rFonts w:hint="default" w:ascii="Calibri" w:hAnsi="Calibri" w:eastAsia="宋体" w:cs="黑体"/>
          <w:color w:val="auto"/>
          <w:kern w:val="2"/>
          <w:sz w:val="21"/>
          <w:szCs w:val="24"/>
          <w:highlight w:val="none"/>
          <w:lang w:val="en-US" w:eastAsia="zh-CN" w:bidi="ar-SA"/>
        </w:rPr>
        <w:t>或盖章</w:t>
      </w:r>
      <w:r>
        <w:rPr>
          <w:rFonts w:hint="default" w:ascii="Calibri" w:hAnsi="Calibri" w:eastAsia="宋体" w:cs="黑体"/>
          <w:color w:val="auto"/>
          <w:kern w:val="2"/>
          <w:sz w:val="21"/>
          <w:szCs w:val="24"/>
          <w:highlight w:val="none"/>
          <w:lang w:val="zh-CN" w:eastAsia="zh-CN" w:bidi="ar-SA"/>
        </w:rPr>
        <w:t>）</w:t>
      </w:r>
      <w:r>
        <w:rPr>
          <w:rFonts w:hint="default" w:ascii="Calibri" w:hAnsi="Calibri" w:eastAsia="宋体" w:cs="黑体"/>
          <w:color w:val="auto"/>
          <w:kern w:val="2"/>
          <w:sz w:val="21"/>
          <w:szCs w:val="24"/>
          <w:highlight w:val="none"/>
          <w:lang w:val="en-US" w:eastAsia="zh-CN" w:bidi="ar-SA"/>
        </w:rPr>
        <w:t xml:space="preserve">：                   </w:t>
      </w:r>
    </w:p>
    <w:p w14:paraId="357378B0">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default" w:ascii="Calibri" w:hAnsi="Calibri" w:eastAsia="宋体" w:cs="黑体"/>
          <w:color w:val="auto"/>
          <w:kern w:val="2"/>
          <w:sz w:val="21"/>
          <w:szCs w:val="24"/>
          <w:highlight w:val="none"/>
          <w:lang w:val="en-US" w:eastAsia="zh-CN" w:bidi="ar-SA"/>
        </w:rPr>
      </w:pPr>
      <w:r>
        <w:rPr>
          <w:rFonts w:hint="default" w:ascii="Calibri" w:hAnsi="Calibri" w:eastAsia="宋体" w:cs="黑体"/>
          <w:color w:val="auto"/>
          <w:kern w:val="2"/>
          <w:sz w:val="21"/>
          <w:szCs w:val="24"/>
          <w:highlight w:val="none"/>
          <w:lang w:val="en-US" w:eastAsia="zh-CN" w:bidi="ar-SA"/>
        </w:rPr>
        <w:t xml:space="preserve">投标人名称（盖章）：                        </w:t>
      </w:r>
    </w:p>
    <w:p w14:paraId="5323F8B0">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Calibri" w:hAnsi="Calibri" w:eastAsia="宋体" w:cs="黑体"/>
          <w:color w:val="auto"/>
          <w:kern w:val="2"/>
          <w:sz w:val="21"/>
          <w:szCs w:val="24"/>
          <w:highlight w:val="none"/>
          <w:lang w:val="en-US" w:eastAsia="zh-CN" w:bidi="ar-SA"/>
        </w:rPr>
      </w:pPr>
      <w:r>
        <w:rPr>
          <w:rFonts w:hint="default" w:ascii="Calibri" w:hAnsi="Calibri" w:eastAsia="宋体" w:cs="黑体"/>
          <w:color w:val="auto"/>
          <w:kern w:val="2"/>
          <w:sz w:val="21"/>
          <w:szCs w:val="24"/>
          <w:highlight w:val="none"/>
          <w:lang w:val="en-US" w:eastAsia="zh-CN" w:bidi="ar-SA"/>
        </w:rPr>
        <w:t>日期：   年   月   日</w:t>
      </w:r>
    </w:p>
    <w:p w14:paraId="3302BFA7">
      <w:pPr>
        <w:keepNext w:val="0"/>
        <w:keepLines w:val="0"/>
        <w:pageBreakBefore w:val="0"/>
        <w:widowControl w:val="0"/>
        <w:kinsoku/>
        <w:wordWrap/>
        <w:overflowPunct/>
        <w:topLinePunct w:val="0"/>
        <w:autoSpaceDE/>
        <w:autoSpaceDN/>
        <w:bidi w:val="0"/>
        <w:adjustRightInd/>
        <w:snapToGrid/>
        <w:spacing w:line="560" w:lineRule="exact"/>
        <w:ind w:right="2100" w:rightChars="1000"/>
        <w:jc w:val="left"/>
        <w:textAlignment w:val="auto"/>
        <w:rPr>
          <w:rFonts w:ascii="Arial" w:hAnsi="Arial"/>
          <w:b/>
          <w:color w:val="auto"/>
          <w:kern w:val="0"/>
          <w:sz w:val="24"/>
          <w:szCs w:val="20"/>
          <w:highlight w:val="none"/>
        </w:rPr>
      </w:pPr>
    </w:p>
    <w:p w14:paraId="521D8590">
      <w:pPr>
        <w:keepNext w:val="0"/>
        <w:keepLines w:val="0"/>
        <w:pageBreakBefore w:val="0"/>
        <w:widowControl w:val="0"/>
        <w:kinsoku/>
        <w:wordWrap/>
        <w:overflowPunct/>
        <w:topLinePunct w:val="0"/>
        <w:autoSpaceDE/>
        <w:autoSpaceDN/>
        <w:bidi w:val="0"/>
        <w:adjustRightInd/>
        <w:snapToGrid/>
        <w:spacing w:line="560" w:lineRule="exact"/>
        <w:ind w:right="2100" w:rightChars="1000"/>
        <w:jc w:val="left"/>
        <w:textAlignment w:val="auto"/>
        <w:rPr>
          <w:rFonts w:ascii="Arial" w:hAnsi="Arial"/>
          <w:b/>
          <w:color w:val="auto"/>
          <w:kern w:val="0"/>
          <w:sz w:val="24"/>
          <w:szCs w:val="20"/>
          <w:highlight w:val="none"/>
        </w:rPr>
      </w:pPr>
    </w:p>
    <w:p w14:paraId="7DAA7859">
      <w:pPr>
        <w:keepNext w:val="0"/>
        <w:keepLines w:val="0"/>
        <w:pageBreakBefore w:val="0"/>
        <w:widowControl w:val="0"/>
        <w:kinsoku/>
        <w:wordWrap/>
        <w:overflowPunct/>
        <w:topLinePunct w:val="0"/>
        <w:autoSpaceDE/>
        <w:autoSpaceDN/>
        <w:bidi w:val="0"/>
        <w:adjustRightInd/>
        <w:snapToGrid/>
        <w:spacing w:line="560" w:lineRule="exact"/>
        <w:ind w:right="2100" w:rightChars="1000"/>
        <w:jc w:val="left"/>
        <w:textAlignment w:val="auto"/>
        <w:rPr>
          <w:rFonts w:ascii="Arial" w:hAnsi="Arial"/>
          <w:b/>
          <w:color w:val="auto"/>
          <w:kern w:val="0"/>
          <w:sz w:val="24"/>
          <w:szCs w:val="20"/>
          <w:highlight w:val="none"/>
        </w:rPr>
      </w:pPr>
    </w:p>
    <w:p w14:paraId="776B1556">
      <w:pPr>
        <w:keepNext w:val="0"/>
        <w:keepLines w:val="0"/>
        <w:pageBreakBefore w:val="0"/>
        <w:widowControl w:val="0"/>
        <w:kinsoku/>
        <w:wordWrap/>
        <w:overflowPunct/>
        <w:topLinePunct w:val="0"/>
        <w:autoSpaceDE/>
        <w:autoSpaceDN/>
        <w:bidi w:val="0"/>
        <w:adjustRightInd/>
        <w:snapToGrid/>
        <w:spacing w:line="560" w:lineRule="exact"/>
        <w:ind w:right="2100" w:rightChars="1000"/>
        <w:jc w:val="left"/>
        <w:textAlignment w:val="auto"/>
        <w:rPr>
          <w:rFonts w:ascii="Arial" w:hAnsi="Arial"/>
          <w:b/>
          <w:color w:val="auto"/>
          <w:kern w:val="0"/>
          <w:sz w:val="24"/>
          <w:szCs w:val="20"/>
          <w:highlight w:val="none"/>
        </w:rPr>
      </w:pPr>
    </w:p>
    <w:p w14:paraId="1932FE0C">
      <w:pPr>
        <w:widowControl/>
        <w:spacing w:line="560" w:lineRule="exact"/>
        <w:jc w:val="center"/>
        <w:textAlignment w:val="center"/>
        <w:rPr>
          <w:rFonts w:hint="eastAsia" w:ascii="仿宋" w:hAnsi="仿宋" w:eastAsia="仿宋" w:cs="仿宋"/>
          <w:b/>
          <w:color w:val="auto"/>
          <w:kern w:val="0"/>
          <w:sz w:val="44"/>
          <w:szCs w:val="44"/>
          <w:highlight w:val="none"/>
        </w:rPr>
      </w:pPr>
      <w:r>
        <w:rPr>
          <w:rFonts w:hint="eastAsia" w:ascii="仿宋" w:hAnsi="仿宋" w:eastAsia="仿宋" w:cs="仿宋"/>
          <w:b/>
          <w:color w:val="auto"/>
          <w:kern w:val="0"/>
          <w:sz w:val="44"/>
          <w:szCs w:val="44"/>
          <w:highlight w:val="none"/>
        </w:rPr>
        <w:t>实质性条款响应情况表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7223"/>
        <w:gridCol w:w="2581"/>
        <w:gridCol w:w="1193"/>
        <w:gridCol w:w="1215"/>
      </w:tblGrid>
      <w:tr w14:paraId="3701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91" w:type="pct"/>
            <w:vAlign w:val="center"/>
          </w:tcPr>
          <w:p w14:paraId="5C391EBD">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序号</w:t>
            </w:r>
          </w:p>
        </w:tc>
        <w:tc>
          <w:tcPr>
            <w:tcW w:w="2784" w:type="pct"/>
            <w:vAlign w:val="center"/>
          </w:tcPr>
          <w:p w14:paraId="4EE397E9">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实质性条款具体内容</w:t>
            </w:r>
          </w:p>
        </w:tc>
        <w:tc>
          <w:tcPr>
            <w:tcW w:w="995" w:type="pct"/>
            <w:vAlign w:val="center"/>
          </w:tcPr>
          <w:p w14:paraId="05610D1E">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投标响应</w:t>
            </w:r>
          </w:p>
        </w:tc>
        <w:tc>
          <w:tcPr>
            <w:tcW w:w="460" w:type="pct"/>
            <w:vAlign w:val="center"/>
          </w:tcPr>
          <w:p w14:paraId="6B3885A2">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偏离情况</w:t>
            </w:r>
          </w:p>
        </w:tc>
        <w:tc>
          <w:tcPr>
            <w:tcW w:w="468" w:type="pct"/>
            <w:vAlign w:val="center"/>
          </w:tcPr>
          <w:p w14:paraId="098A7146">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说明</w:t>
            </w:r>
          </w:p>
        </w:tc>
      </w:tr>
      <w:tr w14:paraId="7120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91" w:type="pct"/>
            <w:vAlign w:val="center"/>
          </w:tcPr>
          <w:p w14:paraId="5865E9F9">
            <w:pPr>
              <w:widowControl/>
              <w:spacing w:line="560" w:lineRule="exact"/>
              <w:jc w:val="center"/>
              <w:textAlignment w:val="center"/>
              <w:rPr>
                <w:rFonts w:hint="default" w:ascii="宋体" w:hAnsi="仿宋_GB2312" w:eastAsia="宋体" w:cs="仿宋_GB2312"/>
                <w:color w:val="auto"/>
                <w:kern w:val="2"/>
                <w:sz w:val="24"/>
                <w:szCs w:val="32"/>
                <w:highlight w:val="none"/>
                <w:vertAlign w:val="baseline"/>
                <w:lang w:val="en-US" w:eastAsia="zh-CN" w:bidi="ar-SA"/>
              </w:rPr>
            </w:pPr>
            <w:r>
              <w:rPr>
                <w:rFonts w:hint="eastAsia" w:ascii="宋体" w:hAnsi="仿宋_GB2312" w:eastAsia="宋体" w:cs="仿宋_GB2312"/>
                <w:color w:val="auto"/>
                <w:kern w:val="2"/>
                <w:sz w:val="24"/>
                <w:szCs w:val="32"/>
                <w:highlight w:val="none"/>
                <w:vertAlign w:val="baseline"/>
                <w:lang w:val="en-US" w:eastAsia="zh-CN" w:bidi="ar-SA"/>
              </w:rPr>
              <w:t>1</w:t>
            </w:r>
          </w:p>
        </w:tc>
        <w:tc>
          <w:tcPr>
            <w:tcW w:w="2784" w:type="pct"/>
            <w:vAlign w:val="center"/>
          </w:tcPr>
          <w:p w14:paraId="343BAC3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2"/>
                <w:highlight w:val="none"/>
                <w:lang w:val="en-US" w:eastAsia="zh-CN"/>
              </w:rPr>
              <w:t>★1.服务期限：自合同签订之日起40日（日历日）内完成全部现场检测、评估并出具正式检测鉴定报告，完成全部服务并提交全部成果资料。（日历日为自然天，包括双休日及法定节假日，不等同于工作日；投标文件中的交货期条款为不可负偏离条款，若投标文件中响应的服务期超过招标文件规定期限时，其投标文件按投标无效处理。）</w:t>
            </w:r>
          </w:p>
        </w:tc>
        <w:tc>
          <w:tcPr>
            <w:tcW w:w="995" w:type="pct"/>
          </w:tcPr>
          <w:p w14:paraId="56277ABA">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0" w:type="pct"/>
          </w:tcPr>
          <w:p w14:paraId="306E12A2">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14:paraId="06DBA043">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r w14:paraId="0D61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91" w:type="pct"/>
            <w:vAlign w:val="center"/>
          </w:tcPr>
          <w:p w14:paraId="513D4923">
            <w:pPr>
              <w:widowControl/>
              <w:spacing w:line="560" w:lineRule="exact"/>
              <w:jc w:val="center"/>
              <w:textAlignment w:val="center"/>
              <w:rPr>
                <w:rFonts w:hint="eastAsia" w:ascii="宋体" w:hAnsi="仿宋_GB2312" w:eastAsia="宋体" w:cs="仿宋_GB2312"/>
                <w:color w:val="auto"/>
                <w:kern w:val="2"/>
                <w:sz w:val="24"/>
                <w:szCs w:val="32"/>
                <w:highlight w:val="none"/>
                <w:vertAlign w:val="baseline"/>
                <w:lang w:val="en-US" w:eastAsia="zh-CN" w:bidi="ar-SA"/>
              </w:rPr>
            </w:pPr>
            <w:r>
              <w:rPr>
                <w:rFonts w:hint="eastAsia" w:ascii="宋体" w:hAnsi="仿宋_GB2312" w:cs="仿宋_GB2312"/>
                <w:color w:val="auto"/>
                <w:kern w:val="2"/>
                <w:sz w:val="24"/>
                <w:szCs w:val="32"/>
                <w:highlight w:val="none"/>
                <w:vertAlign w:val="baseline"/>
                <w:lang w:val="en-US" w:eastAsia="zh-CN" w:bidi="ar-SA"/>
              </w:rPr>
              <w:t>2</w:t>
            </w:r>
          </w:p>
        </w:tc>
        <w:tc>
          <w:tcPr>
            <w:tcW w:w="2784" w:type="pct"/>
            <w:vAlign w:val="center"/>
          </w:tcPr>
          <w:p w14:paraId="637E8A81">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color w:val="auto"/>
                <w:sz w:val="22"/>
                <w:highlight w:val="none"/>
                <w:lang w:val="en-US" w:eastAsia="zh-CN"/>
              </w:rPr>
              <w:t>★4.报价要求：人民币报价，精确到小数点后两位。投标报价总额上限为10.5万元，投标人应结合项目需求、市场行情及企业自身因素，自行填报投标总价。报价应包括检测费、验算费、报告编制费、人工费、设备费、交通费、税金等为完成本项目所需的一切费用。</w:t>
            </w:r>
          </w:p>
        </w:tc>
        <w:tc>
          <w:tcPr>
            <w:tcW w:w="995" w:type="pct"/>
          </w:tcPr>
          <w:p w14:paraId="18DCE626">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0" w:type="pct"/>
          </w:tcPr>
          <w:p w14:paraId="20F86A7D">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c>
          <w:tcPr>
            <w:tcW w:w="468" w:type="pct"/>
          </w:tcPr>
          <w:p w14:paraId="10FE90AF">
            <w:pPr>
              <w:adjustRightInd w:val="0"/>
              <w:snapToGrid w:val="0"/>
              <w:spacing w:line="560" w:lineRule="exact"/>
              <w:rPr>
                <w:rFonts w:hint="eastAsia" w:ascii="宋体" w:hAnsi="仿宋_GB2312" w:eastAsia="宋体" w:cs="仿宋_GB2312"/>
                <w:color w:val="auto"/>
                <w:kern w:val="2"/>
                <w:sz w:val="24"/>
                <w:szCs w:val="32"/>
                <w:highlight w:val="none"/>
                <w:vertAlign w:val="baseline"/>
                <w:lang w:val="en-US" w:eastAsia="zh-CN" w:bidi="ar-SA"/>
              </w:rPr>
            </w:pPr>
          </w:p>
        </w:tc>
      </w:tr>
    </w:tbl>
    <w:p w14:paraId="2D2E663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注：1.上表所列各项均为不可负偏离条款。</w:t>
      </w:r>
    </w:p>
    <w:p w14:paraId="0D0BFD2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2.“投标响应”一栏应当详细填写投标人自身响应情况。</w:t>
      </w:r>
    </w:p>
    <w:p w14:paraId="230B0FC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7068D31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4.评审委员会有权对投标响应情况作出判断（作出评审结论）。</w:t>
      </w:r>
    </w:p>
    <w:p w14:paraId="0BFF45E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5.实质性响应条款“投标响应情况”与</w:t>
      </w:r>
      <w:r>
        <w:rPr>
          <w:rFonts w:hint="eastAsia"/>
          <w:color w:val="auto"/>
          <w:highlight w:val="none"/>
          <w:lang w:val="en-US" w:eastAsia="zh-CN"/>
        </w:rPr>
        <w:t>投标</w:t>
      </w:r>
      <w:r>
        <w:rPr>
          <w:rFonts w:hint="eastAsia" w:eastAsia="宋体"/>
          <w:color w:val="auto"/>
          <w:highlight w:val="none"/>
          <w:lang w:val="en-US" w:eastAsia="zh-CN"/>
        </w:rPr>
        <w:t>文件其他内容冲突的，以实质性响应条款“投标响应情况”为准。</w:t>
      </w:r>
    </w:p>
    <w:p w14:paraId="49777D7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6.要求提供证明资料，在“说明”一栏中列明证明资料的位置，以便评审；未要求提供证明材料的，投标人可以不提供。</w:t>
      </w:r>
    </w:p>
    <w:p w14:paraId="00AFDC5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p>
    <w:p w14:paraId="497152AA">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p>
    <w:p w14:paraId="112B88A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法定代表人或其授权代表人（签字）：</w:t>
      </w:r>
    </w:p>
    <w:p w14:paraId="5B5E697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投标单位全称（加盖公章）：</w:t>
      </w:r>
    </w:p>
    <w:p w14:paraId="32B9F606">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eastAsia="宋体"/>
          <w:color w:val="auto"/>
          <w:highlight w:val="none"/>
          <w:lang w:val="en-US" w:eastAsia="zh-CN"/>
        </w:rPr>
      </w:pPr>
      <w:r>
        <w:rPr>
          <w:rFonts w:hint="eastAsia"/>
          <w:color w:val="auto"/>
          <w:highlight w:val="none"/>
          <w:lang w:val="en-US" w:eastAsia="zh-CN"/>
        </w:rPr>
        <w:t>日期：</w:t>
      </w:r>
    </w:p>
    <w:p w14:paraId="7360A53E">
      <w:pPr>
        <w:keepLines w:val="0"/>
        <w:pageBreakBefore w:val="0"/>
        <w:widowControl w:val="0"/>
        <w:numPr>
          <w:ilvl w:val="0"/>
          <w:numId w:val="0"/>
        </w:numPr>
        <w:kinsoku/>
        <w:wordWrap/>
        <w:overflowPunct/>
        <w:topLinePunct w:val="0"/>
        <w:bidi w:val="0"/>
        <w:spacing w:line="560" w:lineRule="exact"/>
        <w:ind w:firstLine="5481" w:firstLineChars="2600"/>
        <w:jc w:val="both"/>
        <w:rPr>
          <w:rFonts w:hint="eastAsia" w:ascii="宋体" w:cs="宋体"/>
          <w:b/>
          <w:bCs/>
          <w:color w:val="auto"/>
          <w:szCs w:val="21"/>
          <w:highlight w:val="none"/>
        </w:rPr>
      </w:pPr>
      <w:r>
        <w:rPr>
          <w:rFonts w:hint="eastAsia" w:ascii="宋体" w:cs="宋体"/>
          <w:b/>
          <w:bCs/>
          <w:color w:val="auto"/>
          <w:szCs w:val="21"/>
          <w:highlight w:val="none"/>
        </w:rPr>
        <w:br w:type="page"/>
      </w:r>
    </w:p>
    <w:p w14:paraId="5AD9E5AD">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9"/>
        <w:tblW w:w="5102" w:type="pct"/>
        <w:jc w:val="center"/>
        <w:tblLayout w:type="autofit"/>
        <w:tblCellMar>
          <w:top w:w="0" w:type="dxa"/>
          <w:left w:w="108" w:type="dxa"/>
          <w:bottom w:w="0" w:type="dxa"/>
          <w:right w:w="108" w:type="dxa"/>
        </w:tblCellMar>
      </w:tblPr>
      <w:tblGrid>
        <w:gridCol w:w="911"/>
        <w:gridCol w:w="5056"/>
        <w:gridCol w:w="3914"/>
        <w:gridCol w:w="1867"/>
        <w:gridCol w:w="1489"/>
      </w:tblGrid>
      <w:tr w14:paraId="398A273C">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3AC741CD">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14:paraId="6C931A71">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招标服务条款</w:t>
            </w:r>
          </w:p>
        </w:tc>
        <w:tc>
          <w:tcPr>
            <w:tcW w:w="1478" w:type="pct"/>
            <w:tcBorders>
              <w:top w:val="single" w:color="auto" w:sz="8" w:space="0"/>
              <w:left w:val="single" w:color="auto" w:sz="8" w:space="0"/>
              <w:bottom w:val="single" w:color="auto" w:sz="8" w:space="0"/>
              <w:right w:val="single" w:color="auto" w:sz="8" w:space="0"/>
            </w:tcBorders>
            <w:vAlign w:val="center"/>
          </w:tcPr>
          <w:p w14:paraId="460198BA">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文件服务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14:paraId="64A98FC1">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14:paraId="04795219">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14:paraId="1A69AD32">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29893951">
            <w:pPr>
              <w:spacing w:line="500" w:lineRule="exact"/>
              <w:jc w:val="center"/>
              <w:rPr>
                <w:rFonts w:hint="eastAsia" w:ascii="宋体" w:hAnsi="Calibri" w:eastAsia="宋体" w:cs="宋体"/>
                <w:color w:val="auto"/>
                <w:kern w:val="0"/>
                <w:sz w:val="21"/>
                <w:szCs w:val="21"/>
                <w:highlight w:val="none"/>
                <w:lang w:val="en-US" w:eastAsia="zh-CN" w:bidi="ar-SA"/>
              </w:rPr>
            </w:pPr>
            <w:r>
              <w:rPr>
                <w:rFonts w:hint="eastAsia" w:ascii="宋体" w:hAnsi="Calibri" w:eastAsia="宋体" w:cs="宋体"/>
                <w:color w:val="auto"/>
                <w:kern w:val="0"/>
                <w:sz w:val="21"/>
                <w:szCs w:val="21"/>
                <w:highlight w:val="none"/>
                <w:lang w:val="en-US" w:eastAsia="zh-CN" w:bidi="ar-SA"/>
              </w:rPr>
              <w:t>1</w:t>
            </w:r>
          </w:p>
        </w:tc>
        <w:tc>
          <w:tcPr>
            <w:tcW w:w="1909" w:type="pct"/>
            <w:tcBorders>
              <w:top w:val="single" w:color="auto" w:sz="8" w:space="0"/>
              <w:left w:val="nil"/>
              <w:bottom w:val="single" w:color="auto" w:sz="8" w:space="0"/>
              <w:right w:val="single" w:color="auto" w:sz="8" w:space="0"/>
            </w:tcBorders>
            <w:vAlign w:val="center"/>
          </w:tcPr>
          <w:p w14:paraId="0F09297A">
            <w:pPr>
              <w:pStyle w:val="26"/>
              <w:keepNext w:val="0"/>
              <w:keepLines w:val="0"/>
              <w:pageBreakBefore w:val="0"/>
              <w:kinsoku/>
              <w:wordWrap/>
              <w:overflowPunct/>
              <w:topLinePunct w:val="0"/>
              <w:autoSpaceDE/>
              <w:autoSpaceDN/>
              <w:bidi w:val="0"/>
              <w:adjustRightInd/>
              <w:snapToGrid/>
              <w:ind w:left="0" w:leftChars="0" w:firstLine="0" w:firstLineChars="0"/>
              <w:textAlignment w:val="auto"/>
              <w:rPr>
                <w:rFonts w:hint="default" w:ascii="宋体" w:hAnsi="Calibri" w:eastAsia="宋体" w:cs="宋体"/>
                <w:color w:val="auto"/>
                <w:kern w:val="0"/>
                <w:sz w:val="21"/>
                <w:szCs w:val="21"/>
                <w:highlight w:val="none"/>
                <w:lang w:val="en-US" w:eastAsia="zh-CN" w:bidi="ar-SA"/>
              </w:rPr>
            </w:pPr>
            <w:r>
              <w:rPr>
                <w:rFonts w:hint="eastAsia" w:ascii="宋体" w:hAnsi="Calibri" w:eastAsia="宋体" w:cs="宋体"/>
                <w:color w:val="auto"/>
                <w:kern w:val="0"/>
                <w:sz w:val="21"/>
                <w:szCs w:val="21"/>
                <w:highlight w:val="none"/>
                <w:lang w:val="en-US" w:eastAsia="zh-CN" w:bidi="ar-SA"/>
              </w:rPr>
              <w:t>招标文件“第二章  院内公开采购项目需求”中的“第六点 服务内容及要求”（一）至（三）所有条款</w:t>
            </w:r>
          </w:p>
        </w:tc>
        <w:tc>
          <w:tcPr>
            <w:tcW w:w="1478" w:type="pct"/>
            <w:tcBorders>
              <w:top w:val="single" w:color="auto" w:sz="8" w:space="0"/>
              <w:left w:val="nil"/>
              <w:bottom w:val="single" w:color="auto" w:sz="8" w:space="0"/>
              <w:right w:val="single" w:color="auto" w:sz="8" w:space="0"/>
            </w:tcBorders>
            <w:vAlign w:val="center"/>
          </w:tcPr>
          <w:p w14:paraId="136042FB">
            <w:pPr>
              <w:spacing w:line="500" w:lineRule="exact"/>
              <w:jc w:val="center"/>
              <w:rPr>
                <w:rFonts w:hint="eastAsia" w:ascii="宋体" w:hAnsi="Calibri" w:eastAsia="宋体" w:cs="宋体"/>
                <w:color w:val="auto"/>
                <w:kern w:val="0"/>
                <w:sz w:val="21"/>
                <w:szCs w:val="21"/>
                <w:highlight w:val="none"/>
                <w:lang w:val="en-US" w:eastAsia="zh-CN" w:bidi="ar-SA"/>
              </w:rPr>
            </w:pPr>
          </w:p>
        </w:tc>
        <w:tc>
          <w:tcPr>
            <w:tcW w:w="705" w:type="pct"/>
            <w:tcBorders>
              <w:top w:val="single" w:color="auto" w:sz="8" w:space="0"/>
              <w:left w:val="nil"/>
              <w:bottom w:val="single" w:color="auto" w:sz="8" w:space="0"/>
              <w:right w:val="single" w:color="auto" w:sz="8" w:space="0"/>
            </w:tcBorders>
            <w:vAlign w:val="center"/>
          </w:tcPr>
          <w:p w14:paraId="14CA868F">
            <w:pPr>
              <w:spacing w:line="500" w:lineRule="exact"/>
              <w:jc w:val="center"/>
              <w:rPr>
                <w:rFonts w:hint="eastAsia" w:ascii="宋体" w:hAnsi="Calibri" w:eastAsia="宋体" w:cs="宋体"/>
                <w:color w:val="auto"/>
                <w:kern w:val="0"/>
                <w:sz w:val="21"/>
                <w:szCs w:val="21"/>
                <w:highlight w:val="none"/>
                <w:lang w:val="en-US" w:eastAsia="zh-CN" w:bidi="ar-SA"/>
              </w:rPr>
            </w:pPr>
            <w:r>
              <w:rPr>
                <w:rFonts w:hint="eastAsia" w:ascii="宋体" w:hAnsi="Calibri" w:eastAsia="宋体" w:cs="宋体"/>
                <w:color w:val="auto"/>
                <w:kern w:val="0"/>
                <w:sz w:val="21"/>
                <w:szCs w:val="21"/>
                <w:highlight w:val="none"/>
                <w:lang w:val="en-US" w:eastAsia="zh-CN" w:bidi="ar-SA"/>
              </w:rPr>
              <w:t>填“无偏离”</w:t>
            </w:r>
          </w:p>
          <w:p w14:paraId="3B7440A2">
            <w:pPr>
              <w:spacing w:line="500" w:lineRule="exact"/>
              <w:jc w:val="center"/>
              <w:rPr>
                <w:rFonts w:hint="eastAsia" w:ascii="宋体" w:hAnsi="Calibri" w:eastAsia="宋体" w:cs="宋体"/>
                <w:color w:val="auto"/>
                <w:kern w:val="0"/>
                <w:sz w:val="21"/>
                <w:szCs w:val="21"/>
                <w:highlight w:val="none"/>
                <w:lang w:val="en-US" w:eastAsia="zh-CN" w:bidi="ar-SA"/>
              </w:rPr>
            </w:pPr>
            <w:r>
              <w:rPr>
                <w:rFonts w:hint="eastAsia" w:ascii="宋体" w:hAnsi="Calibri" w:eastAsia="宋体" w:cs="宋体"/>
                <w:color w:val="auto"/>
                <w:kern w:val="0"/>
                <w:sz w:val="21"/>
                <w:szCs w:val="21"/>
                <w:highlight w:val="none"/>
                <w:lang w:val="en-US" w:eastAsia="zh-CN" w:bidi="ar-SA"/>
              </w:rPr>
              <w:t>或“正偏离”</w:t>
            </w:r>
          </w:p>
          <w:p w14:paraId="3C2E2216">
            <w:pPr>
              <w:spacing w:line="500" w:lineRule="exact"/>
              <w:jc w:val="center"/>
              <w:rPr>
                <w:rFonts w:hint="eastAsia" w:ascii="宋体" w:hAnsi="Calibri" w:eastAsia="宋体" w:cs="宋体"/>
                <w:color w:val="auto"/>
                <w:kern w:val="0"/>
                <w:sz w:val="21"/>
                <w:szCs w:val="21"/>
                <w:highlight w:val="none"/>
                <w:lang w:val="en-US" w:eastAsia="zh-CN" w:bidi="ar-SA"/>
              </w:rPr>
            </w:pPr>
            <w:r>
              <w:rPr>
                <w:rFonts w:hint="eastAsia" w:ascii="宋体" w:hAnsi="Calibri" w:eastAsia="宋体" w:cs="宋体"/>
                <w:color w:val="auto"/>
                <w:kern w:val="0"/>
                <w:sz w:val="21"/>
                <w:szCs w:val="21"/>
                <w:highlight w:val="none"/>
                <w:lang w:val="en-US" w:eastAsia="zh-CN" w:bidi="ar-SA"/>
              </w:rPr>
              <w:t>或“负偏离”</w:t>
            </w:r>
          </w:p>
        </w:tc>
        <w:tc>
          <w:tcPr>
            <w:tcW w:w="562" w:type="pct"/>
            <w:tcBorders>
              <w:top w:val="single" w:color="auto" w:sz="8" w:space="0"/>
              <w:left w:val="nil"/>
              <w:bottom w:val="single" w:color="auto" w:sz="8" w:space="0"/>
              <w:right w:val="single" w:color="auto" w:sz="8" w:space="0"/>
            </w:tcBorders>
            <w:vAlign w:val="center"/>
          </w:tcPr>
          <w:p w14:paraId="26A83ED4">
            <w:pPr>
              <w:spacing w:line="500" w:lineRule="exact"/>
              <w:jc w:val="left"/>
              <w:rPr>
                <w:rFonts w:hint="eastAsia" w:ascii="宋体" w:hAnsi="Calibri" w:eastAsia="宋体" w:cs="宋体"/>
                <w:color w:val="auto"/>
                <w:kern w:val="0"/>
                <w:sz w:val="21"/>
                <w:szCs w:val="21"/>
                <w:highlight w:val="none"/>
                <w:lang w:val="en-US" w:eastAsia="zh-CN" w:bidi="ar-SA"/>
              </w:rPr>
            </w:pPr>
          </w:p>
        </w:tc>
      </w:tr>
    </w:tbl>
    <w:p w14:paraId="7601995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rPr>
      </w:pPr>
      <w:r>
        <w:rPr>
          <w:rFonts w:hint="eastAsia" w:ascii="宋体" w:eastAsia="宋体" w:cs="宋体"/>
          <w:color w:val="auto"/>
          <w:szCs w:val="21"/>
          <w:highlight w:val="none"/>
        </w:rPr>
        <w:t>注：1</w:t>
      </w:r>
      <w:r>
        <w:rPr>
          <w:rFonts w:hint="eastAsia" w:ascii="宋体" w:eastAsia="宋体" w:cs="宋体"/>
          <w:color w:val="auto"/>
          <w:szCs w:val="21"/>
          <w:highlight w:val="none"/>
          <w:lang w:val="en-US" w:eastAsia="zh-CN"/>
        </w:rPr>
        <w:t>.</w:t>
      </w:r>
      <w:r>
        <w:rPr>
          <w:rFonts w:hint="eastAsia" w:ascii="宋体" w:eastAsia="宋体" w:cs="宋体"/>
          <w:color w:val="auto"/>
          <w:szCs w:val="21"/>
          <w:highlight w:val="none"/>
        </w:rPr>
        <w:t>投标人须根据</w:t>
      </w:r>
      <w:r>
        <w:rPr>
          <w:rFonts w:hint="eastAsia" w:ascii="宋体" w:eastAsia="宋体" w:cs="宋体"/>
          <w:color w:val="auto"/>
          <w:szCs w:val="21"/>
          <w:highlight w:val="none"/>
          <w:lang w:eastAsia="zh-CN"/>
        </w:rPr>
        <w:t>招标文件</w:t>
      </w:r>
      <w:r>
        <w:rPr>
          <w:rFonts w:hint="eastAsia" w:ascii="宋体" w:eastAsia="宋体" w:cs="宋体"/>
          <w:color w:val="auto"/>
          <w:szCs w:val="21"/>
          <w:highlight w:val="none"/>
          <w:lang w:val="en-US" w:eastAsia="zh-CN"/>
        </w:rPr>
        <w:t xml:space="preserve">“第二章  院内公开采购项目需求”中的“第六点 </w:t>
      </w:r>
      <w:r>
        <w:rPr>
          <w:rFonts w:hint="eastAsia" w:ascii="宋体" w:eastAsia="宋体" w:cs="宋体"/>
          <w:color w:val="auto"/>
          <w:szCs w:val="21"/>
          <w:highlight w:val="none"/>
          <w:lang w:eastAsia="zh-CN"/>
        </w:rPr>
        <w:t>服务内容及要求</w:t>
      </w:r>
      <w:r>
        <w:rPr>
          <w:rFonts w:hint="eastAsia" w:ascii="宋体" w:eastAsia="宋体" w:cs="宋体"/>
          <w:color w:val="auto"/>
          <w:szCs w:val="21"/>
          <w:highlight w:val="none"/>
          <w:lang w:val="en-US" w:eastAsia="zh-CN"/>
        </w:rPr>
        <w:t>”（一）至（三）所有条款</w:t>
      </w:r>
      <w:r>
        <w:rPr>
          <w:rFonts w:hint="eastAsia" w:ascii="宋体" w:eastAsia="宋体" w:cs="宋体"/>
          <w:color w:val="auto"/>
          <w:szCs w:val="21"/>
          <w:highlight w:val="none"/>
          <w:lang w:eastAsia="zh-CN"/>
        </w:rPr>
        <w:t>内容</w:t>
      </w:r>
      <w:r>
        <w:rPr>
          <w:rFonts w:hint="eastAsia" w:ascii="宋体" w:eastAsia="宋体" w:cs="宋体"/>
          <w:color w:val="auto"/>
          <w:szCs w:val="21"/>
          <w:highlight w:val="none"/>
        </w:rPr>
        <w:t>要求填写此表，作为投标文件重要的组成部分。</w:t>
      </w:r>
    </w:p>
    <w:p w14:paraId="6A5FEF72">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lang w:eastAsia="zh-CN"/>
        </w:rPr>
      </w:pPr>
      <w:r>
        <w:rPr>
          <w:rFonts w:hint="eastAsia" w:ascii="宋体" w:eastAsia="宋体" w:cs="宋体"/>
          <w:color w:val="auto"/>
          <w:szCs w:val="21"/>
          <w:highlight w:val="none"/>
          <w:lang w:val="en-US" w:eastAsia="zh-CN"/>
        </w:rPr>
        <w:t>2.</w:t>
      </w:r>
      <w:r>
        <w:rPr>
          <w:rFonts w:hint="eastAsia" w:ascii="宋体" w:eastAsia="宋体" w:cs="宋体"/>
          <w:color w:val="auto"/>
          <w:szCs w:val="21"/>
          <w:highlight w:val="none"/>
        </w:rPr>
        <w:t>如投标人可完全响应满足</w:t>
      </w:r>
      <w:r>
        <w:rPr>
          <w:rFonts w:hint="eastAsia" w:ascii="宋体" w:eastAsia="宋体" w:cs="宋体"/>
          <w:color w:val="auto"/>
          <w:szCs w:val="21"/>
          <w:highlight w:val="none"/>
          <w:lang w:val="en-US" w:eastAsia="zh-CN"/>
        </w:rPr>
        <w:t xml:space="preserve">“第二章  院内公开采购项目需求”中“第六点 </w:t>
      </w:r>
      <w:r>
        <w:rPr>
          <w:rFonts w:hint="eastAsia" w:ascii="宋体" w:eastAsia="宋体" w:cs="宋体"/>
          <w:color w:val="auto"/>
          <w:szCs w:val="21"/>
          <w:highlight w:val="none"/>
          <w:lang w:eastAsia="zh-CN"/>
        </w:rPr>
        <w:t>服务内容及要求</w:t>
      </w:r>
      <w:r>
        <w:rPr>
          <w:rFonts w:hint="eastAsia" w:ascii="宋体" w:eastAsia="宋体" w:cs="宋体"/>
          <w:color w:val="auto"/>
          <w:szCs w:val="21"/>
          <w:highlight w:val="none"/>
          <w:lang w:val="en-US" w:eastAsia="zh-CN"/>
        </w:rPr>
        <w:t>”（一）至（三）所有条款</w:t>
      </w:r>
      <w:r>
        <w:rPr>
          <w:rFonts w:hint="eastAsia" w:ascii="宋体" w:eastAsia="宋体" w:cs="宋体"/>
          <w:color w:val="auto"/>
          <w:szCs w:val="21"/>
          <w:highlight w:val="none"/>
          <w:lang w:eastAsia="zh-CN"/>
        </w:rPr>
        <w:t>内容</w:t>
      </w:r>
      <w:r>
        <w:rPr>
          <w:rFonts w:hint="eastAsia" w:ascii="宋体" w:eastAsia="宋体" w:cs="宋体"/>
          <w:color w:val="auto"/>
          <w:szCs w:val="21"/>
          <w:highlight w:val="none"/>
        </w:rPr>
        <w:t>要求，投标人</w:t>
      </w:r>
      <w:r>
        <w:rPr>
          <w:rFonts w:hint="eastAsia" w:ascii="宋体" w:eastAsia="宋体" w:cs="宋体"/>
          <w:color w:val="auto"/>
          <w:szCs w:val="21"/>
          <w:highlight w:val="none"/>
          <w:lang w:val="en-US" w:eastAsia="zh-CN"/>
        </w:rPr>
        <w:t>可在投标文件服务</w:t>
      </w:r>
      <w:r>
        <w:rPr>
          <w:rFonts w:hint="eastAsia" w:ascii="宋体" w:eastAsia="宋体" w:cs="宋体"/>
          <w:color w:val="auto"/>
          <w:szCs w:val="21"/>
          <w:highlight w:val="none"/>
        </w:rPr>
        <w:t>响应栏中填写“我公司完全响应满足采购文件</w:t>
      </w:r>
      <w:r>
        <w:rPr>
          <w:rFonts w:hint="eastAsia" w:ascii="宋体" w:eastAsia="宋体" w:cs="宋体"/>
          <w:color w:val="auto"/>
          <w:szCs w:val="21"/>
          <w:highlight w:val="none"/>
          <w:lang w:val="en-US" w:eastAsia="zh-CN"/>
        </w:rPr>
        <w:t xml:space="preserve">“第二章  院内公开采购项目需求”中“第六点 </w:t>
      </w:r>
      <w:r>
        <w:rPr>
          <w:rFonts w:hint="eastAsia" w:ascii="宋体" w:eastAsia="宋体" w:cs="宋体"/>
          <w:color w:val="auto"/>
          <w:szCs w:val="21"/>
          <w:highlight w:val="none"/>
          <w:lang w:eastAsia="zh-CN"/>
        </w:rPr>
        <w:t>服务内容及要求</w:t>
      </w:r>
      <w:r>
        <w:rPr>
          <w:rFonts w:hint="eastAsia" w:ascii="宋体" w:eastAsia="宋体" w:cs="宋体"/>
          <w:color w:val="auto"/>
          <w:szCs w:val="21"/>
          <w:highlight w:val="none"/>
          <w:lang w:val="en-US" w:eastAsia="zh-CN"/>
        </w:rPr>
        <w:t>”（一）至（三）所有条款</w:t>
      </w:r>
      <w:r>
        <w:rPr>
          <w:rFonts w:hint="eastAsia" w:ascii="宋体" w:eastAsia="宋体" w:cs="宋体"/>
          <w:color w:val="auto"/>
          <w:szCs w:val="21"/>
          <w:highlight w:val="none"/>
          <w:lang w:eastAsia="zh-CN"/>
        </w:rPr>
        <w:t>内容</w:t>
      </w:r>
      <w:r>
        <w:rPr>
          <w:rFonts w:hint="eastAsia" w:ascii="宋体" w:eastAsia="宋体" w:cs="宋体"/>
          <w:color w:val="auto"/>
          <w:szCs w:val="21"/>
          <w:highlight w:val="none"/>
        </w:rPr>
        <w:t>要求即可，除议价文件另有注明外，不强制要求逐条列出响应；如投标人</w:t>
      </w:r>
      <w:r>
        <w:rPr>
          <w:rFonts w:hint="eastAsia" w:ascii="宋体" w:eastAsia="宋体" w:cs="宋体"/>
          <w:color w:val="auto"/>
          <w:szCs w:val="21"/>
          <w:highlight w:val="none"/>
          <w:lang w:val="en-US" w:eastAsia="zh-CN"/>
        </w:rPr>
        <w:t xml:space="preserve">对“第二章  院内公开采购项目需求”中“第六点 </w:t>
      </w:r>
      <w:r>
        <w:rPr>
          <w:rFonts w:hint="eastAsia" w:ascii="宋体" w:eastAsia="宋体" w:cs="宋体"/>
          <w:color w:val="auto"/>
          <w:szCs w:val="21"/>
          <w:highlight w:val="none"/>
          <w:lang w:eastAsia="zh-CN"/>
        </w:rPr>
        <w:t>服务内容及要求</w:t>
      </w:r>
      <w:r>
        <w:rPr>
          <w:rFonts w:hint="eastAsia" w:ascii="宋体" w:eastAsia="宋体" w:cs="宋体"/>
          <w:color w:val="auto"/>
          <w:szCs w:val="21"/>
          <w:highlight w:val="none"/>
          <w:lang w:val="en-US" w:eastAsia="zh-CN"/>
        </w:rPr>
        <w:t>”（一）至（三）条款</w:t>
      </w:r>
      <w:r>
        <w:rPr>
          <w:rFonts w:hint="eastAsia" w:ascii="宋体" w:eastAsia="宋体" w:cs="宋体"/>
          <w:color w:val="auto"/>
          <w:szCs w:val="21"/>
          <w:highlight w:val="none"/>
          <w:lang w:eastAsia="zh-CN"/>
        </w:rPr>
        <w:t>内容</w:t>
      </w:r>
      <w:r>
        <w:rPr>
          <w:rFonts w:hint="eastAsia" w:ascii="宋体" w:eastAsia="宋体" w:cs="宋体"/>
          <w:color w:val="auto"/>
          <w:szCs w:val="21"/>
          <w:highlight w:val="none"/>
        </w:rPr>
        <w:t>要求存在负偏离时，应</w:t>
      </w:r>
      <w:r>
        <w:rPr>
          <w:rFonts w:hint="eastAsia" w:ascii="宋体" w:eastAsia="宋体" w:cs="宋体"/>
          <w:color w:val="auto"/>
          <w:szCs w:val="21"/>
          <w:highlight w:val="none"/>
          <w:lang w:val="en-US" w:eastAsia="zh-CN"/>
        </w:rPr>
        <w:t xml:space="preserve">对“第二章  院内公开采购项目需求”中“第六点 </w:t>
      </w:r>
      <w:r>
        <w:rPr>
          <w:rFonts w:hint="eastAsia" w:ascii="宋体" w:eastAsia="宋体" w:cs="宋体"/>
          <w:color w:val="auto"/>
          <w:szCs w:val="21"/>
          <w:highlight w:val="none"/>
          <w:lang w:eastAsia="zh-CN"/>
        </w:rPr>
        <w:t>服务内容及要求</w:t>
      </w:r>
      <w:r>
        <w:rPr>
          <w:rFonts w:hint="eastAsia" w:ascii="宋体" w:eastAsia="宋体" w:cs="宋体"/>
          <w:color w:val="auto"/>
          <w:szCs w:val="21"/>
          <w:highlight w:val="none"/>
          <w:lang w:val="en-US" w:eastAsia="zh-CN"/>
        </w:rPr>
        <w:t>”（一）至（三）条款</w:t>
      </w:r>
      <w:r>
        <w:rPr>
          <w:rFonts w:hint="eastAsia" w:ascii="宋体" w:eastAsia="宋体" w:cs="宋体"/>
          <w:color w:val="auto"/>
          <w:szCs w:val="21"/>
          <w:highlight w:val="none"/>
          <w:lang w:eastAsia="zh-CN"/>
        </w:rPr>
        <w:t>内容</w:t>
      </w:r>
      <w:r>
        <w:rPr>
          <w:rFonts w:hint="eastAsia" w:ascii="宋体" w:eastAsia="宋体" w:cs="宋体"/>
          <w:color w:val="auto"/>
          <w:szCs w:val="21"/>
          <w:highlight w:val="none"/>
        </w:rPr>
        <w:t>要求</w:t>
      </w:r>
      <w:r>
        <w:rPr>
          <w:rFonts w:hint="eastAsia" w:ascii="宋体" w:eastAsia="宋体" w:cs="宋体"/>
          <w:color w:val="auto"/>
          <w:szCs w:val="21"/>
          <w:highlight w:val="none"/>
          <w:lang w:val="en-US" w:eastAsia="zh-CN"/>
        </w:rPr>
        <w:t>逐项响应</w:t>
      </w:r>
      <w:r>
        <w:rPr>
          <w:rFonts w:hint="eastAsia" w:ascii="宋体" w:eastAsia="宋体" w:cs="宋体"/>
          <w:color w:val="auto"/>
          <w:szCs w:val="21"/>
          <w:highlight w:val="none"/>
        </w:rPr>
        <w:t>列在“</w:t>
      </w:r>
      <w:r>
        <w:rPr>
          <w:rFonts w:hint="eastAsia" w:ascii="宋体" w:eastAsia="宋体" w:cs="宋体"/>
          <w:color w:val="auto"/>
          <w:szCs w:val="21"/>
          <w:highlight w:val="none"/>
          <w:lang w:val="en-US" w:eastAsia="zh-CN"/>
        </w:rPr>
        <w:t>投标文件服务</w:t>
      </w:r>
      <w:r>
        <w:rPr>
          <w:rFonts w:hint="eastAsia" w:ascii="宋体" w:eastAsia="宋体" w:cs="宋体"/>
          <w:color w:val="auto"/>
          <w:szCs w:val="21"/>
          <w:highlight w:val="none"/>
        </w:rPr>
        <w:t>响应”栏中</w:t>
      </w:r>
      <w:r>
        <w:rPr>
          <w:rFonts w:hint="eastAsia" w:ascii="宋体" w:eastAsia="宋体" w:cs="宋体"/>
          <w:color w:val="auto"/>
          <w:szCs w:val="21"/>
          <w:highlight w:val="none"/>
          <w:lang w:eastAsia="zh-CN"/>
        </w:rPr>
        <w:t>。</w:t>
      </w:r>
      <w:r>
        <w:rPr>
          <w:rFonts w:hint="eastAsia" w:ascii="宋体" w:eastAsia="宋体" w:cs="宋体"/>
          <w:color w:val="auto"/>
          <w:szCs w:val="21"/>
          <w:highlight w:val="none"/>
          <w:lang w:val="en-US" w:eastAsia="zh-CN"/>
        </w:rPr>
        <w:t>若</w:t>
      </w:r>
      <w:r>
        <w:rPr>
          <w:rFonts w:hint="eastAsia" w:ascii="宋体" w:eastAsia="宋体" w:cs="宋体"/>
          <w:color w:val="auto"/>
          <w:szCs w:val="21"/>
          <w:highlight w:val="none"/>
        </w:rPr>
        <w:t>要求提供证明资料，在“说明”一栏中列明证明资料的位置，以便评审；未要求提供证明材料的，投标人可以不提供。</w:t>
      </w:r>
    </w:p>
    <w:p w14:paraId="3812C004">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lang w:eastAsia="zh-CN"/>
        </w:rPr>
      </w:pPr>
      <w:r>
        <w:rPr>
          <w:rFonts w:hint="eastAsia" w:ascii="宋体" w:eastAsia="宋体" w:cs="宋体"/>
          <w:color w:val="auto"/>
          <w:szCs w:val="21"/>
          <w:highlight w:val="none"/>
          <w:lang w:val="en-US" w:eastAsia="zh-CN"/>
        </w:rPr>
        <w:t>3.</w:t>
      </w:r>
      <w:r>
        <w:rPr>
          <w:rFonts w:hint="eastAsia" w:ascii="宋体" w:eastAsia="宋体" w:cs="宋体"/>
          <w:color w:val="auto"/>
          <w:szCs w:val="21"/>
          <w:highlight w:val="none"/>
        </w:rPr>
        <w:t>完全与服务要求</w:t>
      </w:r>
      <w:r>
        <w:rPr>
          <w:rFonts w:hint="eastAsia" w:ascii="宋体" w:eastAsia="宋体" w:cs="宋体"/>
          <w:color w:val="auto"/>
          <w:szCs w:val="21"/>
          <w:highlight w:val="none"/>
          <w:lang w:val="en-US" w:eastAsia="zh-CN"/>
        </w:rPr>
        <w:t>条款</w:t>
      </w:r>
      <w:r>
        <w:rPr>
          <w:rFonts w:hint="eastAsia" w:ascii="宋体" w:eastAsia="宋体" w:cs="宋体"/>
          <w:color w:val="auto"/>
          <w:szCs w:val="21"/>
          <w:highlight w:val="none"/>
        </w:rPr>
        <w:t>相符的填“无偏离”，高于服务要求的填“正偏离”，没有达到服务要求的填“负偏离”，有其他事项请在“说明”栏中补充。</w:t>
      </w:r>
    </w:p>
    <w:p w14:paraId="67FAEE1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rPr>
      </w:pPr>
    </w:p>
    <w:p w14:paraId="04CF5B30">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rPr>
      </w:pPr>
      <w:r>
        <w:rPr>
          <w:rFonts w:hint="eastAsia" w:ascii="宋体" w:eastAsia="宋体" w:cs="宋体"/>
          <w:color w:val="auto"/>
          <w:szCs w:val="21"/>
          <w:highlight w:val="none"/>
        </w:rPr>
        <w:t>投标单位全称（加盖公章）：</w:t>
      </w:r>
    </w:p>
    <w:p w14:paraId="6F0A79C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rPr>
      </w:pPr>
      <w:r>
        <w:rPr>
          <w:rFonts w:hint="eastAsia" w:ascii="宋体" w:eastAsia="宋体" w:cs="宋体"/>
          <w:color w:val="auto"/>
          <w:szCs w:val="21"/>
          <w:highlight w:val="none"/>
        </w:rPr>
        <w:t>法定代表人或其授权代表签名：</w:t>
      </w:r>
    </w:p>
    <w:p w14:paraId="3780570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szCs w:val="21"/>
          <w:highlight w:val="none"/>
        </w:rPr>
      </w:pPr>
      <w:r>
        <w:rPr>
          <w:rFonts w:hint="eastAsia" w:ascii="宋体" w:eastAsia="宋体" w:cs="宋体"/>
          <w:color w:val="auto"/>
          <w:szCs w:val="21"/>
          <w:highlight w:val="none"/>
        </w:rPr>
        <w:t>日期：      年    月    日</w:t>
      </w:r>
    </w:p>
    <w:p w14:paraId="3AFC1E2E">
      <w:pPr>
        <w:sectPr>
          <w:pgSz w:w="16838" w:h="11906" w:orient="landscape"/>
          <w:pgMar w:top="1304" w:right="2098" w:bottom="1474" w:left="1984" w:header="851" w:footer="1417" w:gutter="0"/>
          <w:pgNumType w:fmt="numberInDash"/>
          <w:cols w:space="0" w:num="1"/>
          <w:docGrid w:type="lines" w:linePitch="327" w:charSpace="0"/>
        </w:sectPr>
      </w:pPr>
    </w:p>
    <w:p w14:paraId="56D33815">
      <w:pPr>
        <w:pStyle w:val="16"/>
        <w:rPr>
          <w:rFonts w:hint="eastAsia"/>
          <w:lang w:val="zh-CN"/>
        </w:rPr>
      </w:pPr>
    </w:p>
    <w:p w14:paraId="30559B7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 w:hAnsi="仿宋" w:eastAsia="仿宋" w:cs="仿宋"/>
          <w:b/>
          <w:color w:val="auto"/>
          <w:kern w:val="0"/>
          <w:sz w:val="44"/>
          <w:szCs w:val="44"/>
          <w:highlight w:val="none"/>
          <w:lang w:val="zh-CN"/>
        </w:rPr>
      </w:pPr>
      <w:r>
        <w:rPr>
          <w:rFonts w:hint="eastAsia" w:ascii="仿宋" w:hAnsi="仿宋" w:eastAsia="仿宋" w:cs="仿宋"/>
          <w:b/>
          <w:color w:val="auto"/>
          <w:kern w:val="0"/>
          <w:sz w:val="44"/>
          <w:szCs w:val="44"/>
          <w:highlight w:val="none"/>
          <w:lang w:val="zh-CN"/>
        </w:rPr>
        <w:t>商务条款偏离表</w:t>
      </w:r>
    </w:p>
    <w:tbl>
      <w:tblPr>
        <w:tblStyle w:val="19"/>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6972"/>
        <w:gridCol w:w="2290"/>
        <w:gridCol w:w="2096"/>
        <w:gridCol w:w="559"/>
      </w:tblGrid>
      <w:tr w14:paraId="276C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tcBorders>
              <w:top w:val="single" w:color="auto" w:sz="4" w:space="0"/>
              <w:left w:val="single" w:color="auto" w:sz="4" w:space="0"/>
              <w:bottom w:val="single" w:color="auto" w:sz="4" w:space="0"/>
              <w:right w:val="single" w:color="auto" w:sz="4" w:space="0"/>
            </w:tcBorders>
            <w:noWrap w:val="0"/>
            <w:vAlign w:val="center"/>
          </w:tcPr>
          <w:p w14:paraId="387FA49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Cs w:val="21"/>
                <w:highlight w:val="none"/>
                <w:lang w:val="en-US" w:eastAsia="zh-CN" w:bidi="ar"/>
              </w:rPr>
              <w:t>序号</w:t>
            </w:r>
          </w:p>
        </w:tc>
        <w:tc>
          <w:tcPr>
            <w:tcW w:w="2758" w:type="pct"/>
            <w:tcBorders>
              <w:top w:val="single" w:color="auto" w:sz="4" w:space="0"/>
              <w:left w:val="single" w:color="auto" w:sz="4" w:space="0"/>
              <w:bottom w:val="single" w:color="auto" w:sz="4" w:space="0"/>
              <w:right w:val="single" w:color="auto" w:sz="4" w:space="0"/>
            </w:tcBorders>
            <w:noWrap w:val="0"/>
            <w:vAlign w:val="center"/>
          </w:tcPr>
          <w:p w14:paraId="59037D74">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color w:val="auto"/>
                <w:szCs w:val="21"/>
                <w:highlight w:val="none"/>
              </w:rPr>
              <w:t>招标商务要求</w:t>
            </w:r>
          </w:p>
        </w:tc>
        <w:tc>
          <w:tcPr>
            <w:tcW w:w="906" w:type="pct"/>
            <w:tcBorders>
              <w:top w:val="single" w:color="auto" w:sz="4" w:space="0"/>
              <w:left w:val="single" w:color="auto" w:sz="4" w:space="0"/>
              <w:bottom w:val="single" w:color="auto" w:sz="4" w:space="0"/>
              <w:right w:val="single" w:color="auto" w:sz="4" w:space="0"/>
            </w:tcBorders>
            <w:noWrap w:val="0"/>
            <w:vAlign w:val="center"/>
          </w:tcPr>
          <w:p w14:paraId="3CF948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cs="宋体"/>
                <w:b/>
                <w:bCs/>
                <w:color w:val="auto"/>
                <w:szCs w:val="21"/>
                <w:highlight w:val="none"/>
              </w:rPr>
            </w:pPr>
            <w:r>
              <w:rPr>
                <w:rFonts w:hint="eastAsia" w:ascii="宋体" w:cs="宋体"/>
                <w:b/>
                <w:bCs/>
                <w:color w:val="auto"/>
                <w:szCs w:val="21"/>
                <w:highlight w:val="none"/>
              </w:rPr>
              <w:t>投标商务响应</w:t>
            </w:r>
          </w:p>
          <w:p w14:paraId="752214D7">
            <w:pPr>
              <w:pStyle w:val="31"/>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hAnsi="宋体" w:cs="宋体"/>
                <w:b/>
                <w:bCs/>
                <w:color w:val="auto"/>
                <w:highlight w:val="none"/>
              </w:rPr>
            </w:pPr>
            <w:r>
              <w:rPr>
                <w:rFonts w:hint="eastAsia" w:ascii="宋体" w:cs="宋体"/>
                <w:color w:val="auto"/>
                <w:highlight w:val="none"/>
              </w:rPr>
              <w:t>投标人根据实际情况在此处进行响应</w:t>
            </w:r>
          </w:p>
        </w:tc>
        <w:tc>
          <w:tcPr>
            <w:tcW w:w="829" w:type="pct"/>
            <w:tcBorders>
              <w:top w:val="single" w:color="auto" w:sz="4" w:space="0"/>
              <w:left w:val="single" w:color="auto" w:sz="4" w:space="0"/>
              <w:bottom w:val="single" w:color="auto" w:sz="4" w:space="0"/>
              <w:right w:val="single" w:color="auto" w:sz="4" w:space="0"/>
            </w:tcBorders>
            <w:noWrap w:val="0"/>
            <w:vAlign w:val="center"/>
          </w:tcPr>
          <w:p w14:paraId="0FE4D1F1">
            <w:pPr>
              <w:keepNext w:val="0"/>
              <w:keepLines w:val="0"/>
              <w:pageBreakBefore w:val="0"/>
              <w:kinsoku/>
              <w:wordWrap/>
              <w:overflowPunct/>
              <w:topLinePunct w:val="0"/>
              <w:autoSpaceDE/>
              <w:autoSpaceDN/>
              <w:bidi w:val="0"/>
              <w:adjustRightInd/>
              <w:snapToGrid/>
              <w:spacing w:line="560" w:lineRule="exact"/>
              <w:jc w:val="center"/>
              <w:rPr>
                <w:rFonts w:ascii="宋体" w:cs="宋体"/>
                <w:b/>
                <w:bCs/>
                <w:color w:val="auto"/>
                <w:szCs w:val="21"/>
                <w:highlight w:val="none"/>
              </w:rPr>
            </w:pPr>
            <w:r>
              <w:rPr>
                <w:rFonts w:hint="eastAsia" w:ascii="宋体" w:cs="宋体"/>
                <w:b/>
                <w:bCs/>
                <w:color w:val="auto"/>
                <w:szCs w:val="21"/>
                <w:highlight w:val="none"/>
              </w:rPr>
              <w:t>偏离情况</w:t>
            </w:r>
          </w:p>
          <w:p w14:paraId="54A1691D">
            <w:pPr>
              <w:pStyle w:val="31"/>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hAnsi="宋体" w:cs="宋体"/>
                <w:b/>
                <w:bCs/>
                <w:color w:val="auto"/>
                <w:highlight w:val="none"/>
              </w:rPr>
            </w:pPr>
            <w:r>
              <w:rPr>
                <w:rFonts w:hint="eastAsia" w:ascii="宋体" w:cs="宋体"/>
                <w:color w:val="auto"/>
                <w:highlight w:val="none"/>
              </w:rPr>
              <w:t>“正偏离”或“无偏离”或“负偏离”</w:t>
            </w:r>
          </w:p>
        </w:tc>
        <w:tc>
          <w:tcPr>
            <w:tcW w:w="221" w:type="pct"/>
            <w:tcBorders>
              <w:top w:val="single" w:color="auto" w:sz="4" w:space="0"/>
              <w:left w:val="single" w:color="auto" w:sz="4" w:space="0"/>
              <w:bottom w:val="single" w:color="auto" w:sz="4" w:space="0"/>
              <w:right w:val="single" w:color="auto" w:sz="4" w:space="0"/>
            </w:tcBorders>
            <w:noWrap w:val="0"/>
            <w:vAlign w:val="center"/>
          </w:tcPr>
          <w:p w14:paraId="652BC6CA">
            <w:pPr>
              <w:keepNext w:val="0"/>
              <w:keepLines w:val="0"/>
              <w:pageBreakBefore w:val="0"/>
              <w:kinsoku/>
              <w:wordWrap/>
              <w:overflowPunct/>
              <w:topLinePunct w:val="0"/>
              <w:autoSpaceDE/>
              <w:autoSpaceDN/>
              <w:bidi w:val="0"/>
              <w:adjustRightInd/>
              <w:snapToGrid/>
              <w:spacing w:line="560" w:lineRule="exact"/>
              <w:jc w:val="center"/>
              <w:rPr>
                <w:rFonts w:hint="eastAsia" w:ascii="宋体" w:hAnsi="宋体" w:cs="宋体"/>
                <w:b/>
                <w:bCs/>
                <w:color w:val="auto"/>
                <w:szCs w:val="21"/>
                <w:highlight w:val="none"/>
              </w:rPr>
            </w:pPr>
            <w:r>
              <w:rPr>
                <w:rFonts w:hint="eastAsia" w:ascii="宋体" w:cs="宋体"/>
                <w:b/>
                <w:bCs/>
                <w:color w:val="auto"/>
                <w:szCs w:val="21"/>
                <w:highlight w:val="none"/>
              </w:rPr>
              <w:t>说明</w:t>
            </w:r>
          </w:p>
        </w:tc>
      </w:tr>
      <w:tr w14:paraId="53DA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31CB3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olor w:val="auto"/>
                <w:sz w:val="22"/>
                <w:highlight w:val="none"/>
                <w:lang w:val="en-US" w:eastAsia="zh-CN"/>
              </w:rPr>
            </w:pPr>
            <w:r>
              <w:rPr>
                <w:rFonts w:hint="eastAsia"/>
                <w:color w:val="auto"/>
                <w:sz w:val="22"/>
                <w:highlight w:val="none"/>
                <w:lang w:val="en-US" w:eastAsia="zh-CN"/>
              </w:rPr>
              <w:t>1</w:t>
            </w:r>
          </w:p>
        </w:tc>
        <w:tc>
          <w:tcPr>
            <w:tcW w:w="27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707C8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2.交货地点：深圳市龙岗区第七人民医院。</w:t>
            </w:r>
          </w:p>
        </w:tc>
        <w:tc>
          <w:tcPr>
            <w:tcW w:w="906" w:type="pct"/>
            <w:tcBorders>
              <w:top w:val="single" w:color="auto" w:sz="4" w:space="0"/>
              <w:left w:val="single" w:color="auto" w:sz="4" w:space="0"/>
              <w:bottom w:val="single" w:color="auto" w:sz="4" w:space="0"/>
              <w:right w:val="single" w:color="auto" w:sz="4" w:space="0"/>
            </w:tcBorders>
            <w:noWrap w:val="0"/>
            <w:vAlign w:val="center"/>
          </w:tcPr>
          <w:p w14:paraId="38A2448F">
            <w:pPr>
              <w:pStyle w:val="31"/>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14:paraId="2297F074">
            <w:pPr>
              <w:pStyle w:val="31"/>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14:paraId="1C24D1D5">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14:paraId="05D8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8574E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olor w:val="auto"/>
                <w:sz w:val="22"/>
                <w:highlight w:val="none"/>
                <w:lang w:val="en-US" w:eastAsia="zh-CN"/>
              </w:rPr>
            </w:pPr>
            <w:r>
              <w:rPr>
                <w:rFonts w:hint="eastAsia"/>
                <w:color w:val="auto"/>
                <w:sz w:val="22"/>
                <w:highlight w:val="none"/>
                <w:lang w:val="en-US" w:eastAsia="zh-CN"/>
              </w:rPr>
              <w:t>2</w:t>
            </w:r>
          </w:p>
        </w:tc>
        <w:tc>
          <w:tcPr>
            <w:tcW w:w="27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360C64">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3.付款方式：中标人完成全部检测及评估工作，提交正式、有效的检测鉴定报告（含楼层承重性评估专篇），且经采购人验收合格后，中标人开具合法有效的全额发票，采购人在收到发票后10个工作日内一次性支付全部合同款项。</w:t>
            </w:r>
          </w:p>
        </w:tc>
        <w:tc>
          <w:tcPr>
            <w:tcW w:w="906" w:type="pct"/>
            <w:tcBorders>
              <w:top w:val="single" w:color="auto" w:sz="4" w:space="0"/>
              <w:left w:val="single" w:color="auto" w:sz="4" w:space="0"/>
              <w:bottom w:val="single" w:color="auto" w:sz="4" w:space="0"/>
              <w:right w:val="single" w:color="auto" w:sz="4" w:space="0"/>
            </w:tcBorders>
            <w:noWrap w:val="0"/>
            <w:vAlign w:val="center"/>
          </w:tcPr>
          <w:p w14:paraId="09DE95FF">
            <w:pPr>
              <w:pStyle w:val="31"/>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14:paraId="6C1C0559">
            <w:pPr>
              <w:pStyle w:val="31"/>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14:paraId="2AB0D8BC">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14:paraId="2EAE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D7BBC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olor w:val="auto"/>
                <w:sz w:val="22"/>
                <w:highlight w:val="none"/>
                <w:lang w:val="en-US" w:eastAsia="zh-CN"/>
              </w:rPr>
            </w:pPr>
            <w:r>
              <w:rPr>
                <w:rFonts w:hint="eastAsia"/>
                <w:color w:val="auto"/>
                <w:sz w:val="22"/>
                <w:highlight w:val="none"/>
                <w:lang w:val="en-US" w:eastAsia="zh-CN"/>
              </w:rPr>
              <w:t>3</w:t>
            </w:r>
          </w:p>
        </w:tc>
        <w:tc>
          <w:tcPr>
            <w:tcW w:w="27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3FF9EC">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（五）验收及售后服务</w:t>
            </w:r>
          </w:p>
          <w:p w14:paraId="6F5CD4FF">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1.中标人提交的报告存在弄虚作假、重大遗漏或错误（特别是楼层承重性评估结论严重失实），导致采购人做出错误决策并造成损失的，采购人有权解除合同，要求中标人退还已收取的全部款项，并赔偿采购人全部损失。</w:t>
            </w:r>
          </w:p>
          <w:p w14:paraId="7D8B07AB">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2.中标人须对其出具的报告真实性、准确性、合法性负责。若因报告问题导致采购人做出错误决策并造成损失的，中标人应承担相应法律责任及经济赔偿。</w:t>
            </w:r>
          </w:p>
          <w:p w14:paraId="05A0AB70">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3.报告提交后，若采购人对报告内容有疑问（特别是楼层承重性评估结论），中标人应免费提供解释说明；若因采购人原因导致检测条件或设备参数发生变化，需要调整报告的，双方另行协商。</w:t>
            </w:r>
          </w:p>
          <w:p w14:paraId="69500FA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160F3B62">
            <w:pPr>
              <w:pStyle w:val="31"/>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14:paraId="47012A5F">
            <w:pPr>
              <w:pStyle w:val="31"/>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14:paraId="203E558B">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14:paraId="64F6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F08EF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olor w:val="auto"/>
                <w:sz w:val="22"/>
                <w:highlight w:val="none"/>
                <w:lang w:val="en-US" w:eastAsia="zh-CN"/>
              </w:rPr>
            </w:pPr>
            <w:r>
              <w:rPr>
                <w:rFonts w:hint="eastAsia"/>
                <w:color w:val="auto"/>
                <w:sz w:val="22"/>
                <w:highlight w:val="none"/>
                <w:lang w:val="en-US" w:eastAsia="zh-CN"/>
              </w:rPr>
              <w:t>7</w:t>
            </w:r>
          </w:p>
        </w:tc>
        <w:tc>
          <w:tcPr>
            <w:tcW w:w="27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8B8017">
            <w:pPr>
              <w:pStyle w:val="38"/>
              <w:spacing w:line="360" w:lineRule="auto"/>
              <w:ind w:left="0" w:leftChars="0" w:firstLine="0" w:firstLineChars="0"/>
              <w:rPr>
                <w:rFonts w:hint="eastAsia" w:ascii="Calibri" w:hAnsi="Calibri" w:eastAsia="宋体" w:cs="黑体"/>
                <w:color w:val="auto"/>
                <w:kern w:val="2"/>
                <w:sz w:val="22"/>
                <w:szCs w:val="24"/>
                <w:highlight w:val="none"/>
                <w:lang w:val="en-US" w:eastAsia="zh-CN" w:bidi="ar-SA"/>
              </w:rPr>
            </w:pPr>
            <w:r>
              <w:rPr>
                <w:rFonts w:hint="eastAsia" w:ascii="Calibri" w:hAnsi="Calibri" w:eastAsia="宋体" w:cs="黑体"/>
                <w:color w:val="auto"/>
                <w:kern w:val="2"/>
                <w:sz w:val="22"/>
                <w:szCs w:val="24"/>
                <w:highlight w:val="none"/>
                <w:lang w:val="en-US" w:eastAsia="zh-CN" w:bidi="ar-SA"/>
              </w:rPr>
              <w:t>（六）违约责任</w:t>
            </w:r>
          </w:p>
          <w:p w14:paraId="399169F7">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ascii="Calibri" w:hAnsi="Calibri" w:eastAsia="宋体" w:cs="黑体"/>
                <w:color w:val="auto"/>
                <w:kern w:val="2"/>
                <w:sz w:val="22"/>
                <w:szCs w:val="24"/>
                <w:highlight w:val="none"/>
                <w:lang w:val="en-US" w:eastAsia="zh-CN" w:bidi="ar-SA"/>
              </w:rPr>
              <w:t>中标人未能按合同约定的时间（合同签订后40个日历日内）提交检测鉴定报告的，每逾期一日，应按合同总金额的1%向采购人支付违约金；逾期超过15日的，采</w:t>
            </w:r>
            <w:r>
              <w:rPr>
                <w:rFonts w:hint="eastAsia"/>
                <w:color w:val="auto"/>
                <w:sz w:val="22"/>
                <w:highlight w:val="none"/>
                <w:lang w:val="en-US" w:eastAsia="zh-CN"/>
              </w:rPr>
              <w:t>购人有权单方解除合同，并要求中标人赔偿损失。</w:t>
            </w:r>
          </w:p>
        </w:tc>
        <w:tc>
          <w:tcPr>
            <w:tcW w:w="906" w:type="pct"/>
            <w:tcBorders>
              <w:top w:val="single" w:color="auto" w:sz="4" w:space="0"/>
              <w:left w:val="single" w:color="auto" w:sz="4" w:space="0"/>
              <w:bottom w:val="single" w:color="auto" w:sz="4" w:space="0"/>
              <w:right w:val="single" w:color="auto" w:sz="4" w:space="0"/>
            </w:tcBorders>
            <w:noWrap w:val="0"/>
            <w:vAlign w:val="center"/>
          </w:tcPr>
          <w:p w14:paraId="5C7134F9">
            <w:pPr>
              <w:pStyle w:val="31"/>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14:paraId="17430039">
            <w:pPr>
              <w:pStyle w:val="31"/>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14:paraId="0544D9F6">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r w14:paraId="3DD6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3ACF4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color w:val="auto"/>
                <w:sz w:val="22"/>
                <w:highlight w:val="none"/>
                <w:lang w:val="en-US" w:eastAsia="zh-CN"/>
              </w:rPr>
            </w:pPr>
            <w:r>
              <w:rPr>
                <w:rFonts w:hint="eastAsia"/>
                <w:color w:val="auto"/>
                <w:sz w:val="22"/>
                <w:highlight w:val="none"/>
                <w:lang w:val="en-US" w:eastAsia="zh-CN"/>
              </w:rPr>
              <w:t>10</w:t>
            </w:r>
          </w:p>
        </w:tc>
        <w:tc>
          <w:tcPr>
            <w:tcW w:w="27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D44AC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（七）签订合同</w:t>
            </w:r>
          </w:p>
          <w:p w14:paraId="1849182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sz w:val="22"/>
                <w:highlight w:val="none"/>
                <w:lang w:val="en-US" w:eastAsia="zh-CN"/>
              </w:rPr>
            </w:pPr>
            <w:r>
              <w:rPr>
                <w:rFonts w:hint="eastAsia"/>
                <w:color w:val="auto"/>
                <w:sz w:val="22"/>
                <w:highlight w:val="none"/>
                <w:lang w:val="en-US" w:eastAsia="zh-CN"/>
              </w:rPr>
              <w:t>采购人和中标人应当自中标通知书发出之日起十个工作日内，按照招标文件和中标人的投标文件订立书面合同。</w:t>
            </w:r>
          </w:p>
        </w:tc>
        <w:tc>
          <w:tcPr>
            <w:tcW w:w="906" w:type="pct"/>
            <w:tcBorders>
              <w:top w:val="single" w:color="auto" w:sz="4" w:space="0"/>
              <w:left w:val="single" w:color="auto" w:sz="4" w:space="0"/>
              <w:bottom w:val="single" w:color="auto" w:sz="4" w:space="0"/>
              <w:right w:val="single" w:color="auto" w:sz="4" w:space="0"/>
            </w:tcBorders>
            <w:noWrap w:val="0"/>
            <w:vAlign w:val="center"/>
          </w:tcPr>
          <w:p w14:paraId="536655D1">
            <w:pPr>
              <w:pStyle w:val="31"/>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ascii="宋体" w:cs="宋体"/>
                <w:color w:val="auto"/>
                <w:highlight w:val="none"/>
              </w:rPr>
            </w:pPr>
          </w:p>
        </w:tc>
        <w:tc>
          <w:tcPr>
            <w:tcW w:w="829" w:type="pct"/>
            <w:tcBorders>
              <w:top w:val="single" w:color="auto" w:sz="4" w:space="0"/>
              <w:left w:val="single" w:color="auto" w:sz="4" w:space="0"/>
              <w:bottom w:val="single" w:color="auto" w:sz="4" w:space="0"/>
              <w:right w:val="single" w:color="auto" w:sz="4" w:space="0"/>
            </w:tcBorders>
            <w:noWrap w:val="0"/>
            <w:vAlign w:val="center"/>
          </w:tcPr>
          <w:p w14:paraId="09C28C08">
            <w:pPr>
              <w:pStyle w:val="31"/>
              <w:keepNext w:val="0"/>
              <w:keepLines w:val="0"/>
              <w:pageBreakBefore w:val="0"/>
              <w:kinsoku/>
              <w:wordWrap/>
              <w:overflowPunct/>
              <w:topLinePunct w:val="0"/>
              <w:autoSpaceDE/>
              <w:autoSpaceDN/>
              <w:bidi w:val="0"/>
              <w:adjustRightInd/>
              <w:snapToGrid/>
              <w:spacing w:line="560" w:lineRule="exact"/>
              <w:ind w:firstLine="0" w:firstLineChars="0"/>
              <w:rPr>
                <w:rFonts w:hint="eastAsia" w:ascii="宋体" w:cs="宋体"/>
                <w:color w:val="auto"/>
                <w:highlight w:val="none"/>
              </w:rPr>
            </w:pPr>
          </w:p>
        </w:tc>
        <w:tc>
          <w:tcPr>
            <w:tcW w:w="221" w:type="pct"/>
            <w:tcBorders>
              <w:top w:val="single" w:color="auto" w:sz="4" w:space="0"/>
              <w:left w:val="single" w:color="auto" w:sz="4" w:space="0"/>
              <w:bottom w:val="single" w:color="auto" w:sz="4" w:space="0"/>
              <w:right w:val="single" w:color="auto" w:sz="4" w:space="0"/>
            </w:tcBorders>
            <w:noWrap w:val="0"/>
            <w:vAlign w:val="center"/>
          </w:tcPr>
          <w:p w14:paraId="7AB8152F">
            <w:pPr>
              <w:keepNext w:val="0"/>
              <w:keepLines w:val="0"/>
              <w:pageBreakBefore w:val="0"/>
              <w:kinsoku/>
              <w:wordWrap/>
              <w:overflowPunct/>
              <w:topLinePunct w:val="0"/>
              <w:autoSpaceDE/>
              <w:autoSpaceDN/>
              <w:bidi w:val="0"/>
              <w:adjustRightInd/>
              <w:snapToGrid/>
              <w:spacing w:line="560" w:lineRule="exact"/>
              <w:jc w:val="center"/>
              <w:rPr>
                <w:rFonts w:hint="eastAsia" w:ascii="宋体" w:cs="宋体"/>
                <w:b/>
                <w:bCs/>
                <w:color w:val="auto"/>
                <w:szCs w:val="21"/>
                <w:highlight w:val="none"/>
              </w:rPr>
            </w:pPr>
          </w:p>
        </w:tc>
      </w:tr>
    </w:tbl>
    <w:p w14:paraId="1257C66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法定代表人或其授权代表人（签字）：</w:t>
      </w:r>
    </w:p>
    <w:p w14:paraId="4605CB49">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color w:val="auto"/>
          <w:highlight w:val="none"/>
          <w:lang w:val="en-US" w:eastAsia="zh-CN"/>
        </w:rPr>
      </w:pPr>
      <w:r>
        <w:rPr>
          <w:rFonts w:hint="eastAsia" w:eastAsia="宋体"/>
          <w:color w:val="auto"/>
          <w:highlight w:val="none"/>
          <w:lang w:val="en-US" w:eastAsia="zh-CN"/>
        </w:rPr>
        <w:t>投标单位全称（加盖公章）：</w:t>
      </w:r>
    </w:p>
    <w:p w14:paraId="38719E5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eastAsia="宋体"/>
          <w:color w:val="auto"/>
          <w:highlight w:val="none"/>
          <w:lang w:val="en-US" w:eastAsia="zh-CN"/>
        </w:rPr>
      </w:pPr>
      <w:r>
        <w:rPr>
          <w:rFonts w:hint="eastAsia"/>
          <w:color w:val="auto"/>
          <w:highlight w:val="none"/>
          <w:lang w:val="en-US" w:eastAsia="zh-CN"/>
        </w:rPr>
        <w:t>日期：</w:t>
      </w:r>
    </w:p>
    <w:p w14:paraId="6CED40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cs="宋体"/>
          <w:color w:val="auto"/>
          <w:szCs w:val="21"/>
          <w:highlight w:val="none"/>
        </w:rPr>
      </w:pPr>
    </w:p>
    <w:p w14:paraId="7F0BD0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cs="宋体"/>
          <w:color w:val="auto"/>
          <w:szCs w:val="21"/>
          <w:highlight w:val="none"/>
        </w:rPr>
      </w:pPr>
      <w:r>
        <w:rPr>
          <w:rFonts w:hint="eastAsia" w:ascii="宋体" w:cs="宋体"/>
          <w:color w:val="auto"/>
          <w:szCs w:val="21"/>
          <w:highlight w:val="none"/>
        </w:rPr>
        <w:t>《商务条款偏离表》编制指引：</w:t>
      </w:r>
    </w:p>
    <w:p w14:paraId="7C30383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lang w:eastAsia="zh-CN"/>
        </w:rPr>
        <w:t>1.</w:t>
      </w:r>
      <w:r>
        <w:rPr>
          <w:rFonts w:hint="eastAsia" w:ascii="宋体" w:cs="宋体"/>
          <w:color w:val="auto"/>
          <w:szCs w:val="21"/>
          <w:highlight w:val="none"/>
        </w:rPr>
        <w:t>商务条款偏离表的“招标商务要求”等栏目对应“第二章 招标项目需求”中的“商务要求”章节相关内容。</w:t>
      </w:r>
    </w:p>
    <w:p w14:paraId="33997BB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lang w:eastAsia="zh-CN"/>
        </w:rPr>
        <w:t>2.</w:t>
      </w:r>
      <w:r>
        <w:rPr>
          <w:rFonts w:hint="eastAsia" w:ascii="宋体" w:cs="宋体"/>
          <w:color w:val="auto"/>
          <w:szCs w:val="21"/>
          <w:highlight w:val="none"/>
        </w:rPr>
        <w:t>“投标商务响应”一栏必须一一对照“招标商务要求”，详细填写自身响应情况，以体现具体响应情况。</w:t>
      </w:r>
    </w:p>
    <w:p w14:paraId="0D2B63B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lang w:eastAsia="zh-CN"/>
        </w:rPr>
        <w:t>3.</w:t>
      </w:r>
      <w:r>
        <w:rPr>
          <w:rFonts w:hint="eastAsia" w:ascii="宋体" w:cs="宋体"/>
          <w:color w:val="auto"/>
          <w:szCs w:val="21"/>
          <w:highlight w:val="none"/>
        </w:rPr>
        <w:t>“偏离情况”一栏填写如实填写“正偏离</w:t>
      </w:r>
      <w:r>
        <w:rPr>
          <w:rFonts w:hint="eastAsia" w:ascii="宋体" w:cs="宋体"/>
          <w:color w:val="auto"/>
          <w:szCs w:val="21"/>
          <w:highlight w:val="none"/>
          <w:lang w:eastAsia="zh-CN"/>
        </w:rPr>
        <w:t>”“</w:t>
      </w:r>
      <w:r>
        <w:rPr>
          <w:rFonts w:hint="eastAsia" w:ascii="宋体" w:cs="宋体"/>
          <w:color w:val="auto"/>
          <w:szCs w:val="21"/>
          <w:highlight w:val="none"/>
        </w:rPr>
        <w:t>无偏离”或“负偏离”，其中：“正偏离”表示“投标响应优于招标商务要求”，“负偏离”表示“投标响应不满足招标商务要求”，“无偏离”表示“投标响应与招标商务要求一致”。</w:t>
      </w:r>
    </w:p>
    <w:p w14:paraId="579A26C2">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rPr>
        <w:t>“投标商务响应”对比“招标商务要求”存在响应不全（包括未响应整项招标商务要求或者未响应一项招标商务要求的部分内容），均视为“负偏离”。带★号条款为不可偏离条款，如未响应或出现负偏离的，将作投标无效处理。</w:t>
      </w:r>
    </w:p>
    <w:p w14:paraId="35E4F1D7">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firstLine="420" w:firstLineChars="200"/>
        <w:textAlignment w:val="auto"/>
        <w:rPr>
          <w:rFonts w:hint="eastAsia" w:ascii="宋体" w:cs="宋体"/>
          <w:color w:val="auto"/>
          <w:szCs w:val="21"/>
          <w:highlight w:val="none"/>
        </w:rPr>
      </w:pPr>
      <w:r>
        <w:rPr>
          <w:rFonts w:hint="eastAsia" w:ascii="宋体" w:cs="宋体"/>
          <w:color w:val="auto"/>
          <w:szCs w:val="21"/>
          <w:highlight w:val="none"/>
        </w:rPr>
        <w:t>如本表内容与具体商务方案承诺内容有矛盾，以本表为准。</w:t>
      </w:r>
    </w:p>
    <w:p w14:paraId="595721DD">
      <w:pPr>
        <w:keepLines w:val="0"/>
        <w:pageBreakBefore w:val="0"/>
        <w:tabs>
          <w:tab w:val="left" w:pos="0"/>
        </w:tabs>
        <w:kinsoku/>
        <w:wordWrap/>
        <w:overflowPunct/>
        <w:topLinePunct w:val="0"/>
        <w:bidi w:val="0"/>
        <w:snapToGrid w:val="0"/>
        <w:spacing w:line="500" w:lineRule="exact"/>
        <w:rPr>
          <w:rFonts w:hint="eastAsia" w:ascii="仿宋" w:hAnsi="仿宋" w:eastAsia="仿宋" w:cs="仿宋"/>
          <w:b/>
          <w:bCs/>
          <w:color w:val="auto"/>
          <w:sz w:val="32"/>
          <w:szCs w:val="32"/>
          <w:highlight w:val="none"/>
        </w:rPr>
        <w:sectPr>
          <w:headerReference r:id="rId5" w:type="default"/>
          <w:footerReference r:id="rId6" w:type="default"/>
          <w:pgSz w:w="16838" w:h="11906" w:orient="landscape"/>
          <w:pgMar w:top="1304" w:right="2098" w:bottom="1142" w:left="1984" w:header="851" w:footer="1417" w:gutter="0"/>
          <w:pgNumType w:fmt="numberInDash"/>
          <w:cols w:space="0" w:num="1"/>
          <w:rtlGutter w:val="0"/>
          <w:docGrid w:type="lines" w:linePitch="338" w:charSpace="0"/>
        </w:sectPr>
      </w:pPr>
    </w:p>
    <w:p w14:paraId="6F5045FA">
      <w:pPr>
        <w:keepLines w:val="0"/>
        <w:pageBreakBefore w:val="0"/>
        <w:tabs>
          <w:tab w:val="left" w:pos="0"/>
        </w:tabs>
        <w:kinsoku/>
        <w:wordWrap/>
        <w:overflowPunct/>
        <w:topLinePunct w:val="0"/>
        <w:bidi w:val="0"/>
        <w:snapToGrid w:val="0"/>
        <w:spacing w:line="560" w:lineRule="exact"/>
        <w:rPr>
          <w:rFonts w:ascii="仿宋" w:hAnsi="仿宋" w:eastAsia="仿宋" w:cs="仿宋"/>
          <w:b/>
          <w:color w:val="auto"/>
          <w:kern w:val="0"/>
          <w:sz w:val="28"/>
          <w:szCs w:val="28"/>
          <w:highlight w:val="none"/>
        </w:rPr>
      </w:pPr>
      <w:r>
        <w:rPr>
          <w:rFonts w:hint="eastAsia" w:ascii="仿宋" w:hAnsi="仿宋" w:eastAsia="仿宋" w:cs="仿宋"/>
          <w:b/>
          <w:bCs/>
          <w:color w:val="auto"/>
          <w:sz w:val="32"/>
          <w:szCs w:val="32"/>
          <w:highlight w:val="none"/>
        </w:rPr>
        <w:t>合同模板</w:t>
      </w:r>
      <w:r>
        <w:rPr>
          <w:rFonts w:hint="eastAsia" w:ascii="仿宋" w:hAnsi="仿宋" w:eastAsia="仿宋" w:cs="仿宋"/>
          <w:b/>
          <w:bCs/>
          <w:color w:val="auto"/>
          <w:sz w:val="32"/>
          <w:szCs w:val="32"/>
          <w:highlight w:val="none"/>
          <w:lang w:eastAsia="zh-CN"/>
        </w:rPr>
        <w:t>（</w:t>
      </w:r>
      <w:r>
        <w:rPr>
          <w:rFonts w:hint="eastAsia" w:ascii="仿宋" w:hAnsi="仿宋" w:eastAsia="仿宋" w:cs="仿宋"/>
          <w:b/>
          <w:color w:val="auto"/>
          <w:kern w:val="0"/>
          <w:sz w:val="28"/>
          <w:szCs w:val="28"/>
          <w:highlight w:val="none"/>
        </w:rPr>
        <w:t>合同模板仅供参考，中标人根据招投标文件拟定</w:t>
      </w:r>
      <w:r>
        <w:rPr>
          <w:rFonts w:hint="eastAsia" w:ascii="仿宋" w:hAnsi="仿宋" w:eastAsia="仿宋" w:cs="仿宋"/>
          <w:b/>
          <w:color w:val="auto"/>
          <w:kern w:val="0"/>
          <w:sz w:val="28"/>
          <w:szCs w:val="28"/>
          <w:highlight w:val="none"/>
          <w:lang w:eastAsia="zh-CN"/>
        </w:rPr>
        <w:t>）</w:t>
      </w:r>
    </w:p>
    <w:p w14:paraId="32CA353A">
      <w:pPr>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龙岭院区（除门诊楼外）4栋建筑房屋结构</w:t>
      </w:r>
    </w:p>
    <w:p w14:paraId="0DBE23DC">
      <w:pPr>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安全检测鉴定服务合同</w:t>
      </w:r>
    </w:p>
    <w:p w14:paraId="42F4D097">
      <w:pPr>
        <w:spacing w:line="440" w:lineRule="exact"/>
        <w:ind w:firstLine="420" w:firstLineChars="200"/>
        <w:rPr>
          <w:rFonts w:hint="eastAsia" w:ascii="仿宋" w:hAnsi="仿宋" w:eastAsia="仿宋" w:cs="Times New Roman"/>
          <w:szCs w:val="21"/>
        </w:rPr>
      </w:pPr>
    </w:p>
    <w:p w14:paraId="2D13B50A">
      <w:pPr>
        <w:spacing w:line="400" w:lineRule="exact"/>
        <w:ind w:firstLine="480" w:firstLineChars="200"/>
        <w:rPr>
          <w:rFonts w:hint="eastAsia" w:ascii="仿宋" w:hAnsi="仿宋" w:eastAsia="仿宋" w:cs="仿宋"/>
          <w:sz w:val="24"/>
        </w:rPr>
      </w:pPr>
      <w:r>
        <w:rPr>
          <w:rFonts w:hint="eastAsia" w:ascii="仿宋" w:hAnsi="仿宋" w:eastAsia="仿宋" w:cs="仿宋"/>
          <w:sz w:val="24"/>
        </w:rPr>
        <w:t>项目名称：深圳市龙岗区第七人民医院龙岭院区（除门诊楼外）4栋建筑房屋结构安全检测鉴定服务合同</w:t>
      </w:r>
    </w:p>
    <w:p w14:paraId="712037BD">
      <w:pPr>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rPr>
        <w:t>项目编号：</w:t>
      </w:r>
      <w:r>
        <w:rPr>
          <w:rFonts w:ascii="仿宋" w:hAnsi="仿宋" w:eastAsia="仿宋" w:cs="仿宋"/>
          <w:sz w:val="24"/>
        </w:rPr>
        <w:t xml:space="preserve"> </w:t>
      </w:r>
    </w:p>
    <w:p w14:paraId="6C861A73">
      <w:pPr>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rPr>
        <w:t>项目类型：</w:t>
      </w:r>
      <w:r>
        <w:rPr>
          <w:rFonts w:hint="eastAsia" w:ascii="仿宋" w:hAnsi="仿宋" w:eastAsia="仿宋" w:cs="Times New Roman"/>
          <w:sz w:val="24"/>
        </w:rPr>
        <w:t>服务类</w:t>
      </w:r>
    </w:p>
    <w:p w14:paraId="7C473ABC">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采购单位（甲方）：</w:t>
      </w:r>
      <w:r>
        <w:rPr>
          <w:rFonts w:hint="eastAsia" w:ascii="仿宋" w:hAnsi="仿宋" w:eastAsia="仿宋" w:cs="Times New Roman"/>
          <w:sz w:val="24"/>
        </w:rPr>
        <w:t>深圳市龙岗区第七人民医院</w:t>
      </w:r>
    </w:p>
    <w:p w14:paraId="77962B93">
      <w:pPr>
        <w:spacing w:line="400" w:lineRule="exact"/>
        <w:ind w:firstLine="480" w:firstLineChars="200"/>
        <w:rPr>
          <w:rFonts w:hint="eastAsia" w:ascii="仿宋" w:hAnsi="仿宋" w:eastAsia="仿宋" w:cs="宋体"/>
          <w:kern w:val="0"/>
          <w:sz w:val="24"/>
          <w:u w:val="single"/>
        </w:rPr>
      </w:pPr>
      <w:r>
        <w:rPr>
          <w:rFonts w:hint="eastAsia" w:ascii="仿宋" w:hAnsi="仿宋" w:eastAsia="仿宋" w:cs="仿宋"/>
          <w:sz w:val="24"/>
        </w:rPr>
        <w:t>供 应 商（乙方）：</w:t>
      </w:r>
    </w:p>
    <w:p w14:paraId="34400EC3">
      <w:pPr>
        <w:spacing w:line="400" w:lineRule="exact"/>
        <w:ind w:firstLine="482"/>
        <w:rPr>
          <w:rFonts w:ascii="Verdana" w:hAnsi="Verdana" w:eastAsia="仿宋_GB2312" w:cs="Times New Roman"/>
          <w:b/>
          <w:bCs/>
          <w:kern w:val="0"/>
          <w:sz w:val="24"/>
        </w:rPr>
      </w:pPr>
    </w:p>
    <w:p w14:paraId="6F24B25C">
      <w:pPr>
        <w:spacing w:line="400" w:lineRule="exact"/>
        <w:ind w:firstLine="480" w:firstLineChars="200"/>
        <w:rPr>
          <w:rFonts w:hint="eastAsia" w:ascii="仿宋" w:hAnsi="仿宋" w:eastAsia="仿宋" w:cs="仿宋_GB2312"/>
          <w:sz w:val="24"/>
        </w:rPr>
      </w:pPr>
      <w:r>
        <w:rPr>
          <w:rFonts w:hint="eastAsia" w:ascii="仿宋" w:hAnsi="仿宋" w:eastAsia="仿宋" w:cs="仿宋"/>
          <w:sz w:val="24"/>
        </w:rPr>
        <w:t>根据《中华人民共和国政府采购法》《中华人民共和国民法典》《深圳经济特区政府采购条例》《深圳经济特区政府采购条例实施细则》等法律法规的规定，甲乙双方按照</w:t>
      </w:r>
      <w:r>
        <w:rPr>
          <w:rFonts w:hint="eastAsia" w:ascii="仿宋" w:hAnsi="仿宋" w:eastAsia="仿宋" w:cs="仿宋"/>
          <w:sz w:val="24"/>
          <w:u w:val="single"/>
        </w:rPr>
        <w:t>深圳市龙岗区第七人民医院龙岭院区（除门诊楼外）4栋建筑房屋结构安全检测鉴定服务项目</w:t>
      </w:r>
      <w:r>
        <w:rPr>
          <w:rFonts w:hint="eastAsia" w:ascii="仿宋" w:hAnsi="仿宋" w:eastAsia="仿宋" w:cs="仿宋"/>
          <w:sz w:val="24"/>
        </w:rPr>
        <w:t>的招标结果并经双方协商签订本合同。</w:t>
      </w:r>
    </w:p>
    <w:p w14:paraId="0B65C2ED">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第一条</w:t>
      </w:r>
      <w:r>
        <w:rPr>
          <w:rFonts w:hint="eastAsia" w:ascii="仿宋" w:hAnsi="仿宋" w:eastAsia="仿宋" w:cs="仿宋_GB2312"/>
          <w:b/>
          <w:bCs/>
          <w:sz w:val="24"/>
          <w:lang w:val="en-US" w:eastAsia="zh-CN"/>
        </w:rPr>
        <w:t xml:space="preserve"> </w:t>
      </w:r>
      <w:r>
        <w:rPr>
          <w:rFonts w:hint="eastAsia" w:ascii="仿宋" w:hAnsi="仿宋" w:eastAsia="仿宋" w:cs="仿宋_GB2312"/>
          <w:b/>
          <w:bCs/>
          <w:sz w:val="24"/>
        </w:rPr>
        <w:t xml:space="preserve"> 合同标的</w:t>
      </w:r>
    </w:p>
    <w:p w14:paraId="6868B848">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乙方为甲方龙岭院区4栋建筑（外科楼、医技楼（含连廊）、附属楼、综合楼）提供全套房屋结构安全检测鉴定服务，具体包含：主体结构工程现场检测、地基基础工程检测、楼层承重性专项评估、结构承载力复核、结构安全性及抗震性能评估、结构损伤排查，最终出具合规有效的房屋结构安全检测鉴定报告，为甲方二次消防手续申报、临建转永久办理、院区功能布局及设备布设提供合法有效的技术依据。</w:t>
      </w:r>
    </w:p>
    <w:p w14:paraId="58BA7DDC">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自本合同签订之日起</w:t>
      </w:r>
      <w:r>
        <w:rPr>
          <w:rFonts w:hint="eastAsia" w:ascii="仿宋" w:hAnsi="仿宋" w:eastAsia="仿宋" w:cs="仿宋_GB2312"/>
          <w:sz w:val="24"/>
          <w:lang w:val="en-US" w:eastAsia="zh-CN"/>
        </w:rPr>
        <w:t>30</w:t>
      </w:r>
      <w:r>
        <w:rPr>
          <w:rFonts w:hint="eastAsia" w:ascii="仿宋" w:hAnsi="仿宋" w:eastAsia="仿宋" w:cs="仿宋_GB2312"/>
          <w:sz w:val="24"/>
        </w:rPr>
        <w:t>个日历日内，乙方完成全部现场检测、数据验算、评估分析及报告编制工作，向甲方提交正式盖章版检测鉴定成果。</w:t>
      </w:r>
    </w:p>
    <w:p w14:paraId="7D348149">
      <w:pPr>
        <w:tabs>
          <w:tab w:val="left" w:pos="7400"/>
        </w:tabs>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第二条  服务费用</w:t>
      </w:r>
      <w:r>
        <w:rPr>
          <w:rFonts w:hint="eastAsia" w:ascii="仿宋" w:hAnsi="仿宋" w:eastAsia="仿宋" w:cs="仿宋_GB2312"/>
          <w:b/>
          <w:bCs/>
          <w:sz w:val="24"/>
        </w:rPr>
        <w:tab/>
      </w:r>
    </w:p>
    <w:p w14:paraId="508A94AA">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本合同价款：合同总价为人民币</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元整</w:t>
      </w:r>
      <w:r>
        <w:rPr>
          <w:rFonts w:hint="eastAsia" w:ascii="仿宋" w:hAnsi="仿宋" w:eastAsia="仿宋" w:cs="仿宋"/>
          <w:sz w:val="24"/>
          <w:u w:val="single"/>
        </w:rPr>
        <w:t>（￥</w:t>
      </w:r>
      <w:r>
        <w:rPr>
          <w:rFonts w:ascii="仿宋" w:hAnsi="仿宋" w:eastAsia="仿宋" w:cs="宋体"/>
          <w:b/>
          <w:sz w:val="24"/>
          <w:u w:val="single"/>
        </w:rPr>
        <w:t xml:space="preserve">    </w:t>
      </w:r>
      <w:r>
        <w:rPr>
          <w:rFonts w:hint="eastAsia" w:ascii="仿宋" w:hAnsi="仿宋" w:eastAsia="仿宋" w:cs="宋体"/>
          <w:b/>
          <w:sz w:val="24"/>
          <w:u w:val="single"/>
        </w:rPr>
        <w:t>元</w:t>
      </w:r>
      <w:r>
        <w:rPr>
          <w:rFonts w:hint="eastAsia" w:ascii="仿宋" w:hAnsi="仿宋" w:eastAsia="仿宋" w:cs="仿宋"/>
          <w:sz w:val="24"/>
        </w:rPr>
        <w:t>）</w:t>
      </w:r>
      <w:r>
        <w:rPr>
          <w:rFonts w:hint="eastAsia" w:ascii="仿宋" w:hAnsi="仿宋" w:eastAsia="仿宋" w:cs="仿宋_GB2312"/>
          <w:sz w:val="24"/>
        </w:rPr>
        <w:t>。</w:t>
      </w:r>
    </w:p>
    <w:p w14:paraId="01C542B5">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本报价为全包价，包含现场检测、设备进场、人工勘测、数据验算、专项承重评估、报告编制、审核盖章、资料交付、税费、现场安全防护、微破损修复、售后答疑等完成本项目全部工作的所有费用，甲方无需额外支付其他任何费用。合同总价包干，不因现场工况、人员、材料、市场价格变动等任何因素调整。</w:t>
      </w:r>
    </w:p>
    <w:p w14:paraId="0045575D">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第三条  付款方式</w:t>
      </w:r>
    </w:p>
    <w:p w14:paraId="42AB2886">
      <w:pPr>
        <w:spacing w:line="400" w:lineRule="exact"/>
        <w:ind w:firstLine="480"/>
        <w:rPr>
          <w:rFonts w:hint="eastAsia"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w:t>
      </w:r>
      <w:r>
        <w:rPr>
          <w:rFonts w:hint="eastAsia" w:ascii="仿宋" w:hAnsi="仿宋" w:eastAsia="仿宋" w:cs="仿宋_GB2312"/>
          <w:sz w:val="24"/>
        </w:rPr>
        <w:t>付款方式：一次性结算付款。</w:t>
      </w:r>
    </w:p>
    <w:p w14:paraId="34864C03">
      <w:pPr>
        <w:spacing w:line="400" w:lineRule="exact"/>
        <w:ind w:firstLine="480"/>
        <w:rPr>
          <w:rFonts w:hint="eastAsia" w:ascii="仿宋" w:hAnsi="仿宋" w:eastAsia="仿宋" w:cs="仿宋_GB2312"/>
          <w:sz w:val="24"/>
        </w:rPr>
      </w:pPr>
      <w:r>
        <w:rPr>
          <w:rFonts w:hint="eastAsia" w:ascii="仿宋" w:hAnsi="仿宋" w:eastAsia="仿宋" w:cs="仿宋_GB2312"/>
          <w:sz w:val="24"/>
        </w:rPr>
        <w:t>2.付款条件：乙方完成全部4栋建筑检测鉴定工作，提交全套正式有效的检测鉴定报告（含楼层承重性评估专篇），经甲方验收合格后，乙方向甲方开具合法、合规、有效的全额增值税发票。</w:t>
      </w:r>
    </w:p>
    <w:p w14:paraId="3C2E8646">
      <w:pPr>
        <w:spacing w:line="400" w:lineRule="exact"/>
        <w:ind w:firstLine="480"/>
        <w:rPr>
          <w:rFonts w:hint="eastAsia" w:ascii="仿宋" w:hAnsi="仿宋" w:eastAsia="仿宋" w:cs="仿宋_GB2312"/>
          <w:sz w:val="24"/>
        </w:rPr>
      </w:pPr>
      <w:r>
        <w:rPr>
          <w:rFonts w:hint="eastAsia" w:ascii="仿宋" w:hAnsi="仿宋" w:eastAsia="仿宋" w:cs="仿宋_GB2312"/>
          <w:sz w:val="24"/>
        </w:rPr>
        <w:t>3.费用确认：</w:t>
      </w:r>
    </w:p>
    <w:p w14:paraId="37569AAB">
      <w:pPr>
        <w:spacing w:line="400" w:lineRule="exact"/>
        <w:ind w:firstLine="480"/>
        <w:rPr>
          <w:rFonts w:hint="eastAsia" w:ascii="仿宋" w:hAnsi="仿宋" w:eastAsia="仿宋" w:cs="仿宋_GB2312"/>
          <w:sz w:val="24"/>
        </w:rPr>
      </w:pPr>
      <w:r>
        <w:rPr>
          <w:rFonts w:hint="eastAsia" w:ascii="仿宋" w:hAnsi="仿宋" w:eastAsia="仿宋" w:cs="仿宋_GB2312"/>
          <w:sz w:val="24"/>
        </w:rPr>
        <w:t>（1）乙方需在每</w:t>
      </w:r>
      <w:r>
        <w:rPr>
          <w:rFonts w:hint="eastAsia" w:ascii="仿宋" w:hAnsi="仿宋" w:eastAsia="仿宋" w:cs="仿宋_GB2312"/>
          <w:sz w:val="24"/>
          <w:lang w:val="en-US" w:eastAsia="zh-CN"/>
        </w:rPr>
        <w:t>季度</w:t>
      </w:r>
      <w:r>
        <w:rPr>
          <w:rFonts w:hint="eastAsia" w:ascii="仿宋" w:hAnsi="仿宋" w:eastAsia="仿宋" w:cs="仿宋_GB2312"/>
          <w:sz w:val="24"/>
        </w:rPr>
        <w:t>结束后的</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rPr>
        <w:t>个工作日内，向甲方提交服务费用明细表。</w:t>
      </w:r>
    </w:p>
    <w:p w14:paraId="37E4E82C">
      <w:pPr>
        <w:spacing w:line="400" w:lineRule="exact"/>
        <w:ind w:firstLine="480"/>
        <w:rPr>
          <w:rFonts w:hint="eastAsia" w:ascii="仿宋" w:hAnsi="仿宋" w:eastAsia="仿宋" w:cs="仿宋_GB2312"/>
          <w:sz w:val="24"/>
        </w:rPr>
      </w:pPr>
      <w:r>
        <w:rPr>
          <w:rFonts w:hint="eastAsia" w:ascii="仿宋" w:hAnsi="仿宋" w:eastAsia="仿宋" w:cs="仿宋_GB2312"/>
          <w:sz w:val="24"/>
        </w:rPr>
        <w:t>（2）甲方在收到费用明细表后，完成审核并确认费用金额。</w:t>
      </w:r>
    </w:p>
    <w:p w14:paraId="1228E051">
      <w:pPr>
        <w:spacing w:line="400" w:lineRule="exact"/>
        <w:ind w:firstLine="480"/>
        <w:rPr>
          <w:rFonts w:hint="eastAsia" w:ascii="仿宋" w:hAnsi="仿宋" w:eastAsia="仿宋" w:cs="仿宋_GB2312"/>
          <w:sz w:val="24"/>
        </w:rPr>
      </w:pPr>
      <w:r>
        <w:rPr>
          <w:rFonts w:hint="eastAsia" w:ascii="仿宋" w:hAnsi="仿宋" w:eastAsia="仿宋" w:cs="仿宋_GB2312"/>
          <w:sz w:val="24"/>
        </w:rPr>
        <w:t>4.费用支付：</w:t>
      </w:r>
    </w:p>
    <w:p w14:paraId="0654D313">
      <w:pPr>
        <w:spacing w:line="400" w:lineRule="exact"/>
        <w:ind w:firstLine="480"/>
        <w:rPr>
          <w:rFonts w:hint="eastAsia" w:ascii="仿宋" w:hAnsi="仿宋" w:eastAsia="仿宋" w:cs="仿宋_GB2312"/>
          <w:sz w:val="24"/>
        </w:rPr>
      </w:pPr>
      <w:r>
        <w:rPr>
          <w:rFonts w:hint="eastAsia" w:ascii="仿宋" w:hAnsi="仿宋" w:eastAsia="仿宋" w:cs="仿宋_GB2312"/>
          <w:sz w:val="24"/>
        </w:rPr>
        <w:t>甲方在完成审核并收到发票后，以非现金（支票/转账)结算方式支付乙方服务费。甲方无故逾期支付，应就逾期部分按日支付万分之三的违约金，违约金总额累计不超过应付款项的</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rPr>
        <w:t>%。</w:t>
      </w:r>
    </w:p>
    <w:p w14:paraId="65E88C2B">
      <w:pPr>
        <w:spacing w:line="400" w:lineRule="exact"/>
        <w:ind w:firstLine="480"/>
        <w:rPr>
          <w:rFonts w:hint="eastAsia" w:ascii="仿宋" w:hAnsi="仿宋" w:eastAsia="仿宋" w:cs="仿宋_GB2312"/>
          <w:sz w:val="24"/>
        </w:rPr>
      </w:pPr>
      <w:r>
        <w:rPr>
          <w:rFonts w:hint="eastAsia" w:ascii="仿宋" w:hAnsi="仿宋" w:eastAsia="仿宋" w:cs="仿宋_GB2312"/>
          <w:sz w:val="24"/>
        </w:rPr>
        <w:t>5.付款条款</w:t>
      </w:r>
    </w:p>
    <w:p w14:paraId="47A70CD3">
      <w:pPr>
        <w:spacing w:line="400" w:lineRule="exact"/>
        <w:ind w:firstLine="480"/>
        <w:rPr>
          <w:rFonts w:hint="eastAsia" w:ascii="仿宋" w:hAnsi="仿宋" w:eastAsia="仿宋" w:cs="仿宋_GB2312"/>
          <w:sz w:val="24"/>
        </w:rPr>
      </w:pPr>
      <w:r>
        <w:rPr>
          <w:rFonts w:hint="eastAsia" w:ascii="仿宋" w:hAnsi="仿宋" w:eastAsia="仿宋" w:cs="仿宋_GB2312"/>
          <w:sz w:val="24"/>
        </w:rPr>
        <w:t>（1）甲方支付服务费用前，乙方项目团队需确保所有监测工作和服务内容已经按时、按质完成。</w:t>
      </w:r>
    </w:p>
    <w:p w14:paraId="3C32AF53">
      <w:pPr>
        <w:spacing w:line="400" w:lineRule="exact"/>
        <w:ind w:firstLine="480"/>
        <w:rPr>
          <w:rFonts w:hint="eastAsia" w:ascii="仿宋" w:hAnsi="仿宋" w:eastAsia="仿宋" w:cs="仿宋_GB2312"/>
          <w:sz w:val="24"/>
        </w:rPr>
      </w:pPr>
      <w:r>
        <w:rPr>
          <w:rFonts w:hint="eastAsia" w:ascii="仿宋" w:hAnsi="仿宋" w:eastAsia="仿宋" w:cs="仿宋_GB2312"/>
          <w:sz w:val="24"/>
        </w:rPr>
        <w:t>（2）如甲方未能在规定时间内支付服务费用，应提前与项目团队协商延期支付事宜，并书面说明原因。</w:t>
      </w:r>
    </w:p>
    <w:p w14:paraId="515F2E43">
      <w:pPr>
        <w:spacing w:line="400" w:lineRule="exact"/>
        <w:ind w:firstLine="480"/>
        <w:rPr>
          <w:rFonts w:hint="eastAsia" w:ascii="仿宋" w:hAnsi="仿宋" w:eastAsia="仿宋" w:cs="仿宋_GB2312"/>
          <w:sz w:val="24"/>
        </w:rPr>
      </w:pPr>
      <w:r>
        <w:rPr>
          <w:rFonts w:ascii="仿宋" w:hAnsi="仿宋" w:eastAsia="仿宋" w:cs="仿宋_GB2312"/>
          <w:sz w:val="24"/>
        </w:rPr>
        <w:t>6</w:t>
      </w:r>
      <w:r>
        <w:rPr>
          <w:rFonts w:hint="eastAsia" w:ascii="仿宋" w:hAnsi="仿宋" w:eastAsia="仿宋" w:cs="仿宋_GB2312"/>
          <w:sz w:val="24"/>
        </w:rPr>
        <w:t>.乙方应在甲方付款前开具合法有效的增值税普通发票，甲方收到乙方发票后</w:t>
      </w:r>
      <w:r>
        <w:rPr>
          <w:rFonts w:hint="eastAsia" w:ascii="仿宋" w:hAnsi="仿宋" w:eastAsia="仿宋" w:cs="仿宋_GB2312"/>
          <w:sz w:val="24"/>
          <w:lang w:val="en-US" w:eastAsia="zh-CN"/>
        </w:rPr>
        <w:t>10个工作日内</w:t>
      </w:r>
      <w:r>
        <w:rPr>
          <w:rFonts w:hint="eastAsia" w:ascii="仿宋" w:hAnsi="仿宋" w:eastAsia="仿宋" w:cs="仿宋"/>
          <w:sz w:val="24"/>
        </w:rPr>
        <w:t>以转账方式付款</w:t>
      </w:r>
      <w:r>
        <w:rPr>
          <w:rFonts w:hint="eastAsia" w:ascii="仿宋" w:hAnsi="仿宋" w:eastAsia="仿宋" w:cs="仿宋_GB2312"/>
          <w:sz w:val="24"/>
        </w:rPr>
        <w:t>。若由于乙方逾期未提供合法有效的增值税发票或者提供结算票据不齐全，甲方有权拒绝付款，直至票据及结算票据齐全、合法，且不视为甲方违约。</w:t>
      </w:r>
    </w:p>
    <w:p w14:paraId="297CAAB5">
      <w:pPr>
        <w:pStyle w:val="6"/>
        <w:rPr>
          <w:rFonts w:hint="eastAsia" w:ascii="仿宋" w:hAnsi="仿宋" w:eastAsia="仿宋" w:cs="仿宋_GB2312"/>
          <w:sz w:val="24"/>
          <w:lang w:val="en-US" w:eastAsia="zh-CN"/>
        </w:rPr>
      </w:pPr>
      <w:r>
        <w:rPr>
          <w:rFonts w:hint="eastAsia" w:ascii="仿宋" w:hAnsi="仿宋" w:eastAsia="仿宋" w:cs="仿宋_GB2312"/>
          <w:sz w:val="24"/>
          <w:lang w:val="en-US" w:eastAsia="zh-CN"/>
        </w:rPr>
        <w:t>7.乙方需提供合法合规发票，如提供的发票被税务部门稽查认定为不合规发票，所有责任由乙方承担，乙方应当重新提供合法合规的发票，并按合同票面值支付20%的违约金。</w:t>
      </w:r>
    </w:p>
    <w:p w14:paraId="6AE76936">
      <w:pPr>
        <w:pStyle w:val="6"/>
        <w:rPr>
          <w:rFonts w:hint="default" w:eastAsia="仿宋"/>
          <w:lang w:val="en-US" w:eastAsia="zh-CN"/>
        </w:rPr>
      </w:pPr>
      <w:r>
        <w:rPr>
          <w:rFonts w:hint="eastAsia" w:ascii="仿宋" w:hAnsi="仿宋" w:eastAsia="仿宋" w:cs="仿宋_GB2312"/>
          <w:sz w:val="24"/>
          <w:lang w:val="en-US" w:eastAsia="zh-CN"/>
        </w:rPr>
        <w:t>8.双方支付金额上限以合同约定为准，超过合同约定金额的，乙方应及时终止提供服务，超过合同金额继续提供服务的，乙方应当向甲方支付超过部分价值20%的违约金；未达到合同约定金额的据实结算，双方另有约定除外。</w:t>
      </w:r>
    </w:p>
    <w:p w14:paraId="1A128935">
      <w:pPr>
        <w:spacing w:line="360" w:lineRule="exact"/>
        <w:ind w:firstLine="480" w:firstLineChars="200"/>
        <w:rPr>
          <w:rFonts w:hint="eastAsia" w:ascii="仿宋" w:hAnsi="仿宋" w:eastAsia="仿宋" w:cs="仿宋"/>
          <w:sz w:val="24"/>
        </w:rPr>
      </w:pPr>
      <w:r>
        <w:rPr>
          <w:rFonts w:hint="eastAsia" w:ascii="仿宋" w:hAnsi="仿宋" w:eastAsia="仿宋" w:cs="仿宋_GB2312"/>
          <w:sz w:val="24"/>
          <w:lang w:val="en-US" w:eastAsia="zh-CN"/>
        </w:rPr>
        <w:t>9</w:t>
      </w:r>
      <w:r>
        <w:rPr>
          <w:rFonts w:hint="eastAsia" w:ascii="仿宋" w:hAnsi="仿宋" w:eastAsia="仿宋" w:cs="仿宋_GB2312"/>
          <w:sz w:val="24"/>
        </w:rPr>
        <w:t>.</w:t>
      </w:r>
      <w:r>
        <w:rPr>
          <w:rFonts w:hint="eastAsia" w:ascii="仿宋" w:hAnsi="仿宋" w:eastAsia="仿宋" w:cs="仿宋"/>
          <w:sz w:val="24"/>
        </w:rPr>
        <w:t>乙方银行账户信息如下：</w:t>
      </w:r>
    </w:p>
    <w:p w14:paraId="149ECE99">
      <w:pPr>
        <w:spacing w:line="420" w:lineRule="exact"/>
        <w:ind w:firstLine="480" w:firstLineChars="200"/>
        <w:rPr>
          <w:rFonts w:hint="eastAsia" w:ascii="仿宋" w:hAnsi="仿宋" w:eastAsia="仿宋" w:cs="仿宋"/>
          <w:sz w:val="24"/>
        </w:rPr>
      </w:pPr>
      <w:r>
        <w:rPr>
          <w:rFonts w:hint="eastAsia" w:ascii="仿宋" w:hAnsi="仿宋" w:eastAsia="仿宋" w:cs="仿宋"/>
          <w:sz w:val="24"/>
        </w:rPr>
        <w:t xml:space="preserve">账户名称： </w:t>
      </w:r>
    </w:p>
    <w:p w14:paraId="5B882CB8">
      <w:pPr>
        <w:spacing w:line="420" w:lineRule="exact"/>
        <w:ind w:firstLine="480" w:firstLineChars="200"/>
        <w:rPr>
          <w:rFonts w:hint="eastAsia" w:ascii="仿宋" w:hAnsi="仿宋" w:eastAsia="仿宋" w:cs="仿宋"/>
          <w:sz w:val="24"/>
        </w:rPr>
      </w:pPr>
      <w:r>
        <w:rPr>
          <w:rFonts w:hint="eastAsia" w:ascii="仿宋" w:hAnsi="仿宋" w:eastAsia="仿宋" w:cs="仿宋"/>
          <w:sz w:val="24"/>
        </w:rPr>
        <w:t xml:space="preserve">开户行： </w:t>
      </w:r>
    </w:p>
    <w:p w14:paraId="5FCDD25A">
      <w:pPr>
        <w:spacing w:line="420" w:lineRule="exact"/>
        <w:ind w:firstLine="480" w:firstLineChars="200"/>
        <w:rPr>
          <w:rFonts w:hint="eastAsia" w:ascii="仿宋" w:hAnsi="仿宋" w:eastAsia="仿宋" w:cs="仿宋"/>
          <w:sz w:val="24"/>
        </w:rPr>
      </w:pPr>
      <w:r>
        <w:rPr>
          <w:rFonts w:hint="eastAsia" w:ascii="仿宋" w:hAnsi="仿宋" w:eastAsia="仿宋" w:cs="仿宋"/>
          <w:sz w:val="24"/>
        </w:rPr>
        <w:t>账  号：</w:t>
      </w:r>
    </w:p>
    <w:p w14:paraId="17BDE94B">
      <w:pPr>
        <w:spacing w:line="400" w:lineRule="exact"/>
        <w:ind w:firstLine="480"/>
        <w:rPr>
          <w:rFonts w:hint="eastAsia" w:ascii="仿宋" w:hAnsi="仿宋" w:eastAsia="仿宋" w:cs="仿宋"/>
          <w:sz w:val="24"/>
        </w:rPr>
      </w:pPr>
      <w:r>
        <w:rPr>
          <w:rFonts w:hint="eastAsia" w:ascii="仿宋" w:hAnsi="仿宋" w:eastAsia="仿宋" w:cs="仿宋"/>
          <w:sz w:val="24"/>
        </w:rPr>
        <w:t>纳税人识别号：</w:t>
      </w:r>
    </w:p>
    <w:p w14:paraId="52748E9F">
      <w:pPr>
        <w:spacing w:line="400" w:lineRule="exact"/>
        <w:ind w:firstLine="480"/>
        <w:rPr>
          <w:rFonts w:hint="eastAsia" w:ascii="仿宋" w:hAnsi="仿宋" w:eastAsia="仿宋" w:cs="仿宋_GB2312"/>
          <w:sz w:val="24"/>
        </w:rPr>
      </w:pPr>
      <w:r>
        <w:rPr>
          <w:rFonts w:hint="eastAsia" w:ascii="仿宋" w:hAnsi="仿宋" w:eastAsia="仿宋" w:cs="仿宋"/>
          <w:sz w:val="24"/>
          <w:lang w:val="en-US" w:eastAsia="zh-CN"/>
        </w:rPr>
        <w:t>10</w:t>
      </w:r>
      <w:r>
        <w:rPr>
          <w:rFonts w:hint="eastAsia" w:ascii="仿宋" w:hAnsi="仿宋" w:eastAsia="仿宋" w:cs="仿宋"/>
          <w:sz w:val="24"/>
        </w:rPr>
        <w:t>.</w:t>
      </w:r>
      <w:r>
        <w:rPr>
          <w:rFonts w:hint="eastAsia" w:ascii="仿宋" w:hAnsi="仿宋" w:eastAsia="仿宋" w:cs="仿宋_GB2312"/>
          <w:sz w:val="24"/>
        </w:rPr>
        <w:t>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14:paraId="49420F1A">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lang w:val="en-US" w:eastAsia="zh-CN"/>
        </w:rPr>
        <w:t>11</w:t>
      </w:r>
      <w:r>
        <w:rPr>
          <w:rFonts w:hint="eastAsia" w:ascii="仿宋" w:hAnsi="仿宋" w:eastAsia="仿宋" w:cs="仿宋_GB2312"/>
          <w:sz w:val="24"/>
        </w:rPr>
        <w:t>.若本合同付款涉及甲方内部或财政审批迟延的特殊情况，因该种情况造成付款延迟的不视为甲方违约，乙方应继续履行本合同项下义务</w:t>
      </w:r>
    </w:p>
    <w:p w14:paraId="577D76D2">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第四条  具体服务要求与成果交付</w:t>
      </w:r>
    </w:p>
    <w:p w14:paraId="7002918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1.主体结构检测：对4栋建筑梁、板、柱、墙体等主体构件开展强度、变形、裂缝、损伤检测，完成结构整体稳定性、抗震性能验算，出具结构安全性评级结论。</w:t>
      </w:r>
    </w:p>
    <w:p w14:paraId="62156A8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2.地基基础检测：排查地基不均匀沉降、构件开裂、结构倾斜等问题，核验地基基础整体稳定性，出具地基基础安全评估结论。</w:t>
      </w:r>
    </w:p>
    <w:p w14:paraId="5F75FE20">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楼层承重专项评估（核心要求）：逐楼层验算承重构件承载能力，明确各楼层设计活荷载、实际承载限值；针对大型医疗设备布设区域开展局部专项验算，出具明确的设备放置、楼层使用安全建议，形成独立完整的承重评估专篇。</w:t>
      </w:r>
    </w:p>
    <w:p w14:paraId="7E5B25CD">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4.综合承载力复核：结合甲方二次消防整改、临建转永久、院区改造及设备布设需求，完成全部关键构件承载力复核，确保成果适配甲方各项报审及使用需求。</w:t>
      </w:r>
    </w:p>
    <w:p w14:paraId="66FCDB63">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5.成果交付标准</w:t>
      </w:r>
    </w:p>
    <w:p w14:paraId="5DD1E5C2">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（1）每栋建筑单独出具加盖乙方检测鉴定资质公章的《房屋结构安全检测鉴定报告》；</w:t>
      </w:r>
    </w:p>
    <w:p w14:paraId="031D31DE">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（2）所有报告必须包含楼层承重性评估专篇，数据完整、结论明确、建议可落地；</w:t>
      </w:r>
    </w:p>
    <w:p w14:paraId="102FD020">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（3）交付纸质报告一式四份、电子版报告一份（U盘或邮件交付）；</w:t>
      </w:r>
    </w:p>
    <w:p w14:paraId="6AECF524">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（4）所有成果需符合住建、消防报审相关规范，可直接用于甲方二消申报、临建转永久备案使用。</w:t>
      </w:r>
    </w:p>
    <w:p w14:paraId="55486AFD">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6.现场作业要求</w:t>
      </w:r>
    </w:p>
    <w:p w14:paraId="0CD6AAFE">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（1）乙方进场作业需遵守甲方院内安全、治安、防疫及现场管理规定，提前报备作业计划；</w:t>
      </w:r>
    </w:p>
    <w:p w14:paraId="4F02170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（2）如需开展微破损检测，必须提前取得甲方书面同意，检测完成后由乙方自费完成修复，恢复现场原貌；</w:t>
      </w:r>
    </w:p>
    <w:p w14:paraId="18825B9C">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（3）乙方全程落实安全防护措施，作业过程中发生的人员伤亡、设备损坏、财产损失等全部责任由乙方承担。</w:t>
      </w:r>
    </w:p>
    <w:p w14:paraId="66CE4F45">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第五条  双方权利与义务</w:t>
      </w:r>
    </w:p>
    <w:p w14:paraId="7AED24BC">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（一）甲方权利与义务</w:t>
      </w:r>
    </w:p>
    <w:p w14:paraId="1A277FE8">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1.甲方有权全程监督乙方现场作业、检测流程、成果编制全过程，对不规范作业、不合格成果有权要求乙方整改、返工。</w:t>
      </w:r>
    </w:p>
    <w:p w14:paraId="19227613">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2.甲方负责提供作业场地通行、基础资料配合，协助乙方协调院内作业事宜。</w:t>
      </w:r>
    </w:p>
    <w:p w14:paraId="34C81E6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3.甲方按合同约定，对乙方合格成果及时验收、按时支付服务费用。</w:t>
      </w:r>
    </w:p>
    <w:p w14:paraId="40C47CCD">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4.甲方有权对报告内容、承重评估结论进行核查，对存疑内容要求乙方免费答疑、补充说明。</w:t>
      </w:r>
    </w:p>
    <w:p w14:paraId="2C9ABC83">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（二）乙方权利与义务</w:t>
      </w:r>
    </w:p>
    <w:p w14:paraId="73A332FB">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1.乙方有权在完成全部合格服务成果后，要求甲方按时足额支付合同款项。</w:t>
      </w:r>
    </w:p>
    <w:p w14:paraId="1B88BFB0">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2.乙方必须具备本项目对应的检测资质、技术能力，严格按照国家现行规范、招标文件及本合同约定开展全部检测鉴定工作。</w:t>
      </w:r>
    </w:p>
    <w:p w14:paraId="001362EE">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3.乙方保证所有检测数据真实、准确、完整，报告结论合法有效，可满足甲方二消申报、临建转永久、院区安全使用及改造需求。</w:t>
      </w:r>
    </w:p>
    <w:p w14:paraId="009D0A13">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4.本项目严禁转包、违法分包，一经发现，甲方有权单方解除合同、追究乙方违约责任。</w:t>
      </w:r>
    </w:p>
    <w:p w14:paraId="62944515">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5.乙方需自主负责工作人员用工、薪酬、社保、安全管理，所有用工纠纷、安全事故、财产损失由乙方全权承担，与甲方无关。</w:t>
      </w:r>
    </w:p>
    <w:p w14:paraId="29BC763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6.报告交付后，乙方需长期免费为甲方提供报告答疑、技术咨询服务，配合甲方完成报审、核查答疑工作。</w:t>
      </w:r>
    </w:p>
    <w:p w14:paraId="0B65BD45">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第六条  服务团队</w:t>
      </w:r>
    </w:p>
    <w:p w14:paraId="3AE65C8E">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1.乙方指派</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为项目负责人（联系方式：</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为项目执行负责人（联系方式：</w:t>
      </w:r>
      <w:r>
        <w:rPr>
          <w:rFonts w:ascii="仿宋" w:hAnsi="仿宋" w:eastAsia="仿宋" w:cs="仿宋_GB2312"/>
          <w:sz w:val="24"/>
          <w:u w:val="single"/>
        </w:rPr>
        <w:t xml:space="preserve">      </w:t>
      </w:r>
      <w:r>
        <w:rPr>
          <w:rFonts w:hint="eastAsia" w:ascii="仿宋" w:hAnsi="仿宋" w:eastAsia="仿宋" w:cs="仿宋_GB2312"/>
          <w:sz w:val="24"/>
        </w:rPr>
        <w:t>），项目人员不得少于</w:t>
      </w:r>
      <w:r>
        <w:rPr>
          <w:rFonts w:ascii="仿宋" w:hAnsi="仿宋" w:eastAsia="仿宋" w:cs="仿宋_GB2312"/>
          <w:sz w:val="24"/>
        </w:rPr>
        <w:t xml:space="preserve">   </w:t>
      </w:r>
      <w:r>
        <w:rPr>
          <w:rFonts w:hint="eastAsia" w:ascii="仿宋" w:hAnsi="仿宋" w:eastAsia="仿宋" w:cs="仿宋_GB2312"/>
          <w:sz w:val="24"/>
        </w:rPr>
        <w:t>人，其中具有高级及以上职称人员不得少于</w:t>
      </w:r>
      <w:r>
        <w:rPr>
          <w:rFonts w:ascii="仿宋" w:hAnsi="仿宋" w:eastAsia="仿宋" w:cs="仿宋_GB2312"/>
          <w:sz w:val="24"/>
        </w:rPr>
        <w:t xml:space="preserve">  </w:t>
      </w:r>
      <w:r>
        <w:rPr>
          <w:rFonts w:hint="eastAsia" w:ascii="仿宋" w:hAnsi="仿宋" w:eastAsia="仿宋" w:cs="仿宋_GB2312"/>
          <w:sz w:val="24"/>
        </w:rPr>
        <w:t>人的工作团队为甲方提供服务；未经甲方书面同意，乙方不得随意更换团队成员。</w:t>
      </w:r>
    </w:p>
    <w:p w14:paraId="75E7D75D">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2.必须使用公司直属人员参与本项目服务，不得使用挂靠队伍。</w:t>
      </w:r>
    </w:p>
    <w:p w14:paraId="25143F09">
      <w:pPr>
        <w:spacing w:line="400" w:lineRule="exact"/>
        <w:ind w:firstLine="480" w:firstLineChars="200"/>
        <w:rPr>
          <w:rFonts w:hint="eastAsia" w:ascii="仿宋" w:hAnsi="仿宋" w:eastAsia="仿宋" w:cs="仿宋_GB2312"/>
          <w:b/>
          <w:bCs/>
          <w:sz w:val="24"/>
        </w:rPr>
      </w:pPr>
      <w:r>
        <w:rPr>
          <w:rFonts w:hint="eastAsia" w:ascii="仿宋" w:hAnsi="仿宋" w:eastAsia="仿宋" w:cs="仿宋_GB2312"/>
          <w:sz w:val="24"/>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14:paraId="578A3B17">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第七条  服务资料归属</w:t>
      </w:r>
    </w:p>
    <w:p w14:paraId="01F22FD4">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1.所有提交给甲方的服务文件及相关的资料的最后文本，包括为履行服务范围所编制的图纸、计划和证明资料等，都属于甲方的财产，乙方在提交给甲方之前应将上述资料进行整理归类和编制索引。</w:t>
      </w:r>
    </w:p>
    <w:p w14:paraId="6963A908">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2.乙方未经甲方的书面同意，不得将上述资料用于与本咨询服务项目之外的任何项目。</w:t>
      </w:r>
    </w:p>
    <w:p w14:paraId="531E6D2B">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3.合同履行完毕，未经甲方的书面同意，乙方不得保存在履行合同过程中所获得或接触到的任何内部数据资料。</w:t>
      </w:r>
    </w:p>
    <w:p w14:paraId="6848FE3B">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第八条  甲方的权利与义务</w:t>
      </w:r>
    </w:p>
    <w:p w14:paraId="11E009D7">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1.甲方有权对乙方的工作进行监督和检查、有权对乙方提出修改意见和建议。</w:t>
      </w:r>
    </w:p>
    <w:p w14:paraId="4D2BF980">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2.甲方有权对乙方提交的服务成果进行验收，验收不合格的有权要求乙方修改，直至甲方验收合格。</w:t>
      </w:r>
    </w:p>
    <w:p w14:paraId="01FDE024">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3.对于验收合格后的服务成果，甲方应向乙方支付服务费用。</w:t>
      </w:r>
    </w:p>
    <w:p w14:paraId="5C1CA63A">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第九条　乙方的权利与义务</w:t>
      </w:r>
    </w:p>
    <w:p w14:paraId="40A79569">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1.乙方有权要求甲方支付服务费用。</w:t>
      </w:r>
    </w:p>
    <w:p w14:paraId="28A91D43">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2.对于服务需求不明确的，乙方有权要求甲方明确具体服务需求。</w:t>
      </w:r>
    </w:p>
    <w:p w14:paraId="577F909A">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3.乙方应勤勉尽职地为甲方提供服务，并尽最大努力为满足甲方对乙方的专业服务需求。</w:t>
      </w:r>
    </w:p>
    <w:p w14:paraId="6F5FC940">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4.乙方应在约定时间内按照甲方要求的形式、数量提交服务成果。</w:t>
      </w:r>
    </w:p>
    <w:p w14:paraId="5A21FCD1">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5.未经甲方书面同意，乙方不得将本合同项下的服务内容全部或部分委托给第三方完成。</w:t>
      </w:r>
    </w:p>
    <w:p w14:paraId="1C65D1FB">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6.如乙方为提供本合同项下的服务而保管甲方交付的设备、物品等，保管期间，乙方应谨慎尽职，乙方需确保设备、物品的安全，不遭受损害。</w:t>
      </w:r>
    </w:p>
    <w:p w14:paraId="5E64F687">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7.乙方应做到合法用工，与工作人员建立合法的劳动/劳务关系，负责工作人员的工资、社会保险及其他保险的购买。乙方与其工作人员发生的一切纠纷均与甲方无关。</w:t>
      </w:r>
    </w:p>
    <w:p w14:paraId="7A96B269">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8.乙方应按照国家规定为工作人员提供合理的工作条件与保护设施，乙方工作人员在甲方场地内除</w:t>
      </w:r>
      <w:r>
        <w:rPr>
          <w:rFonts w:ascii="仿宋" w:hAnsi="仿宋" w:eastAsia="仿宋" w:cs="仿宋_GB2312"/>
          <w:sz w:val="24"/>
        </w:rPr>
        <w:t>甲方原因</w:t>
      </w:r>
      <w:r>
        <w:rPr>
          <w:rFonts w:hint="eastAsia" w:ascii="仿宋" w:hAnsi="仿宋" w:eastAsia="仿宋" w:cs="仿宋_GB2312"/>
          <w:sz w:val="24"/>
        </w:rPr>
        <w:t>发生的一切意外、事故等均由乙方承担，与甲方无关。</w:t>
      </w:r>
    </w:p>
    <w:p w14:paraId="00DF2199">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9.乙方在甲方院内提供服务的，应保证其工作人员严格遵守甲方各项管理规定，服务过程中如造成甲方场所及设施损坏、工作人员人身伤害或第三方人身伤害、财产损失，乙方应承担全部赔偿责任。</w:t>
      </w:r>
    </w:p>
    <w:p w14:paraId="7264F956">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第十条 保证与承诺</w:t>
      </w:r>
    </w:p>
    <w:p w14:paraId="543CB29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1.乙方保证所提供的产品/服务/成果不侵犯任何第三方的知识产权或其他合法权益。</w:t>
      </w:r>
    </w:p>
    <w:p w14:paraId="26A9DD1B">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2.甲乙双方保证对在本次合作中知悉对方的商业秘密履行保密义务，在与本协议无关的工作中，不泄露、不以任何原因任意使用相关的合同、数据、资料与信息等。</w:t>
      </w:r>
    </w:p>
    <w:p w14:paraId="66C93068">
      <w:pPr>
        <w:spacing w:line="400" w:lineRule="exact"/>
        <w:ind w:firstLine="480" w:firstLineChars="200"/>
        <w:rPr>
          <w:rFonts w:hint="eastAsia"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rPr>
        <w:t>.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14:paraId="6DDD2BBE">
      <w:pPr>
        <w:spacing w:line="400" w:lineRule="exact"/>
        <w:ind w:firstLine="480" w:firstLineChars="200"/>
        <w:rPr>
          <w:rFonts w:hint="eastAsia" w:ascii="仿宋" w:hAnsi="仿宋" w:eastAsia="仿宋" w:cs="仿宋_GB2312"/>
          <w:sz w:val="24"/>
        </w:rPr>
      </w:pPr>
      <w:r>
        <w:rPr>
          <w:rFonts w:ascii="仿宋" w:hAnsi="仿宋" w:eastAsia="仿宋" w:cs="仿宋_GB2312"/>
          <w:sz w:val="24"/>
        </w:rPr>
        <w:t>4</w:t>
      </w:r>
      <w:r>
        <w:rPr>
          <w:rFonts w:hint="eastAsia" w:ascii="仿宋" w:hAnsi="仿宋" w:eastAsia="仿宋" w:cs="仿宋_GB2312"/>
          <w:sz w:val="24"/>
        </w:rPr>
        <w:t>.合同履行期间，乙方应主动维护甲方的名誉与利益，不作出任何损害甲方名誉与利益的行为。</w:t>
      </w:r>
    </w:p>
    <w:p w14:paraId="06F12CCA">
      <w:pPr>
        <w:spacing w:line="400" w:lineRule="exact"/>
        <w:ind w:firstLine="480" w:firstLineChars="200"/>
        <w:rPr>
          <w:rFonts w:hint="eastAsia" w:ascii="仿宋" w:hAnsi="仿宋" w:eastAsia="仿宋" w:cs="仿宋_GB2312"/>
          <w:sz w:val="24"/>
        </w:rPr>
      </w:pPr>
      <w:r>
        <w:rPr>
          <w:rFonts w:ascii="仿宋" w:hAnsi="仿宋" w:eastAsia="仿宋" w:cs="仿宋_GB2312"/>
          <w:sz w:val="24"/>
        </w:rPr>
        <w:t>5</w:t>
      </w:r>
      <w:r>
        <w:rPr>
          <w:rFonts w:hint="eastAsia" w:ascii="仿宋" w:hAnsi="仿宋" w:eastAsia="仿宋" w:cs="仿宋_GB2312"/>
          <w:sz w:val="24"/>
        </w:rPr>
        <w:t>.未经甲方事先书面同意，乙方不得使用甲方名义等对外进行宣传。</w:t>
      </w:r>
    </w:p>
    <w:p w14:paraId="6B1123AA">
      <w:pPr>
        <w:spacing w:line="400" w:lineRule="exact"/>
        <w:ind w:firstLine="480" w:firstLineChars="200"/>
        <w:rPr>
          <w:rFonts w:hint="eastAsia" w:ascii="仿宋" w:hAnsi="仿宋" w:eastAsia="仿宋" w:cs="仿宋_GB2312"/>
          <w:sz w:val="24"/>
        </w:rPr>
      </w:pPr>
      <w:r>
        <w:rPr>
          <w:rFonts w:ascii="仿宋" w:hAnsi="仿宋" w:eastAsia="仿宋" w:cs="仿宋_GB2312"/>
          <w:sz w:val="24"/>
        </w:rPr>
        <w:t>6</w:t>
      </w:r>
      <w:r>
        <w:rPr>
          <w:rFonts w:hint="eastAsia" w:ascii="仿宋" w:hAnsi="仿宋" w:eastAsia="仿宋" w:cs="仿宋_GB2312"/>
          <w:sz w:val="24"/>
        </w:rPr>
        <w:t>.乙方及乙方参加项目的有关人员均需同甲方签订保密协议。</w:t>
      </w:r>
    </w:p>
    <w:p w14:paraId="6FA0EED2">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第十一条  免责条款</w:t>
      </w:r>
    </w:p>
    <w:p w14:paraId="49E5AA4C">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14:paraId="2A593E7F">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第十二条  违约责任</w:t>
      </w:r>
    </w:p>
    <w:p w14:paraId="1319ED99">
      <w:pPr>
        <w:spacing w:line="400" w:lineRule="exact"/>
        <w:ind w:firstLine="480" w:firstLineChars="200"/>
        <w:rPr>
          <w:rFonts w:hint="eastAsia" w:ascii="仿宋" w:hAnsi="仿宋" w:eastAsia="仿宋" w:cs="仿宋_GB2312"/>
          <w:sz w:val="24"/>
        </w:rPr>
      </w:pPr>
      <w:bookmarkStart w:id="18" w:name="_Hlk42353112"/>
      <w:r>
        <w:rPr>
          <w:rFonts w:hint="eastAsia" w:ascii="仿宋" w:hAnsi="仿宋" w:eastAsia="仿宋" w:cs="仿宋_GB2312"/>
          <w:sz w:val="24"/>
        </w:rPr>
        <w:t>1.双方均应忠实履行合同约定的各项内容，任何一方违反本合同，均应承担违约责任。双方约定如一方违反合同约定，则违约方应向守约方支付违约金，违约金的金额为合同总价款的</w:t>
      </w:r>
      <w:r>
        <w:rPr>
          <w:rFonts w:hint="eastAsia" w:ascii="仿宋" w:hAnsi="仿宋" w:eastAsia="仿宋" w:cs="仿宋_GB2312"/>
          <w:sz w:val="24"/>
          <w:u w:val="single"/>
        </w:rPr>
        <w:t>（</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u w:val="single"/>
        </w:rPr>
        <w:t>）</w:t>
      </w:r>
      <w:r>
        <w:rPr>
          <w:rFonts w:hint="eastAsia" w:ascii="仿宋" w:hAnsi="仿宋" w:eastAsia="仿宋" w:cs="仿宋_GB2312"/>
          <w:sz w:val="24"/>
        </w:rPr>
        <w:t>%，因一方违约给另一方造成经济损失的，违约方除应支付违约金外，还应另行根据守约方遭受损失的实际情况进行赔偿，赔偿范围包括直接损失、守约方因维权而产生的律师费、鉴定费、差旅费、诉讼费、保全费、保全担保费等合理支出。</w:t>
      </w:r>
    </w:p>
    <w:bookmarkEnd w:id="18"/>
    <w:p w14:paraId="423E62C1">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2.乙方未按照双方约定的时间提交服务成果的，每延迟一天，应该按照服务费用金额的</w:t>
      </w:r>
      <w:r>
        <w:rPr>
          <w:rFonts w:hint="eastAsia" w:ascii="仿宋" w:hAnsi="仿宋" w:eastAsia="仿宋" w:cs="仿宋_GB2312"/>
          <w:sz w:val="24"/>
          <w:u w:val="single"/>
        </w:rPr>
        <w:t>1</w:t>
      </w:r>
      <w:r>
        <w:rPr>
          <w:rFonts w:hint="eastAsia" w:ascii="仿宋" w:hAnsi="仿宋" w:eastAsia="仿宋" w:cs="仿宋_GB2312"/>
          <w:sz w:val="24"/>
        </w:rPr>
        <w:t>‰向甲方支付违约金。</w:t>
      </w:r>
    </w:p>
    <w:p w14:paraId="2450F19E">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3.发生以下情形之一，甲方有权单方解除本合同，乙方应向甲方退回已支付的全部款项，且甲方有权要求乙方按照服务费总金额的</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rPr>
        <w:t>%支付违约金：</w:t>
      </w:r>
    </w:p>
    <w:p w14:paraId="081A3AB3">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（1）乙方延迟提交服务成果超过</w:t>
      </w:r>
      <w:r>
        <w:rPr>
          <w:rFonts w:hint="eastAsia" w:ascii="仿宋" w:hAnsi="仿宋" w:eastAsia="仿宋" w:cs="仿宋_GB2312"/>
          <w:sz w:val="24"/>
          <w:u w:val="single"/>
        </w:rPr>
        <w:t xml:space="preserve"> </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天；</w:t>
      </w:r>
    </w:p>
    <w:p w14:paraId="1697539E">
      <w:pPr>
        <w:spacing w:line="400" w:lineRule="exact"/>
        <w:ind w:firstLine="480" w:firstLineChars="200"/>
        <w:rPr>
          <w:rFonts w:ascii="仿宋" w:hAnsi="仿宋" w:eastAsia="仿宋" w:cs="仿宋_GB2312"/>
          <w:sz w:val="24"/>
        </w:rPr>
      </w:pPr>
      <w:r>
        <w:rPr>
          <w:rFonts w:hint="eastAsia" w:ascii="仿宋" w:hAnsi="仿宋" w:eastAsia="仿宋" w:cs="仿宋_GB2312"/>
          <w:sz w:val="24"/>
        </w:rPr>
        <w:t>（2）未经甲方书面同意，乙方将本合同项下部分或全部工作委托给第三方承担的；</w:t>
      </w:r>
    </w:p>
    <w:p w14:paraId="22CA1196">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（3）乙方提交的服务成果未能通过甲方验收，乙方拒绝整改或经二次整改后仍未能通过甲方验收的。</w:t>
      </w:r>
    </w:p>
    <w:p w14:paraId="0DB5BD22">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4.如乙方原因导致提供的服务成果存在侵犯第三方知识产权或其他合法权益的情形，乙方除了承担全部赔偿责任之外，还应按照合同总金额</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rPr>
        <w:t>%向甲方支付违约金。</w:t>
      </w:r>
    </w:p>
    <w:p w14:paraId="14EE1CB8">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5.甲方有权自应支付给乙方的服务费用中直接扣除各种索赔款项，包括但不限于赔偿款、违约金、律师费、诉讼费、鉴定费等。</w:t>
      </w:r>
    </w:p>
    <w:p w14:paraId="4CD5B385">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第十三条  争议解决</w:t>
      </w:r>
    </w:p>
    <w:p w14:paraId="18374E6D">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因履行本合同引起的或与本合同有关的争议，甲乙双方应首先通过友好协商解决，如果协商不能解决，则通过向甲方所在地有管辖权的人民法院提起诉讼解决。</w:t>
      </w:r>
    </w:p>
    <w:p w14:paraId="02161B13">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第十四条  本合同附件</w:t>
      </w:r>
    </w:p>
    <w:p w14:paraId="26C8CDB8">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以下附件及乙方投标时提供的投标文件和其他相关资料作为本合同的补充内容，具有同等法律效力。</w:t>
      </w:r>
    </w:p>
    <w:p w14:paraId="05EF3CA2">
      <w:pPr>
        <w:spacing w:line="400" w:lineRule="exact"/>
        <w:ind w:firstLine="480" w:firstLineChars="200"/>
        <w:rPr>
          <w:rFonts w:ascii="仿宋" w:hAnsi="仿宋" w:eastAsia="仿宋" w:cs="仿宋_GB2312"/>
          <w:sz w:val="24"/>
        </w:rPr>
      </w:pPr>
      <w:r>
        <w:rPr>
          <w:rFonts w:hint="eastAsia" w:ascii="仿宋" w:hAnsi="仿宋" w:eastAsia="仿宋" w:cs="仿宋_GB2312"/>
          <w:sz w:val="24"/>
        </w:rPr>
        <w:t>附件1：龙岗区进一步规范政商交往行为告知书；</w:t>
      </w:r>
    </w:p>
    <w:p w14:paraId="53E29F97">
      <w:pPr>
        <w:spacing w:line="400" w:lineRule="exact"/>
        <w:ind w:firstLine="480" w:firstLineChars="200"/>
        <w:rPr>
          <w:rFonts w:ascii="仿宋" w:hAnsi="仿宋" w:eastAsia="仿宋" w:cs="仿宋_GB2312"/>
          <w:sz w:val="24"/>
        </w:rPr>
      </w:pPr>
      <w:r>
        <w:rPr>
          <w:rFonts w:hint="eastAsia" w:ascii="仿宋" w:hAnsi="仿宋" w:eastAsia="仿宋" w:cs="仿宋_GB2312"/>
          <w:sz w:val="24"/>
        </w:rPr>
        <w:t>附件</w:t>
      </w:r>
      <w:r>
        <w:rPr>
          <w:rFonts w:hint="eastAsia" w:ascii="仿宋" w:hAnsi="仿宋" w:eastAsia="仿宋" w:cs="仿宋_GB2312"/>
          <w:sz w:val="24"/>
          <w:lang w:val="en-US" w:eastAsia="zh-CN"/>
        </w:rPr>
        <w:t>2</w:t>
      </w:r>
      <w:r>
        <w:rPr>
          <w:rFonts w:hint="eastAsia" w:ascii="仿宋" w:hAnsi="仿宋" w:eastAsia="仿宋" w:cs="仿宋_GB2312"/>
          <w:sz w:val="24"/>
        </w:rPr>
        <w:t>：</w:t>
      </w:r>
      <w:r>
        <w:rPr>
          <w:rFonts w:hint="eastAsia" w:ascii="仿宋" w:hAnsi="仿宋" w:eastAsia="仿宋" w:cs="仿宋_GB2312"/>
          <w:sz w:val="24"/>
          <w:lang w:val="en-US" w:eastAsia="zh-CN"/>
        </w:rPr>
        <w:t>龙岗区第七人民医院廉洁购销合同</w:t>
      </w:r>
      <w:r>
        <w:rPr>
          <w:rFonts w:hint="eastAsia" w:ascii="仿宋" w:hAnsi="仿宋" w:eastAsia="仿宋" w:cs="仿宋_GB2312"/>
          <w:sz w:val="24"/>
        </w:rPr>
        <w:t>；</w:t>
      </w:r>
    </w:p>
    <w:p w14:paraId="695F0BAF">
      <w:pPr>
        <w:spacing w:line="400" w:lineRule="exact"/>
        <w:ind w:firstLine="480" w:firstLineChars="200"/>
        <w:rPr>
          <w:rFonts w:hint="eastAsia" w:ascii="仿宋" w:hAnsi="仿宋" w:eastAsia="仿宋" w:cs="仿宋_GB2312"/>
          <w:sz w:val="24"/>
        </w:rPr>
      </w:pPr>
      <w:r>
        <w:rPr>
          <w:rFonts w:hint="eastAsia" w:ascii="仿宋" w:hAnsi="仿宋" w:eastAsia="仿宋" w:cs="仿宋_GB2312"/>
          <w:sz w:val="24"/>
        </w:rPr>
        <w:t>附件</w:t>
      </w:r>
      <w:r>
        <w:rPr>
          <w:rFonts w:hint="eastAsia" w:ascii="仿宋" w:hAnsi="仿宋" w:eastAsia="仿宋" w:cs="仿宋_GB2312"/>
          <w:sz w:val="24"/>
          <w:lang w:val="en-US" w:eastAsia="zh-CN"/>
        </w:rPr>
        <w:t>3</w:t>
      </w:r>
      <w:r>
        <w:rPr>
          <w:rFonts w:hint="eastAsia" w:ascii="仿宋" w:hAnsi="仿宋" w:eastAsia="仿宋" w:cs="仿宋_GB2312"/>
          <w:sz w:val="24"/>
        </w:rPr>
        <w:t>：安全</w:t>
      </w:r>
      <w:r>
        <w:rPr>
          <w:rFonts w:hint="eastAsia" w:ascii="仿宋" w:hAnsi="仿宋" w:eastAsia="仿宋" w:cs="仿宋_GB2312"/>
          <w:sz w:val="24"/>
          <w:lang w:val="en-US" w:eastAsia="zh-CN"/>
        </w:rPr>
        <w:t>生产责任协议书</w:t>
      </w:r>
      <w:r>
        <w:rPr>
          <w:rFonts w:hint="eastAsia" w:ascii="仿宋" w:hAnsi="仿宋" w:eastAsia="仿宋" w:cs="仿宋_GB2312"/>
          <w:sz w:val="24"/>
        </w:rPr>
        <w:t>。</w:t>
      </w:r>
    </w:p>
    <w:p w14:paraId="31B0090B">
      <w:pPr>
        <w:spacing w:line="400" w:lineRule="exact"/>
        <w:ind w:firstLine="482" w:firstLineChars="200"/>
        <w:rPr>
          <w:rFonts w:hint="eastAsia" w:ascii="仿宋" w:hAnsi="仿宋" w:eastAsia="仿宋" w:cs="仿宋_GB2312"/>
          <w:b/>
          <w:bCs/>
          <w:sz w:val="24"/>
        </w:rPr>
      </w:pPr>
      <w:r>
        <w:rPr>
          <w:rFonts w:hint="eastAsia" w:ascii="仿宋" w:hAnsi="仿宋" w:eastAsia="仿宋" w:cs="仿宋_GB2312"/>
          <w:b/>
          <w:bCs/>
          <w:sz w:val="24"/>
        </w:rPr>
        <w:t>第十五条  合同生效及其它</w:t>
      </w:r>
    </w:p>
    <w:p w14:paraId="697E3911">
      <w:pPr>
        <w:spacing w:line="400" w:lineRule="exact"/>
        <w:ind w:firstLine="480" w:firstLineChars="200"/>
        <w:rPr>
          <w:rFonts w:ascii="仿宋" w:hAnsi="仿宋" w:eastAsia="仿宋" w:cs="仿宋"/>
          <w:sz w:val="24"/>
        </w:rPr>
      </w:pPr>
      <w:r>
        <w:rPr>
          <w:rFonts w:hint="eastAsia" w:ascii="仿宋" w:hAnsi="仿宋" w:eastAsia="仿宋" w:cs="仿宋"/>
          <w:sz w:val="24"/>
        </w:rPr>
        <w:t>1.在本合同中，明确约定服务执行的标准与依据，即双方应严格遵循中标文件中详尽列明的各项技术参数、性能指标及服务要求，作为本服务提供与验收的核心基准。同时，中标时所附带的承诺书，其所有承诺内容均视为本合同不可分割的组成部分，服务提供方需全面、忠实地履行承诺书中的各项义务与保证，包括但不限于服务质量、时间节点、技术支持及后续服务等关键条款。</w:t>
      </w:r>
    </w:p>
    <w:p w14:paraId="7BCB85D0">
      <w:pPr>
        <w:spacing w:line="400" w:lineRule="exact"/>
        <w:ind w:firstLine="480" w:firstLineChars="200"/>
        <w:rPr>
          <w:rFonts w:hint="eastAsia" w:ascii="仿宋" w:hAnsi="仿宋" w:eastAsia="仿宋" w:cs="仿宋"/>
          <w:sz w:val="24"/>
        </w:rPr>
      </w:pPr>
      <w:r>
        <w:rPr>
          <w:rFonts w:hint="eastAsia" w:ascii="仿宋" w:hAnsi="仿宋" w:eastAsia="仿宋" w:cs="仿宋"/>
          <w:sz w:val="24"/>
        </w:rPr>
        <w:t>2.合同经双方法定代表人或授权委托代表人签字并加盖单位公章或合同专用章后生效。</w:t>
      </w:r>
    </w:p>
    <w:p w14:paraId="6C750881">
      <w:pPr>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rPr>
        <w:t>3.其他约定条款：</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5D308714">
      <w:pPr>
        <w:spacing w:line="400" w:lineRule="exact"/>
        <w:ind w:firstLine="480" w:firstLineChars="200"/>
        <w:rPr>
          <w:rFonts w:hint="eastAsia" w:ascii="仿宋" w:hAnsi="仿宋" w:eastAsia="仿宋" w:cs="仿宋"/>
          <w:sz w:val="24"/>
        </w:rPr>
      </w:pPr>
      <w:r>
        <w:rPr>
          <w:rFonts w:hint="eastAsia" w:ascii="仿宋" w:hAnsi="仿宋" w:eastAsia="仿宋" w:cs="仿宋"/>
          <w:sz w:val="24"/>
        </w:rPr>
        <w:t>4.本合同未尽事宜，遵照《民法典》有关条文执行。</w:t>
      </w:r>
    </w:p>
    <w:p w14:paraId="6CA25489">
      <w:pPr>
        <w:spacing w:line="400" w:lineRule="exact"/>
        <w:ind w:left="210" w:leftChars="100" w:firstLine="240" w:firstLineChars="100"/>
        <w:rPr>
          <w:rFonts w:hint="eastAsia" w:ascii="仿宋" w:hAnsi="仿宋" w:eastAsia="仿宋" w:cs="Times New Roman"/>
          <w:sz w:val="24"/>
        </w:rPr>
      </w:pPr>
      <w:r>
        <w:rPr>
          <w:rFonts w:hint="eastAsia" w:ascii="仿宋" w:hAnsi="仿宋" w:eastAsia="仿宋" w:cs="仿宋"/>
          <w:sz w:val="24"/>
        </w:rPr>
        <w:t>5.本合同正本一式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陆</w:t>
      </w:r>
      <w:r>
        <w:rPr>
          <w:rFonts w:hint="eastAsia" w:ascii="仿宋" w:hAnsi="仿宋" w:eastAsia="仿宋" w:cs="仿宋"/>
          <w:sz w:val="24"/>
          <w:u w:val="single"/>
        </w:rPr>
        <w:t xml:space="preserve"> </w:t>
      </w:r>
      <w:r>
        <w:rPr>
          <w:rFonts w:hint="eastAsia" w:ascii="仿宋" w:hAnsi="仿宋" w:eastAsia="仿宋" w:cs="仿宋"/>
          <w:sz w:val="24"/>
        </w:rPr>
        <w:t>份，具有同等法律效力，甲方执</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肆</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贰</w:t>
      </w:r>
      <w:r>
        <w:rPr>
          <w:rFonts w:hint="eastAsia" w:ascii="仿宋" w:hAnsi="仿宋" w:eastAsia="仿宋" w:cs="仿宋"/>
          <w:sz w:val="24"/>
        </w:rPr>
        <w:t>份。</w:t>
      </w:r>
    </w:p>
    <w:p w14:paraId="361B8BD5">
      <w:pPr>
        <w:spacing w:line="440" w:lineRule="exact"/>
        <w:ind w:firstLine="420"/>
        <w:rPr>
          <w:rFonts w:ascii="Times New Roman" w:hAnsi="Times New Roman" w:cs="Times New Roman"/>
          <w:szCs w:val="20"/>
        </w:rPr>
      </w:pPr>
    </w:p>
    <w:tbl>
      <w:tblPr>
        <w:tblStyle w:val="19"/>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6"/>
        <w:gridCol w:w="4397"/>
      </w:tblGrid>
      <w:tr w14:paraId="69D0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846" w:type="dxa"/>
            <w:shd w:val="clear" w:color="auto" w:fill="auto"/>
            <w:noWrap/>
          </w:tcPr>
          <w:p w14:paraId="3448040B">
            <w:pPr>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甲方（盖章）：深圳市龙岗区第七人民医院</w:t>
            </w:r>
          </w:p>
        </w:tc>
        <w:tc>
          <w:tcPr>
            <w:tcW w:w="4397" w:type="dxa"/>
            <w:shd w:val="clear" w:color="auto" w:fill="auto"/>
            <w:noWrap/>
          </w:tcPr>
          <w:p w14:paraId="21DCA819">
            <w:pPr>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 xml:space="preserve">乙方（盖章）： </w:t>
            </w:r>
          </w:p>
        </w:tc>
      </w:tr>
      <w:tr w14:paraId="43EF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846" w:type="dxa"/>
            <w:shd w:val="clear" w:color="auto" w:fill="auto"/>
            <w:noWrap/>
          </w:tcPr>
          <w:p w14:paraId="0A6D4521">
            <w:pPr>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 xml:space="preserve">地 址： </w:t>
            </w:r>
          </w:p>
        </w:tc>
        <w:tc>
          <w:tcPr>
            <w:tcW w:w="4397" w:type="dxa"/>
            <w:shd w:val="clear" w:color="auto" w:fill="auto"/>
            <w:noWrap/>
          </w:tcPr>
          <w:p w14:paraId="056ABB2A">
            <w:pPr>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 xml:space="preserve">地 址： </w:t>
            </w:r>
          </w:p>
        </w:tc>
      </w:tr>
      <w:tr w14:paraId="55E8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846" w:type="dxa"/>
            <w:shd w:val="clear" w:color="auto" w:fill="auto"/>
            <w:noWrap/>
          </w:tcPr>
          <w:p w14:paraId="24014512">
            <w:pPr>
              <w:spacing w:line="360" w:lineRule="auto"/>
              <w:ind w:firstLine="482"/>
              <w:rPr>
                <w:rFonts w:hint="eastAsia" w:ascii="仿宋" w:hAnsi="仿宋" w:eastAsia="仿宋" w:cs="仿宋"/>
                <w:b/>
                <w:bCs/>
                <w:kern w:val="0"/>
                <w:sz w:val="24"/>
              </w:rPr>
            </w:pPr>
            <w:r>
              <w:rPr>
                <w:rFonts w:hint="eastAsia" w:ascii="仿宋" w:hAnsi="仿宋" w:eastAsia="仿宋" w:cs="仿宋"/>
                <w:b/>
                <w:bCs/>
                <w:color w:val="000000"/>
                <w:sz w:val="24"/>
              </w:rPr>
              <w:t>电 话：</w:t>
            </w:r>
          </w:p>
        </w:tc>
        <w:tc>
          <w:tcPr>
            <w:tcW w:w="4397" w:type="dxa"/>
            <w:shd w:val="clear" w:color="auto" w:fill="auto"/>
            <w:noWrap/>
          </w:tcPr>
          <w:p w14:paraId="5A867FE3">
            <w:pPr>
              <w:spacing w:line="360" w:lineRule="auto"/>
              <w:ind w:firstLine="482"/>
              <w:rPr>
                <w:rFonts w:hint="eastAsia" w:ascii="仿宋" w:hAnsi="仿宋" w:eastAsia="仿宋" w:cs="仿宋"/>
                <w:b/>
                <w:bCs/>
                <w:color w:val="000000"/>
                <w:sz w:val="24"/>
              </w:rPr>
            </w:pPr>
            <w:r>
              <w:rPr>
                <w:rFonts w:hint="eastAsia" w:ascii="仿宋" w:hAnsi="仿宋" w:eastAsia="仿宋" w:cs="仿宋"/>
                <w:b/>
                <w:bCs/>
                <w:color w:val="000000"/>
                <w:sz w:val="24"/>
              </w:rPr>
              <w:t>电 话：</w:t>
            </w:r>
          </w:p>
        </w:tc>
      </w:tr>
      <w:tr w14:paraId="1144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trPr>
        <w:tc>
          <w:tcPr>
            <w:tcW w:w="4846" w:type="dxa"/>
            <w:shd w:val="clear" w:color="auto" w:fill="auto"/>
            <w:noWrap/>
          </w:tcPr>
          <w:p w14:paraId="1FAC2C55">
            <w:pPr>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甲方法定代表人或授权人（签字）：</w:t>
            </w:r>
          </w:p>
          <w:p w14:paraId="06C691F2">
            <w:pPr>
              <w:ind w:firstLine="420"/>
              <w:rPr>
                <w:rFonts w:ascii="Times New Roman" w:hAnsi="Times New Roman" w:cs="Times New Roman"/>
                <w:szCs w:val="20"/>
              </w:rPr>
            </w:pPr>
          </w:p>
          <w:p w14:paraId="585AD17F">
            <w:pPr>
              <w:ind w:firstLine="420"/>
              <w:rPr>
                <w:rFonts w:ascii="Times New Roman" w:hAnsi="Times New Roman" w:cs="Times New Roman"/>
                <w:szCs w:val="20"/>
              </w:rPr>
            </w:pPr>
          </w:p>
          <w:p w14:paraId="133D2E43">
            <w:pPr>
              <w:spacing w:line="360" w:lineRule="auto"/>
              <w:ind w:firstLine="482"/>
              <w:rPr>
                <w:rFonts w:ascii="Times New Roman" w:hAnsi="Times New Roman" w:cs="Times New Roman"/>
              </w:rPr>
            </w:pPr>
            <w:r>
              <w:rPr>
                <w:rFonts w:hint="eastAsia" w:ascii="仿宋" w:hAnsi="仿宋" w:eastAsia="仿宋" w:cs="仿宋"/>
                <w:b/>
                <w:bCs/>
                <w:kern w:val="0"/>
                <w:sz w:val="24"/>
              </w:rPr>
              <w:t>分管领导、经办科室负责人（签字）：</w:t>
            </w:r>
          </w:p>
        </w:tc>
        <w:tc>
          <w:tcPr>
            <w:tcW w:w="4397" w:type="dxa"/>
            <w:shd w:val="clear" w:color="auto" w:fill="auto"/>
            <w:noWrap/>
          </w:tcPr>
          <w:p w14:paraId="06F7D067">
            <w:pPr>
              <w:spacing w:line="360" w:lineRule="auto"/>
              <w:ind w:firstLine="482"/>
              <w:rPr>
                <w:rFonts w:ascii="Times New Roman" w:hAnsi="Times New Roman" w:cs="Times New Roman"/>
              </w:rPr>
            </w:pPr>
            <w:r>
              <w:rPr>
                <w:rFonts w:hint="eastAsia" w:ascii="仿宋" w:hAnsi="仿宋" w:eastAsia="仿宋" w:cs="仿宋"/>
                <w:b/>
                <w:bCs/>
                <w:kern w:val="0"/>
                <w:sz w:val="24"/>
              </w:rPr>
              <w:t>乙方法定代表人或授权人（签字）：</w:t>
            </w:r>
          </w:p>
        </w:tc>
      </w:tr>
      <w:tr w14:paraId="237B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9243" w:type="dxa"/>
            <w:gridSpan w:val="2"/>
            <w:shd w:val="clear" w:color="auto" w:fill="auto"/>
            <w:noWrap/>
            <w:vAlign w:val="center"/>
          </w:tcPr>
          <w:p w14:paraId="0E667369">
            <w:pPr>
              <w:spacing w:line="480" w:lineRule="exact"/>
              <w:ind w:firstLine="482"/>
              <w:jc w:val="center"/>
              <w:rPr>
                <w:rFonts w:hint="eastAsia" w:ascii="仿宋" w:hAnsi="仿宋" w:eastAsia="仿宋" w:cs="仿宋"/>
                <w:b/>
                <w:bCs/>
                <w:color w:val="000000"/>
                <w:sz w:val="24"/>
              </w:rPr>
            </w:pPr>
            <w:r>
              <w:rPr>
                <w:rFonts w:hint="eastAsia" w:ascii="仿宋" w:hAnsi="仿宋" w:eastAsia="仿宋" w:cs="仿宋"/>
                <w:b/>
                <w:bCs/>
                <w:color w:val="000000"/>
                <w:sz w:val="24"/>
              </w:rPr>
              <w:t>签约时间：    年  月  日</w:t>
            </w:r>
          </w:p>
          <w:p w14:paraId="51DE388E">
            <w:pPr>
              <w:spacing w:line="480" w:lineRule="exact"/>
              <w:ind w:firstLine="482"/>
              <w:jc w:val="center"/>
              <w:rPr>
                <w:rFonts w:hint="eastAsia" w:ascii="宋体" w:hAnsi="宋体" w:cs="Times New Roman"/>
                <w:kern w:val="0"/>
                <w:sz w:val="24"/>
              </w:rPr>
            </w:pPr>
            <w:r>
              <w:rPr>
                <w:rFonts w:hint="eastAsia" w:ascii="仿宋" w:hAnsi="仿宋" w:eastAsia="仿宋" w:cs="仿宋"/>
                <w:b/>
                <w:bCs/>
                <w:color w:val="000000"/>
                <w:sz w:val="24"/>
              </w:rPr>
              <w:t>签约地址：深圳市龙岗区第七人民医院</w:t>
            </w:r>
          </w:p>
        </w:tc>
      </w:tr>
    </w:tbl>
    <w:p w14:paraId="6EC2B555">
      <w:pPr>
        <w:spacing w:line="400" w:lineRule="exact"/>
        <w:ind w:firstLine="643"/>
        <w:rPr>
          <w:rFonts w:ascii="Verdana" w:hAnsi="Verdana" w:eastAsia="仿宋_GB2312" w:cs="Times New Roman"/>
          <w:b/>
          <w:bCs/>
          <w:kern w:val="0"/>
          <w:sz w:val="24"/>
        </w:rPr>
      </w:pPr>
      <w:r>
        <w:rPr>
          <w:rFonts w:hint="eastAsia" w:ascii="仿宋" w:hAnsi="仿宋" w:eastAsia="仿宋" w:cs="仿宋_GB2312"/>
          <w:b/>
          <w:bCs/>
          <w:sz w:val="32"/>
          <w:szCs w:val="32"/>
        </w:rPr>
        <w:br w:type="page"/>
      </w:r>
    </w:p>
    <w:p w14:paraId="3021C1FF">
      <w:pPr>
        <w:widowControl/>
        <w:spacing w:line="520" w:lineRule="exact"/>
        <w:ind w:firstLine="320" w:firstLineChars="100"/>
        <w:rPr>
          <w:rFonts w:hint="eastAsia" w:ascii="黑体" w:hAnsi="黑体" w:eastAsia="黑体" w:cs="黑体"/>
          <w:b w:val="0"/>
          <w:bCs/>
          <w:color w:val="000000"/>
          <w:kern w:val="0"/>
          <w:sz w:val="32"/>
          <w:szCs w:val="32"/>
          <w:lang w:val="en-US" w:eastAsia="zh-CN"/>
        </w:rPr>
      </w:pPr>
      <w:r>
        <w:rPr>
          <w:rFonts w:hint="eastAsia" w:ascii="黑体" w:hAnsi="黑体" w:eastAsia="黑体" w:cs="黑体"/>
          <w:b w:val="0"/>
          <w:bCs/>
          <w:color w:val="000000"/>
          <w:kern w:val="0"/>
          <w:sz w:val="32"/>
          <w:szCs w:val="32"/>
          <w:lang w:val="en-US" w:eastAsia="zh-CN"/>
        </w:rPr>
        <w:t>附件1</w:t>
      </w:r>
    </w:p>
    <w:p w14:paraId="2E715373">
      <w:pPr>
        <w:widowControl/>
        <w:spacing w:line="520" w:lineRule="exact"/>
        <w:ind w:firstLine="442" w:firstLineChars="100"/>
        <w:rPr>
          <w:rFonts w:cs="方正小标宋简体" w:asciiTheme="minorEastAsia" w:hAnsiTheme="minorEastAsia" w:eastAsiaTheme="minorEastAsia"/>
          <w:b/>
          <w:color w:val="000000"/>
          <w:kern w:val="0"/>
          <w:sz w:val="44"/>
          <w:szCs w:val="44"/>
        </w:rPr>
      </w:pPr>
      <w:r>
        <w:rPr>
          <w:rFonts w:hint="eastAsia" w:cs="方正小标宋简体" w:asciiTheme="minorEastAsia" w:hAnsiTheme="minorEastAsia" w:eastAsiaTheme="minorEastAsia"/>
          <w:b/>
          <w:color w:val="000000"/>
          <w:kern w:val="0"/>
          <w:sz w:val="44"/>
          <w:szCs w:val="44"/>
        </w:rPr>
        <w:t>龙岗区进一步规范政商交往行为告知书</w:t>
      </w:r>
    </w:p>
    <w:p w14:paraId="7F1C644E">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为深入构建亲清新型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14:paraId="76A88F62">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一、不得向公职人员赠送礼品、礼金、消费卡等财物。</w:t>
      </w:r>
    </w:p>
    <w:p w14:paraId="4E40C29D">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二、不得违规向公职人员提供宴请、旅游、娱乐等安排。</w:t>
      </w:r>
    </w:p>
    <w:p w14:paraId="41820971">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三、不得通过打麻将等形式向公职人员输送利益。</w:t>
      </w:r>
    </w:p>
    <w:p w14:paraId="06D6D90C">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四、不得为公职人员报销应由其个人支付的费用。</w:t>
      </w:r>
    </w:p>
    <w:p w14:paraId="04E0B28B">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五、不得违规向公职人员及其亲友借贷款。</w:t>
      </w:r>
    </w:p>
    <w:p w14:paraId="5ECD117A">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六、不得违规将车辆、住房等借给公职人员使用。</w:t>
      </w:r>
    </w:p>
    <w:p w14:paraId="05EE096F">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七、不得在招投标中与公职人员搞暗箱操作、围标串标。</w:t>
      </w:r>
    </w:p>
    <w:p w14:paraId="09BFF8B5">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八、不得为利益相关人和公职人员牵线搭桥或者代为传递信息、传递财物。</w:t>
      </w:r>
    </w:p>
    <w:p w14:paraId="43CBEB94">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九、不得让公职人员在企业违规兼职取酬。</w:t>
      </w:r>
    </w:p>
    <w:p w14:paraId="3DFB3EBA">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十、不得为公职人员亲友违规承揽业务提供便利。</w:t>
      </w:r>
    </w:p>
    <w:p w14:paraId="10EC7A99">
      <w:pPr>
        <w:keepNext w:val="0"/>
        <w:keepLines w:val="0"/>
        <w:pageBreakBefore w:val="0"/>
        <w:kinsoku/>
        <w:wordWrap/>
        <w:overflowPunct/>
        <w:topLinePunct w:val="0"/>
        <w:autoSpaceDE/>
        <w:autoSpaceDN/>
        <w:bidi w:val="0"/>
        <w:adjustRightInd/>
        <w:snapToGrid/>
        <w:spacing w:line="480" w:lineRule="exac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上述“十个不得”，请您严格遵守。同时，在政商交往中，如有发现我区公职人员存在违反“十个不准”的问题，请及时通过网络举报平台或者 12388 举报电话等方式，向纪检监察机关反映举报，我们将一律严格保密、一律优先处置、一律严肃查处。</w:t>
      </w:r>
    </w:p>
    <w:p w14:paraId="5D77139D">
      <w:pPr>
        <w:keepNext w:val="0"/>
        <w:keepLines w:val="0"/>
        <w:pageBreakBefore w:val="0"/>
        <w:widowControl/>
        <w:kinsoku/>
        <w:wordWrap/>
        <w:overflowPunct/>
        <w:topLinePunct w:val="0"/>
        <w:autoSpaceDE/>
        <w:autoSpaceDN/>
        <w:bidi w:val="0"/>
        <w:adjustRightInd/>
        <w:snapToGrid/>
        <w:spacing w:line="480" w:lineRule="exact"/>
        <w:ind w:firstLine="600" w:firstLineChars="200"/>
        <w:jc w:val="left"/>
        <w:textAlignment w:val="auto"/>
        <w:rPr>
          <w:rFonts w:ascii="仿宋" w:hAnsi="仿宋" w:eastAsia="仿宋" w:cs="仿宋_GB2312"/>
          <w:color w:val="000000"/>
          <w:kern w:val="0"/>
          <w:sz w:val="30"/>
          <w:szCs w:val="30"/>
        </w:rPr>
      </w:pPr>
      <w:r>
        <w:rPr>
          <w:rFonts w:hint="eastAsia" w:ascii="仿宋" w:hAnsi="仿宋" w:eastAsia="仿宋" w:cs="仿宋_GB2312"/>
          <w:color w:val="000000"/>
          <w:kern w:val="0"/>
          <w:sz w:val="30"/>
          <w:szCs w:val="30"/>
        </w:rPr>
        <w:t>本人已知晓上述告知内容，并愿意遵照执行（签名、盖章）：</w:t>
      </w:r>
    </w:p>
    <w:p w14:paraId="309BC736">
      <w:pPr>
        <w:keepNext w:val="0"/>
        <w:keepLines w:val="0"/>
        <w:pageBreakBefore w:val="0"/>
        <w:widowControl/>
        <w:kinsoku/>
        <w:wordWrap/>
        <w:overflowPunct/>
        <w:topLinePunct w:val="0"/>
        <w:autoSpaceDE/>
        <w:autoSpaceDN/>
        <w:bidi w:val="0"/>
        <w:adjustRightInd/>
        <w:snapToGrid/>
        <w:spacing w:line="480" w:lineRule="exact"/>
        <w:ind w:firstLine="5100" w:firstLineChars="1700"/>
        <w:jc w:val="left"/>
        <w:textAlignment w:val="auto"/>
        <w:rPr>
          <w:rFonts w:ascii="仿宋" w:hAnsi="仿宋" w:eastAsia="仿宋" w:cs="仿宋_GB2312"/>
          <w:color w:val="000000"/>
          <w:kern w:val="0"/>
          <w:sz w:val="30"/>
          <w:szCs w:val="30"/>
        </w:rPr>
      </w:pPr>
    </w:p>
    <w:p w14:paraId="5A199C2A">
      <w:pPr>
        <w:keepNext w:val="0"/>
        <w:keepLines w:val="0"/>
        <w:pageBreakBefore w:val="0"/>
        <w:widowControl/>
        <w:kinsoku/>
        <w:wordWrap/>
        <w:overflowPunct/>
        <w:topLinePunct w:val="0"/>
        <w:autoSpaceDE/>
        <w:autoSpaceDN/>
        <w:bidi w:val="0"/>
        <w:adjustRightInd/>
        <w:snapToGrid/>
        <w:spacing w:line="480" w:lineRule="exact"/>
        <w:ind w:firstLine="5100" w:firstLineChars="1700"/>
        <w:jc w:val="left"/>
        <w:textAlignment w:val="auto"/>
        <w:rPr>
          <w:rFonts w:ascii="仿宋" w:hAnsi="仿宋" w:eastAsia="仿宋" w:cs="楷体_GB2312"/>
          <w:color w:val="000000"/>
          <w:kern w:val="0"/>
          <w:sz w:val="24"/>
          <w:szCs w:val="24"/>
        </w:rPr>
      </w:pPr>
      <w:r>
        <w:rPr>
          <w:rFonts w:hint="eastAsia" w:ascii="仿宋" w:hAnsi="仿宋" w:eastAsia="仿宋" w:cs="仿宋_GB2312"/>
          <w:color w:val="000000"/>
          <w:kern w:val="0"/>
          <w:sz w:val="30"/>
          <w:szCs w:val="30"/>
        </w:rPr>
        <w:t>20  年  月  日</w:t>
      </w:r>
    </w:p>
    <w:p w14:paraId="512B4E81">
      <w:pPr>
        <w:widowControl/>
        <w:jc w:val="left"/>
        <w:rPr>
          <w:rFonts w:ascii="仿宋" w:hAnsi="仿宋" w:eastAsia="仿宋" w:cs="仿宋_GB2312"/>
          <w:color w:val="000000"/>
          <w:sz w:val="24"/>
          <w:szCs w:val="24"/>
        </w:rPr>
      </w:pPr>
      <w:r>
        <w:rPr>
          <w:rFonts w:ascii="仿宋" w:hAnsi="仿宋" w:eastAsia="仿宋" w:cs="楷体_GB2312"/>
          <w:color w:val="000000"/>
          <w:kern w:val="0"/>
          <w:sz w:val="24"/>
          <w:szCs w:val="24"/>
        </w:rPr>
        <w:t>（本告知书一式两份，一份由被告知人保存，一份由告知人所在单位留存。）</w:t>
      </w:r>
    </w:p>
    <w:p w14:paraId="2F40E899">
      <w:pPr>
        <w:widowControl/>
        <w:spacing w:line="520" w:lineRule="exact"/>
        <w:ind w:firstLine="320" w:firstLineChars="100"/>
        <w:rPr>
          <w:rFonts w:hint="eastAsia" w:ascii="黑体" w:hAnsi="黑体" w:eastAsia="黑体" w:cs="黑体"/>
          <w:b w:val="0"/>
          <w:bCs/>
          <w:color w:val="000000"/>
          <w:kern w:val="0"/>
          <w:sz w:val="32"/>
          <w:szCs w:val="32"/>
          <w:lang w:val="en-US" w:eastAsia="zh-CN"/>
        </w:rPr>
      </w:pPr>
      <w:r>
        <w:rPr>
          <w:rFonts w:hint="eastAsia" w:ascii="黑体" w:hAnsi="黑体" w:eastAsia="黑体" w:cs="黑体"/>
          <w:b w:val="0"/>
          <w:bCs/>
          <w:color w:val="000000"/>
          <w:kern w:val="0"/>
          <w:sz w:val="32"/>
          <w:szCs w:val="32"/>
          <w:lang w:val="en-US" w:eastAsia="zh-CN"/>
        </w:rPr>
        <w:t>附件2</w:t>
      </w:r>
    </w:p>
    <w:p w14:paraId="23237CA2">
      <w:pPr>
        <w:jc w:val="center"/>
        <w:rPr>
          <w:rFonts w:hint="eastAsia" w:ascii="宋体" w:hAnsi="宋体"/>
          <w:b w:val="0"/>
          <w:bCs/>
          <w:sz w:val="44"/>
          <w:szCs w:val="44"/>
        </w:rPr>
      </w:pPr>
      <w:r>
        <w:rPr>
          <w:rFonts w:hint="eastAsia" w:ascii="宋体" w:hAnsi="宋体"/>
          <w:b w:val="0"/>
          <w:bCs/>
          <w:sz w:val="44"/>
          <w:szCs w:val="44"/>
        </w:rPr>
        <w:t>深圳市龙岗区第七人民医院廉洁购销合同</w:t>
      </w:r>
    </w:p>
    <w:p w14:paraId="079CCEB0">
      <w:pPr>
        <w:jc w:val="center"/>
        <w:rPr>
          <w:rFonts w:hint="eastAsia" w:ascii="宋体" w:hAnsi="宋体"/>
          <w:b/>
          <w:sz w:val="24"/>
          <w:szCs w:val="24"/>
        </w:rPr>
      </w:pPr>
    </w:p>
    <w:p w14:paraId="5E007F76">
      <w:pPr>
        <w:spacing w:line="580" w:lineRule="exact"/>
        <w:rPr>
          <w:rFonts w:ascii="仿宋_GB2312" w:hAnsi="ˎ̥" w:eastAsia="仿宋_GB2312"/>
          <w:sz w:val="32"/>
          <w:szCs w:val="32"/>
        </w:rPr>
      </w:pPr>
      <w:r>
        <w:rPr>
          <w:rFonts w:hint="eastAsia" w:ascii="楷体_GB2312" w:hAnsi="ˎ̥" w:eastAsia="楷体_GB2312"/>
          <w:b/>
          <w:sz w:val="32"/>
          <w:szCs w:val="32"/>
        </w:rPr>
        <w:t>甲方</w:t>
      </w:r>
      <w:r>
        <w:rPr>
          <w:rFonts w:hint="eastAsia" w:ascii="仿宋_GB2312" w:hAnsi="ˎ̥" w:eastAsia="仿宋_GB2312"/>
          <w:sz w:val="32"/>
          <w:szCs w:val="32"/>
        </w:rPr>
        <w:t>：深圳市龙岗区第七人民医院</w:t>
      </w:r>
    </w:p>
    <w:p w14:paraId="20289B53">
      <w:pPr>
        <w:spacing w:line="400" w:lineRule="exact"/>
        <w:rPr>
          <w:rFonts w:hint="default" w:ascii="楷体_GB2312" w:hAnsi="ˎ̥" w:eastAsia="仿宋_GB2312"/>
          <w:b/>
          <w:sz w:val="32"/>
          <w:szCs w:val="32"/>
          <w:lang w:val="en-US" w:eastAsia="zh-CN"/>
        </w:rPr>
      </w:pPr>
      <w:r>
        <w:rPr>
          <w:rFonts w:hint="eastAsia" w:ascii="楷体_GB2312" w:hAnsi="ˎ̥" w:eastAsia="楷体_GB2312"/>
          <w:b/>
          <w:sz w:val="32"/>
          <w:szCs w:val="32"/>
        </w:rPr>
        <w:t>乙方</w:t>
      </w:r>
      <w:r>
        <w:rPr>
          <w:rFonts w:hint="eastAsia" w:ascii="仿宋_GB2312" w:hAnsi="ˎ̥" w:eastAsia="仿宋_GB2312"/>
          <w:sz w:val="32"/>
          <w:szCs w:val="32"/>
        </w:rPr>
        <w:t>：</w:t>
      </w:r>
    </w:p>
    <w:p w14:paraId="0E126D96">
      <w:pPr>
        <w:spacing w:line="580" w:lineRule="exact"/>
        <w:rPr>
          <w:rFonts w:hint="eastAsia" w:ascii="仿宋_GB2312" w:hAnsi="仿宋_GB2312" w:eastAsia="仿宋_GB2312" w:cs="仿宋_GB2312"/>
          <w:color w:val="000000"/>
          <w:sz w:val="32"/>
          <w:szCs w:val="32"/>
          <w:u w:val="none"/>
        </w:rPr>
      </w:pPr>
      <w:r>
        <w:rPr>
          <w:rFonts w:hint="eastAsia" w:ascii="楷体_GB2312" w:hAnsi="ˎ̥" w:eastAsia="楷体_GB2312"/>
          <w:b/>
          <w:sz w:val="32"/>
          <w:szCs w:val="32"/>
        </w:rPr>
        <w:t>项目名称：</w:t>
      </w:r>
      <w:r>
        <w:rPr>
          <w:rFonts w:hint="eastAsia" w:ascii="仿宋_GB2312" w:hAnsi="仿宋_GB2312" w:eastAsia="仿宋_GB2312" w:cs="仿宋_GB2312"/>
          <w:color w:val="000000"/>
          <w:sz w:val="32"/>
          <w:szCs w:val="32"/>
          <w:u w:val="none"/>
        </w:rPr>
        <w:t>龙岭院区（除门诊楼外）4栋建筑房屋结构安全检测鉴定服务</w:t>
      </w:r>
    </w:p>
    <w:p w14:paraId="66F48514">
      <w:pPr>
        <w:spacing w:line="580" w:lineRule="exact"/>
        <w:rPr>
          <w:rFonts w:hint="eastAsia" w:ascii="仿宋_GB2312" w:hAnsi="ˎ̥" w:eastAsia="仿宋_GB2312"/>
          <w:sz w:val="32"/>
          <w:szCs w:val="32"/>
          <w:lang w:val="en-US" w:eastAsia="zh-CN"/>
        </w:rPr>
      </w:pPr>
      <w:r>
        <w:rPr>
          <w:rFonts w:hint="eastAsia" w:ascii="楷体_GB2312" w:hAnsi="ˎ̥" w:eastAsia="楷体_GB2312"/>
          <w:b/>
          <w:sz w:val="32"/>
          <w:szCs w:val="32"/>
        </w:rPr>
        <w:t>合同总价</w:t>
      </w:r>
      <w:r>
        <w:rPr>
          <w:rFonts w:hint="eastAsia" w:ascii="楷体_GB2312" w:hAnsi="ˎ̥" w:eastAsia="楷体_GB2312"/>
          <w:sz w:val="32"/>
          <w:szCs w:val="32"/>
        </w:rPr>
        <w:t>：</w:t>
      </w:r>
      <w:r>
        <w:rPr>
          <w:rFonts w:hint="eastAsia" w:ascii="楷体_GB2312" w:hAnsi="ˎ̥" w:eastAsia="楷体_GB2312"/>
          <w:sz w:val="32"/>
          <w:szCs w:val="32"/>
          <w:highlight w:val="none"/>
          <w:lang w:val="en-US" w:eastAsia="zh-CN"/>
        </w:rPr>
        <w:t xml:space="preserve">       </w:t>
      </w:r>
      <w:r>
        <w:rPr>
          <w:rFonts w:hint="eastAsia" w:ascii="仿宋_GB2312" w:hAnsi="ˎ̥" w:eastAsia="仿宋_GB2312"/>
          <w:sz w:val="32"/>
          <w:szCs w:val="32"/>
          <w:highlight w:val="none"/>
          <w:lang w:val="en-US" w:eastAsia="zh-CN"/>
        </w:rPr>
        <w:t>元</w:t>
      </w:r>
    </w:p>
    <w:p w14:paraId="4C6A6BBB">
      <w:pPr>
        <w:spacing w:line="580" w:lineRule="exact"/>
        <w:rPr>
          <w:rFonts w:hint="eastAsia" w:ascii="楷体_GB2312" w:hAnsi="ˎ̥" w:eastAsia="楷体_GB2312"/>
          <w:b/>
          <w:sz w:val="32"/>
          <w:szCs w:val="32"/>
          <w:lang w:val="en-US" w:eastAsia="zh-CN"/>
        </w:rPr>
      </w:pPr>
      <w:r>
        <w:rPr>
          <w:rFonts w:hint="eastAsia" w:ascii="楷体_GB2312" w:hAnsi="ˎ̥" w:eastAsia="楷体_GB2312"/>
          <w:b/>
          <w:sz w:val="32"/>
          <w:szCs w:val="32"/>
        </w:rPr>
        <w:t>主办科室：</w:t>
      </w:r>
      <w:r>
        <w:rPr>
          <w:rFonts w:hint="eastAsia" w:ascii="楷体_GB2312" w:hAnsi="ˎ̥" w:eastAsia="楷体_GB2312"/>
          <w:b w:val="0"/>
          <w:bCs/>
          <w:sz w:val="32"/>
          <w:szCs w:val="32"/>
          <w:lang w:val="en-US" w:eastAsia="zh-CN"/>
        </w:rPr>
        <w:t>总务科</w:t>
      </w:r>
    </w:p>
    <w:p w14:paraId="047EAFC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为进一步加强医疗卫生行风建设，规范购销行为，有效防范商业贿赂，营造公平交易、诚实守信的购销环境，经甲、乙双方协商，同意签订本合同，并共同遵守：</w:t>
      </w:r>
    </w:p>
    <w:p w14:paraId="1620D6C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一、甲乙双方按照《</w:t>
      </w:r>
      <w:r>
        <w:rPr>
          <w:rFonts w:hint="eastAsia" w:ascii="仿宋_GB2312" w:hAnsi="ˎ̥" w:eastAsia="仿宋_GB2312"/>
          <w:sz w:val="32"/>
          <w:szCs w:val="32"/>
          <w:lang w:val="en-US" w:eastAsia="zh-CN"/>
        </w:rPr>
        <w:t>中华人民共和国民法典</w:t>
      </w:r>
      <w:r>
        <w:rPr>
          <w:rFonts w:hint="eastAsia" w:ascii="仿宋_GB2312" w:hAnsi="ˎ̥" w:eastAsia="仿宋_GB2312"/>
          <w:sz w:val="32"/>
          <w:szCs w:val="32"/>
        </w:rPr>
        <w:t>》及产品</w:t>
      </w:r>
      <w:r>
        <w:rPr>
          <w:rFonts w:hint="eastAsia" w:ascii="仿宋_GB2312" w:eastAsia="仿宋_GB2312"/>
          <w:sz w:val="32"/>
          <w:szCs w:val="32"/>
        </w:rPr>
        <w:t>购销合同</w:t>
      </w:r>
      <w:r>
        <w:rPr>
          <w:rFonts w:hint="eastAsia" w:ascii="仿宋_GB2312" w:hAnsi="ˎ̥" w:eastAsia="仿宋_GB2312"/>
          <w:sz w:val="32"/>
          <w:szCs w:val="32"/>
        </w:rPr>
        <w:t>约定实施购销行为。</w:t>
      </w:r>
    </w:p>
    <w:p w14:paraId="2A8E897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二、甲方应当严格执行验收、入库制度，对采购产品及发票进行查验，不得违反有关规定进行合同外采购、违价采购或从非规定渠道采购。</w:t>
      </w:r>
    </w:p>
    <w:p w14:paraId="5B729AD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三、甲方不得接受乙方以任何名义、形式给予的利益输送，不得将接受捐赠资助与采购挂钩。甲方工作人员不得参加乙方安排并支付费用的营业性娱乐场所的娱乐活动，</w:t>
      </w:r>
      <w:r>
        <w:rPr>
          <w:rFonts w:hint="eastAsia" w:ascii="仿宋_GB2312" w:eastAsia="仿宋_GB2312"/>
          <w:sz w:val="32"/>
          <w:szCs w:val="32"/>
        </w:rPr>
        <w:t>不得以任何形式向乙方索要现金、有价证券、支付凭证和贵重礼品等</w:t>
      </w:r>
      <w:r>
        <w:rPr>
          <w:rFonts w:hint="eastAsia" w:ascii="仿宋_GB2312" w:hAnsi="ˎ̥" w:eastAsia="仿宋_GB2312"/>
          <w:sz w:val="32"/>
          <w:szCs w:val="32"/>
        </w:rPr>
        <w:t>。被迫接受乙方给予的钱物，应予退还，无法退还的，有责任如实向纪检监察部门反映情况。</w:t>
      </w:r>
    </w:p>
    <w:p w14:paraId="65F0EC3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四、严禁甲方工作人员利用任何途径和方式，非法为乙方统计医师个人及临床科室有关医药产品用量信息，或为乙方统方提供便利。</w:t>
      </w:r>
    </w:p>
    <w:p w14:paraId="5FB414B2">
      <w:pPr>
        <w:keepNext w:val="0"/>
        <w:keepLines w:val="0"/>
        <w:pageBreakBefore w:val="0"/>
        <w:kinsoku/>
        <w:wordWrap/>
        <w:overflowPunct/>
        <w:topLinePunct w:val="0"/>
        <w:autoSpaceDE/>
        <w:autoSpaceDN/>
        <w:bidi w:val="0"/>
        <w:adjustRightInd/>
        <w:snapToGrid/>
        <w:spacing w:line="560" w:lineRule="exact"/>
        <w:ind w:firstLine="640" w:firstLineChars="200"/>
        <w:rPr>
          <w:rFonts w:ascii="仿宋_GB2312" w:eastAsia="仿宋_GB2312"/>
          <w:sz w:val="32"/>
          <w:szCs w:val="32"/>
        </w:rPr>
      </w:pPr>
      <w:r>
        <w:rPr>
          <w:rFonts w:hint="eastAsia" w:ascii="仿宋_GB2312" w:eastAsia="仿宋_GB2312"/>
          <w:sz w:val="32"/>
          <w:szCs w:val="32"/>
        </w:rPr>
        <w:t>五、</w:t>
      </w:r>
      <w:r>
        <w:rPr>
          <w:rFonts w:hint="eastAsia" w:ascii="仿宋_GB2312" w:hAnsi="ˎ̥" w:eastAsia="仿宋_GB2312"/>
          <w:sz w:val="32"/>
          <w:szCs w:val="32"/>
        </w:rPr>
        <w:t>乙方不得以回扣、</w:t>
      </w:r>
      <w:r>
        <w:rPr>
          <w:rFonts w:hint="eastAsia" w:ascii="仿宋_GB2312" w:eastAsia="仿宋_GB2312"/>
          <w:sz w:val="32"/>
          <w:szCs w:val="32"/>
        </w:rPr>
        <w:t>宴请等方式影响甲方工作人员采购或使用医药产品的选择权，不得在学术活动中提供旅游、超标准支付食宿费用，以及其他任何形式的利益输送。</w:t>
      </w:r>
    </w:p>
    <w:p w14:paraId="6744D81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ˎ̥" w:eastAsia="仿宋_GB2312"/>
          <w:sz w:val="32"/>
          <w:szCs w:val="32"/>
        </w:rPr>
      </w:pPr>
      <w:r>
        <w:rPr>
          <w:rFonts w:hint="eastAsia" w:ascii="仿宋_GB2312" w:eastAsia="仿宋_GB2312"/>
          <w:sz w:val="32"/>
          <w:szCs w:val="32"/>
        </w:rPr>
        <w:t>六、乙方指定</w:t>
      </w:r>
      <w:r>
        <w:rPr>
          <w:rFonts w:hint="eastAsia" w:ascii="仿宋_GB2312" w:eastAsia="仿宋_GB2312"/>
          <w:sz w:val="32"/>
          <w:szCs w:val="32"/>
          <w:u w:val="single"/>
        </w:rPr>
        <w:t xml:space="preserve">        </w:t>
      </w:r>
      <w:r>
        <w:rPr>
          <w:rFonts w:hint="eastAsia" w:ascii="仿宋_GB2312" w:eastAsia="仿宋_GB2312"/>
          <w:sz w:val="32"/>
          <w:szCs w:val="32"/>
        </w:rPr>
        <w:t>作为销售代表洽谈业务。销售代表必须在工作时间到甲方指定地点联系商谈，不得到住院部、门诊部、医技科室等推销医药产品，不得借故到甲方相关领导、部门</w:t>
      </w:r>
      <w:r>
        <w:rPr>
          <w:rFonts w:hint="eastAsia" w:ascii="仿宋_GB2312" w:hAnsi="ˎ̥" w:eastAsia="仿宋_GB2312"/>
          <w:sz w:val="32"/>
          <w:szCs w:val="32"/>
        </w:rPr>
        <w:t>负责人及相关工作人员家中访谈并提供任何好处费。</w:t>
      </w:r>
    </w:p>
    <w:p w14:paraId="39FCF8FC">
      <w:pPr>
        <w:keepNext w:val="0"/>
        <w:keepLines w:val="0"/>
        <w:pageBreakBefore w:val="0"/>
        <w:kinsoku/>
        <w:wordWrap/>
        <w:overflowPunct/>
        <w:topLinePunct w:val="0"/>
        <w:autoSpaceDE/>
        <w:autoSpaceDN/>
        <w:bidi w:val="0"/>
        <w:adjustRightInd/>
        <w:snapToGrid/>
        <w:spacing w:line="560" w:lineRule="exact"/>
        <w:ind w:firstLine="640" w:firstLineChars="200"/>
        <w:rPr>
          <w:rFonts w:ascii="仿宋_GB2312" w:eastAsia="仿宋_GB2312"/>
          <w:sz w:val="32"/>
          <w:szCs w:val="32"/>
        </w:rPr>
      </w:pPr>
      <w:r>
        <w:rPr>
          <w:rFonts w:hint="eastAsia" w:ascii="仿宋_GB2312" w:eastAsia="仿宋_GB2312"/>
          <w:sz w:val="32"/>
          <w:szCs w:val="32"/>
        </w:rPr>
        <w:t>七、</w:t>
      </w:r>
      <w:r>
        <w:rPr>
          <w:rFonts w:hint="eastAsia" w:ascii="仿宋_GB2312" w:hAnsi="ˎ̥" w:eastAsia="仿宋_GB2312"/>
          <w:sz w:val="32"/>
          <w:szCs w:val="32"/>
        </w:rPr>
        <w:t>乙方如违反本合同，一经发现，</w:t>
      </w:r>
      <w:r>
        <w:rPr>
          <w:rFonts w:hint="eastAsia" w:ascii="仿宋_GB2312" w:eastAsia="仿宋_GB2312"/>
          <w:sz w:val="32"/>
          <w:szCs w:val="32"/>
        </w:rPr>
        <w:t>甲方有权终止产品购销合同，并向有关部门报告。如乙方被列入商业贿赂不良记录，则严格按照《国家</w:t>
      </w:r>
      <w:r>
        <w:rPr>
          <w:rFonts w:ascii="仿宋_GB2312" w:eastAsia="仿宋_GB2312"/>
          <w:sz w:val="32"/>
          <w:szCs w:val="32"/>
        </w:rPr>
        <w:t>卫生计生委关于建立医药购销领域商业贿赂不良记录的规定</w:t>
      </w:r>
      <w:r>
        <w:rPr>
          <w:rFonts w:hint="eastAsia" w:ascii="仿宋_GB2312" w:eastAsia="仿宋_GB2312"/>
          <w:sz w:val="32"/>
          <w:szCs w:val="32"/>
        </w:rPr>
        <w:t>》</w:t>
      </w:r>
      <w:r>
        <w:rPr>
          <w:rFonts w:eastAsia="仿宋_GB2312"/>
          <w:color w:val="000000"/>
          <w:sz w:val="32"/>
          <w:szCs w:val="32"/>
          <w:shd w:val="clear" w:color="auto" w:fill="FFFFFF"/>
        </w:rPr>
        <w:t>（国卫法制发〔2013〕50号）</w:t>
      </w:r>
      <w:r>
        <w:rPr>
          <w:rFonts w:hint="eastAsia" w:ascii="仿宋_GB2312" w:eastAsia="仿宋_GB2312"/>
          <w:sz w:val="32"/>
          <w:szCs w:val="32"/>
        </w:rPr>
        <w:t>相关规定处理。</w:t>
      </w:r>
    </w:p>
    <w:p w14:paraId="65DDDE8A">
      <w:pPr>
        <w:keepNext w:val="0"/>
        <w:keepLines w:val="0"/>
        <w:pageBreakBefore w:val="0"/>
        <w:kinsoku/>
        <w:wordWrap/>
        <w:overflowPunct/>
        <w:topLinePunct w:val="0"/>
        <w:autoSpaceDE/>
        <w:autoSpaceDN/>
        <w:bidi w:val="0"/>
        <w:adjustRightInd/>
        <w:snapToGrid/>
        <w:spacing w:line="560" w:lineRule="exact"/>
        <w:ind w:firstLine="640" w:firstLineChars="200"/>
        <w:rPr>
          <w:rFonts w:ascii="仿宋_GB2312" w:eastAsia="仿宋_GB2312"/>
          <w:sz w:val="32"/>
          <w:szCs w:val="32"/>
        </w:rPr>
      </w:pPr>
      <w:r>
        <w:rPr>
          <w:rFonts w:hint="eastAsia" w:ascii="仿宋_GB2312" w:hAnsi="ˎ̥" w:eastAsia="仿宋_GB2312"/>
          <w:sz w:val="32"/>
          <w:szCs w:val="32"/>
        </w:rPr>
        <w:t>八、</w:t>
      </w:r>
      <w:r>
        <w:rPr>
          <w:rFonts w:hint="eastAsia" w:ascii="仿宋_GB2312" w:eastAsia="仿宋_GB2312"/>
          <w:sz w:val="32"/>
          <w:szCs w:val="32"/>
        </w:rPr>
        <w:t>本合同作为产品购销合同的组成部分，与购销合同一并执行，具有同等的法律效力。</w:t>
      </w:r>
    </w:p>
    <w:p w14:paraId="17C27D28">
      <w:pPr>
        <w:autoSpaceDE/>
        <w:autoSpaceDN/>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九、本合同一式叁份，甲方贰份（一份随购销主合同存档，一份交医院纪检监察部门），乙方壹份，从签订之日起生效。</w:t>
      </w:r>
    </w:p>
    <w:p w14:paraId="2DBFFBBF">
      <w:pPr>
        <w:pStyle w:val="8"/>
        <w:rPr>
          <w:sz w:val="24"/>
          <w:szCs w:val="24"/>
        </w:rPr>
      </w:pPr>
    </w:p>
    <w:p w14:paraId="7E430190">
      <w:pPr>
        <w:keepNext w:val="0"/>
        <w:keepLines w:val="0"/>
        <w:pageBreakBefore w:val="0"/>
        <w:kinsoku/>
        <w:wordWrap/>
        <w:overflowPunct/>
        <w:topLinePunct w:val="0"/>
        <w:autoSpaceDE/>
        <w:autoSpaceDN/>
        <w:bidi w:val="0"/>
        <w:adjustRightInd/>
        <w:snapToGrid/>
        <w:spacing w:line="560" w:lineRule="exact"/>
        <w:rPr>
          <w:rFonts w:ascii="楷体_GB2312" w:eastAsia="楷体_GB2312"/>
          <w:b/>
          <w:sz w:val="32"/>
          <w:szCs w:val="32"/>
        </w:rPr>
      </w:pPr>
      <w:r>
        <w:rPr>
          <w:rFonts w:hint="eastAsia" w:ascii="楷体_GB2312" w:eastAsia="楷体_GB2312"/>
          <w:b/>
          <w:sz w:val="32"/>
          <w:szCs w:val="32"/>
        </w:rPr>
        <w:t>甲方（盖章）：                  乙方（盖章）：</w:t>
      </w:r>
    </w:p>
    <w:p w14:paraId="4006527C">
      <w:pPr>
        <w:keepNext w:val="0"/>
        <w:keepLines w:val="0"/>
        <w:pageBreakBefore w:val="0"/>
        <w:kinsoku/>
        <w:wordWrap/>
        <w:overflowPunct/>
        <w:topLinePunct w:val="0"/>
        <w:autoSpaceDE/>
        <w:autoSpaceDN/>
        <w:bidi w:val="0"/>
        <w:adjustRightInd/>
        <w:snapToGrid/>
        <w:spacing w:line="560" w:lineRule="exact"/>
        <w:rPr>
          <w:rFonts w:ascii="楷体_GB2312" w:eastAsia="楷体_GB2312"/>
          <w:b/>
          <w:sz w:val="32"/>
          <w:szCs w:val="32"/>
        </w:rPr>
      </w:pPr>
      <w:r>
        <w:rPr>
          <w:rFonts w:hint="eastAsia" w:ascii="楷体_GB2312" w:eastAsia="楷体_GB2312"/>
          <w:b/>
          <w:sz w:val="32"/>
          <w:szCs w:val="32"/>
        </w:rPr>
        <w:t>法定代表人（</w:t>
      </w:r>
      <w:r>
        <w:rPr>
          <w:rFonts w:ascii="楷体_GB2312" w:eastAsia="楷体_GB2312"/>
          <w:b/>
          <w:sz w:val="32"/>
          <w:szCs w:val="32"/>
        </w:rPr>
        <w:t>负责人</w:t>
      </w:r>
      <w:r>
        <w:rPr>
          <w:rFonts w:hint="eastAsia" w:ascii="楷体_GB2312" w:eastAsia="楷体_GB2312"/>
          <w:b/>
          <w:sz w:val="32"/>
          <w:szCs w:val="32"/>
        </w:rPr>
        <w:t>）：          法定代表人（</w:t>
      </w:r>
      <w:r>
        <w:rPr>
          <w:rFonts w:ascii="楷体_GB2312" w:eastAsia="楷体_GB2312"/>
          <w:b/>
          <w:sz w:val="32"/>
          <w:szCs w:val="32"/>
        </w:rPr>
        <w:t>负责人</w:t>
      </w:r>
      <w:r>
        <w:rPr>
          <w:rFonts w:hint="eastAsia" w:ascii="楷体_GB2312" w:eastAsia="楷体_GB2312"/>
          <w:b/>
          <w:sz w:val="32"/>
          <w:szCs w:val="32"/>
        </w:rPr>
        <w:t>）：</w:t>
      </w:r>
    </w:p>
    <w:p w14:paraId="06E7EC69">
      <w:pPr>
        <w:keepNext w:val="0"/>
        <w:keepLines w:val="0"/>
        <w:pageBreakBefore w:val="0"/>
        <w:kinsoku/>
        <w:wordWrap/>
        <w:overflowPunct/>
        <w:topLinePunct w:val="0"/>
        <w:autoSpaceDE/>
        <w:autoSpaceDN/>
        <w:bidi w:val="0"/>
        <w:adjustRightInd/>
        <w:snapToGrid/>
        <w:spacing w:line="560" w:lineRule="exact"/>
        <w:rPr>
          <w:rFonts w:hint="eastAsia"/>
        </w:rPr>
      </w:pPr>
      <w:r>
        <w:rPr>
          <w:rFonts w:hint="eastAsia" w:ascii="楷体_GB2312" w:eastAsia="楷体_GB2312"/>
          <w:b/>
          <w:sz w:val="32"/>
          <w:szCs w:val="32"/>
        </w:rPr>
        <w:t>委托代理人签名：               经办人签名：</w:t>
      </w:r>
    </w:p>
    <w:p w14:paraId="5653F533">
      <w:pPr>
        <w:keepNext w:val="0"/>
        <w:keepLines w:val="0"/>
        <w:pageBreakBefore w:val="0"/>
        <w:kinsoku/>
        <w:wordWrap/>
        <w:overflowPunct/>
        <w:topLinePunct w:val="0"/>
        <w:autoSpaceDE/>
        <w:autoSpaceDN/>
        <w:bidi w:val="0"/>
        <w:adjustRightInd/>
        <w:snapToGrid/>
        <w:spacing w:line="560" w:lineRule="exact"/>
      </w:pPr>
      <w:r>
        <w:rPr>
          <w:rFonts w:hint="eastAsia" w:ascii="仿宋_GB2312" w:eastAsia="仿宋_GB2312"/>
          <w:sz w:val="32"/>
          <w:szCs w:val="32"/>
        </w:rPr>
        <w:t>年    月   日                 年    月   日</w:t>
      </w:r>
    </w:p>
    <w:p w14:paraId="2FD537A3">
      <w:pPr>
        <w:widowControl/>
        <w:spacing w:line="520" w:lineRule="exact"/>
        <w:ind w:firstLine="320" w:firstLineChars="100"/>
        <w:rPr>
          <w:rFonts w:hint="eastAsia" w:ascii="黑体" w:hAnsi="黑体" w:eastAsia="黑体" w:cs="黑体"/>
          <w:b w:val="0"/>
          <w:bCs/>
          <w:color w:val="000000"/>
          <w:kern w:val="0"/>
          <w:sz w:val="32"/>
          <w:szCs w:val="32"/>
          <w:lang w:val="en-US" w:eastAsia="zh-CN"/>
        </w:rPr>
      </w:pPr>
      <w:r>
        <w:rPr>
          <w:rFonts w:hint="eastAsia" w:ascii="黑体" w:hAnsi="黑体" w:eastAsia="黑体" w:cs="黑体"/>
          <w:b w:val="0"/>
          <w:bCs/>
          <w:color w:val="000000"/>
          <w:kern w:val="0"/>
          <w:sz w:val="32"/>
          <w:szCs w:val="32"/>
          <w:lang w:val="en-US" w:eastAsia="zh-CN"/>
        </w:rPr>
        <w:t>附件3</w:t>
      </w:r>
    </w:p>
    <w:p w14:paraId="48604929">
      <w:pPr>
        <w:spacing w:line="56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安全生产责任协议书</w:t>
      </w:r>
    </w:p>
    <w:p w14:paraId="4BD16EA3">
      <w:pPr>
        <w:spacing w:line="560" w:lineRule="exact"/>
        <w:rPr>
          <w:rFonts w:ascii="方正小标宋简体" w:hAnsi="方正小标宋简体" w:eastAsia="方正小标宋简体" w:cs="方正小标宋简体"/>
          <w:color w:val="000000"/>
          <w:sz w:val="44"/>
        </w:rPr>
      </w:pPr>
    </w:p>
    <w:p w14:paraId="51A3C5D9">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甲方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深圳市龙岗区</w:t>
      </w:r>
      <w:r>
        <w:rPr>
          <w:rFonts w:hint="eastAsia" w:ascii="仿宋_GB2312" w:hAnsi="仿宋_GB2312" w:eastAsia="仿宋_GB2312" w:cs="仿宋_GB2312"/>
          <w:color w:val="000000"/>
          <w:sz w:val="32"/>
          <w:szCs w:val="32"/>
          <w:lang w:val="en-US" w:eastAsia="zh-CN"/>
        </w:rPr>
        <w:t>第七</w:t>
      </w:r>
      <w:r>
        <w:rPr>
          <w:rFonts w:hint="eastAsia" w:ascii="仿宋_GB2312" w:hAnsi="仿宋_GB2312" w:eastAsia="仿宋_GB2312" w:cs="仿宋_GB2312"/>
          <w:color w:val="000000"/>
          <w:sz w:val="32"/>
          <w:szCs w:val="32"/>
        </w:rPr>
        <w:t>人民医院</w:t>
      </w:r>
    </w:p>
    <w:p w14:paraId="5C143E39">
      <w:pPr>
        <w:spacing w:line="400" w:lineRule="exact"/>
        <w:ind w:firstLine="640" w:firstLineChars="200"/>
        <w:rPr>
          <w:rFonts w:hint="eastAsia" w:ascii="仿宋_GB2312" w:hAnsi="仿宋_GB2312" w:eastAsia="仿宋_GB2312" w:cs="仿宋_GB2312"/>
          <w:color w:val="000000"/>
          <w:kern w:val="2"/>
          <w:sz w:val="32"/>
          <w:szCs w:val="32"/>
          <w:u w:val="none"/>
        </w:rPr>
      </w:pPr>
      <w:r>
        <w:rPr>
          <w:rFonts w:hint="eastAsia" w:ascii="仿宋_GB2312" w:hAnsi="仿宋_GB2312" w:eastAsia="仿宋_GB2312" w:cs="仿宋_GB2312"/>
          <w:color w:val="000000"/>
          <w:sz w:val="32"/>
          <w:szCs w:val="32"/>
        </w:rPr>
        <w:t>乙方</w:t>
      </w:r>
      <w:r>
        <w:rPr>
          <w:rFonts w:hint="eastAsia" w:ascii="仿宋_GB2312" w:hAnsi="仿宋_GB2312" w:eastAsia="仿宋_GB2312" w:cs="仿宋_GB2312"/>
          <w:color w:val="000000"/>
          <w:sz w:val="32"/>
          <w:szCs w:val="32"/>
          <w:lang w:eastAsia="zh-CN"/>
        </w:rPr>
        <w:t>：</w:t>
      </w:r>
    </w:p>
    <w:p w14:paraId="38D0040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为贯彻“安全第一、预防为主、综合治理”的安全生产方针，规范乙方在承接甲方</w:t>
      </w:r>
      <w:r>
        <w:rPr>
          <w:rFonts w:hint="eastAsia" w:ascii="仿宋_GB2312" w:hAnsi="仿宋_GB2312" w:eastAsia="仿宋_GB2312" w:cs="仿宋_GB2312"/>
          <w:sz w:val="32"/>
          <w:szCs w:val="32"/>
        </w:rPr>
        <w:t>土建施</w:t>
      </w:r>
      <w:r>
        <w:rPr>
          <w:rFonts w:hint="eastAsia" w:ascii="仿宋_GB2312" w:hAnsi="仿宋_GB2312" w:eastAsia="仿宋_GB2312" w:cs="仿宋_GB2312"/>
          <w:color w:val="000000"/>
          <w:sz w:val="32"/>
          <w:szCs w:val="32"/>
        </w:rPr>
        <w:t>工、检修、工程安全及其他劳务活动时的安全行为，促使乙方加强本单位安全生产管理，建立、健全安全生产责任制度和切实有效的安全防范措施，确保安全生产。根据《中华人民共和国安全生产法》《</w:t>
      </w:r>
      <w:r>
        <w:rPr>
          <w:rFonts w:hint="eastAsia" w:ascii="仿宋_GB2312" w:hAnsi="仿宋_GB2312" w:eastAsia="仿宋_GB2312" w:cs="仿宋_GB2312"/>
          <w:color w:val="000000"/>
          <w:sz w:val="32"/>
          <w:szCs w:val="32"/>
          <w:lang w:eastAsia="zh-CN"/>
        </w:rPr>
        <w:t>中华人民共和国民法典</w:t>
      </w:r>
      <w:r>
        <w:rPr>
          <w:rFonts w:hint="eastAsia" w:ascii="仿宋_GB2312" w:hAnsi="仿宋_GB2312" w:eastAsia="仿宋_GB2312" w:cs="仿宋_GB2312"/>
          <w:color w:val="000000"/>
          <w:sz w:val="32"/>
          <w:szCs w:val="32"/>
        </w:rPr>
        <w:t>》等有关法律法规，双方在平等自愿的基础上，经过充分协商达成如下协议并共同遵守：</w:t>
      </w:r>
    </w:p>
    <w:p w14:paraId="3ED1DF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一、适用对象和范围</w:t>
      </w:r>
    </w:p>
    <w:p w14:paraId="5CD75AC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甲方与一切具备国家法律法规规定的符合安全生产条件并具有独立承担民事责任资格的单位签订相应</w:t>
      </w:r>
      <w:r>
        <w:rPr>
          <w:rFonts w:hint="eastAsia" w:ascii="仿宋_GB2312" w:hAnsi="仿宋_GB2312" w:eastAsia="仿宋_GB2312" w:cs="仿宋_GB2312"/>
          <w:sz w:val="32"/>
          <w:szCs w:val="32"/>
        </w:rPr>
        <w:t>土建</w:t>
      </w:r>
      <w:r>
        <w:rPr>
          <w:rFonts w:hint="eastAsia" w:ascii="仿宋_GB2312" w:hAnsi="仿宋_GB2312" w:eastAsia="仿宋_GB2312" w:cs="仿宋_GB2312"/>
          <w:color w:val="000000"/>
          <w:sz w:val="32"/>
          <w:szCs w:val="32"/>
        </w:rPr>
        <w:t>施工、机械设备检修、工程安装</w:t>
      </w:r>
      <w:r>
        <w:rPr>
          <w:rFonts w:hint="eastAsia" w:ascii="仿宋_GB2312" w:hAnsi="仿宋_GB2312" w:eastAsia="仿宋_GB2312" w:cs="仿宋_GB2312"/>
          <w:color w:val="000000"/>
          <w:sz w:val="32"/>
          <w:szCs w:val="32"/>
          <w:lang w:eastAsia="zh-CN"/>
        </w:rPr>
        <w:t>及其他</w:t>
      </w:r>
      <w:r>
        <w:rPr>
          <w:rFonts w:hint="eastAsia" w:ascii="仿宋_GB2312" w:hAnsi="仿宋_GB2312" w:eastAsia="仿宋_GB2312" w:cs="仿宋_GB2312"/>
          <w:color w:val="000000"/>
          <w:sz w:val="32"/>
          <w:szCs w:val="32"/>
        </w:rPr>
        <w:t>劳务合同，合同签订后乙方可在甲方生产经营区域内从事相关</w:t>
      </w:r>
      <w:r>
        <w:rPr>
          <w:rFonts w:hint="eastAsia" w:ascii="仿宋_GB2312" w:hAnsi="仿宋_GB2312" w:eastAsia="仿宋_GB2312" w:cs="仿宋_GB2312"/>
          <w:sz w:val="32"/>
          <w:szCs w:val="32"/>
        </w:rPr>
        <w:t>土建</w:t>
      </w:r>
      <w:r>
        <w:rPr>
          <w:rFonts w:hint="eastAsia" w:ascii="仿宋_GB2312" w:hAnsi="仿宋_GB2312" w:eastAsia="仿宋_GB2312" w:cs="仿宋_GB2312"/>
          <w:color w:val="000000"/>
          <w:sz w:val="32"/>
          <w:szCs w:val="32"/>
        </w:rPr>
        <w:t>施工、机械设备检修、工程安装</w:t>
      </w:r>
      <w:r>
        <w:rPr>
          <w:rFonts w:hint="eastAsia" w:ascii="仿宋_GB2312" w:hAnsi="仿宋_GB2312" w:eastAsia="仿宋_GB2312" w:cs="仿宋_GB2312"/>
          <w:color w:val="000000"/>
          <w:sz w:val="32"/>
          <w:szCs w:val="32"/>
          <w:lang w:eastAsia="zh-CN"/>
        </w:rPr>
        <w:t>及其他有关</w:t>
      </w:r>
      <w:r>
        <w:rPr>
          <w:rFonts w:hint="eastAsia" w:ascii="仿宋_GB2312" w:hAnsi="仿宋_GB2312" w:eastAsia="仿宋_GB2312" w:cs="仿宋_GB2312"/>
          <w:color w:val="000000"/>
          <w:sz w:val="32"/>
          <w:szCs w:val="32"/>
        </w:rPr>
        <w:t>劳务活动。</w:t>
      </w:r>
    </w:p>
    <w:p w14:paraId="2E41C3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合同期内甲、乙双方应当依据本协议约定，享有各自权利、承担各自义务。</w:t>
      </w:r>
    </w:p>
    <w:p w14:paraId="45BEDA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二、双方应当遵循的基本原则</w:t>
      </w:r>
    </w:p>
    <w:p w14:paraId="51CBD7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双方安全生产监督管理人员应当坚持原则、忠于职守，严格</w:t>
      </w:r>
      <w:r>
        <w:rPr>
          <w:rFonts w:hint="eastAsia" w:ascii="仿宋_GB2312" w:hAnsi="仿宋_GB2312" w:eastAsia="仿宋_GB2312" w:cs="仿宋_GB2312"/>
          <w:color w:val="000000"/>
          <w:sz w:val="32"/>
          <w:szCs w:val="32"/>
          <w:lang w:eastAsia="zh-CN"/>
        </w:rPr>
        <w:t>按照</w:t>
      </w:r>
      <w:r>
        <w:rPr>
          <w:rFonts w:hint="eastAsia" w:ascii="仿宋_GB2312" w:hAnsi="仿宋_GB2312" w:eastAsia="仿宋_GB2312" w:cs="仿宋_GB2312"/>
          <w:color w:val="000000"/>
          <w:sz w:val="32"/>
          <w:szCs w:val="32"/>
        </w:rPr>
        <w:t>本协议的约定履行各自的权利、义务。</w:t>
      </w:r>
    </w:p>
    <w:p w14:paraId="0E6569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双方应相互配合，支持安检工作的检查和落实。乙方不得拒绝、</w:t>
      </w:r>
      <w:r>
        <w:rPr>
          <w:rFonts w:hint="eastAsia" w:ascii="仿宋_GB2312" w:hAnsi="仿宋_GB2312" w:eastAsia="仿宋_GB2312" w:cs="仿宋_GB2312"/>
          <w:color w:val="000000"/>
          <w:sz w:val="32"/>
          <w:szCs w:val="32"/>
          <w:highlight w:val="none"/>
        </w:rPr>
        <w:t>阻扰</w:t>
      </w:r>
      <w:r>
        <w:rPr>
          <w:rFonts w:hint="eastAsia" w:ascii="仿宋_GB2312" w:hAnsi="仿宋_GB2312" w:eastAsia="仿宋_GB2312" w:cs="仿宋_GB2312"/>
          <w:color w:val="000000"/>
          <w:sz w:val="32"/>
          <w:szCs w:val="32"/>
        </w:rPr>
        <w:t>甲方安全监督检查工作。</w:t>
      </w:r>
    </w:p>
    <w:p w14:paraId="437A496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乙方应牢固树立“安全第一”的指导思想，建立健全各项安全管理规章制度，制订并落实各项安全防护措施。</w:t>
      </w:r>
    </w:p>
    <w:p w14:paraId="6C8ACFE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双方必须严守技术秘密和业务秘密。</w:t>
      </w:r>
    </w:p>
    <w:p w14:paraId="7DE53EE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三、甲方的权利、义务</w:t>
      </w:r>
    </w:p>
    <w:p w14:paraId="47B012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乙方人员首次进入甲方现场开展劳务（含</w:t>
      </w:r>
      <w:r>
        <w:rPr>
          <w:rFonts w:hint="eastAsia" w:ascii="仿宋_GB2312" w:hAnsi="仿宋_GB2312" w:eastAsia="仿宋_GB2312" w:cs="仿宋_GB2312"/>
          <w:sz w:val="32"/>
          <w:szCs w:val="32"/>
        </w:rPr>
        <w:t>土建</w:t>
      </w:r>
      <w:r>
        <w:rPr>
          <w:rFonts w:hint="eastAsia" w:ascii="仿宋_GB2312" w:hAnsi="仿宋_GB2312" w:eastAsia="仿宋_GB2312" w:cs="仿宋_GB2312"/>
          <w:color w:val="000000"/>
          <w:sz w:val="32"/>
          <w:szCs w:val="32"/>
        </w:rPr>
        <w:t>施工、机械设备检修、工程安装等）之前，甲方应以书面或口头形式告知乙方本单位相关安全管理制度或规定。</w:t>
      </w:r>
    </w:p>
    <w:p w14:paraId="7CDF8A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甲方项目管理部门和安全监督管理部门为本协议甲方安全生产责任的职能管理部门，负责对乙方施工、检修、劳务等作业过程中的安全管理工作进行监督检查。</w:t>
      </w:r>
    </w:p>
    <w:p w14:paraId="7F22487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甲方针对乙方行为所作出的安全检查，须有书面记录，且须将检查情况向乙方通报。</w:t>
      </w:r>
    </w:p>
    <w:p w14:paraId="0E72F7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甲方项目管理部门和安全监督管理部门对乙方进行安全检查时，有权向乙方询问有关安全措施落实情况，调阅有关安全措施资料，指导或提出安检意见和建议。</w:t>
      </w:r>
    </w:p>
    <w:p w14:paraId="086BB5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甲方对乙方工作中存在的重大安全隐患，有权责令乙方立即整改、排除。否则有权单方终止与乙方之间的相关经济业务合同的履行。</w:t>
      </w:r>
    </w:p>
    <w:p w14:paraId="51AF3B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甲方负责向乙方提供符合安全、健康要求的工作环境。</w:t>
      </w:r>
    </w:p>
    <w:p w14:paraId="1EFA9A6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确定乙方进行具体安检工作的机构和责任人，建立完备、规范的安检记录档案，对从事高危行业工作的人员必须审核其是否具备国家认可的相关资质。</w:t>
      </w:r>
    </w:p>
    <w:p w14:paraId="6482E3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黑体" w:hAnsi="黑体" w:eastAsia="黑体" w:cs="黑体"/>
          <w:color w:val="000000"/>
          <w:sz w:val="32"/>
          <w:szCs w:val="32"/>
        </w:rPr>
        <w:t>四、乙方的权利、义务</w:t>
      </w:r>
    </w:p>
    <w:p w14:paraId="489793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未经甲方同意，乙方严禁将承包的项目（或部分项目）违法转包、分包，否则所发生安全事故，由乙方承担相应的安全责任。</w:t>
      </w:r>
    </w:p>
    <w:p w14:paraId="6B3BFA6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乙方人员应当遵守甲方规章制度，接受甲方安全检查、监督，对违反甲方有关安全管理制度及规定的行为，甲方有权责令乙方立即停止并给予考核。</w:t>
      </w:r>
    </w:p>
    <w:p w14:paraId="436EEF3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乙方应具有安全管理组织体制（对特种作业的项目乙方必须出具有效的资质证书），在甲方施工、检修、劳务等现场作业期间，乙方应指派专（兼）职安全人员，负责项目的安全、现场、消防等工作。</w:t>
      </w:r>
    </w:p>
    <w:p w14:paraId="653FDB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人员进入甲方施工（检修、劳务）现场前，必须按照甲方安全管理要求办好相关手续，接受安全教育，严禁“三无”人员进入甲方工作区域，乙方人员必须按在甲方登记备案的名册人员进入作业区域，未经甲方认可不得擅自更换，否则所发生安全事故，由乙方承担相应的安全责任。</w:t>
      </w:r>
    </w:p>
    <w:p w14:paraId="796E72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乙方各类作业人员必须具有相应的安全技术素质，特种作业人员必须持有有效的特种作业操作证方准上岗，所使用的特种作业设备必须取得有效的特种作业设备强制安全检验合格证，方准现场使用。</w:t>
      </w:r>
    </w:p>
    <w:p w14:paraId="7D4C47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乙方人员在作业期间应当接受甲方的安全监督检查，经查证发现的安全隐患，乙方必须立即采取有效措施予以整改或纠正，否则甲方有权现场勒令停工。</w:t>
      </w:r>
    </w:p>
    <w:p w14:paraId="31736E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乙方人员在甲方作业期间，必须按工种需要正确穿戴好劳保防护用品，同时应严格遵守甲方各项安全生产管理制度。</w:t>
      </w:r>
    </w:p>
    <w:p w14:paraId="01C569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管理人员在员工作业前应先熟悉现场，并对所处区域的作业环境可能存在的危险因素、预防措施给员工进行交底，加强员工的安全教育，培训同时对使用的设施设备等，负有认真检查和确认的义务，严禁设施、设备等带病作业，否则因此而产生的法律后果，由乙方承担。</w:t>
      </w:r>
    </w:p>
    <w:p w14:paraId="118C429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乙方人员在作业现场不得擅自动用或操作与本外包项目无关的甲方的机器和设备，如需动用或操作甲方的机器和设备，使用前应经甲方指定人员同意且按甲方要求及说明的方法进行使用，否则按本协议约定视为违约，承担违约金，因此酿成的后果由乙方负责。</w:t>
      </w:r>
    </w:p>
    <w:p w14:paraId="63B69C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人员凡高空作业必须有专人安全监护，不得一人操作。作业人员必须按规定穿戴好劳保防护用品，系好安全绳、安全带（高挂低用），扎好裤脚，戴好安全帽；不准穿光滑底、硬鞋底。当需要在轻型屋面工作或因作业场所环境限制无法系安全带时，乙方必须采取安全行走的技术措施，如铺设木板、跳板并加安全防护</w:t>
      </w:r>
      <w:r>
        <w:rPr>
          <w:rFonts w:hint="eastAsia" w:ascii="仿宋_GB2312" w:hAnsi="仿宋_GB2312" w:eastAsia="仿宋_GB2312" w:cs="仿宋_GB2312"/>
          <w:color w:val="000000"/>
          <w:sz w:val="32"/>
          <w:szCs w:val="32"/>
          <w:lang w:eastAsia="zh-CN"/>
        </w:rPr>
        <w:t>绳</w:t>
      </w:r>
      <w:r>
        <w:rPr>
          <w:rFonts w:hint="eastAsia" w:ascii="仿宋_GB2312" w:hAnsi="仿宋_GB2312" w:eastAsia="仿宋_GB2312" w:cs="仿宋_GB2312"/>
          <w:color w:val="000000"/>
          <w:sz w:val="32"/>
          <w:szCs w:val="32"/>
        </w:rPr>
        <w:t>等和在作业面下部增加安全防护网，严禁在没有安全技术措施的情况下冒险踩踏和作业。</w:t>
      </w:r>
    </w:p>
    <w:p w14:paraId="5B3ECC9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乙方在作业期间自备的设备必须符合安全要求，如需借用（租赁）甲方设备、工器具，应由双方协商办理租借手续，借用方应保证设备、工器具符合安全要求，租借方必须</w:t>
      </w:r>
      <w:r>
        <w:rPr>
          <w:rFonts w:hint="eastAsia" w:ascii="仿宋_GB2312" w:hAnsi="仿宋_GB2312" w:eastAsia="仿宋_GB2312" w:cs="仿宋_GB2312"/>
          <w:color w:val="000000"/>
          <w:sz w:val="32"/>
          <w:szCs w:val="32"/>
          <w:lang w:eastAsia="zh-CN"/>
        </w:rPr>
        <w:t>进行</w:t>
      </w:r>
      <w:r>
        <w:rPr>
          <w:rFonts w:hint="eastAsia" w:ascii="仿宋_GB2312" w:hAnsi="仿宋_GB2312" w:eastAsia="仿宋_GB2312" w:cs="仿宋_GB2312"/>
          <w:color w:val="000000"/>
          <w:sz w:val="32"/>
          <w:szCs w:val="32"/>
        </w:rPr>
        <w:t>验收确认并</w:t>
      </w:r>
      <w:r>
        <w:rPr>
          <w:rFonts w:hint="eastAsia" w:ascii="仿宋_GB2312" w:hAnsi="仿宋_GB2312" w:eastAsia="仿宋_GB2312" w:cs="仿宋_GB2312"/>
          <w:color w:val="000000"/>
          <w:sz w:val="32"/>
          <w:szCs w:val="32"/>
          <w:lang w:eastAsia="zh-CN"/>
        </w:rPr>
        <w:t>做好</w:t>
      </w:r>
      <w:r>
        <w:rPr>
          <w:rFonts w:hint="eastAsia" w:ascii="仿宋_GB2312" w:hAnsi="仿宋_GB2312" w:eastAsia="仿宋_GB2312" w:cs="仿宋_GB2312"/>
          <w:color w:val="000000"/>
          <w:sz w:val="32"/>
          <w:szCs w:val="32"/>
        </w:rPr>
        <w:t>书面记录，租借方一经接受使用，表示该设备（工器具）完好无安全隐患，若造成安全事故，后果由租借方负责。</w:t>
      </w:r>
    </w:p>
    <w:p w14:paraId="30AB7D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乙方作业期间的用电必须取得甲方同意，将电源接入</w:t>
      </w:r>
      <w:r>
        <w:rPr>
          <w:rFonts w:hint="eastAsia" w:ascii="仿宋_GB2312" w:hAnsi="仿宋_GB2312" w:eastAsia="仿宋_GB2312" w:cs="仿宋_GB2312"/>
          <w:color w:val="000000"/>
          <w:sz w:val="32"/>
          <w:szCs w:val="32"/>
          <w:highlight w:val="none"/>
          <w:lang w:eastAsia="zh-CN"/>
        </w:rPr>
        <w:t>其</w:t>
      </w:r>
      <w:r>
        <w:rPr>
          <w:rFonts w:hint="eastAsia" w:ascii="仿宋_GB2312" w:hAnsi="仿宋_GB2312" w:eastAsia="仿宋_GB2312" w:cs="仿宋_GB2312"/>
          <w:color w:val="000000"/>
          <w:sz w:val="32"/>
          <w:szCs w:val="32"/>
        </w:rPr>
        <w:t>作业场所的总配电箱，必须有防止影响上一级电源的过流断路保护，乙方不得私自拉接电源。</w:t>
      </w:r>
    </w:p>
    <w:p w14:paraId="72510A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在易燃、易爆、有毒有害危险区域进行施工作业，甲乙双方必须严格执行有关专业管理制度，采取有效的预防措施，并办理相关的开工或动火手续，乙方必须提前将安全预防措施报送甲方</w:t>
      </w:r>
      <w:r>
        <w:rPr>
          <w:rFonts w:hint="eastAsia" w:ascii="仿宋_GB2312" w:hAnsi="仿宋_GB2312" w:eastAsia="仿宋_GB2312" w:cs="仿宋_GB2312"/>
          <w:sz w:val="32"/>
          <w:szCs w:val="32"/>
        </w:rPr>
        <w:t>审核</w:t>
      </w:r>
      <w:r>
        <w:rPr>
          <w:rFonts w:hint="eastAsia" w:ascii="仿宋_GB2312" w:hAnsi="仿宋_GB2312" w:eastAsia="仿宋_GB2312" w:cs="仿宋_GB2312"/>
          <w:color w:val="000000"/>
          <w:sz w:val="32"/>
          <w:szCs w:val="32"/>
        </w:rPr>
        <w:t>，甲方在收到其报送资料后，应当于48小时内作出是否同意的决定。</w:t>
      </w:r>
    </w:p>
    <w:p w14:paraId="2D6CF94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在甲方范围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包括工作区域和生活区域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内工作期间，因乙方工作人员管理不当、违章指挥或违章操作等导致发生高空坠落、物体打击、机械事故、触电或由乙方工作人员自身原因造成的失火失盗、人员伤亡事故，以及刑事、治安案件和食物中毒、疫情、职业危害、交通事故等非正常死亡，由此引起的经济损失及造成的不良影响和后果依法由乙方承担。</w:t>
      </w:r>
    </w:p>
    <w:p w14:paraId="5163774E">
      <w:pPr>
        <w:spacing w:line="400" w:lineRule="exact"/>
        <w:ind w:firstLine="640" w:firstLineChars="200"/>
        <w:rPr>
          <w:rFonts w:hint="eastAsia"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15</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乙方所承包的项目：</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u w:val="single"/>
          <w:lang w:val="en-US" w:eastAsia="zh-CN"/>
        </w:rPr>
        <w:t>龙岭院区（除门诊楼外）4栋建筑房屋结构安全检测鉴定服务</w:t>
      </w:r>
    </w:p>
    <w:p w14:paraId="6F31C24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p>
    <w:p w14:paraId="73E027E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五、违约责任</w:t>
      </w:r>
    </w:p>
    <w:p w14:paraId="2464FC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本协议履行期间，若因一方违约行为导致发生安全事故，违约方除承担相应安全责任外，还需向守约方赔偿因安全事故所造成的相应的经济损失（损失包括但不</w:t>
      </w:r>
      <w:r>
        <w:rPr>
          <w:rFonts w:hint="eastAsia" w:ascii="仿宋_GB2312" w:hAnsi="仿宋_GB2312" w:eastAsia="仿宋_GB2312" w:cs="仿宋_GB2312"/>
          <w:color w:val="000000"/>
          <w:sz w:val="32"/>
          <w:szCs w:val="32"/>
          <w:lang w:eastAsia="zh-CN"/>
        </w:rPr>
        <w:t>限于</w:t>
      </w:r>
      <w:r>
        <w:rPr>
          <w:rFonts w:hint="eastAsia" w:ascii="仿宋_GB2312" w:hAnsi="仿宋_GB2312" w:eastAsia="仿宋_GB2312" w:cs="仿宋_GB2312"/>
          <w:color w:val="000000"/>
          <w:sz w:val="32"/>
          <w:szCs w:val="32"/>
        </w:rPr>
        <w:t>直接经济损失、律师费、保全费、差旅费、调查取证费等）。</w:t>
      </w:r>
    </w:p>
    <w:p w14:paraId="54EB49E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六、附则</w:t>
      </w:r>
    </w:p>
    <w:p w14:paraId="152602B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本协议与双方签订的相关业务合同具有同等法律效力。</w:t>
      </w:r>
    </w:p>
    <w:p w14:paraId="287181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本协议有效期与双方签订的相关业务合同有效期一致。</w:t>
      </w:r>
    </w:p>
    <w:p w14:paraId="77E3EF2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七、余事商办</w:t>
      </w:r>
      <w:r>
        <w:rPr>
          <w:rFonts w:hint="eastAsia" w:ascii="黑体" w:hAnsi="黑体" w:eastAsia="黑体" w:cs="黑体"/>
          <w:color w:val="000000"/>
          <w:sz w:val="32"/>
          <w:szCs w:val="32"/>
          <w:lang w:eastAsia="zh-CN"/>
        </w:rPr>
        <w:t>。</w:t>
      </w:r>
      <w:r>
        <w:rPr>
          <w:rFonts w:hint="eastAsia" w:ascii="仿宋_GB2312" w:hAnsi="仿宋_GB2312" w:eastAsia="仿宋_GB2312" w:cs="仿宋_GB2312"/>
          <w:color w:val="000000"/>
          <w:sz w:val="32"/>
          <w:szCs w:val="32"/>
        </w:rPr>
        <w:t>协议未尽事宜</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由双方另行协商处理。</w:t>
      </w:r>
    </w:p>
    <w:p w14:paraId="7ECA00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八、纠纷处理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本协议在履行过程中发生争议，由双方协商解决，协商不成可向合同履行地人民法院提起诉讼解决。</w:t>
      </w:r>
    </w:p>
    <w:p w14:paraId="332FBE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九、</w:t>
      </w:r>
      <w:r>
        <w:rPr>
          <w:rFonts w:hint="eastAsia" w:ascii="黑体" w:hAnsi="黑体" w:eastAsia="黑体" w:cs="黑体"/>
          <w:color w:val="000000"/>
          <w:sz w:val="32"/>
          <w:szCs w:val="32"/>
          <w:lang w:val="en-US" w:eastAsia="zh-CN"/>
        </w:rPr>
        <w:t>份数及生效要求</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本协议一式肆份，甲方执贰份、乙方执贰份，甲乙双方代表签字盖章后生效。</w:t>
      </w:r>
    </w:p>
    <w:p w14:paraId="26E849D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十、履行地点</w:t>
      </w:r>
      <w:r>
        <w:rPr>
          <w:rFonts w:hint="eastAsia" w:ascii="黑体" w:hAnsi="黑体" w:eastAsia="黑体" w:cs="黑体"/>
          <w:color w:val="000000"/>
          <w:sz w:val="32"/>
          <w:szCs w:val="32"/>
          <w:lang w:eastAsia="zh-CN"/>
        </w:rPr>
        <w:t>。</w:t>
      </w:r>
      <w:r>
        <w:rPr>
          <w:rFonts w:hint="eastAsia" w:ascii="仿宋_GB2312" w:hAnsi="仿宋_GB2312" w:eastAsia="仿宋_GB2312" w:cs="仿宋_GB2312"/>
          <w:color w:val="000000"/>
          <w:sz w:val="32"/>
          <w:szCs w:val="32"/>
        </w:rPr>
        <w:t>本合同履行地：甲方所在地。</w:t>
      </w:r>
    </w:p>
    <w:p w14:paraId="733483E7">
      <w:pPr>
        <w:spacing w:line="560" w:lineRule="exact"/>
        <w:jc w:val="left"/>
        <w:rPr>
          <w:rFonts w:ascii="黑体" w:hAnsi="黑体" w:eastAsia="黑体" w:cs="黑体"/>
          <w:color w:val="000000"/>
          <w:sz w:val="32"/>
          <w:szCs w:val="32"/>
        </w:rPr>
      </w:pPr>
    </w:p>
    <w:tbl>
      <w:tblPr>
        <w:tblStyle w:val="20"/>
        <w:tblpPr w:leftFromText="180" w:rightFromText="180" w:vertAnchor="text" w:horzAnchor="page" w:tblpX="790" w:tblpY="1"/>
        <w:tblOverlap w:val="never"/>
        <w:tblW w:w="106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42"/>
        <w:gridCol w:w="5116"/>
      </w:tblGrid>
      <w:tr w14:paraId="5610C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5542" w:type="dxa"/>
            <w:noWrap w:val="0"/>
            <w:vAlign w:val="top"/>
          </w:tcPr>
          <w:p w14:paraId="34D0C782">
            <w:pPr>
              <w:widowControl/>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甲方（盖章）</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深圳市龙岗区</w:t>
            </w:r>
            <w:r>
              <w:rPr>
                <w:rFonts w:hint="eastAsia" w:ascii="仿宋_GB2312" w:hAnsi="仿宋_GB2312" w:eastAsia="仿宋_GB2312" w:cs="仿宋_GB2312"/>
                <w:sz w:val="28"/>
                <w:szCs w:val="28"/>
                <w:lang w:val="en-US" w:eastAsia="zh-CN"/>
              </w:rPr>
              <w:t>第七</w:t>
            </w:r>
            <w:r>
              <w:rPr>
                <w:rFonts w:hint="eastAsia" w:ascii="仿宋_GB2312" w:hAnsi="仿宋_GB2312" w:eastAsia="仿宋_GB2312" w:cs="仿宋_GB2312"/>
                <w:sz w:val="28"/>
                <w:szCs w:val="28"/>
              </w:rPr>
              <w:t>人民医院</w:t>
            </w:r>
          </w:p>
        </w:tc>
        <w:tc>
          <w:tcPr>
            <w:tcW w:w="5116" w:type="dxa"/>
            <w:noWrap w:val="0"/>
            <w:vAlign w:val="top"/>
          </w:tcPr>
          <w:p w14:paraId="0E49ABA6">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乙方（盖章）</w:t>
            </w:r>
            <w:r>
              <w:rPr>
                <w:rFonts w:hint="eastAsia" w:ascii="仿宋_GB2312" w:hAnsi="仿宋_GB2312" w:eastAsia="仿宋_GB2312" w:cs="仿宋_GB2312"/>
                <w:sz w:val="28"/>
                <w:szCs w:val="28"/>
                <w:lang w:eastAsia="zh-CN"/>
              </w:rPr>
              <w:t>：</w:t>
            </w:r>
          </w:p>
          <w:p w14:paraId="53F2AF2B">
            <w:pPr>
              <w:widowControl/>
              <w:spacing w:line="560" w:lineRule="exact"/>
              <w:ind w:firstLine="1960" w:firstLineChars="700"/>
              <w:rPr>
                <w:rFonts w:ascii="仿宋_GB2312" w:hAnsi="仿宋_GB2312" w:eastAsia="仿宋_GB2312" w:cs="仿宋_GB2312"/>
                <w:sz w:val="28"/>
                <w:szCs w:val="28"/>
              </w:rPr>
            </w:pPr>
          </w:p>
        </w:tc>
      </w:tr>
      <w:tr w14:paraId="65D1B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5542" w:type="dxa"/>
            <w:noWrap w:val="0"/>
            <w:vAlign w:val="top"/>
          </w:tcPr>
          <w:p w14:paraId="0D2ECD29">
            <w:pPr>
              <w:widowControl/>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法人或负责人（签名）：</w:t>
            </w:r>
          </w:p>
        </w:tc>
        <w:tc>
          <w:tcPr>
            <w:tcW w:w="5116" w:type="dxa"/>
            <w:noWrap w:val="0"/>
            <w:vAlign w:val="top"/>
          </w:tcPr>
          <w:p w14:paraId="3F84D758">
            <w:pPr>
              <w:widowControl/>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法人或负责人（签名）：</w:t>
            </w:r>
          </w:p>
          <w:p w14:paraId="2AB94931">
            <w:pPr>
              <w:widowControl/>
              <w:spacing w:line="560" w:lineRule="exact"/>
              <w:rPr>
                <w:rFonts w:ascii="仿宋_GB2312" w:hAnsi="仿宋_GB2312" w:eastAsia="仿宋_GB2312" w:cs="仿宋_GB2312"/>
                <w:sz w:val="28"/>
                <w:szCs w:val="28"/>
              </w:rPr>
            </w:pPr>
          </w:p>
        </w:tc>
      </w:tr>
      <w:tr w14:paraId="62A63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5542" w:type="dxa"/>
            <w:noWrap w:val="0"/>
            <w:vAlign w:val="top"/>
          </w:tcPr>
          <w:p w14:paraId="3B2ADAA9">
            <w:pPr>
              <w:widowControl/>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管理人： </w:t>
            </w:r>
          </w:p>
        </w:tc>
        <w:tc>
          <w:tcPr>
            <w:tcW w:w="5116" w:type="dxa"/>
            <w:noWrap w:val="0"/>
            <w:vAlign w:val="top"/>
          </w:tcPr>
          <w:p w14:paraId="318A07F4">
            <w:pPr>
              <w:widowControl/>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管理人： </w:t>
            </w:r>
          </w:p>
          <w:p w14:paraId="2F958746">
            <w:pPr>
              <w:widowControl/>
              <w:spacing w:line="560" w:lineRule="exact"/>
              <w:rPr>
                <w:rFonts w:ascii="仿宋_GB2312" w:hAnsi="仿宋_GB2312" w:eastAsia="仿宋_GB2312" w:cs="仿宋_GB2312"/>
                <w:sz w:val="28"/>
                <w:szCs w:val="28"/>
              </w:rPr>
            </w:pPr>
          </w:p>
        </w:tc>
      </w:tr>
      <w:tr w14:paraId="28154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5542" w:type="dxa"/>
            <w:noWrap w:val="0"/>
            <w:vAlign w:val="top"/>
          </w:tcPr>
          <w:p w14:paraId="55AFE804">
            <w:pPr>
              <w:widowControl/>
              <w:spacing w:line="560" w:lineRule="exact"/>
              <w:ind w:firstLine="1680" w:firstLineChars="6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月   日 </w:t>
            </w:r>
          </w:p>
        </w:tc>
        <w:tc>
          <w:tcPr>
            <w:tcW w:w="5116" w:type="dxa"/>
            <w:noWrap w:val="0"/>
            <w:vAlign w:val="top"/>
          </w:tcPr>
          <w:p w14:paraId="1D21AB52">
            <w:pPr>
              <w:widowControl/>
              <w:spacing w:line="560" w:lineRule="exact"/>
              <w:ind w:firstLine="1680" w:firstLineChars="6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月   日 </w:t>
            </w:r>
          </w:p>
        </w:tc>
      </w:tr>
    </w:tbl>
    <w:p w14:paraId="370FA274">
      <w:pPr>
        <w:pStyle w:val="11"/>
        <w:keepNext w:val="0"/>
        <w:keepLines w:val="0"/>
        <w:pageBreakBefore w:val="0"/>
        <w:kinsoku/>
        <w:wordWrap/>
        <w:overflowPunct/>
        <w:topLinePunct w:val="0"/>
        <w:autoSpaceDE/>
        <w:autoSpaceDN/>
        <w:bidi w:val="0"/>
        <w:adjustRightInd/>
        <w:snapToGrid/>
        <w:spacing w:line="480" w:lineRule="exact"/>
        <w:jc w:val="both"/>
        <w:rPr>
          <w:rFonts w:hint="eastAsia" w:ascii="宋体" w:eastAsia="宋体" w:cs="宋体"/>
          <w:b/>
          <w:color w:val="auto"/>
          <w:szCs w:val="21"/>
          <w:highlight w:val="none"/>
          <w:lang w:val="en-US" w:eastAsia="zh-CN"/>
        </w:rPr>
      </w:pPr>
    </w:p>
    <w:sectPr>
      <w:headerReference r:id="rId7" w:type="default"/>
      <w:footerReference r:id="rId8" w:type="default"/>
      <w:pgSz w:w="11906" w:h="16838"/>
      <w:pgMar w:top="2098" w:right="1474" w:bottom="1984" w:left="1304" w:header="851" w:footer="1417" w:gutter="0"/>
      <w:cols w:space="0" w:num="1"/>
      <w:rtlGutter w:val="0"/>
      <w:docGrid w:type="lines" w:linePitch="3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8194A3-3AAC-4479-8F90-C1F31824E23F}"/>
  </w:font>
  <w:font w:name="黑体">
    <w:panose1 w:val="02010609060101010101"/>
    <w:charset w:val="86"/>
    <w:family w:val="auto"/>
    <w:pitch w:val="default"/>
    <w:sig w:usb0="800002BF" w:usb1="38CF7CFA" w:usb2="00000016" w:usb3="00000000" w:csb0="00040001" w:csb1="00000000"/>
    <w:embedRegular r:id="rId2" w:fontKey="{F8CE34B0-7BE4-42F7-ABCE-B15DAA07FE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444BC04-148C-4F26-9D1C-19AC1FC0CA3D}"/>
  </w:font>
  <w:font w:name="H Yb 2gj">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4" w:fontKey="{E9B0AF38-D871-4B49-8A8D-7C95127C829B}"/>
  </w:font>
  <w:font w:name="仿宋_GB2312">
    <w:panose1 w:val="02010609030101010101"/>
    <w:charset w:val="86"/>
    <w:family w:val="modern"/>
    <w:pitch w:val="default"/>
    <w:sig w:usb0="00000001" w:usb1="080E0000" w:usb2="00000000" w:usb3="00000000" w:csb0="00040000" w:csb1="00000000"/>
    <w:embedRegular r:id="rId5" w:fontKey="{2B02CEBB-8323-467D-B752-EB968B71BDC0}"/>
  </w:font>
  <w:font w:name="方正小标宋简体">
    <w:panose1 w:val="02000000000000000000"/>
    <w:charset w:val="86"/>
    <w:family w:val="auto"/>
    <w:pitch w:val="default"/>
    <w:sig w:usb0="00000001" w:usb1="08000000" w:usb2="00000000" w:usb3="00000000" w:csb0="00040000" w:csb1="00000000"/>
    <w:embedRegular r:id="rId6" w:fontKey="{165A0687-C012-479C-A5A4-0BE4FE02F0FC}"/>
  </w:font>
  <w:font w:name="楷体_GB2312">
    <w:panose1 w:val="02010609030101010101"/>
    <w:charset w:val="86"/>
    <w:family w:val="auto"/>
    <w:pitch w:val="default"/>
    <w:sig w:usb0="00000001" w:usb1="080E0000" w:usb2="00000000" w:usb3="00000000" w:csb0="00040000" w:csb1="00000000"/>
    <w:embedRegular r:id="rId7" w:fontKey="{D0E154A0-28DF-435D-BA33-F9AF24245357}"/>
  </w:font>
  <w:font w:name="Segoe UI">
    <w:panose1 w:val="020B0502040204020203"/>
    <w:charset w:val="00"/>
    <w:family w:val="auto"/>
    <w:pitch w:val="default"/>
    <w:sig w:usb0="E4002EFF" w:usb1="C000E47F" w:usb2="00000009" w:usb3="00000000" w:csb0="200001FF" w:csb1="00000000"/>
    <w:embedRegular r:id="rId8" w:fontKey="{C5328783-45E3-44D8-87F8-FA6F8BD53078}"/>
  </w:font>
  <w:font w:name="仿宋">
    <w:panose1 w:val="02010609060101010101"/>
    <w:charset w:val="86"/>
    <w:family w:val="auto"/>
    <w:pitch w:val="default"/>
    <w:sig w:usb0="800002BF" w:usb1="38CF7CFA" w:usb2="00000016" w:usb3="00000000" w:csb0="00040001" w:csb1="00000000"/>
    <w:embedRegular r:id="rId9" w:fontKey="{BA8EA964-E294-4ECE-B35F-4DFBBABC5484}"/>
  </w:font>
  <w:font w:name="Verdana">
    <w:panose1 w:val="020B0604030504040204"/>
    <w:charset w:val="00"/>
    <w:family w:val="swiss"/>
    <w:pitch w:val="default"/>
    <w:sig w:usb0="A00006FF" w:usb1="4000205B" w:usb2="00000010" w:usb3="00000000" w:csb0="2000019F" w:csb1="00000000"/>
    <w:embedRegular r:id="rId10" w:fontKey="{ED743E43-3151-419A-BF8C-0F67EF04DA70}"/>
  </w:font>
  <w:font w:name="ˎ̥">
    <w:altName w:val="Times New Roman"/>
    <w:panose1 w:val="00000000000000000000"/>
    <w:charset w:val="00"/>
    <w:family w:val="auto"/>
    <w:pitch w:val="default"/>
    <w:sig w:usb0="00000000" w:usb1="00000000" w:usb2="00000000" w:usb3="00000000" w:csb0="00040001" w:csb1="00000000"/>
    <w:embedRegular r:id="rId11" w:fontKey="{E26E516C-B01D-461F-9858-511148B8FBB0}"/>
  </w:font>
  <w:font w:name="WPSEMBED2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29028">
    <w:pPr>
      <w:pStyle w:val="1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48FF88F">
                          <w:pPr>
                            <w:pStyle w:val="14"/>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- 48 -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lDqaHRAQAApQMAAA4AAABkcnMvZTJvRG9jLnhtbK1TS27bMBDd&#10;F+gdCO5rKQ7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pQ6mh0QEAAKUDAAAOAAAAAAAAAAEAIAAAACIB&#10;AABkcnMvZTJvRG9jLnhtbFBLBQYAAAAABgAGAFkBAABlBQAAAAA=&#10;">
              <v:fill on="f" focussize="0,0"/>
              <v:stroke on="f" weight="1.25pt"/>
              <v:imagedata o:title=""/>
              <o:lock v:ext="edit" aspectratio="f"/>
              <v:textbox inset="0mm,0mm,0mm,0mm" style="mso-fit-shape-to-text:t;">
                <w:txbxContent>
                  <w:p w14:paraId="248FF88F">
                    <w:pPr>
                      <w:pStyle w:val="14"/>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- 48 -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A5F11">
    <w:pPr>
      <w:pStyle w:val="1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D9CE335">
                          <w:pPr>
                            <w:pStyle w:val="14"/>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hpgkvTAAAABQEAAA8AAAAAAAAAAQAgAAAAIgAAAGRycy9k&#10;b3ducmV2LnhtbFBLAQIUABQAAAAIAIdO4kCAW/XPzgEAAKUDAAAOAAAAAAAAAAEAIAAAACIBAABk&#10;cnMvZTJvRG9jLnhtbFBLBQYAAAAABgAGAFkBAABiBQAAAAA=&#10;">
              <v:fill on="f" focussize="0,0"/>
              <v:stroke on="f" weight="1.25pt"/>
              <v:imagedata o:title=""/>
              <o:lock v:ext="edit" aspectratio="f"/>
              <v:textbox inset="0mm,0mm,0mm,0mm" style="mso-fit-shape-to-text:t;">
                <w:txbxContent>
                  <w:p w14:paraId="1D9CE335">
                    <w:pPr>
                      <w:pStyle w:val="14"/>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B182">
    <w:pPr>
      <w:pStyle w:val="1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DC75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40DC75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D3DB4">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D879D">
    <w:pPr>
      <w:pStyle w:val="15"/>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B4F0">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B1880"/>
    <w:multiLevelType w:val="singleLevel"/>
    <w:tmpl w:val="827B1880"/>
    <w:lvl w:ilvl="0" w:tentative="0">
      <w:start w:val="2"/>
      <w:numFmt w:val="chineseCounting"/>
      <w:suff w:val="nothing"/>
      <w:lvlText w:val="%1、"/>
      <w:lvlJc w:val="left"/>
      <w:rPr>
        <w:rFonts w:hint="eastAsia"/>
      </w:rPr>
    </w:lvl>
  </w:abstractNum>
  <w:abstractNum w:abstractNumId="1">
    <w:nsid w:val="0C77917E"/>
    <w:multiLevelType w:val="singleLevel"/>
    <w:tmpl w:val="0C77917E"/>
    <w:lvl w:ilvl="0" w:tentative="0">
      <w:start w:val="4"/>
      <w:numFmt w:val="decimal"/>
      <w:lvlText w:val="%1."/>
      <w:lvlJc w:val="left"/>
      <w:pPr>
        <w:tabs>
          <w:tab w:val="left" w:pos="312"/>
        </w:tabs>
      </w:pPr>
    </w:lvl>
  </w:abstractNum>
  <w:abstractNum w:abstractNumId="2">
    <w:nsid w:val="22B7BE7E"/>
    <w:multiLevelType w:val="singleLevel"/>
    <w:tmpl w:val="22B7BE7E"/>
    <w:lvl w:ilvl="0" w:tentative="0">
      <w:start w:val="3"/>
      <w:numFmt w:val="chineseCounting"/>
      <w:suff w:val="nothing"/>
      <w:lvlText w:val="（%1）"/>
      <w:lvlJc w:val="left"/>
      <w:rPr>
        <w:rFonts w:hint="eastAsia"/>
      </w:rPr>
    </w:lvl>
  </w:abstractNum>
  <w:abstractNum w:abstractNumId="3">
    <w:nsid w:val="37C1C332"/>
    <w:multiLevelType w:val="singleLevel"/>
    <w:tmpl w:val="37C1C332"/>
    <w:lvl w:ilvl="0" w:tentative="0">
      <w:start w:val="2"/>
      <w:numFmt w:val="chineseCounting"/>
      <w:suff w:val="space"/>
      <w:lvlText w:val="第%1章"/>
      <w:lvlJc w:val="left"/>
      <w:rPr>
        <w:rFonts w:hint="eastAsia"/>
      </w:rPr>
    </w:lvl>
  </w:abstractNum>
  <w:abstractNum w:abstractNumId="4">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6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00000000"/>
    <w:rsid w:val="000273CC"/>
    <w:rsid w:val="00043144"/>
    <w:rsid w:val="000D26B7"/>
    <w:rsid w:val="01021383"/>
    <w:rsid w:val="011137C5"/>
    <w:rsid w:val="012670EA"/>
    <w:rsid w:val="013613FF"/>
    <w:rsid w:val="01BC250C"/>
    <w:rsid w:val="025F4662"/>
    <w:rsid w:val="03083097"/>
    <w:rsid w:val="03127217"/>
    <w:rsid w:val="035166A0"/>
    <w:rsid w:val="036D47D9"/>
    <w:rsid w:val="0433224A"/>
    <w:rsid w:val="049D275A"/>
    <w:rsid w:val="04F459FA"/>
    <w:rsid w:val="04F71BD7"/>
    <w:rsid w:val="05182245"/>
    <w:rsid w:val="05243941"/>
    <w:rsid w:val="055F0467"/>
    <w:rsid w:val="05A131E3"/>
    <w:rsid w:val="05FE0636"/>
    <w:rsid w:val="060F45F1"/>
    <w:rsid w:val="063D4CBA"/>
    <w:rsid w:val="06440F1E"/>
    <w:rsid w:val="067F0EA1"/>
    <w:rsid w:val="07355EF4"/>
    <w:rsid w:val="08375DC9"/>
    <w:rsid w:val="086E0768"/>
    <w:rsid w:val="08EB30F3"/>
    <w:rsid w:val="0A3E1E30"/>
    <w:rsid w:val="0A4A3E4A"/>
    <w:rsid w:val="0AE70551"/>
    <w:rsid w:val="0B026F41"/>
    <w:rsid w:val="0B837613"/>
    <w:rsid w:val="0C3C77C2"/>
    <w:rsid w:val="0C631449"/>
    <w:rsid w:val="0D1F336B"/>
    <w:rsid w:val="0DCB34F3"/>
    <w:rsid w:val="0E0A5DCA"/>
    <w:rsid w:val="0E880A30"/>
    <w:rsid w:val="0EA24254"/>
    <w:rsid w:val="0ED463D8"/>
    <w:rsid w:val="0F1F3AF7"/>
    <w:rsid w:val="0F4E7F38"/>
    <w:rsid w:val="0F5A67F4"/>
    <w:rsid w:val="0FEE1638"/>
    <w:rsid w:val="10702130"/>
    <w:rsid w:val="10D601E5"/>
    <w:rsid w:val="11072A94"/>
    <w:rsid w:val="111073FE"/>
    <w:rsid w:val="114710E3"/>
    <w:rsid w:val="115C2CF7"/>
    <w:rsid w:val="11C7149D"/>
    <w:rsid w:val="11F443AB"/>
    <w:rsid w:val="12617F82"/>
    <w:rsid w:val="128D65FD"/>
    <w:rsid w:val="129C348E"/>
    <w:rsid w:val="130A686C"/>
    <w:rsid w:val="13710699"/>
    <w:rsid w:val="137E6912"/>
    <w:rsid w:val="13CE7899"/>
    <w:rsid w:val="145853B5"/>
    <w:rsid w:val="154871D8"/>
    <w:rsid w:val="15F35EDD"/>
    <w:rsid w:val="169F1079"/>
    <w:rsid w:val="16E55626"/>
    <w:rsid w:val="17656B71"/>
    <w:rsid w:val="17BF1CFD"/>
    <w:rsid w:val="18B057C0"/>
    <w:rsid w:val="18C36BEB"/>
    <w:rsid w:val="192341E3"/>
    <w:rsid w:val="19257F5C"/>
    <w:rsid w:val="19891DC1"/>
    <w:rsid w:val="19EF5AF8"/>
    <w:rsid w:val="19F3005A"/>
    <w:rsid w:val="1A6B4094"/>
    <w:rsid w:val="1AA611B2"/>
    <w:rsid w:val="1AEC0313"/>
    <w:rsid w:val="1AF95B35"/>
    <w:rsid w:val="1B157ABC"/>
    <w:rsid w:val="1B1A1616"/>
    <w:rsid w:val="1B59309C"/>
    <w:rsid w:val="1B9F30FF"/>
    <w:rsid w:val="1BAA3FC2"/>
    <w:rsid w:val="1C000F80"/>
    <w:rsid w:val="1D3F5364"/>
    <w:rsid w:val="1D850AA2"/>
    <w:rsid w:val="1D951E9C"/>
    <w:rsid w:val="1DCA7323"/>
    <w:rsid w:val="1E197963"/>
    <w:rsid w:val="1E390005"/>
    <w:rsid w:val="1E3B56D4"/>
    <w:rsid w:val="1E693EC0"/>
    <w:rsid w:val="1F3303C2"/>
    <w:rsid w:val="1F372797"/>
    <w:rsid w:val="1F84468E"/>
    <w:rsid w:val="1F850FAE"/>
    <w:rsid w:val="1FE87F35"/>
    <w:rsid w:val="1FEE1B49"/>
    <w:rsid w:val="20E56222"/>
    <w:rsid w:val="217557F8"/>
    <w:rsid w:val="21E84823"/>
    <w:rsid w:val="22CC25C7"/>
    <w:rsid w:val="22F56BF1"/>
    <w:rsid w:val="230778FE"/>
    <w:rsid w:val="230806C2"/>
    <w:rsid w:val="23E66539"/>
    <w:rsid w:val="241C63FF"/>
    <w:rsid w:val="24762A0C"/>
    <w:rsid w:val="2492046F"/>
    <w:rsid w:val="250524F8"/>
    <w:rsid w:val="257D2ECD"/>
    <w:rsid w:val="25822292"/>
    <w:rsid w:val="258F3E5B"/>
    <w:rsid w:val="269C578A"/>
    <w:rsid w:val="26B47F5C"/>
    <w:rsid w:val="26D62895"/>
    <w:rsid w:val="2753023F"/>
    <w:rsid w:val="276441C9"/>
    <w:rsid w:val="27716A62"/>
    <w:rsid w:val="27750300"/>
    <w:rsid w:val="27952750"/>
    <w:rsid w:val="27F51441"/>
    <w:rsid w:val="28216F3C"/>
    <w:rsid w:val="28610884"/>
    <w:rsid w:val="287C746C"/>
    <w:rsid w:val="28A6273B"/>
    <w:rsid w:val="28CB21A2"/>
    <w:rsid w:val="28CD627E"/>
    <w:rsid w:val="2984039C"/>
    <w:rsid w:val="29F85218"/>
    <w:rsid w:val="2A614B6C"/>
    <w:rsid w:val="2AA131BA"/>
    <w:rsid w:val="2AAA6513"/>
    <w:rsid w:val="2AF53506"/>
    <w:rsid w:val="2B593A95"/>
    <w:rsid w:val="2B5B780D"/>
    <w:rsid w:val="2B88437A"/>
    <w:rsid w:val="2B9B40AD"/>
    <w:rsid w:val="2BDE3F9A"/>
    <w:rsid w:val="2C3D6F12"/>
    <w:rsid w:val="2C8E4B7C"/>
    <w:rsid w:val="2CF92803"/>
    <w:rsid w:val="2CFE2B46"/>
    <w:rsid w:val="2D4C45A1"/>
    <w:rsid w:val="2DD5778F"/>
    <w:rsid w:val="2E291833"/>
    <w:rsid w:val="2E6D1C25"/>
    <w:rsid w:val="2E6E5AA9"/>
    <w:rsid w:val="2E7D3F3E"/>
    <w:rsid w:val="2E943223"/>
    <w:rsid w:val="2EB536D8"/>
    <w:rsid w:val="2F3E12DE"/>
    <w:rsid w:val="2F522419"/>
    <w:rsid w:val="2F8337D6"/>
    <w:rsid w:val="2F927575"/>
    <w:rsid w:val="2FFB336C"/>
    <w:rsid w:val="302F5A11"/>
    <w:rsid w:val="30663F74"/>
    <w:rsid w:val="30CC6B49"/>
    <w:rsid w:val="30F027A5"/>
    <w:rsid w:val="31132938"/>
    <w:rsid w:val="31691F2D"/>
    <w:rsid w:val="31EE221F"/>
    <w:rsid w:val="324E1E79"/>
    <w:rsid w:val="328A2F94"/>
    <w:rsid w:val="32912E68"/>
    <w:rsid w:val="32A11A16"/>
    <w:rsid w:val="32DC7485"/>
    <w:rsid w:val="33613E2E"/>
    <w:rsid w:val="342310E4"/>
    <w:rsid w:val="350E769E"/>
    <w:rsid w:val="35205C57"/>
    <w:rsid w:val="353043A7"/>
    <w:rsid w:val="359F2181"/>
    <w:rsid w:val="35D5415D"/>
    <w:rsid w:val="369D517D"/>
    <w:rsid w:val="36DE5DD1"/>
    <w:rsid w:val="3726778C"/>
    <w:rsid w:val="37405B09"/>
    <w:rsid w:val="374E2513"/>
    <w:rsid w:val="3A075AFE"/>
    <w:rsid w:val="3A502507"/>
    <w:rsid w:val="3A804118"/>
    <w:rsid w:val="3AF3026A"/>
    <w:rsid w:val="3B0B7C37"/>
    <w:rsid w:val="3B253993"/>
    <w:rsid w:val="3BBA2C38"/>
    <w:rsid w:val="3C074E47"/>
    <w:rsid w:val="3C1A001F"/>
    <w:rsid w:val="3C2B43F0"/>
    <w:rsid w:val="3C641CA7"/>
    <w:rsid w:val="3CA64AA0"/>
    <w:rsid w:val="3D000214"/>
    <w:rsid w:val="3D106B23"/>
    <w:rsid w:val="3D5F5CEB"/>
    <w:rsid w:val="3E3C34CE"/>
    <w:rsid w:val="3EC07C8A"/>
    <w:rsid w:val="3EC86B10"/>
    <w:rsid w:val="3F245438"/>
    <w:rsid w:val="3F4C7741"/>
    <w:rsid w:val="41054FBE"/>
    <w:rsid w:val="41082B51"/>
    <w:rsid w:val="4157061F"/>
    <w:rsid w:val="415B2A37"/>
    <w:rsid w:val="4173542A"/>
    <w:rsid w:val="42176969"/>
    <w:rsid w:val="42862F6A"/>
    <w:rsid w:val="42BC4BDD"/>
    <w:rsid w:val="42FD131E"/>
    <w:rsid w:val="43790D20"/>
    <w:rsid w:val="438D20D6"/>
    <w:rsid w:val="43BD0C0D"/>
    <w:rsid w:val="43D16DFB"/>
    <w:rsid w:val="441133CA"/>
    <w:rsid w:val="44150A49"/>
    <w:rsid w:val="44634DEC"/>
    <w:rsid w:val="44A92F3F"/>
    <w:rsid w:val="44AB4F09"/>
    <w:rsid w:val="4510737E"/>
    <w:rsid w:val="45967F9C"/>
    <w:rsid w:val="45EE77A4"/>
    <w:rsid w:val="461B1C1B"/>
    <w:rsid w:val="467F03FC"/>
    <w:rsid w:val="46C200B8"/>
    <w:rsid w:val="478832E0"/>
    <w:rsid w:val="47F37767"/>
    <w:rsid w:val="48C60B5F"/>
    <w:rsid w:val="4971555C"/>
    <w:rsid w:val="49925A7D"/>
    <w:rsid w:val="4A0A0C77"/>
    <w:rsid w:val="4A233794"/>
    <w:rsid w:val="4A2A5330"/>
    <w:rsid w:val="4A431964"/>
    <w:rsid w:val="4A6F4C2B"/>
    <w:rsid w:val="4A800BE6"/>
    <w:rsid w:val="4A951D4C"/>
    <w:rsid w:val="4B2B4033"/>
    <w:rsid w:val="4B7778F3"/>
    <w:rsid w:val="4BB60892"/>
    <w:rsid w:val="4BF03B4A"/>
    <w:rsid w:val="4C062E76"/>
    <w:rsid w:val="4C934C01"/>
    <w:rsid w:val="4CA54934"/>
    <w:rsid w:val="4CA74208"/>
    <w:rsid w:val="4CD00139"/>
    <w:rsid w:val="4CE90CC5"/>
    <w:rsid w:val="4D221AE1"/>
    <w:rsid w:val="4D246133"/>
    <w:rsid w:val="4DC1731C"/>
    <w:rsid w:val="4EB96475"/>
    <w:rsid w:val="4EC2357B"/>
    <w:rsid w:val="4ED432AF"/>
    <w:rsid w:val="4EFB6DE2"/>
    <w:rsid w:val="4F950C90"/>
    <w:rsid w:val="4FBF5D0D"/>
    <w:rsid w:val="4FD01CC8"/>
    <w:rsid w:val="50060682"/>
    <w:rsid w:val="50767D8A"/>
    <w:rsid w:val="50AA47D9"/>
    <w:rsid w:val="50C7131D"/>
    <w:rsid w:val="50D15CF8"/>
    <w:rsid w:val="51857D38"/>
    <w:rsid w:val="51B82A14"/>
    <w:rsid w:val="52173BDE"/>
    <w:rsid w:val="52BA7FE0"/>
    <w:rsid w:val="52C045C2"/>
    <w:rsid w:val="53C102A5"/>
    <w:rsid w:val="53EE45A5"/>
    <w:rsid w:val="54640C31"/>
    <w:rsid w:val="548D7284"/>
    <w:rsid w:val="54911254"/>
    <w:rsid w:val="5495703C"/>
    <w:rsid w:val="550C7ACC"/>
    <w:rsid w:val="55B13259"/>
    <w:rsid w:val="567D422C"/>
    <w:rsid w:val="571050A0"/>
    <w:rsid w:val="57546DC1"/>
    <w:rsid w:val="57600001"/>
    <w:rsid w:val="57C136CD"/>
    <w:rsid w:val="58466FCB"/>
    <w:rsid w:val="585963C3"/>
    <w:rsid w:val="58A528D5"/>
    <w:rsid w:val="596A0A97"/>
    <w:rsid w:val="598002BB"/>
    <w:rsid w:val="59CC1752"/>
    <w:rsid w:val="59CF1242"/>
    <w:rsid w:val="59EC0C94"/>
    <w:rsid w:val="59F12F67"/>
    <w:rsid w:val="59F26F59"/>
    <w:rsid w:val="5A2109E1"/>
    <w:rsid w:val="5B0B2544"/>
    <w:rsid w:val="5B7253B2"/>
    <w:rsid w:val="5B751975"/>
    <w:rsid w:val="5BC806C1"/>
    <w:rsid w:val="5BEB1E5A"/>
    <w:rsid w:val="5BEB56DE"/>
    <w:rsid w:val="5C435F5A"/>
    <w:rsid w:val="5C7165E1"/>
    <w:rsid w:val="5D1B4B7A"/>
    <w:rsid w:val="5D514C25"/>
    <w:rsid w:val="5DA86747"/>
    <w:rsid w:val="5E1A6CE7"/>
    <w:rsid w:val="5E2B3491"/>
    <w:rsid w:val="5F0E7E34"/>
    <w:rsid w:val="5F132D8C"/>
    <w:rsid w:val="5F182D44"/>
    <w:rsid w:val="5F2D4A41"/>
    <w:rsid w:val="5F7A57AC"/>
    <w:rsid w:val="5FBE3555"/>
    <w:rsid w:val="6028345A"/>
    <w:rsid w:val="60407D8C"/>
    <w:rsid w:val="606020F0"/>
    <w:rsid w:val="60AE5783"/>
    <w:rsid w:val="60E56871"/>
    <w:rsid w:val="61296C23"/>
    <w:rsid w:val="6175447D"/>
    <w:rsid w:val="61D30A56"/>
    <w:rsid w:val="62B60044"/>
    <w:rsid w:val="62E80C7F"/>
    <w:rsid w:val="63280D60"/>
    <w:rsid w:val="6387310C"/>
    <w:rsid w:val="63C811DC"/>
    <w:rsid w:val="63E7103C"/>
    <w:rsid w:val="63F01D9B"/>
    <w:rsid w:val="645A5BAC"/>
    <w:rsid w:val="64914D1F"/>
    <w:rsid w:val="64FD4FB2"/>
    <w:rsid w:val="65017861"/>
    <w:rsid w:val="650E70C3"/>
    <w:rsid w:val="6562740E"/>
    <w:rsid w:val="65D81104"/>
    <w:rsid w:val="660B7819"/>
    <w:rsid w:val="66171FA7"/>
    <w:rsid w:val="661F2C0A"/>
    <w:rsid w:val="667B0788"/>
    <w:rsid w:val="66B34245"/>
    <w:rsid w:val="66C13CC1"/>
    <w:rsid w:val="67392D70"/>
    <w:rsid w:val="67877971"/>
    <w:rsid w:val="67913794"/>
    <w:rsid w:val="679E072B"/>
    <w:rsid w:val="67C40EBB"/>
    <w:rsid w:val="67CD5355"/>
    <w:rsid w:val="68541290"/>
    <w:rsid w:val="686D2352"/>
    <w:rsid w:val="68B74A09"/>
    <w:rsid w:val="68EA39A3"/>
    <w:rsid w:val="68F309CB"/>
    <w:rsid w:val="695E0300"/>
    <w:rsid w:val="698E432E"/>
    <w:rsid w:val="699F1794"/>
    <w:rsid w:val="6A31115D"/>
    <w:rsid w:val="6A59526A"/>
    <w:rsid w:val="6AE52674"/>
    <w:rsid w:val="6BA42C8E"/>
    <w:rsid w:val="6C940230"/>
    <w:rsid w:val="6C9A0567"/>
    <w:rsid w:val="6D165BE9"/>
    <w:rsid w:val="6D8A7502"/>
    <w:rsid w:val="6D8F4B19"/>
    <w:rsid w:val="6DD34202"/>
    <w:rsid w:val="6E1E2833"/>
    <w:rsid w:val="6E341EFF"/>
    <w:rsid w:val="6E3D27C7"/>
    <w:rsid w:val="6E865F1C"/>
    <w:rsid w:val="6EA91C0A"/>
    <w:rsid w:val="6F524050"/>
    <w:rsid w:val="6F5A2F04"/>
    <w:rsid w:val="6F8D5088"/>
    <w:rsid w:val="6FCA62DC"/>
    <w:rsid w:val="70DF2FD7"/>
    <w:rsid w:val="7145465B"/>
    <w:rsid w:val="71522AC9"/>
    <w:rsid w:val="71FC02A3"/>
    <w:rsid w:val="72943F28"/>
    <w:rsid w:val="729F135A"/>
    <w:rsid w:val="730D7B4F"/>
    <w:rsid w:val="73D2575F"/>
    <w:rsid w:val="73FD4B26"/>
    <w:rsid w:val="7546441A"/>
    <w:rsid w:val="759552F3"/>
    <w:rsid w:val="75F145C2"/>
    <w:rsid w:val="760065B4"/>
    <w:rsid w:val="769907B6"/>
    <w:rsid w:val="76E97048"/>
    <w:rsid w:val="771263E5"/>
    <w:rsid w:val="771852A8"/>
    <w:rsid w:val="773651D5"/>
    <w:rsid w:val="776112D4"/>
    <w:rsid w:val="778D031B"/>
    <w:rsid w:val="77972419"/>
    <w:rsid w:val="77E912C9"/>
    <w:rsid w:val="786C6182"/>
    <w:rsid w:val="78E350FE"/>
    <w:rsid w:val="792702FB"/>
    <w:rsid w:val="79A9552B"/>
    <w:rsid w:val="79C505D8"/>
    <w:rsid w:val="7A3A41A1"/>
    <w:rsid w:val="7AEA338E"/>
    <w:rsid w:val="7B4118B2"/>
    <w:rsid w:val="7B5B603A"/>
    <w:rsid w:val="7BDF4EBD"/>
    <w:rsid w:val="7C9C1996"/>
    <w:rsid w:val="7CF077D4"/>
    <w:rsid w:val="7D200C7E"/>
    <w:rsid w:val="7D733B0F"/>
    <w:rsid w:val="7DA168CE"/>
    <w:rsid w:val="7DC13ACC"/>
    <w:rsid w:val="7DDA0140"/>
    <w:rsid w:val="7E576F8D"/>
    <w:rsid w:val="7EB50157"/>
    <w:rsid w:val="7F511C2E"/>
    <w:rsid w:val="7F5C0EA0"/>
    <w:rsid w:val="7FB81CAD"/>
    <w:rsid w:val="7FE5528A"/>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outlineLvl w:val="1"/>
    </w:pPr>
    <w:rPr>
      <w:sz w:val="36"/>
      <w:szCs w:val="36"/>
    </w:rPr>
  </w:style>
  <w:style w:type="paragraph" w:styleId="4">
    <w:name w:val="heading 3"/>
    <w:basedOn w:val="1"/>
    <w:next w:val="1"/>
    <w:autoRedefine/>
    <w:qFormat/>
    <w:uiPriority w:val="0"/>
    <w:pPr>
      <w:spacing w:before="260" w:after="260"/>
      <w:outlineLvl w:val="2"/>
    </w:pPr>
    <w:rPr>
      <w:rFonts w:ascii="宋体"/>
      <w:szCs w:val="32"/>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5">
    <w:name w:val="index 8"/>
    <w:basedOn w:val="1"/>
    <w:next w:val="1"/>
    <w:autoRedefine/>
    <w:qFormat/>
    <w:uiPriority w:val="0"/>
    <w:pPr>
      <w:ind w:left="2940"/>
    </w:pPr>
  </w:style>
  <w:style w:type="paragraph" w:styleId="6">
    <w:name w:val="Normal Indent"/>
    <w:basedOn w:val="1"/>
    <w:autoRedefine/>
    <w:qFormat/>
    <w:uiPriority w:val="0"/>
    <w:pPr>
      <w:ind w:firstLine="420"/>
    </w:pPr>
    <w:rPr>
      <w:szCs w:val="20"/>
    </w:rPr>
  </w:style>
  <w:style w:type="paragraph" w:styleId="7">
    <w:name w:val="annotation text"/>
    <w:basedOn w:val="1"/>
    <w:autoRedefine/>
    <w:qFormat/>
    <w:uiPriority w:val="99"/>
    <w:pPr>
      <w:jc w:val="left"/>
    </w:pPr>
  </w:style>
  <w:style w:type="paragraph" w:styleId="8">
    <w:name w:val="Body Text"/>
    <w:basedOn w:val="1"/>
    <w:next w:val="9"/>
    <w:autoRedefine/>
    <w:qFormat/>
    <w:uiPriority w:val="0"/>
    <w:pPr>
      <w:autoSpaceDE w:val="0"/>
      <w:autoSpaceDN w:val="0"/>
      <w:jc w:val="left"/>
    </w:pPr>
    <w:rPr>
      <w:rFonts w:ascii="宋体" w:hAnsi="宋体"/>
      <w:kern w:val="0"/>
      <w:sz w:val="32"/>
      <w:szCs w:val="32"/>
    </w:rPr>
  </w:style>
  <w:style w:type="paragraph" w:styleId="9">
    <w:name w:val="Body Text 2"/>
    <w:basedOn w:val="1"/>
    <w:autoRedefine/>
    <w:qFormat/>
    <w:uiPriority w:val="0"/>
    <w:pPr>
      <w:spacing w:line="360" w:lineRule="auto"/>
    </w:pPr>
    <w:rPr>
      <w:sz w:val="24"/>
    </w:rPr>
  </w:style>
  <w:style w:type="paragraph" w:styleId="10">
    <w:name w:val="Body Text Indent"/>
    <w:basedOn w:val="1"/>
    <w:autoRedefine/>
    <w:qFormat/>
    <w:uiPriority w:val="0"/>
    <w:pPr>
      <w:spacing w:line="360" w:lineRule="auto"/>
      <w:ind w:firstLine="420" w:firstLineChars="200"/>
    </w:pPr>
    <w:rPr>
      <w:kern w:val="0"/>
      <w:sz w:val="20"/>
      <w:szCs w:val="24"/>
    </w:rPr>
  </w:style>
  <w:style w:type="paragraph" w:styleId="11">
    <w:name w:val="Plain Text"/>
    <w:basedOn w:val="1"/>
    <w:next w:val="12"/>
    <w:autoRedefine/>
    <w:qFormat/>
    <w:uiPriority w:val="0"/>
    <w:rPr>
      <w:rFonts w:hint="eastAsia" w:ascii="宋体" w:hAnsi="Courier New"/>
      <w:kern w:val="0"/>
      <w:sz w:val="20"/>
      <w:szCs w:val="21"/>
    </w:rPr>
  </w:style>
  <w:style w:type="paragraph" w:customStyle="1" w:styleId="12">
    <w:name w:val="Default"/>
    <w:autoRedefine/>
    <w:qFormat/>
    <w:uiPriority w:val="0"/>
    <w:pPr>
      <w:widowControl w:val="0"/>
      <w:autoSpaceDE w:val="0"/>
      <w:autoSpaceDN w:val="0"/>
      <w:adjustRightInd w:val="0"/>
    </w:pPr>
    <w:rPr>
      <w:rFonts w:ascii="H Yb 2gj" w:hAnsi="H Yb 2gj" w:eastAsia="H Yb 2gj" w:cs="H Yb 2gj"/>
      <w:color w:val="000000"/>
      <w:sz w:val="24"/>
      <w:szCs w:val="24"/>
      <w:lang w:val="en-US" w:eastAsia="zh-CN" w:bidi="ar-SA"/>
    </w:rPr>
  </w:style>
  <w:style w:type="paragraph" w:styleId="13">
    <w:name w:val="Balloon Text"/>
    <w:basedOn w:val="1"/>
    <w:autoRedefine/>
    <w:qFormat/>
    <w:uiPriority w:val="0"/>
    <w:rPr>
      <w:rFonts w:ascii="Calibri" w:hAnsi="Calibri"/>
      <w:sz w:val="18"/>
      <w:szCs w:val="1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Normal (Web)"/>
    <w:basedOn w:val="1"/>
    <w:autoRedefine/>
    <w:qFormat/>
    <w:uiPriority w:val="0"/>
    <w:pPr>
      <w:spacing w:beforeAutospacing="1" w:afterAutospacing="1"/>
      <w:jc w:val="left"/>
    </w:pPr>
    <w:rPr>
      <w:kern w:val="0"/>
      <w:sz w:val="24"/>
    </w:rPr>
  </w:style>
  <w:style w:type="paragraph" w:styleId="18">
    <w:name w:val="Body Text First Indent 2"/>
    <w:basedOn w:val="10"/>
    <w:autoRedefine/>
    <w:qFormat/>
    <w:uiPriority w:val="0"/>
    <w:pPr>
      <w:spacing w:after="120" w:line="240" w:lineRule="auto"/>
      <w:ind w:left="420" w:leftChars="200"/>
    </w:pPr>
    <w:rPr>
      <w:rFonts w:ascii="Calibri" w:hAnsi="Calibri"/>
      <w:kern w:val="2"/>
      <w:sz w:val="21"/>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page number"/>
    <w:autoRedefine/>
    <w:qFormat/>
    <w:uiPriority w:val="0"/>
  </w:style>
  <w:style w:type="character" w:styleId="24">
    <w:name w:val="Hyperlink"/>
    <w:basedOn w:val="21"/>
    <w:autoRedefine/>
    <w:qFormat/>
    <w:uiPriority w:val="0"/>
    <w:rPr>
      <w:color w:val="0000FF"/>
      <w:u w:val="single"/>
    </w:rPr>
  </w:style>
  <w:style w:type="paragraph" w:styleId="25">
    <w:name w:val="No Spacing"/>
    <w:basedOn w:val="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p0"/>
    <w:basedOn w:val="1"/>
    <w:autoRedefine/>
    <w:qFormat/>
    <w:uiPriority w:val="0"/>
    <w:pPr>
      <w:widowControl/>
    </w:pPr>
    <w:rPr>
      <w:kern w:val="0"/>
      <w:szCs w:val="21"/>
    </w:rPr>
  </w:style>
  <w:style w:type="paragraph" w:customStyle="1" w:styleId="27">
    <w:name w:val="表格文字"/>
    <w:basedOn w:val="1"/>
    <w:autoRedefine/>
    <w:qFormat/>
    <w:uiPriority w:val="0"/>
    <w:pPr>
      <w:spacing w:before="25" w:after="25"/>
    </w:pPr>
    <w:rPr>
      <w:spacing w:val="10"/>
      <w:sz w:val="24"/>
    </w:rPr>
  </w:style>
  <w:style w:type="paragraph" w:customStyle="1" w:styleId="28">
    <w:name w:val="列出段落111"/>
    <w:basedOn w:val="1"/>
    <w:autoRedefine/>
    <w:qFormat/>
    <w:uiPriority w:val="0"/>
    <w:pPr>
      <w:ind w:firstLine="420" w:firstLineChars="200"/>
    </w:pPr>
  </w:style>
  <w:style w:type="paragraph" w:customStyle="1" w:styleId="29">
    <w:name w:val="保留正文"/>
    <w:basedOn w:val="8"/>
    <w:autoRedefine/>
    <w:qFormat/>
    <w:uiPriority w:val="0"/>
    <w:pPr>
      <w:keepNext/>
      <w:tabs>
        <w:tab w:val="left" w:pos="562"/>
        <w:tab w:val="left" w:pos="3372"/>
        <w:tab w:val="left" w:pos="3653"/>
      </w:tabs>
      <w:spacing w:after="160"/>
    </w:pPr>
    <w:rPr>
      <w:sz w:val="21"/>
    </w:rPr>
  </w:style>
  <w:style w:type="character" w:customStyle="1" w:styleId="30">
    <w:name w:val="font31"/>
    <w:basedOn w:val="21"/>
    <w:autoRedefine/>
    <w:qFormat/>
    <w:uiPriority w:val="0"/>
    <w:rPr>
      <w:rFonts w:hint="eastAsia" w:ascii="宋体" w:hAnsi="宋体" w:eastAsia="宋体" w:cs="宋体"/>
      <w:color w:val="000000"/>
      <w:sz w:val="24"/>
      <w:szCs w:val="24"/>
      <w:u w:val="none"/>
    </w:rPr>
  </w:style>
  <w:style w:type="paragraph" w:customStyle="1" w:styleId="31">
    <w:name w:val="列出段落1"/>
    <w:basedOn w:val="1"/>
    <w:autoRedefine/>
    <w:qFormat/>
    <w:uiPriority w:val="34"/>
    <w:pPr>
      <w:ind w:firstLine="420" w:firstLineChars="200"/>
    </w:pPr>
  </w:style>
  <w:style w:type="paragraph" w:customStyle="1" w:styleId="32">
    <w:name w:val="_Style 1"/>
    <w:basedOn w:val="1"/>
    <w:next w:val="1"/>
    <w:autoRedefine/>
    <w:qFormat/>
    <w:uiPriority w:val="99"/>
    <w:pPr>
      <w:ind w:firstLine="420" w:firstLineChars="200"/>
    </w:pPr>
  </w:style>
  <w:style w:type="paragraph" w:customStyle="1" w:styleId="33">
    <w:name w:val="表格小五F4"/>
    <w:basedOn w:val="34"/>
    <w:autoRedefine/>
    <w:qFormat/>
    <w:uiPriority w:val="0"/>
    <w:rPr>
      <w:sz w:val="18"/>
    </w:rPr>
  </w:style>
  <w:style w:type="paragraph" w:customStyle="1" w:styleId="34">
    <w:name w:val="表格F2"/>
    <w:autoRedefine/>
    <w:qFormat/>
    <w:uiPriority w:val="0"/>
    <w:pPr>
      <w:jc w:val="center"/>
    </w:pPr>
    <w:rPr>
      <w:rFonts w:ascii="Times New Roman" w:hAnsi="Times New Roman" w:eastAsia="楷体" w:cs="Times New Roman"/>
      <w:sz w:val="24"/>
      <w:szCs w:val="22"/>
      <w:lang w:val="en-US" w:eastAsia="zh-CN" w:bidi="ar-SA"/>
    </w:rPr>
  </w:style>
  <w:style w:type="paragraph" w:customStyle="1" w:styleId="35">
    <w:name w:val="样式 首行缩进:  2 字符"/>
    <w:autoRedefine/>
    <w:qFormat/>
    <w:uiPriority w:val="0"/>
    <w:pPr>
      <w:widowControl w:val="0"/>
      <w:spacing w:before="120" w:after="120" w:line="360" w:lineRule="auto"/>
      <w:ind w:firstLine="582" w:firstLineChars="200"/>
      <w:jc w:val="both"/>
    </w:pPr>
    <w:rPr>
      <w:rFonts w:ascii="Times New Roman" w:hAnsi="Times New Roman" w:eastAsia="仿宋_GB2312" w:cs="宋体"/>
      <w:kern w:val="10"/>
      <w:sz w:val="28"/>
      <w:szCs w:val="28"/>
      <w:lang w:val="en-US" w:eastAsia="zh-CN" w:bidi="ar-SA"/>
    </w:rPr>
  </w:style>
  <w:style w:type="paragraph" w:customStyle="1" w:styleId="36">
    <w:name w:val="列表段落1"/>
    <w:basedOn w:val="1"/>
    <w:autoRedefine/>
    <w:qFormat/>
    <w:uiPriority w:val="0"/>
    <w:pPr>
      <w:ind w:firstLine="420" w:firstLineChars="200"/>
    </w:pPr>
  </w:style>
  <w:style w:type="paragraph" w:customStyle="1" w:styleId="37">
    <w:name w:val="List Paragraph"/>
    <w:basedOn w:val="1"/>
    <w:autoRedefine/>
    <w:qFormat/>
    <w:uiPriority w:val="34"/>
    <w:pPr>
      <w:ind w:firstLine="420" w:firstLineChars="200"/>
    </w:pPr>
  </w:style>
  <w:style w:type="paragraph" w:customStyle="1" w:styleId="38">
    <w:name w:val="Normal Indent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4c763fdb-48eb-4ec6-8572-f8219e9991b5</errorID>
      <errorWord>具备的</errorWord>
      <group>L1_Word</group>
      <groupName>字词问题</groupName>
      <ability>L2_Typo</ability>
      <abilityName>字词错误</abilityName>
      <candidateList>
        <item>具备</item>
      </candidateList>
      <explain/>
      <paraID>5A6F630B</paraID>
      <start>43</start>
      <end>46</end>
      <status>unmodified</status>
      <modifiedWord/>
      <trackRevisions>false</trackRevisions>
    </reviewItem>
    <reviewItem>
      <errorID>18e992e1-8b18-4be2-a4bf-6b6584506ba1</errorID>
      <errorWord>:</errorWord>
      <group>L1_Format</group>
      <groupName>格式问题</groupName>
      <ability>L2_HalfPunc</ability>
      <abilityName>全半角检查</abilityName>
      <candidateList>
        <item>：</item>
      </candidateList>
      <explain>文本全半角错误。</explain>
      <paraID>3F222528</paraID>
      <start>9</start>
      <end>10</end>
      <status>unmodified</status>
      <modifiedWord/>
      <trackRevisions>false</trackRevisions>
    </reviewItem>
    <reviewItem>
      <errorID>47c18a70-dcf9-45a0-8012-9fd765078d4e</errorID>
      <errorWord>。</errorWord>
      <group>L1_Punc</group>
      <groupName>标点问题</groupName>
      <ability>L2_Punc</ability>
      <abilityName>标点符号检查</abilityName>
      <candidateList>
        <item/>
      </candidateList>
      <explain>标题文本后不使用标点符号。</explain>
      <paraID>2DDF54D3</paraID>
      <start>45</start>
      <end>46</end>
      <status>unmodified</status>
      <modifiedWord/>
      <trackRevisions>false</trackRevisions>
    </reviewItem>
    <reviewItem>
      <errorID>c9365df3-9fd1-4c37-b718-3314b947febd</errorID>
      <errorWord>；</errorWord>
      <group>L1_Punc</group>
      <groupName>标点问题</groupName>
      <ability>L2_Punc</ability>
      <abilityName>标点符号检查</abilityName>
      <candidateList>
        <item/>
      </candidateList>
      <explain>标题文本后不使用标点符号。</explain>
      <paraID>163AB987</paraID>
      <start>35</start>
      <end>36</end>
      <status>unmodified</status>
      <modifiedWord/>
      <trackRevisions>false</trackRevisions>
    </reviewItem>
    <reviewItem>
      <errorID>df4809dd-87fa-4a85-9737-230c75198a7d</errorID>
      <errorWord>，</errorWord>
      <group>L1_Punc</group>
      <groupName>标点问题</groupName>
      <ability>L2_Punc</ability>
      <abilityName>标点符号检查</abilityName>
      <candidateList>
        <item/>
      </candidateList>
      <explain>标题文本后不使用标点符号。</explain>
      <paraID>2ABF0A1F</paraID>
      <start>22</start>
      <end>23</end>
      <status>unmodified</status>
      <modifiedWord/>
      <trackRevisions>false</trackRevisions>
    </reviewItem>
    <reviewItem>
      <errorID>c4c3459d-c284-4626-84c1-f8c4e26d0da7</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645D1250</paraID>
      <start>40</start>
      <end>42</end>
      <status>unmodified</status>
      <modifiedWord/>
      <trackRevisions>false</trackRevisions>
    </reviewItem>
    <reviewItem>
      <errorID>91d14504-f777-4170-9c19-bf59c1c2fa90</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645D1250</paraID>
      <start>50</start>
      <end>52</end>
      <status>unmodified</status>
      <modifiedWord/>
      <trackRevisions>false</trackRevisions>
    </reviewItem>
    <reviewItem>
      <errorID>b527b3c5-16c9-4f64-93ef-304438088712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645D1250</paraID>
      <start>113</start>
      <end>114</end>
      <status>modified</status>
      <modifiedWord>地</modifiedWord>
      <trackRevisions>false</trackRevisions>
    </reviewItem>
    <reviewItem>
      <errorID>b65932fc-5909-477b-b50d-7468bf185314</errorID>
      <errorWord>。</errorWord>
      <group>L1_Punc</group>
      <groupName>标点问题</groupName>
      <ability>L2_Punc</ability>
      <abilityName>标点符号检查</abilityName>
      <candidateList>
        <item/>
      </candidateList>
      <explain>标题文本后不使用标点符号。</explain>
      <paraID>5E5D8422</paraID>
      <start>26</start>
      <end>27</end>
      <status>unmodified</status>
      <modifiedWord/>
      <trackRevisions>false</trackRevisions>
    </reviewItem>
    <reviewItem>
      <errorID>7dc4b71f-66e5-4829-8760-8cbf0a60c038</errorID>
      <errorWord>〉</errorWord>
      <group>L1_Punc</group>
      <groupName>标点问题</groupName>
      <ability>L2_Punc</ability>
      <abilityName>标点符号检查</abilityName>
      <candidateList/>
      <explain/>
      <paraID>7048D9B6</paraID>
      <start>10</start>
      <end>11</end>
      <status>unmodified</status>
      <modifiedWord/>
      <trackRevisions>false</trackRevisions>
    </reviewItem>
    <reviewItem>
      <errorID>9188b8c2-5da4-45bb-b591-4132487aecb5</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4474A89C</paraID>
      <start>3</start>
      <end>5</end>
      <status>unmodified</status>
      <modifiedWord/>
      <trackRevisions>false</trackRevisions>
    </reviewItem>
    <reviewItem>
      <errorID>eb03a03b-be35-49f7-8952-53864850f9a4</errorID>
      <errorWord>〉</errorWord>
      <group>L1_Punc</group>
      <groupName>标点问题</groupName>
      <ability>L2_Punc</ability>
      <abilityName>标点符号检查</abilityName>
      <candidateList/>
      <explain/>
      <paraID>7EB410C9</paraID>
      <start>10</start>
      <end>11</end>
      <status>unmodified</status>
      <modifiedWord/>
      <trackRevisions>false</trackRevisions>
    </reviewItem>
    <reviewItem>
      <errorID>2ede0711-7d9f-43ae-aafd-f4a6e25e1e5f</errorID>
      <errorWord>；；</errorWord>
      <group>L1_Punc</group>
      <groupName>标点问题</groupName>
      <ability>L2_Punc</ability>
      <abilityName>标点符号检查</abilityName>
      <candidateList>
        <item>；</item>
      </candidateList>
      <explain/>
      <paraID>7EB410C9</paraID>
      <start>17</start>
      <end>18</end>
      <status>modified</status>
      <modifiedWord>；</modifiedWord>
      <trackRevisions>false</trackRevisions>
    </reviewItem>
    <reviewItem>
      <errorID>61c0590b-43be-4054-8bf6-b51fc174d185</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20EE2DB6</paraID>
      <start>3</start>
      <end>5</end>
      <status>unmodified</status>
      <modifiedWord/>
      <trackRevisions>false</trackRevisions>
    </reviewItem>
    <reviewItem>
      <errorID>d2c30dda-a42b-47c4-a4d5-9467d0bd2550</errorID>
      <errorWord>〉</errorWord>
      <group>L1_Punc</group>
      <groupName>标点问题</groupName>
      <ability>L2_Punc</ability>
      <abilityName>标点符号检查</abilityName>
      <candidateList/>
      <explain/>
      <paraID>185CAC0B</paraID>
      <start>10</start>
      <end>11</end>
      <status>unmodified</status>
      <modifiedWord/>
      <trackRevisions>false</trackRevisions>
    </reviewItem>
    <reviewItem>
      <errorID>d598fd9b-4b16-4c4e-a7d5-ec66abbec6f9</errorID>
      <errorWord>；；</errorWord>
      <group>L1_Punc</group>
      <groupName>标点问题</groupName>
      <ability>L2_Punc</ability>
      <abilityName>标点符号检查</abilityName>
      <candidateList>
        <item>；</item>
      </candidateList>
      <explain/>
      <paraID>185CAC0B</paraID>
      <start>18</start>
      <end>19</end>
      <status>modified</status>
      <modifiedWord>；</modifiedWord>
      <trackRevisions>false</trackRevisions>
    </reviewItem>
    <reviewItem>
      <errorID>b80f9274-a663-47ce-8a4d-2ce28f0f7ee1</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2300880C</paraID>
      <start>3</start>
      <end>5</end>
      <status>unmodified</status>
      <modifiedWord/>
      <trackRevisions>false</trackRevisions>
    </reviewItem>
    <reviewItem>
      <errorID>00c2f9c9-aa50-4acd-bad9-176847952579</errorID>
      <errorWord>:</errorWord>
      <group>L1_Format</group>
      <groupName>格式问题</groupName>
      <ability>L2_HalfPunc</ability>
      <abilityName>全半角检查</abilityName>
      <candidateList>
        <item>：</item>
      </candidateList>
      <explain>文本全半角错误。</explain>
      <paraID>395E5161</paraID>
      <start>6</start>
      <end>7</end>
      <status>modified</status>
      <modifiedWord>：</modifiedWord>
      <trackRevisions>false</trackRevisions>
    </reviewItem>
    <reviewItem>
      <errorID>2b921384-8bd3-4b79-9ead-3c7200e69e3e</errorID>
      <errorWord>;</errorWord>
      <group>L1_Format</group>
      <groupName>格式问题</groupName>
      <ability>L2_HalfPunc</ability>
      <abilityName>全半角检查</abilityName>
      <candidateList>
        <item>；</item>
      </candidateList>
      <explain>文本全半角错误。</explain>
      <paraID>395E5161</paraID>
      <start>11</start>
      <end>12</end>
      <status>modified</status>
      <modifiedWord>；</modifiedWord>
      <trackRevisions>false</trackRevisions>
    </reviewItem>
    <reviewItem>
      <errorID>9f315288-13bf-4432-9a82-48a8a6399fc3</errorID>
      <errorWord>:</errorWord>
      <group>L1_Format</group>
      <groupName>格式问题</groupName>
      <ability>L2_HalfPunc</ability>
      <abilityName>全半角检查</abilityName>
      <candidateList>
        <item>：</item>
      </candidateList>
      <explain>文本全半角错误。</explain>
      <paraID>395E5161</paraID>
      <start>16</start>
      <end>17</end>
      <status>modified</status>
      <modifiedWord>：</modifiedWord>
      <trackRevisions>false</trackRevisions>
    </reviewItem>
    <reviewItem>
      <errorID>ab68559d-8e3b-4ea4-a449-39b34848eb8c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395E5161</paraID>
      <start>20</start>
      <end>21</end>
      <status>modified</status>
      <modifiedWord>—</modifiedWord>
      <trackRevisions>false</trackRevisions>
    </reviewItem>
    <reviewItem>
      <errorID>0b5e470a-786f-48f9-825d-ae81f95894f8</errorID>
      <errorWord>:</errorWord>
      <group>L1_Format</group>
      <groupName>格式问题</groupName>
      <ability>L2_HalfPunc</ability>
      <abilityName>全半角检查</abilityName>
      <candidateList>
        <item>：</item>
      </candidateList>
      <explain>文本全半角错误。</explain>
      <paraID> 1930482</paraID>
      <start>2</start>
      <end>3</end>
      <status>modified</status>
      <modifiedWord>：</modifiedWord>
      <trackRevisions>false</trackRevisions>
    </reviewItem>
    <reviewItem>
      <errorID>b2530828-d318-4308-b0b5-068c7009d107</errorID>
      <errorWord>副</errorWord>
      <group>L1_Word</group>
      <groupName>字词问题</groupName>
      <ability>L2_Typo</ability>
      <abilityName>字词错误</abilityName>
      <candidateList>
        <item>幅</item>
      </candidateList>
      <explain>❶（～儿）〈名〉布帛、呢绒等的宽度：～面｜单～｜双～｜宽～的白布。❷泛指宽度：～度｜～员｜振～。❸（～儿）〈量〉用于布帛、呢绒、图画等：一～画｜用两～布做一个床单儿。</explain>
      <paraID>3D9D835A</paraID>
      <start>3</start>
      <end>4</end>
      <status>unmodified</status>
      <modifiedWord/>
      <trackRevisions>false</trackRevisions>
    </reviewItem>
    <reviewItem>
      <errorID>6473ab23-7891-4e63-bcec-5bd5ae1b39de</errorID>
      <errorWord>称</errorWord>
      <group>L1_Word</group>
      <groupName>字词问题</groupName>
      <ability>L2_Typo</ability>
      <abilityName>字词错误</abilityName>
      <candidateList>
        <item>秤</item>
      </candidateList>
      <explain>存在发音相同字词的误用。</explain>
      <paraID> 961557A</paraID>
      <start>4</start>
      <end>5</end>
      <status>modified</status>
      <modifiedWord>秤</modifiedWord>
      <trackRevisions>false</trackRevisions>
    </reviewItem>
    <reviewItem>
      <errorID>154053ba-429a-4747-b42e-e6bf90e221e8</errorID>
      <errorWord>:</errorWord>
      <group>L1_Format</group>
      <groupName>格式问题</groupName>
      <ability>L2_HalfPunc</ability>
      <abilityName>全半角检查</abilityName>
      <candidateList>
        <item>：</item>
      </candidateList>
      <explain>文本全半角错误。</explain>
      <paraID>3CA60A5F</paraID>
      <start>6</start>
      <end>7</end>
      <status>modified</status>
      <modifiedWord>：</modifiedWord>
      <trackRevisions>false</trackRevisions>
    </reviewItem>
    <reviewItem>
      <errorID>d22c5f5f-b855-409e-bc61-a4890ac140e3</errorID>
      <errorWord>最大称量</errorWord>
      <group>L1_Knowledge</group>
      <groupName>知识性问题</groupName>
      <ability>L2_Term</ability>
      <abilityName>专业术语</abilityName>
      <candidateList>
        <item>最大秤量</item>
      </candidateList>
      <explain/>
      <paraID>3CA60A5F</paraID>
      <start>7</start>
      <end>11</end>
      <status>unmodified</status>
      <modifiedWord/>
      <trackRevisions>false</trackRevisions>
    </reviewItem>
    <reviewItem>
      <errorID>471c7894-f142-40b6-a59c-2361a89dcc9e</errorID>
      <errorWord>:</errorWord>
      <group>L1_Format</group>
      <groupName>格式问题</groupName>
      <ability>L2_HalfPunc</ability>
      <abilityName>全半角检查</abilityName>
      <candidateList>
        <item>：</item>
      </candidateList>
      <explain>文本全半角错误。</explain>
      <paraID>6089199F</paraID>
      <start>6</start>
      <end>7</end>
      <status>modified</status>
      <modifiedWord>：</modifiedWord>
      <trackRevisions>false</trackRevisions>
    </reviewItem>
    <reviewItem>
      <errorID>cf23e97e-c433-411b-955e-87d1f22ba78a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6089199F</paraID>
      <start>13</start>
      <end>14</end>
      <status>modified</status>
      <modifiedWord>—</modifiedWord>
      <trackRevisions>false</trackRevisions>
    </reviewItem>
    <reviewItem>
      <errorID>4009ec7b-46ba-4e2e-9d6b-e7c0290aa086</errorID>
      <errorWord>(</errorWord>
      <group>L1_Format</group>
      <groupName>格式问题</groupName>
      <ability>L2_HalfPunc</ability>
      <abilityName>全半角检查</abilityName>
      <candidateList>
        <item>（</item>
      </candidateList>
      <explain>文本全半角错误。</explain>
      <paraID>2C4E61B0</paraID>
      <start>14</start>
      <end>15</end>
      <status>modified</status>
      <modifiedWord>（</modifiedWord>
      <trackRevisions>false</trackRevisions>
    </reviewItem>
    <reviewItem>
      <errorID>3f2756f9-b441-418b-b48d-783d02b24f57</errorID>
      <errorWord>)</errorWord>
      <group>L1_Format</group>
      <groupName>格式问题</groupName>
      <ability>L2_HalfPunc</ability>
      <abilityName>全半角检查</abilityName>
      <candidateList>
        <item>）</item>
      </candidateList>
      <explain>文本全半角错误。</explain>
      <paraID>2C4E61B0</paraID>
      <start>21</start>
      <end>22</end>
      <status>modified</status>
      <modifiedWord>）</modifiedWord>
      <trackRevisions>false</trackRevisions>
    </reviewItem>
    <reviewItem>
      <errorID>5ae59564-7a91-44fa-9a70-3b49d0e8fbe9</errorID>
      <errorWord>:(</errorWord>
      <group>L1_Format</group>
      <groupName>格式问题</groupName>
      <ability>L2_HalfPunc</ability>
      <abilityName>全半角检查</abilityName>
      <candidateList>
        <item>：（</item>
      </candidateList>
      <explain>文本全半角错误。</explain>
      <paraID>583562C5</paraID>
      <start>7</start>
      <end>9</end>
      <status>modified</status>
      <modifiedWord>：（</modifiedWord>
      <trackRevisions>false</trackRevisions>
    </reviewItem>
    <reviewItem>
      <errorID>47d48499-763d-4b9e-9e46-423e35864f58</errorID>
      <errorWord>)</errorWord>
      <group>L1_Format</group>
      <groupName>格式问题</groupName>
      <ability>L2_HalfPunc</ability>
      <abilityName>全半角检查</abilityName>
      <candidateList>
        <item>）</item>
      </candidateList>
      <explain>文本全半角错误。</explain>
      <paraID>583562C5</paraID>
      <start>12</start>
      <end>13</end>
      <status>modified</status>
      <modifiedWord>）</modifiedWord>
      <trackRevisions>false</trackRevisions>
    </reviewItem>
    <reviewItem>
      <errorID>870eed0f-391a-4492-9c02-15a9a361f1cb</errorID>
      <errorWord>:(</errorWord>
      <group>L1_Format</group>
      <groupName>格式问题</groupName>
      <ability>L2_HalfPunc</ability>
      <abilityName>全半角检查</abilityName>
      <candidateList>
        <item>：（</item>
      </candidateList>
      <explain>文本全半角错误。</explain>
      <paraID>5E574E48</paraID>
      <start>6</start>
      <end>8</end>
      <status>modified</status>
      <modifiedWord>：（</modifiedWord>
      <trackRevisions>false</trackRevisions>
    </reviewItem>
    <reviewItem>
      <errorID>9af5812d-5e19-4a16-9846-ac846cc680f2</errorID>
      <errorWord>)</errorWord>
      <group>L1_Format</group>
      <groupName>格式问题</groupName>
      <ability>L2_HalfPunc</ability>
      <abilityName>全半角检查</abilityName>
      <candidateList>
        <item>）</item>
      </candidateList>
      <explain>文本全半角错误。</explain>
      <paraID>5E574E48</paraID>
      <start>13</start>
      <end>14</end>
      <status>modified</status>
      <modifiedWord>）</modifiedWord>
      <trackRevisions>false</trackRevisions>
    </reviewItem>
    <reviewItem>
      <errorID>0497d10a-505e-4cec-ae3d-381e5f38a798</errorID>
      <errorWord>:</errorWord>
      <group>L1_Format</group>
      <groupName>格式问题</groupName>
      <ability>L2_HalfPunc</ability>
      <abilityName>全半角检查</abilityName>
      <candidateList>
        <item>：</item>
      </candidateList>
      <explain>文本全半角错误。</explain>
      <paraID>5862E758</paraID>
      <start>4</start>
      <end>5</end>
      <status>modified</status>
      <modifiedWord>：</modifiedWord>
      <trackRevisions>false</trackRevisions>
    </reviewItem>
    <reviewItem>
      <errorID>deee3a5b-e1d1-4d6d-9470-abc899a4aeb6</errorID>
      <errorWord>:</errorWord>
      <group>L1_Format</group>
      <groupName>格式问题</groupName>
      <ability>L2_HalfPunc</ability>
      <abilityName>全半角检查</abilityName>
      <candidateList>
        <item>：</item>
      </candidateList>
      <explain>文本全半角错误。</explain>
      <paraID>5862E758</paraID>
      <start>13</start>
      <end>14</end>
      <status>modified</status>
      <modifiedWord>：</modifiedWord>
      <trackRevisions>false</trackRevisions>
    </reviewItem>
    <reviewItem>
      <errorID>3b04c5e6-32c4-4625-9bb1-f6aa7c300b42</errorID>
      <errorWord>:</errorWord>
      <group>L1_Format</group>
      <groupName>格式问题</groupName>
      <ability>L2_HalfPunc</ability>
      <abilityName>全半角检查</abilityName>
      <candidateList>
        <item>：</item>
      </candidateList>
      <explain>文本全半角错误。</explain>
      <paraID>699CCDD5</paraID>
      <start>4</start>
      <end>5</end>
      <status>modified</status>
      <modifiedWord>：</modifiedWord>
      <trackRevisions>false</trackRevisions>
    </reviewItem>
    <reviewItem>
      <errorID>549e58f6-ffd7-4734-9447-13bf3b786564</errorID>
      <errorWord>:</errorWord>
      <group>L1_Format</group>
      <groupName>格式问题</groupName>
      <ability>L2_HalfPunc</ability>
      <abilityName>全半角检查</abilityName>
      <candidateList>
        <item>：</item>
      </candidateList>
      <explain>文本全半角错误。</explain>
      <paraID>1B8B7FF4</paraID>
      <start>4</start>
      <end>5</end>
      <status>modified</status>
      <modifiedWord>：</modifiedWord>
      <trackRevisions>false</trackRevisions>
    </reviewItem>
    <reviewItem>
      <errorID>21379b17-dc2d-48dc-96e9-317c11f91017</errorID>
      <errorWord>:</errorWord>
      <group>L1_Format</group>
      <groupName>格式问题</groupName>
      <ability>L2_HalfPunc</ability>
      <abilityName>全半角检查</abilityName>
      <candidateList>
        <item>：</item>
      </candidateList>
      <explain>文本全半角错误。</explain>
      <paraID>1B8B7FF4</paraID>
      <start>11</start>
      <end>12</end>
      <status>modified</status>
      <modifiedWord>：</modifiedWord>
      <trackRevisions>false</trackRevisions>
    </reviewItem>
    <reviewItem>
      <errorID>2c99bdee-a878-48f8-9f8f-4e8a85582620</errorID>
      <errorWord>:</errorWord>
      <group>L1_Format</group>
      <groupName>格式问题</groupName>
      <ability>L2_HalfPunc</ability>
      <abilityName>全半角检查</abilityName>
      <candidateList>
        <item>：</item>
      </candidateList>
      <explain>文本全半角错误。</explain>
      <paraID> B97D6CA</paraID>
      <start>7</start>
      <end>8</end>
      <status>modified</status>
      <modifiedWord>：</modifiedWord>
      <trackRevisions>false</trackRevisions>
    </reviewItem>
    <reviewItem>
      <errorID>a1b7cf8f-1499-4cfe-86ab-da7d6034c696</errorID>
      <errorWord>MM</errorWord>
      <group>L1_Official</group>
      <groupName>公文问题</groupName>
      <ability>L2_Official</ability>
      <abilityName>公文问题</abilityName>
      <candidateList/>
      <explain>公文中禁止出现该词语</explain>
      <paraID> B97D6CA</paraID>
      <start>12</start>
      <end>14</end>
      <status>unmodified</status>
      <modifiedWord/>
      <trackRevisions>false</trackRevisions>
    </reviewItem>
    <reviewItem>
      <errorID>4d7de796-b521-4994-8249-d08e2e8648f8</errorID>
      <errorWord>:</errorWord>
      <group>L1_Format</group>
      <groupName>格式问题</groupName>
      <ability>L2_HalfPunc</ability>
      <abilityName>全半角检查</abilityName>
      <candidateList>
        <item>：</item>
      </candidateList>
      <explain>文本全半角错误。</explain>
      <paraID> B97D6CA</paraID>
      <start>20</start>
      <end>21</end>
      <status>modified</status>
      <modifiedWord>：</modifiedWord>
      <trackRevisions>false</trackRevisions>
    </reviewItem>
    <reviewItem>
      <errorID>bce8947c-4ff3-4f2e-8ca0-631ea1ea63c6</errorID>
      <errorWord>MM</errorWord>
      <group>L1_Official</group>
      <groupName>公文问题</groupName>
      <ability>L2_Official</ability>
      <abilityName>公文问题</abilityName>
      <candidateList/>
      <explain>公文中禁止出现该词语</explain>
      <paraID> B97D6CA</paraID>
      <start>25</start>
      <end>27</end>
      <status>unmodified</status>
      <modifiedWord/>
      <trackRevisions>false</trackRevisions>
    </reviewItem>
    <reviewItem>
      <errorID>83870b62-a250-47c0-8363-512fa98c6a39</errorID>
      <errorWord>:</errorWord>
      <group>L1_Format</group>
      <groupName>格式问题</groupName>
      <ability>L2_HalfPunc</ability>
      <abilityName>全半角检查</abilityName>
      <candidateList>
        <item>：</item>
      </candidateList>
      <explain>文本全半角错误。</explain>
      <paraID>6324538A</paraID>
      <start>4</start>
      <end>5</end>
      <status>modified</status>
      <modifiedWord>：</modifiedWord>
      <trackRevisions>false</trackRevisions>
    </reviewItem>
    <reviewItem>
      <errorID>e14b5e0e-1279-49a5-9fff-e6cea4fe91e0</errorID>
      <errorWord>:</errorWord>
      <group>L1_Format</group>
      <groupName>格式问题</groupName>
      <ability>L2_HalfPunc</ability>
      <abilityName>全半角检查</abilityName>
      <candidateList>
        <item>：</item>
      </candidateList>
      <explain>文本全半角错误。</explain>
      <paraID>168E5DB7</paraID>
      <start>4</start>
      <end>5</end>
      <status>modified</status>
      <modifiedWord>：</modifiedWord>
      <trackRevisions>false</trackRevisions>
    </reviewItem>
    <reviewItem>
      <errorID>fbeaac52-1f71-46ee-a592-3abe71731dcb</errorID>
      <errorWord>:</errorWord>
      <group>L1_Format</group>
      <groupName>格式问题</groupName>
      <ability>L2_HalfPunc</ability>
      <abilityName>全半角检查</abilityName>
      <candidateList>
        <item>：</item>
      </candidateList>
      <explain>文本全半角错误。</explain>
      <paraID>168E5DB7</paraID>
      <start>16</start>
      <end>17</end>
      <status>modified</status>
      <modifiedWord>：</modifiedWord>
      <trackRevisions>false</trackRevisions>
    </reviewItem>
    <reviewItem>
      <errorID>5a31b190-a2e6-46eb-b49e-3e09386e2bd4</errorID>
      <errorWord>紫外线消毒车</errorWord>
      <group>L1_Knowledge</group>
      <groupName>知识性问题</groupName>
      <ability>L2_Term</ability>
      <abilityName>专业术语</abilityName>
      <candidateList>
        <item>紫外线消毒灯</item>
      </candidateList>
      <explain/>
      <paraID>3B304D91</paraID>
      <start>5</start>
      <end>11</end>
      <status>unmodified</status>
      <modifiedWord/>
      <trackRevisions>false</trackRevisions>
    </reviewItem>
    <reviewItem>
      <errorID>2d10c6fd-83a5-4ba9-9b57-6a4335a7040b</errorID>
      <errorWord>冷乱板</errorWord>
      <group>L1_Word</group>
      <groupName>字词问题</groupName>
      <ability>L2_Typo</ability>
      <abilityName>字词错误</abilityName>
      <candidateList>
        <item>冷轧板</item>
      </candidateList>
      <explain/>
      <paraID>652D59F6</paraID>
      <start>8</start>
      <end>11</end>
      <status>modified</status>
      <modifiedWord>冷轧板</modifiedWord>
      <trackRevisions>false</trackRevisions>
    </reviewItem>
    <reviewItem>
      <errorID>6509625c-a213-4d1a-bbed-422a74bd984f</errorID>
      <errorWord>配条</errorWord>
      <group>L1_Word</group>
      <groupName>字词问题</groupName>
      <ability>L2_Typo</ability>
      <abilityName>字词错误</abilityName>
      <candidateList>
        <item>配套</item>
      </candidateList>
      <explain>存在发音相近字词的误用。</explain>
      <paraID>7895F72B</paraID>
      <start>5</start>
      <end>7</end>
      <status>modified</status>
      <modifiedWord>配套</modifiedWord>
      <trackRevisions>false</trackRevisions>
    </reviewItem>
    <reviewItem>
      <errorID>e09617cf-fecd-43e6-aaf1-50099fdc81ef</errorID>
      <errorWord>中科院</errorWord>
      <group>L1_Knowledge</group>
      <groupName>知识性问题</groupName>
      <ability>L2_Knowledge</ability>
      <abilityName>其他知识</abilityName>
      <candidateList>
        <item>中国科学院</item>
      </candidateList>
      <explain/>
      <paraID>3BAEE43B</paraID>
      <start>22</start>
      <end>25</end>
      <status>unmodified</status>
      <modifiedWord/>
      <trackRevisions>false</trackRevisions>
    </reviewItem>
    <reviewItem>
      <errorID>2da2dc69-832c-4b55-9c9c-78826d08482b</errorID>
      <errorWord>不可负</errorWord>
      <group>L1_Word</group>
      <groupName>字词问题</groupName>
      <ability>L2_Typo</ability>
      <abilityName>字词错误</abilityName>
      <candidateList>
        <item>不可</item>
      </candidateList>
      <explain/>
      <paraID>2AA861C2</paraID>
      <start>82</start>
      <end>85</end>
      <status>unmodified</status>
      <modifiedWord/>
      <trackRevisions>false</trackRevisions>
    </reviewItem>
    <reviewItem>
      <errorID>3a75e245-ce5b-4f22-a86b-667d85fb91c4</errorID>
      <errorWord>签定合同</errorWord>
      <group>L1_Word</group>
      <groupName>字词问题</groupName>
      <ability>L2_Typo</ability>
      <abilityName>字词错误</abilityName>
      <candidateList>
        <item>签订合同</item>
      </candidateList>
      <explain/>
      <paraID>6E1539B9</paraID>
      <start>8</start>
      <end>12</end>
      <status>modified</status>
      <modifiedWord>签订合同</modifiedWord>
      <trackRevisions>false</trackRevisions>
    </reviewItem>
    <reviewItem>
      <errorID>2aa359d3-05c7-4118-8be0-dce267051b47</errorID>
      <errorWord>适应</errorWord>
      <group>L1_Word</group>
      <groupName>字词问题</groupName>
      <ability>L2_Typo</ability>
      <abilityName>字词错误</abilityName>
      <candidateList>
        <item>适用</item>
      </candidateList>
      <explain>〈形〉适合使用：这套耕作方法，在我们这个地区也完全～。</explain>
      <paraID>698E3021</paraID>
      <start>47</start>
      <end>49</end>
      <status>modified</status>
      <modifiedWord>适用</modifiedWord>
      <trackRevisions>false</trackRevisions>
    </reviewItem>
    <reviewItem>
      <errorID>bec9eb79-9014-4556-8758-1f68133ff7f1</errorID>
      <errorWord>格</errorWord>
      <group>L1_Word</group>
      <groupName>字词问题</groupName>
      <ability>L2_Typo</ability>
      <abilityName>字词错误</abilityName>
      <candidateList>
        <item>格及</item>
      </candidateList>
      <explain/>
      <paraID>11BCBFEF</paraID>
      <start>114</start>
      <end>115</end>
      <status>unmodified</status>
      <modifiedWord/>
      <trackRevisions>false</trackRevisions>
    </reviewItem>
    <reviewItem>
      <errorID>10898aa5-f325-4b8a-bb9a-5d1d58fa31d0</errorID>
      <errorWord>费</errorWord>
      <group>L1_Word</group>
      <groupName>字词问题</groupName>
      <ability>L2_Typo</ability>
      <abilityName>字词错误</abilityName>
      <candidateList>
        <item>费用</item>
      </candidateList>
      <explain/>
      <paraID>11BCBFEF</paraID>
      <start>160</start>
      <end>162</end>
      <status>modified</status>
      <modifiedWord>费用</modifiedWord>
      <trackRevisions>false</trackRevisions>
    </reviewItem>
    <reviewItem>
      <errorID>b9be7087-5fc5-40ac-9159-f25de1c9f014</errorID>
      <errorWord>终生</errorWord>
      <group>L1_Word</group>
      <groupName>字词问题</groupName>
      <ability>L2_Typo</ability>
      <abilityName>字词错误</abilityName>
      <candidateList>
        <item>终身</item>
      </candidateList>
      <explain/>
      <paraID>2F02A4E7</paraID>
      <start>56</start>
      <end>58</end>
      <status>unmodified</status>
      <modifiedWord/>
      <trackRevisions>false</trackRevisions>
    </reviewItem>
    <reviewItem>
      <errorID>f79045a9-b9c4-4518-9b89-50e3edf543ae</errorID>
      <errorWord>件</errorWord>
      <group>L1_Word</group>
      <groupName>字词问题</groupName>
      <ability>L2_Typo</ability>
      <abilityName>字词错误</abilityName>
      <candidateList>
        <item>件中</item>
      </candidateList>
      <explain/>
      <paraID>5A61E1D4</paraID>
      <start>7</start>
      <end>9</end>
      <status>modified</status>
      <modifiedWord>件中</modifiedWord>
      <trackRevisions>false</trackRevisions>
    </reviewItem>
    <reviewItem>
      <errorID>05e336c8-eca9-48c9-b45c-d5a0b2e58bd7</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79F667A7</paraID>
      <start>0</start>
      <end>2</end>
      <status>modified</status>
      <modifiedWord>a.</modifiedWord>
      <trackRevisions>false</trackRevisions>
    </reviewItem>
    <reviewItem>
      <errorID>e85192b0-b251-4dd3-88b2-324ed524815c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430825D3</paraID>
      <start>0</start>
      <end>2</end>
      <status>modified</status>
      <modifiedWord>b.</modifiedWord>
      <trackRevisions>false</trackRevisions>
    </reviewItem>
    <reviewItem>
      <errorID>711bdb47-3a53-4150-a17b-88609e88acbc</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422E02B</paraID>
      <start>0</start>
      <end>2</end>
      <status>modified</status>
      <modifiedWord>c.</modifiedWord>
      <trackRevisions>false</trackRevisions>
    </reviewItem>
    <reviewItem>
      <errorID>1b9db588-e31c-4eef-aea9-a1b34d2e4aa2</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3E3FE25D</paraID>
      <start>0</start>
      <end>2</end>
      <status>modified</status>
      <modifiedWord>d.</modifiedWord>
      <trackRevisions>false</trackRevisions>
    </reviewItem>
    <reviewItem>
      <errorID>3757c7d7-eaf1-4860-ada6-8af8488d25d5</errorID>
      <errorWord>指即</errorWord>
      <group>L1_Word</group>
      <groupName>字词问题</groupName>
      <ability>L2_Typo</ability>
      <abilityName>字词错误</abilityName>
      <candidateList>
        <item>指</item>
      </candidateList>
      <explain>❶〈名〉手指头：食～｜五～｜屈～｜首屈一～。❷〈量〉一个手指头的宽度叫“一指”，用来计算深浅宽窄等：下了三～雨｜这双鞋大了一～｜两～宽的纸条。❸〈动〉（手指头、物体尖端）对着；向着：用手一～｜时针正～十二点。❹（头发）直立：发～。❺〈动〉指点：～导｜～示｜～出正确方向｜有问题请您～出来。❻〈动〉意思上指着：这不是～你说的，是～他的。</explain>
      <paraID>2EB82659</paraID>
      <start>26</start>
      <end>27</end>
      <status>modified</status>
      <modifiedWord>指</modifiedWord>
      <trackRevisions>false</trackRevisions>
    </reviewItem>
    <reviewItem>
      <errorID>79b7eab2-b7ae-4174-9f98-965ac619f008</errorID>
      <errorWord>(</errorWord>
      <group>L1_Format</group>
      <groupName>格式问题</groupName>
      <ability>L2_HalfPunc</ability>
      <abilityName>全半角检查</abilityName>
      <candidateList>
        <item>（</item>
      </candidateList>
      <explain>文本全半角错误。</explain>
      <paraID>7BA20F00</paraID>
      <start>7</start>
      <end>8</end>
      <status>modified</status>
      <modifiedWord>（</modifiedWord>
      <trackRevisions>false</trackRevisions>
    </reviewItem>
    <reviewItem>
      <errorID>872fde7b-8405-4969-bb04-78ef3989d9b1</errorID>
      <errorWord>)</errorWord>
      <group>L1_Format</group>
      <groupName>格式问题</groupName>
      <ability>L2_HalfPunc</ability>
      <abilityName>全半角检查</abilityName>
      <candidateList>
        <item>）</item>
      </candidateList>
      <explain>文本全半角错误。</explain>
      <paraID>7BA20F00</paraID>
      <start>20</start>
      <end>21</end>
      <status>modified</status>
      <modifiedWord>）</modifiedWord>
      <trackRevisions>false</trackRevisions>
    </reviewItem>
    <reviewItem>
      <errorID>ca8b3264-a585-442b-a821-e5197b6b32e3</errorID>
      <errorWord>【2011】300号</errorWord>
      <group>L1_Knowledge</group>
      <groupName>知识性问题</groupName>
      <ability>L2_Knowledge</ability>
      <abilityName>其他知识</abilityName>
      <candidateList>
        <item>〔2011〕300号</item>
      </candidateList>
      <explain>发文字号格式错误。</explain>
      <paraID>6C097E29</paraID>
      <start>8</start>
      <end>18</end>
      <status>modified</status>
      <modifiedWord>〔2011〕300号</modifiedWord>
      <trackRevisions>false</trackRevisions>
    </reviewItem>
    <reviewItem>
      <errorID>07c45833-2bbc-4f30-8298-6bd030c0dab1</errorID>
      <errorWord>【2011】300号</errorWord>
      <group>L1_Knowledge</group>
      <groupName>知识性问题</groupName>
      <ability>L2_Knowledge</ability>
      <abilityName>其他知识</abilityName>
      <candidateList>
        <item>〔2011〕300号</item>
      </candidateList>
      <explain>发文字号格式错误。</explain>
      <paraID>6FF125CB</paraID>
      <start>12</start>
      <end>22</end>
      <status>modified</status>
      <modifiedWord>〔2011〕300号</modifiedWord>
      <trackRevisions>false</trackRevisions>
    </reviewItem>
    <reviewItem>
      <errorID>c726cf08-3c7d-4790-bedb-144e0ca5e728</errorID>
      <errorWord>[2003]7号</errorWord>
      <group>L1_Knowledge</group>
      <groupName>知识性问题</groupName>
      <ability>L2_Knowledge</ability>
      <abilityName>其他知识</abilityName>
      <candidateList>
        <item>〔2003〕7号</item>
      </candidateList>
      <explain>发文字号格式错误。</explain>
      <paraID> 8D70005</paraID>
      <start>8</start>
      <end>16</end>
      <status>modified</status>
      <modifiedWord>〔2003〕7号</modifiedWord>
      <trackRevisions>false</trackRevisions>
    </reviewItem>
    <reviewItem>
      <errorID>8f31949d-7075-4a72-9ad7-7db0f0ab185d</errorID>
      <errorWord>[2014]68号</errorWord>
      <group>L1_Knowledge</group>
      <groupName>知识性问题</groupName>
      <ability>L2_Knowledge</ability>
      <abilityName>其他知识</abilityName>
      <candidateList>
        <item>〔2014〕68号</item>
      </candidateList>
      <explain>发文字号格式错误。</explain>
      <paraID> 8D70005</paraID>
      <start>19</start>
      <end>28</end>
      <status>modified</status>
      <modifiedWord>〔2014〕68号</modifiedWord>
      <trackRevisions>false</trackRevisions>
    </reviewItem>
    <reviewItem>
      <errorID>c6affadd-9eab-409f-9a8a-cb93a3f2650f</errorID>
      <errorWord>：</errorWord>
      <group>L1_Punc</group>
      <groupName>标点问题</groupName>
      <ability>L2_Punc</ability>
      <abilityName>标点符号检查</abilityName>
      <candidateList>
        <item/>
      </candidateList>
      <explain>标题文本后不使用标点符号。</explain>
      <paraID>18C3123B</paraID>
      <start>21</start>
      <end>22</end>
      <status>unmodified</status>
      <modifiedWord/>
      <trackRevisions>false</trackRevisions>
    </reviewItem>
    <reviewItem>
      <errorID>6f68309d-3809-4b2e-84cc-b28a9c222c8d</errorID>
      <errorWord>明</errorWord>
      <group>L1_Word</group>
      <groupName>字词问题</groupName>
      <ability>L2_Typo</ability>
      <abilityName>字词错误</abilityName>
      <candidateList>
        <item>明等</item>
      </candidateList>
      <explain/>
      <paraID>721B6A54</paraID>
      <start>35</start>
      <end>37</end>
      <status>modified</status>
      <modifiedWord>明等</modifiedWord>
      <trackRevisions>false</trackRevisions>
    </reviewItem>
    <reviewItem>
      <errorID>99c4c7d2-141f-4a0b-b0ef-a54739e2a06b</errorID>
      <errorWord>：</errorWord>
      <group>L1_Punc</group>
      <groupName>标点问题</groupName>
      <ability>L2_Punc</ability>
      <abilityName>标点符号检查</abilityName>
      <candidateList>
        <item/>
      </candidateList>
      <explain>标题文本后不使用标点符号。</explain>
      <paraID>43D274FD</paraID>
      <start>36</start>
      <end>37</end>
      <status>unmodified</status>
      <modifiedWord/>
      <trackRevisions>false</trackRevisions>
    </reviewItem>
    <reviewItem>
      <errorID>e51bd429-b904-4bf2-8cea-7c4a6db575ac</errorID>
      <errorWord>:</errorWord>
      <group>L1_Punc</group>
      <groupName>标点问题</groupName>
      <ability>L2_Punc</ability>
      <abilityName>标点符号检查</abilityName>
      <candidateList>
        <item/>
      </candidateList>
      <explain>标题文本后不使用标点符号。</explain>
      <paraID>314C3F8C</paraID>
      <start>43</start>
      <end>44</end>
      <status>unmodified</status>
      <modifiedWord/>
      <trackRevisions>false</trackRevisions>
    </reviewItem>
    <reviewItem>
      <errorID>a7938839-d018-4820-9334-4277aef9224c</errorID>
      <errorWord>明</errorWord>
      <group>L1_Word</group>
      <groupName>字词问题</groupName>
      <ability>L2_Typo</ability>
      <abilityName>字词错误</abilityName>
      <candidateList>
        <item>明等</item>
      </candidateList>
      <explain/>
      <paraID>25562A9C</paraID>
      <start>35</start>
      <end>37</end>
      <status>modified</status>
      <modifiedWord>明等</modifiedWord>
      <trackRevisions>false</trackRevisions>
    </reviewItem>
    <reviewItem>
      <errorID>28ea8ad3-e0a8-4fc0-a407-335a7ad4db79</errorID>
      <errorWord>：</errorWord>
      <group>L1_Punc</group>
      <groupName>标点问题</groupName>
      <ability>L2_Punc</ability>
      <abilityName>标点符号检查</abilityName>
      <candidateList>
        <item/>
      </candidateList>
      <explain>标题文本后不使用标点符号。</explain>
      <paraID> E67A9D0</paraID>
      <start>36</start>
      <end>37</end>
      <status>unmodified</status>
      <modifiedWord/>
      <trackRevisions>false</trackRevisions>
    </reviewItem>
    <reviewItem>
      <errorID>479990e4-517a-489d-86bb-55cca8d3f683</errorID>
      <errorWord>：</errorWord>
      <group>L1_Punc</group>
      <groupName>标点问题</groupName>
      <ability>L2_Punc</ability>
      <abilityName>标点符号检查</abilityName>
      <candidateList>
        <item/>
      </candidateList>
      <explain>标题文本后不使用标点符号。</explain>
      <paraID>7D6A01EF</paraID>
      <start>21</start>
      <end>22</end>
      <status>unmodified</status>
      <modifiedWord/>
      <trackRevisions>false</trackRevisions>
    </reviewItem>
    <reviewItem>
      <errorID>156c461c-ca4c-4e3b-8f0d-ac73f7f06a4e</errorID>
      <errorWord>.</errorWord>
      <group>L1_Word</group>
      <groupName>字词问题</groupName>
      <ability>L2_Typo</ability>
      <abilityName>字词错误</abilityName>
      <candidateList>
        <item>.在</item>
      </candidateList>
      <explain/>
      <paraID>1CEC3CB9</paraID>
      <start>1</start>
      <end>3</end>
      <status>modified</status>
      <modifiedWord>.在</modifiedWord>
      <trackRevisions>false</trackRevisions>
    </reviewItem>
    <reviewItem>
      <errorID>1ccbfc19-4a67-44e4-b686-be4c86913cf5</errorID>
      <errorWord>：</errorWord>
      <group>L1_Punc</group>
      <groupName>标点问题</groupName>
      <ability>L2_Punc</ability>
      <abilityName>标点符号检查</abilityName>
      <candidateList>
        <item/>
      </candidateList>
      <explain>标题文本后不使用标点符号。</explain>
      <paraID>1CEC3CB9</paraID>
      <start>36</start>
      <end>37</end>
      <status>unmodified</status>
      <modifiedWord/>
      <trackRevisions>false</trackRevisions>
    </reviewItem>
    <reviewItem>
      <errorID>d1521b1a-8ce8-417e-becc-e44fd927b4b1</errorID>
      <errorWord>内容有</errorWord>
      <group>L1_Word</group>
      <groupName>字词问题</groupName>
      <ability>L2_Typo</ability>
      <abilityName>字词错误</abilityName>
      <candidateList>
        <item>内容</item>
      </candidateList>
      <explain>〈名〉事物内部所含的实质或存在的情况：这次谈话的～牵涉的面很广｜这个刊物～丰富。</explain>
      <paraID>51F1E707</paraID>
      <start>5</start>
      <end>7</end>
      <status>modified</status>
      <modifiedWord>内容</modifiedWord>
      <trackRevisions>false</trackRevisions>
    </reviewItem>
    <reviewItem>
      <errorID>275ac17c-1a60-4692-9c69-1fb87cd2d896</errorID>
      <errorWord>、</errorWord>
      <group>L1_Word</group>
      <groupName>字词问题</groupName>
      <ability>L2_Typo</ability>
      <abilityName>字词错误</abilityName>
      <candidateList>
        <item>、具</item>
      </candidateList>
      <explain/>
      <paraID>2A1E3490</paraID>
      <start>10</start>
      <end>12</end>
      <status>modified</status>
      <modifiedWord>、具</modifiedWord>
      <trackRevisions>false</trackRevisions>
    </reviewItem>
    <reviewItem>
      <errorID>e5f482fc-46be-46f6-8de7-94b1a02a1529</errorID>
      <errorWord>：</errorWord>
      <group>L1_Punc</group>
      <groupName>标点问题</groupName>
      <ability>L2_Punc</ability>
      <abilityName>标点符号检查</abilityName>
      <candidateList>
        <item/>
      </candidateList>
      <explain>标题文本后不使用标点符号。</explain>
      <paraID>292BDE26</paraID>
      <start>7</start>
      <end>7</end>
      <status>modified</status>
      <modifiedWord/>
      <trackRevisions>false</trackRevisions>
    </reviewItem>
    <reviewItem>
      <errorID>24d46d14-7a4d-42c4-82f0-990f6671e371</errorID>
      <errorWord>(</errorWord>
      <group>L1_Format</group>
      <groupName>格式问题</groupName>
      <ability>L2_HalfPunc</ability>
      <abilityName>全半角检查</abilityName>
      <candidateList>
        <item>（</item>
      </candidateList>
      <explain>文本全半角错误。</explain>
      <paraID>  B68275</paraID>
      <start>41</start>
      <end>42</end>
      <status>modified</status>
      <modifiedWord>（</modifiedWord>
      <trackRevisions>false</trackRevisions>
    </reviewItem>
    <reviewItem>
      <errorID>72ff0fd2-cfa7-475c-95f8-18b6cd44eaf8</errorID>
      <errorWord>)</errorWord>
      <group>L1_Format</group>
      <groupName>格式问题</groupName>
      <ability>L2_HalfPunc</ability>
      <abilityName>全半角检查</abilityName>
      <candidateList>
        <item>）</item>
      </candidateList>
      <explain>文本全半角错误。</explain>
      <paraID>  B68275</paraID>
      <start>63</start>
      <end>64</end>
      <status>modified</status>
      <modifiedWord>）</modifiedWord>
      <trackRevisions>false</trackRevisions>
    </reviewItem>
    <reviewItem>
      <errorID>6cd78a14-0d25-4e55-adaf-9cf00b9f0743</errorID>
      <errorWord>：</errorWord>
      <group>L1_Punc</group>
      <groupName>标点问题</groupName>
      <ability>L2_Punc</ability>
      <abilityName>标点符号检查</abilityName>
      <candidateList>
        <item/>
      </candidateList>
      <explain>标题文本后不使用标点符号。</explain>
      <paraID> 6ED8BA3</paraID>
      <start>7</start>
      <end>7</end>
      <status>modified</status>
      <modifiedWord/>
      <trackRevisions>false</trackRevisions>
    </reviewItem>
    <reviewItem>
      <errorID>fcca9dd6-82dc-4573-91b9-50ead9744435</errorID>
      <errorWord>(</errorWord>
      <group>L1_Format</group>
      <groupName>格式问题</groupName>
      <ability>L2_HalfPunc</ability>
      <abilityName>全半角检查</abilityName>
      <candidateList>
        <item>（</item>
      </candidateList>
      <explain>文本全半角错误。</explain>
      <paraID>1FD86241</paraID>
      <start>6</start>
      <end>7</end>
      <status>modified</status>
      <modifiedWord>（</modifiedWord>
      <trackRevisions>false</trackRevisions>
    </reviewItem>
    <reviewItem>
      <errorID>b051ec46-6fa8-41f8-baed-6a11427bf09e</errorID>
      <errorWord>)</errorWord>
      <group>L1_Format</group>
      <groupName>格式问题</groupName>
      <ability>L2_HalfPunc</ability>
      <abilityName>全半角检查</abilityName>
      <candidateList>
        <item>）</item>
      </candidateList>
      <explain>文本全半角错误。</explain>
      <paraID>1FD86241</paraID>
      <start>28</start>
      <end>29</end>
      <status>modified</status>
      <modifiedWord>）</modifiedWord>
      <trackRevisions>false</trackRevisions>
    </reviewItem>
    <reviewItem>
      <errorID>8086967f-bc12-4bb6-acb4-18480e662671</errorID>
      <errorWord>(</errorWord>
      <group>L1_Format</group>
      <groupName>格式问题</groupName>
      <ability>L2_HalfPunc</ability>
      <abilityName>全半角检查</abilityName>
      <candidateList>
        <item>（</item>
      </candidateList>
      <explain>文本全半角错误。</explain>
      <paraID>1FD86241</paraID>
      <start>37</start>
      <end>38</end>
      <status>modified</status>
      <modifiedWord>（</modifiedWord>
      <trackRevisions>false</trackRevisions>
    </reviewItem>
    <reviewItem>
      <errorID>175aff04-5e7b-46d7-a977-6f2d01766d7c</errorID>
      <errorWord>)</errorWord>
      <group>L1_Format</group>
      <groupName>格式问题</groupName>
      <ability>L2_HalfPunc</ability>
      <abilityName>全半角检查</abilityName>
      <candidateList>
        <item>）</item>
      </candidateList>
      <explain>文本全半角错误。</explain>
      <paraID>1FD86241</paraID>
      <start>82</start>
      <end>83</end>
      <status>modified</status>
      <modifiedWord>）</modifiedWord>
      <trackRevisions>false</trackRevisions>
    </reviewItem>
    <reviewItem>
      <errorID>c5d0e3de-a077-4bc4-93b0-6257604bfa2b</errorID>
      <errorWord>：</errorWord>
      <group>L1_Punc</group>
      <groupName>标点问题</groupName>
      <ability>L2_Punc</ability>
      <abilityName>标点符号检查</abilityName>
      <candidateList>
        <item/>
      </candidateList>
      <explain>标题文本后不使用标点符号。</explain>
      <paraID>1F4021D6</paraID>
      <start>7</start>
      <end>7</end>
      <status>modified</status>
      <modifiedWord/>
      <trackRevisions>false</trackRevisions>
    </reviewItem>
    <reviewItem>
      <errorID>3a47e0d0-5bf0-46dc-ad79-40786df4459f</errorID>
      <errorWord>：</errorWord>
      <group>L1_Punc</group>
      <groupName>标点问题</groupName>
      <ability>L2_Punc</ability>
      <abilityName>标点符号检查</abilityName>
      <candidateList>
        <item/>
      </candidateList>
      <explain>标题文本后不使用标点符号。</explain>
      <paraID>28F144E1</paraID>
      <start>7</start>
      <end>7</end>
      <status>modified</status>
      <modifiedWord/>
      <trackRevisions>false</trackRevisions>
    </reviewItem>
    <reviewItem>
      <errorID>3dc079ea-8217-4774-8f5c-152ead1c86be</errorID>
      <errorWord>&lt;</errorWord>
      <group>L1_Format</group>
      <groupName>格式问题</groupName>
      <ability>L2_HalfPunc</ability>
      <abilityName>全半角检查</abilityName>
      <candidateList>
        <item>〈</item>
      </candidateList>
      <explain>文本全半角错误。</explain>
      <paraID>38153C49</paraID>
      <start>13</start>
      <end>14</end>
      <status>modified</status>
      <modifiedWord>〈</modifiedWord>
      <trackRevisions>false</trackRevisions>
    </reviewItem>
    <reviewItem>
      <errorID>864f0084-e18d-4de1-9258-5ef075497824</errorID>
      <errorWord>&gt;的通知》</errorWord>
      <group>L1_Punc</group>
      <groupName>标点问题</groupName>
      <ability>L2_Punc</ability>
      <abilityName>标点符号检查</abilityName>
      <candidateList>
        <item>〉的通知》</item>
      </candidateList>
      <explain/>
      <paraID>38153C49</paraID>
      <start>35</start>
      <end>40</end>
      <status>modified</status>
      <modifiedWord>〉的通知》</modifiedWord>
      <trackRevisions>false</trackRevisions>
    </reviewItem>
    <reviewItem>
      <errorID>5cfe3870-88b0-4a83-8523-c20954e6a7e3</errorID>
      <errorWord>：</errorWord>
      <group>L1_Punc</group>
      <groupName>标点问题</groupName>
      <ability>L2_Punc</ability>
      <abilityName>标点符号检查</abilityName>
      <candidateList>
        <item/>
      </candidateList>
      <explain>标题文本后不使用标点符号。</explain>
      <paraID>6B3603DA</paraID>
      <start>7</start>
      <end>7</end>
      <status>modified</status>
      <modifiedWord/>
      <trackRevisions>false</trackRevisions>
    </reviewItem>
    <reviewItem>
      <errorID>adeb05b8-05f1-4671-a65a-1b40a94d77b5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7BDE8CC8</paraID>
      <start>0</start>
      <end>2</end>
      <status>modified</status>
      <modifiedWord>1.</modifiedWord>
      <trackRevisions>false</trackRevisions>
    </reviewItem>
    <reviewItem>
      <errorID>5dc35adc-9353-450c-9641-05c463b13339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7958A8C5</paraID>
      <start>0</start>
      <end>2</end>
      <status>modified</status>
      <modifiedWord>2.</modifiedWord>
      <trackRevisions>false</trackRevisions>
    </reviewItem>
    <reviewItem>
      <errorID>1e7c86e8-439c-425d-ba9a-82cde3f654ed</errorID>
      <errorWord>聚道</errorWord>
      <group>L1_Word</group>
      <groupName>字词问题</groupName>
      <ability>L2_Typo</ability>
      <abilityName>字词错误</abilityName>
      <candidateList>
        <item>渠道</item>
      </candidateList>
      <explain/>
      <paraID>7958A8C5</paraID>
      <start>16</start>
      <end>18</end>
      <status>modified</status>
      <modifiedWord>渠道</modifiedWord>
      <trackRevisions>false</trackRevisions>
    </reviewItem>
    <reviewItem>
      <errorID>bc5cc16e-6cc7-45f0-ac8c-8d753f0ef6f9</errorID>
      <errorWord>如须</errorWord>
      <group>L1_Word</group>
      <groupName>字词问题</groupName>
      <ability>L2_Typo</ability>
      <abilityName>字词错误</abilityName>
      <candidateList>
        <item>如需</item>
      </candidateList>
      <explain/>
      <paraID>3220453A</paraID>
      <start>119</start>
      <end>121</end>
      <status>unmodified</status>
      <modifiedWord/>
      <trackRevisions>false</trackRevisions>
    </reviewItem>
    <reviewItem>
      <errorID>97e93bc1-2e04-4078-9a94-16edacdc39be</errorID>
      <errorWord>。</errorWord>
      <group>L1_Punc</group>
      <groupName>标点问题</groupName>
      <ability>L2_Punc</ability>
      <abilityName>标点符号检查</abilityName>
      <candidateList>
        <item/>
      </candidateList>
      <explain>标题文本后不使用标点符号。</explain>
      <paraID>589CFA85</paraID>
      <start>10</start>
      <end>11</end>
      <status>unmodified</status>
      <modifiedWord/>
      <trackRevisions>false</trackRevisions>
    </reviewItem>
    <reviewItem>
      <errorID>0588f862-c95f-4f7d-b3cf-1a7cf659bfba</errorID>
      <errorWord>。</errorWord>
      <group>L1_Punc</group>
      <groupName>标点问题</groupName>
      <ability>L2_Punc</ability>
      <abilityName>标点符号检查</abilityName>
      <candidateList>
        <item/>
      </candidateList>
      <explain>标题文本后不使用标点符号。</explain>
      <paraID>6A7E0CE8</paraID>
      <start>36</start>
      <end>37</end>
      <status>unmodified</status>
      <modifiedWord/>
      <trackRevisions>false</trackRevisions>
    </reviewItem>
    <reviewItem>
      <errorID>bc122926-671f-40b4-ab55-90b0dadbf337</errorID>
      <errorWord>。</errorWord>
      <group>L1_Punc</group>
      <groupName>标点问题</groupName>
      <ability>L2_Punc</ability>
      <abilityName>标点符号检查</abilityName>
      <candidateList>
        <item/>
      </candidateList>
      <explain>标题文本后不使用标点符号。</explain>
      <paraID> 7BD4AC5</paraID>
      <start>27</start>
      <end>28</end>
      <status>unmodified</status>
      <modifiedWord/>
      <trackRevisions>false</trackRevisions>
    </reviewItem>
    <reviewItem>
      <errorID>98f4b231-8c80-4419-8eb0-c2508275e5de</errorID>
      <errorWord>》</errorWord>
      <group>L1_Word</group>
      <groupName>字词问题</groupName>
      <ability>L2_Typo</ability>
      <abilityName>字词错误</abilityName>
      <candidateList>
        <item>》和</item>
      </candidateList>
      <explain/>
      <paraID>15F795BC</paraID>
      <start>19</start>
      <end>20</end>
      <status>unmodified</status>
      <modifiedWord/>
      <trackRevisions>false</trackRevisions>
    </reviewItem>
    <reviewItem>
      <errorID>8955d71e-ed2f-4d29-be9e-5bd174df79a7</errorID>
      <errorWord>。</errorWord>
      <group>L1_Punc</group>
      <groupName>标点问题</groupName>
      <ability>L2_Punc</ability>
      <abilityName>标点符号检查</abilityName>
      <candidateList>
        <item/>
      </candidateList>
      <explain>标题文本后不使用标点符号。</explain>
      <paraID>6A75D2DB</paraID>
      <start>34</start>
      <end>35</end>
      <status>unmodified</status>
      <modifiedWord/>
      <trackRevisions>false</trackRevisions>
    </reviewItem>
    <reviewItem>
      <errorID>0582fd8d-95f3-4241-8e8c-ebdf98009d59</errorID>
      <errorWord>分行</errorWord>
      <group>L1_Word</group>
      <groupName>字词问题</groupName>
      <ability>L2_Typo</ability>
      <abilityName>字词错误</abilityName>
      <candidateList>
        <item>分项</item>
      </candidateList>
      <explain>存在发音相近字词的误用。</explain>
      <paraID>5722D04E</paraID>
      <start>23</start>
      <end>25</end>
      <status>unmodified</status>
      <modifiedWord/>
      <trackRevisions>false</trackRevisions>
    </reviewItem>
    <reviewItem>
      <errorID>1c178525-6b1b-4cc8-bcf6-db6783cb3594</errorID>
      <errorWord>股东大会</errorWord>
      <group>L1_Word</group>
      <groupName>字词问题</groupName>
      <ability>L2_Typo</ability>
      <abilityName>字词错误</abilityName>
      <candidateList>
        <item>股东会</item>
      </candidateList>
      <explain/>
      <paraID>4A64F11E</paraID>
      <start>102</start>
      <end>106</end>
      <status>unmodified</status>
      <modifiedWord/>
      <trackRevisions>false</trackRevisions>
    </reviewItem>
    <reviewItem>
      <errorID>5b147bb4-1386-47f7-ba65-28dd476b9bee</errorID>
      <errorWord>。</errorWord>
      <group>L1_Punc</group>
      <groupName>标点问题</groupName>
      <ability>L2_Punc</ability>
      <abilityName>标点符号检查</abilityName>
      <candidateList>
        <item/>
      </candidateList>
      <explain>标题文本后不使用标点符号。</explain>
      <paraID>62E0D5E0</paraID>
      <start>47</start>
      <end>48</end>
      <status>unmodified</status>
      <modifiedWord/>
      <trackRevisions>false</trackRevisions>
    </reviewItem>
    <reviewItem>
      <errorID>346486f1-282d-41c5-afc0-48ae6401e46e</errorID>
      <errorWord>：</errorWord>
      <group>L1_Punc</group>
      <groupName>标点问题</groupName>
      <ability>L2_Punc</ability>
      <abilityName>标点符号检查</abilityName>
      <candidateList>
        <item/>
      </candidateList>
      <explain>标题文本后不使用标点符号。</explain>
      <paraID>7C171688</paraID>
      <start>18</start>
      <end>19</end>
      <status>unmodified</status>
      <modifiedWord/>
      <trackRevisions>false</trackRevisions>
    </reviewItem>
    <reviewItem>
      <errorID>68d36920-d8a8-4f28-b00a-33e695cf5f07</errorID>
      <errorWord>称</errorWord>
      <group>L1_Word</group>
      <groupName>字词问题</groupName>
      <ability>L2_Typo</ability>
      <abilityName>字词错误</abilityName>
      <candidateList>
        <item>秤</item>
      </candidateList>
      <explain>存在发音相同字词的误用。</explain>
      <paraID>633272AF</paraID>
      <start>4</start>
      <end>5</end>
      <status>unmodified</status>
      <modifiedWord/>
      <trackRevisions>false</trackRevisions>
    </reviewItem>
    <reviewItem>
      <errorID>010281dc-bd36-426a-bda3-5e1c6c0f051e</errorID>
      <errorWord>况</errorWord>
      <group>L1_Word</group>
      <groupName>字词问题</groupName>
      <ability>L2_Typo</ability>
      <abilityName>字词错误</abilityName>
      <candidateList>
        <item>况下</item>
      </candidateList>
      <explain/>
      <paraID>5BC13195</paraID>
      <start>60</start>
      <end>62</end>
      <status>modified</status>
      <modifiedWord>况下</modifiedWord>
      <trackRevisions>false</trackRevisions>
    </reviewItem>
    <reviewItem>
      <errorID>6679dda1-a913-496e-9af2-b8bca76fc852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1B5AF98E</paraID>
      <start>9</start>
      <end>10</end>
      <status>modified</status>
      <modifiedWord>—</modifiedWord>
      <trackRevisions>false</trackRevisions>
    </reviewItem>
    <reviewItem>
      <errorID>c3a21a4a-7068-46e2-bb86-94c4fb71728c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35C33F3B</paraID>
      <start>8</start>
      <end>9</end>
      <status>modified</status>
      <modifiedWord>—</modifiedWord>
      <trackRevisions>false</trackRevisions>
    </reviewItem>
    <reviewItem>
      <errorID>1609c5cb-ef96-4d20-8131-6fc36c015211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56725627</paraID>
      <start>23</start>
      <end>24</end>
      <status>modified</status>
      <modifiedWord>—</modifiedWord>
      <trackRevisions>false</trackRevisions>
    </reviewItem>
    <reviewItem>
      <errorID>ab683fa6-5579-48dd-9167-6d649b388220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1050EEE9</paraID>
      <start>9</start>
      <end>10</end>
      <status>modified</status>
      <modifiedWord>—</modifiedWord>
      <trackRevisions>false</trackRevisions>
    </reviewItem>
    <reviewItem>
      <errorID>080444ea-414e-47a9-bd00-efe875cebad7</errorID>
      <errorWord>牵引勾</errorWord>
      <group>L1_Word</group>
      <groupName>字词问题</groupName>
      <ability>L2_Typo</ability>
      <abilityName>字词错误</abilityName>
      <candidateList>
        <item>牵引钩</item>
      </candidateList>
      <explain/>
      <paraID> 2F88005</paraID>
      <start>12</start>
      <end>15</end>
      <status>modified</status>
      <modifiedWord>牵引钩</modifiedWord>
      <trackRevisions>false</trackRevisions>
    </reviewItem>
    <reviewItem>
      <errorID>491981b7-c9ab-4b07-9f35-36641c8f7cdd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2228C6DF</paraID>
      <start>25</start>
      <end>26</end>
      <status>modified</status>
      <modifiedWord>—</modifiedWord>
      <trackRevisions>false</trackRevisions>
    </reviewItem>
    <reviewItem>
      <errorID>596dbb43-5dc8-444d-9d04-a20c92ee55fc</errorID>
      <errorWord>:</errorWord>
      <group>L1_Format</group>
      <groupName>格式问题</groupName>
      <ability>L2_HalfPunc</ability>
      <abilityName>全半角检查</abilityName>
      <candidateList>
        <item>：</item>
      </candidateList>
      <explain>文本全半角错误。</explain>
      <paraID>2A4869DF</paraID>
      <start>6</start>
      <end>7</end>
      <status>modified</status>
      <modifiedWord>：</modifiedWord>
      <trackRevisions>false</trackRevisions>
    </reviewItem>
    <reviewItem>
      <errorID>ba6fdcee-18fc-49af-91d6-0db7a346a20f</errorID>
      <errorWord>:</errorWord>
      <group>L1_Format</group>
      <groupName>格式问题</groupName>
      <ability>L2_HalfPunc</ability>
      <abilityName>全半角检查</abilityName>
      <candidateList>
        <item>：</item>
      </candidateList>
      <explain>文本全半角错误。</explain>
      <paraID>2C95E04F</paraID>
      <start>6</start>
      <end>7</end>
      <status>modified</status>
      <modifiedWord>：</modifiedWord>
      <trackRevisions>false</trackRevisions>
    </reviewItem>
    <reviewItem>
      <errorID>8a1af995-9c58-4ab4-910e-a527adede581</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45C61118</paraID>
      <start>40</start>
      <end>42</end>
      <status>unmodified</status>
      <modifiedWord/>
      <trackRevisions>false</trackRevisions>
    </reviewItem>
    <reviewItem>
      <errorID>a182e666-ad55-4049-83c6-10612c1e2b11</errorID>
      <errorWord>碘伏</errorWord>
      <group>L1_Knowledge</group>
      <groupName>知识性问题</groupName>
      <ability>L2_Term</ability>
      <abilityName>专业术语</abilityName>
      <candidateList>
        <item>碘附</item>
      </candidateList>
      <explain>医学名词[碘伏]为不规范表述或旧称，其规范书面表述为[碘附]。</explain>
      <paraID>45C61118</paraID>
      <start>50</start>
      <end>52</end>
      <status>unmodified</status>
      <modifiedWord/>
      <trackRevisions>false</trackRevisions>
    </reviewItem>
    <reviewItem>
      <errorID>9203833d-a810-4156-8496-8941ddc029a5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45C61118</paraID>
      <start>113</start>
      <end>114</end>
      <status>modified</status>
      <modifiedWord>地</modifiedWord>
      <trackRevisions>false</trackRevisions>
    </reviewItem>
    <reviewItem>
      <errorID>1a7511ed-3f6c-4cb3-ac9a-a49fc8baa910</errorID>
      <errorWord>〉</errorWord>
      <group>L1_Punc</group>
      <groupName>标点问题</groupName>
      <ability>L2_Punc</ability>
      <abilityName>标点符号检查</abilityName>
      <candidateList/>
      <explain/>
      <paraID>713C2675</paraID>
      <start>10</start>
      <end>11</end>
      <status>unmodified</status>
      <modifiedWord/>
      <trackRevisions>false</trackRevisions>
    </reviewItem>
    <reviewItem>
      <errorID>f5a91de3-0a59-4992-b0a0-3683b8ebe13a</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27B996B9</paraID>
      <start>3</start>
      <end>5</end>
      <status>unmodified</status>
      <modifiedWord/>
      <trackRevisions>false</trackRevisions>
    </reviewItem>
    <reviewItem>
      <errorID>6f4015b9-efa5-411f-91a9-884f0f70afd5</errorID>
      <errorWord>〉</errorWord>
      <group>L1_Punc</group>
      <groupName>标点问题</groupName>
      <ability>L2_Punc</ability>
      <abilityName>标点符号检查</abilityName>
      <candidateList/>
      <explain/>
      <paraID>212ECBCA</paraID>
      <start>10</start>
      <end>11</end>
      <status>unmodified</status>
      <modifiedWord/>
      <trackRevisions>false</trackRevisions>
    </reviewItem>
    <reviewItem>
      <errorID>c40956d4-18ff-4be7-a8be-13090f8ba8c4</errorID>
      <errorWord>；；</errorWord>
      <group>L1_Punc</group>
      <groupName>标点问题</groupName>
      <ability>L2_Punc</ability>
      <abilityName>标点符号检查</abilityName>
      <candidateList>
        <item>；</item>
      </candidateList>
      <explain/>
      <paraID>212ECBCA</paraID>
      <start>17</start>
      <end>18</end>
      <status>modified</status>
      <modifiedWord>；</modifiedWord>
      <trackRevisions>false</trackRevisions>
    </reviewItem>
    <reviewItem>
      <errorID>7f7b0711-09cd-4a4d-ad52-e8ab44e5d25d</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 C4A1F40</paraID>
      <start>3</start>
      <end>5</end>
      <status>unmodified</status>
      <modifiedWord/>
      <trackRevisions>false</trackRevisions>
    </reviewItem>
    <reviewItem>
      <errorID>5c11c6fc-be5d-4991-be0c-2142066eaff8</errorID>
      <errorWord>〉</errorWord>
      <group>L1_Punc</group>
      <groupName>标点问题</groupName>
      <ability>L2_Punc</ability>
      <abilityName>标点符号检查</abilityName>
      <candidateList/>
      <explain/>
      <paraID> 21B23F4</paraID>
      <start>10</start>
      <end>11</end>
      <status>unmodified</status>
      <modifiedWord/>
      <trackRevisions>false</trackRevisions>
    </reviewItem>
    <reviewItem>
      <errorID>06d5dbd6-4f9a-47e7-b1fb-62b2140dda01</errorID>
      <errorWord>；；</errorWord>
      <group>L1_Punc</group>
      <groupName>标点问题</groupName>
      <ability>L2_Punc</ability>
      <abilityName>标点符号检查</abilityName>
      <candidateList>
        <item>；</item>
      </candidateList>
      <explain/>
      <paraID> 21B23F4</paraID>
      <start>18</start>
      <end>19</end>
      <status>modified</status>
      <modifiedWord>；</modifiedWord>
      <trackRevisions>false</trackRevisions>
    </reviewItem>
    <reviewItem>
      <errorID>47c20f6c-d938-4395-a0c5-552c879b36d8</errorID>
      <errorWord>死腔</errorWord>
      <group>L1_Knowledge</group>
      <groupName>知识性问题</groupName>
      <ability>L2_Term</ability>
      <abilityName>专业术语</abilityName>
      <candidateList>
        <item>无效腔</item>
      </candidateList>
      <explain>医学名词[死腔]为不规范表述或旧称，其规范书面表述为[无效腔]。</explain>
      <paraID>34D34D24</paraID>
      <start>3</start>
      <end>5</end>
      <status>unmodified</status>
      <modifiedWord/>
      <trackRevisions>false</trackRevisions>
    </reviewItem>
    <reviewItem>
      <errorID>46c5595c-cc52-4227-92cc-49275c174d06</errorID>
      <errorWord>:</errorWord>
      <group>L1_Format</group>
      <groupName>格式问题</groupName>
      <ability>L2_HalfPunc</ability>
      <abilityName>全半角检查</abilityName>
      <candidateList>
        <item>：</item>
      </candidateList>
      <explain>文本全半角错误。</explain>
      <paraID>56BB3A17</paraID>
      <start>6</start>
      <end>7</end>
      <status>modified</status>
      <modifiedWord>：</modifiedWord>
      <trackRevisions>false</trackRevisions>
    </reviewItem>
    <reviewItem>
      <errorID>bbeb5901-426c-4518-9052-1e7f901d7275</errorID>
      <errorWord>;</errorWord>
      <group>L1_Format</group>
      <groupName>格式问题</groupName>
      <ability>L2_HalfPunc</ability>
      <abilityName>全半角检查</abilityName>
      <candidateList>
        <item>；</item>
      </candidateList>
      <explain>文本全半角错误。</explain>
      <paraID>56BB3A17</paraID>
      <start>11</start>
      <end>12</end>
      <status>modified</status>
      <modifiedWord>；</modifiedWord>
      <trackRevisions>false</trackRevisions>
    </reviewItem>
    <reviewItem>
      <errorID>e72bf92e-c7c8-43e1-b18d-0db6415063d8</errorID>
      <errorWord>:</errorWord>
      <group>L1_Format</group>
      <groupName>格式问题</groupName>
      <ability>L2_HalfPunc</ability>
      <abilityName>全半角检查</abilityName>
      <candidateList>
        <item>：</item>
      </candidateList>
      <explain>文本全半角错误。</explain>
      <paraID>56BB3A17</paraID>
      <start>16</start>
      <end>17</end>
      <status>modified</status>
      <modifiedWord>：</modifiedWord>
      <trackRevisions>false</trackRevisions>
    </reviewItem>
    <reviewItem>
      <errorID>25c12b26-f569-4bcc-8a7f-77c7c4eb0ff5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56BB3A17</paraID>
      <start>20</start>
      <end>21</end>
      <status>modified</status>
      <modifiedWord>—</modifiedWord>
      <trackRevisions>false</trackRevisions>
    </reviewItem>
    <reviewItem>
      <errorID>3cee3da5-52c2-4de8-9a32-2d2b7f472b5c</errorID>
      <errorWord>:</errorWord>
      <group>L1_Format</group>
      <groupName>格式问题</groupName>
      <ability>L2_HalfPunc</ability>
      <abilityName>全半角检查</abilityName>
      <candidateList>
        <item>：</item>
      </candidateList>
      <explain>文本全半角错误。</explain>
      <paraID>5CDAED22</paraID>
      <start>2</start>
      <end>3</end>
      <status>modified</status>
      <modifiedWord>：</modifiedWord>
      <trackRevisions>false</trackRevisions>
    </reviewItem>
    <reviewItem>
      <errorID>0db23477-2cbd-47cc-81f0-b0a4171ca9b3</errorID>
      <errorWord>副</errorWord>
      <group>L1_Word</group>
      <groupName>字词问题</groupName>
      <ability>L2_Typo</ability>
      <abilityName>字词错误</abilityName>
      <candidateList>
        <item>幅</item>
      </candidateList>
      <explain>❶（～儿）〈名〉布帛、呢绒等的宽度：～面｜单～｜双～｜宽～的白布。❷泛指宽度：～度｜～员｜振～。❸（～儿）〈量〉用于布帛、呢绒、图画等：一～画｜用两～布做一个床单儿。</explain>
      <paraID>12333C29</paraID>
      <start>3</start>
      <end>4</end>
      <status>unmodified</status>
      <modifiedWord/>
      <trackRevisions>false</trackRevisions>
    </reviewItem>
    <reviewItem>
      <errorID>1e675bf4-70e0-428c-9c1c-95a3db2a6c05</errorID>
      <errorWord>称</errorWord>
      <group>L1_Word</group>
      <groupName>字词问题</groupName>
      <ability>L2_Typo</ability>
      <abilityName>字词错误</abilityName>
      <candidateList>
        <item>秤</item>
      </candidateList>
      <explain>存在发音相同字词的误用。</explain>
      <paraID>4D351997</paraID>
      <start>4</start>
      <end>5</end>
      <status>unmodified</status>
      <modifiedWord/>
      <trackRevisions>false</trackRevisions>
    </reviewItem>
    <reviewItem>
      <errorID>60dd39c4-d131-4ea6-ba80-5c3211a57124</errorID>
      <errorWord>:</errorWord>
      <group>L1_Format</group>
      <groupName>格式问题</groupName>
      <ability>L2_HalfPunc</ability>
      <abilityName>全半角检查</abilityName>
      <candidateList>
        <item>：</item>
      </candidateList>
      <explain>文本全半角错误。</explain>
      <paraID>49F3B13C</paraID>
      <start>6</start>
      <end>7</end>
      <status>modified</status>
      <modifiedWord>：</modifiedWord>
      <trackRevisions>false</trackRevisions>
    </reviewItem>
    <reviewItem>
      <errorID>88115024-4de9-4948-9a59-e28dc50501b7</errorID>
      <errorWord>最大称量</errorWord>
      <group>L1_Knowledge</group>
      <groupName>知识性问题</groupName>
      <ability>L2_Term</ability>
      <abilityName>专业术语</abilityName>
      <candidateList>
        <item>最大秤量</item>
      </candidateList>
      <explain/>
      <paraID>49F3B13C</paraID>
      <start>7</start>
      <end>11</end>
      <status>unmodified</status>
      <modifiedWord/>
      <trackRevisions>false</trackRevisions>
    </reviewItem>
    <reviewItem>
      <errorID>9bfff8f7-e607-430d-a128-cffd5c3bfcf9</errorID>
      <errorWord>:</errorWord>
      <group>L1_Format</group>
      <groupName>格式问题</groupName>
      <ability>L2_HalfPunc</ability>
      <abilityName>全半角检查</abilityName>
      <candidateList>
        <item>：</item>
      </candidateList>
      <explain>文本全半角错误。</explain>
      <paraID> 2E4E4F5</paraID>
      <start>6</start>
      <end>7</end>
      <status>modified</status>
      <modifiedWord>：</modifiedWord>
      <trackRevisions>false</trackRevisions>
    </reviewItem>
    <reviewItem>
      <errorID>2d186bc0-d102-4cdb-8637-21c925623caf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2E4E4F5</paraID>
      <start>13</start>
      <end>14</end>
      <status>modified</status>
      <modifiedWord>—</modifiedWord>
      <trackRevisions>false</trackRevisions>
    </reviewItem>
    <reviewItem>
      <errorID>1025f90b-e65a-498c-9e99-2b3bc33b0382</errorID>
      <errorWord>(</errorWord>
      <group>L1_Format</group>
      <groupName>格式问题</groupName>
      <ability>L2_HalfPunc</ability>
      <abilityName>全半角检查</abilityName>
      <candidateList>
        <item>（</item>
      </candidateList>
      <explain>文本全半角错误。</explain>
      <paraID>445910D9</paraID>
      <start>14</start>
      <end>15</end>
      <status>modified</status>
      <modifiedWord>（</modifiedWord>
      <trackRevisions>false</trackRevisions>
    </reviewItem>
    <reviewItem>
      <errorID>255b8c55-2e16-4602-b84c-936b7c14d73a</errorID>
      <errorWord>)</errorWord>
      <group>L1_Format</group>
      <groupName>格式问题</groupName>
      <ability>L2_HalfPunc</ability>
      <abilityName>全半角检查</abilityName>
      <candidateList>
        <item>）</item>
      </candidateList>
      <explain>文本全半角错误。</explain>
      <paraID>445910D9</paraID>
      <start>21</start>
      <end>22</end>
      <status>modified</status>
      <modifiedWord>）</modifiedWord>
      <trackRevisions>false</trackRevisions>
    </reviewItem>
    <reviewItem>
      <errorID>c51dce5b-9787-41b7-9507-c48b8c18d33b</errorID>
      <errorWord>:(</errorWord>
      <group>L1_Format</group>
      <groupName>格式问题</groupName>
      <ability>L2_HalfPunc</ability>
      <abilityName>全半角检查</abilityName>
      <candidateList>
        <item>：（</item>
      </candidateList>
      <explain>文本全半角错误。</explain>
      <paraID>4321B150</paraID>
      <start>7</start>
      <end>9</end>
      <status>modified</status>
      <modifiedWord>：（</modifiedWord>
      <trackRevisions>false</trackRevisions>
    </reviewItem>
    <reviewItem>
      <errorID>cde7b3f3-6249-45e2-a5ba-96e0e024cf7a</errorID>
      <errorWord>)</errorWord>
      <group>L1_Format</group>
      <groupName>格式问题</groupName>
      <ability>L2_HalfPunc</ability>
      <abilityName>全半角检查</abilityName>
      <candidateList>
        <item>）</item>
      </candidateList>
      <explain>文本全半角错误。</explain>
      <paraID>4321B150</paraID>
      <start>12</start>
      <end>13</end>
      <status>modified</status>
      <modifiedWord>）</modifiedWord>
      <trackRevisions>false</trackRevisions>
    </reviewItem>
    <reviewItem>
      <errorID>ed063c26-d094-48b6-8831-77398192c23a</errorID>
      <errorWord>:(</errorWord>
      <group>L1_Format</group>
      <groupName>格式问题</groupName>
      <ability>L2_HalfPunc</ability>
      <abilityName>全半角检查</abilityName>
      <candidateList>
        <item>：（</item>
      </candidateList>
      <explain>文本全半角错误。</explain>
      <paraID>3A80B964</paraID>
      <start>6</start>
      <end>8</end>
      <status>modified</status>
      <modifiedWord>：（</modifiedWord>
      <trackRevisions>false</trackRevisions>
    </reviewItem>
    <reviewItem>
      <errorID>ad68fbd6-b243-4722-bcb7-2a3deebc64c0</errorID>
      <errorWord>)</errorWord>
      <group>L1_Format</group>
      <groupName>格式问题</groupName>
      <ability>L2_HalfPunc</ability>
      <abilityName>全半角检查</abilityName>
      <candidateList>
        <item>）</item>
      </candidateList>
      <explain>文本全半角错误。</explain>
      <paraID>3A80B964</paraID>
      <start>13</start>
      <end>14</end>
      <status>modified</status>
      <modifiedWord>）</modifiedWord>
      <trackRevisions>false</trackRevisions>
    </reviewItem>
    <reviewItem>
      <errorID>4200cdd1-df7f-4d66-95e3-85435cde383d</errorID>
      <errorWord>:</errorWord>
      <group>L1_Format</group>
      <groupName>格式问题</groupName>
      <ability>L2_HalfPunc</ability>
      <abilityName>全半角检查</abilityName>
      <candidateList>
        <item>：</item>
      </candidateList>
      <explain>文本全半角错误。</explain>
      <paraID>40F5F744</paraID>
      <start>4</start>
      <end>5</end>
      <status>modified</status>
      <modifiedWord>：</modifiedWord>
      <trackRevisions>false</trackRevisions>
    </reviewItem>
    <reviewItem>
      <errorID>20c346b4-9789-4b86-8baf-54ffa37684dd</errorID>
      <errorWord>:</errorWord>
      <group>L1_Format</group>
      <groupName>格式问题</groupName>
      <ability>L2_HalfPunc</ability>
      <abilityName>全半角检查</abilityName>
      <candidateList>
        <item>：</item>
      </candidateList>
      <explain>文本全半角错误。</explain>
      <paraID>40F5F744</paraID>
      <start>13</start>
      <end>14</end>
      <status>modified</status>
      <modifiedWord>：</modifiedWord>
      <trackRevisions>false</trackRevisions>
    </reviewItem>
    <reviewItem>
      <errorID>7a90e37c-9a27-4d79-acb2-ae53f52dd702</errorID>
      <errorWord>:</errorWord>
      <group>L1_Format</group>
      <groupName>格式问题</groupName>
      <ability>L2_HalfPunc</ability>
      <abilityName>全半角检查</abilityName>
      <candidateList>
        <item>：</item>
      </candidateList>
      <explain>文本全半角错误。</explain>
      <paraID>2D0AFFF0</paraID>
      <start>4</start>
      <end>5</end>
      <status>modified</status>
      <modifiedWord>：</modifiedWord>
      <trackRevisions>false</trackRevisions>
    </reviewItem>
    <reviewItem>
      <errorID>f90ebe0a-352b-4227-ad59-2b3e12675bb2</errorID>
      <errorWord>:</errorWord>
      <group>L1_Format</group>
      <groupName>格式问题</groupName>
      <ability>L2_HalfPunc</ability>
      <abilityName>全半角检查</abilityName>
      <candidateList>
        <item>：</item>
      </candidateList>
      <explain>文本全半角错误。</explain>
      <paraID>78AE73F5</paraID>
      <start>4</start>
      <end>5</end>
      <status>modified</status>
      <modifiedWord>：</modifiedWord>
      <trackRevisions>false</trackRevisions>
    </reviewItem>
    <reviewItem>
      <errorID>f7cc2ccf-e9a5-48d7-be23-507789175fe7</errorID>
      <errorWord>:</errorWord>
      <group>L1_Format</group>
      <groupName>格式问题</groupName>
      <ability>L2_HalfPunc</ability>
      <abilityName>全半角检查</abilityName>
      <candidateList>
        <item>：</item>
      </candidateList>
      <explain>文本全半角错误。</explain>
      <paraID>78AE73F5</paraID>
      <start>11</start>
      <end>12</end>
      <status>modified</status>
      <modifiedWord>：</modifiedWord>
      <trackRevisions>false</trackRevisions>
    </reviewItem>
    <reviewItem>
      <errorID>764d017a-7268-471a-a301-d553dda63b85</errorID>
      <errorWord>:</errorWord>
      <group>L1_Format</group>
      <groupName>格式问题</groupName>
      <ability>L2_HalfPunc</ability>
      <abilityName>全半角检查</abilityName>
      <candidateList>
        <item>：</item>
      </candidateList>
      <explain>文本全半角错误。</explain>
      <paraID>5ED5DD82</paraID>
      <start>7</start>
      <end>8</end>
      <status>modified</status>
      <modifiedWord>：</modifiedWord>
      <trackRevisions>false</trackRevisions>
    </reviewItem>
    <reviewItem>
      <errorID>79709700-7a14-474e-8b74-abeae8e4918b</errorID>
      <errorWord>MM</errorWord>
      <group>L1_Official</group>
      <groupName>公文问题</groupName>
      <ability>L2_Official</ability>
      <abilityName>公文问题</abilityName>
      <candidateList/>
      <explain>公文中禁止出现该词语</explain>
      <paraID>5ED5DD82</paraID>
      <start>12</start>
      <end>14</end>
      <status>unmodified</status>
      <modifiedWord/>
      <trackRevisions>false</trackRevisions>
    </reviewItem>
    <reviewItem>
      <errorID>07dc88b4-f7cc-4fa4-8ad2-cb4efd4b19fb</errorID>
      <errorWord>:</errorWord>
      <group>L1_Format</group>
      <groupName>格式问题</groupName>
      <ability>L2_HalfPunc</ability>
      <abilityName>全半角检查</abilityName>
      <candidateList>
        <item>：</item>
      </candidateList>
      <explain>文本全半角错误。</explain>
      <paraID>5ED5DD82</paraID>
      <start>20</start>
      <end>21</end>
      <status>modified</status>
      <modifiedWord>：</modifiedWord>
      <trackRevisions>false</trackRevisions>
    </reviewItem>
    <reviewItem>
      <errorID>2241fdc8-6d6e-43cb-9665-52d14a01edd7</errorID>
      <errorWord>MM</errorWord>
      <group>L1_Official</group>
      <groupName>公文问题</groupName>
      <ability>L2_Official</ability>
      <abilityName>公文问题</abilityName>
      <candidateList/>
      <explain>公文中禁止出现该词语</explain>
      <paraID>5ED5DD82</paraID>
      <start>25</start>
      <end>27</end>
      <status>unmodified</status>
      <modifiedWord/>
      <trackRevisions>false</trackRevisions>
    </reviewItem>
    <reviewItem>
      <errorID>95a3ea50-72d7-46e9-a397-469093f08dab</errorID>
      <errorWord>:</errorWord>
      <group>L1_Format</group>
      <groupName>格式问题</groupName>
      <ability>L2_HalfPunc</ability>
      <abilityName>全半角检查</abilityName>
      <candidateList>
        <item>：</item>
      </candidateList>
      <explain>文本全半角错误。</explain>
      <paraID>2F3E81CB</paraID>
      <start>4</start>
      <end>5</end>
      <status>modified</status>
      <modifiedWord>：</modifiedWord>
      <trackRevisions>false</trackRevisions>
    </reviewItem>
    <reviewItem>
      <errorID>bb79f7a0-be1d-4b8f-95ae-2b8c66c198a3</errorID>
      <errorWord>，；</errorWord>
      <group>L1_Punc</group>
      <groupName>标点问题</groupName>
      <ability>L2_Punc</ability>
      <abilityName>标点符号检查</abilityName>
      <candidateList>
        <item>，</item>
      </candidateList>
      <explain/>
      <paraID>2F3E81CB</paraID>
      <start>10</start>
      <end>12</end>
      <status>unmodified</status>
      <modifiedWord/>
      <trackRevisions>false</trackRevisions>
    </reviewItem>
    <reviewItem>
      <errorID>6713a1f9-2aa2-486f-b806-1892fefc965e</errorID>
      <errorWord>:</errorWord>
      <group>L1_Format</group>
      <groupName>格式问题</groupName>
      <ability>L2_HalfPunc</ability>
      <abilityName>全半角检查</abilityName>
      <candidateList>
        <item>：</item>
      </candidateList>
      <explain>文本全半角错误。</explain>
      <paraID>6B3621CC</paraID>
      <start>4</start>
      <end>5</end>
      <status>modified</status>
      <modifiedWord>：</modifiedWord>
      <trackRevisions>false</trackRevisions>
    </reviewItem>
    <reviewItem>
      <errorID>7945ae35-656b-4ce5-a8b3-e6544dee944f</errorID>
      <errorWord>:</errorWord>
      <group>L1_Format</group>
      <groupName>格式问题</groupName>
      <ability>L2_HalfPunc</ability>
      <abilityName>全半角检查</abilityName>
      <candidateList>
        <item>：</item>
      </candidateList>
      <explain>文本全半角错误。</explain>
      <paraID>6B3621CC</paraID>
      <start>16</start>
      <end>17</end>
      <status>modified</status>
      <modifiedWord>：</modifiedWord>
      <trackRevisions>false</trackRevisions>
    </reviewItem>
    <reviewItem>
      <errorID>efe22bdf-a98d-4ebe-bde9-479f7c613230</errorID>
      <errorWord>紫外线消毒车</errorWord>
      <group>L1_Knowledge</group>
      <groupName>知识性问题</groupName>
      <ability>L2_Term</ability>
      <abilityName>专业术语</abilityName>
      <candidateList>
        <item>紫外线消毒灯</item>
      </candidateList>
      <explain/>
      <paraID>277547AC</paraID>
      <start>5</start>
      <end>11</end>
      <status>unmodified</status>
      <modifiedWord/>
      <trackRevisions>false</trackRevisions>
    </reviewItem>
    <reviewItem>
      <errorID>513fa962-0544-49d9-a5fe-ad854adee252</errorID>
      <errorWord>冷乱板</errorWord>
      <group>L1_Word</group>
      <groupName>字词问题</groupName>
      <ability>L2_Typo</ability>
      <abilityName>字词错误</abilityName>
      <candidateList>
        <item>冷轧板</item>
      </candidateList>
      <explain/>
      <paraID>360230B1</paraID>
      <start>8</start>
      <end>11</end>
      <status>modified</status>
      <modifiedWord>冷轧板</modifiedWord>
      <trackRevisions>false</trackRevisions>
    </reviewItem>
    <reviewItem>
      <errorID>e34acdaa-142c-4990-8207-32d27ad278c1</errorID>
      <errorWord>配条</errorWord>
      <group>L1_Word</group>
      <groupName>字词问题</groupName>
      <ability>L2_Typo</ability>
      <abilityName>字词错误</abilityName>
      <candidateList>
        <item>配套</item>
      </candidateList>
      <explain>存在发音相近字词的误用。</explain>
      <paraID>1545A70F</paraID>
      <start>5</start>
      <end>7</end>
      <status>modified</status>
      <modifiedWord>配套</modifiedWord>
      <trackRevisions>false</trackRevisions>
    </reviewItem>
    <reviewItem>
      <errorID>9ef64b63-d41c-4e0d-a448-5047de3a397e</errorID>
      <errorWord>中科院</errorWord>
      <group>L1_Knowledge</group>
      <groupName>知识性问题</groupName>
      <ability>L2_Knowledge</ability>
      <abilityName>其他知识</abilityName>
      <candidateList>
        <item>中国科学院</item>
      </candidateList>
      <explain/>
      <paraID>2B320E9C</paraID>
      <start>22</start>
      <end>25</end>
      <status>unmodified</status>
      <modifiedWord/>
      <trackRevisions>false</trackRevisions>
    </reviewItem>
    <reviewItem>
      <errorID>75c92b5f-eef2-41a8-9051-426d50a7cdaa</errorID>
      <errorWord>签定合同</errorWord>
      <group>L1_Word</group>
      <groupName>字词问题</groupName>
      <ability>L2_Typo</ability>
      <abilityName>字词错误</abilityName>
      <candidateList>
        <item>签订合同</item>
      </candidateList>
      <explain/>
      <paraID>4BD97CD7</paraID>
      <start>8</start>
      <end>12</end>
      <status>modified</status>
      <modifiedWord>签订合同</modifiedWord>
      <trackRevisions>false</trackRevisions>
    </reviewItem>
    <reviewItem>
      <errorID>f31deb8e-c05a-4a33-98d5-2f5307c706c1</errorID>
      <errorWord>适应</errorWord>
      <group>L1_Word</group>
      <groupName>字词问题</groupName>
      <ability>L2_Typo</ability>
      <abilityName>字词错误</abilityName>
      <candidateList>
        <item>适用</item>
      </candidateList>
      <explain>〈形〉适合使用：这套耕作方法，在我们这个地区也完全～。</explain>
      <paraID>6E221361</paraID>
      <start>47</start>
      <end>49</end>
      <status>modified</status>
      <modifiedWord>适用</modifiedWord>
      <trackRevisions>false</trackRevisions>
    </reviewItem>
    <reviewItem>
      <errorID>1d0fbacb-9480-4c65-a96e-5317e23c82d8</errorID>
      <errorWord>格</errorWord>
      <group>L1_Word</group>
      <groupName>字词问题</groupName>
      <ability>L2_Typo</ability>
      <abilityName>字词错误</abilityName>
      <candidateList>
        <item>格及</item>
      </candidateList>
      <explain/>
      <paraID>7EB12F14</paraID>
      <start>114</start>
      <end>115</end>
      <status>unmodified</status>
      <modifiedWord/>
      <trackRevisions>false</trackRevisions>
    </reviewItem>
    <reviewItem>
      <errorID>aff9bf91-45d3-49cc-b29c-54af1d44c18c</errorID>
      <errorWord>费</errorWord>
      <group>L1_Word</group>
      <groupName>字词问题</groupName>
      <ability>L2_Typo</ability>
      <abilityName>字词错误</abilityName>
      <candidateList>
        <item>费用</item>
      </candidateList>
      <explain/>
      <paraID>7EB12F14</paraID>
      <start>160</start>
      <end>162</end>
      <status>modified</status>
      <modifiedWord>费用</modifiedWord>
      <trackRevisions>false</trackRevisions>
    </reviewItem>
    <reviewItem>
      <errorID>e8a17be4-6654-486a-98c0-dfdf61d84081</errorID>
      <errorWord>件</errorWord>
      <group>L1_Word</group>
      <groupName>字词问题</groupName>
      <ability>L2_Typo</ability>
      <abilityName>字词错误</abilityName>
      <candidateList>
        <item>件中</item>
      </candidateList>
      <explain/>
      <paraID>37964EB4</paraID>
      <start>7</start>
      <end>9</end>
      <status>modified</status>
      <modifiedWord>件中</modifiedWord>
      <trackRevisions>false</trackRevisions>
    </reviewItem>
    <reviewItem>
      <errorID>b9610a4c-7ff5-431e-b518-0333ea1f6edd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4449632B</paraID>
      <start>0</start>
      <end>2</end>
      <status>modified</status>
      <modifiedWord>a.</modifiedWord>
      <trackRevisions>false</trackRevisions>
    </reviewItem>
    <reviewItem>
      <errorID>69de79c1-706c-4f49-a3eb-3a50cfca4ffa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1FC8044A</paraID>
      <start>0</start>
      <end>2</end>
      <status>modified</status>
      <modifiedWord>b.</modifiedWord>
      <trackRevisions>false</trackRevisions>
    </reviewItem>
    <reviewItem>
      <errorID>be5016e8-8357-4efa-88b8-47fc64c3cffb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72690771</paraID>
      <start>0</start>
      <end>2</end>
      <status>modified</status>
      <modifiedWord>c.</modifiedWord>
      <trackRevisions>false</trackRevisions>
    </reviewItem>
    <reviewItem>
      <errorID>dec52349-3be7-4253-ae6e-1a207ca66a3e</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18F8819A</paraID>
      <start>0</start>
      <end>2</end>
      <status>modified</status>
      <modifiedWord>d.</modifiedWord>
      <trackRevisions>false</trackRevisions>
    </reviewItem>
    <reviewItem>
      <errorID>6688add9-aafe-4038-ba04-c6253371a5ad</errorID>
      <errorWord>赔偿和</errorWord>
      <group>L1_Word</group>
      <groupName>字词问题</groupName>
      <ability>L2_Typo</ability>
      <abilityName>字词错误</abilityName>
      <candidateList>
        <item>赔偿</item>
      </candidateList>
      <explain/>
      <paraID> FE45518</paraID>
      <start>110</start>
      <end>113</end>
      <status>unmodified</status>
      <modifiedWord/>
      <trackRevisions>false</trackRevisions>
    </reviewItem>
    <reviewItem>
      <errorID>37bf5634-f7a0-4df3-9120-520d6706cd50</errorID>
      <errorWord>第49条</errorWord>
      <group>L1_Knowledge</group>
      <groupName>知识性问题</groupName>
      <ability>L2_Knowledge</ability>
      <abilityName>其他知识</abilityName>
      <candidateList>
        <item>第四十九条</item>
      </candidateList>
      <explain/>
      <paraID>130367D3</paraID>
      <start>17</start>
      <end>21</end>
      <status>unmodified</status>
      <modifiedWord/>
      <trackRevisions>false</trackRevisions>
    </reviewItem>
    <reviewItem>
      <errorID>1d820eb6-42e3-4aee-af56-ceb08d3d2064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71DFFB5A</paraID>
      <start>136</start>
      <end>139</end>
      <status>unmodified</status>
      <modifiedWord/>
      <trackRevisions>false</trackRevisions>
    </reviewItem>
    <reviewItem>
      <errorID>ddf54ac8-5c68-40bb-8b01-3caa47ddc509</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1EAB17A2</paraID>
      <start>33</start>
      <end>36</end>
      <status>unmodified</status>
      <modifiedWord/>
      <trackRevisions>false</trackRevisions>
    </reviewItem>
    <reviewItem>
      <errorID>dba87182-caf8-4da5-9780-9923f91b99f5</errorID>
      <errorWord>如有</errorWord>
      <group>L1_Word</group>
      <groupName>字词问题</groupName>
      <ability>L2_Typo</ability>
      <abilityName>字词错误</abilityName>
      <candidateList>
        <item>如</item>
      </candidateList>
      <explain/>
      <paraID>7B7BA09F</paraID>
      <start>26</start>
      <end>27</end>
      <status>modified</status>
      <modifiedWord>如</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0cdb11-93c4-4ca2-9e1a-917a5b35c74e}">
  <ds:schemaRefs/>
</ds:datastoreItem>
</file>

<file path=docProps/app.xml><?xml version="1.0" encoding="utf-8"?>
<Properties xmlns="http://schemas.openxmlformats.org/officeDocument/2006/extended-properties" xmlns:vt="http://schemas.openxmlformats.org/officeDocument/2006/docPropsVTypes">
  <Template>Normal.dotm</Template>
  <Pages>68</Pages>
  <Words>9749</Words>
  <Characters>10016</Characters>
  <Lines>0</Lines>
  <Paragraphs>0</Paragraphs>
  <TotalTime>3</TotalTime>
  <ScaleCrop>false</ScaleCrop>
  <LinksUpToDate>false</LinksUpToDate>
  <CharactersWithSpaces>10062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2025-12-16T01:57:00Z</dcterms:created>
  <dc:creator>Administrator</dc:creator>
  <cp:lastModifiedBy>Administrator</cp:lastModifiedBy>
  <dcterms:modified xsi:type="dcterms:W3CDTF">2026-07-14T08:36:30Z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eyJoZGlkIjoiZDg1ZmUyN2M3YzE0YWYwY2U3YTY0NDM1ZTI1OGNhZjkiLCJ1c2VySWQiOiI0MzM4ODMwMDQifQ==</vt:lpwstr>
  </property>
  <property fmtid="{D5CDD505-2E9C-101B-9397-08002B2CF9AE}" pid="4" name="ICV">
    <vt:lpwstr>136047CF1CA74FEA9AC094D67F99FBA5_13</vt:lpwstr>
  </property>
</Properties>
</file>