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项目经济性测算及规划研究外包服务</w:t>
      </w:r>
    </w:p>
    <w:p>
      <w:pPr>
        <w:spacing w:line="560" w:lineRule="exact"/>
        <w:jc w:val="center"/>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采购需求书</w:t>
      </w:r>
    </w:p>
    <w:p>
      <w:pPr>
        <w:pStyle w:val="5"/>
        <w:spacing w:line="560" w:lineRule="exact"/>
        <w:ind w:firstLine="640"/>
        <w:rPr>
          <w:rFonts w:hint="eastAsia" w:ascii="仿宋_GB2312" w:hAnsi="仿宋_GB2312" w:eastAsia="仿宋_GB2312" w:cs="仿宋_GB2312"/>
          <w:b w:val="0"/>
          <w:bCs w:val="0"/>
          <w:color w:val="auto"/>
          <w:kern w:val="0"/>
          <w:sz w:val="32"/>
          <w:szCs w:val="32"/>
          <w:highlight w:val="none"/>
          <w:lang w:val="en-US" w:eastAsia="zh-CN" w:bidi="ar"/>
        </w:rPr>
      </w:pPr>
    </w:p>
    <w:p>
      <w:pPr>
        <w:pStyle w:val="5"/>
        <w:spacing w:line="560" w:lineRule="exact"/>
        <w:ind w:firstLine="64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根据相关工作部署，我单位正稳步推进龙岗街道、平湖街道、龙城街道相关土地整备利益统筹项目前期工作。鉴于此类项目具有时效性强、情况复杂、临时性任务较多等特点，现拟通过服务外包方式，引入专业机构提供专项技术支持与驻场保障服务。</w:t>
      </w:r>
      <w:r>
        <w:rPr>
          <w:rFonts w:hint="eastAsia" w:ascii="仿宋_GB2312" w:hAnsi="仿宋_GB2312" w:eastAsia="仿宋_GB2312" w:cs="仿宋_GB2312"/>
          <w:color w:val="auto"/>
          <w:kern w:val="0"/>
          <w:sz w:val="32"/>
          <w:szCs w:val="32"/>
          <w:highlight w:val="none"/>
          <w:lang w:val="en-US" w:eastAsia="zh-CN" w:bidi="ar"/>
        </w:rPr>
        <w:t>具体采购需求如下：</w:t>
      </w:r>
      <w:bookmarkStart w:id="0" w:name="_GoBack"/>
      <w:bookmarkEnd w:id="0"/>
    </w:p>
    <w:p>
      <w:pPr>
        <w:pStyle w:val="5"/>
        <w:spacing w:line="560" w:lineRule="exact"/>
        <w:ind w:firstLine="640"/>
        <w:rPr>
          <w:rFonts w:hint="default" w:ascii="黑体" w:hAnsi="黑体" w:eastAsia="黑体" w:cs="黑体"/>
          <w:color w:val="000000"/>
          <w:sz w:val="32"/>
          <w:szCs w:val="32"/>
          <w:highlight w:val="none"/>
          <w:lang w:val="en-US" w:eastAsia="zh-CN"/>
        </w:rPr>
      </w:pPr>
      <w:r>
        <w:rPr>
          <w:rFonts w:hint="default" w:ascii="黑体" w:hAnsi="黑体" w:eastAsia="黑体" w:cs="黑体"/>
          <w:color w:val="000000"/>
          <w:sz w:val="32"/>
          <w:szCs w:val="32"/>
          <w:highlight w:val="none"/>
          <w:lang w:val="en-US" w:eastAsia="zh-CN"/>
        </w:rPr>
        <w:t>一、项目概况</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default" w:ascii="楷体_GB2312" w:hAnsi="Times New Roman" w:eastAsia="楷体_GB2312" w:cs="Times New Roman"/>
          <w:b/>
          <w:bCs/>
          <w:kern w:val="0"/>
          <w:sz w:val="32"/>
          <w:szCs w:val="32"/>
          <w:lang w:val="en-US" w:eastAsia="zh-CN"/>
        </w:rPr>
        <w:t>（一）</w:t>
      </w:r>
      <w:r>
        <w:rPr>
          <w:rFonts w:hint="eastAsia" w:ascii="楷体_GB2312" w:hAnsi="Times New Roman" w:eastAsia="楷体_GB2312" w:cs="Times New Roman"/>
          <w:b/>
          <w:bCs/>
          <w:kern w:val="0"/>
          <w:sz w:val="32"/>
          <w:szCs w:val="32"/>
          <w:lang w:val="en-US" w:eastAsia="zh-CN"/>
        </w:rPr>
        <w:t>龙岗街道某</w:t>
      </w:r>
      <w:r>
        <w:rPr>
          <w:rFonts w:hint="default" w:ascii="楷体_GB2312" w:hAnsi="Times New Roman" w:eastAsia="楷体_GB2312" w:cs="Times New Roman"/>
          <w:b/>
          <w:bCs/>
          <w:kern w:val="0"/>
          <w:sz w:val="32"/>
          <w:szCs w:val="32"/>
          <w:lang w:val="en-US" w:eastAsia="zh-CN"/>
        </w:rPr>
        <w:t>土地整备利益统筹项目</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实施范围约111.01公顷，调整后约93.58公顷。现状权属以未征转用地为主，合法用地约4.67公顷（占4.99%），未完善征转手续用地约81.97公顷。现状建筑总量约87.04万㎡。</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default" w:ascii="楷体_GB2312" w:hAnsi="Times New Roman" w:eastAsia="楷体_GB2312" w:cs="Times New Roman"/>
          <w:b/>
          <w:bCs/>
          <w:kern w:val="0"/>
          <w:sz w:val="32"/>
          <w:szCs w:val="32"/>
          <w:lang w:val="en-US" w:eastAsia="zh-CN"/>
        </w:rPr>
        <w:t>（二）平湖</w:t>
      </w:r>
      <w:r>
        <w:rPr>
          <w:rFonts w:hint="eastAsia" w:ascii="楷体_GB2312" w:hAnsi="Times New Roman" w:eastAsia="楷体_GB2312" w:cs="Times New Roman"/>
          <w:b/>
          <w:bCs/>
          <w:kern w:val="0"/>
          <w:sz w:val="32"/>
          <w:szCs w:val="32"/>
          <w:lang w:val="en-US" w:eastAsia="zh-CN"/>
        </w:rPr>
        <w:t>街道某</w:t>
      </w:r>
      <w:r>
        <w:rPr>
          <w:rFonts w:hint="default" w:ascii="楷体_GB2312" w:hAnsi="Times New Roman" w:eastAsia="楷体_GB2312" w:cs="Times New Roman"/>
          <w:b/>
          <w:bCs/>
          <w:kern w:val="0"/>
          <w:sz w:val="32"/>
          <w:szCs w:val="32"/>
          <w:lang w:val="en-US" w:eastAsia="zh-CN"/>
        </w:rPr>
        <w:t>土地整备利益统筹项目</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实施范围约144.1公顷（利益统筹范围约96.5公顷）。合法用地约16.66公顷（占17%），未完善征转手续用地约79.86公顷。利益统筹范围内永久建筑面积约54.72万㎡。</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default" w:ascii="楷体_GB2312" w:hAnsi="Times New Roman" w:eastAsia="楷体_GB2312" w:cs="Times New Roman"/>
          <w:b/>
          <w:bCs/>
          <w:kern w:val="0"/>
          <w:sz w:val="32"/>
          <w:szCs w:val="32"/>
          <w:lang w:val="en-US" w:eastAsia="zh-CN"/>
        </w:rPr>
        <w:t>（三）龙城街道</w:t>
      </w:r>
      <w:r>
        <w:rPr>
          <w:rFonts w:hint="eastAsia" w:ascii="楷体_GB2312" w:hAnsi="Times New Roman" w:eastAsia="楷体_GB2312" w:cs="Times New Roman"/>
          <w:b/>
          <w:bCs/>
          <w:kern w:val="0"/>
          <w:sz w:val="32"/>
          <w:szCs w:val="32"/>
          <w:lang w:val="en-US" w:eastAsia="zh-CN"/>
        </w:rPr>
        <w:t>某</w:t>
      </w:r>
      <w:r>
        <w:rPr>
          <w:rFonts w:hint="default" w:ascii="楷体_GB2312" w:hAnsi="Times New Roman" w:eastAsia="楷体_GB2312" w:cs="Times New Roman"/>
          <w:b/>
          <w:bCs/>
          <w:kern w:val="0"/>
          <w:sz w:val="32"/>
          <w:szCs w:val="32"/>
          <w:lang w:val="en-US" w:eastAsia="zh-CN"/>
        </w:rPr>
        <w:t>土地整备利益统筹项目</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实施范围约116.36公顷。合法用地约23.7公顷（占20.4%），未完善征转手续用地约76.92公顷（占66.1%）。现状总建筑面积约166.08万㎡。</w:t>
      </w:r>
    </w:p>
    <w:p>
      <w:pPr>
        <w:adjustRightInd w:val="0"/>
        <w:snapToGrid w:val="0"/>
        <w:spacing w:line="560"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p>
    <w:p>
      <w:pPr>
        <w:adjustRightInd w:val="0"/>
        <w:snapToGrid w:val="0"/>
        <w:spacing w:line="56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以上</w:t>
      </w:r>
      <w:r>
        <w:rPr>
          <w:rFonts w:hint="eastAsia" w:ascii="仿宋_GB2312" w:hAnsi="仿宋_GB2312" w:eastAsia="仿宋_GB2312" w:cs="仿宋_GB2312"/>
          <w:b w:val="0"/>
          <w:bCs w:val="0"/>
          <w:sz w:val="32"/>
          <w:szCs w:val="32"/>
          <w:lang w:val="en-US" w:eastAsia="zh-CN"/>
        </w:rPr>
        <w:t>均</w:t>
      </w:r>
      <w:r>
        <w:rPr>
          <w:rFonts w:hint="default" w:ascii="仿宋_GB2312" w:hAnsi="仿宋_GB2312" w:eastAsia="仿宋_GB2312" w:cs="仿宋_GB2312"/>
          <w:b w:val="0"/>
          <w:bCs w:val="0"/>
          <w:sz w:val="32"/>
          <w:szCs w:val="32"/>
          <w:lang w:val="en-US" w:eastAsia="zh-CN"/>
        </w:rPr>
        <w:t>为初步核查数据，最终以批复实施范围核实的为准。</w:t>
      </w:r>
    </w:p>
    <w:p>
      <w:pPr>
        <w:adjustRightInd w:val="0"/>
        <w:snapToGrid w:val="0"/>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服务方服务范围涵盖但不限于上述三个项目，具体工作内容由委托方根据年度项目推进节奏和工作需要进行统筹调配和安排。若因政府主管部门要求或项目实际需要，委托方新增项目需另行采购专业服务的，不纳入本次采购服务范围内。</w:t>
      </w:r>
    </w:p>
    <w:p>
      <w:pPr>
        <w:pStyle w:val="5"/>
        <w:spacing w:line="560" w:lineRule="exact"/>
        <w:ind w:firstLine="640"/>
        <w:rPr>
          <w:rFonts w:hint="default" w:ascii="黑体" w:hAnsi="黑体" w:eastAsia="黑体" w:cs="黑体"/>
          <w:color w:val="000000"/>
          <w:sz w:val="32"/>
          <w:szCs w:val="32"/>
          <w:highlight w:val="none"/>
          <w:lang w:val="en-US" w:eastAsia="zh-CN"/>
        </w:rPr>
      </w:pPr>
      <w:r>
        <w:rPr>
          <w:rFonts w:hint="default"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lang w:val="en-US" w:eastAsia="zh-CN"/>
        </w:rPr>
        <w:t>主要服务</w:t>
      </w:r>
      <w:r>
        <w:rPr>
          <w:rFonts w:hint="default" w:ascii="黑体" w:hAnsi="黑体" w:eastAsia="黑体" w:cs="黑体"/>
          <w:color w:val="000000"/>
          <w:sz w:val="32"/>
          <w:szCs w:val="32"/>
          <w:highlight w:val="none"/>
          <w:lang w:val="en-US" w:eastAsia="zh-CN"/>
        </w:rPr>
        <w:t>内容</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default" w:ascii="楷体_GB2312" w:hAnsi="Times New Roman" w:eastAsia="楷体_GB2312" w:cs="Times New Roman"/>
          <w:b/>
          <w:bCs/>
          <w:kern w:val="0"/>
          <w:sz w:val="32"/>
          <w:szCs w:val="32"/>
          <w:lang w:val="en-US" w:eastAsia="zh-CN"/>
        </w:rPr>
        <w:t>（</w:t>
      </w:r>
      <w:r>
        <w:rPr>
          <w:rFonts w:hint="eastAsia" w:ascii="楷体_GB2312" w:hAnsi="Times New Roman" w:eastAsia="楷体_GB2312" w:cs="Times New Roman"/>
          <w:b/>
          <w:bCs/>
          <w:kern w:val="0"/>
          <w:sz w:val="32"/>
          <w:szCs w:val="32"/>
          <w:lang w:val="en-US" w:eastAsia="zh-CN"/>
        </w:rPr>
        <w:t>一</w:t>
      </w:r>
      <w:r>
        <w:rPr>
          <w:rFonts w:hint="default" w:ascii="楷体_GB2312" w:hAnsi="Times New Roman" w:eastAsia="楷体_GB2312" w:cs="Times New Roman"/>
          <w:b/>
          <w:bCs/>
          <w:kern w:val="0"/>
          <w:sz w:val="32"/>
          <w:szCs w:val="32"/>
          <w:lang w:val="en-US" w:eastAsia="zh-CN"/>
        </w:rPr>
        <w:t>）专项技术服务</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结合最新政策标准及行业规范，</w:t>
      </w:r>
      <w:r>
        <w:rPr>
          <w:rFonts w:hint="eastAsia" w:ascii="仿宋_GB2312" w:hAnsi="仿宋_GB2312" w:eastAsia="仿宋_GB2312" w:cs="仿宋_GB2312"/>
          <w:sz w:val="32"/>
          <w:szCs w:val="32"/>
          <w:lang w:val="en-US" w:eastAsia="zh-CN"/>
        </w:rPr>
        <w:t>根据项目推进需要，</w:t>
      </w:r>
      <w:r>
        <w:rPr>
          <w:rFonts w:hint="default" w:ascii="仿宋_GB2312" w:hAnsi="仿宋_GB2312" w:eastAsia="仿宋_GB2312" w:cs="仿宋_GB2312"/>
          <w:sz w:val="32"/>
          <w:szCs w:val="32"/>
          <w:lang w:val="en-US" w:eastAsia="zh-CN"/>
        </w:rPr>
        <w:t>提供以下技术服务：结合政策</w:t>
      </w:r>
      <w:r>
        <w:rPr>
          <w:rFonts w:hint="eastAsia" w:ascii="仿宋_GB2312" w:hAnsi="仿宋_GB2312" w:eastAsia="仿宋_GB2312" w:cs="仿宋_GB2312"/>
          <w:sz w:val="32"/>
          <w:szCs w:val="32"/>
          <w:lang w:val="en-US" w:eastAsia="zh-CN"/>
        </w:rPr>
        <w:t>法规</w:t>
      </w:r>
      <w:r>
        <w:rPr>
          <w:rFonts w:hint="default" w:ascii="仿宋_GB2312" w:hAnsi="仿宋_GB2312" w:eastAsia="仿宋_GB2312" w:cs="仿宋_GB2312"/>
          <w:sz w:val="32"/>
          <w:szCs w:val="32"/>
          <w:lang w:val="en-US" w:eastAsia="zh-CN"/>
        </w:rPr>
        <w:t>和经济可行性，协助优化功能布局，从源头盘活项目；按不同用地功能测算开发规模，多方案比选确定合理开发量；在满足</w:t>
      </w:r>
      <w:r>
        <w:rPr>
          <w:rFonts w:hint="eastAsia" w:ascii="仿宋_GB2312" w:hAnsi="仿宋_GB2312" w:eastAsia="仿宋_GB2312" w:cs="仿宋_GB2312"/>
          <w:sz w:val="32"/>
          <w:szCs w:val="32"/>
          <w:lang w:val="en-US" w:eastAsia="zh-CN"/>
        </w:rPr>
        <w:t>新规</w:t>
      </w:r>
      <w:r>
        <w:rPr>
          <w:rFonts w:hint="default" w:ascii="仿宋_GB2312" w:hAnsi="仿宋_GB2312" w:eastAsia="仿宋_GB2312" w:cs="仿宋_GB2312"/>
          <w:sz w:val="32"/>
          <w:szCs w:val="32"/>
          <w:lang w:val="en-US" w:eastAsia="zh-CN"/>
        </w:rPr>
        <w:t>日照、间距、建筑密度等强制性指标下，展示不同强排方案，以建筑强排方案校核规划指标合理性；基于资金平衡，划定合理实施分期并提出实施建议；动态跟踪政策变化，及时评估影响并提出方案调整建议。</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default" w:ascii="楷体_GB2312" w:hAnsi="Times New Roman" w:eastAsia="楷体_GB2312" w:cs="Times New Roman"/>
          <w:b/>
          <w:bCs/>
          <w:kern w:val="0"/>
          <w:sz w:val="32"/>
          <w:szCs w:val="32"/>
          <w:lang w:val="en-US" w:eastAsia="zh-CN"/>
        </w:rPr>
        <w:t>（</w:t>
      </w:r>
      <w:r>
        <w:rPr>
          <w:rFonts w:hint="eastAsia" w:ascii="楷体_GB2312" w:hAnsi="Times New Roman" w:eastAsia="楷体_GB2312" w:cs="Times New Roman"/>
          <w:b/>
          <w:bCs/>
          <w:kern w:val="0"/>
          <w:sz w:val="32"/>
          <w:szCs w:val="32"/>
          <w:lang w:val="en-US" w:eastAsia="zh-CN"/>
        </w:rPr>
        <w:t>二</w:t>
      </w:r>
      <w:r>
        <w:rPr>
          <w:rFonts w:hint="default" w:ascii="楷体_GB2312" w:hAnsi="Times New Roman" w:eastAsia="楷体_GB2312" w:cs="Times New Roman"/>
          <w:b/>
          <w:bCs/>
          <w:kern w:val="0"/>
          <w:sz w:val="32"/>
          <w:szCs w:val="32"/>
          <w:lang w:val="en-US" w:eastAsia="zh-CN"/>
        </w:rPr>
        <w:t>）拆迁补偿方案</w:t>
      </w:r>
      <w:r>
        <w:rPr>
          <w:rFonts w:hint="eastAsia" w:ascii="楷体_GB2312" w:hAnsi="Times New Roman" w:eastAsia="楷体_GB2312" w:cs="Times New Roman"/>
          <w:b/>
          <w:bCs/>
          <w:kern w:val="0"/>
          <w:sz w:val="32"/>
          <w:szCs w:val="32"/>
          <w:lang w:val="en-US" w:eastAsia="zh-CN"/>
        </w:rPr>
        <w:t>研</w:t>
      </w:r>
      <w:r>
        <w:rPr>
          <w:rFonts w:hint="default" w:ascii="楷体_GB2312" w:hAnsi="Times New Roman" w:eastAsia="楷体_GB2312" w:cs="Times New Roman"/>
          <w:b/>
          <w:bCs/>
          <w:kern w:val="0"/>
          <w:sz w:val="32"/>
          <w:szCs w:val="32"/>
          <w:lang w:val="en-US" w:eastAsia="zh-CN"/>
        </w:rPr>
        <w:t>制</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调研收集片区同类型项目及市政拆赔标准，结合社区/股份公司对业主的意向摸底，了解基本拆赔诉求，提出初步拆赔方案；预判谈判空间，厘清后续谈判难点，制定谈判策略及方案。</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default" w:ascii="楷体_GB2312" w:hAnsi="Times New Roman" w:eastAsia="楷体_GB2312" w:cs="Times New Roman"/>
          <w:b/>
          <w:bCs/>
          <w:kern w:val="0"/>
          <w:sz w:val="32"/>
          <w:szCs w:val="32"/>
          <w:lang w:val="en-US" w:eastAsia="zh-CN"/>
        </w:rPr>
        <w:t>（</w:t>
      </w:r>
      <w:r>
        <w:rPr>
          <w:rFonts w:hint="eastAsia" w:ascii="楷体_GB2312" w:hAnsi="Times New Roman" w:eastAsia="楷体_GB2312" w:cs="Times New Roman"/>
          <w:b/>
          <w:bCs/>
          <w:kern w:val="0"/>
          <w:sz w:val="32"/>
          <w:szCs w:val="32"/>
          <w:lang w:val="en-US" w:eastAsia="zh-CN"/>
        </w:rPr>
        <w:t>三</w:t>
      </w:r>
      <w:r>
        <w:rPr>
          <w:rFonts w:hint="default" w:ascii="楷体_GB2312" w:hAnsi="Times New Roman" w:eastAsia="楷体_GB2312" w:cs="Times New Roman"/>
          <w:b/>
          <w:bCs/>
          <w:kern w:val="0"/>
          <w:sz w:val="32"/>
          <w:szCs w:val="32"/>
          <w:lang w:val="en-US" w:eastAsia="zh-CN"/>
        </w:rPr>
        <w:t>）项目</w:t>
      </w:r>
      <w:r>
        <w:rPr>
          <w:rFonts w:hint="eastAsia" w:ascii="楷体_GB2312" w:hAnsi="Times New Roman" w:eastAsia="楷体_GB2312" w:cs="Times New Roman"/>
          <w:b/>
          <w:bCs/>
          <w:kern w:val="0"/>
          <w:sz w:val="32"/>
          <w:szCs w:val="32"/>
          <w:lang w:val="en-US" w:eastAsia="zh-CN"/>
        </w:rPr>
        <w:t>经济性测算</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项目现状及规划设计条件，对土地、物业权属状况进行分析，开展市场调研，测算合作开发过程中各方投入与权益；考虑规划条件、补偿标准等参数变动对经济平衡的影响，分析各项经济指标。测算项目经济可行所需的规划指标，并提出优化建议。</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default" w:ascii="楷体_GB2312" w:hAnsi="Times New Roman" w:eastAsia="楷体_GB2312" w:cs="Times New Roman"/>
          <w:b/>
          <w:bCs/>
          <w:kern w:val="0"/>
          <w:sz w:val="32"/>
          <w:szCs w:val="32"/>
          <w:lang w:val="en-US" w:eastAsia="zh-CN"/>
        </w:rPr>
        <w:t>（</w:t>
      </w:r>
      <w:r>
        <w:rPr>
          <w:rFonts w:hint="eastAsia" w:ascii="楷体_GB2312" w:hAnsi="Times New Roman" w:eastAsia="楷体_GB2312" w:cs="Times New Roman"/>
          <w:b/>
          <w:bCs/>
          <w:kern w:val="0"/>
          <w:sz w:val="32"/>
          <w:szCs w:val="32"/>
          <w:lang w:val="en-US" w:eastAsia="zh-CN"/>
        </w:rPr>
        <w:t>四</w:t>
      </w:r>
      <w:r>
        <w:rPr>
          <w:rFonts w:hint="default" w:ascii="楷体_GB2312" w:hAnsi="Times New Roman" w:eastAsia="楷体_GB2312" w:cs="Times New Roman"/>
          <w:b/>
          <w:bCs/>
          <w:kern w:val="0"/>
          <w:sz w:val="32"/>
          <w:szCs w:val="32"/>
          <w:lang w:val="en-US" w:eastAsia="zh-CN"/>
        </w:rPr>
        <w:t>）驻场配合与实施保障</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因项目推进过程中时效性要求高，临时性、突发性任务多，服务方须提供强有力的专业支持，并</w:t>
      </w:r>
      <w:r>
        <w:rPr>
          <w:rFonts w:hint="default" w:ascii="仿宋_GB2312" w:hAnsi="仿宋_GB2312" w:eastAsia="仿宋_GB2312" w:cs="仿宋_GB2312"/>
          <w:sz w:val="32"/>
          <w:szCs w:val="32"/>
          <w:lang w:val="en-US" w:eastAsia="zh-CN"/>
        </w:rPr>
        <w:t>根据项目需要派驻专业技术人员驻场办公，提供</w:t>
      </w:r>
      <w:r>
        <w:rPr>
          <w:rFonts w:hint="eastAsia" w:ascii="仿宋_GB2312" w:hAnsi="仿宋_GB2312" w:eastAsia="仿宋_GB2312" w:cs="仿宋_GB2312"/>
          <w:sz w:val="32"/>
          <w:szCs w:val="32"/>
          <w:lang w:val="en-US" w:eastAsia="zh-CN"/>
        </w:rPr>
        <w:t>及时</w:t>
      </w:r>
      <w:r>
        <w:rPr>
          <w:rFonts w:hint="default" w:ascii="仿宋_GB2312" w:hAnsi="仿宋_GB2312" w:eastAsia="仿宋_GB2312" w:cs="仿宋_GB2312"/>
          <w:sz w:val="32"/>
          <w:szCs w:val="32"/>
          <w:lang w:val="en-US" w:eastAsia="zh-CN"/>
        </w:rPr>
        <w:t>高效的技术响应；按</w:t>
      </w:r>
      <w:r>
        <w:rPr>
          <w:rFonts w:hint="eastAsia" w:ascii="仿宋_GB2312" w:hAnsi="仿宋_GB2312" w:eastAsia="仿宋_GB2312" w:cs="仿宋_GB2312"/>
          <w:sz w:val="32"/>
          <w:szCs w:val="32"/>
          <w:lang w:val="en-US" w:eastAsia="zh-CN"/>
        </w:rPr>
        <w:t>要求参加</w:t>
      </w:r>
      <w:r>
        <w:rPr>
          <w:rFonts w:hint="default"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lang w:val="en-US" w:eastAsia="zh-CN"/>
        </w:rPr>
        <w:t>会议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编写会议相关材料并代表委托方进行汇报；</w:t>
      </w:r>
      <w:r>
        <w:rPr>
          <w:rFonts w:hint="default" w:ascii="仿宋_GB2312" w:hAnsi="仿宋_GB2312" w:eastAsia="仿宋_GB2312" w:cs="仿宋_GB2312"/>
          <w:sz w:val="32"/>
          <w:szCs w:val="32"/>
          <w:lang w:val="en-US" w:eastAsia="zh-CN"/>
        </w:rPr>
        <w:t>开展规划方案</w:t>
      </w:r>
      <w:r>
        <w:rPr>
          <w:rFonts w:hint="eastAsia" w:ascii="仿宋_GB2312" w:hAnsi="仿宋_GB2312" w:eastAsia="仿宋_GB2312" w:cs="仿宋_GB2312"/>
          <w:sz w:val="32"/>
          <w:szCs w:val="32"/>
          <w:lang w:val="en-US" w:eastAsia="zh-CN"/>
        </w:rPr>
        <w:t>及测算方案</w:t>
      </w:r>
      <w:r>
        <w:rPr>
          <w:rFonts w:hint="default" w:ascii="仿宋_GB2312" w:hAnsi="仿宋_GB2312" w:eastAsia="仿宋_GB2312" w:cs="仿宋_GB2312"/>
          <w:sz w:val="32"/>
          <w:szCs w:val="32"/>
          <w:lang w:val="en-US" w:eastAsia="zh-CN"/>
        </w:rPr>
        <w:t>汇报与技术答疑，保障项目有序推进。</w:t>
      </w:r>
    </w:p>
    <w:p>
      <w:pPr>
        <w:adjustRightInd w:val="0"/>
        <w:snapToGrid w:val="0"/>
        <w:spacing w:line="560" w:lineRule="exact"/>
        <w:ind w:firstLine="642" w:firstLineChars="200"/>
        <w:rPr>
          <w:rFonts w:hint="eastAsia" w:ascii="楷体_GB2312" w:hAnsi="Times New Roman" w:eastAsia="楷体_GB2312" w:cs="Times New Roman"/>
          <w:b/>
          <w:bCs/>
          <w:kern w:val="0"/>
          <w:sz w:val="32"/>
          <w:szCs w:val="32"/>
          <w:lang w:val="en-US" w:eastAsia="zh-CN"/>
        </w:rPr>
      </w:pPr>
      <w:r>
        <w:rPr>
          <w:rFonts w:hint="eastAsia" w:ascii="楷体_GB2312" w:hAnsi="Times New Roman" w:eastAsia="楷体_GB2312" w:cs="Times New Roman"/>
          <w:b/>
          <w:bCs/>
          <w:kern w:val="0"/>
          <w:sz w:val="32"/>
          <w:szCs w:val="32"/>
          <w:lang w:val="en-US" w:eastAsia="zh-CN"/>
        </w:rPr>
        <w:t>（五）其他</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委托方安排的其他统筹及协助工作。</w:t>
      </w:r>
    </w:p>
    <w:p>
      <w:pPr>
        <w:pStyle w:val="5"/>
        <w:spacing w:line="560" w:lineRule="exact"/>
        <w:ind w:firstLine="640"/>
        <w:rPr>
          <w:rFonts w:hint="default" w:ascii="黑体" w:hAnsi="黑体" w:eastAsia="黑体" w:cs="黑体"/>
          <w:color w:val="000000"/>
          <w:sz w:val="32"/>
          <w:szCs w:val="32"/>
          <w:highlight w:val="none"/>
          <w:lang w:val="en-US" w:eastAsia="zh-CN"/>
        </w:rPr>
      </w:pPr>
      <w:r>
        <w:rPr>
          <w:rFonts w:hint="default"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lang w:val="en-US" w:eastAsia="zh-CN"/>
        </w:rPr>
        <w:t>服务</w:t>
      </w:r>
      <w:r>
        <w:rPr>
          <w:rFonts w:hint="default" w:ascii="黑体" w:hAnsi="黑体" w:eastAsia="黑体" w:cs="黑体"/>
          <w:color w:val="000000"/>
          <w:sz w:val="32"/>
          <w:szCs w:val="32"/>
          <w:highlight w:val="none"/>
          <w:lang w:val="en-US" w:eastAsia="zh-CN"/>
        </w:rPr>
        <w:t>要求</w:t>
      </w:r>
      <w:r>
        <w:rPr>
          <w:rFonts w:hint="eastAsia" w:ascii="黑体" w:hAnsi="黑体" w:eastAsia="黑体" w:cs="黑体"/>
          <w:color w:val="000000"/>
          <w:sz w:val="32"/>
          <w:szCs w:val="32"/>
          <w:highlight w:val="none"/>
          <w:lang w:val="en-US" w:eastAsia="zh-CN"/>
        </w:rPr>
        <w:t>说明</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eastAsia" w:ascii="楷体_GB2312" w:hAnsi="Times New Roman" w:eastAsia="楷体_GB2312" w:cs="Times New Roman"/>
          <w:b/>
          <w:bCs/>
          <w:kern w:val="0"/>
          <w:sz w:val="32"/>
          <w:szCs w:val="32"/>
          <w:lang w:val="en-US" w:eastAsia="zh-CN"/>
        </w:rPr>
        <w:t>（一）</w:t>
      </w:r>
      <w:r>
        <w:rPr>
          <w:rFonts w:hint="default" w:ascii="楷体_GB2312" w:hAnsi="Times New Roman" w:eastAsia="楷体_GB2312" w:cs="Times New Roman"/>
          <w:b/>
          <w:bCs/>
          <w:kern w:val="0"/>
          <w:sz w:val="32"/>
          <w:szCs w:val="32"/>
          <w:lang w:val="en-US" w:eastAsia="zh-CN"/>
        </w:rPr>
        <w:t>服务期限</w:t>
      </w:r>
      <w:r>
        <w:rPr>
          <w:rFonts w:hint="eastAsia" w:ascii="楷体_GB2312" w:hAnsi="Times New Roman" w:eastAsia="楷体_GB2312" w:cs="Times New Roman"/>
          <w:b/>
          <w:bCs/>
          <w:kern w:val="0"/>
          <w:sz w:val="32"/>
          <w:szCs w:val="32"/>
          <w:lang w:val="en-US" w:eastAsia="zh-CN"/>
        </w:rPr>
        <w:t>、费用支付与履约考核</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服务期限</w:t>
      </w:r>
      <w:r>
        <w:rPr>
          <w:rFonts w:hint="default" w:ascii="仿宋_GB2312" w:hAnsi="仿宋_GB2312" w:eastAsia="仿宋_GB2312" w:cs="仿宋_GB2312"/>
          <w:sz w:val="32"/>
          <w:szCs w:val="32"/>
          <w:lang w:val="en-US" w:eastAsia="zh-CN"/>
        </w:rPr>
        <w:t>暂定1年，</w:t>
      </w:r>
      <w:r>
        <w:rPr>
          <w:rFonts w:hint="eastAsia" w:ascii="仿宋_GB2312" w:hAnsi="仿宋_GB2312" w:eastAsia="仿宋_GB2312" w:cs="仿宋_GB2312"/>
          <w:sz w:val="32"/>
          <w:szCs w:val="32"/>
          <w:lang w:val="en-US" w:eastAsia="zh-CN"/>
        </w:rPr>
        <w:t>每服务满三个月支付一次费用；最后三个月的费用支付至合同总价款的90%。合同总价款的10%作为履约考核评价费，服务期满后服务方应向委托方提交年度工作报告和各项过程成果文件（含PDF、CAD、WORD、EXCEL、设计模型、计算模型等，各项成果文件知识产权归属委托方），委托方进行履约考核评价。服务方同意根据委托方单方开展的履约考核评价结果进行支付，履约考核评价为合格的，支付全部；履约考核评价为不合格的，不予支付。</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委托方</w:t>
      </w:r>
      <w:r>
        <w:rPr>
          <w:rFonts w:hint="default" w:ascii="仿宋_GB2312" w:hAnsi="仿宋_GB2312" w:eastAsia="仿宋_GB2312" w:cs="仿宋_GB2312"/>
          <w:sz w:val="32"/>
          <w:szCs w:val="32"/>
          <w:lang w:val="en-US" w:eastAsia="zh-CN"/>
        </w:rPr>
        <w:t>有权随时要求终止服务。提前终止的，按实际服务期限结算：结算价款 = 实际服务期限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不足15日（不含）的按半个月计，满15日（含）的按1个月计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/12个月 × 合同总价款。</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合同期满后，履约评价结果为“</w:t>
      </w:r>
      <w:r>
        <w:rPr>
          <w:rFonts w:hint="eastAsia" w:ascii="仿宋_GB2312" w:hAnsi="仿宋_GB2312" w:eastAsia="仿宋_GB2312" w:cs="仿宋_GB2312"/>
          <w:sz w:val="32"/>
          <w:szCs w:val="32"/>
          <w:lang w:val="en-US" w:eastAsia="zh-CN"/>
        </w:rPr>
        <w:t>良好</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及以上</w:t>
      </w:r>
      <w:r>
        <w:rPr>
          <w:rFonts w:hint="default" w:ascii="仿宋_GB2312" w:hAnsi="仿宋_GB2312" w:eastAsia="仿宋_GB2312" w:cs="仿宋_GB2312"/>
          <w:sz w:val="32"/>
          <w:szCs w:val="32"/>
          <w:lang w:val="en-US" w:eastAsia="zh-CN"/>
        </w:rPr>
        <w:t>的，在</w:t>
      </w:r>
      <w:r>
        <w:rPr>
          <w:rFonts w:hint="eastAsia" w:ascii="仿宋_GB2312" w:hAnsi="仿宋_GB2312" w:eastAsia="仿宋_GB2312" w:cs="仿宋_GB2312"/>
          <w:sz w:val="32"/>
          <w:szCs w:val="32"/>
          <w:lang w:val="en-US" w:eastAsia="zh-CN"/>
        </w:rPr>
        <w:t>服务方</w:t>
      </w:r>
      <w:r>
        <w:rPr>
          <w:rFonts w:hint="default" w:ascii="仿宋_GB2312" w:hAnsi="仿宋_GB2312" w:eastAsia="仿宋_GB2312" w:cs="仿宋_GB2312"/>
          <w:sz w:val="32"/>
          <w:szCs w:val="32"/>
          <w:lang w:val="en-US" w:eastAsia="zh-CN"/>
        </w:rPr>
        <w:t>同意的前提下，</w:t>
      </w:r>
      <w:r>
        <w:rPr>
          <w:rFonts w:hint="eastAsia" w:ascii="仿宋_GB2312" w:hAnsi="仿宋_GB2312" w:eastAsia="仿宋_GB2312" w:cs="仿宋_GB2312"/>
          <w:sz w:val="32"/>
          <w:szCs w:val="32"/>
          <w:lang w:val="en-US" w:eastAsia="zh-CN"/>
        </w:rPr>
        <w:t>委托方</w:t>
      </w:r>
      <w:r>
        <w:rPr>
          <w:rFonts w:hint="default" w:ascii="仿宋_GB2312" w:hAnsi="仿宋_GB2312" w:eastAsia="仿宋_GB2312" w:cs="仿宋_GB2312"/>
          <w:sz w:val="32"/>
          <w:szCs w:val="32"/>
          <w:lang w:val="en-US" w:eastAsia="zh-CN"/>
        </w:rPr>
        <w:t>有权按原服务费用及</w:t>
      </w:r>
      <w:r>
        <w:rPr>
          <w:rFonts w:hint="eastAsia" w:ascii="仿宋_GB2312" w:hAnsi="仿宋_GB2312" w:eastAsia="仿宋_GB2312" w:cs="仿宋_GB2312"/>
          <w:sz w:val="32"/>
          <w:szCs w:val="32"/>
          <w:lang w:val="en-US" w:eastAsia="zh-CN"/>
        </w:rPr>
        <w:t>标准</w:t>
      </w:r>
      <w:r>
        <w:rPr>
          <w:rFonts w:hint="default" w:ascii="仿宋_GB2312" w:hAnsi="仿宋_GB2312" w:eastAsia="仿宋_GB2312" w:cs="仿宋_GB2312"/>
          <w:sz w:val="32"/>
          <w:szCs w:val="32"/>
          <w:lang w:val="en-US" w:eastAsia="zh-CN"/>
        </w:rPr>
        <w:t>续签合同，每次续签一年，最多续签两次。</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eastAsia" w:ascii="楷体_GB2312" w:hAnsi="Times New Roman" w:eastAsia="楷体_GB2312" w:cs="Times New Roman"/>
          <w:b/>
          <w:bCs/>
          <w:kern w:val="0"/>
          <w:sz w:val="32"/>
          <w:szCs w:val="32"/>
          <w:lang w:val="en-US" w:eastAsia="zh-CN"/>
        </w:rPr>
        <w:t>（二）</w:t>
      </w:r>
      <w:r>
        <w:rPr>
          <w:rFonts w:hint="default" w:ascii="楷体_GB2312" w:hAnsi="Times New Roman" w:eastAsia="楷体_GB2312" w:cs="Times New Roman"/>
          <w:b/>
          <w:bCs/>
          <w:kern w:val="0"/>
          <w:sz w:val="32"/>
          <w:szCs w:val="32"/>
          <w:lang w:val="en-US" w:eastAsia="zh-CN"/>
        </w:rPr>
        <w:t>派驻人员要求</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团队资质与结构：服务团队的专业结构须满足项目实际需求，具备土地整备、城市规划、经济测算等相关专业背景与从业经验。</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全职驻场与后台支撑：派驻至委托方指定场所提供全职服务的人员不少于8人，其中具有高级专业技术职称的不少于2人、中级专业技术职称的不少于3人。派驻人员须实行全脱产驻场办公，全职服务于委托方工作。同时，服务方后台须建立相应的技术支持机制，在必要时组织专业力量为驻场团队提供技术保障。</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工作调配与服从安排：派驻人员的工作内容不限于土地整备利益统筹项目，须无条件服从委托方的各项工作安排与统筹调配。具体派驻人员名单须经委托方面谈同意后方可入驻。若委托方发现派驻人员无法胜任工作，服务方须在3个工作日内无条件予以更换。</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后勤保障：委托方提供办公场地，不提供工作电脑。派驻人员可选择自费在委托方食堂用工作午餐，收费标准按食堂相关规定执行。</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eastAsia" w:ascii="楷体_GB2312" w:hAnsi="Times New Roman" w:eastAsia="楷体_GB2312" w:cs="Times New Roman"/>
          <w:b/>
          <w:bCs/>
          <w:kern w:val="0"/>
          <w:sz w:val="32"/>
          <w:szCs w:val="32"/>
          <w:lang w:val="en-US" w:eastAsia="zh-CN"/>
        </w:rPr>
        <w:t>（三）</w:t>
      </w:r>
      <w:r>
        <w:rPr>
          <w:rFonts w:hint="default" w:ascii="楷体_GB2312" w:hAnsi="Times New Roman" w:eastAsia="楷体_GB2312" w:cs="Times New Roman"/>
          <w:b/>
          <w:bCs/>
          <w:kern w:val="0"/>
          <w:sz w:val="32"/>
          <w:szCs w:val="32"/>
          <w:lang w:val="en-US" w:eastAsia="zh-CN"/>
        </w:rPr>
        <w:t>劳动关系与费用</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w:t>
      </w:r>
      <w:r>
        <w:rPr>
          <w:rFonts w:hint="default" w:ascii="仿宋_GB2312" w:hAnsi="仿宋_GB2312" w:eastAsia="仿宋_GB2312" w:cs="仿宋_GB2312"/>
          <w:sz w:val="32"/>
          <w:szCs w:val="32"/>
          <w:lang w:val="en-US" w:eastAsia="zh-CN"/>
        </w:rPr>
        <w:t>与派驻人员存在劳动合同关系，须依法签订书面劳动合同、核发工资、缴纳五险一金等；派驻人员与</w:t>
      </w:r>
      <w:r>
        <w:rPr>
          <w:rFonts w:hint="eastAsia" w:ascii="仿宋_GB2312" w:hAnsi="仿宋_GB2312" w:eastAsia="仿宋_GB2312" w:cs="仿宋_GB2312"/>
          <w:sz w:val="32"/>
          <w:szCs w:val="32"/>
          <w:lang w:val="en-US" w:eastAsia="zh-CN"/>
        </w:rPr>
        <w:t>委托方</w:t>
      </w:r>
      <w:r>
        <w:rPr>
          <w:rFonts w:hint="default" w:ascii="仿宋_GB2312" w:hAnsi="仿宋_GB2312" w:eastAsia="仿宋_GB2312" w:cs="仿宋_GB2312"/>
          <w:sz w:val="32"/>
          <w:szCs w:val="32"/>
          <w:lang w:val="en-US" w:eastAsia="zh-CN"/>
        </w:rPr>
        <w:t>不存在劳动法律关系。派驻人员所有经费已包含在合同价款内，</w:t>
      </w:r>
      <w:r>
        <w:rPr>
          <w:rFonts w:hint="eastAsia" w:ascii="仿宋_GB2312" w:hAnsi="仿宋_GB2312" w:eastAsia="仿宋_GB2312" w:cs="仿宋_GB2312"/>
          <w:sz w:val="32"/>
          <w:szCs w:val="32"/>
          <w:lang w:val="en-US" w:eastAsia="zh-CN"/>
        </w:rPr>
        <w:t>委托方</w:t>
      </w:r>
      <w:r>
        <w:rPr>
          <w:rFonts w:hint="default" w:ascii="仿宋_GB2312" w:hAnsi="仿宋_GB2312" w:eastAsia="仿宋_GB2312" w:cs="仿宋_GB2312"/>
          <w:sz w:val="32"/>
          <w:szCs w:val="32"/>
          <w:lang w:val="en-US" w:eastAsia="zh-CN"/>
        </w:rPr>
        <w:t>不另行支付。</w:t>
      </w:r>
    </w:p>
    <w:p>
      <w:pPr>
        <w:adjustRightInd w:val="0"/>
        <w:snapToGrid w:val="0"/>
        <w:spacing w:line="560" w:lineRule="exact"/>
        <w:ind w:firstLine="642" w:firstLineChars="200"/>
        <w:rPr>
          <w:rFonts w:hint="eastAsia" w:ascii="楷体_GB2312" w:hAnsi="Times New Roman" w:eastAsia="楷体_GB2312" w:cs="Times New Roman"/>
          <w:b/>
          <w:bCs/>
          <w:kern w:val="0"/>
          <w:sz w:val="32"/>
          <w:szCs w:val="32"/>
          <w:lang w:val="en-US" w:eastAsia="zh-CN"/>
        </w:rPr>
      </w:pPr>
      <w:r>
        <w:rPr>
          <w:rFonts w:hint="eastAsia" w:ascii="楷体_GB2312" w:hAnsi="Times New Roman" w:eastAsia="楷体_GB2312" w:cs="Times New Roman"/>
          <w:b/>
          <w:bCs/>
          <w:kern w:val="0"/>
          <w:sz w:val="32"/>
          <w:szCs w:val="32"/>
          <w:lang w:val="en-US" w:eastAsia="zh-CN"/>
        </w:rPr>
        <w:t>（四）保密要求</w:t>
      </w:r>
    </w:p>
    <w:p>
      <w:pPr>
        <w:adjustRightInd w:val="0"/>
        <w:snapToGrid w:val="0"/>
        <w:spacing w:line="560" w:lineRule="exact"/>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服务方应与派驻人员签订保密协议，未经委托方书面同意不得将任何项目数据、文件、信息向第三方泄露或用于本项目以外的任何目的，服务方应采取必要的技术和管理措施保障数据安全。</w:t>
      </w:r>
    </w:p>
    <w:p>
      <w:pPr>
        <w:adjustRightInd w:val="0"/>
        <w:snapToGrid w:val="0"/>
        <w:spacing w:line="560" w:lineRule="exact"/>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服务期届满或合同终止时，服务方应将所有项目资料（含电子数据）移交委托方，不得私自留存、复制或带离。因服务方原因导致泄密的，应承担由此造成的一切损失和法律责任。</w:t>
      </w:r>
    </w:p>
    <w:p>
      <w:pPr>
        <w:adjustRightInd w:val="0"/>
        <w:snapToGrid w:val="0"/>
        <w:spacing w:line="560" w:lineRule="exact"/>
        <w:ind w:firstLine="642" w:firstLineChars="200"/>
        <w:rPr>
          <w:rFonts w:hint="default" w:ascii="楷体_GB2312" w:hAnsi="Times New Roman" w:eastAsia="楷体_GB2312" w:cs="Times New Roman"/>
          <w:b/>
          <w:bCs/>
          <w:kern w:val="0"/>
          <w:sz w:val="32"/>
          <w:szCs w:val="32"/>
          <w:lang w:val="en-US" w:eastAsia="zh-CN"/>
        </w:rPr>
      </w:pPr>
      <w:r>
        <w:rPr>
          <w:rFonts w:hint="eastAsia" w:ascii="楷体_GB2312" w:hAnsi="Times New Roman" w:eastAsia="楷体_GB2312" w:cs="Times New Roman"/>
          <w:b/>
          <w:bCs/>
          <w:kern w:val="0"/>
          <w:sz w:val="32"/>
          <w:szCs w:val="32"/>
          <w:lang w:val="en-US" w:eastAsia="zh-CN"/>
        </w:rPr>
        <w:t>（五）</w:t>
      </w:r>
      <w:r>
        <w:rPr>
          <w:rFonts w:hint="default" w:ascii="楷体_GB2312" w:hAnsi="Times New Roman" w:eastAsia="楷体_GB2312" w:cs="Times New Roman"/>
          <w:b/>
          <w:bCs/>
          <w:kern w:val="0"/>
          <w:sz w:val="32"/>
          <w:szCs w:val="32"/>
          <w:lang w:val="en-US" w:eastAsia="zh-CN"/>
        </w:rPr>
        <w:t>其他要求</w:t>
      </w:r>
    </w:p>
    <w:p>
      <w:pPr>
        <w:adjustRightInd w:val="0"/>
        <w:snapToGrid w:val="0"/>
        <w:spacing w:line="560" w:lineRule="exact"/>
        <w:ind w:firstLine="640" w:firstLineChars="200"/>
      </w:pPr>
      <w:r>
        <w:rPr>
          <w:rFonts w:hint="eastAsia" w:ascii="仿宋_GB2312" w:hAnsi="仿宋_GB2312" w:eastAsia="仿宋_GB2312" w:cs="仿宋_GB2312"/>
          <w:sz w:val="32"/>
          <w:szCs w:val="32"/>
          <w:lang w:val="en-US" w:eastAsia="zh-CN"/>
        </w:rPr>
        <w:t>服务方应确保满足委托方各项工作的时效性要求和专业技术要求，并在报价时充分考虑服务过程中各项临时性、突发性加班工作任务，由此产生的费用包含在投标报价中，委托方不另行支付。</w:t>
      </w: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534"/>
    <w:rsid w:val="03F81443"/>
    <w:rsid w:val="0FDD51F7"/>
    <w:rsid w:val="15FFAB62"/>
    <w:rsid w:val="1BBEB70D"/>
    <w:rsid w:val="1BEAFAA1"/>
    <w:rsid w:val="1BEB57B1"/>
    <w:rsid w:val="1DFD7BE1"/>
    <w:rsid w:val="248A1F65"/>
    <w:rsid w:val="2FD7F347"/>
    <w:rsid w:val="36492CDC"/>
    <w:rsid w:val="36EC7734"/>
    <w:rsid w:val="3AFD9F29"/>
    <w:rsid w:val="3DD508CE"/>
    <w:rsid w:val="3EFF1E8B"/>
    <w:rsid w:val="45FF31B3"/>
    <w:rsid w:val="5CE371F8"/>
    <w:rsid w:val="5D4D72A6"/>
    <w:rsid w:val="5E2F91B1"/>
    <w:rsid w:val="5EB777AC"/>
    <w:rsid w:val="5F2BD2DE"/>
    <w:rsid w:val="5F5EEB3C"/>
    <w:rsid w:val="5FEDF64A"/>
    <w:rsid w:val="61EEBB43"/>
    <w:rsid w:val="626FF41B"/>
    <w:rsid w:val="65713534"/>
    <w:rsid w:val="657A4FFA"/>
    <w:rsid w:val="68C11EB1"/>
    <w:rsid w:val="68CE5704"/>
    <w:rsid w:val="6C3F253C"/>
    <w:rsid w:val="6DFF5FDE"/>
    <w:rsid w:val="6FFF9A90"/>
    <w:rsid w:val="6FFFE013"/>
    <w:rsid w:val="73B7EA00"/>
    <w:rsid w:val="75DFEDAC"/>
    <w:rsid w:val="77DCBD1A"/>
    <w:rsid w:val="77ED0CD0"/>
    <w:rsid w:val="7BDF850D"/>
    <w:rsid w:val="7CFAC1F8"/>
    <w:rsid w:val="7E97163C"/>
    <w:rsid w:val="7E9C5889"/>
    <w:rsid w:val="7FED8B8F"/>
    <w:rsid w:val="7FF7EBA5"/>
    <w:rsid w:val="7FFDBA65"/>
    <w:rsid w:val="AC2AF29C"/>
    <w:rsid w:val="AF9E9A63"/>
    <w:rsid w:val="BF899EE9"/>
    <w:rsid w:val="C55BF382"/>
    <w:rsid w:val="CEED15A5"/>
    <w:rsid w:val="CFB784C9"/>
    <w:rsid w:val="CFD3F683"/>
    <w:rsid w:val="CFEDF24C"/>
    <w:rsid w:val="DBBB0FC6"/>
    <w:rsid w:val="DD2FE753"/>
    <w:rsid w:val="DEBB84F8"/>
    <w:rsid w:val="EEBFAFED"/>
    <w:rsid w:val="F6FBC1BC"/>
    <w:rsid w:val="F7D7BA51"/>
    <w:rsid w:val="F7DDF810"/>
    <w:rsid w:val="F7E66B40"/>
    <w:rsid w:val="FB5F1219"/>
    <w:rsid w:val="FB5F9AF4"/>
    <w:rsid w:val="FD3E50AC"/>
    <w:rsid w:val="FD571598"/>
    <w:rsid w:val="FE5F8B85"/>
    <w:rsid w:val="FEFFE6A0"/>
    <w:rsid w:val="FF7F75B4"/>
    <w:rsid w:val="FFA791BE"/>
    <w:rsid w:val="FFAFB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正文缩进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1144</Words>
  <Characters>1346</Characters>
  <Lines>0</Lines>
  <Paragraphs>0</Paragraphs>
  <TotalTime>21</TotalTime>
  <ScaleCrop>false</ScaleCrop>
  <LinksUpToDate>false</LinksUpToDate>
  <CharactersWithSpaces>1346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2026-07-03T17:54:00Z</dcterms:created>
  <dc:creator>肖</dc:creator>
  <cp:lastModifiedBy>罗淑华</cp:lastModifiedBy>
  <dcterms:modified xsi:type="dcterms:W3CDTF">2026-07-08T14:34:46Z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260F41511B27405D8AE134BC9BBA5915_13</vt:lpwstr>
  </property>
  <property fmtid="{D5CDD505-2E9C-101B-9397-08002B2CF9AE}" pid="4" name="KSOTemplateDocerSaveRecord">
    <vt:lpwstr>eyJoZGlkIjoiYjNmYzMwZGQ0YWMyN2I1MDliMDNkODViNmQyNzMzZDkiLCJ1c2VySWQiOiIyMzY5NDc0MjAifQ==</vt:lpwstr>
  </property>
</Properties>
</file>