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100" w:afterAutospacing="1" w:line="560" w:lineRule="exact"/>
        <w:jc w:val="left"/>
        <w:textAlignment w:val="auto"/>
        <w:outlineLvl w:val="0"/>
        <w:rPr>
          <w:rFonts w:hint="eastAsia" w:ascii="黑体" w:hAnsi="黑体" w:eastAsia="黑体" w:cs="黑体"/>
          <w:b/>
          <w:bCs w:val="0"/>
          <w:sz w:val="32"/>
          <w:szCs w:val="32"/>
          <w:highlight w:val="none"/>
          <w:lang w:val="en-US" w:eastAsia="zh-CN"/>
        </w:rPr>
      </w:pPr>
      <w:r>
        <w:rPr>
          <w:rFonts w:hint="eastAsia" w:ascii="黑体" w:hAnsi="黑体" w:eastAsia="黑体" w:cs="黑体"/>
          <w:b w:val="0"/>
          <w:bCs/>
          <w:sz w:val="32"/>
          <w:szCs w:val="32"/>
          <w:highlight w:val="none"/>
          <w:lang w:val="en-US" w:eastAsia="zh-CN"/>
        </w:rPr>
        <w:t>附件</w:t>
      </w:r>
      <w:r>
        <w:rPr>
          <w:rFonts w:hint="default" w:ascii="黑体" w:hAnsi="黑体" w:eastAsia="黑体" w:cs="黑体"/>
          <w:b w:val="0"/>
          <w:bCs/>
          <w:sz w:val="32"/>
          <w:szCs w:val="32"/>
          <w:highlight w:val="none"/>
          <w:lang w:val="en-US" w:eastAsia="zh-CN"/>
        </w:rPr>
        <w:t>6</w:t>
      </w:r>
    </w:p>
    <w:p>
      <w:pPr>
        <w:keepNext w:val="0"/>
        <w:keepLines w:val="0"/>
        <w:pageBreakBefore w:val="0"/>
        <w:widowControl/>
        <w:kinsoku/>
        <w:wordWrap/>
        <w:overflowPunct/>
        <w:topLinePunct w:val="0"/>
        <w:autoSpaceDE/>
        <w:autoSpaceDN/>
        <w:bidi w:val="0"/>
        <w:adjustRightInd/>
        <w:snapToGrid/>
        <w:spacing w:after="100" w:afterAutospacing="1" w:line="560" w:lineRule="exact"/>
        <w:jc w:val="left"/>
        <w:textAlignment w:val="auto"/>
        <w:outlineLvl w:val="0"/>
        <w:rPr>
          <w:rFonts w:hint="eastAsia" w:ascii="仿宋" w:hAnsi="仿宋" w:eastAsia="仿宋" w:cs="仿宋"/>
          <w:b/>
          <w:bCs w:val="0"/>
          <w:sz w:val="28"/>
          <w:szCs w:val="28"/>
          <w:highlight w:val="none"/>
          <w:lang w:eastAsia="zh-CN"/>
        </w:rPr>
      </w:pPr>
      <w:r>
        <w:rPr>
          <w:rFonts w:hint="eastAsia" w:ascii="黑体" w:hAnsi="黑体" w:eastAsia="黑体" w:cs="黑体"/>
          <w:b/>
          <w:bCs w:val="0"/>
          <w:sz w:val="32"/>
          <w:szCs w:val="32"/>
          <w:highlight w:val="none"/>
          <w:lang w:val="en-US" w:eastAsia="zh-CN"/>
        </w:rPr>
        <w:t xml:space="preserve">             </w:t>
      </w:r>
      <w:r>
        <w:rPr>
          <w:rFonts w:hint="eastAsia" w:ascii="仿宋" w:hAnsi="仿宋" w:eastAsia="仿宋" w:cs="仿宋"/>
          <w:b/>
          <w:bCs w:val="0"/>
          <w:sz w:val="28"/>
          <w:szCs w:val="28"/>
          <w:highlight w:val="none"/>
          <w:lang w:val="en-US" w:eastAsia="zh-CN"/>
        </w:rPr>
        <w:t xml:space="preserve">                             合同编号：     </w:t>
      </w:r>
    </w:p>
    <w:p>
      <w:pPr>
        <w:keepNext w:val="0"/>
        <w:keepLines w:val="0"/>
        <w:pageBreakBefore w:val="0"/>
        <w:widowControl/>
        <w:kinsoku/>
        <w:wordWrap/>
        <w:overflowPunct/>
        <w:topLinePunct w:val="0"/>
        <w:autoSpaceDE/>
        <w:autoSpaceDN/>
        <w:bidi w:val="0"/>
        <w:adjustRightInd/>
        <w:snapToGrid/>
        <w:spacing w:after="100" w:afterAutospacing="1" w:line="560" w:lineRule="exact"/>
        <w:jc w:val="center"/>
        <w:textAlignment w:val="auto"/>
        <w:outlineLvl w:val="0"/>
        <w:rPr>
          <w:rFonts w:hint="eastAsia" w:asciiTheme="majorEastAsia" w:hAnsiTheme="majorEastAsia" w:eastAsiaTheme="majorEastAsia" w:cstheme="majorEastAsia"/>
          <w:b/>
          <w:bCs w:val="0"/>
          <w:sz w:val="44"/>
          <w:szCs w:val="44"/>
          <w:highlight w:val="none"/>
        </w:rPr>
      </w:pPr>
    </w:p>
    <w:p>
      <w:pPr>
        <w:keepNext w:val="0"/>
        <w:keepLines w:val="0"/>
        <w:pageBreakBefore w:val="0"/>
        <w:widowControl/>
        <w:kinsoku/>
        <w:wordWrap/>
        <w:overflowPunct/>
        <w:topLinePunct w:val="0"/>
        <w:autoSpaceDE/>
        <w:autoSpaceDN/>
        <w:bidi w:val="0"/>
        <w:adjustRightInd/>
        <w:snapToGrid/>
        <w:spacing w:after="100" w:afterAutospacing="1" w:line="240" w:lineRule="auto"/>
        <w:jc w:val="center"/>
        <w:textAlignment w:val="auto"/>
        <w:outlineLvl w:val="0"/>
        <w:rPr>
          <w:rFonts w:hint="eastAsia" w:asciiTheme="majorEastAsia" w:hAnsiTheme="majorEastAsia" w:eastAsiaTheme="majorEastAsia" w:cstheme="majorEastAsia"/>
          <w:b/>
          <w:bCs w:val="0"/>
          <w:sz w:val="44"/>
          <w:szCs w:val="44"/>
          <w:highlight w:val="none"/>
        </w:rPr>
      </w:pPr>
    </w:p>
    <w:p>
      <w:pPr>
        <w:keepNext w:val="0"/>
        <w:keepLines w:val="0"/>
        <w:pageBreakBefore w:val="0"/>
        <w:widowControl/>
        <w:kinsoku/>
        <w:wordWrap/>
        <w:overflowPunct/>
        <w:topLinePunct w:val="0"/>
        <w:autoSpaceDE/>
        <w:autoSpaceDN/>
        <w:bidi w:val="0"/>
        <w:adjustRightInd/>
        <w:snapToGrid/>
        <w:spacing w:after="100" w:afterAutospacing="1" w:line="240" w:lineRule="auto"/>
        <w:jc w:val="center"/>
        <w:textAlignment w:val="auto"/>
        <w:outlineLvl w:val="0"/>
        <w:rPr>
          <w:rFonts w:hint="eastAsia" w:ascii="楷体" w:hAnsi="楷体" w:eastAsia="楷体" w:cs="楷体"/>
          <w:b/>
          <w:bCs w:val="0"/>
          <w:sz w:val="72"/>
          <w:szCs w:val="72"/>
          <w:highlight w:val="none"/>
        </w:rPr>
      </w:pPr>
      <w:r>
        <w:rPr>
          <w:rFonts w:hint="eastAsia" w:ascii="楷体" w:hAnsi="楷体" w:eastAsia="楷体" w:cs="楷体"/>
          <w:b/>
          <w:bCs w:val="0"/>
          <w:sz w:val="72"/>
          <w:szCs w:val="72"/>
          <w:highlight w:val="none"/>
        </w:rPr>
        <w:t>罗山</w:t>
      </w:r>
      <w:r>
        <w:rPr>
          <w:rFonts w:hint="eastAsia" w:ascii="楷体" w:hAnsi="楷体" w:eastAsia="楷体" w:cs="楷体"/>
          <w:b/>
          <w:bCs w:val="0"/>
          <w:sz w:val="72"/>
          <w:szCs w:val="72"/>
          <w:highlight w:val="none"/>
          <w:lang w:eastAsia="zh-CN"/>
        </w:rPr>
        <w:t>科技园三</w:t>
      </w:r>
      <w:r>
        <w:rPr>
          <w:rFonts w:hint="eastAsia" w:ascii="楷体" w:hAnsi="楷体" w:eastAsia="楷体" w:cs="楷体"/>
          <w:b/>
          <w:bCs w:val="0"/>
          <w:sz w:val="72"/>
          <w:szCs w:val="72"/>
          <w:highlight w:val="none"/>
        </w:rPr>
        <w:t>项目</w:t>
      </w:r>
    </w:p>
    <w:p>
      <w:pPr>
        <w:keepNext w:val="0"/>
        <w:keepLines w:val="0"/>
        <w:pageBreakBefore w:val="0"/>
        <w:widowControl/>
        <w:kinsoku/>
        <w:wordWrap/>
        <w:overflowPunct/>
        <w:topLinePunct w:val="0"/>
        <w:autoSpaceDE/>
        <w:autoSpaceDN/>
        <w:bidi w:val="0"/>
        <w:adjustRightInd/>
        <w:snapToGrid/>
        <w:spacing w:after="100" w:afterAutospacing="1" w:line="240" w:lineRule="auto"/>
        <w:jc w:val="center"/>
        <w:textAlignment w:val="auto"/>
        <w:outlineLvl w:val="0"/>
        <w:rPr>
          <w:rFonts w:hint="eastAsia" w:ascii="楷体" w:hAnsi="楷体" w:eastAsia="楷体" w:cs="楷体"/>
          <w:b/>
          <w:bCs w:val="0"/>
          <w:sz w:val="72"/>
          <w:szCs w:val="72"/>
          <w:highlight w:val="none"/>
        </w:rPr>
      </w:pPr>
      <w:r>
        <w:rPr>
          <w:rFonts w:hint="eastAsia" w:ascii="楷体" w:hAnsi="楷体" w:eastAsia="楷体" w:cs="楷体"/>
          <w:b/>
          <w:bCs w:val="0"/>
          <w:sz w:val="72"/>
          <w:szCs w:val="72"/>
          <w:highlight w:val="none"/>
          <w:lang w:val="en-US" w:eastAsia="zh-CN"/>
        </w:rPr>
        <w:t>广告推广</w:t>
      </w:r>
      <w:r>
        <w:rPr>
          <w:rFonts w:hint="eastAsia" w:ascii="楷体" w:hAnsi="楷体" w:eastAsia="楷体" w:cs="楷体"/>
          <w:b/>
          <w:bCs w:val="0"/>
          <w:sz w:val="72"/>
          <w:szCs w:val="72"/>
          <w:highlight w:val="none"/>
        </w:rPr>
        <w:t>合同</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val="0"/>
          <w:sz w:val="28"/>
          <w:szCs w:val="28"/>
          <w:highlight w:val="none"/>
          <w:lang w:eastAsia="zh-CN"/>
        </w:rPr>
      </w:pPr>
    </w:p>
    <w:p>
      <w:pPr>
        <w:pStyle w:val="3"/>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val="0"/>
          <w:sz w:val="28"/>
          <w:szCs w:val="28"/>
          <w:highlight w:val="none"/>
          <w:lang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val="0"/>
          <w:sz w:val="28"/>
          <w:szCs w:val="28"/>
          <w:highlight w:val="none"/>
          <w:lang w:eastAsia="zh-CN"/>
        </w:rPr>
      </w:pP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val="0"/>
          <w:sz w:val="28"/>
          <w:szCs w:val="28"/>
          <w:highlight w:val="none"/>
          <w:lang w:eastAsia="zh-CN"/>
        </w:rPr>
      </w:pPr>
    </w:p>
    <w:p>
      <w:pPr>
        <w:pStyle w:val="3"/>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val="0"/>
          <w:sz w:val="28"/>
          <w:szCs w:val="28"/>
          <w:highlight w:val="none"/>
          <w:lang w:eastAsia="zh-CN"/>
        </w:rPr>
      </w:pPr>
    </w:p>
    <w:p>
      <w:pPr>
        <w:keepNext w:val="0"/>
        <w:keepLines w:val="0"/>
        <w:pageBreakBefore w:val="0"/>
        <w:widowControl/>
        <w:kinsoku/>
        <w:wordWrap/>
        <w:overflowPunct/>
        <w:topLinePunct w:val="0"/>
        <w:autoSpaceDE/>
        <w:autoSpaceDN/>
        <w:bidi w:val="0"/>
        <w:adjustRightInd/>
        <w:snapToGrid/>
        <w:spacing w:line="560" w:lineRule="exact"/>
        <w:textAlignment w:val="auto"/>
        <w:rPr>
          <w:rFonts w:ascii="仿宋" w:hAnsi="仿宋" w:eastAsia="仿宋"/>
          <w:b/>
          <w:color w:val="auto"/>
          <w:kern w:val="0"/>
          <w:sz w:val="32"/>
          <w:szCs w:val="32"/>
          <w:highlight w:val="none"/>
        </w:rPr>
      </w:pPr>
      <w:r>
        <w:rPr>
          <w:rFonts w:hint="eastAsia" w:ascii="仿宋" w:hAnsi="仿宋" w:eastAsia="仿宋"/>
          <w:b/>
          <w:color w:val="auto"/>
          <w:kern w:val="0"/>
          <w:sz w:val="32"/>
          <w:szCs w:val="32"/>
          <w:highlight w:val="none"/>
        </w:rPr>
        <w:t>甲方：</w:t>
      </w:r>
      <w:r>
        <w:rPr>
          <w:rFonts w:hint="eastAsia" w:ascii="仿宋" w:hAnsi="仿宋" w:eastAsia="仿宋"/>
          <w:b/>
          <w:color w:val="auto"/>
          <w:kern w:val="0"/>
          <w:sz w:val="32"/>
          <w:szCs w:val="32"/>
          <w:highlight w:val="none"/>
        </w:rPr>
        <w:fldChar w:fldCharType="begin"/>
      </w:r>
      <w:r>
        <w:rPr>
          <w:rFonts w:hint="eastAsia" w:ascii="仿宋" w:hAnsi="仿宋" w:eastAsia="仿宋"/>
          <w:b/>
          <w:color w:val="auto"/>
          <w:kern w:val="0"/>
          <w:sz w:val="32"/>
          <w:szCs w:val="32"/>
          <w:highlight w:val="none"/>
        </w:rPr>
        <w:instrText xml:space="preserve"> HYPERLINK "http://www.szychr.cn/cn/tuiyijunrenzhaopin92/guozijugonggao/3455.html" \t "https://cn.bing.com/_blank" </w:instrText>
      </w:r>
      <w:r>
        <w:rPr>
          <w:rFonts w:hint="eastAsia" w:ascii="仿宋" w:hAnsi="仿宋" w:eastAsia="仿宋"/>
          <w:b/>
          <w:color w:val="auto"/>
          <w:kern w:val="0"/>
          <w:sz w:val="32"/>
          <w:szCs w:val="32"/>
          <w:highlight w:val="none"/>
        </w:rPr>
        <w:fldChar w:fldCharType="separate"/>
      </w:r>
      <w:r>
        <w:rPr>
          <w:rFonts w:hint="eastAsia" w:ascii="仿宋" w:hAnsi="仿宋" w:eastAsia="仿宋"/>
          <w:b/>
          <w:color w:val="auto"/>
          <w:kern w:val="0"/>
          <w:sz w:val="32"/>
          <w:szCs w:val="32"/>
          <w:highlight w:val="none"/>
        </w:rPr>
        <w:t>深圳市罗山科技园开发运营服务有限公司</w:t>
      </w:r>
      <w:r>
        <w:rPr>
          <w:rFonts w:hint="eastAsia" w:ascii="仿宋" w:hAnsi="仿宋" w:eastAsia="仿宋"/>
          <w:b/>
          <w:color w:val="auto"/>
          <w:kern w:val="0"/>
          <w:sz w:val="32"/>
          <w:szCs w:val="32"/>
          <w:highlight w:val="none"/>
        </w:rPr>
        <w:fldChar w:fldCharType="end"/>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heme="minorHAnsi" w:hAnsiTheme="minorHAnsi" w:eastAsiaTheme="minorEastAsia"/>
          <w:b/>
          <w:bCs/>
          <w:kern w:val="44"/>
          <w:sz w:val="44"/>
          <w:szCs w:val="44"/>
          <w:highlight w:val="none"/>
        </w:rPr>
      </w:pPr>
      <w:bookmarkStart w:id="0" w:name="_Toc12438"/>
      <w:bookmarkStart w:id="1" w:name="_Toc16888"/>
      <w:bookmarkStart w:id="2" w:name="_Toc12826"/>
      <w:r>
        <w:rPr>
          <w:rFonts w:hint="eastAsia" w:ascii="仿宋" w:hAnsi="仿宋" w:eastAsia="仿宋"/>
          <w:b/>
          <w:bCs w:val="0"/>
          <w:color w:val="auto"/>
          <w:kern w:val="0"/>
          <w:sz w:val="32"/>
          <w:szCs w:val="32"/>
          <w:highlight w:val="none"/>
        </w:rPr>
        <w:t>乙方：</w:t>
      </w:r>
      <w:bookmarkEnd w:id="0"/>
      <w:bookmarkEnd w:id="1"/>
      <w:bookmarkEnd w:id="2"/>
      <w:r>
        <w:rPr>
          <w:rFonts w:hint="eastAsia" w:ascii="仿宋" w:hAnsi="仿宋" w:eastAsia="仿宋"/>
          <w:b/>
          <w:bCs w:val="0"/>
          <w:color w:val="auto"/>
          <w:kern w:val="0"/>
          <w:sz w:val="32"/>
          <w:szCs w:val="32"/>
          <w:highlight w:val="none"/>
          <w:lang w:val="en-US" w:eastAsia="zh-CN"/>
        </w:rPr>
        <w:t xml:space="preserve"> </w:t>
      </w:r>
      <w:r>
        <w:rPr>
          <w:rFonts w:hint="default" w:asciiTheme="minorHAnsi" w:hAnsiTheme="minorHAnsi" w:eastAsiaTheme="minorEastAsia"/>
          <w:b/>
          <w:bCs/>
          <w:kern w:val="44"/>
          <w:sz w:val="44"/>
          <w:szCs w:val="44"/>
          <w:highlight w:val="none"/>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textAlignment w:val="auto"/>
        <w:rPr>
          <w:rFonts w:asciiTheme="minorHAnsi" w:hAnsiTheme="minorHAnsi" w:eastAsiaTheme="minorEastAsia"/>
          <w:b/>
          <w:szCs w:val="44"/>
          <w:highlight w:val="none"/>
        </w:rPr>
      </w:pPr>
    </w:p>
    <w:p>
      <w:pPr>
        <w:keepNext w:val="0"/>
        <w:keepLines w:val="0"/>
        <w:pageBreakBefore w:val="0"/>
        <w:widowControl/>
        <w:kinsoku/>
        <w:wordWrap/>
        <w:overflowPunct/>
        <w:topLinePunct w:val="0"/>
        <w:autoSpaceDE/>
        <w:autoSpaceDN/>
        <w:bidi w:val="0"/>
        <w:adjustRightInd/>
        <w:snapToGrid/>
        <w:spacing w:line="560" w:lineRule="exact"/>
        <w:ind w:firstLine="963" w:firstLineChars="300"/>
        <w:textAlignment w:val="auto"/>
        <w:rPr>
          <w:rFonts w:hint="eastAsia" w:ascii="仿宋" w:hAnsi="仿宋" w:eastAsia="仿宋"/>
          <w:b/>
          <w:color w:val="auto"/>
          <w:kern w:val="0"/>
          <w:sz w:val="32"/>
          <w:szCs w:val="32"/>
          <w:highlight w:val="none"/>
        </w:rPr>
      </w:pPr>
    </w:p>
    <w:p>
      <w:pPr>
        <w:keepNext w:val="0"/>
        <w:keepLines w:val="0"/>
        <w:pageBreakBefore w:val="0"/>
        <w:widowControl/>
        <w:kinsoku/>
        <w:wordWrap/>
        <w:overflowPunct/>
        <w:topLinePunct w:val="0"/>
        <w:autoSpaceDE/>
        <w:autoSpaceDN/>
        <w:bidi w:val="0"/>
        <w:adjustRightInd/>
        <w:snapToGrid/>
        <w:spacing w:line="560" w:lineRule="exact"/>
        <w:ind w:firstLine="1124" w:firstLineChars="400"/>
        <w:textAlignment w:val="auto"/>
        <w:rPr>
          <w:rFonts w:ascii="仿宋" w:hAnsi="仿宋" w:eastAsia="仿宋"/>
          <w:b/>
          <w:color w:val="auto"/>
          <w:kern w:val="0"/>
          <w:sz w:val="28"/>
          <w:szCs w:val="28"/>
          <w:highlight w:val="none"/>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b/>
          <w:color w:val="auto"/>
          <w:kern w:val="0"/>
          <w:sz w:val="32"/>
          <w:szCs w:val="32"/>
          <w:highlight w:val="none"/>
        </w:rPr>
      </w:pPr>
      <w:r>
        <w:rPr>
          <w:rFonts w:hint="eastAsia" w:ascii="宋体" w:hAnsi="宋体"/>
          <w:b/>
          <w:color w:val="auto"/>
          <w:kern w:val="0"/>
          <w:sz w:val="32"/>
          <w:szCs w:val="32"/>
          <w:highlight w:val="none"/>
        </w:rPr>
        <w:t>二零二</w:t>
      </w:r>
      <w:r>
        <w:rPr>
          <w:rFonts w:hint="eastAsia" w:ascii="宋体" w:hAnsi="宋体"/>
          <w:b/>
          <w:color w:val="auto"/>
          <w:kern w:val="0"/>
          <w:sz w:val="32"/>
          <w:szCs w:val="32"/>
          <w:highlight w:val="none"/>
          <w:lang w:val="en-US" w:eastAsia="zh-CN"/>
        </w:rPr>
        <w:t>六</w:t>
      </w:r>
      <w:r>
        <w:rPr>
          <w:rFonts w:hint="eastAsia" w:ascii="宋体" w:hAnsi="宋体"/>
          <w:b/>
          <w:color w:val="auto"/>
          <w:kern w:val="0"/>
          <w:sz w:val="32"/>
          <w:szCs w:val="32"/>
          <w:highlight w:val="none"/>
        </w:rPr>
        <w:t>年</w:t>
      </w:r>
      <w:r>
        <w:rPr>
          <w:rFonts w:hint="eastAsia" w:ascii="宋体" w:hAnsi="宋体"/>
          <w:b/>
          <w:color w:val="auto"/>
          <w:kern w:val="0"/>
          <w:sz w:val="32"/>
          <w:szCs w:val="32"/>
          <w:highlight w:val="none"/>
          <w:lang w:val="en-US" w:eastAsia="zh-CN"/>
        </w:rPr>
        <w:t>七</w:t>
      </w:r>
      <w:r>
        <w:rPr>
          <w:rFonts w:hint="eastAsia" w:ascii="宋体" w:hAnsi="宋体"/>
          <w:b/>
          <w:color w:val="auto"/>
          <w:kern w:val="0"/>
          <w:sz w:val="32"/>
          <w:szCs w:val="32"/>
          <w:highlight w:val="none"/>
        </w:rPr>
        <w:t>月</w:t>
      </w:r>
    </w:p>
    <w:p>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ascii="仿宋" w:hAnsi="仿宋" w:eastAsia="仿宋"/>
          <w:b/>
          <w:color w:val="auto"/>
          <w:kern w:val="0"/>
          <w:sz w:val="28"/>
          <w:szCs w:val="28"/>
          <w:highlight w:val="none"/>
        </w:rPr>
      </w:pPr>
      <w:r>
        <w:rPr>
          <w:rFonts w:ascii="仿宋" w:hAnsi="仿宋" w:eastAsia="仿宋"/>
          <w:b/>
          <w:color w:val="auto"/>
          <w:kern w:val="0"/>
          <w:sz w:val="28"/>
          <w:szCs w:val="28"/>
          <w:highlight w:val="none"/>
        </w:rPr>
        <w:br w:type="page"/>
      </w:r>
    </w:p>
    <w:p>
      <w:pPr>
        <w:pStyle w:val="23"/>
        <w:keepNext w:val="0"/>
        <w:keepLines w:val="0"/>
        <w:pageBreakBefore w:val="0"/>
        <w:kinsoku/>
        <w:wordWrap/>
        <w:overflowPunct/>
        <w:topLinePunct w:val="0"/>
        <w:autoSpaceDE/>
        <w:autoSpaceDN/>
        <w:bidi w:val="0"/>
        <w:adjustRightInd/>
        <w:snapToGrid/>
        <w:spacing w:line="560" w:lineRule="exact"/>
        <w:textAlignment w:val="auto"/>
        <w:rPr>
          <w:highlight w:val="none"/>
        </w:rPr>
        <w:sectPr>
          <w:headerReference r:id="rId3" w:type="default"/>
          <w:footerReference r:id="rId4" w:type="default"/>
          <w:footnotePr>
            <w:numRestart w:val="eachPage"/>
          </w:footnotePr>
          <w:pgSz w:w="11906" w:h="16838"/>
          <w:pgMar w:top="1440" w:right="1797" w:bottom="1440" w:left="1797" w:header="851" w:footer="992" w:gutter="0"/>
          <w:pgNumType w:fmt="numberInDash" w:start="0"/>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afterAutospacing="0" w:line="560" w:lineRule="exact"/>
        <w:ind w:left="0" w:leftChars="0"/>
        <w:jc w:val="center"/>
        <w:textAlignment w:val="auto"/>
        <w:outlineLvl w:val="0"/>
        <w:rPr>
          <w:rFonts w:hint="eastAsia" w:ascii="宋体" w:hAnsi="宋体" w:eastAsia="宋体" w:cs="宋体"/>
          <w:b/>
          <w:bCs w:val="0"/>
          <w:sz w:val="44"/>
          <w:szCs w:val="44"/>
          <w:highlight w:val="none"/>
        </w:rPr>
      </w:pPr>
      <w:r>
        <w:rPr>
          <w:rFonts w:hint="eastAsia" w:ascii="宋体" w:hAnsi="宋体" w:eastAsia="宋体" w:cs="宋体"/>
          <w:b/>
          <w:bCs w:val="0"/>
          <w:sz w:val="44"/>
          <w:szCs w:val="44"/>
          <w:highlight w:val="none"/>
        </w:rPr>
        <w:t>罗山</w:t>
      </w:r>
      <w:r>
        <w:rPr>
          <w:rFonts w:hint="eastAsia" w:ascii="宋体" w:hAnsi="宋体" w:eastAsia="宋体" w:cs="宋体"/>
          <w:b/>
          <w:bCs w:val="0"/>
          <w:sz w:val="44"/>
          <w:szCs w:val="44"/>
          <w:highlight w:val="none"/>
          <w:lang w:eastAsia="zh-CN"/>
        </w:rPr>
        <w:t>科技园三</w:t>
      </w:r>
      <w:r>
        <w:rPr>
          <w:rFonts w:hint="eastAsia" w:ascii="宋体" w:hAnsi="宋体" w:eastAsia="宋体" w:cs="宋体"/>
          <w:b/>
          <w:bCs w:val="0"/>
          <w:sz w:val="44"/>
          <w:szCs w:val="44"/>
          <w:highlight w:val="none"/>
        </w:rPr>
        <w:t>项目</w:t>
      </w:r>
      <w:r>
        <w:rPr>
          <w:rFonts w:hint="eastAsia" w:ascii="宋体" w:hAnsi="宋体" w:eastAsia="宋体" w:cs="宋体"/>
          <w:b/>
          <w:bCs w:val="0"/>
          <w:sz w:val="44"/>
          <w:szCs w:val="44"/>
          <w:highlight w:val="none"/>
          <w:lang w:val="en-US" w:eastAsia="zh-CN"/>
        </w:rPr>
        <w:t>广告推广</w:t>
      </w:r>
      <w:r>
        <w:rPr>
          <w:rFonts w:hint="eastAsia" w:ascii="宋体" w:hAnsi="宋体" w:eastAsia="宋体" w:cs="宋体"/>
          <w:b/>
          <w:bCs w:val="0"/>
          <w:sz w:val="44"/>
          <w:szCs w:val="44"/>
          <w:highlight w:val="none"/>
        </w:rPr>
        <w:t>合同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b/>
          <w:bCs/>
          <w:color w:val="auto"/>
          <w:kern w:val="0"/>
          <w:sz w:val="30"/>
          <w:szCs w:val="30"/>
          <w:highlight w:val="none"/>
          <w:lang w:val="en-US" w:eastAsia="zh-CN"/>
        </w:rPr>
        <w:t xml:space="preserve">  </w:t>
      </w:r>
      <w:r>
        <w:rPr>
          <w:rFonts w:hint="eastAsia" w:ascii="仿宋_GB2312" w:hAnsi="仿宋_GB2312" w:eastAsia="仿宋_GB2312" w:cs="仿宋_GB2312"/>
          <w:color w:val="auto"/>
          <w:kern w:val="0"/>
          <w:sz w:val="30"/>
          <w:szCs w:val="30"/>
          <w:highlight w:val="none"/>
        </w:rPr>
        <w:t>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甲方</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：深圳市罗山科技园开发运营服务有限公司</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default"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法定代表人：谢云涛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地址：深圳市龙岗区中心城腾飞路创投大厦3603室</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default"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0755-89806666</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乙方</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地址：</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default"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电话：</w:t>
      </w:r>
    </w:p>
    <w:p>
      <w:pPr>
        <w:pStyle w:val="23"/>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鉴于：</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甲方为“</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罗山科技园</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三</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项目的</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开发建设方</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，拥有该项目的开发</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建设</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、销售</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出租等权力</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乙方为专业的</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广告</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公司，具备丰富的</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项目营销推广</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经验。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甲方委托乙方</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提供</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罗山科技园</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三</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项目的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广告推广</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服务，乙方</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接受该委托</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4.依照《中华人民共和国民法典》、《中华人民共和国招标投标法》等国家的有关法律、行政法规，遵循平等、自愿、公平和诚实信用的原则，</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经双方友好协商，达成如下协议，以资共同遵守：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1"/>
        <w:rPr>
          <w:rFonts w:hint="eastAsia" w:ascii="黑体" w:hAnsi="黑体" w:eastAsia="黑体" w:cs="黑体"/>
          <w:b w:val="0"/>
          <w:bCs w:val="0"/>
          <w:color w:val="000000" w:themeColor="text1"/>
          <w:kern w:val="0"/>
          <w:sz w:val="32"/>
          <w:szCs w:val="32"/>
          <w:highlight w:val="none"/>
          <w14:textFill>
            <w14:solidFill>
              <w14:schemeClr w14:val="tx1"/>
            </w14:solidFill>
          </w14:textFill>
        </w:rPr>
      </w:pPr>
      <w:r>
        <w:rPr>
          <w:rFonts w:hint="eastAsia" w:ascii="黑体" w:hAnsi="黑体" w:eastAsia="黑体" w:cs="黑体"/>
          <w:b w:val="0"/>
          <w:bCs w:val="0"/>
          <w:color w:val="000000" w:themeColor="text1"/>
          <w:kern w:val="0"/>
          <w:sz w:val="32"/>
          <w:szCs w:val="32"/>
          <w:highlight w:val="none"/>
          <w14:textFill>
            <w14:solidFill>
              <w14:schemeClr w14:val="tx1"/>
            </w14:solidFill>
          </w14:textFill>
        </w:rPr>
        <w:t>一、项目基本情况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项目名称： </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罗山科技园三项目</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（以下简称“本项目”）。</w:t>
      </w:r>
    </w:p>
    <w:p>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default" w:ascii="仿宋_GB2312" w:hAnsi="仿宋_GB2312" w:eastAsia="仿宋_GB2312" w:cs="仿宋_GB2312"/>
          <w:b w:val="0"/>
          <w:bCs w:val="0"/>
          <w:color w:val="000000" w:themeColor="text1"/>
          <w:kern w:val="0"/>
          <w:sz w:val="32"/>
          <w:szCs w:val="32"/>
          <w:highlight w:val="none"/>
          <w14:textFill>
            <w14:solidFill>
              <w14:schemeClr w14:val="tx1"/>
            </w14:solidFill>
          </w14:textFill>
        </w:rPr>
      </w:pPr>
      <w:bookmarkStart w:id="3" w:name="_GoBack"/>
      <w:bookmarkEnd w:id="3"/>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项目位置： 位于深圳市龙岗区平湖街道平大路与广深铁路的</w:t>
      </w:r>
      <w:r>
        <w:rPr>
          <w:rFonts w:hint="eastAsia" w:ascii="仿宋_GB2312" w:hAnsi="仿宋_GB2312" w:eastAsia="仿宋_GB2312" w:cs="仿宋_GB2312"/>
          <w:i w:val="0"/>
          <w:iCs w:val="0"/>
          <w:caps w:val="0"/>
          <w:color w:val="000000" w:themeColor="text1"/>
          <w:spacing w:val="0"/>
          <w:kern w:val="0"/>
          <w:sz w:val="32"/>
          <w:szCs w:val="32"/>
          <w:highlight w:val="none"/>
          <w:shd w:val="clear"/>
          <w:lang w:val="en-US" w:eastAsia="zh-CN" w:bidi="ar"/>
          <w14:textFill>
            <w14:solidFill>
              <w14:schemeClr w14:val="tx1"/>
            </w14:solidFill>
          </w14:textFill>
        </w:rPr>
        <w:t>交会处</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3.项目信息</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 园区占地1.38平方公里、总建面约140万平方米，包括产业集聚中心（1栋研发办公、3栋生产厂房、1座食堂）</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国际交流服务中心（含1栋精装研发办公，5栋人才公寓及1座酒店）</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及</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国际创新中心（定制化项目）三大功能组团，涵盖高品质研发办公、高标准生产厂房、酒店、高端精装人才公寓和丰富商业及餐饮、休闲配套。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1"/>
        <w:rPr>
          <w:rFonts w:hint="eastAsia" w:ascii="黑体" w:hAnsi="黑体" w:eastAsia="黑体" w:cs="黑体"/>
          <w:b w:val="0"/>
          <w:bCs w:val="0"/>
          <w:color w:val="000000" w:themeColor="text1"/>
          <w:kern w:val="0"/>
          <w:sz w:val="32"/>
          <w:szCs w:val="32"/>
          <w:highlight w:val="none"/>
          <w14:textFill>
            <w14:solidFill>
              <w14:schemeClr w14:val="tx1"/>
            </w14:solidFill>
          </w14:textFill>
        </w:rPr>
      </w:pPr>
      <w:r>
        <w:rPr>
          <w:rFonts w:hint="eastAsia" w:ascii="黑体" w:hAnsi="黑体" w:eastAsia="黑体" w:cs="黑体"/>
          <w:b w:val="0"/>
          <w:bCs w:val="0"/>
          <w:color w:val="000000" w:themeColor="text1"/>
          <w:kern w:val="0"/>
          <w:sz w:val="32"/>
          <w:szCs w:val="32"/>
          <w:highlight w:val="none"/>
          <w14:textFill>
            <w14:solidFill>
              <w14:schemeClr w14:val="tx1"/>
            </w14:solidFill>
          </w14:textFill>
        </w:rPr>
        <w:t>二、服务内容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楷体_GB2312" w:hAnsi="楷体_GB2312" w:eastAsia="楷体_GB2312" w:cs="楷体_GB2312"/>
          <w:color w:val="000000" w:themeColor="text1"/>
          <w:kern w:val="0"/>
          <w:sz w:val="32"/>
          <w:szCs w:val="32"/>
          <w:highlight w:val="none"/>
          <w:lang w:eastAsia="zh-CN"/>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kern w:val="0"/>
          <w:sz w:val="32"/>
          <w:szCs w:val="32"/>
          <w:highlight w:val="none"/>
          <w:lang w:val="en-US" w:eastAsia="zh-CN"/>
          <w14:textFill>
            <w14:solidFill>
              <w14:schemeClr w14:val="tx1"/>
            </w14:solidFill>
          </w14:textFill>
        </w:rPr>
        <w:t>一</w:t>
      </w:r>
      <w:r>
        <w:rPr>
          <w:rFonts w:hint="eastAsia" w:ascii="楷体_GB2312" w:hAnsi="楷体_GB2312" w:eastAsia="楷体_GB2312" w:cs="楷体_GB2312"/>
          <w:color w:val="000000" w:themeColor="text1"/>
          <w:kern w:val="0"/>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kern w:val="0"/>
          <w:sz w:val="32"/>
          <w:szCs w:val="32"/>
          <w:highlight w:val="none"/>
          <w14:textFill>
            <w14:solidFill>
              <w14:schemeClr w14:val="tx1"/>
            </w14:solidFill>
          </w14:textFill>
        </w:rPr>
        <w:t>乙方为甲方提供</w:t>
      </w:r>
      <w:r>
        <w:rPr>
          <w:rFonts w:hint="eastAsia" w:ascii="楷体_GB2312" w:hAnsi="楷体_GB2312" w:eastAsia="楷体_GB2312" w:cs="楷体_GB2312"/>
          <w:color w:val="000000" w:themeColor="text1"/>
          <w:kern w:val="0"/>
          <w:sz w:val="32"/>
          <w:szCs w:val="32"/>
          <w:highlight w:val="none"/>
          <w:lang w:val="en-US" w:eastAsia="zh-CN"/>
          <w14:textFill>
            <w14:solidFill>
              <w14:schemeClr w14:val="tx1"/>
            </w14:solidFill>
          </w14:textFill>
        </w:rPr>
        <w:t>包括但不限于</w:t>
      </w:r>
      <w:r>
        <w:rPr>
          <w:rFonts w:hint="eastAsia" w:ascii="楷体_GB2312" w:hAnsi="楷体_GB2312" w:eastAsia="楷体_GB2312" w:cs="楷体_GB2312"/>
          <w:color w:val="000000" w:themeColor="text1"/>
          <w:kern w:val="0"/>
          <w:sz w:val="32"/>
          <w:szCs w:val="32"/>
          <w:highlight w:val="none"/>
          <w14:textFill>
            <w14:solidFill>
              <w14:schemeClr w14:val="tx1"/>
            </w14:solidFill>
          </w14:textFill>
        </w:rPr>
        <w:t>以下</w:t>
      </w:r>
      <w:r>
        <w:rPr>
          <w:rFonts w:hint="eastAsia" w:ascii="楷体_GB2312" w:hAnsi="楷体_GB2312" w:eastAsia="楷体_GB2312" w:cs="楷体_GB2312"/>
          <w:color w:val="000000" w:themeColor="text1"/>
          <w:kern w:val="0"/>
          <w:sz w:val="32"/>
          <w:szCs w:val="32"/>
          <w:highlight w:val="none"/>
          <w:lang w:eastAsia="zh-CN"/>
          <w14:textFill>
            <w14:solidFill>
              <w14:schemeClr w14:val="tx1"/>
            </w14:solidFill>
          </w14:textFill>
        </w:rPr>
        <w:t>广告推广</w:t>
      </w:r>
      <w:r>
        <w:rPr>
          <w:rFonts w:hint="eastAsia" w:ascii="楷体_GB2312" w:hAnsi="楷体_GB2312" w:eastAsia="楷体_GB2312" w:cs="楷体_GB2312"/>
          <w:color w:val="000000" w:themeColor="text1"/>
          <w:kern w:val="0"/>
          <w:sz w:val="32"/>
          <w:szCs w:val="32"/>
          <w:highlight w:val="none"/>
          <w14:textFill>
            <w14:solidFill>
              <w14:schemeClr w14:val="tx1"/>
            </w14:solidFill>
          </w14:textFill>
        </w:rPr>
        <w:t>服务</w:t>
      </w:r>
      <w:r>
        <w:rPr>
          <w:rFonts w:hint="eastAsia" w:ascii="楷体_GB2312" w:hAnsi="楷体_GB2312" w:eastAsia="楷体_GB2312" w:cs="楷体_GB2312"/>
          <w:color w:val="000000" w:themeColor="text1"/>
          <w:kern w:val="0"/>
          <w:sz w:val="32"/>
          <w:szCs w:val="32"/>
          <w:highlight w:val="none"/>
          <w:lang w:eastAsia="zh-CN"/>
          <w14:textFill>
            <w14:solidFill>
              <w14:schemeClr w14:val="tx1"/>
            </w14:solidFill>
          </w14:textFill>
        </w:rPr>
        <w:t>：</w:t>
      </w:r>
    </w:p>
    <w:p>
      <w:pPr>
        <w:pStyle w:val="24"/>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560" w:lineRule="exact"/>
        <w:ind w:leftChars="0" w:firstLine="640" w:firstLineChars="200"/>
        <w:jc w:val="both"/>
        <w:textAlignment w:val="auto"/>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32"/>
          <w:szCs w:val="32"/>
          <w:highlight w:val="none"/>
          <w:lang w:val="en-US" w:eastAsia="zh-CN" w:bidi="ar-SA"/>
          <w14:textFill>
            <w14:solidFill>
              <w14:schemeClr w14:val="tx1"/>
            </w14:solidFill>
          </w14:textFill>
        </w:rPr>
        <w:t>1.广告推广策略</w:t>
      </w:r>
      <w:r>
        <w:rPr>
          <w:rFonts w:hint="eastAsia" w:ascii="仿宋_GB2312" w:hAnsi="仿宋_GB2312" w:eastAsia="仿宋_GB2312" w:cs="仿宋_GB2312"/>
          <w:b w:val="0"/>
          <w:bCs/>
          <w:i w:val="0"/>
          <w:iCs w:val="0"/>
          <w:caps w:val="0"/>
          <w:color w:val="000000" w:themeColor="text1"/>
          <w:spacing w:val="0"/>
          <w:sz w:val="32"/>
          <w:szCs w:val="32"/>
          <w:highlight w:val="none"/>
          <w:lang w:eastAsia="zh-CN" w:bidi="ar-SA"/>
          <w14:textFill>
            <w14:solidFill>
              <w14:schemeClr w14:val="tx1"/>
            </w14:solidFill>
          </w14:textFill>
        </w:rPr>
        <w:t>。</w:t>
      </w:r>
      <w:r>
        <w:rPr>
          <w:rFonts w:hint="eastAsia" w:ascii="仿宋_GB2312" w:hAnsi="仿宋_GB2312" w:eastAsia="仿宋_GB2312" w:cs="仿宋_GB2312"/>
          <w:b w:val="0"/>
          <w:bCs/>
          <w:i w:val="0"/>
          <w:iCs w:val="0"/>
          <w:caps w:val="0"/>
          <w:color w:val="000000" w:themeColor="text1"/>
          <w:spacing w:val="0"/>
          <w:sz w:val="32"/>
          <w:szCs w:val="32"/>
          <w:highlight w:val="none"/>
          <w:lang w:val="en-US" w:eastAsia="zh-CN" w:bidi="ar-SA"/>
          <w14:textFill>
            <w14:solidFill>
              <w14:schemeClr w14:val="tx1"/>
            </w14:solidFill>
          </w14:textFill>
        </w:rPr>
        <w:t>广告推广总策略、广告推广定位、</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媒体组合选择。</w:t>
      </w:r>
    </w:p>
    <w:p>
      <w:pPr>
        <w:pStyle w:val="24"/>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560" w:lineRule="exact"/>
        <w:ind w:leftChars="0" w:firstLine="640" w:firstLineChars="200"/>
        <w:jc w:val="both"/>
        <w:textAlignment w:val="auto"/>
        <w:rPr>
          <w:rFonts w:hint="eastAsia" w:ascii="仿宋_GB2312" w:hAnsi="仿宋_GB2312" w:eastAsia="仿宋_GB2312" w:cs="仿宋_GB2312"/>
          <w:b w:val="0"/>
          <w:bCs/>
          <w:color w:val="000000" w:themeColor="text1"/>
          <w:sz w:val="32"/>
          <w:szCs w:val="32"/>
          <w:highlight w:val="yellow"/>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32"/>
          <w:szCs w:val="32"/>
          <w:highlight w:val="none"/>
          <w:lang w:val="en-US" w:eastAsia="zh-CN" w:bidi="ar-SA"/>
          <w14:textFill>
            <w14:solidFill>
              <w14:schemeClr w14:val="tx1"/>
            </w14:solidFill>
          </w14:textFill>
        </w:rPr>
        <w:t>2.</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项目品牌识别系统设计。基础系统设计或优化、应用系统设计。</w:t>
      </w:r>
    </w:p>
    <w:p>
      <w:pPr>
        <w:pStyle w:val="24"/>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560" w:lineRule="exact"/>
        <w:ind w:leftChars="0" w:firstLine="640" w:firstLineChars="200"/>
        <w:jc w:val="both"/>
        <w:textAlignment w:val="auto"/>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3.活动物料设计。主画面形象物料设计、活动邀请函、推介演示文稿制作等</w:t>
      </w:r>
      <w:r>
        <w:rPr>
          <w:rFonts w:hint="eastAsia" w:ascii="仿宋_GB2312" w:hAnsi="仿宋_GB2312" w:eastAsia="仿宋_GB2312" w:cs="仿宋_GB2312"/>
          <w:b w:val="0"/>
          <w:bCs/>
          <w:i w:val="0"/>
          <w:iCs w:val="0"/>
          <w:caps w:val="0"/>
          <w:color w:val="000000" w:themeColor="text1"/>
          <w:spacing w:val="0"/>
          <w:sz w:val="32"/>
          <w:szCs w:val="32"/>
          <w:highlight w:val="none"/>
          <w:lang w:eastAsia="zh-CN" w:bidi="ar-SA"/>
          <w14:textFill>
            <w14:solidFill>
              <w14:schemeClr w14:val="tx1"/>
            </w14:solidFill>
          </w14:textFill>
        </w:rPr>
        <w:t>。</w:t>
      </w:r>
    </w:p>
    <w:p>
      <w:pPr>
        <w:pStyle w:val="24"/>
        <w:keepNext w:val="0"/>
        <w:keepLines w:val="0"/>
        <w:pageBreakBefore w:val="0"/>
        <w:numPr>
          <w:ilvl w:val="-1"/>
          <w:numId w:val="0"/>
        </w:numPr>
        <w:kinsoku/>
        <w:wordWrap/>
        <w:overflowPunct/>
        <w:topLinePunct w:val="0"/>
        <w:autoSpaceDE/>
        <w:autoSpaceDN/>
        <w:bidi w:val="0"/>
        <w:adjustRightInd/>
        <w:snapToGrid/>
        <w:spacing w:beforeAutospacing="0" w:after="0" w:afterAutospacing="0" w:line="560" w:lineRule="exact"/>
        <w:ind w:left="0" w:leftChars="0" w:firstLine="640" w:firstLineChars="200"/>
        <w:jc w:val="both"/>
        <w:textAlignment w:val="auto"/>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32"/>
          <w:szCs w:val="32"/>
          <w:highlight w:val="none"/>
          <w:lang w:val="en-US" w:eastAsia="zh-CN"/>
          <w14:textFill>
            <w14:solidFill>
              <w14:schemeClr w14:val="tx1"/>
            </w14:solidFill>
          </w14:textFill>
        </w:rPr>
        <w:t>4.</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售楼物料设计</w:t>
      </w:r>
      <w:r>
        <w:rPr>
          <w:rFonts w:hint="eastAsia" w:ascii="仿宋_GB2312" w:hAnsi="仿宋_GB2312" w:eastAsia="仿宋_GB2312" w:cs="仿宋_GB2312"/>
          <w:b w:val="0"/>
          <w:bCs/>
          <w:i w:val="0"/>
          <w:iCs w:val="0"/>
          <w:caps w:val="0"/>
          <w:color w:val="000000" w:themeColor="text1"/>
          <w:spacing w:val="0"/>
          <w:sz w:val="32"/>
          <w:szCs w:val="32"/>
          <w:highlight w:val="none"/>
          <w:lang w:eastAsia="zh-CN"/>
          <w14:textFill>
            <w14:solidFill>
              <w14:schemeClr w14:val="tx1"/>
            </w14:solidFill>
          </w14:textFill>
        </w:rPr>
        <w:t>。</w:t>
      </w:r>
      <w:r>
        <w:rPr>
          <w:rFonts w:hint="eastAsia" w:ascii="仿宋_GB2312" w:hAnsi="仿宋_GB2312" w:eastAsia="仿宋_GB2312" w:cs="仿宋_GB2312"/>
          <w:b w:val="0"/>
          <w:bCs/>
          <w:i w:val="0"/>
          <w:iCs w:val="0"/>
          <w:caps w:val="0"/>
          <w:color w:val="000000" w:themeColor="text1"/>
          <w:spacing w:val="0"/>
          <w:sz w:val="32"/>
          <w:szCs w:val="32"/>
          <w:highlight w:val="none"/>
          <w:lang w:val="en-US" w:eastAsia="zh-CN"/>
          <w14:textFill>
            <w14:solidFill>
              <w14:schemeClr w14:val="tx1"/>
            </w14:solidFill>
          </w14:textFill>
        </w:rPr>
        <w:t>招商手册</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、项目折页、租售须知等设计。</w:t>
      </w:r>
    </w:p>
    <w:p>
      <w:pPr>
        <w:pStyle w:val="24"/>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560" w:lineRule="exact"/>
        <w:ind w:left="0" w:leftChars="0" w:firstLine="640" w:firstLineChars="200"/>
        <w:jc w:val="both"/>
        <w:textAlignment w:val="auto"/>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32"/>
          <w:szCs w:val="32"/>
          <w:highlight w:val="none"/>
          <w:lang w:val="en-US" w:eastAsia="zh-CN"/>
          <w14:textFill>
            <w14:solidFill>
              <w14:schemeClr w14:val="tx1"/>
            </w14:solidFill>
          </w14:textFill>
        </w:rPr>
        <w:t>5.新媒体宣传推广</w:t>
      </w:r>
      <w:r>
        <w:rPr>
          <w:rFonts w:hint="eastAsia" w:ascii="仿宋_GB2312" w:hAnsi="仿宋_GB2312" w:eastAsia="仿宋_GB2312" w:cs="仿宋_GB2312"/>
          <w:b w:val="0"/>
          <w:bCs/>
          <w:i w:val="0"/>
          <w:iCs w:val="0"/>
          <w:caps w:val="0"/>
          <w:color w:val="000000" w:themeColor="text1"/>
          <w:spacing w:val="0"/>
          <w:sz w:val="32"/>
          <w:szCs w:val="32"/>
          <w:highlight w:val="none"/>
          <w:lang w:eastAsia="zh-CN"/>
          <w14:textFill>
            <w14:solidFill>
              <w14:schemeClr w14:val="tx1"/>
            </w14:solidFill>
          </w14:textFill>
        </w:rPr>
        <w:t>。新媒体全程整合推广方案、筹备新媒体推送内容如推文/长图（月不少于1个）、海报设计（月不少于</w:t>
      </w:r>
    </w:p>
    <w:p>
      <w:pPr>
        <w:pStyle w:val="24"/>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560" w:lineRule="exact"/>
        <w:ind w:left="0" w:leftChars="0" w:firstLine="0" w:firstLineChars="0"/>
        <w:jc w:val="both"/>
        <w:textAlignment w:val="auto"/>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8个）、短视频制作（月不少于2个）等。</w:t>
      </w:r>
    </w:p>
    <w:p>
      <w:pPr>
        <w:pStyle w:val="24"/>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560" w:lineRule="exact"/>
        <w:ind w:leftChars="0" w:firstLine="640" w:firstLineChars="200"/>
        <w:jc w:val="both"/>
        <w:textAlignment w:val="auto"/>
        <w:rPr>
          <w:rFonts w:hint="default"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6.其他推广物料设计。阶段主画面、阶段系列海报、日常营销推广物料设计。</w:t>
      </w:r>
    </w:p>
    <w:p>
      <w:pPr>
        <w:pStyle w:val="24"/>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560" w:lineRule="exact"/>
        <w:ind w:leftChars="0" w:firstLine="642"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具体服务内容应根据项目整体要求和市场情况进行动态完善及调整。服务期间根据甲方需求，重要节点须安排驻场工作人员，以保证广告推广工作按计划开展。</w:t>
      </w:r>
    </w:p>
    <w:p>
      <w:pPr>
        <w:pStyle w:val="2"/>
        <w:keepNext w:val="0"/>
        <w:keepLines w:val="0"/>
        <w:pageBreakBefore w:val="0"/>
        <w:widowControl/>
        <w:numPr>
          <w:ilvl w:val="0"/>
          <w:numId w:val="0"/>
        </w:numPr>
        <w:kinsoku/>
        <w:wordWrap/>
        <w:overflowPunct/>
        <w:topLinePunct w:val="0"/>
        <w:autoSpaceDE/>
        <w:autoSpaceDN/>
        <w:bidi w:val="0"/>
        <w:adjustRightInd/>
        <w:snapToGrid/>
        <w:spacing w:afterAutospacing="0" w:line="560" w:lineRule="exact"/>
        <w:ind w:left="-10" w:leftChars="0" w:firstLine="640" w:firstLineChars="0"/>
        <w:jc w:val="both"/>
        <w:textAlignment w:val="auto"/>
        <w:outlineLvl w:val="1"/>
        <w:rPr>
          <w:rFonts w:hint="eastAsia" w:ascii="楷体_GB2312" w:hAnsi="楷体_GB2312" w:eastAsia="楷体_GB2312" w:cs="楷体_GB2312"/>
          <w:b w:val="0"/>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val="0"/>
          <w:color w:val="000000" w:themeColor="text1"/>
          <w:kern w:val="2"/>
          <w:sz w:val="32"/>
          <w:szCs w:val="32"/>
          <w:lang w:val="en-US" w:eastAsia="zh-CN" w:bidi="ar-SA"/>
          <w14:textFill>
            <w14:solidFill>
              <w14:schemeClr w14:val="tx1"/>
            </w14:solidFill>
          </w14:textFill>
        </w:rPr>
        <w:t>（二）</w:t>
      </w:r>
      <w:r>
        <w:rPr>
          <w:rFonts w:hint="eastAsia" w:ascii="楷体_GB2312" w:hAnsi="楷体_GB2312" w:eastAsia="楷体_GB2312" w:cs="楷体_GB2312"/>
          <w:b w:val="0"/>
          <w:color w:val="000000" w:themeColor="text1"/>
          <w:sz w:val="32"/>
          <w:szCs w:val="32"/>
          <w:highlight w:val="none"/>
          <w:lang w:val="en-US" w:eastAsia="zh-CN"/>
          <w14:textFill>
            <w14:solidFill>
              <w14:schemeClr w14:val="tx1"/>
            </w14:solidFill>
          </w14:textFill>
        </w:rPr>
        <w:t>交付成果要求</w:t>
      </w:r>
    </w:p>
    <w:p>
      <w:pPr>
        <w:keepNext w:val="0"/>
        <w:keepLines w:val="0"/>
        <w:pageBreakBefore w:val="0"/>
        <w:widowControl/>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outlineLvl w:val="1"/>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成果需符合本任务书中</w:t>
      </w:r>
      <w:r>
        <w:rPr>
          <w:rFonts w:hint="eastAsia" w:ascii="仿宋_GB2312" w:hAnsi="仿宋_GB2312" w:eastAsia="仿宋_GB2312"/>
          <w:color w:val="000000" w:themeColor="text1"/>
          <w:sz w:val="32"/>
          <w:szCs w:val="32"/>
          <w:lang w:val="en-US" w:eastAsia="zh-CN"/>
          <w14:textFill>
            <w14:solidFill>
              <w14:schemeClr w14:val="tx1"/>
            </w14:solidFill>
          </w14:textFill>
        </w:rPr>
        <w:t>服务</w:t>
      </w:r>
      <w:r>
        <w:rPr>
          <w:rFonts w:hint="eastAsia" w:ascii="仿宋_GB2312" w:hAnsi="仿宋_GB2312" w:eastAsia="仿宋_GB2312"/>
          <w:color w:val="000000" w:themeColor="text1"/>
          <w:sz w:val="32"/>
          <w:szCs w:val="32"/>
          <w14:textFill>
            <w14:solidFill>
              <w14:schemeClr w14:val="tx1"/>
            </w14:solidFill>
          </w14:textFill>
        </w:rPr>
        <w:t>内容的要求。最终成果应包含：</w:t>
      </w:r>
      <w:r>
        <w:rPr>
          <w:rFonts w:hint="eastAsia" w:ascii="楷体_GB2312" w:hAnsi="楷体_GB2312" w:eastAsia="楷体_GB2312" w:cs="楷体_GB2312"/>
          <w:b w:val="0"/>
          <w:color w:val="000000" w:themeColor="text1"/>
          <w:sz w:val="32"/>
          <w:szCs w:val="32"/>
          <w:highlight w:val="none"/>
          <w:lang w:val="en-US" w:eastAsia="zh-C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广告推广策</w:t>
      </w:r>
      <w:r>
        <w:rPr>
          <w:rFonts w:hint="eastAsia" w:ascii="仿宋_GB2312" w:hAnsi="仿宋_GB2312" w:eastAsia="仿宋_GB2312" w:cstheme="minorBidi"/>
          <w:b w:val="0"/>
          <w:bCs w:val="0"/>
          <w:color w:val="000000" w:themeColor="text1"/>
          <w:sz w:val="32"/>
          <w:szCs w:val="32"/>
          <w:highlight w:val="none"/>
          <w:lang w:val="en-US" w:eastAsia="zh-CN"/>
          <w14:textFill>
            <w14:solidFill>
              <w14:schemeClr w14:val="tx1"/>
            </w14:solidFill>
          </w14:textFill>
        </w:rPr>
        <w:t>略报告；</w:t>
      </w:r>
      <w:r>
        <w:rPr>
          <w:rFonts w:hint="eastAsia" w:ascii="仿宋_GB2312" w:hAnsi="仿宋_GB2312" w:eastAsia="仿宋_GB2312" w:cstheme="minorBidi"/>
          <w:b w:val="0"/>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theme="minorBidi"/>
          <w:b w:val="0"/>
          <w:bCs w:val="0"/>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项目品牌识别系统</w:t>
      </w:r>
      <w:r>
        <w:rPr>
          <w:rFonts w:hint="eastAsia" w:ascii="仿宋_GB2312" w:hAnsi="仿宋_GB2312" w:eastAsia="仿宋_GB2312" w:cstheme="minorBidi"/>
          <w:b w:val="0"/>
          <w:bCs w:val="0"/>
          <w:color w:val="000000" w:themeColor="text1"/>
          <w:sz w:val="32"/>
          <w:szCs w:val="32"/>
          <w:highlight w:val="none"/>
          <w:lang w:val="en-US" w:eastAsia="zh-CN"/>
          <w14:textFill>
            <w14:solidFill>
              <w14:schemeClr w14:val="tx1"/>
            </w14:solidFill>
          </w14:textFill>
        </w:rPr>
        <w:t>结题报告；</w:t>
      </w:r>
      <w:r>
        <w:rPr>
          <w:rFonts w:hint="eastAsia" w:ascii="仿宋_GB2312" w:hAnsi="仿宋_GB2312" w:eastAsia="仿宋_GB2312" w:cstheme="minorBidi"/>
          <w:b w:val="0"/>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theme="minorBidi"/>
          <w:b w:val="0"/>
          <w:bCs w:val="0"/>
          <w:color w:val="000000" w:themeColor="text1"/>
          <w:sz w:val="32"/>
          <w:szCs w:val="32"/>
          <w:highlight w:val="none"/>
          <w:lang w:val="en-US" w:eastAsia="zh-CN"/>
          <w14:textFill>
            <w14:solidFill>
              <w14:schemeClr w14:val="tx1"/>
            </w14:solidFill>
          </w14:textFill>
        </w:rPr>
        <w:t>3）活动物料设计</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成果</w:t>
      </w:r>
      <w:r>
        <w:rPr>
          <w:rFonts w:hint="eastAsia" w:ascii="仿宋_GB2312" w:hAnsi="仿宋_GB2312" w:eastAsia="仿宋_GB2312" w:cstheme="minorBidi"/>
          <w:b w:val="0"/>
          <w:bCs w:val="0"/>
          <w:color w:val="000000" w:themeColor="text1"/>
          <w:sz w:val="32"/>
          <w:szCs w:val="32"/>
          <w:highlight w:val="none"/>
          <w:lang w:val="en-US" w:eastAsia="zh-CN"/>
          <w14:textFill>
            <w14:solidFill>
              <w14:schemeClr w14:val="tx1"/>
            </w14:solidFill>
          </w14:textFill>
        </w:rPr>
        <w:t>报告；</w:t>
      </w:r>
      <w:r>
        <w:rPr>
          <w:rFonts w:hint="eastAsia" w:ascii="仿宋_GB2312" w:hAnsi="仿宋_GB2312" w:eastAsia="仿宋_GB2312" w:cstheme="minorBidi"/>
          <w:b w:val="0"/>
          <w:bCs w:val="0"/>
          <w:i w:val="0"/>
          <w:iCs w:val="0"/>
          <w:caps w:val="0"/>
          <w:color w:val="000000" w:themeColor="text1"/>
          <w:spacing w:val="0"/>
          <w:sz w:val="32"/>
          <w:szCs w:val="32"/>
          <w:highlight w:val="none"/>
          <w:lang w:val="en-US" w:eastAsia="zh-CN" w:bidi="ar-SA"/>
          <w14:textFill>
            <w14:solidFill>
              <w14:schemeClr w14:val="tx1"/>
            </w14:solidFill>
          </w14:textFill>
        </w:rPr>
        <w:t>（4）</w:t>
      </w:r>
      <w:r>
        <w:rPr>
          <w:rFonts w:hint="eastAsia" w:ascii="仿宋_GB2312" w:hAnsi="仿宋_GB2312" w:eastAsia="仿宋_GB2312" w:cstheme="minorBidi"/>
          <w:b w:val="0"/>
          <w:bCs w:val="0"/>
          <w:color w:val="000000" w:themeColor="text1"/>
          <w:sz w:val="32"/>
          <w:szCs w:val="32"/>
          <w:highlight w:val="none"/>
          <w:lang w:val="en-US" w:eastAsia="zh-CN"/>
          <w14:textFill>
            <w14:solidFill>
              <w14:schemeClr w14:val="tx1"/>
            </w14:solidFill>
          </w14:textFill>
        </w:rPr>
        <w:t>招商手册、推介演示文稿、项目折页等物料设计</w:t>
      </w:r>
      <w:r>
        <w:rPr>
          <w:rFonts w:hint="eastAsia" w:ascii="仿宋_GB2312" w:hAnsi="仿宋_GB2312" w:eastAsia="仿宋_GB2312" w:cstheme="minorBidi"/>
          <w:b w:val="0"/>
          <w:bCs w:val="0"/>
          <w:i w:val="0"/>
          <w:iCs w:val="0"/>
          <w:caps w:val="0"/>
          <w:color w:val="000000" w:themeColor="text1"/>
          <w:spacing w:val="0"/>
          <w:sz w:val="32"/>
          <w:szCs w:val="32"/>
          <w:highlight w:val="none"/>
          <w:lang w:val="en-US" w:eastAsia="zh-CN" w:bidi="ar-SA"/>
          <w14:textFill>
            <w14:solidFill>
              <w14:schemeClr w14:val="tx1"/>
            </w14:solidFill>
          </w14:textFill>
        </w:rPr>
        <w:t>；（5）新媒体</w:t>
      </w:r>
      <w:r>
        <w:rPr>
          <w:rFonts w:hint="eastAsia" w:ascii="仿宋_GB2312" w:hAnsi="仿宋_GB2312" w:eastAsia="仿宋_GB2312" w:cs="仿宋_GB2312"/>
          <w:b w:val="0"/>
          <w:bCs w:val="0"/>
          <w:i w:val="0"/>
          <w:iCs w:val="0"/>
          <w:caps w:val="0"/>
          <w:color w:val="000000" w:themeColor="text1"/>
          <w:spacing w:val="0"/>
          <w:sz w:val="32"/>
          <w:szCs w:val="32"/>
          <w:highlight w:val="none"/>
          <w:lang w:val="en-US" w:eastAsia="zh-CN" w:bidi="ar-SA"/>
          <w14:textFill>
            <w14:solidFill>
              <w14:schemeClr w14:val="tx1"/>
            </w14:solidFill>
          </w14:textFill>
        </w:rPr>
        <w:t>整合推广方案；</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服务期限内日常广告推广结题报告；（7）广告推广工作所需其他报告、材料等。</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提交的</w:t>
      </w:r>
      <w:r>
        <w:rPr>
          <w:rFonts w:hint="eastAsia" w:ascii="仿宋_GB2312" w:hAnsi="仿宋_GB2312" w:eastAsia="仿宋_GB2312" w:cs="仿宋_GB2312"/>
          <w:color w:val="000000" w:themeColor="text1"/>
          <w:sz w:val="32"/>
          <w:szCs w:val="32"/>
          <w:highlight w:val="none"/>
          <w14:textFill>
            <w14:solidFill>
              <w14:schemeClr w14:val="tx1"/>
            </w14:solidFill>
          </w14:textFill>
        </w:rPr>
        <w:t>成果需符合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协议第二条服务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内容的要求</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提交载体为</w:t>
      </w:r>
      <w:r>
        <w:rPr>
          <w:rFonts w:hint="eastAsia" w:ascii="仿宋_GB2312" w:hAnsi="仿宋_GB2312" w:eastAsia="仿宋_GB2312" w:cs="仿宋_GB2312"/>
          <w:color w:val="000000" w:themeColor="text1"/>
          <w:sz w:val="32"/>
          <w:szCs w:val="32"/>
          <w:highlight w:val="none"/>
          <w14:textFill>
            <w14:solidFill>
              <w14:schemeClr w14:val="tx1"/>
            </w14:solidFill>
          </w14:textFill>
        </w:rPr>
        <w:t>上述成果电子文件全套，以及最终成果统一装订的彩印全本</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1"/>
        <w:rPr>
          <w:rFonts w:hint="eastAsia" w:ascii="黑体" w:hAnsi="黑体" w:eastAsia="黑体" w:cs="黑体"/>
          <w:b w:val="0"/>
          <w:bCs w:val="0"/>
          <w:color w:val="000000" w:themeColor="text1"/>
          <w:kern w:val="0"/>
          <w:sz w:val="32"/>
          <w:szCs w:val="32"/>
          <w:highlight w:val="none"/>
          <w14:textFill>
            <w14:solidFill>
              <w14:schemeClr w14:val="tx1"/>
            </w14:solidFill>
          </w14:textFill>
        </w:rPr>
      </w:pPr>
      <w:r>
        <w:rPr>
          <w:rFonts w:hint="eastAsia" w:ascii="黑体" w:hAnsi="黑体" w:eastAsia="黑体" w:cs="黑体"/>
          <w:b w:val="0"/>
          <w:bCs w:val="0"/>
          <w:color w:val="000000" w:themeColor="text1"/>
          <w:kern w:val="0"/>
          <w:sz w:val="32"/>
          <w:szCs w:val="32"/>
          <w:highlight w:val="none"/>
          <w14:textFill>
            <w14:solidFill>
              <w14:schemeClr w14:val="tx1"/>
            </w14:solidFill>
          </w14:textFill>
        </w:rPr>
        <w:t>三、</w:t>
      </w:r>
      <w:r>
        <w:rPr>
          <w:rFonts w:hint="eastAsia" w:ascii="黑体" w:hAnsi="黑体" w:eastAsia="黑体" w:cs="黑体"/>
          <w:b w:val="0"/>
          <w:bCs w:val="0"/>
          <w:color w:val="000000" w:themeColor="text1"/>
          <w:kern w:val="0"/>
          <w:sz w:val="32"/>
          <w:szCs w:val="32"/>
          <w:highlight w:val="none"/>
          <w:lang w:val="en-US" w:eastAsia="zh-CN"/>
          <w14:textFill>
            <w14:solidFill>
              <w14:schemeClr w14:val="tx1"/>
            </w14:solidFill>
          </w14:textFill>
        </w:rPr>
        <w:t>合同</w:t>
      </w:r>
      <w:r>
        <w:rPr>
          <w:rFonts w:hint="eastAsia" w:ascii="黑体" w:hAnsi="黑体" w:eastAsia="黑体" w:cs="黑体"/>
          <w:b w:val="0"/>
          <w:bCs w:val="0"/>
          <w:color w:val="000000" w:themeColor="text1"/>
          <w:kern w:val="0"/>
          <w:sz w:val="32"/>
          <w:szCs w:val="32"/>
          <w:highlight w:val="none"/>
          <w14:textFill>
            <w14:solidFill>
              <w14:schemeClr w14:val="tx1"/>
            </w14:solidFill>
          </w14:textFill>
        </w:rPr>
        <w:t>期限</w:t>
      </w:r>
    </w:p>
    <w:p>
      <w:pPr>
        <w:pStyle w:val="24"/>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560" w:lineRule="exact"/>
        <w:ind w:left="0" w:leftChars="0" w:firstLine="42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highlight w:val="none"/>
          <w14:textFill>
            <w14:solidFill>
              <w14:schemeClr w14:val="tx1"/>
            </w14:solidFill>
          </w14:textFill>
        </w:rPr>
        <w:t>本合同服务期限</w:t>
      </w:r>
      <w:r>
        <w:rPr>
          <w:rFonts w:hint="eastAsia" w:ascii="仿宋_GB2312" w:hAnsi="仿宋_GB2312" w:eastAsia="仿宋_GB2312" w:cs="仿宋_GB2312"/>
          <w:i w:val="0"/>
          <w:iCs w:val="0"/>
          <w:caps w:val="0"/>
          <w:color w:val="000000" w:themeColor="text1"/>
          <w:spacing w:val="0"/>
          <w:kern w:val="2"/>
          <w:sz w:val="32"/>
          <w:szCs w:val="32"/>
          <w:highlight w:val="none"/>
          <w:lang w:val="en-US" w:eastAsia="zh-CN"/>
          <w14:textFill>
            <w14:solidFill>
              <w14:schemeClr w14:val="tx1"/>
            </w14:solidFill>
          </w14:textFill>
        </w:rPr>
        <w:t>一年，</w:t>
      </w:r>
      <w:r>
        <w:rPr>
          <w:rFonts w:hint="eastAsia" w:ascii="仿宋_GB2312" w:hAnsi="仿宋_GB2312" w:eastAsia="仿宋_GB2312" w:cs="仿宋_GB2312"/>
          <w:i w:val="0"/>
          <w:iCs w:val="0"/>
          <w:caps w:val="0"/>
          <w:color w:val="000000" w:themeColor="text1"/>
          <w:spacing w:val="0"/>
          <w:kern w:val="2"/>
          <w:sz w:val="32"/>
          <w:szCs w:val="32"/>
          <w:highlight w:val="none"/>
          <w14:textFill>
            <w14:solidFill>
              <w14:schemeClr w14:val="tx1"/>
            </w14:solidFill>
          </w14:textFill>
        </w:rPr>
        <w:t>自</w:t>
      </w:r>
      <w:r>
        <w:rPr>
          <w:rFonts w:hint="eastAsia" w:ascii="仿宋_GB2312" w:hAnsi="仿宋_GB2312" w:eastAsia="仿宋_GB2312" w:cs="仿宋_GB2312"/>
          <w:i w:val="0"/>
          <w:iCs w:val="0"/>
          <w:caps w:val="0"/>
          <w:color w:val="000000" w:themeColor="text1"/>
          <w:spacing w:val="0"/>
          <w:kern w:val="2"/>
          <w:sz w:val="32"/>
          <w:szCs w:val="32"/>
          <w:highlight w:val="none"/>
          <w:lang w:val="en-US" w:eastAsia="zh-CN"/>
          <w14:textFill>
            <w14:solidFill>
              <w14:schemeClr w14:val="tx1"/>
            </w14:solidFill>
          </w14:textFill>
        </w:rPr>
        <w:t>合同签订之</w:t>
      </w:r>
      <w:r>
        <w:rPr>
          <w:rFonts w:hint="eastAsia" w:ascii="仿宋_GB2312" w:hAnsi="仿宋_GB2312" w:eastAsia="仿宋_GB2312" w:cs="仿宋_GB2312"/>
          <w:i w:val="0"/>
          <w:iCs w:val="0"/>
          <w:caps w:val="0"/>
          <w:color w:val="000000" w:themeColor="text1"/>
          <w:spacing w:val="0"/>
          <w:kern w:val="2"/>
          <w:sz w:val="32"/>
          <w:szCs w:val="32"/>
          <w:highlight w:val="none"/>
          <w14:textFill>
            <w14:solidFill>
              <w14:schemeClr w14:val="tx1"/>
            </w14:solidFill>
          </w14:textFill>
        </w:rPr>
        <w:t>日起</w:t>
      </w:r>
      <w:r>
        <w:rPr>
          <w:rFonts w:hint="eastAsia" w:ascii="仿宋_GB2312" w:hAnsi="仿宋_GB2312" w:eastAsia="仿宋_GB2312" w:cs="仿宋_GB2312"/>
          <w:i w:val="0"/>
          <w:iCs w:val="0"/>
          <w:caps w:val="0"/>
          <w:color w:val="000000" w:themeColor="text1"/>
          <w:spacing w:val="0"/>
          <w:kern w:val="2"/>
          <w:sz w:val="32"/>
          <w:szCs w:val="32"/>
          <w:highlight w:val="none"/>
          <w:lang w:val="en-US" w:eastAsia="zh-CN"/>
          <w14:textFill>
            <w14:solidFill>
              <w14:schemeClr w14:val="tx1"/>
            </w14:solidFill>
          </w14:textFill>
        </w:rPr>
        <w:t>计算</w:t>
      </w:r>
      <w:r>
        <w:rPr>
          <w:rFonts w:hint="eastAsia" w:ascii="仿宋_GB2312" w:hAnsi="仿宋_GB2312" w:eastAsia="仿宋_GB2312" w:cs="仿宋_GB2312"/>
          <w:i w:val="0"/>
          <w:iCs w:val="0"/>
          <w:caps w:val="0"/>
          <w:color w:val="000000" w:themeColor="text1"/>
          <w:spacing w:val="0"/>
          <w:kern w:val="2"/>
          <w:sz w:val="32"/>
          <w:szCs w:val="32"/>
          <w:highlight w:val="none"/>
          <w14:textFill>
            <w14:solidFill>
              <w14:schemeClr w14:val="tx1"/>
            </w14:solidFill>
          </w14:textFill>
        </w:rPr>
        <w:t>。</w:t>
      </w:r>
    </w:p>
    <w:p>
      <w:pPr>
        <w:pStyle w:val="24"/>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560" w:lineRule="exact"/>
        <w:ind w:left="0" w:leftChars="0" w:firstLine="420" w:firstLineChars="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合同续期：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如合同期限结束仍有相关服务需求的，对于合同最终履约评价好的服务供应商可实行合同续期，单次可续期不超过12个月，续期最多不超过</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次，续期合同实质性内容不得改变。决定续期的，应当在作出决定前将履约评价和续期合同的主要情况通过公开形式予以公示（不少于3个日历天）。</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pPr>
      <w:r>
        <w:rPr>
          <w:rFonts w:hint="eastAsia" w:ascii="黑体" w:hAnsi="黑体" w:eastAsia="黑体" w:cs="黑体"/>
          <w:b w:val="0"/>
          <w:bCs w:val="0"/>
          <w:color w:val="000000" w:themeColor="text1"/>
          <w:kern w:val="0"/>
          <w:sz w:val="32"/>
          <w:szCs w:val="32"/>
          <w:highlight w:val="none"/>
          <w14:textFill>
            <w14:solidFill>
              <w14:schemeClr w14:val="tx1"/>
            </w14:solidFill>
          </w14:textFill>
        </w:rPr>
        <w:t>四、</w:t>
      </w:r>
      <w:r>
        <w:rPr>
          <w:rStyle w:val="29"/>
          <w:rFonts w:hint="eastAsia" w:ascii="黑体" w:hAnsi="黑体" w:eastAsia="黑体" w:cs="黑体"/>
          <w:b w:val="0"/>
          <w:bCs w:val="0"/>
          <w:i w:val="0"/>
          <w:iCs w:val="0"/>
          <w:caps w:val="0"/>
          <w:color w:val="000000" w:themeColor="text1"/>
          <w:spacing w:val="0"/>
          <w:sz w:val="32"/>
          <w:szCs w:val="32"/>
          <w:highlight w:val="none"/>
          <w14:textFill>
            <w14:solidFill>
              <w14:schemeClr w14:val="tx1"/>
            </w14:solidFill>
          </w14:textFill>
        </w:rPr>
        <w:t>服务费用及支付方式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1"/>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本项目广告推广年度服务费为含税人民币</w:t>
      </w:r>
      <w:r>
        <w:rPr>
          <w:rFonts w:hint="eastAsia" w:ascii="仿宋_GB2312" w:hAnsi="仿宋_GB2312" w:eastAsia="仿宋_GB2312" w:cs="仿宋_GB2312"/>
          <w:b w:val="0"/>
          <w:bCs w:val="0"/>
          <w:color w:val="000000" w:themeColor="text1"/>
          <w:kern w:val="0"/>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0"/>
          <w:sz w:val="32"/>
          <w:szCs w:val="32"/>
          <w:highlight w:val="none"/>
          <w:u w:val="none"/>
          <w:lang w:val="en-US" w:eastAsia="zh-CN"/>
          <w14:textFill>
            <w14:solidFill>
              <w14:schemeClr w14:val="tx1"/>
            </w14:solidFill>
          </w14:textFill>
        </w:rPr>
        <w:t>万</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元（小写：</w:t>
      </w:r>
      <w:r>
        <w:rPr>
          <w:rFonts w:hint="eastAsia" w:ascii="仿宋_GB2312" w:hAnsi="仿宋_GB2312" w:eastAsia="仿宋_GB2312" w:cs="仿宋_GB2312"/>
          <w:b w:val="0"/>
          <w:bCs w:val="0"/>
          <w:color w:val="000000" w:themeColor="text1"/>
          <w:kern w:val="0"/>
          <w:sz w:val="32"/>
          <w:szCs w:val="32"/>
          <w:highlight w:val="none"/>
          <w:u w:val="single"/>
          <w:lang w:val="en-US" w:eastAsia="zh-CN"/>
          <w14:textFill>
            <w14:solidFill>
              <w14:schemeClr w14:val="tx1"/>
            </w14:solidFill>
          </w14:textFill>
        </w:rPr>
        <w:t xml:space="preserve">¥        元 </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），该费用为包干总价，涵盖本合同约定的广告策略、创意设计、新媒体运营、驻场服务及其他持续性工作之全部成本。</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1"/>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前述费用已包含乙方履行本合同义务过程中所发生的全部支出，包括但不限于人工费用、驻场费用、差旅交通、媒介推广、设计落地、账号运营、税费，以及专家评审/顾问聘用等所有相关费用，甲方无需另行支付其他任何款项。</w:t>
      </w:r>
    </w:p>
    <w:p>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outlineLvl w:val="1"/>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支付方式：</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广告推广服务费支付</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2"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第一笔：</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自合同签订之日起首季度服务期满，乙方在首季度结束后提交三项目的对应工作成果验收单并经甲方审核通过后，乙方提出书面申</w:t>
      </w:r>
      <w:r>
        <w:rPr>
          <w:rFonts w:hint="eastAsia" w:ascii="仿宋_GB2312" w:hAnsi="仿宋_GB2312" w:eastAsia="仿宋_GB2312" w:cs="仿宋_GB2312"/>
          <w:color w:val="000000" w:themeColor="text1"/>
          <w:sz w:val="32"/>
          <w:szCs w:val="32"/>
          <w:highlight w:val="none"/>
          <w14:textFill>
            <w14:solidFill>
              <w14:schemeClr w14:val="tx1"/>
            </w14:solidFill>
          </w14:textFill>
        </w:rPr>
        <w:t>请，</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甲方</w:t>
      </w:r>
      <w:r>
        <w:rPr>
          <w:rFonts w:hint="eastAsia" w:ascii="仿宋_GB2312" w:hAnsi="仿宋_GB2312" w:eastAsia="仿宋_GB2312" w:cs="仿宋_GB2312"/>
          <w:color w:val="000000" w:themeColor="text1"/>
          <w:sz w:val="32"/>
          <w:szCs w:val="32"/>
          <w:highlight w:val="none"/>
          <w14:textFill>
            <w14:solidFill>
              <w14:schemeClr w14:val="tx1"/>
            </w14:solidFill>
          </w14:textFill>
        </w:rPr>
        <w:t>向乙方支付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至广告推广服务费总价款</w:t>
      </w:r>
      <w:r>
        <w:rPr>
          <w:rFonts w:hint="eastAsia" w:ascii="仿宋_GB2312" w:hAnsi="仿宋_GB2312" w:eastAsia="仿宋_GB2312" w:cs="仿宋_GB2312"/>
          <w:color w:val="000000" w:themeColor="text1"/>
          <w:sz w:val="32"/>
          <w:szCs w:val="32"/>
          <w:highlight w:val="none"/>
          <w14:textFill>
            <w14:solidFill>
              <w14:schemeClr w14:val="tx1"/>
            </w14:solidFill>
          </w14:textFill>
        </w:rPr>
        <w:t>的2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第二笔：</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自合同签订之日起第二季度服务期满，乙方在第二季度结束后提交三项目的对应工作成果验收单并经甲方审核通过后，乙方提出书面申</w:t>
      </w:r>
      <w:r>
        <w:rPr>
          <w:rFonts w:hint="eastAsia" w:ascii="仿宋_GB2312" w:hAnsi="仿宋_GB2312" w:eastAsia="仿宋_GB2312" w:cs="仿宋_GB2312"/>
          <w:color w:val="000000" w:themeColor="text1"/>
          <w:sz w:val="32"/>
          <w:szCs w:val="32"/>
          <w:highlight w:val="none"/>
          <w14:textFill>
            <w14:solidFill>
              <w14:schemeClr w14:val="tx1"/>
            </w14:solidFill>
          </w14:textFill>
        </w:rPr>
        <w:t>请，</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甲方</w:t>
      </w:r>
      <w:r>
        <w:rPr>
          <w:rFonts w:hint="eastAsia" w:ascii="仿宋_GB2312" w:hAnsi="仿宋_GB2312" w:eastAsia="仿宋_GB2312" w:cs="仿宋_GB2312"/>
          <w:color w:val="000000" w:themeColor="text1"/>
          <w:sz w:val="32"/>
          <w:szCs w:val="32"/>
          <w:highlight w:val="none"/>
          <w14:textFill>
            <w14:solidFill>
              <w14:schemeClr w14:val="tx1"/>
            </w14:solidFill>
          </w14:textFill>
        </w:rPr>
        <w:t>向乙方支付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至广告推广服务费总价款</w:t>
      </w:r>
      <w:r>
        <w:rPr>
          <w:rFonts w:hint="eastAsia" w:ascii="仿宋_GB2312" w:hAnsi="仿宋_GB2312" w:eastAsia="仿宋_GB2312" w:cs="仿宋_GB2312"/>
          <w:color w:val="000000" w:themeColor="text1"/>
          <w:sz w:val="32"/>
          <w:szCs w:val="32"/>
          <w:highlight w:val="none"/>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50</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第三笔：</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自合同签订之日起第三季度服务期满，乙方在第三季度结束后提交三项目的对应工作成果验收单并经甲方审核通过后，乙方提出书面申</w:t>
      </w:r>
      <w:r>
        <w:rPr>
          <w:rFonts w:hint="eastAsia" w:ascii="仿宋_GB2312" w:hAnsi="仿宋_GB2312" w:eastAsia="仿宋_GB2312" w:cs="仿宋_GB2312"/>
          <w:color w:val="000000" w:themeColor="text1"/>
          <w:sz w:val="32"/>
          <w:szCs w:val="32"/>
          <w:highlight w:val="none"/>
          <w14:textFill>
            <w14:solidFill>
              <w14:schemeClr w14:val="tx1"/>
            </w14:solidFill>
          </w14:textFill>
        </w:rPr>
        <w:t>请，</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甲方</w:t>
      </w:r>
      <w:r>
        <w:rPr>
          <w:rFonts w:hint="eastAsia" w:ascii="仿宋_GB2312" w:hAnsi="仿宋_GB2312" w:eastAsia="仿宋_GB2312" w:cs="仿宋_GB2312"/>
          <w:color w:val="000000" w:themeColor="text1"/>
          <w:sz w:val="32"/>
          <w:szCs w:val="32"/>
          <w:highlight w:val="none"/>
          <w14:textFill>
            <w14:solidFill>
              <w14:schemeClr w14:val="tx1"/>
            </w14:solidFill>
          </w14:textFill>
        </w:rPr>
        <w:t>向乙方支付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至广告推广服务费总价款</w:t>
      </w:r>
      <w:r>
        <w:rPr>
          <w:rFonts w:hint="eastAsia" w:ascii="仿宋_GB2312" w:hAnsi="仿宋_GB2312" w:eastAsia="仿宋_GB2312" w:cs="仿宋_GB2312"/>
          <w:color w:val="000000" w:themeColor="text1"/>
          <w:sz w:val="32"/>
          <w:szCs w:val="32"/>
          <w:highlight w:val="none"/>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75</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第四笔：</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自合同签订之日起第四季度服务期满，乙方在第四季度结束后提交三项目的对应工作成果验收单并经甲方审核通过后，乙方提出书面申</w:t>
      </w:r>
      <w:r>
        <w:rPr>
          <w:rFonts w:hint="eastAsia" w:ascii="仿宋_GB2312" w:hAnsi="仿宋_GB2312" w:eastAsia="仿宋_GB2312" w:cs="仿宋_GB2312"/>
          <w:color w:val="000000" w:themeColor="text1"/>
          <w:sz w:val="32"/>
          <w:szCs w:val="32"/>
          <w:highlight w:val="none"/>
          <w14:textFill>
            <w14:solidFill>
              <w14:schemeClr w14:val="tx1"/>
            </w14:solidFill>
          </w14:textFill>
        </w:rPr>
        <w:t>请，</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甲方</w:t>
      </w:r>
      <w:r>
        <w:rPr>
          <w:rFonts w:hint="eastAsia" w:ascii="仿宋_GB2312" w:hAnsi="仿宋_GB2312" w:eastAsia="仿宋_GB2312" w:cs="仿宋_GB2312"/>
          <w:color w:val="000000" w:themeColor="text1"/>
          <w:sz w:val="32"/>
          <w:szCs w:val="32"/>
          <w:highlight w:val="none"/>
          <w14:textFill>
            <w14:solidFill>
              <w14:schemeClr w14:val="tx1"/>
            </w14:solidFill>
          </w14:textFill>
        </w:rPr>
        <w:t>向乙方支付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至广告推广服务费总价款</w:t>
      </w:r>
      <w:r>
        <w:rPr>
          <w:rFonts w:hint="eastAsia" w:ascii="仿宋_GB2312" w:hAnsi="仿宋_GB2312" w:eastAsia="仿宋_GB2312" w:cs="仿宋_GB2312"/>
          <w:color w:val="000000" w:themeColor="text1"/>
          <w:sz w:val="32"/>
          <w:szCs w:val="32"/>
          <w:highlight w:val="none"/>
          <w14:textFill>
            <w14:solidFill>
              <w14:schemeClr w14:val="tx1"/>
            </w14:solidFill>
          </w14:textFill>
        </w:rPr>
        <w:t>的90%；</w:t>
      </w:r>
    </w:p>
    <w:p>
      <w:pPr>
        <w:numPr>
          <w:ilvl w:val="0"/>
          <w:numId w:val="0"/>
        </w:numPr>
        <w:spacing w:line="560" w:lineRule="exact"/>
        <w:ind w:firstLine="642" w:firstLineChars="200"/>
        <w:rPr>
          <w:rFonts w:hint="eastAsia"/>
          <w:highlight w:val="yellow"/>
          <w:lang w:val="en-US" w:eastAsia="zh-CN"/>
        </w:rPr>
      </w:pP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第五笔：</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剩余</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广告推广服务费</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总价款的10%，根据履约评价得分情况，完成合同最终结算后，乙方提出书面申请，甲方向乙方支付相应款项</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具体为：</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评价结果达到80分（含）以上时，由乙方向甲方提出支付申请，经甲方核准后，支付100%的履约评价金；评价结果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为</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60分（含）以上80分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（不含）以下</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时，扣除50%的履约评价金后，支付剩余部分；评价结果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为</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60分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（不含）以下</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时，视为乙方未正常履约，甲方将发出书面通报批评，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且有权</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扣除</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全部</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履约评价金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乙方每次请款前必须提前向甲方提交足额合规的增值税专用发票，履约评分表详见附件</w:t>
      </w:r>
      <w:r>
        <w:rPr>
          <w:rFonts w:hint="default"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2。</w:t>
      </w:r>
    </w:p>
    <w:p>
      <w:pPr>
        <w:numPr>
          <w:ilvl w:val="0"/>
          <w:numId w:val="3"/>
        </w:numPr>
        <w:ind w:firstLine="642" w:firstLineChars="200"/>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乙方指定收款账号（如乙方需改变账户，应提前</w:t>
      </w: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7个工作日以书面通知甲方</w:t>
      </w: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w:t>
      </w:r>
    </w:p>
    <w:p>
      <w:pPr>
        <w:numPr>
          <w:ilvl w:val="-1"/>
          <w:numId w:val="0"/>
        </w:numPr>
        <w:ind w:leftChars="200" w:firstLine="0" w:firstLineChars="0"/>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户</w:t>
      </w: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名：</w:t>
      </w:r>
    </w:p>
    <w:p>
      <w:pPr>
        <w:numPr>
          <w:ilvl w:val="-1"/>
          <w:numId w:val="0"/>
        </w:numPr>
        <w:ind w:leftChars="200" w:firstLine="0" w:firstLineChars="0"/>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开户行：</w:t>
      </w:r>
    </w:p>
    <w:p>
      <w:pPr>
        <w:numPr>
          <w:ilvl w:val="-1"/>
          <w:numId w:val="0"/>
        </w:numPr>
        <w:ind w:leftChars="200"/>
        <w:rPr>
          <w:rFonts w:hint="default" w:ascii="宋体" w:cs="Courier New" w:hAnsiTheme="minorHAnsi" w:eastAsiaTheme="minorEastAsia"/>
          <w:b w:val="0"/>
          <w:bCs w:val="0"/>
          <w:color w:val="auto"/>
          <w:kern w:val="2"/>
          <w:sz w:val="21"/>
          <w:szCs w:val="21"/>
          <w:highlight w:val="none"/>
          <w:lang w:val="en-US" w:eastAsia="zh-CN"/>
        </w:rPr>
      </w:pP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账</w:t>
      </w: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1"/>
        <w:rPr>
          <w:rFonts w:hint="eastAsia" w:ascii="黑体" w:hAnsi="黑体" w:eastAsia="黑体" w:cs="黑体"/>
          <w:b w:val="0"/>
          <w:bCs w:val="0"/>
          <w:color w:val="000000" w:themeColor="text1"/>
          <w:kern w:val="0"/>
          <w:sz w:val="32"/>
          <w:szCs w:val="32"/>
          <w:highlight w:val="none"/>
          <w14:textFill>
            <w14:solidFill>
              <w14:schemeClr w14:val="tx1"/>
            </w14:solidFill>
          </w14:textFill>
        </w:rPr>
      </w:pPr>
      <w:r>
        <w:rPr>
          <w:rFonts w:hint="eastAsia" w:ascii="黑体" w:hAnsi="黑体" w:eastAsia="黑体" w:cs="黑体"/>
          <w:b w:val="0"/>
          <w:bCs w:val="0"/>
          <w:color w:val="000000" w:themeColor="text1"/>
          <w:kern w:val="0"/>
          <w:sz w:val="32"/>
          <w:szCs w:val="32"/>
          <w:highlight w:val="none"/>
          <w14:textFill>
            <w14:solidFill>
              <w14:schemeClr w14:val="tx1"/>
            </w14:solidFill>
          </w14:textFill>
        </w:rPr>
        <w:t>五、双方权利与义务</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outlineLvl w:val="2"/>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 xml:space="preserve"> 甲方权利与义务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outlineLvl w:val="2"/>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甲方权利：</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对乙方的</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广告推广</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工作进行监督和检查，确保乙方按照本合同约定履行义务。</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对乙方提出的</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广告推广</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策略、</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新媒体</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推广计划、</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物料设计执行</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等进行审批，乙方需根据甲方的意见进行调整。</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对乙方驻场人员工作进行审核并进行日常管理，有权要求乙方更换不称职或不符合要求的驻场人员。</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甲方义务：</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向乙方提供本项目</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广告推广</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服务所需的有关规划设计图纸、数据以及项目</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的整体营销</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计划、方案等。</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按时支付服务报酬。</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配合乙方开展</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广告</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推广</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物料设计</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等</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相关</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工作。</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outlineLvl w:val="2"/>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 xml:space="preserve"> 乙方权利与义务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乙方权利：</w:t>
      </w:r>
    </w:p>
    <w:p>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按照本合同约定向甲方收取服务报酬。</w:t>
      </w:r>
    </w:p>
    <w:p>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获取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本项目</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广告推广</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服务所需的有关规划设计图纸、数据以及项目</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的整体营销</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计划、方案等</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乙方义务：</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按照本合同约定提供</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广告推广</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服务，确保服务质量。</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对甲方提供的所有资料及双方确认的</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广告</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推广资料保密，未经甲方同意，乙方不得将甲方提供的项目资料提供给本项目合作单位以外的第三方。</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按时提交</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约定成果文件，确保成果文件的内容详实、准确、完整，符合甲方要求及相关行业规范。</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4）负责物料设计过程中的质量控制和进度管理。</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eastAsia="仿宋_GB2312"/>
          <w:lang w:val="en-US" w:eastAsia="zh-CN"/>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（5）在服务期间，乙方应及时响应甲方的需求和反馈，对甲方提出的修改意见应在合理期限内进行修改完善。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1"/>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b w:val="0"/>
          <w:bCs w:val="0"/>
          <w:color w:val="000000" w:themeColor="text1"/>
          <w:kern w:val="0"/>
          <w:sz w:val="32"/>
          <w:szCs w:val="32"/>
          <w:highlight w:val="none"/>
          <w14:textFill>
            <w14:solidFill>
              <w14:schemeClr w14:val="tx1"/>
            </w14:solidFill>
          </w14:textFill>
        </w:rPr>
        <w:t>六、违约责任</w:t>
      </w:r>
    </w:p>
    <w:p>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乙方违约： 如乙方未按本合同约定履行义务，甲方有权</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不予支付相应款项并</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要求</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扣除</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乙方</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全部履约评价</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金</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经甲方通知限期整改后仍拒不改正的，甲方有权单方解除本合同并要求乙方另行支付相当于合同总金额20%的违约金；造成甲方经济损失的，乙方应赔偿甲方全部损失</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p>
    <w:p>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甲方违约： 如甲方未按本合同约定支付服务报酬，乙方有权要求甲方支付违约金，违约金金额为</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本应付未付金额每日万分之三。因行政审批或财政拨款造成甲方付款延迟的不视为甲方违约。</w:t>
      </w:r>
    </w:p>
    <w:p>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合同解除： 除本合同约定或发生不可抗力外，甲、乙方任何一方无正当理由提前终止本合同的，提前解约方应</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按本合同总金额20%支付</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违约金，造成经济损失的，还应当给予经济赔偿。</w:t>
      </w:r>
    </w:p>
    <w:p>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如一方严重违反本合同约定，另一方有权单方面解除本合同，并要求违约方</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按本合同总金额20%支付</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违约金</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1"/>
        <w:rPr>
          <w:rFonts w:hint="eastAsia" w:ascii="黑体" w:hAnsi="黑体" w:eastAsia="黑体" w:cs="黑体"/>
          <w:b w:val="0"/>
          <w:bCs w:val="0"/>
          <w:color w:val="000000" w:themeColor="text1"/>
          <w:kern w:val="0"/>
          <w:sz w:val="32"/>
          <w:szCs w:val="32"/>
          <w:highlight w:val="none"/>
          <w14:textFill>
            <w14:solidFill>
              <w14:schemeClr w14:val="tx1"/>
            </w14:solidFill>
          </w14:textFill>
        </w:rPr>
      </w:pPr>
      <w:r>
        <w:rPr>
          <w:rFonts w:hint="eastAsia" w:ascii="黑体" w:hAnsi="黑体" w:eastAsia="黑体" w:cs="黑体"/>
          <w:b w:val="0"/>
          <w:bCs w:val="0"/>
          <w:color w:val="000000" w:themeColor="text1"/>
          <w:kern w:val="0"/>
          <w:sz w:val="32"/>
          <w:szCs w:val="32"/>
          <w:highlight w:val="none"/>
          <w14:textFill>
            <w14:solidFill>
              <w14:schemeClr w14:val="tx1"/>
            </w14:solidFill>
          </w14:textFill>
        </w:rPr>
        <w:t>七、不可抗力</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本合同中的</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不可抗力</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是指</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不能预见、不能避免且不能克服的客观情况，包括但不限于自然灾害、战争、政府行为等。</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如因不可抗力导致本合同</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部分或全部</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无法履行</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的</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，双方应及时协商解决，</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根据不可抗力的影响，部分或全部免除责任</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1"/>
        <w:rPr>
          <w:rFonts w:hint="eastAsia" w:ascii="黑体" w:hAnsi="黑体" w:eastAsia="黑体" w:cs="黑体"/>
          <w:b w:val="0"/>
          <w:bCs w:val="0"/>
          <w:color w:val="000000" w:themeColor="text1"/>
          <w:kern w:val="0"/>
          <w:sz w:val="32"/>
          <w:szCs w:val="32"/>
          <w:highlight w:val="none"/>
          <w14:textFill>
            <w14:solidFill>
              <w14:schemeClr w14:val="tx1"/>
            </w14:solidFill>
          </w14:textFill>
        </w:rPr>
      </w:pPr>
      <w:r>
        <w:rPr>
          <w:rFonts w:hint="eastAsia" w:ascii="黑体" w:hAnsi="黑体" w:eastAsia="黑体" w:cs="黑体"/>
          <w:b w:val="0"/>
          <w:bCs w:val="0"/>
          <w:color w:val="000000" w:themeColor="text1"/>
          <w:kern w:val="0"/>
          <w:sz w:val="32"/>
          <w:szCs w:val="32"/>
          <w:highlight w:val="none"/>
          <w14:textFill>
            <w14:solidFill>
              <w14:schemeClr w14:val="tx1"/>
            </w14:solidFill>
          </w14:textFill>
        </w:rPr>
        <w:t>八、争议解决</w:t>
      </w:r>
    </w:p>
    <w:p>
      <w:pPr>
        <w:keepNext w:val="0"/>
        <w:keepLines w:val="0"/>
        <w:pageBreakBefore w:val="0"/>
        <w:widowControl w:val="0"/>
        <w:numPr>
          <w:ilvl w:val="0"/>
          <w:numId w:val="8"/>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如双方在履行本合同过程中发生争议，应首先通过友好协商解决。</w:t>
      </w:r>
    </w:p>
    <w:p>
      <w:pPr>
        <w:keepNext w:val="0"/>
        <w:keepLines w:val="0"/>
        <w:pageBreakBefore w:val="0"/>
        <w:widowControl w:val="0"/>
        <w:numPr>
          <w:ilvl w:val="0"/>
          <w:numId w:val="8"/>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如协商不成，任何一方均可向甲方所在地人民法院提起诉讼</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因此发生的包括但不限于案件受理费、律师费、保全费、公证费、鉴定费等</w:t>
      </w:r>
      <w:r>
        <w:rPr>
          <w:rFonts w:hint="default"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均由违约方来承担</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1"/>
        <w:rPr>
          <w:rFonts w:hint="eastAsia" w:ascii="黑体" w:hAnsi="黑体" w:eastAsia="黑体" w:cs="黑体"/>
          <w:b w:val="0"/>
          <w:bCs w:val="0"/>
          <w:color w:val="000000" w:themeColor="text1"/>
          <w:kern w:val="0"/>
          <w:sz w:val="32"/>
          <w:szCs w:val="32"/>
          <w:highlight w:val="none"/>
          <w14:textFill>
            <w14:solidFill>
              <w14:schemeClr w14:val="tx1"/>
            </w14:solidFill>
          </w14:textFill>
        </w:rPr>
      </w:pPr>
      <w:r>
        <w:rPr>
          <w:rFonts w:hint="eastAsia" w:ascii="黑体" w:hAnsi="黑体" w:eastAsia="黑体" w:cs="黑体"/>
          <w:b w:val="0"/>
          <w:bCs w:val="0"/>
          <w:color w:val="000000" w:themeColor="text1"/>
          <w:kern w:val="0"/>
          <w:sz w:val="32"/>
          <w:szCs w:val="32"/>
          <w:highlight w:val="none"/>
          <w14:textFill>
            <w14:solidFill>
              <w14:schemeClr w14:val="tx1"/>
            </w14:solidFill>
          </w14:textFill>
        </w:rPr>
        <w:t>九、其他条款</w:t>
      </w:r>
    </w:p>
    <w:p>
      <w:pPr>
        <w:keepNext w:val="0"/>
        <w:keepLines w:val="0"/>
        <w:pageBreakBefore w:val="0"/>
        <w:widowControl w:val="0"/>
        <w:numPr>
          <w:ilvl w:val="0"/>
          <w:numId w:val="9"/>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本合同约定要提交的附件及合同履行过程中的函件、会议纪要、通知经双方书面确认后成为本合同的组成部分。</w:t>
      </w:r>
    </w:p>
    <w:p>
      <w:pPr>
        <w:keepNext w:val="0"/>
        <w:keepLines w:val="0"/>
        <w:pageBreakBefore w:val="0"/>
        <w:widowControl w:val="0"/>
        <w:numPr>
          <w:ilvl w:val="0"/>
          <w:numId w:val="9"/>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本合同约定的内容应当严格遵守，任何一方无权擅自变更合同；对本合同的任何变更均应在双方协商同意后签订补充协议。补充协议在双方盖章</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和</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授权代表签字后生效，与本合同具有同等法律效力。</w:t>
      </w:r>
    </w:p>
    <w:p>
      <w:pPr>
        <w:keepNext w:val="0"/>
        <w:keepLines w:val="0"/>
        <w:pageBreakBefore w:val="0"/>
        <w:widowControl w:val="0"/>
        <w:numPr>
          <w:ilvl w:val="0"/>
          <w:numId w:val="9"/>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本合同自双方</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法定代表人或授权代表</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签字</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并</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盖章之日起生效。</w:t>
      </w:r>
    </w:p>
    <w:p>
      <w:pPr>
        <w:keepNext w:val="0"/>
        <w:keepLines w:val="0"/>
        <w:pageBreakBefore w:val="0"/>
        <w:widowControl w:val="0"/>
        <w:numPr>
          <w:ilvl w:val="0"/>
          <w:numId w:val="9"/>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本合同一式</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六</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份，甲方</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执四</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份</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乙方执二份</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，具有同等法律效力。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color w:val="000000"/>
          <w:sz w:val="32"/>
          <w:szCs w:val="32"/>
          <w:lang w:eastAsia="zh-CN"/>
        </w:rPr>
        <w:t>附件：</w:t>
      </w:r>
      <w:r>
        <w:rPr>
          <w:rFonts w:hint="eastAsia" w:ascii="仿宋_GB2312" w:hAnsi="仿宋_GB2312" w:eastAsia="仿宋_GB2312" w:cs="仿宋_GB2312"/>
          <w:color w:val="000000"/>
          <w:sz w:val="32"/>
          <w:szCs w:val="32"/>
          <w:lang w:val="en-US" w:eastAsia="zh-CN"/>
        </w:rPr>
        <w:t>1.广告推广服务内容要求清单</w:t>
      </w:r>
    </w:p>
    <w:p>
      <w:pPr>
        <w:pStyle w:val="2"/>
        <w:ind w:firstLine="1600" w:firstLineChars="500"/>
        <w:rPr>
          <w:rFonts w:hint="eastAsia"/>
          <w:lang w:val="en-US"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b w:val="0"/>
          <w:bCs w:val="0"/>
          <w:color w:val="000000"/>
          <w:kern w:val="2"/>
          <w:sz w:val="32"/>
          <w:szCs w:val="32"/>
          <w:lang w:val="en-US" w:eastAsia="zh-CN" w:bidi="ar-SA"/>
        </w:rPr>
        <w:t>履约评分表</w:t>
      </w:r>
    </w:p>
    <w:p>
      <w:pPr>
        <w:pStyle w:val="2"/>
        <w:rPr>
          <w:rFonts w:hint="eastAsia"/>
          <w:lang w:eastAsia="zh-CN"/>
        </w:rPr>
      </w:pPr>
    </w:p>
    <w:p>
      <w:pPr>
        <w:keepNext w:val="0"/>
        <w:keepLines w:val="0"/>
        <w:pageBreakBefore/>
        <w:widowControl w:val="0"/>
        <w:numPr>
          <w:ilvl w:val="-1"/>
          <w:numId w:val="0"/>
        </w:numPr>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以下无正文，为《罗山科技园三项目广告推广合同》签署页</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p>
    <w:p>
      <w:pPr>
        <w:pStyle w:val="2"/>
        <w:keepNext w:val="0"/>
        <w:keepLines w:val="0"/>
        <w:pageBreakBefore w:val="0"/>
        <w:kinsoku/>
        <w:wordWrap/>
        <w:overflowPunct/>
        <w:topLinePunct w:val="0"/>
        <w:autoSpaceDE/>
        <w:autoSpaceDN/>
        <w:bidi w:val="0"/>
        <w:adjustRightInd/>
        <w:snapToGrid/>
        <w:spacing w:afterAutospacing="0" w:line="560" w:lineRule="exact"/>
        <w:ind w:left="0" w:leftChars="0"/>
        <w:jc w:val="both"/>
        <w:textAlignment w:val="auto"/>
        <w:rPr>
          <w:rFonts w:hint="eastAsia"/>
          <w:lang w:eastAsia="zh-CN"/>
        </w:rPr>
      </w:pPr>
    </w:p>
    <w:p>
      <w:pPr>
        <w:pStyle w:val="3"/>
        <w:rPr>
          <w:rFonts w:hint="eastAsia"/>
          <w:lang w:eastAsia="zh-CN"/>
        </w:rPr>
      </w:pPr>
    </w:p>
    <w:p>
      <w:pPr>
        <w:pStyle w:val="3"/>
        <w:rPr>
          <w:rFonts w:hint="eastAsia"/>
          <w:lang w:eastAsia="zh-CN"/>
        </w:rPr>
      </w:pPr>
    </w:p>
    <w:p>
      <w:pPr>
        <w:rPr>
          <w:rFonts w:hint="eastAsia"/>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甲方（</w:t>
      </w: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签</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章）：</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br w:type="textWrapping"/>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法定代表人（或授权委托人）：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br w:type="textWrapping"/>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日期：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p>
    <w:p>
      <w:pPr>
        <w:pStyle w:val="2"/>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p>
    <w:p>
      <w:pPr>
        <w:pStyle w:val="3"/>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乙方（</w:t>
      </w: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签</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章）：</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br w:type="textWrapping"/>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法定代表人（或授权委托人）：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br w:type="textWrapping"/>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日期：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6"/>
          <w:highlight w:val="none"/>
          <w:lang w:val="en-US" w:eastAsia="zh-CN"/>
        </w:rPr>
      </w:pPr>
      <w:r>
        <w:rPr>
          <w:rFonts w:hint="eastAsia" w:ascii="黑体" w:hAnsi="黑体" w:eastAsia="黑体" w:cs="黑体"/>
          <w:b w:val="0"/>
          <w:bCs w:val="0"/>
          <w:sz w:val="32"/>
          <w:szCs w:val="36"/>
          <w:highlight w:val="none"/>
          <w:lang w:val="en-US" w:eastAsia="zh-CN"/>
        </w:rPr>
        <w:t>附件</w:t>
      </w:r>
      <w:r>
        <w:rPr>
          <w:rFonts w:hint="default" w:ascii="黑体" w:hAnsi="黑体" w:eastAsia="黑体" w:cs="黑体"/>
          <w:b w:val="0"/>
          <w:bCs w:val="0"/>
          <w:sz w:val="32"/>
          <w:szCs w:val="36"/>
          <w:highlight w:val="none"/>
          <w:lang w:val="en-US" w:eastAsia="zh-CN"/>
        </w:rPr>
        <w:t>6</w:t>
      </w:r>
      <w:r>
        <w:rPr>
          <w:rFonts w:hint="eastAsia" w:ascii="黑体" w:hAnsi="黑体" w:eastAsia="黑体" w:cs="黑体"/>
          <w:b w:val="0"/>
          <w:bCs w:val="0"/>
          <w:sz w:val="32"/>
          <w:szCs w:val="36"/>
          <w:highlight w:val="none"/>
          <w:lang w:val="en-US" w:eastAsia="zh-CN"/>
        </w:rPr>
        <w:t>-1</w:t>
      </w:r>
    </w:p>
    <w:p>
      <w:pPr>
        <w:keepNext w:val="0"/>
        <w:keepLines w:val="0"/>
        <w:pageBreakBefore w:val="0"/>
        <w:widowControl w:val="0"/>
        <w:kinsoku/>
        <w:wordWrap/>
        <w:overflowPunct/>
        <w:topLinePunct w:val="0"/>
        <w:autoSpaceDE/>
        <w:autoSpaceDN/>
        <w:bidi w:val="0"/>
        <w:adjustRightInd/>
        <w:snapToGrid/>
        <w:spacing w:line="120" w:lineRule="auto"/>
        <w:jc w:val="center"/>
        <w:textAlignment w:val="auto"/>
      </w:pPr>
      <w:r>
        <w:rPr>
          <w:rFonts w:hint="eastAsia" w:ascii="宋体" w:hAnsi="宋体" w:eastAsia="宋体"/>
          <w:b/>
          <w:bCs/>
          <w:sz w:val="32"/>
          <w:szCs w:val="36"/>
        </w:rPr>
        <w:t>广告推广服务内容要求清单</w:t>
      </w:r>
    </w:p>
    <w:tbl>
      <w:tblPr>
        <w:tblStyle w:val="27"/>
        <w:tblW w:w="9055" w:type="dxa"/>
        <w:tblInd w:w="-249" w:type="dxa"/>
        <w:shd w:val="clear" w:color="auto" w:fill="auto"/>
        <w:tblLayout w:type="fixed"/>
        <w:tblCellMar>
          <w:top w:w="0" w:type="dxa"/>
          <w:left w:w="108" w:type="dxa"/>
          <w:bottom w:w="0" w:type="dxa"/>
          <w:right w:w="108" w:type="dxa"/>
        </w:tblCellMar>
      </w:tblPr>
      <w:tblGrid>
        <w:gridCol w:w="655"/>
        <w:gridCol w:w="2569"/>
        <w:gridCol w:w="2700"/>
        <w:gridCol w:w="3131"/>
      </w:tblGrid>
      <w:tr>
        <w:tblPrEx>
          <w:shd w:val="clear" w:color="auto" w:fill="auto"/>
          <w:tblCellMar>
            <w:top w:w="0" w:type="dxa"/>
            <w:left w:w="108" w:type="dxa"/>
            <w:bottom w:w="0" w:type="dxa"/>
            <w:right w:w="108" w:type="dxa"/>
          </w:tblCellMar>
        </w:tblPrEx>
        <w:trPr>
          <w:trHeight w:val="501" w:hRule="atLeast"/>
        </w:trPr>
        <w:tc>
          <w:tcPr>
            <w:tcW w:w="6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lang w:eastAsia="zh-CN"/>
              </w:rPr>
            </w:pPr>
            <w:r>
              <w:rPr>
                <w:rFonts w:hint="eastAsia" w:ascii="微软雅黑" w:hAnsi="微软雅黑" w:eastAsia="微软雅黑" w:cs="微软雅黑"/>
                <w:bCs/>
                <w:kern w:val="0"/>
                <w:sz w:val="18"/>
                <w:szCs w:val="18"/>
                <w:highlight w:val="none"/>
                <w:lang w:eastAsia="zh-CN"/>
              </w:rPr>
              <w:t>序号</w:t>
            </w:r>
          </w:p>
        </w:tc>
        <w:tc>
          <w:tcPr>
            <w:tcW w:w="2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lang w:eastAsia="zh-CN"/>
              </w:rPr>
            </w:pPr>
            <w:r>
              <w:rPr>
                <w:rFonts w:hint="eastAsia" w:ascii="微软雅黑" w:hAnsi="微软雅黑" w:eastAsia="微软雅黑" w:cs="微软雅黑"/>
                <w:bCs/>
                <w:kern w:val="0"/>
                <w:sz w:val="18"/>
                <w:szCs w:val="18"/>
                <w:highlight w:val="none"/>
                <w:lang w:eastAsia="zh-CN"/>
              </w:rPr>
              <w:t>服务项目</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bCs/>
                <w:kern w:val="0"/>
                <w:sz w:val="18"/>
                <w:szCs w:val="18"/>
                <w:highlight w:val="none"/>
                <w:lang w:val="en-US" w:eastAsia="zh-CN" w:bidi="ar-SA"/>
              </w:rPr>
              <w:t>服务明细内容</w:t>
            </w:r>
          </w:p>
        </w:tc>
        <w:tc>
          <w:tcPr>
            <w:tcW w:w="3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bCs/>
                <w:kern w:val="0"/>
                <w:sz w:val="18"/>
                <w:szCs w:val="18"/>
                <w:highlight w:val="none"/>
                <w:lang w:val="en-US" w:eastAsia="zh-CN" w:bidi="ar-SA"/>
              </w:rPr>
              <w:t>交付成果要求文件</w:t>
            </w:r>
          </w:p>
        </w:tc>
      </w:tr>
      <w:tr>
        <w:tblPrEx>
          <w:tblCellMar>
            <w:top w:w="0" w:type="dxa"/>
            <w:left w:w="108" w:type="dxa"/>
            <w:bottom w:w="0" w:type="dxa"/>
            <w:right w:w="108" w:type="dxa"/>
          </w:tblCellMar>
        </w:tblPrEx>
        <w:trPr>
          <w:trHeight w:val="1195" w:hRule="atLeast"/>
        </w:trPr>
        <w:tc>
          <w:tcPr>
            <w:tcW w:w="6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val="en-US" w:eastAsia="zh-CN"/>
              </w:rPr>
              <w:t>1</w:t>
            </w:r>
          </w:p>
        </w:tc>
        <w:tc>
          <w:tcPr>
            <w:tcW w:w="2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lang w:eastAsia="zh-CN"/>
              </w:rPr>
            </w:pPr>
            <w:r>
              <w:rPr>
                <w:rFonts w:hint="eastAsia" w:ascii="微软雅黑" w:hAnsi="微软雅黑" w:eastAsia="微软雅黑" w:cs="微软雅黑"/>
                <w:bCs/>
                <w:kern w:val="0"/>
                <w:sz w:val="18"/>
                <w:szCs w:val="18"/>
                <w:highlight w:val="none"/>
                <w:lang w:eastAsia="zh-CN"/>
              </w:rPr>
              <w:t>广告推广策略</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b w:val="0"/>
                <w:bCs/>
                <w:i w:val="0"/>
                <w:iCs w:val="0"/>
                <w:kern w:val="0"/>
                <w:sz w:val="18"/>
                <w:szCs w:val="18"/>
                <w:highlight w:val="none"/>
                <w:lang w:val="en-US" w:eastAsia="zh-CN" w:bidi="ar"/>
              </w:rPr>
              <w:t>广告推广总策略、广告推广定位、媒体组合选择</w:t>
            </w:r>
          </w:p>
        </w:tc>
        <w:tc>
          <w:tcPr>
            <w:tcW w:w="3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 w:val="0"/>
                <w:bCs/>
                <w:i w:val="0"/>
                <w:iCs w:val="0"/>
                <w:kern w:val="0"/>
                <w:sz w:val="18"/>
                <w:szCs w:val="18"/>
                <w:highlight w:val="none"/>
                <w:lang w:val="en-US" w:eastAsia="zh-CN" w:bidi="ar"/>
              </w:rPr>
            </w:pPr>
            <w:r>
              <w:rPr>
                <w:rFonts w:hint="eastAsia" w:ascii="微软雅黑" w:hAnsi="微软雅黑" w:eastAsia="微软雅黑" w:cs="微软雅黑"/>
                <w:b w:val="0"/>
                <w:bCs/>
                <w:i w:val="0"/>
                <w:iCs w:val="0"/>
                <w:kern w:val="0"/>
                <w:sz w:val="18"/>
                <w:szCs w:val="18"/>
                <w:highlight w:val="none"/>
                <w:lang w:val="en-US" w:eastAsia="zh-CN" w:bidi="ar"/>
              </w:rPr>
              <w:t>广告推广策略报告</w:t>
            </w:r>
          </w:p>
        </w:tc>
      </w:tr>
      <w:tr>
        <w:tblPrEx>
          <w:tblCellMar>
            <w:top w:w="0" w:type="dxa"/>
            <w:left w:w="108" w:type="dxa"/>
            <w:bottom w:w="0" w:type="dxa"/>
            <w:right w:w="108" w:type="dxa"/>
          </w:tblCellMar>
        </w:tblPrEx>
        <w:trPr>
          <w:trHeight w:val="1442" w:hRule="atLeast"/>
        </w:trPr>
        <w:tc>
          <w:tcPr>
            <w:tcW w:w="6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val="en-US" w:eastAsia="zh-CN"/>
              </w:rPr>
              <w:t>2</w:t>
            </w:r>
          </w:p>
        </w:tc>
        <w:tc>
          <w:tcPr>
            <w:tcW w:w="2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lang w:eastAsia="zh-CN"/>
              </w:rPr>
            </w:pPr>
            <w:r>
              <w:rPr>
                <w:rFonts w:hint="eastAsia" w:ascii="微软雅黑" w:hAnsi="微软雅黑" w:eastAsia="微软雅黑" w:cs="微软雅黑"/>
                <w:bCs/>
                <w:kern w:val="0"/>
                <w:sz w:val="18"/>
                <w:szCs w:val="18"/>
                <w:highlight w:val="none"/>
                <w:lang w:eastAsia="zh-CN"/>
              </w:rPr>
              <w:t>项目品牌识别系统设计</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b w:val="0"/>
                <w:bCs/>
                <w:i w:val="0"/>
                <w:iCs w:val="0"/>
                <w:kern w:val="0"/>
                <w:sz w:val="18"/>
                <w:szCs w:val="18"/>
                <w:highlight w:val="none"/>
                <w:lang w:val="en-US" w:eastAsia="zh-CN" w:bidi="ar"/>
              </w:rPr>
              <w:t>基础系统设计或优化、应用系统设计</w:t>
            </w:r>
          </w:p>
        </w:tc>
        <w:tc>
          <w:tcPr>
            <w:tcW w:w="3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 w:val="0"/>
                <w:bCs/>
                <w:i w:val="0"/>
                <w:iCs w:val="0"/>
                <w:kern w:val="0"/>
                <w:sz w:val="18"/>
                <w:szCs w:val="18"/>
                <w:highlight w:val="none"/>
                <w:lang w:val="en-US" w:eastAsia="zh-CN" w:bidi="ar"/>
              </w:rPr>
            </w:pPr>
            <w:r>
              <w:rPr>
                <w:rFonts w:hint="eastAsia" w:ascii="微软雅黑" w:hAnsi="微软雅黑" w:eastAsia="微软雅黑" w:cs="微软雅黑"/>
                <w:b w:val="0"/>
                <w:bCs/>
                <w:i w:val="0"/>
                <w:iCs w:val="0"/>
                <w:kern w:val="0"/>
                <w:sz w:val="18"/>
                <w:szCs w:val="18"/>
                <w:highlight w:val="none"/>
                <w:lang w:val="en-US" w:eastAsia="zh-CN" w:bidi="ar"/>
              </w:rPr>
              <w:t>项目品牌识别系统设计</w:t>
            </w:r>
          </w:p>
        </w:tc>
      </w:tr>
      <w:tr>
        <w:tblPrEx>
          <w:tblCellMar>
            <w:top w:w="0" w:type="dxa"/>
            <w:left w:w="108" w:type="dxa"/>
            <w:bottom w:w="0" w:type="dxa"/>
            <w:right w:w="108" w:type="dxa"/>
          </w:tblCellMar>
        </w:tblPrEx>
        <w:trPr>
          <w:trHeight w:val="1440" w:hRule="atLeast"/>
        </w:trPr>
        <w:tc>
          <w:tcPr>
            <w:tcW w:w="6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val="en-US" w:eastAsia="zh-CN"/>
              </w:rPr>
              <w:t>3</w:t>
            </w:r>
          </w:p>
        </w:tc>
        <w:tc>
          <w:tcPr>
            <w:tcW w:w="2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lang w:eastAsia="zh-CN"/>
              </w:rPr>
            </w:pPr>
            <w:r>
              <w:rPr>
                <w:rFonts w:hint="eastAsia" w:ascii="微软雅黑" w:hAnsi="微软雅黑" w:eastAsia="微软雅黑" w:cs="微软雅黑"/>
                <w:bCs/>
                <w:kern w:val="0"/>
                <w:sz w:val="18"/>
                <w:szCs w:val="18"/>
                <w:highlight w:val="none"/>
                <w:lang w:eastAsia="zh-CN"/>
              </w:rPr>
              <w:t>活动物料设计</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b w:val="0"/>
                <w:bCs/>
                <w:i w:val="0"/>
                <w:iCs w:val="0"/>
                <w:kern w:val="0"/>
                <w:sz w:val="18"/>
                <w:szCs w:val="18"/>
                <w:highlight w:val="none"/>
                <w:lang w:val="en-US" w:eastAsia="zh-CN" w:bidi="ar"/>
              </w:rPr>
              <w:t>主画面形象物料设计、活动邀请函、推介演示文稿制作等</w:t>
            </w:r>
          </w:p>
        </w:tc>
        <w:tc>
          <w:tcPr>
            <w:tcW w:w="3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 w:val="0"/>
                <w:bCs/>
                <w:i w:val="0"/>
                <w:iCs w:val="0"/>
                <w:kern w:val="0"/>
                <w:sz w:val="18"/>
                <w:szCs w:val="18"/>
                <w:highlight w:val="none"/>
                <w:lang w:val="en-US" w:eastAsia="zh-CN" w:bidi="ar"/>
              </w:rPr>
            </w:pPr>
            <w:r>
              <w:rPr>
                <w:rFonts w:hint="eastAsia" w:ascii="微软雅黑" w:hAnsi="微软雅黑" w:eastAsia="微软雅黑" w:cs="微软雅黑"/>
                <w:b w:val="0"/>
                <w:bCs/>
                <w:i w:val="0"/>
                <w:iCs w:val="0"/>
                <w:kern w:val="0"/>
                <w:sz w:val="18"/>
                <w:szCs w:val="18"/>
                <w:highlight w:val="none"/>
                <w:lang w:val="en-US" w:eastAsia="zh-CN" w:bidi="ar"/>
              </w:rPr>
              <w:t>活动物料设计成果报告</w:t>
            </w:r>
          </w:p>
        </w:tc>
      </w:tr>
      <w:tr>
        <w:tblPrEx>
          <w:tblCellMar>
            <w:top w:w="0" w:type="dxa"/>
            <w:left w:w="108" w:type="dxa"/>
            <w:bottom w:w="0" w:type="dxa"/>
            <w:right w:w="108" w:type="dxa"/>
          </w:tblCellMar>
        </w:tblPrEx>
        <w:trPr>
          <w:trHeight w:val="1346" w:hRule="atLeast"/>
        </w:trPr>
        <w:tc>
          <w:tcPr>
            <w:tcW w:w="6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val="en-US" w:eastAsia="zh-CN"/>
              </w:rPr>
              <w:t>4</w:t>
            </w:r>
          </w:p>
        </w:tc>
        <w:tc>
          <w:tcPr>
            <w:tcW w:w="2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lang w:eastAsia="zh-CN"/>
              </w:rPr>
            </w:pPr>
            <w:r>
              <w:rPr>
                <w:rFonts w:hint="eastAsia" w:ascii="微软雅黑" w:hAnsi="微软雅黑" w:eastAsia="微软雅黑" w:cs="微软雅黑"/>
                <w:bCs/>
                <w:kern w:val="0"/>
                <w:sz w:val="18"/>
                <w:szCs w:val="18"/>
                <w:highlight w:val="none"/>
                <w:lang w:eastAsia="zh-CN"/>
              </w:rPr>
              <w:t>售楼物料设计</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b w:val="0"/>
                <w:bCs/>
                <w:i w:val="0"/>
                <w:iCs w:val="0"/>
                <w:kern w:val="0"/>
                <w:sz w:val="18"/>
                <w:szCs w:val="18"/>
                <w:highlight w:val="none"/>
                <w:lang w:val="en-US" w:eastAsia="zh-CN" w:bidi="ar"/>
              </w:rPr>
              <w:t>招商手册、项目折页、租售须知等设计</w:t>
            </w:r>
          </w:p>
        </w:tc>
        <w:tc>
          <w:tcPr>
            <w:tcW w:w="3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 w:val="0"/>
                <w:bCs/>
                <w:i w:val="0"/>
                <w:iCs w:val="0"/>
                <w:kern w:val="0"/>
                <w:sz w:val="18"/>
                <w:szCs w:val="18"/>
                <w:highlight w:val="none"/>
                <w:lang w:val="en-US" w:eastAsia="zh-CN" w:bidi="ar"/>
              </w:rPr>
            </w:pPr>
            <w:r>
              <w:rPr>
                <w:rFonts w:hint="eastAsia" w:ascii="微软雅黑" w:hAnsi="微软雅黑" w:eastAsia="微软雅黑" w:cs="微软雅黑"/>
                <w:b w:val="0"/>
                <w:bCs/>
                <w:i w:val="0"/>
                <w:iCs w:val="0"/>
                <w:kern w:val="0"/>
                <w:sz w:val="18"/>
                <w:szCs w:val="18"/>
                <w:highlight w:val="none"/>
                <w:lang w:val="en-US" w:eastAsia="zh-CN" w:bidi="ar"/>
              </w:rPr>
              <w:t>招商手册、推介演示文稿、项目折页等物料设计</w:t>
            </w:r>
          </w:p>
        </w:tc>
      </w:tr>
      <w:tr>
        <w:tblPrEx>
          <w:tblCellMar>
            <w:top w:w="0" w:type="dxa"/>
            <w:left w:w="108" w:type="dxa"/>
            <w:bottom w:w="0" w:type="dxa"/>
            <w:right w:w="108" w:type="dxa"/>
          </w:tblCellMar>
        </w:tblPrEx>
        <w:trPr>
          <w:trHeight w:val="1207" w:hRule="atLeast"/>
        </w:trPr>
        <w:tc>
          <w:tcPr>
            <w:tcW w:w="6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val="en-US" w:eastAsia="zh-CN"/>
              </w:rPr>
              <w:t>5</w:t>
            </w:r>
          </w:p>
        </w:tc>
        <w:tc>
          <w:tcPr>
            <w:tcW w:w="2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eastAsia="zh-CN"/>
              </w:rPr>
              <w:t>新媒体宣传推广</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b w:val="0"/>
                <w:bCs/>
                <w:i w:val="0"/>
                <w:iCs w:val="0"/>
                <w:kern w:val="0"/>
                <w:sz w:val="18"/>
                <w:szCs w:val="18"/>
                <w:highlight w:val="none"/>
                <w:lang w:val="en-US" w:eastAsia="zh-CN" w:bidi="ar"/>
              </w:rPr>
              <w:t>新媒体全程整合推广方案、筹备新媒体推送内容如推文/长图（月不少于1个）、海报设计（月不少于8个）、短视频制作（月不少于2个）等</w:t>
            </w:r>
          </w:p>
        </w:tc>
        <w:tc>
          <w:tcPr>
            <w:tcW w:w="3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 w:val="0"/>
                <w:bCs/>
                <w:i w:val="0"/>
                <w:iCs w:val="0"/>
                <w:kern w:val="0"/>
                <w:sz w:val="18"/>
                <w:szCs w:val="18"/>
                <w:highlight w:val="none"/>
                <w:lang w:val="en-US" w:eastAsia="zh-CN" w:bidi="ar"/>
              </w:rPr>
            </w:pPr>
            <w:r>
              <w:rPr>
                <w:rFonts w:hint="eastAsia" w:ascii="微软雅黑" w:hAnsi="微软雅黑" w:eastAsia="微软雅黑" w:cs="微软雅黑"/>
                <w:b w:val="0"/>
                <w:bCs/>
                <w:i w:val="0"/>
                <w:iCs w:val="0"/>
                <w:kern w:val="0"/>
                <w:sz w:val="18"/>
                <w:szCs w:val="18"/>
                <w:highlight w:val="none"/>
                <w:lang w:val="en-US" w:eastAsia="zh-CN" w:bidi="ar"/>
              </w:rPr>
              <w:t>新媒体整合推广方案</w:t>
            </w:r>
          </w:p>
        </w:tc>
      </w:tr>
      <w:tr>
        <w:tblPrEx>
          <w:tblCellMar>
            <w:top w:w="0" w:type="dxa"/>
            <w:left w:w="108" w:type="dxa"/>
            <w:bottom w:w="0" w:type="dxa"/>
            <w:right w:w="108" w:type="dxa"/>
          </w:tblCellMar>
        </w:tblPrEx>
        <w:trPr>
          <w:trHeight w:val="1345" w:hRule="atLeast"/>
        </w:trPr>
        <w:tc>
          <w:tcPr>
            <w:tcW w:w="6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val="en-US" w:eastAsia="zh-CN"/>
              </w:rPr>
              <w:t>6</w:t>
            </w:r>
          </w:p>
        </w:tc>
        <w:tc>
          <w:tcPr>
            <w:tcW w:w="2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lang w:eastAsia="zh-CN"/>
              </w:rPr>
            </w:pPr>
            <w:r>
              <w:rPr>
                <w:rFonts w:hint="eastAsia" w:ascii="微软雅黑" w:hAnsi="微软雅黑" w:eastAsia="微软雅黑" w:cs="微软雅黑"/>
                <w:bCs/>
                <w:kern w:val="0"/>
                <w:sz w:val="18"/>
                <w:szCs w:val="18"/>
                <w:highlight w:val="none"/>
                <w:lang w:eastAsia="zh-CN"/>
              </w:rPr>
              <w:t>其他推广物料设计</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b w:val="0"/>
                <w:bCs/>
                <w:i w:val="0"/>
                <w:iCs w:val="0"/>
                <w:kern w:val="0"/>
                <w:sz w:val="18"/>
                <w:szCs w:val="18"/>
                <w:highlight w:val="none"/>
                <w:lang w:val="en-US" w:eastAsia="zh-CN" w:bidi="ar"/>
              </w:rPr>
              <w:t>阶段主画面、阶段系列海报、日常营销推广物料设计</w:t>
            </w:r>
          </w:p>
        </w:tc>
        <w:tc>
          <w:tcPr>
            <w:tcW w:w="3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 w:val="0"/>
                <w:bCs/>
                <w:i w:val="0"/>
                <w:iCs w:val="0"/>
                <w:kern w:val="0"/>
                <w:sz w:val="18"/>
                <w:szCs w:val="18"/>
                <w:highlight w:val="none"/>
                <w:lang w:val="en-US" w:eastAsia="zh-CN" w:bidi="ar"/>
              </w:rPr>
            </w:pPr>
            <w:r>
              <w:rPr>
                <w:rFonts w:hint="eastAsia" w:ascii="微软雅黑" w:hAnsi="微软雅黑" w:eastAsia="微软雅黑" w:cs="微软雅黑"/>
                <w:b w:val="0"/>
                <w:bCs/>
                <w:i w:val="0"/>
                <w:iCs w:val="0"/>
                <w:kern w:val="0"/>
                <w:sz w:val="18"/>
                <w:szCs w:val="18"/>
                <w:highlight w:val="none"/>
                <w:lang w:val="en-US" w:eastAsia="zh-CN" w:bidi="ar"/>
              </w:rPr>
              <w:t>服务期限内日常广告推广结题报告、广告推广工作所需其他报告、材料</w:t>
            </w:r>
          </w:p>
        </w:tc>
      </w:tr>
      <w:tr>
        <w:tblPrEx>
          <w:tblCellMar>
            <w:top w:w="0" w:type="dxa"/>
            <w:left w:w="108" w:type="dxa"/>
            <w:bottom w:w="0" w:type="dxa"/>
            <w:right w:w="108" w:type="dxa"/>
          </w:tblCellMar>
        </w:tblPrEx>
        <w:trPr>
          <w:trHeight w:val="1246" w:hRule="atLeast"/>
        </w:trPr>
        <w:tc>
          <w:tcPr>
            <w:tcW w:w="905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微软雅黑" w:hAnsi="微软雅黑" w:eastAsia="微软雅黑" w:cs="微软雅黑"/>
                <w:b w:val="0"/>
                <w:bCs/>
                <w:i w:val="0"/>
                <w:iCs w:val="0"/>
                <w:kern w:val="0"/>
                <w:sz w:val="18"/>
                <w:szCs w:val="18"/>
                <w:highlight w:val="none"/>
                <w:lang w:val="en-US" w:eastAsia="zh-CN" w:bidi="ar"/>
              </w:rPr>
            </w:pPr>
            <w:r>
              <w:rPr>
                <w:rFonts w:hint="eastAsia" w:ascii="微软雅黑" w:hAnsi="微软雅黑" w:eastAsia="微软雅黑" w:cs="微软雅黑"/>
                <w:b w:val="0"/>
                <w:bCs/>
                <w:i w:val="0"/>
                <w:iCs w:val="0"/>
                <w:kern w:val="0"/>
                <w:sz w:val="18"/>
                <w:szCs w:val="18"/>
                <w:highlight w:val="none"/>
                <w:lang w:val="en-US" w:eastAsia="zh-CN" w:bidi="ar"/>
              </w:rPr>
              <w:t>备注：具体服务内容应根据项目整体要求和市场情况进行动态完善及调整。服务期间根据甲方需求，重要节点须安排驻场工作人员，以保证广告推广工作按计划开展。</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6"/>
          <w:highlight w:val="none"/>
          <w:lang w:val="en-US" w:eastAsia="zh-CN"/>
        </w:rPr>
      </w:pPr>
    </w:p>
    <w:p>
      <w:pPr>
        <w:keepNext w:val="0"/>
        <w:keepLines w:val="0"/>
        <w:pageBreakBefore/>
        <w:widowControl w:val="0"/>
        <w:kinsoku/>
        <w:wordWrap/>
        <w:overflowPunct/>
        <w:topLinePunct w:val="0"/>
        <w:autoSpaceDE/>
        <w:autoSpaceDN/>
        <w:bidi w:val="0"/>
        <w:adjustRightInd/>
        <w:snapToGrid/>
        <w:spacing w:line="560" w:lineRule="exact"/>
        <w:jc w:val="left"/>
        <w:textAlignment w:val="auto"/>
        <w:rPr>
          <w:rFonts w:hint="default" w:ascii="黑体" w:hAnsi="黑体" w:eastAsia="黑体" w:cs="黑体"/>
          <w:b w:val="0"/>
          <w:bCs w:val="0"/>
          <w:sz w:val="32"/>
          <w:szCs w:val="36"/>
          <w:highlight w:val="none"/>
          <w:lang w:val="en-US" w:eastAsia="zh-CN"/>
        </w:rPr>
      </w:pPr>
      <w:r>
        <w:rPr>
          <w:rFonts w:hint="eastAsia" w:ascii="黑体" w:hAnsi="黑体" w:eastAsia="黑体" w:cs="黑体"/>
          <w:b w:val="0"/>
          <w:bCs w:val="0"/>
          <w:sz w:val="32"/>
          <w:szCs w:val="36"/>
          <w:highlight w:val="none"/>
          <w:lang w:val="en-US" w:eastAsia="zh-CN"/>
        </w:rPr>
        <w:t>附件</w:t>
      </w:r>
      <w:r>
        <w:rPr>
          <w:rFonts w:hint="default" w:ascii="黑体" w:hAnsi="黑体" w:eastAsia="黑体" w:cs="黑体"/>
          <w:b w:val="0"/>
          <w:bCs w:val="0"/>
          <w:sz w:val="32"/>
          <w:szCs w:val="36"/>
          <w:highlight w:val="none"/>
          <w:lang w:val="en-US" w:eastAsia="zh-CN"/>
        </w:rPr>
        <w:t>6</w:t>
      </w:r>
      <w:r>
        <w:rPr>
          <w:rFonts w:hint="eastAsia" w:ascii="黑体" w:hAnsi="黑体" w:eastAsia="黑体" w:cs="黑体"/>
          <w:b w:val="0"/>
          <w:bCs w:val="0"/>
          <w:sz w:val="32"/>
          <w:szCs w:val="36"/>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line="120" w:lineRule="auto"/>
        <w:jc w:val="center"/>
        <w:textAlignment w:val="auto"/>
      </w:pPr>
      <w:r>
        <w:rPr>
          <w:rFonts w:hint="eastAsia" w:ascii="宋体" w:hAnsi="宋体" w:eastAsia="宋体"/>
          <w:b/>
          <w:bCs/>
          <w:sz w:val="32"/>
          <w:szCs w:val="36"/>
        </w:rPr>
        <w:t>履约评分表</w:t>
      </w:r>
    </w:p>
    <w:tbl>
      <w:tblPr>
        <w:tblStyle w:val="27"/>
        <w:tblW w:w="9042" w:type="dxa"/>
        <w:tblInd w:w="-249" w:type="dxa"/>
        <w:shd w:val="clear" w:color="auto" w:fill="auto"/>
        <w:tblLayout w:type="fixed"/>
        <w:tblCellMar>
          <w:top w:w="0" w:type="dxa"/>
          <w:left w:w="108" w:type="dxa"/>
          <w:bottom w:w="0" w:type="dxa"/>
          <w:right w:w="108" w:type="dxa"/>
        </w:tblCellMar>
      </w:tblPr>
      <w:tblGrid>
        <w:gridCol w:w="588"/>
        <w:gridCol w:w="1140"/>
        <w:gridCol w:w="532"/>
        <w:gridCol w:w="143"/>
        <w:gridCol w:w="2117"/>
        <w:gridCol w:w="903"/>
        <w:gridCol w:w="1357"/>
        <w:gridCol w:w="1572"/>
        <w:gridCol w:w="690"/>
      </w:tblGrid>
      <w:tr>
        <w:tblPrEx>
          <w:shd w:val="clear" w:color="auto" w:fill="auto"/>
          <w:tblCellMar>
            <w:top w:w="0" w:type="dxa"/>
            <w:left w:w="108" w:type="dxa"/>
            <w:bottom w:w="0" w:type="dxa"/>
            <w:right w:w="108" w:type="dxa"/>
          </w:tblCellMar>
        </w:tblPrEx>
        <w:trPr>
          <w:trHeight w:val="90" w:hRule="atLeast"/>
        </w:trPr>
        <w:tc>
          <w:tcPr>
            <w:tcW w:w="22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sz w:val="18"/>
                <w:szCs w:val="18"/>
              </w:rPr>
              <w:t>合同名称</w:t>
            </w:r>
          </w:p>
        </w:tc>
        <w:tc>
          <w:tcPr>
            <w:tcW w:w="2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2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bCs/>
                <w:kern w:val="0"/>
                <w:sz w:val="18"/>
                <w:szCs w:val="18"/>
                <w:highlight w:val="none"/>
                <w:lang w:val="en-US" w:eastAsia="zh-CN"/>
              </w:rPr>
              <w:t>服务单位</w:t>
            </w:r>
          </w:p>
        </w:tc>
        <w:tc>
          <w:tcPr>
            <w:tcW w:w="22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bCs/>
                <w:kern w:val="0"/>
                <w:sz w:val="18"/>
                <w:szCs w:val="18"/>
                <w:highlight w:val="none"/>
                <w:lang w:val="en-US" w:eastAsia="zh-CN" w:bidi="ar-SA"/>
              </w:rPr>
            </w:pPr>
          </w:p>
        </w:tc>
      </w:tr>
      <w:tr>
        <w:tblPrEx>
          <w:tblCellMar>
            <w:top w:w="0" w:type="dxa"/>
            <w:left w:w="108" w:type="dxa"/>
            <w:bottom w:w="0" w:type="dxa"/>
            <w:right w:w="108" w:type="dxa"/>
          </w:tblCellMar>
        </w:tblPrEx>
        <w:trPr>
          <w:trHeight w:val="70" w:hRule="atLeast"/>
        </w:trPr>
        <w:tc>
          <w:tcPr>
            <w:tcW w:w="22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sz w:val="18"/>
                <w:szCs w:val="18"/>
              </w:rPr>
              <w:t>合同编号</w:t>
            </w:r>
          </w:p>
        </w:tc>
        <w:tc>
          <w:tcPr>
            <w:tcW w:w="2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2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bCs/>
                <w:kern w:val="0"/>
                <w:sz w:val="18"/>
                <w:szCs w:val="18"/>
                <w:highlight w:val="none"/>
                <w:lang w:val="en-US" w:eastAsia="zh-CN"/>
              </w:rPr>
              <w:t>评价类型</w:t>
            </w:r>
          </w:p>
        </w:tc>
        <w:tc>
          <w:tcPr>
            <w:tcW w:w="22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bCs/>
                <w:kern w:val="0"/>
                <w:sz w:val="18"/>
                <w:szCs w:val="18"/>
                <w:highlight w:val="none"/>
                <w:lang w:val="en-US" w:eastAsia="zh-CN" w:bidi="ar-SA"/>
              </w:rPr>
            </w:pPr>
          </w:p>
        </w:tc>
      </w:tr>
      <w:tr>
        <w:tblPrEx>
          <w:tblCellMar>
            <w:top w:w="0" w:type="dxa"/>
            <w:left w:w="108" w:type="dxa"/>
            <w:bottom w:w="0" w:type="dxa"/>
            <w:right w:w="108" w:type="dxa"/>
          </w:tblCellMar>
        </w:tblPrEx>
        <w:trPr>
          <w:trHeight w:val="70" w:hRule="atLeast"/>
        </w:trPr>
        <w:tc>
          <w:tcPr>
            <w:tcW w:w="22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2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2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bCs/>
                <w:kern w:val="0"/>
                <w:sz w:val="18"/>
                <w:szCs w:val="18"/>
                <w:highlight w:val="none"/>
                <w:lang w:val="en-US" w:eastAsia="zh-CN"/>
              </w:rPr>
              <w:t>评价时间</w:t>
            </w:r>
          </w:p>
        </w:tc>
        <w:tc>
          <w:tcPr>
            <w:tcW w:w="22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720" w:firstLineChars="400"/>
              <w:textAlignment w:val="auto"/>
              <w:rPr>
                <w:rFonts w:hint="eastAsia" w:ascii="微软雅黑" w:hAnsi="微软雅黑" w:eastAsia="微软雅黑" w:cs="微软雅黑"/>
                <w:bCs/>
                <w:kern w:val="0"/>
                <w:sz w:val="18"/>
                <w:szCs w:val="18"/>
                <w:highlight w:val="none"/>
                <w:lang w:val="en-US" w:eastAsia="zh-CN" w:bidi="ar-SA"/>
              </w:rPr>
            </w:pPr>
            <w:r>
              <w:rPr>
                <w:rFonts w:hint="eastAsia" w:ascii="微软雅黑" w:hAnsi="微软雅黑" w:eastAsia="微软雅黑" w:cs="微软雅黑"/>
                <w:sz w:val="18"/>
                <w:szCs w:val="18"/>
              </w:rPr>
              <w:t>年   月   日</w:t>
            </w:r>
          </w:p>
        </w:tc>
      </w:tr>
      <w:tr>
        <w:tblPrEx>
          <w:tblCellMar>
            <w:top w:w="0" w:type="dxa"/>
            <w:left w:w="108" w:type="dxa"/>
            <w:bottom w:w="0" w:type="dxa"/>
            <w:right w:w="108" w:type="dxa"/>
          </w:tblCellMar>
        </w:tblPrEx>
        <w:trPr>
          <w:trHeight w:val="235" w:hRule="atLeast"/>
        </w:trPr>
        <w:tc>
          <w:tcPr>
            <w:tcW w:w="9042"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70" w:hRule="atLeast"/>
        </w:trPr>
        <w:tc>
          <w:tcPr>
            <w:tcW w:w="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序号</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分项内容</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分值</w:t>
            </w:r>
          </w:p>
        </w:tc>
        <w:tc>
          <w:tcPr>
            <w:tcW w:w="30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评 价 指 标</w:t>
            </w:r>
          </w:p>
        </w:tc>
        <w:tc>
          <w:tcPr>
            <w:tcW w:w="29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评 分 标 准</w:t>
            </w:r>
          </w:p>
        </w:tc>
        <w:tc>
          <w:tcPr>
            <w:tcW w:w="690" w:type="dxa"/>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得分</w:t>
            </w:r>
          </w:p>
        </w:tc>
      </w:tr>
      <w:tr>
        <w:tblPrEx>
          <w:shd w:val="clear" w:color="auto" w:fill="auto"/>
          <w:tblCellMar>
            <w:top w:w="0" w:type="dxa"/>
            <w:left w:w="108" w:type="dxa"/>
            <w:bottom w:w="0" w:type="dxa"/>
            <w:right w:w="108" w:type="dxa"/>
          </w:tblCellMar>
        </w:tblPrEx>
        <w:trPr>
          <w:trHeight w:val="303" w:hRule="atLeast"/>
        </w:trPr>
        <w:tc>
          <w:tcPr>
            <w:tcW w:w="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 xml:space="preserve">一  </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人员配置</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val="en-US" w:eastAsia="zh-CN"/>
              </w:rPr>
              <w:t>15</w:t>
            </w:r>
          </w:p>
        </w:tc>
        <w:tc>
          <w:tcPr>
            <w:tcW w:w="30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29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690" w:type="dxa"/>
            <w:tcBorders>
              <w:top w:val="nil"/>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541" w:hRule="atLeast"/>
        </w:trPr>
        <w:tc>
          <w:tcPr>
            <w:tcW w:w="58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1</w:t>
            </w:r>
          </w:p>
        </w:tc>
        <w:tc>
          <w:tcPr>
            <w:tcW w:w="11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主要人员</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val="en-US" w:eastAsia="zh-CN"/>
              </w:rPr>
              <w:t>10</w:t>
            </w:r>
          </w:p>
        </w:tc>
        <w:tc>
          <w:tcPr>
            <w:tcW w:w="30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项目负责人是否具备相应能力</w:t>
            </w:r>
          </w:p>
        </w:tc>
        <w:tc>
          <w:tcPr>
            <w:tcW w:w="29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负责人能力不满足项目要求扣5分。</w:t>
            </w:r>
          </w:p>
        </w:tc>
        <w:tc>
          <w:tcPr>
            <w:tcW w:w="690" w:type="dxa"/>
            <w:tcBorders>
              <w:top w:val="nil"/>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591" w:hRule="atLeast"/>
        </w:trPr>
        <w:tc>
          <w:tcPr>
            <w:tcW w:w="58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1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lang w:eastAsia="zh-CN"/>
              </w:rPr>
            </w:pPr>
            <w:r>
              <w:rPr>
                <w:rFonts w:hint="eastAsia" w:ascii="微软雅黑" w:hAnsi="微软雅黑" w:eastAsia="微软雅黑" w:cs="微软雅黑"/>
                <w:bCs/>
                <w:kern w:val="0"/>
                <w:sz w:val="18"/>
                <w:szCs w:val="18"/>
                <w:highlight w:val="none"/>
                <w:lang w:val="en-US" w:eastAsia="zh-CN"/>
              </w:rPr>
              <w:t>5</w:t>
            </w:r>
          </w:p>
        </w:tc>
        <w:tc>
          <w:tcPr>
            <w:tcW w:w="30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是否频繁更换项目人员</w:t>
            </w:r>
          </w:p>
        </w:tc>
        <w:tc>
          <w:tcPr>
            <w:tcW w:w="29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擅自更换人员，每人次扣</w:t>
            </w:r>
            <w:r>
              <w:rPr>
                <w:rFonts w:hint="eastAsia" w:ascii="微软雅黑" w:hAnsi="微软雅黑" w:eastAsia="微软雅黑" w:cs="微软雅黑"/>
                <w:bCs/>
                <w:kern w:val="0"/>
                <w:sz w:val="18"/>
                <w:szCs w:val="18"/>
                <w:highlight w:val="none"/>
                <w:lang w:val="en-US" w:eastAsia="zh-CN"/>
              </w:rPr>
              <w:t>1</w:t>
            </w:r>
            <w:r>
              <w:rPr>
                <w:rFonts w:hint="eastAsia" w:ascii="微软雅黑" w:hAnsi="微软雅黑" w:eastAsia="微软雅黑" w:cs="微软雅黑"/>
                <w:bCs/>
                <w:kern w:val="0"/>
                <w:sz w:val="18"/>
                <w:szCs w:val="18"/>
                <w:highlight w:val="none"/>
              </w:rPr>
              <w:t>分，扣完为止。</w:t>
            </w:r>
          </w:p>
        </w:tc>
        <w:tc>
          <w:tcPr>
            <w:tcW w:w="690" w:type="dxa"/>
            <w:tcBorders>
              <w:top w:val="nil"/>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277" w:hRule="atLeast"/>
        </w:trPr>
        <w:tc>
          <w:tcPr>
            <w:tcW w:w="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二</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rPr>
            </w:pPr>
            <w:r>
              <w:rPr>
                <w:rFonts w:hint="eastAsia" w:ascii="微软雅黑" w:hAnsi="微软雅黑" w:eastAsia="微软雅黑" w:cs="微软雅黑"/>
                <w:bCs/>
                <w:kern w:val="0"/>
                <w:sz w:val="18"/>
                <w:szCs w:val="18"/>
                <w:highlight w:val="none"/>
                <w:lang w:val="en-US" w:eastAsia="zh-CN"/>
              </w:rPr>
              <w:t>工作质量</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val="en-US" w:eastAsia="zh-CN"/>
              </w:rPr>
              <w:t>50</w:t>
            </w:r>
          </w:p>
        </w:tc>
        <w:tc>
          <w:tcPr>
            <w:tcW w:w="30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29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690" w:type="dxa"/>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379" w:hRule="atLeast"/>
        </w:trPr>
        <w:tc>
          <w:tcPr>
            <w:tcW w:w="58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2</w:t>
            </w:r>
          </w:p>
        </w:tc>
        <w:tc>
          <w:tcPr>
            <w:tcW w:w="1140" w:type="dxa"/>
            <w:vMerge w:val="restart"/>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val="en-US" w:eastAsia="zh-CN"/>
              </w:rPr>
              <w:t>工作成果</w:t>
            </w:r>
          </w:p>
        </w:tc>
        <w:tc>
          <w:tcPr>
            <w:tcW w:w="675"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lang w:val="en-US" w:eastAsia="zh-CN"/>
              </w:rPr>
              <w:t>20</w:t>
            </w:r>
          </w:p>
        </w:tc>
        <w:tc>
          <w:tcPr>
            <w:tcW w:w="302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default" w:ascii="微软雅黑" w:hAnsi="微软雅黑" w:eastAsia="微软雅黑" w:cs="微软雅黑"/>
                <w:bCs/>
                <w:kern w:val="0"/>
                <w:sz w:val="18"/>
                <w:szCs w:val="18"/>
                <w:highlight w:val="none"/>
                <w:lang w:val="en-US" w:eastAsia="zh-CN"/>
              </w:rPr>
            </w:pPr>
            <w:r>
              <w:rPr>
                <w:rFonts w:hint="eastAsia" w:ascii="微软雅黑" w:hAnsi="微软雅黑" w:eastAsia="微软雅黑" w:cs="微软雅黑"/>
                <w:bCs/>
                <w:kern w:val="0"/>
                <w:sz w:val="18"/>
                <w:szCs w:val="18"/>
                <w:highlight w:val="none"/>
              </w:rPr>
              <w:t>成果</w:t>
            </w:r>
            <w:r>
              <w:rPr>
                <w:rFonts w:hint="eastAsia" w:ascii="微软雅黑" w:hAnsi="微软雅黑" w:eastAsia="微软雅黑" w:cs="微软雅黑"/>
                <w:bCs/>
                <w:kern w:val="0"/>
                <w:sz w:val="18"/>
                <w:szCs w:val="18"/>
                <w:highlight w:val="none"/>
                <w:lang w:val="en-US" w:eastAsia="zh-CN"/>
              </w:rPr>
              <w:t>质量</w:t>
            </w:r>
            <w:r>
              <w:rPr>
                <w:rFonts w:hint="eastAsia" w:ascii="微软雅黑" w:hAnsi="微软雅黑" w:eastAsia="微软雅黑" w:cs="微软雅黑"/>
                <w:bCs/>
                <w:kern w:val="0"/>
                <w:sz w:val="18"/>
                <w:szCs w:val="18"/>
                <w:highlight w:val="none"/>
              </w:rPr>
              <w:t>是否</w:t>
            </w:r>
            <w:r>
              <w:rPr>
                <w:rFonts w:hint="eastAsia" w:ascii="微软雅黑" w:hAnsi="微软雅黑" w:eastAsia="微软雅黑" w:cs="微软雅黑"/>
                <w:bCs/>
                <w:kern w:val="0"/>
                <w:sz w:val="18"/>
                <w:szCs w:val="18"/>
                <w:highlight w:val="none"/>
                <w:lang w:val="en-US" w:eastAsia="zh-CN"/>
              </w:rPr>
              <w:t>达到甲方要求</w:t>
            </w:r>
          </w:p>
        </w:tc>
        <w:tc>
          <w:tcPr>
            <w:tcW w:w="2929"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lang w:val="en-US" w:eastAsia="zh-CN"/>
              </w:rPr>
              <w:t>质量达不到要求的扣1-5分</w:t>
            </w:r>
            <w:r>
              <w:rPr>
                <w:rFonts w:hint="eastAsia" w:ascii="微软雅黑" w:hAnsi="微软雅黑" w:eastAsia="微软雅黑" w:cs="微软雅黑"/>
                <w:bCs/>
                <w:kern w:val="0"/>
                <w:sz w:val="18"/>
                <w:szCs w:val="18"/>
                <w:highlight w:val="none"/>
              </w:rPr>
              <w:t>。</w:t>
            </w:r>
          </w:p>
        </w:tc>
        <w:tc>
          <w:tcPr>
            <w:tcW w:w="690" w:type="dxa"/>
            <w:tcBorders>
              <w:top w:val="nil"/>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590" w:hRule="atLeast"/>
        </w:trPr>
        <w:tc>
          <w:tcPr>
            <w:tcW w:w="58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1140" w:type="dxa"/>
            <w:vMerge w:val="continue"/>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675"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15</w:t>
            </w:r>
          </w:p>
        </w:tc>
        <w:tc>
          <w:tcPr>
            <w:tcW w:w="302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lang w:eastAsia="zh-CN"/>
              </w:rPr>
            </w:pPr>
            <w:r>
              <w:rPr>
                <w:rFonts w:hint="eastAsia" w:ascii="微软雅黑" w:hAnsi="微软雅黑" w:eastAsia="微软雅黑" w:cs="微软雅黑"/>
                <w:bCs/>
                <w:kern w:val="0"/>
                <w:sz w:val="18"/>
                <w:szCs w:val="18"/>
                <w:highlight w:val="none"/>
              </w:rPr>
              <w:t>是否按要求提供完整的</w:t>
            </w:r>
            <w:r>
              <w:rPr>
                <w:rFonts w:hint="eastAsia" w:ascii="微软雅黑" w:hAnsi="微软雅黑" w:eastAsia="微软雅黑" w:cs="微软雅黑"/>
                <w:bCs/>
                <w:kern w:val="0"/>
                <w:sz w:val="18"/>
                <w:szCs w:val="18"/>
                <w:highlight w:val="none"/>
                <w:lang w:val="en-US" w:eastAsia="zh-CN"/>
              </w:rPr>
              <w:t>工作成果</w:t>
            </w:r>
          </w:p>
        </w:tc>
        <w:tc>
          <w:tcPr>
            <w:tcW w:w="2929"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lang w:val="en-US" w:eastAsia="zh-CN"/>
              </w:rPr>
              <w:t>提交成果</w:t>
            </w:r>
            <w:r>
              <w:rPr>
                <w:rFonts w:hint="eastAsia" w:ascii="微软雅黑" w:hAnsi="微软雅黑" w:eastAsia="微软雅黑" w:cs="微软雅黑"/>
                <w:bCs/>
                <w:kern w:val="0"/>
                <w:sz w:val="18"/>
                <w:szCs w:val="18"/>
                <w:highlight w:val="none"/>
              </w:rPr>
              <w:t>不全的，每缺1项扣1分，扣完为止。</w:t>
            </w:r>
          </w:p>
        </w:tc>
        <w:tc>
          <w:tcPr>
            <w:tcW w:w="690" w:type="dxa"/>
            <w:tcBorders>
              <w:top w:val="nil"/>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658" w:hRule="atLeast"/>
        </w:trPr>
        <w:tc>
          <w:tcPr>
            <w:tcW w:w="58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1140" w:type="dxa"/>
            <w:vMerge w:val="continue"/>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675"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15</w:t>
            </w:r>
          </w:p>
        </w:tc>
        <w:tc>
          <w:tcPr>
            <w:tcW w:w="302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lang w:val="en-US" w:eastAsia="zh-CN"/>
              </w:rPr>
              <w:t>是否参与把控物料制作相关工作</w:t>
            </w:r>
          </w:p>
        </w:tc>
        <w:tc>
          <w:tcPr>
            <w:tcW w:w="2929"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lang w:val="en-US" w:eastAsia="zh-CN"/>
              </w:rPr>
              <w:t>未积极参与的每次</w:t>
            </w:r>
            <w:r>
              <w:rPr>
                <w:rFonts w:hint="eastAsia" w:ascii="微软雅黑" w:hAnsi="微软雅黑" w:eastAsia="微软雅黑" w:cs="微软雅黑"/>
                <w:bCs/>
                <w:kern w:val="0"/>
                <w:sz w:val="18"/>
                <w:szCs w:val="18"/>
                <w:highlight w:val="none"/>
              </w:rPr>
              <w:t>扣5分</w:t>
            </w:r>
            <w:r>
              <w:rPr>
                <w:rFonts w:hint="eastAsia" w:ascii="微软雅黑" w:hAnsi="微软雅黑" w:eastAsia="微软雅黑" w:cs="微软雅黑"/>
                <w:bCs/>
                <w:kern w:val="0"/>
                <w:sz w:val="18"/>
                <w:szCs w:val="18"/>
                <w:highlight w:val="none"/>
                <w:lang w:eastAsia="zh-CN"/>
              </w:rPr>
              <w:t>，</w:t>
            </w:r>
            <w:r>
              <w:rPr>
                <w:rFonts w:hint="eastAsia" w:ascii="微软雅黑" w:hAnsi="微软雅黑" w:eastAsia="微软雅黑" w:cs="微软雅黑"/>
                <w:bCs/>
                <w:kern w:val="0"/>
                <w:sz w:val="18"/>
                <w:szCs w:val="18"/>
                <w:highlight w:val="none"/>
              </w:rPr>
              <w:t>扣完为止。</w:t>
            </w:r>
          </w:p>
        </w:tc>
        <w:tc>
          <w:tcPr>
            <w:tcW w:w="690" w:type="dxa"/>
            <w:tcBorders>
              <w:top w:val="nil"/>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317" w:hRule="atLeast"/>
        </w:trPr>
        <w:tc>
          <w:tcPr>
            <w:tcW w:w="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三</w:t>
            </w:r>
          </w:p>
        </w:tc>
        <w:tc>
          <w:tcPr>
            <w:tcW w:w="1140" w:type="dxa"/>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进度与配合</w:t>
            </w:r>
          </w:p>
        </w:tc>
        <w:tc>
          <w:tcPr>
            <w:tcW w:w="675"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35</w:t>
            </w:r>
          </w:p>
        </w:tc>
        <w:tc>
          <w:tcPr>
            <w:tcW w:w="302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2929"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690" w:type="dxa"/>
            <w:tcBorders>
              <w:top w:val="nil"/>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1165" w:hRule="atLeast"/>
        </w:trPr>
        <w:tc>
          <w:tcPr>
            <w:tcW w:w="588" w:type="dxa"/>
            <w:tcBorders>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3</w:t>
            </w:r>
          </w:p>
        </w:tc>
        <w:tc>
          <w:tcPr>
            <w:tcW w:w="1140" w:type="dxa"/>
            <w:tcBorders>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服务进度</w:t>
            </w:r>
          </w:p>
        </w:tc>
        <w:tc>
          <w:tcPr>
            <w:tcW w:w="675" w:type="dxa"/>
            <w:gridSpan w:val="2"/>
            <w:tcBorders>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10</w:t>
            </w:r>
          </w:p>
        </w:tc>
        <w:tc>
          <w:tcPr>
            <w:tcW w:w="3020" w:type="dxa"/>
            <w:gridSpan w:val="2"/>
            <w:tcBorders>
              <w:top w:val="nil"/>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是否按约定时间</w:t>
            </w:r>
            <w:r>
              <w:rPr>
                <w:rFonts w:hint="eastAsia" w:ascii="微软雅黑" w:hAnsi="微软雅黑" w:eastAsia="微软雅黑" w:cs="微软雅黑"/>
                <w:bCs/>
                <w:kern w:val="0"/>
                <w:sz w:val="18"/>
                <w:szCs w:val="18"/>
                <w:highlight w:val="none"/>
                <w:lang w:val="en-US" w:eastAsia="zh-CN"/>
              </w:rPr>
              <w:t>节点</w:t>
            </w:r>
            <w:r>
              <w:rPr>
                <w:rFonts w:hint="eastAsia" w:ascii="微软雅黑" w:hAnsi="微软雅黑" w:eastAsia="微软雅黑" w:cs="微软雅黑"/>
                <w:bCs/>
                <w:kern w:val="0"/>
                <w:sz w:val="18"/>
                <w:szCs w:val="18"/>
                <w:highlight w:val="none"/>
              </w:rPr>
              <w:t>及时提交</w:t>
            </w:r>
            <w:r>
              <w:rPr>
                <w:rFonts w:hint="eastAsia" w:ascii="微软雅黑" w:hAnsi="微软雅黑" w:eastAsia="微软雅黑" w:cs="微软雅黑"/>
                <w:bCs/>
                <w:kern w:val="0"/>
                <w:sz w:val="18"/>
                <w:szCs w:val="18"/>
                <w:highlight w:val="none"/>
                <w:lang w:val="en-US" w:eastAsia="zh-CN"/>
              </w:rPr>
              <w:t>广告推广工作相应</w:t>
            </w:r>
            <w:r>
              <w:rPr>
                <w:rFonts w:hint="eastAsia" w:ascii="微软雅黑" w:hAnsi="微软雅黑" w:eastAsia="微软雅黑" w:cs="微软雅黑"/>
                <w:bCs/>
                <w:kern w:val="0"/>
                <w:sz w:val="18"/>
                <w:szCs w:val="18"/>
                <w:highlight w:val="none"/>
              </w:rPr>
              <w:t>文件</w:t>
            </w:r>
          </w:p>
        </w:tc>
        <w:tc>
          <w:tcPr>
            <w:tcW w:w="2929" w:type="dxa"/>
            <w:gridSpan w:val="2"/>
            <w:tcBorders>
              <w:top w:val="nil"/>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超过约定时间一周以内提交的扣2分，超过规定时间一周以上两周以内提交的扣5分，超过规定时间两周以上提交的扣8分。</w:t>
            </w:r>
          </w:p>
        </w:tc>
        <w:tc>
          <w:tcPr>
            <w:tcW w:w="690" w:type="dxa"/>
            <w:tcBorders>
              <w:top w:val="nil"/>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531" w:hRule="atLeast"/>
        </w:trPr>
        <w:tc>
          <w:tcPr>
            <w:tcW w:w="58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4</w:t>
            </w:r>
          </w:p>
        </w:tc>
        <w:tc>
          <w:tcPr>
            <w:tcW w:w="11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配合</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5</w:t>
            </w:r>
          </w:p>
        </w:tc>
        <w:tc>
          <w:tcPr>
            <w:tcW w:w="30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是否积极参加甲方组织的相关会议</w:t>
            </w:r>
          </w:p>
        </w:tc>
        <w:tc>
          <w:tcPr>
            <w:tcW w:w="29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不积极参加的，发生一次扣2分，扣完为止。</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517" w:hRule="atLeast"/>
        </w:trPr>
        <w:tc>
          <w:tcPr>
            <w:tcW w:w="58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1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675"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5</w:t>
            </w:r>
          </w:p>
        </w:tc>
        <w:tc>
          <w:tcPr>
            <w:tcW w:w="302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是否认真听取采纳甲方以及相关政府主管部门的合理化建议</w:t>
            </w:r>
          </w:p>
        </w:tc>
        <w:tc>
          <w:tcPr>
            <w:tcW w:w="2929"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不认真听取、不采纳合理化建议的，</w:t>
            </w:r>
          </w:p>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发生一次扣1分，扣完为止。</w:t>
            </w:r>
          </w:p>
        </w:tc>
        <w:tc>
          <w:tcPr>
            <w:tcW w:w="690" w:type="dxa"/>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495" w:hRule="atLeast"/>
        </w:trPr>
        <w:tc>
          <w:tcPr>
            <w:tcW w:w="58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1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675"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5</w:t>
            </w:r>
          </w:p>
        </w:tc>
        <w:tc>
          <w:tcPr>
            <w:tcW w:w="302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是否积极配合甲方进度调整等工作</w:t>
            </w:r>
          </w:p>
        </w:tc>
        <w:tc>
          <w:tcPr>
            <w:tcW w:w="2929"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不积极配合的，发生一次扣1分，扣完为止。</w:t>
            </w:r>
          </w:p>
        </w:tc>
        <w:tc>
          <w:tcPr>
            <w:tcW w:w="690" w:type="dxa"/>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527" w:hRule="atLeast"/>
        </w:trPr>
        <w:tc>
          <w:tcPr>
            <w:tcW w:w="58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1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675"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10</w:t>
            </w:r>
          </w:p>
        </w:tc>
        <w:tc>
          <w:tcPr>
            <w:tcW w:w="302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响应时间是否及时，沟通态度是否良好</w:t>
            </w:r>
          </w:p>
        </w:tc>
        <w:tc>
          <w:tcPr>
            <w:tcW w:w="2929"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响应不及时、态度不积极的，发生一次扣1分，扣完为止。</w:t>
            </w:r>
          </w:p>
        </w:tc>
        <w:tc>
          <w:tcPr>
            <w:tcW w:w="690" w:type="dxa"/>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277" w:hRule="atLeast"/>
        </w:trPr>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合计分数</w:t>
            </w:r>
          </w:p>
        </w:tc>
        <w:tc>
          <w:tcPr>
            <w:tcW w:w="675"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100</w:t>
            </w:r>
          </w:p>
        </w:tc>
        <w:tc>
          <w:tcPr>
            <w:tcW w:w="5949" w:type="dxa"/>
            <w:gridSpan w:val="4"/>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c>
          <w:tcPr>
            <w:tcW w:w="690" w:type="dxa"/>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277" w:hRule="atLeast"/>
        </w:trPr>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加分项（1-6分）</w:t>
            </w:r>
          </w:p>
        </w:tc>
        <w:tc>
          <w:tcPr>
            <w:tcW w:w="7314" w:type="dxa"/>
            <w:gridSpan w:val="7"/>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277" w:hRule="atLeast"/>
        </w:trPr>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扣分项</w:t>
            </w:r>
          </w:p>
        </w:tc>
        <w:tc>
          <w:tcPr>
            <w:tcW w:w="7314" w:type="dxa"/>
            <w:gridSpan w:val="7"/>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277" w:hRule="atLeast"/>
        </w:trPr>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最终得分</w:t>
            </w:r>
          </w:p>
        </w:tc>
        <w:tc>
          <w:tcPr>
            <w:tcW w:w="7314" w:type="dxa"/>
            <w:gridSpan w:val="7"/>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tc>
      </w:tr>
      <w:tr>
        <w:tblPrEx>
          <w:shd w:val="clear" w:color="auto" w:fill="auto"/>
          <w:tblCellMar>
            <w:top w:w="0" w:type="dxa"/>
            <w:left w:w="108" w:type="dxa"/>
            <w:bottom w:w="0" w:type="dxa"/>
            <w:right w:w="108" w:type="dxa"/>
          </w:tblCellMar>
        </w:tblPrEx>
        <w:trPr>
          <w:trHeight w:val="277" w:hRule="atLeast"/>
        </w:trPr>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r>
              <w:rPr>
                <w:rFonts w:hint="eastAsia" w:ascii="微软雅黑" w:hAnsi="微软雅黑" w:eastAsia="微软雅黑" w:cs="微软雅黑"/>
                <w:bCs/>
                <w:kern w:val="0"/>
                <w:sz w:val="18"/>
                <w:szCs w:val="18"/>
                <w:highlight w:val="none"/>
              </w:rPr>
              <w:t>评价小组签字</w:t>
            </w:r>
          </w:p>
        </w:tc>
        <w:tc>
          <w:tcPr>
            <w:tcW w:w="7314" w:type="dxa"/>
            <w:gridSpan w:val="7"/>
            <w:tcBorders>
              <w:top w:val="single" w:color="auto" w:sz="4" w:space="0"/>
              <w:left w:val="nil"/>
              <w:bottom w:val="single" w:color="auto" w:sz="4" w:space="0"/>
              <w:right w:val="single" w:color="auto" w:sz="4" w:space="0"/>
            </w:tcBorders>
            <w:shd w:val="clear" w:color="auto" w:fill="auto"/>
            <w:vAlign w:val="center"/>
          </w:tcPr>
          <w:p>
            <w:pPr>
              <w:widowControl/>
              <w:rPr>
                <w:rFonts w:hint="eastAsia" w:ascii="微软雅黑" w:hAnsi="微软雅黑" w:eastAsia="微软雅黑" w:cs="微软雅黑"/>
                <w:bCs/>
                <w:kern w:val="0"/>
                <w:sz w:val="18"/>
                <w:szCs w:val="18"/>
                <w:highlight w:val="none"/>
              </w:rPr>
            </w:pPr>
          </w:p>
          <w:p>
            <w:pPr>
              <w:pStyle w:val="2"/>
              <w:rPr>
                <w:rFonts w:hint="eastAsia"/>
              </w:rPr>
            </w:pPr>
          </w:p>
        </w:tc>
      </w:tr>
    </w:tbl>
    <w:p>
      <w:pPr>
        <w:pStyle w:val="2"/>
        <w:spacing w:line="20" w:lineRule="exact"/>
        <w:rPr>
          <w:rFonts w:hint="eastAsia"/>
          <w:lang w:val="en-US" w:eastAsia="zh-CN"/>
        </w:rPr>
      </w:pPr>
    </w:p>
    <w:sectPr>
      <w:footerReference r:id="rId5" w:type="default"/>
      <w:pgSz w:w="11906" w:h="16838"/>
      <w:pgMar w:top="2098" w:right="1474" w:bottom="1984"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MathJax_Vector">
    <w:panose1 w:val="02000603000000000000"/>
    <w:charset w:val="00"/>
    <w:family w:val="auto"/>
    <w:pitch w:val="default"/>
    <w:sig w:usb0="00000001" w:usb1="0000002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DejaVu Math TeX Gyre">
    <w:panose1 w:val="02000503000000000000"/>
    <w:charset w:val="00"/>
    <w:family w:val="auto"/>
    <w:pitch w:val="default"/>
    <w:sig w:usb0="A10000EF" w:usb1="4201F9EE" w:usb2="02000000" w:usb3="00000000" w:csb0="60000193" w:csb1="0DD40000"/>
  </w:font>
  <w:font w:name="Microsoft Yahei">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jc w:val="center"/>
      <w:rPr>
        <w:rFonts w:eastAsia="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right"/>
      <w:rPr>
        <w:rFonts w:eastAsia="Times New Roma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F7ADF5"/>
    <w:multiLevelType w:val="singleLevel"/>
    <w:tmpl w:val="87F7ADF5"/>
    <w:lvl w:ilvl="0" w:tentative="0">
      <w:start w:val="1"/>
      <w:numFmt w:val="decimal"/>
      <w:suff w:val="nothing"/>
      <w:lvlText w:val="（%1）"/>
      <w:lvlJc w:val="left"/>
    </w:lvl>
  </w:abstractNum>
  <w:abstractNum w:abstractNumId="1">
    <w:nsid w:val="F9E7F8E5"/>
    <w:multiLevelType w:val="singleLevel"/>
    <w:tmpl w:val="F9E7F8E5"/>
    <w:lvl w:ilvl="0" w:tentative="0">
      <w:start w:val="1"/>
      <w:numFmt w:val="decimal"/>
      <w:suff w:val="nothing"/>
      <w:lvlText w:val="%1．"/>
      <w:lvlJc w:val="left"/>
      <w:pPr>
        <w:ind w:left="0" w:firstLine="400"/>
      </w:pPr>
      <w:rPr>
        <w:rFonts w:hint="default"/>
      </w:rPr>
    </w:lvl>
  </w:abstractNum>
  <w:abstractNum w:abstractNumId="2">
    <w:nsid w:val="FFFFFF89"/>
    <w:multiLevelType w:val="singleLevel"/>
    <w:tmpl w:val="FFFFFF89"/>
    <w:lvl w:ilvl="0" w:tentative="0">
      <w:start w:val="1"/>
      <w:numFmt w:val="bullet"/>
      <w:pStyle w:val="14"/>
      <w:lvlText w:val=""/>
      <w:lvlJc w:val="left"/>
      <w:pPr>
        <w:tabs>
          <w:tab w:val="left" w:pos="360"/>
        </w:tabs>
        <w:ind w:left="360" w:hanging="360" w:hangingChars="200"/>
      </w:pPr>
      <w:rPr>
        <w:rFonts w:hint="default" w:ascii="Wingdings" w:hAnsi="Wingdings"/>
      </w:rPr>
    </w:lvl>
  </w:abstractNum>
  <w:abstractNum w:abstractNumId="3">
    <w:nsid w:val="3279DAD9"/>
    <w:multiLevelType w:val="singleLevel"/>
    <w:tmpl w:val="3279DAD9"/>
    <w:lvl w:ilvl="0" w:tentative="0">
      <w:start w:val="1"/>
      <w:numFmt w:val="decimal"/>
      <w:suff w:val="nothing"/>
      <w:lvlText w:val="%1．"/>
      <w:lvlJc w:val="left"/>
      <w:pPr>
        <w:ind w:left="0" w:firstLine="400"/>
      </w:pPr>
      <w:rPr>
        <w:rFonts w:hint="default"/>
      </w:rPr>
    </w:lvl>
  </w:abstractNum>
  <w:abstractNum w:abstractNumId="4">
    <w:nsid w:val="3610BA23"/>
    <w:multiLevelType w:val="singleLevel"/>
    <w:tmpl w:val="3610BA23"/>
    <w:lvl w:ilvl="0" w:tentative="0">
      <w:start w:val="1"/>
      <w:numFmt w:val="decimal"/>
      <w:suff w:val="nothing"/>
      <w:lvlText w:val="%1．"/>
      <w:lvlJc w:val="left"/>
      <w:pPr>
        <w:ind w:left="0" w:firstLine="400"/>
      </w:pPr>
      <w:rPr>
        <w:rFonts w:hint="default"/>
      </w:rPr>
    </w:lvl>
  </w:abstractNum>
  <w:abstractNum w:abstractNumId="5">
    <w:nsid w:val="39436F00"/>
    <w:multiLevelType w:val="singleLevel"/>
    <w:tmpl w:val="39436F00"/>
    <w:lvl w:ilvl="0" w:tentative="0">
      <w:start w:val="1"/>
      <w:numFmt w:val="decimal"/>
      <w:suff w:val="nothing"/>
      <w:lvlText w:val="%1．"/>
      <w:lvlJc w:val="left"/>
      <w:pPr>
        <w:ind w:left="0" w:firstLine="400"/>
      </w:pPr>
      <w:rPr>
        <w:rFonts w:hint="default"/>
      </w:rPr>
    </w:lvl>
  </w:abstractNum>
  <w:abstractNum w:abstractNumId="6">
    <w:nsid w:val="5297878F"/>
    <w:multiLevelType w:val="singleLevel"/>
    <w:tmpl w:val="5297878F"/>
    <w:lvl w:ilvl="0" w:tentative="0">
      <w:start w:val="1"/>
      <w:numFmt w:val="decimal"/>
      <w:suff w:val="nothing"/>
      <w:lvlText w:val="%1．"/>
      <w:lvlJc w:val="left"/>
      <w:pPr>
        <w:ind w:left="0" w:firstLine="400"/>
      </w:pPr>
      <w:rPr>
        <w:rFonts w:hint="default"/>
      </w:rPr>
    </w:lvl>
  </w:abstractNum>
  <w:abstractNum w:abstractNumId="7">
    <w:nsid w:val="5FE1F45A"/>
    <w:multiLevelType w:val="singleLevel"/>
    <w:tmpl w:val="5FE1F45A"/>
    <w:lvl w:ilvl="0" w:tentative="0">
      <w:start w:val="1"/>
      <w:numFmt w:val="decimal"/>
      <w:suff w:val="nothing"/>
      <w:lvlText w:val="%1．"/>
      <w:lvlJc w:val="left"/>
      <w:pPr>
        <w:ind w:left="0" w:firstLine="400"/>
      </w:pPr>
      <w:rPr>
        <w:rFonts w:hint="default"/>
      </w:rPr>
    </w:lvl>
  </w:abstractNum>
  <w:abstractNum w:abstractNumId="8">
    <w:nsid w:val="6ACAED73"/>
    <w:multiLevelType w:val="singleLevel"/>
    <w:tmpl w:val="6ACAED73"/>
    <w:lvl w:ilvl="0" w:tentative="0">
      <w:start w:val="1"/>
      <w:numFmt w:val="decimal"/>
      <w:suff w:val="nothing"/>
      <w:lvlText w:val="%1．"/>
      <w:lvlJc w:val="left"/>
      <w:pPr>
        <w:ind w:left="0" w:firstLine="400"/>
      </w:pPr>
      <w:rPr>
        <w:rFonts w:hint="default"/>
      </w:rPr>
    </w:lvl>
  </w:abstractNum>
  <w:num w:numId="1">
    <w:abstractNumId w:val="2"/>
  </w:num>
  <w:num w:numId="2">
    <w:abstractNumId w:val="4"/>
  </w:num>
  <w:num w:numId="3">
    <w:abstractNumId w:val="6"/>
  </w:num>
  <w:num w:numId="4">
    <w:abstractNumId w:val="5"/>
  </w:num>
  <w:num w:numId="5">
    <w:abstractNumId w:val="0"/>
  </w:num>
  <w:num w:numId="6">
    <w:abstractNumId w:val="8"/>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isplayBackgroundShape w:val="1"/>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numRestart w:val="eachPage"/>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hMDc4YTdjYWI3ZWU2NjMzMDNiNDBhMTM5M2VhYTMifQ=="/>
  </w:docVars>
  <w:rsids>
    <w:rsidRoot w:val="0008209F"/>
    <w:rsid w:val="000118A6"/>
    <w:rsid w:val="0008209F"/>
    <w:rsid w:val="000C0E00"/>
    <w:rsid w:val="00142FB6"/>
    <w:rsid w:val="004929C4"/>
    <w:rsid w:val="00732E4C"/>
    <w:rsid w:val="00923B36"/>
    <w:rsid w:val="009B15B3"/>
    <w:rsid w:val="00C87320"/>
    <w:rsid w:val="00D05481"/>
    <w:rsid w:val="00DF3B89"/>
    <w:rsid w:val="00EC0DDB"/>
    <w:rsid w:val="00ED094B"/>
    <w:rsid w:val="00F320BD"/>
    <w:rsid w:val="04D70E27"/>
    <w:rsid w:val="07EE1DCC"/>
    <w:rsid w:val="099B78C3"/>
    <w:rsid w:val="09E00371"/>
    <w:rsid w:val="0A811314"/>
    <w:rsid w:val="0B854960"/>
    <w:rsid w:val="0DE56194"/>
    <w:rsid w:val="0EF7A00F"/>
    <w:rsid w:val="0EFD359E"/>
    <w:rsid w:val="0FBC76C1"/>
    <w:rsid w:val="11213B0D"/>
    <w:rsid w:val="12C42CF1"/>
    <w:rsid w:val="1B7F03DB"/>
    <w:rsid w:val="1BFB1F85"/>
    <w:rsid w:val="1E9DFC19"/>
    <w:rsid w:val="1EFFB702"/>
    <w:rsid w:val="1F1F884D"/>
    <w:rsid w:val="214C3BAE"/>
    <w:rsid w:val="26330C54"/>
    <w:rsid w:val="26437DD2"/>
    <w:rsid w:val="28C218E5"/>
    <w:rsid w:val="29D532D8"/>
    <w:rsid w:val="2A590E5B"/>
    <w:rsid w:val="2BF67DEC"/>
    <w:rsid w:val="2C4116C8"/>
    <w:rsid w:val="2D3C366E"/>
    <w:rsid w:val="2ED47B5B"/>
    <w:rsid w:val="2EFD6617"/>
    <w:rsid w:val="2F9BB846"/>
    <w:rsid w:val="2FDF8296"/>
    <w:rsid w:val="2FF9B747"/>
    <w:rsid w:val="309560A5"/>
    <w:rsid w:val="31770EA6"/>
    <w:rsid w:val="32C93F5D"/>
    <w:rsid w:val="335F562F"/>
    <w:rsid w:val="358A36F9"/>
    <w:rsid w:val="37FAAC25"/>
    <w:rsid w:val="382E309D"/>
    <w:rsid w:val="386AE916"/>
    <w:rsid w:val="38BA058A"/>
    <w:rsid w:val="39AFDDB4"/>
    <w:rsid w:val="3B3B265E"/>
    <w:rsid w:val="3BA65BED"/>
    <w:rsid w:val="3DF7EF74"/>
    <w:rsid w:val="3DFDC8DB"/>
    <w:rsid w:val="3DFF9C63"/>
    <w:rsid w:val="3F7F1AD4"/>
    <w:rsid w:val="40077F02"/>
    <w:rsid w:val="427A19F1"/>
    <w:rsid w:val="43337200"/>
    <w:rsid w:val="43933000"/>
    <w:rsid w:val="447552B1"/>
    <w:rsid w:val="46E13A45"/>
    <w:rsid w:val="472F44AE"/>
    <w:rsid w:val="47C307BC"/>
    <w:rsid w:val="47E78479"/>
    <w:rsid w:val="48D12782"/>
    <w:rsid w:val="4950414B"/>
    <w:rsid w:val="4CEF0258"/>
    <w:rsid w:val="4DD761AE"/>
    <w:rsid w:val="4E485577"/>
    <w:rsid w:val="4EA6A6BD"/>
    <w:rsid w:val="4EFE1345"/>
    <w:rsid w:val="4FFF0645"/>
    <w:rsid w:val="52624161"/>
    <w:rsid w:val="52D7EB02"/>
    <w:rsid w:val="53FBB033"/>
    <w:rsid w:val="540A42E9"/>
    <w:rsid w:val="57CF5B0D"/>
    <w:rsid w:val="585CD0DE"/>
    <w:rsid w:val="58FDBFE9"/>
    <w:rsid w:val="5B3F661A"/>
    <w:rsid w:val="5BEE5D6D"/>
    <w:rsid w:val="5D3F4B9B"/>
    <w:rsid w:val="5DBD2AE8"/>
    <w:rsid w:val="5DBFF4E6"/>
    <w:rsid w:val="5E1F7056"/>
    <w:rsid w:val="5F397667"/>
    <w:rsid w:val="5F78E8C3"/>
    <w:rsid w:val="5FDFB339"/>
    <w:rsid w:val="5FDFF17B"/>
    <w:rsid w:val="61A36B4E"/>
    <w:rsid w:val="62991233"/>
    <w:rsid w:val="63BD4438"/>
    <w:rsid w:val="66F72D07"/>
    <w:rsid w:val="67D7CF60"/>
    <w:rsid w:val="67E77703"/>
    <w:rsid w:val="67EEA5FB"/>
    <w:rsid w:val="699FF9A6"/>
    <w:rsid w:val="6ACE0AEB"/>
    <w:rsid w:val="6BF9BAEB"/>
    <w:rsid w:val="6C7FEB72"/>
    <w:rsid w:val="6CFF6857"/>
    <w:rsid w:val="6DAB6F06"/>
    <w:rsid w:val="6DF81D94"/>
    <w:rsid w:val="6E0A0303"/>
    <w:rsid w:val="6E1E4CD2"/>
    <w:rsid w:val="6EA25C4F"/>
    <w:rsid w:val="6ED75771"/>
    <w:rsid w:val="6F47A7B7"/>
    <w:rsid w:val="6F6B8E65"/>
    <w:rsid w:val="6FBB47FA"/>
    <w:rsid w:val="6FD6D441"/>
    <w:rsid w:val="6FF9D65C"/>
    <w:rsid w:val="70AE3E38"/>
    <w:rsid w:val="71C34D91"/>
    <w:rsid w:val="71F57226"/>
    <w:rsid w:val="737BCCF5"/>
    <w:rsid w:val="73F93C24"/>
    <w:rsid w:val="73FC71AB"/>
    <w:rsid w:val="74BFE926"/>
    <w:rsid w:val="752BB0FD"/>
    <w:rsid w:val="7533CC67"/>
    <w:rsid w:val="762A7AD4"/>
    <w:rsid w:val="7707324F"/>
    <w:rsid w:val="77675B54"/>
    <w:rsid w:val="777D8DC5"/>
    <w:rsid w:val="77CFFF78"/>
    <w:rsid w:val="77EBA796"/>
    <w:rsid w:val="77EFC980"/>
    <w:rsid w:val="787FD4D0"/>
    <w:rsid w:val="79FDAAE4"/>
    <w:rsid w:val="7B5580D6"/>
    <w:rsid w:val="7BDF41E1"/>
    <w:rsid w:val="7BDF554E"/>
    <w:rsid w:val="7BEFA678"/>
    <w:rsid w:val="7CDF4CA6"/>
    <w:rsid w:val="7DBFB40B"/>
    <w:rsid w:val="7DBFD6FF"/>
    <w:rsid w:val="7DCFE803"/>
    <w:rsid w:val="7DEDF52D"/>
    <w:rsid w:val="7DEF27D9"/>
    <w:rsid w:val="7DF1E024"/>
    <w:rsid w:val="7DF704BC"/>
    <w:rsid w:val="7DFB6A24"/>
    <w:rsid w:val="7DFD1E73"/>
    <w:rsid w:val="7DFF6B39"/>
    <w:rsid w:val="7E7FDFB8"/>
    <w:rsid w:val="7ED38A72"/>
    <w:rsid w:val="7EDFB75B"/>
    <w:rsid w:val="7EFF3D94"/>
    <w:rsid w:val="7EFFEE00"/>
    <w:rsid w:val="7F5D7A65"/>
    <w:rsid w:val="7F78A3DC"/>
    <w:rsid w:val="7F9F0455"/>
    <w:rsid w:val="7FAFA646"/>
    <w:rsid w:val="7FBE7B29"/>
    <w:rsid w:val="7FBF2A00"/>
    <w:rsid w:val="7FBF6529"/>
    <w:rsid w:val="7FD35827"/>
    <w:rsid w:val="7FD5899A"/>
    <w:rsid w:val="7FE5A9E6"/>
    <w:rsid w:val="7FF7C00E"/>
    <w:rsid w:val="7FFDA12A"/>
    <w:rsid w:val="7FFF4B67"/>
    <w:rsid w:val="83612EED"/>
    <w:rsid w:val="86AFEE68"/>
    <w:rsid w:val="8F1A0903"/>
    <w:rsid w:val="8FBF3DB7"/>
    <w:rsid w:val="9B7B0A80"/>
    <w:rsid w:val="9DDF7D69"/>
    <w:rsid w:val="9FD708F4"/>
    <w:rsid w:val="AF7E5D60"/>
    <w:rsid w:val="AFE259CA"/>
    <w:rsid w:val="AFFB7D4D"/>
    <w:rsid w:val="AFFFE830"/>
    <w:rsid w:val="B1F9C0D3"/>
    <w:rsid w:val="B7753655"/>
    <w:rsid w:val="B7F7C47C"/>
    <w:rsid w:val="BB6B6DEF"/>
    <w:rsid w:val="BBB7C139"/>
    <w:rsid w:val="BDBF1E1A"/>
    <w:rsid w:val="BDFD33AC"/>
    <w:rsid w:val="BDFFF627"/>
    <w:rsid w:val="BEC26537"/>
    <w:rsid w:val="BF1B4D44"/>
    <w:rsid w:val="BFDE3F3B"/>
    <w:rsid w:val="BFDFA94A"/>
    <w:rsid w:val="C2F76C2B"/>
    <w:rsid w:val="C7FCF969"/>
    <w:rsid w:val="CEC93CFD"/>
    <w:rsid w:val="CEFBDBA3"/>
    <w:rsid w:val="CFFB4728"/>
    <w:rsid w:val="CFFFC680"/>
    <w:rsid w:val="D7AFE649"/>
    <w:rsid w:val="D9FB7551"/>
    <w:rsid w:val="DC6F85B5"/>
    <w:rsid w:val="DCFF6E5B"/>
    <w:rsid w:val="DE1CA1B0"/>
    <w:rsid w:val="DEFBFA8B"/>
    <w:rsid w:val="DF7B61B9"/>
    <w:rsid w:val="DFB77B8D"/>
    <w:rsid w:val="DFBF2EF9"/>
    <w:rsid w:val="DFE6272D"/>
    <w:rsid w:val="E1597745"/>
    <w:rsid w:val="E28B0B24"/>
    <w:rsid w:val="E6EF0450"/>
    <w:rsid w:val="EBA9A8C3"/>
    <w:rsid w:val="EBEF1D27"/>
    <w:rsid w:val="EBFBD657"/>
    <w:rsid w:val="ED9F78E2"/>
    <w:rsid w:val="EEEB878E"/>
    <w:rsid w:val="EFA88DCF"/>
    <w:rsid w:val="F1FDAF1E"/>
    <w:rsid w:val="F2C72293"/>
    <w:rsid w:val="F365D373"/>
    <w:rsid w:val="F5EE2E24"/>
    <w:rsid w:val="F66F1937"/>
    <w:rsid w:val="F6F500C8"/>
    <w:rsid w:val="F7A6DCE6"/>
    <w:rsid w:val="F7CF9DE4"/>
    <w:rsid w:val="F7DE4405"/>
    <w:rsid w:val="F7DFF4B0"/>
    <w:rsid w:val="F7F1E295"/>
    <w:rsid w:val="F8FF5F63"/>
    <w:rsid w:val="FB4E48D3"/>
    <w:rsid w:val="FB729153"/>
    <w:rsid w:val="FCBF48F4"/>
    <w:rsid w:val="FCCE94F7"/>
    <w:rsid w:val="FD3599AD"/>
    <w:rsid w:val="FD4FA053"/>
    <w:rsid w:val="FD76AF44"/>
    <w:rsid w:val="FEF88860"/>
    <w:rsid w:val="FEFF883A"/>
    <w:rsid w:val="FF7F43E3"/>
    <w:rsid w:val="FF7F6A8D"/>
    <w:rsid w:val="FFA82016"/>
    <w:rsid w:val="FFDDA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5">
    <w:name w:val="heading 2"/>
    <w:basedOn w:val="1"/>
    <w:next w:val="6"/>
    <w:link w:val="37"/>
    <w:qFormat/>
    <w:uiPriority w:val="0"/>
    <w:pPr>
      <w:keepNext/>
      <w:keepLines/>
      <w:spacing w:before="260" w:after="260" w:line="416" w:lineRule="auto"/>
      <w:outlineLvl w:val="1"/>
    </w:pPr>
    <w:rPr>
      <w:rFonts w:ascii="Arial" w:hAnsi="Arial" w:eastAsia="黑体" w:cs="Times New Roman"/>
      <w:b/>
      <w:bCs/>
      <w:sz w:val="32"/>
      <w:szCs w:val="32"/>
    </w:rPr>
  </w:style>
  <w:style w:type="paragraph" w:styleId="7">
    <w:name w:val="heading 3"/>
    <w:basedOn w:val="1"/>
    <w:next w:val="1"/>
    <w:link w:val="46"/>
    <w:semiHidden/>
    <w:unhideWhenUsed/>
    <w:qFormat/>
    <w:uiPriority w:val="0"/>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8">
    <w:name w:val="heading 4"/>
    <w:basedOn w:val="1"/>
    <w:next w:val="1"/>
    <w:link w:val="47"/>
    <w:semiHidden/>
    <w:unhideWhenUsed/>
    <w:qFormat/>
    <w:uiPriority w:val="0"/>
    <w:pPr>
      <w:keepNext/>
      <w:keepLines/>
      <w:spacing w:before="80" w:after="40"/>
      <w:outlineLvl w:val="3"/>
    </w:pPr>
    <w:rPr>
      <w:rFonts w:cstheme="majorBidi"/>
      <w:color w:val="2F5597" w:themeColor="accent1" w:themeShade="BF"/>
      <w:sz w:val="28"/>
      <w:szCs w:val="28"/>
    </w:rPr>
  </w:style>
  <w:style w:type="paragraph" w:styleId="9">
    <w:name w:val="heading 5"/>
    <w:basedOn w:val="1"/>
    <w:next w:val="1"/>
    <w:link w:val="48"/>
    <w:semiHidden/>
    <w:unhideWhenUsed/>
    <w:qFormat/>
    <w:uiPriority w:val="0"/>
    <w:pPr>
      <w:keepNext/>
      <w:keepLines/>
      <w:spacing w:before="80" w:after="40"/>
      <w:outlineLvl w:val="4"/>
    </w:pPr>
    <w:rPr>
      <w:rFonts w:cstheme="majorBidi"/>
      <w:color w:val="2F5597" w:themeColor="accent1" w:themeShade="BF"/>
      <w:sz w:val="24"/>
    </w:rPr>
  </w:style>
  <w:style w:type="paragraph" w:styleId="10">
    <w:name w:val="heading 6"/>
    <w:basedOn w:val="1"/>
    <w:next w:val="1"/>
    <w:link w:val="49"/>
    <w:semiHidden/>
    <w:unhideWhenUsed/>
    <w:qFormat/>
    <w:uiPriority w:val="0"/>
    <w:pPr>
      <w:keepNext/>
      <w:keepLines/>
      <w:spacing w:before="40"/>
      <w:outlineLvl w:val="5"/>
    </w:pPr>
    <w:rPr>
      <w:rFonts w:cstheme="majorBidi"/>
      <w:b/>
      <w:bCs/>
      <w:color w:val="2F5597" w:themeColor="accent1" w:themeShade="BF"/>
    </w:rPr>
  </w:style>
  <w:style w:type="paragraph" w:styleId="11">
    <w:name w:val="heading 7"/>
    <w:basedOn w:val="1"/>
    <w:next w:val="1"/>
    <w:link w:val="50"/>
    <w:semiHidden/>
    <w:unhideWhenUsed/>
    <w:qFormat/>
    <w:uiPriority w:val="0"/>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2">
    <w:name w:val="heading 8"/>
    <w:basedOn w:val="1"/>
    <w:next w:val="1"/>
    <w:link w:val="51"/>
    <w:semiHidden/>
    <w:unhideWhenUsed/>
    <w:qFormat/>
    <w:uiPriority w:val="0"/>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3">
    <w:name w:val="heading 9"/>
    <w:basedOn w:val="1"/>
    <w:next w:val="1"/>
    <w:link w:val="52"/>
    <w:semiHidden/>
    <w:unhideWhenUsed/>
    <w:qFormat/>
    <w:uiPriority w:val="0"/>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8">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unhideWhenUsed/>
    <w:qFormat/>
    <w:uiPriority w:val="99"/>
    <w:rPr>
      <w:rFonts w:ascii="宋体" w:cs="Courier New"/>
      <w:szCs w:val="21"/>
    </w:rPr>
  </w:style>
  <w:style w:type="paragraph" w:styleId="3">
    <w:name w:val="index 8"/>
    <w:basedOn w:val="1"/>
    <w:next w:val="1"/>
    <w:qFormat/>
    <w:uiPriority w:val="0"/>
    <w:pPr>
      <w:ind w:left="1400" w:leftChars="1400"/>
    </w:pPr>
  </w:style>
  <w:style w:type="paragraph" w:styleId="6">
    <w:name w:val="Normal Indent"/>
    <w:basedOn w:val="1"/>
    <w:qFormat/>
    <w:uiPriority w:val="0"/>
    <w:pPr>
      <w:ind w:firstLine="420" w:firstLineChars="200"/>
    </w:pPr>
  </w:style>
  <w:style w:type="paragraph" w:styleId="14">
    <w:name w:val="List Bullet"/>
    <w:basedOn w:val="1"/>
    <w:qFormat/>
    <w:uiPriority w:val="0"/>
    <w:pPr>
      <w:numPr>
        <w:ilvl w:val="0"/>
        <w:numId w:val="1"/>
      </w:numPr>
      <w:contextualSpacing/>
    </w:pPr>
  </w:style>
  <w:style w:type="paragraph" w:styleId="15">
    <w:name w:val="annotation text"/>
    <w:basedOn w:val="1"/>
    <w:semiHidden/>
    <w:unhideWhenUsed/>
    <w:qFormat/>
    <w:uiPriority w:val="99"/>
    <w:pPr>
      <w:jc w:val="left"/>
    </w:pPr>
  </w:style>
  <w:style w:type="paragraph" w:styleId="16">
    <w:name w:val="Salutation"/>
    <w:basedOn w:val="1"/>
    <w:next w:val="1"/>
    <w:link w:val="42"/>
    <w:qFormat/>
    <w:uiPriority w:val="0"/>
    <w:rPr>
      <w:rFonts w:ascii="仿宋" w:hAnsi="仿宋" w:eastAsia="仿宋" w:cs="Times New Roman"/>
      <w:sz w:val="32"/>
    </w:rPr>
  </w:style>
  <w:style w:type="paragraph" w:styleId="17">
    <w:name w:val="Body Text"/>
    <w:basedOn w:val="1"/>
    <w:link w:val="41"/>
    <w:qFormat/>
    <w:uiPriority w:val="0"/>
    <w:pPr>
      <w:widowControl/>
      <w:jc w:val="left"/>
    </w:pPr>
    <w:rPr>
      <w:w w:val="90"/>
    </w:rPr>
  </w:style>
  <w:style w:type="paragraph" w:styleId="18">
    <w:name w:val="Balloon Text"/>
    <w:basedOn w:val="1"/>
    <w:link w:val="44"/>
    <w:qFormat/>
    <w:uiPriority w:val="0"/>
    <w:rPr>
      <w:sz w:val="18"/>
      <w:szCs w:val="18"/>
    </w:rPr>
  </w:style>
  <w:style w:type="paragraph" w:styleId="19">
    <w:name w:val="footer"/>
    <w:basedOn w:val="1"/>
    <w:link w:val="40"/>
    <w:qFormat/>
    <w:uiPriority w:val="99"/>
    <w:pPr>
      <w:tabs>
        <w:tab w:val="center" w:pos="4153"/>
        <w:tab w:val="right" w:pos="8306"/>
      </w:tabs>
      <w:snapToGrid w:val="0"/>
      <w:jc w:val="left"/>
    </w:pPr>
    <w:rPr>
      <w:sz w:val="18"/>
      <w:szCs w:val="18"/>
    </w:rPr>
  </w:style>
  <w:style w:type="paragraph" w:styleId="20">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1">
    <w:name w:val="Subtitle"/>
    <w:basedOn w:val="1"/>
    <w:next w:val="1"/>
    <w:link w:val="54"/>
    <w:qFormat/>
    <w:uiPriority w:val="0"/>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2">
    <w:name w:val="footnote text"/>
    <w:basedOn w:val="1"/>
    <w:link w:val="38"/>
    <w:qFormat/>
    <w:uiPriority w:val="0"/>
    <w:pPr>
      <w:snapToGrid w:val="0"/>
      <w:jc w:val="left"/>
    </w:pPr>
    <w:rPr>
      <w:sz w:val="18"/>
      <w:szCs w:val="18"/>
    </w:rPr>
  </w:style>
  <w:style w:type="paragraph" w:styleId="23">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24">
    <w:name w:val="Normal (Web)"/>
    <w:basedOn w:val="1"/>
    <w:unhideWhenUsed/>
    <w:qFormat/>
    <w:uiPriority w:val="99"/>
    <w:pPr>
      <w:widowControl/>
      <w:spacing w:before="100" w:beforeAutospacing="1" w:after="100" w:afterAutospacing="1"/>
      <w:jc w:val="left"/>
    </w:pPr>
    <w:rPr>
      <w:rFonts w:ascii="Times New Roman" w:hAnsi="Times New Roman" w:eastAsia="宋体" w:cs="Times New Roman"/>
      <w:kern w:val="0"/>
      <w:sz w:val="24"/>
    </w:rPr>
  </w:style>
  <w:style w:type="paragraph" w:styleId="25">
    <w:name w:val="Title"/>
    <w:basedOn w:val="1"/>
    <w:next w:val="1"/>
    <w:link w:val="53"/>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26">
    <w:name w:val="Body Text First Indent"/>
    <w:basedOn w:val="17"/>
    <w:link w:val="43"/>
    <w:qFormat/>
    <w:uiPriority w:val="0"/>
    <w:pPr>
      <w:ind w:firstLine="420" w:firstLineChars="100"/>
    </w:pPr>
  </w:style>
  <w:style w:type="character" w:styleId="29">
    <w:name w:val="Strong"/>
    <w:basedOn w:val="28"/>
    <w:qFormat/>
    <w:uiPriority w:val="22"/>
    <w:rPr>
      <w:b/>
      <w:bCs/>
    </w:rPr>
  </w:style>
  <w:style w:type="character" w:styleId="30">
    <w:name w:val="Emphasis"/>
    <w:basedOn w:val="28"/>
    <w:qFormat/>
    <w:uiPriority w:val="0"/>
    <w:rPr>
      <w:i/>
    </w:rPr>
  </w:style>
  <w:style w:type="character" w:styleId="31">
    <w:name w:val="Hyperlink"/>
    <w:basedOn w:val="28"/>
    <w:qFormat/>
    <w:uiPriority w:val="0"/>
    <w:rPr>
      <w:color w:val="0000FF"/>
      <w:u w:val="single"/>
    </w:rPr>
  </w:style>
  <w:style w:type="character" w:styleId="32">
    <w:name w:val="footnote reference"/>
    <w:qFormat/>
    <w:uiPriority w:val="0"/>
    <w:rPr>
      <w:vertAlign w:val="superscript"/>
    </w:rPr>
  </w:style>
  <w:style w:type="character" w:customStyle="1" w:styleId="33">
    <w:name w:val="称呼 Char1"/>
    <w:basedOn w:val="28"/>
    <w:qFormat/>
    <w:uiPriority w:val="0"/>
    <w:rPr>
      <w:rFonts w:asciiTheme="minorHAnsi" w:hAnsiTheme="minorHAnsi" w:eastAsiaTheme="minorEastAsia" w:cstheme="minorBidi"/>
      <w:kern w:val="2"/>
      <w:sz w:val="21"/>
      <w:szCs w:val="24"/>
    </w:rPr>
  </w:style>
  <w:style w:type="paragraph" w:customStyle="1" w:styleId="34">
    <w:name w:val="常用正文"/>
    <w:basedOn w:val="1"/>
    <w:qFormat/>
    <w:uiPriority w:val="0"/>
    <w:pPr>
      <w:spacing w:line="360" w:lineRule="auto"/>
    </w:pPr>
    <w:rPr>
      <w:rFonts w:ascii="Times New Roman" w:hAnsi="Times New Roman" w:eastAsia="宋体"/>
      <w:sz w:val="24"/>
    </w:rPr>
  </w:style>
  <w:style w:type="paragraph" w:customStyle="1" w:styleId="35">
    <w:name w:val="页脚1"/>
    <w:basedOn w:val="1"/>
    <w:qFormat/>
    <w:uiPriority w:val="0"/>
    <w:pPr>
      <w:tabs>
        <w:tab w:val="center" w:pos="4153"/>
        <w:tab w:val="right" w:pos="8306"/>
      </w:tabs>
      <w:snapToGrid w:val="0"/>
      <w:jc w:val="left"/>
    </w:pPr>
    <w:rPr>
      <w:rFonts w:ascii="Times New Roman" w:hAnsi="Times New Roman" w:eastAsia="宋体"/>
      <w:sz w:val="18"/>
      <w:szCs w:val="18"/>
    </w:rPr>
  </w:style>
  <w:style w:type="character" w:customStyle="1" w:styleId="36">
    <w:name w:val="标题 1 字符"/>
    <w:basedOn w:val="28"/>
    <w:link w:val="4"/>
    <w:qFormat/>
    <w:uiPriority w:val="0"/>
    <w:rPr>
      <w:rFonts w:asciiTheme="minorHAnsi" w:hAnsiTheme="minorHAnsi" w:eastAsiaTheme="minorEastAsia" w:cstheme="minorBidi"/>
      <w:b/>
      <w:bCs/>
      <w:kern w:val="44"/>
      <w:sz w:val="44"/>
      <w:szCs w:val="44"/>
    </w:rPr>
  </w:style>
  <w:style w:type="character" w:customStyle="1" w:styleId="37">
    <w:name w:val="标题 2 字符"/>
    <w:basedOn w:val="28"/>
    <w:link w:val="5"/>
    <w:qFormat/>
    <w:uiPriority w:val="0"/>
    <w:rPr>
      <w:rFonts w:ascii="Arial" w:hAnsi="Arial" w:eastAsia="黑体"/>
      <w:b/>
      <w:bCs/>
      <w:kern w:val="2"/>
      <w:sz w:val="32"/>
      <w:szCs w:val="32"/>
    </w:rPr>
  </w:style>
  <w:style w:type="character" w:customStyle="1" w:styleId="38">
    <w:name w:val="脚注文本 字符"/>
    <w:basedOn w:val="28"/>
    <w:link w:val="22"/>
    <w:qFormat/>
    <w:uiPriority w:val="0"/>
    <w:rPr>
      <w:rFonts w:asciiTheme="minorHAnsi" w:hAnsiTheme="minorHAnsi" w:eastAsiaTheme="minorEastAsia" w:cstheme="minorBidi"/>
      <w:kern w:val="2"/>
      <w:sz w:val="18"/>
      <w:szCs w:val="18"/>
    </w:rPr>
  </w:style>
  <w:style w:type="character" w:customStyle="1" w:styleId="39">
    <w:name w:val="页眉 字符"/>
    <w:basedOn w:val="28"/>
    <w:link w:val="20"/>
    <w:qFormat/>
    <w:uiPriority w:val="0"/>
    <w:rPr>
      <w:rFonts w:asciiTheme="minorHAnsi" w:hAnsiTheme="minorHAnsi" w:eastAsiaTheme="minorEastAsia" w:cstheme="minorBidi"/>
      <w:kern w:val="2"/>
      <w:sz w:val="18"/>
      <w:szCs w:val="18"/>
    </w:rPr>
  </w:style>
  <w:style w:type="character" w:customStyle="1" w:styleId="40">
    <w:name w:val="页脚 字符"/>
    <w:basedOn w:val="28"/>
    <w:link w:val="19"/>
    <w:qFormat/>
    <w:uiPriority w:val="99"/>
    <w:rPr>
      <w:rFonts w:asciiTheme="minorHAnsi" w:hAnsiTheme="minorHAnsi" w:eastAsiaTheme="minorEastAsia" w:cstheme="minorBidi"/>
      <w:kern w:val="2"/>
      <w:sz w:val="18"/>
      <w:szCs w:val="18"/>
    </w:rPr>
  </w:style>
  <w:style w:type="character" w:customStyle="1" w:styleId="41">
    <w:name w:val="正文文本 字符"/>
    <w:basedOn w:val="28"/>
    <w:link w:val="17"/>
    <w:qFormat/>
    <w:uiPriority w:val="0"/>
    <w:rPr>
      <w:rFonts w:asciiTheme="minorHAnsi" w:hAnsiTheme="minorHAnsi" w:eastAsiaTheme="minorEastAsia" w:cstheme="minorBidi"/>
      <w:w w:val="90"/>
      <w:kern w:val="2"/>
      <w:sz w:val="21"/>
      <w:szCs w:val="24"/>
    </w:rPr>
  </w:style>
  <w:style w:type="character" w:customStyle="1" w:styleId="42">
    <w:name w:val="称呼 字符"/>
    <w:link w:val="16"/>
    <w:qFormat/>
    <w:uiPriority w:val="0"/>
    <w:rPr>
      <w:rFonts w:ascii="仿宋" w:hAnsi="仿宋" w:eastAsia="仿宋"/>
      <w:kern w:val="2"/>
      <w:sz w:val="32"/>
      <w:szCs w:val="24"/>
    </w:rPr>
  </w:style>
  <w:style w:type="character" w:customStyle="1" w:styleId="43">
    <w:name w:val="正文文本首行缩进 字符"/>
    <w:basedOn w:val="41"/>
    <w:link w:val="26"/>
    <w:qFormat/>
    <w:uiPriority w:val="0"/>
    <w:rPr>
      <w:rFonts w:asciiTheme="minorHAnsi" w:hAnsiTheme="minorHAnsi" w:eastAsiaTheme="minorEastAsia" w:cstheme="minorBidi"/>
      <w:w w:val="90"/>
      <w:kern w:val="2"/>
      <w:sz w:val="21"/>
      <w:szCs w:val="24"/>
    </w:rPr>
  </w:style>
  <w:style w:type="character" w:customStyle="1" w:styleId="44">
    <w:name w:val="批注框文本 字符"/>
    <w:basedOn w:val="28"/>
    <w:link w:val="18"/>
    <w:qFormat/>
    <w:uiPriority w:val="0"/>
    <w:rPr>
      <w:rFonts w:asciiTheme="minorHAnsi" w:hAnsiTheme="minorHAnsi" w:eastAsiaTheme="minorEastAsia" w:cstheme="minorBidi"/>
      <w:kern w:val="2"/>
      <w:sz w:val="18"/>
      <w:szCs w:val="18"/>
    </w:rPr>
  </w:style>
  <w:style w:type="paragraph" w:styleId="45">
    <w:name w:val="List Paragraph"/>
    <w:basedOn w:val="1"/>
    <w:qFormat/>
    <w:uiPriority w:val="99"/>
    <w:pPr>
      <w:ind w:firstLine="420" w:firstLineChars="200"/>
    </w:pPr>
  </w:style>
  <w:style w:type="character" w:customStyle="1" w:styleId="46">
    <w:name w:val="标题 3 字符"/>
    <w:basedOn w:val="28"/>
    <w:link w:val="7"/>
    <w:semiHidden/>
    <w:qFormat/>
    <w:uiPriority w:val="0"/>
    <w:rPr>
      <w:rFonts w:asciiTheme="majorHAnsi" w:hAnsiTheme="majorHAnsi" w:eastAsiaTheme="majorEastAsia" w:cstheme="majorBidi"/>
      <w:color w:val="2F5597" w:themeColor="accent1" w:themeShade="BF"/>
      <w:kern w:val="2"/>
      <w:sz w:val="32"/>
      <w:szCs w:val="32"/>
    </w:rPr>
  </w:style>
  <w:style w:type="character" w:customStyle="1" w:styleId="47">
    <w:name w:val="标题 4 字符"/>
    <w:basedOn w:val="28"/>
    <w:link w:val="8"/>
    <w:semiHidden/>
    <w:qFormat/>
    <w:uiPriority w:val="0"/>
    <w:rPr>
      <w:rFonts w:asciiTheme="minorHAnsi" w:hAnsiTheme="minorHAnsi" w:eastAsiaTheme="minorEastAsia" w:cstheme="majorBidi"/>
      <w:color w:val="2F5597" w:themeColor="accent1" w:themeShade="BF"/>
      <w:kern w:val="2"/>
      <w:sz w:val="28"/>
      <w:szCs w:val="28"/>
    </w:rPr>
  </w:style>
  <w:style w:type="character" w:customStyle="1" w:styleId="48">
    <w:name w:val="标题 5 字符"/>
    <w:basedOn w:val="28"/>
    <w:link w:val="9"/>
    <w:semiHidden/>
    <w:qFormat/>
    <w:uiPriority w:val="0"/>
    <w:rPr>
      <w:rFonts w:asciiTheme="minorHAnsi" w:hAnsiTheme="minorHAnsi" w:eastAsiaTheme="minorEastAsia" w:cstheme="majorBidi"/>
      <w:color w:val="2F5597" w:themeColor="accent1" w:themeShade="BF"/>
      <w:kern w:val="2"/>
      <w:sz w:val="24"/>
      <w:szCs w:val="24"/>
    </w:rPr>
  </w:style>
  <w:style w:type="character" w:customStyle="1" w:styleId="49">
    <w:name w:val="标题 6 字符"/>
    <w:basedOn w:val="28"/>
    <w:link w:val="10"/>
    <w:semiHidden/>
    <w:qFormat/>
    <w:uiPriority w:val="0"/>
    <w:rPr>
      <w:rFonts w:asciiTheme="minorHAnsi" w:hAnsiTheme="minorHAnsi" w:eastAsiaTheme="minorEastAsia" w:cstheme="majorBidi"/>
      <w:b/>
      <w:bCs/>
      <w:color w:val="2F5597" w:themeColor="accent1" w:themeShade="BF"/>
      <w:kern w:val="2"/>
      <w:sz w:val="21"/>
      <w:szCs w:val="24"/>
    </w:rPr>
  </w:style>
  <w:style w:type="character" w:customStyle="1" w:styleId="50">
    <w:name w:val="标题 7 字符"/>
    <w:basedOn w:val="28"/>
    <w:link w:val="11"/>
    <w:semiHidden/>
    <w:qFormat/>
    <w:uiPriority w:val="0"/>
    <w:rPr>
      <w:rFonts w:asciiTheme="minorHAnsi" w:hAnsiTheme="minorHAnsi" w:eastAsiaTheme="minorEastAsia" w:cstheme="majorBidi"/>
      <w:b/>
      <w:bCs/>
      <w:color w:val="595959" w:themeColor="text1" w:themeTint="A6"/>
      <w:kern w:val="2"/>
      <w:sz w:val="21"/>
      <w:szCs w:val="24"/>
      <w14:textFill>
        <w14:solidFill>
          <w14:schemeClr w14:val="tx1">
            <w14:lumMod w14:val="65000"/>
            <w14:lumOff w14:val="35000"/>
          </w14:schemeClr>
        </w14:solidFill>
      </w14:textFill>
    </w:rPr>
  </w:style>
  <w:style w:type="character" w:customStyle="1" w:styleId="51">
    <w:name w:val="标题 8 字符"/>
    <w:basedOn w:val="28"/>
    <w:link w:val="12"/>
    <w:semiHidden/>
    <w:qFormat/>
    <w:uiPriority w:val="0"/>
    <w:rPr>
      <w:rFonts w:asciiTheme="minorHAnsi" w:hAnsiTheme="minorHAnsi" w:eastAsiaTheme="minorEastAsia" w:cstheme="majorBidi"/>
      <w:color w:val="595959" w:themeColor="text1" w:themeTint="A6"/>
      <w:kern w:val="2"/>
      <w:sz w:val="21"/>
      <w:szCs w:val="24"/>
      <w14:textFill>
        <w14:solidFill>
          <w14:schemeClr w14:val="tx1">
            <w14:lumMod w14:val="65000"/>
            <w14:lumOff w14:val="35000"/>
          </w14:schemeClr>
        </w14:solidFill>
      </w14:textFill>
    </w:rPr>
  </w:style>
  <w:style w:type="character" w:customStyle="1" w:styleId="52">
    <w:name w:val="标题 9 字符"/>
    <w:basedOn w:val="28"/>
    <w:link w:val="13"/>
    <w:semiHidden/>
    <w:qFormat/>
    <w:uiPriority w:val="0"/>
    <w:rPr>
      <w:rFonts w:asciiTheme="minorHAnsi" w:hAnsiTheme="minorHAnsi" w:eastAsiaTheme="majorEastAsia" w:cstheme="majorBidi"/>
      <w:color w:val="595959" w:themeColor="text1" w:themeTint="A6"/>
      <w:kern w:val="2"/>
      <w:sz w:val="21"/>
      <w:szCs w:val="24"/>
      <w14:textFill>
        <w14:solidFill>
          <w14:schemeClr w14:val="tx1">
            <w14:lumMod w14:val="65000"/>
            <w14:lumOff w14:val="35000"/>
          </w14:schemeClr>
        </w14:solidFill>
      </w14:textFill>
    </w:rPr>
  </w:style>
  <w:style w:type="character" w:customStyle="1" w:styleId="53">
    <w:name w:val="标题 字符"/>
    <w:basedOn w:val="28"/>
    <w:link w:val="25"/>
    <w:qFormat/>
    <w:uiPriority w:val="0"/>
    <w:rPr>
      <w:rFonts w:asciiTheme="majorHAnsi" w:hAnsiTheme="majorHAnsi" w:eastAsiaTheme="majorEastAsia" w:cstheme="majorBidi"/>
      <w:spacing w:val="-10"/>
      <w:kern w:val="28"/>
      <w:sz w:val="56"/>
      <w:szCs w:val="56"/>
    </w:rPr>
  </w:style>
  <w:style w:type="character" w:customStyle="1" w:styleId="54">
    <w:name w:val="副标题 字符"/>
    <w:basedOn w:val="28"/>
    <w:link w:val="21"/>
    <w:qFormat/>
    <w:uiPriority w:val="0"/>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55">
    <w:name w:val="Quote"/>
    <w:basedOn w:val="1"/>
    <w:next w:val="1"/>
    <w:link w:val="5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56">
    <w:name w:val="引用 字符"/>
    <w:basedOn w:val="28"/>
    <w:link w:val="55"/>
    <w:qFormat/>
    <w:uiPriority w:val="29"/>
    <w:rPr>
      <w:rFonts w:asciiTheme="minorHAnsi" w:hAnsiTheme="minorHAnsi" w:eastAsiaTheme="minorEastAsia" w:cstheme="minorBidi"/>
      <w:i/>
      <w:iCs/>
      <w:color w:val="404040" w:themeColor="text1" w:themeTint="BF"/>
      <w:kern w:val="2"/>
      <w:sz w:val="21"/>
      <w:szCs w:val="24"/>
      <w14:textFill>
        <w14:solidFill>
          <w14:schemeClr w14:val="tx1">
            <w14:lumMod w14:val="75000"/>
            <w14:lumOff w14:val="25000"/>
          </w14:schemeClr>
        </w14:solidFill>
      </w14:textFill>
    </w:rPr>
  </w:style>
  <w:style w:type="character" w:customStyle="1" w:styleId="57">
    <w:name w:val="Intense Emphasis"/>
    <w:basedOn w:val="28"/>
    <w:qFormat/>
    <w:uiPriority w:val="21"/>
    <w:rPr>
      <w:i/>
      <w:iCs/>
      <w:color w:val="2F5597" w:themeColor="accent1" w:themeShade="BF"/>
    </w:rPr>
  </w:style>
  <w:style w:type="paragraph" w:styleId="58">
    <w:name w:val="Intense Quote"/>
    <w:basedOn w:val="1"/>
    <w:next w:val="1"/>
    <w:link w:val="5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9">
    <w:name w:val="明显引用 字符"/>
    <w:basedOn w:val="28"/>
    <w:link w:val="58"/>
    <w:qFormat/>
    <w:uiPriority w:val="30"/>
    <w:rPr>
      <w:rFonts w:asciiTheme="minorHAnsi" w:hAnsiTheme="minorHAnsi" w:eastAsiaTheme="minorEastAsia" w:cstheme="minorBidi"/>
      <w:i/>
      <w:iCs/>
      <w:color w:val="2F5597" w:themeColor="accent1" w:themeShade="BF"/>
      <w:kern w:val="2"/>
      <w:sz w:val="21"/>
      <w:szCs w:val="24"/>
    </w:rPr>
  </w:style>
  <w:style w:type="character" w:customStyle="1" w:styleId="60">
    <w:name w:val="Intense Reference"/>
    <w:basedOn w:val="28"/>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自定义 1">
      <a:dk1>
        <a:sysClr val="windowText" lastClr="000000"/>
      </a:dk1>
      <a:lt1>
        <a:sysClr val="window" lastClr="FFFFFF"/>
      </a:lt1>
      <a:dk2>
        <a:srgbClr val="44546A"/>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448</Words>
  <Characters>483</Characters>
  <Lines>22</Lines>
  <Paragraphs>6</Paragraphs>
  <TotalTime>5</TotalTime>
  <ScaleCrop>false</ScaleCrop>
  <LinksUpToDate>false</LinksUpToDate>
  <CharactersWithSpaces>571</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2025-03-16T16:28:00Z</dcterms:created>
  <dc:creator>haojie yan</dc:creator>
  <cp:lastModifiedBy>邱子萌</cp:lastModifiedBy>
  <cp:lastPrinted>2026-06-23T17:10:00Z</cp:lastPrinted>
  <dcterms:modified xsi:type="dcterms:W3CDTF">2026-07-08T10:03:00Z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C88BE341EAD64FFA9043B6460A12D5C1_13</vt:lpwstr>
  </property>
  <property fmtid="{D5CDD505-2E9C-101B-9397-08002B2CF9AE}" pid="4" name="KSOTemplateDocerSaveRecord">
    <vt:lpwstr>eyJoZGlkIjoiODgxOGMyN2JhZTY4YTkxNWNkYWM2ZWU0ZGJlNWYxYjciLCJ1c2VySWQiOiIyMDk1OTA1NjYifQ==</vt:lpwstr>
  </property>
</Properties>
</file>