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53FFD">
      <w:pPr>
        <w:rPr>
          <w:rFonts w:hint="eastAsia"/>
          <w:lang w:eastAsia="zh-CN"/>
        </w:rPr>
      </w:pPr>
      <w:r>
        <w:rPr>
          <w:rFonts w:hint="eastAsia" w:ascii="仿宋_GB2312" w:eastAsia="仿宋_GB2312"/>
          <w:b/>
          <w:bCs/>
          <w:sz w:val="30"/>
          <w:szCs w:val="30"/>
        </w:rPr>
        <w:t>附件</w:t>
      </w:r>
      <w:r>
        <w:rPr>
          <w:rFonts w:hint="eastAsia" w:ascii="仿宋_GB2312" w:eastAsia="仿宋_GB2312"/>
          <w:b/>
          <w:bCs/>
          <w:sz w:val="30"/>
          <w:szCs w:val="30"/>
          <w:lang w:val="en-US" w:eastAsia="zh-CN"/>
        </w:rPr>
        <w:t>4</w:t>
      </w:r>
      <w:r>
        <w:rPr>
          <w:rFonts w:hint="eastAsia" w:ascii="仿宋_GB2312" w:eastAsia="仿宋_GB2312"/>
          <w:b/>
          <w:bCs/>
          <w:sz w:val="30"/>
          <w:szCs w:val="30"/>
        </w:rPr>
        <w:t>：</w:t>
      </w:r>
      <w:r>
        <w:rPr>
          <w:rFonts w:hint="eastAsia" w:ascii="仿宋_GB2312" w:eastAsia="仿宋_GB2312"/>
          <w:b/>
          <w:bCs/>
          <w:sz w:val="30"/>
          <w:szCs w:val="30"/>
          <w:lang w:eastAsia="zh-CN"/>
        </w:rPr>
        <w:t>综合评分表</w:t>
      </w:r>
    </w:p>
    <w:p w14:paraId="604AED1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sz w:val="36"/>
          <w:szCs w:val="36"/>
        </w:rPr>
      </w:pPr>
      <w:r>
        <w:rPr>
          <w:rFonts w:hint="eastAsia" w:eastAsia="PingFang SC Regular"/>
          <w:sz w:val="36"/>
          <w:szCs w:val="36"/>
          <w:lang w:val="en-US" w:eastAsia="zh-CN"/>
        </w:rPr>
        <w:t>龙岗区城投集团董事、高级管理人员责任险服务</w:t>
      </w:r>
    </w:p>
    <w:p w14:paraId="541451B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tbl>
      <w:tblPr>
        <w:tblStyle w:val="5"/>
        <w:tblW w:w="9632" w:type="dxa"/>
        <w:tblInd w:w="-246" w:type="dxa"/>
        <w:tblLayout w:type="fixed"/>
        <w:tblCellMar>
          <w:top w:w="0" w:type="dxa"/>
          <w:left w:w="108" w:type="dxa"/>
          <w:bottom w:w="0" w:type="dxa"/>
          <w:right w:w="108" w:type="dxa"/>
        </w:tblCellMar>
      </w:tblPr>
      <w:tblGrid>
        <w:gridCol w:w="570"/>
        <w:gridCol w:w="771"/>
        <w:gridCol w:w="1521"/>
        <w:gridCol w:w="543"/>
        <w:gridCol w:w="5447"/>
        <w:gridCol w:w="780"/>
      </w:tblGrid>
      <w:tr w14:paraId="28D91643">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vAlign w:val="center"/>
          </w:tcPr>
          <w:p w14:paraId="183E89F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序号</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3989164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评分项</w:t>
            </w:r>
          </w:p>
        </w:tc>
        <w:tc>
          <w:tcPr>
            <w:tcW w:w="543" w:type="dxa"/>
            <w:tcBorders>
              <w:top w:val="single" w:color="auto" w:sz="4" w:space="0"/>
              <w:left w:val="single" w:color="auto" w:sz="4" w:space="0"/>
              <w:bottom w:val="single" w:color="auto" w:sz="4" w:space="0"/>
              <w:right w:val="single" w:color="auto" w:sz="4" w:space="0"/>
            </w:tcBorders>
            <w:vAlign w:val="center"/>
          </w:tcPr>
          <w:p w14:paraId="4C1E6C9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分值</w:t>
            </w:r>
          </w:p>
        </w:tc>
        <w:tc>
          <w:tcPr>
            <w:tcW w:w="5447" w:type="dxa"/>
            <w:tcBorders>
              <w:top w:val="single" w:color="auto" w:sz="4" w:space="0"/>
              <w:left w:val="single" w:color="auto" w:sz="4" w:space="0"/>
              <w:bottom w:val="single" w:color="auto" w:sz="4" w:space="0"/>
              <w:right w:val="single" w:color="auto" w:sz="4" w:space="0"/>
            </w:tcBorders>
            <w:vAlign w:val="center"/>
          </w:tcPr>
          <w:p w14:paraId="1084004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评分规则</w:t>
            </w:r>
          </w:p>
        </w:tc>
        <w:tc>
          <w:tcPr>
            <w:tcW w:w="780" w:type="dxa"/>
            <w:tcBorders>
              <w:top w:val="single" w:color="auto" w:sz="4" w:space="0"/>
              <w:left w:val="nil"/>
              <w:bottom w:val="single" w:color="auto" w:sz="4" w:space="0"/>
              <w:right w:val="single" w:color="auto" w:sz="4" w:space="0"/>
            </w:tcBorders>
            <w:vAlign w:val="center"/>
          </w:tcPr>
          <w:p w14:paraId="7E66416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bCs w:val="0"/>
                <w:sz w:val="21"/>
                <w:szCs w:val="21"/>
              </w:rPr>
            </w:pPr>
            <w:r>
              <w:rPr>
                <w:rFonts w:hint="eastAsia" w:ascii="方正楷体_GBK" w:hAnsi="方正楷体_GBK" w:eastAsia="方正楷体_GBK" w:cs="方正楷体_GBK"/>
                <w:b/>
                <w:bCs w:val="0"/>
                <w:sz w:val="21"/>
                <w:szCs w:val="21"/>
              </w:rPr>
              <w:t>备注</w:t>
            </w:r>
          </w:p>
        </w:tc>
      </w:tr>
      <w:tr w14:paraId="4A330D7C">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vAlign w:val="center"/>
          </w:tcPr>
          <w:p w14:paraId="4467DC4B">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1</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099CEB43">
            <w:pPr>
              <w:keepLines w:val="0"/>
              <w:pageBreakBefore w:val="0"/>
              <w:widowControl w:val="0"/>
              <w:tabs>
                <w:tab w:val="left" w:pos="900"/>
              </w:tabs>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报价</w:t>
            </w:r>
          </w:p>
        </w:tc>
        <w:tc>
          <w:tcPr>
            <w:tcW w:w="543" w:type="dxa"/>
            <w:tcBorders>
              <w:top w:val="single" w:color="auto" w:sz="4" w:space="0"/>
              <w:left w:val="single" w:color="auto" w:sz="4" w:space="0"/>
              <w:bottom w:val="single" w:color="auto" w:sz="4" w:space="0"/>
              <w:right w:val="single" w:color="auto" w:sz="4" w:space="0"/>
            </w:tcBorders>
            <w:vAlign w:val="center"/>
          </w:tcPr>
          <w:p w14:paraId="7DDF7195">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sz w:val="21"/>
                <w:szCs w:val="21"/>
                <w:lang w:val="en-US"/>
              </w:rPr>
            </w:pPr>
            <w:r>
              <w:rPr>
                <w:rFonts w:hint="eastAsia" w:ascii="方正楷体_GBK" w:hAnsi="方正楷体_GBK" w:eastAsia="方正楷体_GBK" w:cs="方正楷体_GBK"/>
                <w:b w:val="0"/>
                <w:bCs/>
                <w:sz w:val="21"/>
                <w:szCs w:val="21"/>
                <w:lang w:val="en-US" w:eastAsia="zh-CN"/>
              </w:rPr>
              <w:t>25</w:t>
            </w:r>
          </w:p>
        </w:tc>
        <w:tc>
          <w:tcPr>
            <w:tcW w:w="5447" w:type="dxa"/>
            <w:tcBorders>
              <w:top w:val="single" w:color="auto" w:sz="4" w:space="0"/>
              <w:left w:val="single" w:color="auto" w:sz="4" w:space="0"/>
              <w:bottom w:val="single" w:color="auto" w:sz="4" w:space="0"/>
              <w:right w:val="single" w:color="auto" w:sz="4" w:space="0"/>
            </w:tcBorders>
            <w:vAlign w:val="center"/>
          </w:tcPr>
          <w:p w14:paraId="3AB4E9AC">
            <w:pPr>
              <w:keepLines w:val="0"/>
              <w:pageBreakBefore w:val="0"/>
              <w:widowControl w:val="0"/>
              <w:kinsoku/>
              <w:overflowPunct/>
              <w:topLinePunct w:val="0"/>
              <w:autoSpaceDE/>
              <w:autoSpaceDN/>
              <w:bidi w:val="0"/>
              <w:adjustRightInd w:val="0"/>
              <w:snapToGrid w:val="0"/>
              <w:spacing w:line="240" w:lineRule="auto"/>
              <w:ind w:left="0"/>
              <w:jc w:val="left"/>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价格分计算方法：报价为平均数的为最高分即满分。</w:t>
            </w:r>
          </w:p>
          <w:p w14:paraId="2F255CD4">
            <w:pPr>
              <w:keepLines w:val="0"/>
              <w:pageBreakBefore w:val="0"/>
              <w:widowControl w:val="0"/>
              <w:kinsoku/>
              <w:overflowPunct/>
              <w:topLinePunct w:val="0"/>
              <w:autoSpaceDE/>
              <w:autoSpaceDN/>
              <w:bidi w:val="0"/>
              <w:adjustRightInd w:val="0"/>
              <w:snapToGrid w:val="0"/>
              <w:spacing w:line="240" w:lineRule="auto"/>
              <w:ind w:left="0"/>
              <w:jc w:val="left"/>
              <w:textAlignment w:val="auto"/>
              <w:rPr>
                <w:rFonts w:hint="eastAsia" w:ascii="方正楷体_GBK" w:hAnsi="方正楷体_GBK" w:eastAsia="方正楷体_GBK" w:cs="方正楷体_GBK"/>
                <w:b w:val="0"/>
                <w:bCs/>
                <w:sz w:val="21"/>
                <w:szCs w:val="21"/>
                <w:lang w:eastAsia="zh-CN"/>
              </w:rPr>
            </w:pPr>
            <w:r>
              <w:rPr>
                <w:rFonts w:hint="eastAsia" w:ascii="方正楷体_GBK" w:hAnsi="方正楷体_GBK" w:eastAsia="方正楷体_GBK" w:cs="方正楷体_GBK"/>
                <w:b w:val="0"/>
                <w:bCs/>
                <w:sz w:val="21"/>
                <w:szCs w:val="21"/>
                <w:lang w:val="en-US" w:eastAsia="zh-CN"/>
              </w:rPr>
              <w:t>假设供应商的</w:t>
            </w:r>
            <w:r>
              <w:rPr>
                <w:rFonts w:hint="eastAsia" w:ascii="方正楷体_GBK" w:hAnsi="方正楷体_GBK" w:eastAsia="方正楷体_GBK" w:cs="方正楷体_GBK"/>
                <w:b w:val="0"/>
                <w:bCs/>
                <w:sz w:val="21"/>
                <w:szCs w:val="21"/>
              </w:rPr>
              <w:t>报价结果分别为B1、B2</w:t>
            </w:r>
            <w:r>
              <w:rPr>
                <w:rFonts w:hint="eastAsia" w:ascii="方正楷体_GBK" w:hAnsi="方正楷体_GBK" w:eastAsia="方正楷体_GBK" w:cs="方正楷体_GBK"/>
                <w:b w:val="0"/>
                <w:bCs/>
                <w:sz w:val="21"/>
                <w:szCs w:val="21"/>
                <w:lang w:eastAsia="zh-CN"/>
              </w:rPr>
              <w:t>、</w:t>
            </w:r>
            <w:r>
              <w:rPr>
                <w:rFonts w:hint="eastAsia" w:ascii="方正楷体_GBK" w:hAnsi="方正楷体_GBK" w:eastAsia="方正楷体_GBK" w:cs="方正楷体_GBK"/>
                <w:b w:val="0"/>
                <w:bCs/>
                <w:sz w:val="21"/>
                <w:szCs w:val="21"/>
              </w:rPr>
              <w:t>B3……Bn，则报价的平均</w:t>
            </w:r>
            <w:r>
              <w:rPr>
                <w:rFonts w:hint="eastAsia" w:ascii="方正楷体_GBK" w:hAnsi="方正楷体_GBK" w:eastAsia="方正楷体_GBK" w:cs="方正楷体_GBK"/>
                <w:b w:val="0"/>
                <w:bCs/>
                <w:sz w:val="21"/>
                <w:szCs w:val="21"/>
                <w:lang w:val="en-US" w:eastAsia="zh-CN"/>
              </w:rPr>
              <w:t>数</w:t>
            </w:r>
            <w:r>
              <w:rPr>
                <w:rFonts w:hint="eastAsia" w:ascii="方正楷体_GBK" w:hAnsi="方正楷体_GBK" w:eastAsia="方正楷体_GBK" w:cs="方正楷体_GBK"/>
                <w:b w:val="0"/>
                <w:bCs/>
                <w:sz w:val="21"/>
                <w:szCs w:val="21"/>
              </w:rPr>
              <w:t>为C=[B1＋B2＋B3＋……＋Bn]÷n</w:t>
            </w:r>
            <w:r>
              <w:rPr>
                <w:rFonts w:hint="eastAsia" w:ascii="方正楷体_GBK" w:hAnsi="方正楷体_GBK" w:eastAsia="方正楷体_GBK" w:cs="方正楷体_GBK"/>
                <w:b w:val="0"/>
                <w:bCs/>
                <w:sz w:val="21"/>
                <w:szCs w:val="21"/>
                <w:lang w:eastAsia="zh-CN"/>
              </w:rPr>
              <w:t>，</w:t>
            </w:r>
            <w:r>
              <w:rPr>
                <w:rFonts w:hint="eastAsia" w:ascii="方正楷体_GBK" w:hAnsi="方正楷体_GBK" w:eastAsia="方正楷体_GBK" w:cs="方正楷体_GBK"/>
                <w:b w:val="0"/>
                <w:bCs/>
                <w:sz w:val="21"/>
                <w:szCs w:val="21"/>
              </w:rPr>
              <w:t>供应商</w:t>
            </w:r>
            <w:r>
              <w:rPr>
                <w:rFonts w:hint="eastAsia" w:ascii="方正楷体_GBK" w:hAnsi="方正楷体_GBK" w:eastAsia="方正楷体_GBK" w:cs="方正楷体_GBK"/>
                <w:b w:val="0"/>
                <w:bCs/>
                <w:sz w:val="21"/>
                <w:szCs w:val="21"/>
                <w:lang w:val="en-US" w:eastAsia="zh-CN"/>
              </w:rPr>
              <w:t>n的</w:t>
            </w:r>
            <w:r>
              <w:rPr>
                <w:rFonts w:hint="eastAsia" w:ascii="方正楷体_GBK" w:hAnsi="方正楷体_GBK" w:eastAsia="方正楷体_GBK" w:cs="方正楷体_GBK"/>
                <w:b w:val="0"/>
                <w:bCs/>
                <w:sz w:val="21"/>
                <w:szCs w:val="21"/>
              </w:rPr>
              <w:t>报价得分=</w:t>
            </w:r>
            <w:r>
              <w:rPr>
                <w:rFonts w:hint="eastAsia" w:ascii="方正楷体_GBK" w:hAnsi="方正楷体_GBK" w:eastAsia="方正楷体_GBK" w:cs="方正楷体_GBK"/>
                <w:b w:val="0"/>
                <w:bCs/>
                <w:sz w:val="21"/>
                <w:szCs w:val="21"/>
                <w:lang w:val="en-US" w:eastAsia="zh-CN"/>
              </w:rPr>
              <w:t>25×</w:t>
            </w:r>
            <w:r>
              <w:rPr>
                <w:rFonts w:hint="eastAsia" w:ascii="方正楷体_GBK" w:hAnsi="方正楷体_GBK" w:eastAsia="方正楷体_GBK" w:cs="方正楷体_GBK"/>
                <w:b w:val="0"/>
                <w:bCs/>
                <w:sz w:val="21"/>
                <w:szCs w:val="21"/>
              </w:rPr>
              <w:t>{1-(∣Bn－C∣)÷C}</w:t>
            </w:r>
            <w:r>
              <w:rPr>
                <w:rFonts w:hint="eastAsia" w:ascii="方正楷体_GBK" w:hAnsi="方正楷体_GBK" w:eastAsia="方正楷体_GBK" w:cs="方正楷体_GBK"/>
                <w:b w:val="0"/>
                <w:bCs/>
                <w:sz w:val="21"/>
                <w:szCs w:val="21"/>
                <w:lang w:eastAsia="zh-CN"/>
              </w:rPr>
              <w:t>。</w:t>
            </w:r>
          </w:p>
        </w:tc>
        <w:tc>
          <w:tcPr>
            <w:tcW w:w="780" w:type="dxa"/>
            <w:tcBorders>
              <w:top w:val="single" w:color="auto" w:sz="4" w:space="0"/>
              <w:left w:val="single" w:color="auto" w:sz="4" w:space="0"/>
              <w:bottom w:val="single" w:color="auto" w:sz="4" w:space="0"/>
              <w:right w:val="single" w:color="auto" w:sz="4" w:space="0"/>
            </w:tcBorders>
            <w:vAlign w:val="center"/>
          </w:tcPr>
          <w:p w14:paraId="18F83DD1">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4F51877C">
        <w:tblPrEx>
          <w:tblCellMar>
            <w:top w:w="0" w:type="dxa"/>
            <w:left w:w="108" w:type="dxa"/>
            <w:bottom w:w="0" w:type="dxa"/>
            <w:right w:w="108" w:type="dxa"/>
          </w:tblCellMar>
        </w:tblPrEx>
        <w:trPr>
          <w:trHeight w:val="90" w:hRule="atLeast"/>
        </w:trPr>
        <w:tc>
          <w:tcPr>
            <w:tcW w:w="570" w:type="dxa"/>
            <w:tcBorders>
              <w:top w:val="single" w:color="auto" w:sz="4" w:space="0"/>
              <w:left w:val="single" w:color="auto" w:sz="4" w:space="0"/>
              <w:bottom w:val="single" w:color="auto" w:sz="4" w:space="0"/>
              <w:right w:val="single" w:color="auto" w:sz="4" w:space="0"/>
            </w:tcBorders>
            <w:vAlign w:val="center"/>
          </w:tcPr>
          <w:p w14:paraId="20A98B5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eastAsia="zh-CN"/>
              </w:rPr>
            </w:pPr>
            <w:r>
              <w:rPr>
                <w:rFonts w:hint="eastAsia" w:ascii="方正楷体_GBK" w:hAnsi="方正楷体_GBK" w:eastAsia="方正楷体_GBK" w:cs="方正楷体_GBK"/>
                <w:b w:val="0"/>
                <w:bCs/>
                <w:sz w:val="21"/>
                <w:szCs w:val="21"/>
                <w:lang w:val="en-US" w:eastAsia="zh-CN"/>
              </w:rPr>
              <w:t>2</w:t>
            </w:r>
          </w:p>
        </w:tc>
        <w:tc>
          <w:tcPr>
            <w:tcW w:w="2292" w:type="dxa"/>
            <w:gridSpan w:val="2"/>
            <w:tcBorders>
              <w:left w:val="single" w:color="auto" w:sz="4" w:space="0"/>
              <w:bottom w:val="single" w:color="auto" w:sz="4" w:space="0"/>
              <w:right w:val="single" w:color="auto" w:sz="4" w:space="0"/>
            </w:tcBorders>
            <w:shd w:val="clear" w:color="auto" w:fill="auto"/>
            <w:vAlign w:val="center"/>
          </w:tcPr>
          <w:p w14:paraId="6326F7A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保险费收入</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40F3B00A">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70E41A50">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投标人（如投标人为分支机构，则其所在省级机构2025年全险种保费收入）：</w:t>
            </w:r>
          </w:p>
          <w:p w14:paraId="1289DCEF">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≥150亿元人民币的得10分；</w:t>
            </w:r>
          </w:p>
          <w:p w14:paraId="1A5BD165">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≥100亿元人民币的得7分；</w:t>
            </w:r>
          </w:p>
          <w:p w14:paraId="489FF6B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≥70亿元人民币的得5分；</w:t>
            </w:r>
          </w:p>
          <w:p w14:paraId="2A36A18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≥50亿元人民币的得2分；</w:t>
            </w:r>
          </w:p>
          <w:p w14:paraId="636DC3C5">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≥20亿元人民币的得1分；</w:t>
            </w:r>
          </w:p>
          <w:p w14:paraId="22CD2C4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&lt;20亿元人民币的不得分；</w:t>
            </w:r>
          </w:p>
          <w:p w14:paraId="52A912D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注：须提供投标人最近一年度会计师事务所审计的财务报告或相关证明材料，并用显著方式标注。</w:t>
            </w:r>
          </w:p>
        </w:tc>
        <w:tc>
          <w:tcPr>
            <w:tcW w:w="780" w:type="dxa"/>
            <w:tcBorders>
              <w:top w:val="single" w:color="auto" w:sz="4" w:space="0"/>
              <w:left w:val="single" w:color="auto" w:sz="4" w:space="0"/>
              <w:bottom w:val="single" w:color="auto" w:sz="4" w:space="0"/>
              <w:right w:val="single" w:color="auto" w:sz="4" w:space="0"/>
            </w:tcBorders>
            <w:vAlign w:val="center"/>
          </w:tcPr>
          <w:p w14:paraId="213325B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53A75E70">
        <w:tblPrEx>
          <w:tblCellMar>
            <w:top w:w="0" w:type="dxa"/>
            <w:left w:w="108" w:type="dxa"/>
            <w:bottom w:w="0" w:type="dxa"/>
            <w:right w:w="108" w:type="dxa"/>
          </w:tblCellMar>
        </w:tblPrEx>
        <w:trPr>
          <w:trHeight w:val="1060" w:hRule="atLeast"/>
        </w:trPr>
        <w:tc>
          <w:tcPr>
            <w:tcW w:w="570" w:type="dxa"/>
            <w:tcBorders>
              <w:top w:val="single" w:color="auto" w:sz="4" w:space="0"/>
              <w:left w:val="single" w:color="auto" w:sz="4" w:space="0"/>
              <w:bottom w:val="single" w:color="auto" w:sz="4" w:space="0"/>
              <w:right w:val="single" w:color="auto" w:sz="4" w:space="0"/>
            </w:tcBorders>
            <w:vAlign w:val="center"/>
          </w:tcPr>
          <w:p w14:paraId="4C31274E">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eastAsia="zh-CN"/>
              </w:rPr>
            </w:pPr>
            <w:r>
              <w:rPr>
                <w:rFonts w:hint="eastAsia" w:ascii="方正楷体_GBK" w:hAnsi="方正楷体_GBK" w:eastAsia="方正楷体_GBK" w:cs="方正楷体_GBK"/>
                <w:b w:val="0"/>
                <w:bCs/>
                <w:sz w:val="21"/>
                <w:szCs w:val="21"/>
                <w:lang w:val="en-US" w:eastAsia="zh-CN"/>
              </w:rPr>
              <w:t>3</w:t>
            </w:r>
          </w:p>
        </w:tc>
        <w:tc>
          <w:tcPr>
            <w:tcW w:w="2292" w:type="dxa"/>
            <w:gridSpan w:val="2"/>
            <w:tcBorders>
              <w:top w:val="single" w:color="auto" w:sz="4" w:space="0"/>
              <w:left w:val="single" w:color="auto" w:sz="4" w:space="0"/>
              <w:right w:val="single" w:color="auto" w:sz="4" w:space="0"/>
            </w:tcBorders>
            <w:shd w:val="clear" w:color="auto" w:fill="auto"/>
            <w:vAlign w:val="center"/>
          </w:tcPr>
          <w:p w14:paraId="1CA7FF06">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综合偿付能力充足率</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B98F524">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52D0C94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投标人（总公司）最近一年的综合偿付能力充足率：</w:t>
            </w:r>
          </w:p>
          <w:p w14:paraId="2F189A8D">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≥200%，得10分；</w:t>
            </w:r>
          </w:p>
          <w:p w14:paraId="0D87E1A1">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≥180%，得6分；</w:t>
            </w:r>
          </w:p>
          <w:p w14:paraId="78E64A1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≥150%，得4分；</w:t>
            </w:r>
          </w:p>
          <w:p w14:paraId="77B8085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≥120%，得2分；</w:t>
            </w:r>
          </w:p>
          <w:p w14:paraId="28F0093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低于120%不得分。</w:t>
            </w:r>
          </w:p>
          <w:p w14:paraId="044556D3">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注：需提供各投标人最近一期经第三方会计师事务所出具的审计偿付能力报告的相关证明材料，并用显著方式标注。</w:t>
            </w:r>
          </w:p>
        </w:tc>
        <w:tc>
          <w:tcPr>
            <w:tcW w:w="780" w:type="dxa"/>
            <w:tcBorders>
              <w:top w:val="single" w:color="auto" w:sz="4" w:space="0"/>
              <w:left w:val="single" w:color="auto" w:sz="4" w:space="0"/>
              <w:bottom w:val="single" w:color="auto" w:sz="4" w:space="0"/>
              <w:right w:val="single" w:color="auto" w:sz="4" w:space="0"/>
            </w:tcBorders>
            <w:vAlign w:val="center"/>
          </w:tcPr>
          <w:p w14:paraId="6E9EF941">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76D179E2">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vAlign w:val="center"/>
          </w:tcPr>
          <w:p w14:paraId="24046E6A">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sz w:val="21"/>
                <w:szCs w:val="21"/>
                <w:lang w:val="en-US" w:eastAsia="zh-CN"/>
              </w:rPr>
              <w:t>4</w:t>
            </w:r>
          </w:p>
        </w:tc>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BA19C">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承保机构（省级）董责险承保经验</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9BF0C55">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3DE29A4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1.承保董责险项目（含上市公司，下同）超30个，得10分；</w:t>
            </w:r>
          </w:p>
          <w:p w14:paraId="08833D1F">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2.承保董责险项目超20个，得5分；</w:t>
            </w:r>
          </w:p>
          <w:p w14:paraId="49B8CCB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3.承保董责险项目超15个，得3分；</w:t>
            </w:r>
          </w:p>
          <w:p w14:paraId="5BF372E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4.承保董责险项目不超过10个，不得分；</w:t>
            </w:r>
          </w:p>
          <w:p w14:paraId="6D41D57F">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须提供2025年度保险合同或服务协议等有效证明材料关键页或招投标信息（包括但不限于承保时间、保额/赔偿限额、签字盖章等，涉及敏感信息可脱敏处理）；如承保机构董责险承保经验因涉密或数量过多不便列举，可自拟格式证明文件并加盖公章，并自备证明材料待后续查验。</w:t>
            </w:r>
          </w:p>
        </w:tc>
        <w:tc>
          <w:tcPr>
            <w:tcW w:w="780" w:type="dxa"/>
            <w:tcBorders>
              <w:left w:val="single" w:color="auto" w:sz="4" w:space="0"/>
              <w:bottom w:val="single" w:color="auto" w:sz="4" w:space="0"/>
              <w:right w:val="single" w:color="auto" w:sz="4" w:space="0"/>
            </w:tcBorders>
            <w:vAlign w:val="center"/>
          </w:tcPr>
          <w:p w14:paraId="575158F3">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10BA357C">
        <w:tblPrEx>
          <w:tblCellMar>
            <w:top w:w="0" w:type="dxa"/>
            <w:left w:w="108" w:type="dxa"/>
            <w:bottom w:w="0" w:type="dxa"/>
            <w:right w:w="108" w:type="dxa"/>
          </w:tblCellMar>
        </w:tblPrEx>
        <w:trPr>
          <w:trHeight w:val="280" w:hRule="atLeast"/>
        </w:trPr>
        <w:tc>
          <w:tcPr>
            <w:tcW w:w="570" w:type="dxa"/>
            <w:vMerge w:val="restart"/>
            <w:tcBorders>
              <w:top w:val="single" w:color="auto" w:sz="4" w:space="0"/>
              <w:left w:val="single" w:color="auto" w:sz="4" w:space="0"/>
              <w:right w:val="single" w:color="auto" w:sz="4" w:space="0"/>
            </w:tcBorders>
            <w:vAlign w:val="center"/>
          </w:tcPr>
          <w:p w14:paraId="2F533B2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5</w:t>
            </w:r>
          </w:p>
        </w:tc>
        <w:tc>
          <w:tcPr>
            <w:tcW w:w="771" w:type="dxa"/>
            <w:vMerge w:val="restart"/>
            <w:tcBorders>
              <w:top w:val="single" w:color="auto" w:sz="4" w:space="0"/>
              <w:left w:val="single" w:color="auto" w:sz="4" w:space="0"/>
              <w:right w:val="single" w:color="auto" w:sz="4" w:space="0"/>
            </w:tcBorders>
            <w:shd w:val="clear" w:color="auto" w:fill="auto"/>
            <w:vAlign w:val="center"/>
          </w:tcPr>
          <w:p w14:paraId="4A637AB8">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保险方案</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F5B52A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保障范围</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5526B571">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16</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67C15B98">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根据参与单位提供的保险方案中的承保范围进行评价，保险条款明确载明以下保险责任，否则不得分</w:t>
            </w:r>
          </w:p>
          <w:p w14:paraId="56E73930">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1.被保险个人保障：</w:t>
            </w:r>
          </w:p>
          <w:p w14:paraId="54C6768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（1）因不当行为遭受赔偿请求所引起的损失，得2分；</w:t>
            </w:r>
          </w:p>
          <w:p w14:paraId="0610553D">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（2）协助及配合核查与稽查、调查所引起的费用，得2分；</w:t>
            </w:r>
          </w:p>
          <w:p w14:paraId="77F9FFA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2.被保险公司的保障：</w:t>
            </w:r>
          </w:p>
          <w:p w14:paraId="166DA9A4">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（1）有价证券赔偿请求而引起的损失，得2分；</w:t>
            </w:r>
          </w:p>
          <w:p w14:paraId="3E26B90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（2）协助监管机构的核查与稽查、调查所引起的费用，得2分；</w:t>
            </w:r>
          </w:p>
          <w:p w14:paraId="76B80DD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（3）因不当雇佣行为赔偿请求所引起的损失，得2分；</w:t>
            </w:r>
          </w:p>
          <w:p w14:paraId="5F7AF4D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（4）承担危机事件管理费用，得2分；</w:t>
            </w:r>
          </w:p>
          <w:p w14:paraId="73DE0FC3">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3.被保险人的保障：</w:t>
            </w:r>
          </w:p>
          <w:p w14:paraId="0C196C8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（1）裁判或和解前危机管理费用得2分；</w:t>
            </w:r>
          </w:p>
          <w:p w14:paraId="1F61138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（2）裁判后名誉恢复费用得2分。</w:t>
            </w:r>
          </w:p>
        </w:tc>
        <w:tc>
          <w:tcPr>
            <w:tcW w:w="780" w:type="dxa"/>
            <w:tcBorders>
              <w:top w:val="single" w:color="auto" w:sz="4" w:space="0"/>
              <w:left w:val="single" w:color="auto" w:sz="4" w:space="0"/>
              <w:bottom w:val="single" w:color="auto" w:sz="4" w:space="0"/>
              <w:right w:val="single" w:color="auto" w:sz="4" w:space="0"/>
            </w:tcBorders>
            <w:vAlign w:val="center"/>
          </w:tcPr>
          <w:p w14:paraId="305D774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00DD45EA">
        <w:tblPrEx>
          <w:tblCellMar>
            <w:top w:w="0" w:type="dxa"/>
            <w:left w:w="108" w:type="dxa"/>
            <w:bottom w:w="0" w:type="dxa"/>
            <w:right w:w="108" w:type="dxa"/>
          </w:tblCellMar>
        </w:tblPrEx>
        <w:trPr>
          <w:trHeight w:val="321" w:hRule="atLeast"/>
        </w:trPr>
        <w:tc>
          <w:tcPr>
            <w:tcW w:w="570" w:type="dxa"/>
            <w:vMerge w:val="continue"/>
            <w:tcBorders>
              <w:left w:val="single" w:color="auto" w:sz="4" w:space="0"/>
              <w:right w:val="single" w:color="auto" w:sz="4" w:space="0"/>
            </w:tcBorders>
            <w:vAlign w:val="center"/>
          </w:tcPr>
          <w:p w14:paraId="5C45A15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right w:val="single" w:color="auto" w:sz="4" w:space="0"/>
            </w:tcBorders>
            <w:shd w:val="clear" w:color="auto" w:fill="auto"/>
            <w:vAlign w:val="center"/>
          </w:tcPr>
          <w:p w14:paraId="6CF0FB57">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6D9F6992">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针对新《中华人民共和国公司法》特别保障</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4D92FD6C">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253B844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保险条款或保险附加条款有相应保障，</w:t>
            </w:r>
            <w:r>
              <w:rPr>
                <w:rFonts w:hint="eastAsia" w:ascii="方正楷体_GBK" w:hAnsi="方正楷体_GBK" w:eastAsia="方正楷体_GBK" w:cs="方正楷体_GBK"/>
                <w:b w:val="0"/>
                <w:bCs/>
                <w:spacing w:val="-3"/>
                <w:sz w:val="21"/>
                <w:szCs w:val="21"/>
              </w:rPr>
              <w:t>得4</w:t>
            </w:r>
            <w:r>
              <w:rPr>
                <w:rFonts w:hint="eastAsia" w:ascii="方正楷体_GBK" w:hAnsi="方正楷体_GBK" w:eastAsia="方正楷体_GBK" w:cs="方正楷体_GBK"/>
                <w:b w:val="0"/>
                <w:bCs/>
                <w:spacing w:val="-4"/>
                <w:sz w:val="21"/>
                <w:szCs w:val="21"/>
              </w:rPr>
              <w:t>分</w:t>
            </w:r>
            <w:r>
              <w:rPr>
                <w:rFonts w:hint="eastAsia" w:ascii="方正楷体_GBK" w:hAnsi="方正楷体_GBK" w:eastAsia="方正楷体_GBK" w:cs="方正楷体_GBK"/>
                <w:b w:val="0"/>
                <w:bCs/>
                <w:spacing w:val="-4"/>
                <w:sz w:val="21"/>
                <w:szCs w:val="21"/>
                <w:lang w:eastAsia="zh-CN"/>
              </w:rPr>
              <w:t>。</w:t>
            </w:r>
          </w:p>
        </w:tc>
        <w:tc>
          <w:tcPr>
            <w:tcW w:w="780" w:type="dxa"/>
            <w:tcBorders>
              <w:top w:val="single" w:color="auto" w:sz="4" w:space="0"/>
              <w:left w:val="single" w:color="auto" w:sz="4" w:space="0"/>
              <w:bottom w:val="single" w:color="auto" w:sz="4" w:space="0"/>
              <w:right w:val="single" w:color="auto" w:sz="4" w:space="0"/>
            </w:tcBorders>
            <w:vAlign w:val="center"/>
          </w:tcPr>
          <w:p w14:paraId="059E0D8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4F25774D">
        <w:tblPrEx>
          <w:tblCellMar>
            <w:top w:w="0" w:type="dxa"/>
            <w:left w:w="108" w:type="dxa"/>
            <w:bottom w:w="0" w:type="dxa"/>
            <w:right w:w="108" w:type="dxa"/>
          </w:tblCellMar>
        </w:tblPrEx>
        <w:trPr>
          <w:trHeight w:val="174" w:hRule="atLeast"/>
        </w:trPr>
        <w:tc>
          <w:tcPr>
            <w:tcW w:w="570" w:type="dxa"/>
            <w:vMerge w:val="continue"/>
            <w:tcBorders>
              <w:left w:val="single" w:color="auto" w:sz="4" w:space="0"/>
              <w:bottom w:val="single" w:color="auto" w:sz="4" w:space="0"/>
              <w:right w:val="single" w:color="auto" w:sz="4" w:space="0"/>
            </w:tcBorders>
            <w:vAlign w:val="center"/>
          </w:tcPr>
          <w:p w14:paraId="4E046A63">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right w:val="single" w:color="auto" w:sz="4" w:space="0"/>
            </w:tcBorders>
            <w:shd w:val="clear" w:color="auto" w:fill="auto"/>
            <w:vAlign w:val="center"/>
          </w:tcPr>
          <w:p w14:paraId="21156681">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7ABD896">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免赔额</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0F3B65F5">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4C8147B1">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保单主保险条款和附加条款单一赔偿限额≤5万元，得1分</w:t>
            </w:r>
          </w:p>
        </w:tc>
        <w:tc>
          <w:tcPr>
            <w:tcW w:w="780" w:type="dxa"/>
            <w:tcBorders>
              <w:top w:val="single" w:color="auto" w:sz="4" w:space="0"/>
              <w:left w:val="single" w:color="auto" w:sz="4" w:space="0"/>
              <w:bottom w:val="single" w:color="auto" w:sz="4" w:space="0"/>
              <w:right w:val="single" w:color="auto" w:sz="4" w:space="0"/>
            </w:tcBorders>
            <w:vAlign w:val="center"/>
          </w:tcPr>
          <w:p w14:paraId="3441D3A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55258DAE">
        <w:tblPrEx>
          <w:tblCellMar>
            <w:top w:w="0" w:type="dxa"/>
            <w:left w:w="108" w:type="dxa"/>
            <w:bottom w:w="0" w:type="dxa"/>
            <w:right w:w="108" w:type="dxa"/>
          </w:tblCellMar>
        </w:tblPrEx>
        <w:trPr>
          <w:trHeight w:val="169" w:hRule="atLeast"/>
        </w:trPr>
        <w:tc>
          <w:tcPr>
            <w:tcW w:w="570" w:type="dxa"/>
            <w:vMerge w:val="continue"/>
            <w:tcBorders>
              <w:left w:val="single" w:color="auto" w:sz="4" w:space="0"/>
              <w:bottom w:val="single" w:color="auto" w:sz="4" w:space="0"/>
              <w:right w:val="single" w:color="auto" w:sz="4" w:space="0"/>
            </w:tcBorders>
            <w:vAlign w:val="center"/>
          </w:tcPr>
          <w:p w14:paraId="4405F22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right w:val="single" w:color="auto" w:sz="4" w:space="0"/>
            </w:tcBorders>
            <w:shd w:val="clear" w:color="auto" w:fill="auto"/>
            <w:vAlign w:val="center"/>
          </w:tcPr>
          <w:p w14:paraId="470938CB">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BF9D25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可分性</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3D2946D7">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0DECA06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保险条款明确载明：</w:t>
            </w:r>
          </w:p>
          <w:p w14:paraId="5D36C3A1">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1.被保险个人之间具备完整可分性：得1分</w:t>
            </w:r>
          </w:p>
          <w:p w14:paraId="48D3A6F6">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2.被保险公司之间具备完整可分性，得1分</w:t>
            </w:r>
          </w:p>
        </w:tc>
        <w:tc>
          <w:tcPr>
            <w:tcW w:w="780" w:type="dxa"/>
            <w:tcBorders>
              <w:top w:val="single" w:color="auto" w:sz="4" w:space="0"/>
              <w:left w:val="single" w:color="auto" w:sz="4" w:space="0"/>
              <w:bottom w:val="single" w:color="auto" w:sz="4" w:space="0"/>
              <w:right w:val="single" w:color="auto" w:sz="4" w:space="0"/>
            </w:tcBorders>
            <w:vAlign w:val="center"/>
          </w:tcPr>
          <w:p w14:paraId="32DB4018">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65F51CDC">
        <w:tblPrEx>
          <w:tblCellMar>
            <w:top w:w="0" w:type="dxa"/>
            <w:left w:w="108" w:type="dxa"/>
            <w:bottom w:w="0" w:type="dxa"/>
            <w:right w:w="108" w:type="dxa"/>
          </w:tblCellMar>
        </w:tblPrEx>
        <w:trPr>
          <w:trHeight w:val="970" w:hRule="atLeast"/>
        </w:trPr>
        <w:tc>
          <w:tcPr>
            <w:tcW w:w="570" w:type="dxa"/>
            <w:vMerge w:val="continue"/>
            <w:tcBorders>
              <w:left w:val="single" w:color="auto" w:sz="4" w:space="0"/>
              <w:bottom w:val="single" w:color="auto" w:sz="4" w:space="0"/>
              <w:right w:val="single" w:color="auto" w:sz="4" w:space="0"/>
            </w:tcBorders>
            <w:vAlign w:val="center"/>
          </w:tcPr>
          <w:p w14:paraId="14ADFFFE">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bottom w:val="single" w:color="auto" w:sz="4" w:space="0"/>
              <w:right w:val="single" w:color="auto" w:sz="4" w:space="0"/>
            </w:tcBorders>
            <w:shd w:val="clear" w:color="auto" w:fill="auto"/>
            <w:vAlign w:val="center"/>
          </w:tcPr>
          <w:p w14:paraId="1CDBE587">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FFBD25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保障对象</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4B658BFD">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734EA5B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保险条款明确载明以下保障，否则不得分：</w:t>
            </w:r>
          </w:p>
          <w:p w14:paraId="011B8788">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1.保障对象同时涵盖董事、高级管理人员个人（含有管理职责雇员），得1分；</w:t>
            </w:r>
          </w:p>
          <w:p w14:paraId="2F715B3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2.保障对象同时涵盖法定代表人、破产清算人、实控人、控股股东，得1分；</w:t>
            </w:r>
          </w:p>
          <w:p w14:paraId="2D34CDC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3.保障对象涵盖新子公司，且新子公司≤主被保险公司合并总资产100%且未上市可自动承保，无需增加保费，得1分。</w:t>
            </w:r>
          </w:p>
        </w:tc>
        <w:tc>
          <w:tcPr>
            <w:tcW w:w="780" w:type="dxa"/>
            <w:tcBorders>
              <w:top w:val="single" w:color="auto" w:sz="4" w:space="0"/>
              <w:left w:val="single" w:color="auto" w:sz="4" w:space="0"/>
              <w:bottom w:val="single" w:color="auto" w:sz="4" w:space="0"/>
              <w:right w:val="single" w:color="auto" w:sz="4" w:space="0"/>
            </w:tcBorders>
            <w:vAlign w:val="center"/>
          </w:tcPr>
          <w:p w14:paraId="1A42C235">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642CD8CC">
        <w:tblPrEx>
          <w:tblCellMar>
            <w:top w:w="0" w:type="dxa"/>
            <w:left w:w="108" w:type="dxa"/>
            <w:bottom w:w="0" w:type="dxa"/>
            <w:right w:w="108" w:type="dxa"/>
          </w:tblCellMar>
        </w:tblPrEx>
        <w:trPr>
          <w:trHeight w:val="1218" w:hRule="atLeast"/>
        </w:trPr>
        <w:tc>
          <w:tcPr>
            <w:tcW w:w="570" w:type="dxa"/>
            <w:vMerge w:val="continue"/>
            <w:tcBorders>
              <w:left w:val="single" w:color="auto" w:sz="4" w:space="0"/>
              <w:bottom w:val="single" w:color="auto" w:sz="4" w:space="0"/>
              <w:right w:val="single" w:color="auto" w:sz="4" w:space="0"/>
            </w:tcBorders>
            <w:vAlign w:val="center"/>
          </w:tcPr>
          <w:p w14:paraId="394FFF0C">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p>
        </w:tc>
        <w:tc>
          <w:tcPr>
            <w:tcW w:w="771" w:type="dxa"/>
            <w:vMerge w:val="continue"/>
            <w:tcBorders>
              <w:left w:val="single" w:color="auto" w:sz="4" w:space="0"/>
              <w:bottom w:val="single" w:color="auto" w:sz="4" w:space="0"/>
              <w:right w:val="single" w:color="auto" w:sz="4" w:space="0"/>
            </w:tcBorders>
            <w:shd w:val="clear" w:color="auto" w:fill="auto"/>
            <w:vAlign w:val="center"/>
          </w:tcPr>
          <w:p w14:paraId="385C0C7F">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C6B0B50">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附加差异性保障服务</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75067F08">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03EB4ECE">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参与单位有明显优于其他参与单位的，附加权益和服务，例如企业管理咨询、合规培训等，每项附加服务可给予2分，合计最高不超过4分。</w:t>
            </w:r>
          </w:p>
        </w:tc>
        <w:tc>
          <w:tcPr>
            <w:tcW w:w="780" w:type="dxa"/>
            <w:tcBorders>
              <w:top w:val="single" w:color="auto" w:sz="4" w:space="0"/>
              <w:left w:val="single" w:color="auto" w:sz="4" w:space="0"/>
              <w:bottom w:val="single" w:color="auto" w:sz="4" w:space="0"/>
              <w:right w:val="single" w:color="auto" w:sz="4" w:space="0"/>
            </w:tcBorders>
            <w:vAlign w:val="center"/>
          </w:tcPr>
          <w:p w14:paraId="1B756560">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r w14:paraId="181843B9">
        <w:tblPrEx>
          <w:tblCellMar>
            <w:top w:w="0" w:type="dxa"/>
            <w:left w:w="108" w:type="dxa"/>
            <w:bottom w:w="0" w:type="dxa"/>
            <w:right w:w="108" w:type="dxa"/>
          </w:tblCellMar>
        </w:tblPrEx>
        <w:trPr>
          <w:trHeight w:val="471" w:hRule="atLeast"/>
        </w:trPr>
        <w:tc>
          <w:tcPr>
            <w:tcW w:w="570" w:type="dxa"/>
            <w:tcBorders>
              <w:top w:val="single" w:color="auto" w:sz="4" w:space="0"/>
              <w:left w:val="single" w:color="auto" w:sz="4" w:space="0"/>
              <w:bottom w:val="single" w:color="auto" w:sz="4" w:space="0"/>
              <w:right w:val="single" w:color="auto" w:sz="4" w:space="0"/>
            </w:tcBorders>
            <w:vAlign w:val="center"/>
          </w:tcPr>
          <w:p w14:paraId="1A2218E4">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sz w:val="21"/>
                <w:szCs w:val="21"/>
                <w:lang w:val="en-US" w:eastAsia="zh-CN"/>
              </w:rPr>
              <w:t>6</w:t>
            </w:r>
          </w:p>
        </w:tc>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60663">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服务承诺</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5B95107E">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5</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17D5B7D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提供的增值服务评分，根据增值服务的三个维度评分：实用性、合理性、专业性，进行评分。</w:t>
            </w:r>
          </w:p>
          <w:p w14:paraId="74E6CA4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（1）优，且保险条款明确载明，得5分；</w:t>
            </w:r>
          </w:p>
          <w:p w14:paraId="246DE36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（2）良，得3分；</w:t>
            </w:r>
          </w:p>
          <w:p w14:paraId="4B51C2BA">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（3）一般，得1分；</w:t>
            </w:r>
          </w:p>
          <w:p w14:paraId="12D42D7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（4）其他不得分。</w:t>
            </w:r>
          </w:p>
        </w:tc>
        <w:tc>
          <w:tcPr>
            <w:tcW w:w="780" w:type="dxa"/>
            <w:tcBorders>
              <w:top w:val="single" w:color="auto" w:sz="4" w:space="0"/>
              <w:left w:val="single" w:color="auto" w:sz="4" w:space="0"/>
              <w:bottom w:val="single" w:color="auto" w:sz="4" w:space="0"/>
              <w:right w:val="single" w:color="auto" w:sz="4" w:space="0"/>
            </w:tcBorders>
            <w:vAlign w:val="center"/>
          </w:tcPr>
          <w:p w14:paraId="33634DFE">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r>
      <w:tr w14:paraId="3485E55E">
        <w:tblPrEx>
          <w:tblCellMar>
            <w:top w:w="0" w:type="dxa"/>
            <w:left w:w="108" w:type="dxa"/>
            <w:bottom w:w="0" w:type="dxa"/>
            <w:right w:w="108" w:type="dxa"/>
          </w:tblCellMar>
        </w:tblPrEx>
        <w:trPr>
          <w:trHeight w:val="378" w:hRule="atLeast"/>
        </w:trPr>
        <w:tc>
          <w:tcPr>
            <w:tcW w:w="570" w:type="dxa"/>
            <w:tcBorders>
              <w:top w:val="single" w:color="auto" w:sz="4" w:space="0"/>
              <w:left w:val="single" w:color="auto" w:sz="4" w:space="0"/>
              <w:bottom w:val="single" w:color="auto" w:sz="4" w:space="0"/>
              <w:right w:val="single" w:color="auto" w:sz="4" w:space="0"/>
            </w:tcBorders>
            <w:vAlign w:val="center"/>
          </w:tcPr>
          <w:p w14:paraId="6D64595B">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7</w:t>
            </w:r>
          </w:p>
        </w:tc>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F155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（总部）理赔经验</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CC4E621">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10</w:t>
            </w:r>
          </w:p>
        </w:tc>
        <w:tc>
          <w:tcPr>
            <w:tcW w:w="5447" w:type="dxa"/>
            <w:tcBorders>
              <w:top w:val="single" w:color="auto" w:sz="4" w:space="0"/>
              <w:left w:val="single" w:color="auto" w:sz="4" w:space="0"/>
              <w:bottom w:val="single" w:color="auto" w:sz="4" w:space="0"/>
              <w:right w:val="single" w:color="auto" w:sz="4" w:space="0"/>
            </w:tcBorders>
            <w:shd w:val="clear" w:color="auto" w:fill="auto"/>
            <w:vAlign w:val="center"/>
          </w:tcPr>
          <w:p w14:paraId="79F6B17C">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提供的董责险理赔服务项目≥5个，得10分；</w:t>
            </w:r>
          </w:p>
          <w:p w14:paraId="190F6019">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提供的董责险理赔服务项目≥3个，得5分</w:t>
            </w:r>
          </w:p>
          <w:p w14:paraId="5561DA97">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提供的董责险理赔服务项目&lt;3个，不得分</w:t>
            </w:r>
          </w:p>
          <w:p w14:paraId="1DE5235B">
            <w:pPr>
              <w:keepNext/>
              <w:keepLines w:val="0"/>
              <w:pageBreakBefore w:val="0"/>
              <w:widowControl w:val="0"/>
              <w:kinsoku/>
              <w:overflowPunct/>
              <w:topLinePunct w:val="0"/>
              <w:autoSpaceDE/>
              <w:autoSpaceDN/>
              <w:bidi w:val="0"/>
              <w:adjustRightInd w:val="0"/>
              <w:snapToGrid w:val="0"/>
              <w:spacing w:line="240" w:lineRule="auto"/>
              <w:ind w:left="0"/>
              <w:textAlignment w:val="auto"/>
              <w:rPr>
                <w:rFonts w:hint="eastAsia" w:ascii="方正楷体_GBK" w:hAnsi="方正楷体_GBK" w:eastAsia="方正楷体_GBK" w:cs="方正楷体_GBK"/>
                <w:b w:val="0"/>
                <w:bCs/>
                <w:kern w:val="2"/>
                <w:sz w:val="21"/>
                <w:szCs w:val="21"/>
                <w:lang w:val="en-US" w:eastAsia="zh-CN" w:bidi="ar-SA"/>
              </w:rPr>
            </w:pPr>
            <w:r>
              <w:rPr>
                <w:rFonts w:hint="eastAsia" w:ascii="方正楷体_GBK" w:hAnsi="方正楷体_GBK" w:eastAsia="方正楷体_GBK" w:cs="方正楷体_GBK"/>
                <w:b w:val="0"/>
                <w:bCs/>
                <w:kern w:val="2"/>
                <w:sz w:val="21"/>
                <w:szCs w:val="21"/>
                <w:lang w:val="en-US" w:eastAsia="zh-CN" w:bidi="ar-SA"/>
              </w:rPr>
              <w:t>注：须提供理赔通知书或理赔通知邮件等有效证明材料关键页（包括但不限于保单号码、可赔情况或理赔情况等，涉及敏感信息可脱敏处理）</w:t>
            </w:r>
          </w:p>
        </w:tc>
        <w:tc>
          <w:tcPr>
            <w:tcW w:w="780" w:type="dxa"/>
            <w:tcBorders>
              <w:top w:val="single" w:color="auto" w:sz="4" w:space="0"/>
              <w:left w:val="single" w:color="auto" w:sz="4" w:space="0"/>
              <w:bottom w:val="single" w:color="auto" w:sz="4" w:space="0"/>
              <w:right w:val="single" w:color="auto" w:sz="4" w:space="0"/>
            </w:tcBorders>
            <w:vAlign w:val="center"/>
          </w:tcPr>
          <w:p w14:paraId="70F5B5EE">
            <w:pPr>
              <w:keepLines w:val="0"/>
              <w:pageBreakBefore w:val="0"/>
              <w:widowControl w:val="0"/>
              <w:kinsoku/>
              <w:overflowPunct/>
              <w:topLinePunct w:val="0"/>
              <w:autoSpaceDE/>
              <w:autoSpaceDN/>
              <w:bidi w:val="0"/>
              <w:spacing w:line="240" w:lineRule="auto"/>
              <w:ind w:left="0"/>
              <w:jc w:val="center"/>
              <w:textAlignment w:val="auto"/>
              <w:rPr>
                <w:rFonts w:hint="eastAsia" w:ascii="方正楷体_GBK" w:hAnsi="方正楷体_GBK" w:eastAsia="方正楷体_GBK" w:cs="方正楷体_GBK"/>
                <w:b w:val="0"/>
                <w:bCs/>
                <w:kern w:val="2"/>
                <w:sz w:val="21"/>
                <w:szCs w:val="21"/>
                <w:lang w:val="en-US" w:eastAsia="zh-CN" w:bidi="ar-SA"/>
              </w:rPr>
            </w:pPr>
          </w:p>
        </w:tc>
      </w:tr>
      <w:tr w14:paraId="0F8C0602">
        <w:tblPrEx>
          <w:tblCellMar>
            <w:top w:w="0" w:type="dxa"/>
            <w:left w:w="108" w:type="dxa"/>
            <w:bottom w:w="0" w:type="dxa"/>
            <w:right w:w="108" w:type="dxa"/>
          </w:tblCellMar>
        </w:tblPrEx>
        <w:trPr>
          <w:trHeight w:val="674" w:hRule="atLeast"/>
        </w:trPr>
        <w:tc>
          <w:tcPr>
            <w:tcW w:w="570" w:type="dxa"/>
            <w:tcBorders>
              <w:top w:val="single" w:color="auto" w:sz="4" w:space="0"/>
              <w:left w:val="single" w:color="auto" w:sz="4" w:space="0"/>
              <w:bottom w:val="single" w:color="auto" w:sz="4" w:space="0"/>
              <w:right w:val="single" w:color="auto" w:sz="4" w:space="0"/>
            </w:tcBorders>
            <w:vAlign w:val="center"/>
          </w:tcPr>
          <w:p w14:paraId="7A445028">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6C248A39">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合计</w:t>
            </w:r>
          </w:p>
        </w:tc>
        <w:tc>
          <w:tcPr>
            <w:tcW w:w="543" w:type="dxa"/>
            <w:tcBorders>
              <w:top w:val="single" w:color="auto" w:sz="4" w:space="0"/>
              <w:left w:val="single" w:color="auto" w:sz="4" w:space="0"/>
              <w:bottom w:val="single" w:color="auto" w:sz="4" w:space="0"/>
              <w:right w:val="single" w:color="auto" w:sz="4" w:space="0"/>
            </w:tcBorders>
            <w:vAlign w:val="center"/>
          </w:tcPr>
          <w:p w14:paraId="331AB673">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r>
              <w:rPr>
                <w:rFonts w:hint="eastAsia" w:ascii="方正楷体_GBK" w:hAnsi="方正楷体_GBK" w:eastAsia="方正楷体_GBK" w:cs="方正楷体_GBK"/>
                <w:b w:val="0"/>
                <w:bCs/>
                <w:sz w:val="21"/>
                <w:szCs w:val="21"/>
              </w:rPr>
              <w:t>100</w:t>
            </w:r>
          </w:p>
        </w:tc>
        <w:tc>
          <w:tcPr>
            <w:tcW w:w="5447" w:type="dxa"/>
            <w:tcBorders>
              <w:top w:val="single" w:color="auto" w:sz="4" w:space="0"/>
              <w:left w:val="single" w:color="auto" w:sz="4" w:space="0"/>
              <w:bottom w:val="single" w:color="auto" w:sz="4" w:space="0"/>
              <w:right w:val="single" w:color="auto" w:sz="4" w:space="0"/>
            </w:tcBorders>
            <w:vAlign w:val="center"/>
          </w:tcPr>
          <w:p w14:paraId="2795D95F">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c>
          <w:tcPr>
            <w:tcW w:w="780" w:type="dxa"/>
            <w:tcBorders>
              <w:top w:val="nil"/>
              <w:left w:val="nil"/>
              <w:bottom w:val="single" w:color="auto" w:sz="4" w:space="0"/>
              <w:right w:val="single" w:color="auto" w:sz="4" w:space="0"/>
            </w:tcBorders>
            <w:vAlign w:val="center"/>
          </w:tcPr>
          <w:p w14:paraId="08A6C2B0">
            <w:pPr>
              <w:keepLines w:val="0"/>
              <w:pageBreakBefore w:val="0"/>
              <w:widowControl w:val="0"/>
              <w:kinsoku/>
              <w:overflowPunct/>
              <w:topLinePunct w:val="0"/>
              <w:autoSpaceDE/>
              <w:autoSpaceDN/>
              <w:bidi w:val="0"/>
              <w:adjustRightInd w:val="0"/>
              <w:snapToGrid w:val="0"/>
              <w:spacing w:line="240" w:lineRule="auto"/>
              <w:ind w:left="0"/>
              <w:jc w:val="center"/>
              <w:textAlignment w:val="auto"/>
              <w:rPr>
                <w:rFonts w:hint="eastAsia" w:ascii="方正楷体_GBK" w:hAnsi="方正楷体_GBK" w:eastAsia="方正楷体_GBK" w:cs="方正楷体_GBK"/>
                <w:b w:val="0"/>
                <w:bCs/>
                <w:sz w:val="21"/>
                <w:szCs w:val="21"/>
              </w:rPr>
            </w:pPr>
          </w:p>
        </w:tc>
      </w:tr>
    </w:tbl>
    <w:p w14:paraId="4DBA4DA7">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ascii="黑体" w:hAnsi="黑体" w:eastAsia="黑体" w:cs="黑体"/>
          <w:kern w:val="2"/>
          <w:sz w:val="21"/>
          <w:szCs w:val="21"/>
        </w:rPr>
      </w:pPr>
    </w:p>
    <w:p w14:paraId="64E8738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firstLineChars="20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777944D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w:t>
      </w:r>
      <w:bookmarkStart w:id="0" w:name="_GoBack"/>
      <w:bookmarkEnd w:id="0"/>
      <w:r>
        <w:rPr>
          <w:rFonts w:hint="eastAsia" w:ascii="黑体" w:hAnsi="黑体" w:eastAsia="黑体" w:cs="黑体"/>
          <w:kern w:val="2"/>
          <w:sz w:val="21"/>
          <w:szCs w:val="21"/>
          <w:lang w:eastAsia="zh-CN"/>
        </w:rPr>
        <w:t>中标</w:t>
      </w:r>
      <w:r>
        <w:rPr>
          <w:rFonts w:ascii="黑体" w:hAnsi="黑体" w:eastAsia="黑体" w:cs="黑体"/>
          <w:kern w:val="2"/>
          <w:sz w:val="21"/>
          <w:szCs w:val="21"/>
        </w:rPr>
        <w:t>候选供应商票数相同的情况，以未推荐上述单位的评审专家对并列第一的候选供应商既定打分排序作为最终选定依据。</w:t>
      </w:r>
    </w:p>
    <w:p w14:paraId="36D360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PingFang SC Regular">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800002BF" w:usb1="38CF7CFA" w:usb2="00000016" w:usb3="00000000" w:csb0="00040000" w:csb1="00000000"/>
  </w:font>
  <w:font w:name="CESI黑体-GB13000">
    <w:panose1 w:val="02000500000000000000"/>
    <w:charset w:val="86"/>
    <w:family w:val="auto"/>
    <w:pitch w:val="default"/>
    <w:sig w:usb0="800002BF" w:usb1="38CF7CF8"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VhMDlhOTk3ZTc4ZWFhYjJiOGFiYTU2ZTVjMzEifQ=="/>
  </w:docVars>
  <w:rsids>
    <w:rsidRoot w:val="5AB00F04"/>
    <w:rsid w:val="09440A55"/>
    <w:rsid w:val="109D44D0"/>
    <w:rsid w:val="2AEA5506"/>
    <w:rsid w:val="2DD02B28"/>
    <w:rsid w:val="2DF3032B"/>
    <w:rsid w:val="362D7FF8"/>
    <w:rsid w:val="3E76F33A"/>
    <w:rsid w:val="3F9F46CC"/>
    <w:rsid w:val="3FD7572F"/>
    <w:rsid w:val="42AE556F"/>
    <w:rsid w:val="496E5696"/>
    <w:rsid w:val="4BD75B0A"/>
    <w:rsid w:val="544333A3"/>
    <w:rsid w:val="5AB00F04"/>
    <w:rsid w:val="5FFD0D45"/>
    <w:rsid w:val="64EB45D2"/>
    <w:rsid w:val="66051C6E"/>
    <w:rsid w:val="6861575B"/>
    <w:rsid w:val="6BDB75D3"/>
    <w:rsid w:val="6E510020"/>
    <w:rsid w:val="78BEA607"/>
    <w:rsid w:val="7C847596"/>
    <w:rsid w:val="7DCE833A"/>
    <w:rsid w:val="7FE74FAD"/>
    <w:rsid w:val="7FF79E47"/>
    <w:rsid w:val="7FFF1A36"/>
    <w:rsid w:val="8F7ED425"/>
    <w:rsid w:val="BBFF92AD"/>
    <w:rsid w:val="BDCB6565"/>
    <w:rsid w:val="BFAF6F56"/>
    <w:rsid w:val="BFF51FB7"/>
    <w:rsid w:val="BFFF84D2"/>
    <w:rsid w:val="FFE7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835</Words>
  <Characters>878</Characters>
  <Lines>0</Lines>
  <Paragraphs>0</Paragraphs>
  <TotalTime>0</TotalTime>
  <ScaleCrop>false</ScaleCrop>
  <LinksUpToDate>false</LinksUpToDate>
  <CharactersWithSpaces>941</CharactersWithSpaces>
  <Application>WPS Office_12.1.2.26885_F1E327BC-269C-435d-A152-05C5408002CA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2021-04-07T09:41:00Z</dcterms:created>
  <dc:creator>苏述超</dc:creator>
  <cp:lastModifiedBy>苏述超</cp:lastModifiedBy>
  <dcterms:modified xsi:type="dcterms:W3CDTF">2026-07-02T14:23:12Z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2052-12.1.2.26885</vt:lpwstr>
  </property>
  <property fmtid="{D5CDD505-2E9C-101B-9397-08002B2CF9AE}" pid="3" name="ICV">
    <vt:lpwstr>800C77DB2FB6444F81A178C03576ACFD</vt:lpwstr>
  </property>
  <property fmtid="{D5CDD505-2E9C-101B-9397-08002B2CF9AE}" pid="4" name="KSOTemplateDocerSaveRecord">
    <vt:lpwstr>eyJoZGlkIjoiZDVjOTM1OWRjMjJjZjIyOWE5NDg2NjkxMjM2N2UwOTciLCJ1c2VySWQiOiIyNjQ5OTkyIn0=</vt:lpwstr>
  </property>
</Properties>
</file>