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1A53FFD">
      <w:pPr>
        <w:rPr>
          <w:rFonts w:hint="eastAsia"/>
          <w:lang w:eastAsia="zh-CN"/>
        </w:rPr>
      </w:pPr>
      <w:r>
        <w:rPr>
          <w:rFonts w:hint="eastAsia" w:ascii="仿宋_GB2312" w:eastAsia="仿宋_GB2312"/>
          <w:b/>
          <w:bCs/>
          <w:sz w:val="30"/>
          <w:szCs w:val="30"/>
        </w:rPr>
        <w:t>附件</w:t>
      </w:r>
      <w:r>
        <w:rPr>
          <w:rFonts w:hint="eastAsia" w:ascii="仿宋_GB2312" w:eastAsia="仿宋_GB2312"/>
          <w:b/>
          <w:bCs/>
          <w:sz w:val="30"/>
          <w:szCs w:val="30"/>
          <w:lang w:val="en-US" w:eastAsia="zh-CN"/>
        </w:rPr>
        <w:t>4</w:t>
      </w:r>
      <w:r>
        <w:rPr>
          <w:rFonts w:hint="eastAsia" w:ascii="仿宋_GB2312" w:eastAsia="仿宋_GB2312"/>
          <w:b/>
          <w:bCs/>
          <w:sz w:val="30"/>
          <w:szCs w:val="30"/>
        </w:rPr>
        <w:t>：</w:t>
      </w:r>
      <w:r>
        <w:rPr>
          <w:rFonts w:hint="eastAsia" w:ascii="仿宋_GB2312" w:eastAsia="仿宋_GB2312"/>
          <w:b/>
          <w:bCs/>
          <w:sz w:val="30"/>
          <w:szCs w:val="30"/>
          <w:lang w:eastAsia="zh-CN"/>
        </w:rPr>
        <w:t>综合评分表</w:t>
      </w:r>
    </w:p>
    <w:p w14:paraId="604AED12">
      <w:pPr>
        <w:widowControl w:val="0"/>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240"/>
        </w:tabs>
        <w:spacing w:before="0" w:line="360" w:lineRule="auto"/>
        <w:jc w:val="center"/>
        <w:rPr>
          <w:rFonts w:hint="default" w:ascii="PingFang SC Regular" w:hAnsi="PingFang SC Regular" w:eastAsia="PingFang SC Regular" w:cs="PingFang SC Regular"/>
          <w:sz w:val="36"/>
          <w:szCs w:val="36"/>
        </w:rPr>
      </w:pPr>
      <w:r>
        <w:rPr>
          <w:rFonts w:hint="eastAsia" w:eastAsia="PingFang SC Regular"/>
          <w:sz w:val="36"/>
          <w:szCs w:val="36"/>
          <w:lang w:val="en-US" w:eastAsia="zh-CN"/>
        </w:rPr>
        <w:t>龙岗区城投集团董事、高级管理人员责任险服务</w:t>
      </w:r>
    </w:p>
    <w:p w14:paraId="541451B9">
      <w:pPr>
        <w:widowControl w:val="0"/>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240"/>
        </w:tabs>
        <w:spacing w:before="0" w:line="360" w:lineRule="auto"/>
        <w:jc w:val="center"/>
        <w:rPr>
          <w:rFonts w:hint="default" w:ascii="PingFang SC Regular" w:hAnsi="PingFang SC Regular" w:eastAsia="PingFang SC Regular" w:cs="PingFang SC Regular"/>
          <w:kern w:val="2"/>
          <w:sz w:val="36"/>
          <w:szCs w:val="36"/>
        </w:rPr>
      </w:pPr>
      <w:r>
        <w:rPr>
          <w:rFonts w:eastAsia="PingFang SC Regular"/>
          <w:kern w:val="2"/>
          <w:sz w:val="36"/>
          <w:szCs w:val="36"/>
        </w:rPr>
        <w:t>综合评分表</w:t>
      </w:r>
    </w:p>
    <w:tbl>
      <w:tblPr>
        <w:tblStyle w:val="5"/>
        <w:tblW w:w="9632" w:type="dxa"/>
        <w:tblInd w:w="-246" w:type="dxa"/>
        <w:tblLayout w:type="fixed"/>
        <w:tblCellMar>
          <w:top w:w="0" w:type="dxa"/>
          <w:left w:w="108" w:type="dxa"/>
          <w:bottom w:w="0" w:type="dxa"/>
          <w:right w:w="108" w:type="dxa"/>
        </w:tblCellMar>
      </w:tblPr>
      <w:tblGrid>
        <w:gridCol w:w="570"/>
        <w:gridCol w:w="771"/>
        <w:gridCol w:w="1521"/>
        <w:gridCol w:w="543"/>
        <w:gridCol w:w="5447"/>
        <w:gridCol w:w="780"/>
      </w:tblGrid>
      <w:tr w14:paraId="28D91643">
        <w:tblPrEx>
          <w:tblCellMar>
            <w:top w:w="0" w:type="dxa"/>
            <w:left w:w="108" w:type="dxa"/>
            <w:bottom w:w="0" w:type="dxa"/>
            <w:right w:w="108" w:type="dxa"/>
          </w:tblCellMar>
        </w:tblPrEx>
        <w:trPr>
          <w:trHeight w:val="658" w:hRule="atLeast"/>
        </w:trPr>
        <w:tc>
          <w:tcPr>
            <w:tcW w:w="570" w:type="dxa"/>
            <w:tcBorders>
              <w:top w:val="single" w:color="auto" w:sz="4" w:space="0"/>
              <w:left w:val="single" w:color="auto" w:sz="4" w:space="0"/>
              <w:bottom w:val="single" w:color="auto" w:sz="4" w:space="0"/>
              <w:right w:val="single" w:color="auto" w:sz="4" w:space="0"/>
            </w:tcBorders>
            <w:vAlign w:val="center"/>
          </w:tcPr>
          <w:p w14:paraId="183E89F2">
            <w:pPr>
              <w:keepLines w:val="0"/>
              <w:pageBreakBefore w:val="0"/>
              <w:widowControl w:val="0"/>
              <w:kinsoku/>
              <w:overflowPunct/>
              <w:topLinePunct w:val="0"/>
              <w:autoSpaceDE/>
              <w:autoSpaceDN/>
              <w:bidi w:val="0"/>
              <w:adjustRightInd w:val="0"/>
              <w:snapToGrid w:val="0"/>
              <w:spacing w:line="240" w:lineRule="auto"/>
              <w:ind w:left="0"/>
              <w:jc w:val="center"/>
              <w:textAlignment w:val="auto"/>
              <w:rPr>
                <w:rFonts w:hint="eastAsia" w:ascii="方正楷体_GBK" w:hAnsi="方正楷体_GBK" w:eastAsia="方正楷体_GBK" w:cs="方正楷体_GBK"/>
                <w:b/>
                <w:bCs w:val="0"/>
                <w:sz w:val="21"/>
                <w:szCs w:val="21"/>
              </w:rPr>
            </w:pPr>
            <w:r>
              <w:rPr>
                <w:rFonts w:hint="eastAsia" w:ascii="方正楷体_GBK" w:hAnsi="方正楷体_GBK" w:eastAsia="方正楷体_GBK" w:cs="方正楷体_GBK"/>
                <w:b/>
                <w:bCs w:val="0"/>
                <w:sz w:val="21"/>
                <w:szCs w:val="21"/>
              </w:rPr>
              <w:t>序号</w:t>
            </w:r>
          </w:p>
        </w:tc>
        <w:tc>
          <w:tcPr>
            <w:tcW w:w="2292" w:type="dxa"/>
            <w:gridSpan w:val="2"/>
            <w:tcBorders>
              <w:top w:val="single" w:color="auto" w:sz="4" w:space="0"/>
              <w:left w:val="single" w:color="auto" w:sz="4" w:space="0"/>
              <w:bottom w:val="single" w:color="auto" w:sz="4" w:space="0"/>
              <w:right w:val="single" w:color="auto" w:sz="4" w:space="0"/>
            </w:tcBorders>
            <w:vAlign w:val="center"/>
          </w:tcPr>
          <w:p w14:paraId="3989164A">
            <w:pPr>
              <w:keepLines w:val="0"/>
              <w:pageBreakBefore w:val="0"/>
              <w:widowControl w:val="0"/>
              <w:kinsoku/>
              <w:overflowPunct/>
              <w:topLinePunct w:val="0"/>
              <w:autoSpaceDE/>
              <w:autoSpaceDN/>
              <w:bidi w:val="0"/>
              <w:adjustRightInd w:val="0"/>
              <w:snapToGrid w:val="0"/>
              <w:spacing w:line="240" w:lineRule="auto"/>
              <w:ind w:left="0"/>
              <w:jc w:val="center"/>
              <w:textAlignment w:val="auto"/>
              <w:rPr>
                <w:rFonts w:hint="eastAsia" w:ascii="方正楷体_GBK" w:hAnsi="方正楷体_GBK" w:eastAsia="方正楷体_GBK" w:cs="方正楷体_GBK"/>
                <w:b/>
                <w:bCs w:val="0"/>
                <w:sz w:val="21"/>
                <w:szCs w:val="21"/>
              </w:rPr>
            </w:pPr>
            <w:r>
              <w:rPr>
                <w:rFonts w:hint="eastAsia" w:ascii="方正楷体_GBK" w:hAnsi="方正楷体_GBK" w:eastAsia="方正楷体_GBK" w:cs="方正楷体_GBK"/>
                <w:b/>
                <w:bCs w:val="0"/>
                <w:sz w:val="21"/>
                <w:szCs w:val="21"/>
              </w:rPr>
              <w:t>评分项</w:t>
            </w:r>
          </w:p>
        </w:tc>
        <w:tc>
          <w:tcPr>
            <w:tcW w:w="543" w:type="dxa"/>
            <w:tcBorders>
              <w:top w:val="single" w:color="auto" w:sz="4" w:space="0"/>
              <w:left w:val="single" w:color="auto" w:sz="4" w:space="0"/>
              <w:bottom w:val="single" w:color="auto" w:sz="4" w:space="0"/>
              <w:right w:val="single" w:color="auto" w:sz="4" w:space="0"/>
            </w:tcBorders>
            <w:vAlign w:val="center"/>
          </w:tcPr>
          <w:p w14:paraId="4C1E6C95">
            <w:pPr>
              <w:keepLines w:val="0"/>
              <w:pageBreakBefore w:val="0"/>
              <w:widowControl w:val="0"/>
              <w:kinsoku/>
              <w:overflowPunct/>
              <w:topLinePunct w:val="0"/>
              <w:autoSpaceDE/>
              <w:autoSpaceDN/>
              <w:bidi w:val="0"/>
              <w:adjustRightInd w:val="0"/>
              <w:snapToGrid w:val="0"/>
              <w:spacing w:line="240" w:lineRule="auto"/>
              <w:ind w:left="0"/>
              <w:jc w:val="center"/>
              <w:textAlignment w:val="auto"/>
              <w:rPr>
                <w:rFonts w:hint="eastAsia" w:ascii="方正楷体_GBK" w:hAnsi="方正楷体_GBK" w:eastAsia="方正楷体_GBK" w:cs="方正楷体_GBK"/>
                <w:b/>
                <w:bCs w:val="0"/>
                <w:sz w:val="21"/>
                <w:szCs w:val="21"/>
              </w:rPr>
            </w:pPr>
            <w:r>
              <w:rPr>
                <w:rFonts w:hint="eastAsia" w:ascii="方正楷体_GBK" w:hAnsi="方正楷体_GBK" w:eastAsia="方正楷体_GBK" w:cs="方正楷体_GBK"/>
                <w:b/>
                <w:bCs w:val="0"/>
                <w:sz w:val="21"/>
                <w:szCs w:val="21"/>
              </w:rPr>
              <w:t>分值</w:t>
            </w:r>
          </w:p>
        </w:tc>
        <w:tc>
          <w:tcPr>
            <w:tcW w:w="5447" w:type="dxa"/>
            <w:tcBorders>
              <w:top w:val="single" w:color="auto" w:sz="4" w:space="0"/>
              <w:left w:val="single" w:color="auto" w:sz="4" w:space="0"/>
              <w:bottom w:val="single" w:color="auto" w:sz="4" w:space="0"/>
              <w:right w:val="single" w:color="auto" w:sz="4" w:space="0"/>
            </w:tcBorders>
            <w:vAlign w:val="center"/>
          </w:tcPr>
          <w:p w14:paraId="1084004A">
            <w:pPr>
              <w:keepLines w:val="0"/>
              <w:pageBreakBefore w:val="0"/>
              <w:widowControl w:val="0"/>
              <w:kinsoku/>
              <w:overflowPunct/>
              <w:topLinePunct w:val="0"/>
              <w:autoSpaceDE/>
              <w:autoSpaceDN/>
              <w:bidi w:val="0"/>
              <w:adjustRightInd w:val="0"/>
              <w:snapToGrid w:val="0"/>
              <w:spacing w:line="240" w:lineRule="auto"/>
              <w:ind w:left="0"/>
              <w:jc w:val="center"/>
              <w:textAlignment w:val="auto"/>
              <w:rPr>
                <w:rFonts w:hint="eastAsia" w:ascii="方正楷体_GBK" w:hAnsi="方正楷体_GBK" w:eastAsia="方正楷体_GBK" w:cs="方正楷体_GBK"/>
                <w:b/>
                <w:bCs w:val="0"/>
                <w:sz w:val="21"/>
                <w:szCs w:val="21"/>
              </w:rPr>
            </w:pPr>
            <w:r>
              <w:rPr>
                <w:rFonts w:hint="eastAsia" w:ascii="方正楷体_GBK" w:hAnsi="方正楷体_GBK" w:eastAsia="方正楷体_GBK" w:cs="方正楷体_GBK"/>
                <w:b/>
                <w:bCs w:val="0"/>
                <w:sz w:val="21"/>
                <w:szCs w:val="21"/>
              </w:rPr>
              <w:t>评分规则</w:t>
            </w:r>
          </w:p>
        </w:tc>
        <w:tc>
          <w:tcPr>
            <w:tcW w:w="780" w:type="dxa"/>
            <w:tcBorders>
              <w:top w:val="single" w:color="auto" w:sz="4" w:space="0"/>
              <w:left w:val="nil"/>
              <w:bottom w:val="single" w:color="auto" w:sz="4" w:space="0"/>
              <w:right w:val="single" w:color="auto" w:sz="4" w:space="0"/>
            </w:tcBorders>
            <w:vAlign w:val="center"/>
          </w:tcPr>
          <w:p w14:paraId="7E664162">
            <w:pPr>
              <w:keepLines w:val="0"/>
              <w:pageBreakBefore w:val="0"/>
              <w:widowControl w:val="0"/>
              <w:kinsoku/>
              <w:overflowPunct/>
              <w:topLinePunct w:val="0"/>
              <w:autoSpaceDE/>
              <w:autoSpaceDN/>
              <w:bidi w:val="0"/>
              <w:adjustRightInd w:val="0"/>
              <w:snapToGrid w:val="0"/>
              <w:spacing w:line="240" w:lineRule="auto"/>
              <w:ind w:left="0"/>
              <w:jc w:val="center"/>
              <w:textAlignment w:val="auto"/>
              <w:rPr>
                <w:rFonts w:hint="eastAsia" w:ascii="方正楷体_GBK" w:hAnsi="方正楷体_GBK" w:eastAsia="方正楷体_GBK" w:cs="方正楷体_GBK"/>
                <w:b/>
                <w:bCs w:val="0"/>
                <w:sz w:val="21"/>
                <w:szCs w:val="21"/>
              </w:rPr>
            </w:pPr>
            <w:r>
              <w:rPr>
                <w:rFonts w:hint="eastAsia" w:ascii="方正楷体_GBK" w:hAnsi="方正楷体_GBK" w:eastAsia="方正楷体_GBK" w:cs="方正楷体_GBK"/>
                <w:b/>
                <w:bCs w:val="0"/>
                <w:sz w:val="21"/>
                <w:szCs w:val="21"/>
              </w:rPr>
              <w:t>备注</w:t>
            </w:r>
          </w:p>
        </w:tc>
      </w:tr>
      <w:tr w14:paraId="4A330D7C">
        <w:tblPrEx>
          <w:tblCellMar>
            <w:top w:w="0" w:type="dxa"/>
            <w:left w:w="108" w:type="dxa"/>
            <w:bottom w:w="0" w:type="dxa"/>
            <w:right w:w="108" w:type="dxa"/>
          </w:tblCellMar>
        </w:tblPrEx>
        <w:trPr>
          <w:trHeight w:val="766" w:hRule="atLeast"/>
        </w:trPr>
        <w:tc>
          <w:tcPr>
            <w:tcW w:w="570" w:type="dxa"/>
            <w:tcBorders>
              <w:top w:val="nil"/>
              <w:left w:val="single" w:color="auto" w:sz="4" w:space="0"/>
              <w:bottom w:val="single" w:color="auto" w:sz="4" w:space="0"/>
              <w:right w:val="single" w:color="auto" w:sz="4" w:space="0"/>
            </w:tcBorders>
            <w:vAlign w:val="center"/>
          </w:tcPr>
          <w:p w14:paraId="4467DC4B">
            <w:pPr>
              <w:keepLines w:val="0"/>
              <w:pageBreakBefore w:val="0"/>
              <w:widowControl w:val="0"/>
              <w:kinsoku/>
              <w:overflowPunct/>
              <w:topLinePunct w:val="0"/>
              <w:autoSpaceDE/>
              <w:autoSpaceDN/>
              <w:bidi w:val="0"/>
              <w:adjustRightInd w:val="0"/>
              <w:snapToGrid w:val="0"/>
              <w:spacing w:line="240" w:lineRule="auto"/>
              <w:ind w:left="0"/>
              <w:jc w:val="center"/>
              <w:textAlignment w:val="auto"/>
              <w:rPr>
                <w:rFonts w:hint="eastAsia" w:ascii="方正楷体_GBK" w:hAnsi="方正楷体_GBK" w:eastAsia="方正楷体_GBK" w:cs="方正楷体_GBK"/>
                <w:b w:val="0"/>
                <w:bCs/>
                <w:sz w:val="21"/>
                <w:szCs w:val="21"/>
              </w:rPr>
            </w:pPr>
            <w:r>
              <w:rPr>
                <w:rFonts w:hint="eastAsia" w:ascii="方正楷体_GBK" w:hAnsi="方正楷体_GBK" w:eastAsia="方正楷体_GBK" w:cs="方正楷体_GBK"/>
                <w:b w:val="0"/>
                <w:bCs/>
                <w:sz w:val="21"/>
                <w:szCs w:val="21"/>
              </w:rPr>
              <w:t>1</w:t>
            </w:r>
          </w:p>
        </w:tc>
        <w:tc>
          <w:tcPr>
            <w:tcW w:w="2292" w:type="dxa"/>
            <w:gridSpan w:val="2"/>
            <w:tcBorders>
              <w:top w:val="single" w:color="auto" w:sz="4" w:space="0"/>
              <w:left w:val="single" w:color="auto" w:sz="4" w:space="0"/>
              <w:bottom w:val="single" w:color="auto" w:sz="4" w:space="0"/>
              <w:right w:val="single" w:color="auto" w:sz="4" w:space="0"/>
            </w:tcBorders>
            <w:vAlign w:val="center"/>
          </w:tcPr>
          <w:p w14:paraId="099CEB43">
            <w:pPr>
              <w:keepLines w:val="0"/>
              <w:pageBreakBefore w:val="0"/>
              <w:widowControl w:val="0"/>
              <w:tabs>
                <w:tab w:val="left" w:pos="900"/>
              </w:tabs>
              <w:kinsoku/>
              <w:overflowPunct/>
              <w:topLinePunct w:val="0"/>
              <w:autoSpaceDE/>
              <w:autoSpaceDN/>
              <w:bidi w:val="0"/>
              <w:spacing w:line="240" w:lineRule="auto"/>
              <w:ind w:left="0"/>
              <w:jc w:val="center"/>
              <w:textAlignment w:val="auto"/>
              <w:rPr>
                <w:rFonts w:hint="eastAsia" w:ascii="方正楷体_GBK" w:hAnsi="方正楷体_GBK" w:eastAsia="方正楷体_GBK" w:cs="方正楷体_GBK"/>
                <w:b w:val="0"/>
                <w:bCs/>
                <w:sz w:val="21"/>
                <w:szCs w:val="21"/>
              </w:rPr>
            </w:pPr>
            <w:r>
              <w:rPr>
                <w:rFonts w:hint="eastAsia" w:ascii="方正楷体_GBK" w:hAnsi="方正楷体_GBK" w:eastAsia="方正楷体_GBK" w:cs="方正楷体_GBK"/>
                <w:b w:val="0"/>
                <w:bCs/>
                <w:sz w:val="21"/>
                <w:szCs w:val="21"/>
              </w:rPr>
              <w:t>报价</w:t>
            </w:r>
          </w:p>
        </w:tc>
        <w:tc>
          <w:tcPr>
            <w:tcW w:w="543" w:type="dxa"/>
            <w:tcBorders>
              <w:top w:val="single" w:color="auto" w:sz="4" w:space="0"/>
              <w:left w:val="single" w:color="auto" w:sz="4" w:space="0"/>
              <w:bottom w:val="single" w:color="auto" w:sz="4" w:space="0"/>
              <w:right w:val="single" w:color="auto" w:sz="4" w:space="0"/>
            </w:tcBorders>
            <w:vAlign w:val="center"/>
          </w:tcPr>
          <w:p w14:paraId="7DDF7195">
            <w:pPr>
              <w:keepLines w:val="0"/>
              <w:pageBreakBefore w:val="0"/>
              <w:widowControl w:val="0"/>
              <w:kinsoku/>
              <w:overflowPunct/>
              <w:topLinePunct w:val="0"/>
              <w:autoSpaceDE/>
              <w:autoSpaceDN/>
              <w:bidi w:val="0"/>
              <w:spacing w:line="240" w:lineRule="auto"/>
              <w:ind w:left="0"/>
              <w:jc w:val="center"/>
              <w:textAlignment w:val="auto"/>
              <w:rPr>
                <w:rFonts w:hint="eastAsia" w:ascii="方正楷体_GBK" w:hAnsi="方正楷体_GBK" w:eastAsia="方正楷体_GBK" w:cs="方正楷体_GBK"/>
                <w:b w:val="0"/>
                <w:bCs/>
                <w:sz w:val="21"/>
                <w:szCs w:val="21"/>
                <w:lang w:val="en-US"/>
              </w:rPr>
            </w:pPr>
            <w:r>
              <w:rPr>
                <w:rFonts w:hint="eastAsia" w:ascii="方正楷体_GBK" w:hAnsi="方正楷体_GBK" w:eastAsia="方正楷体_GBK" w:cs="方正楷体_GBK"/>
                <w:b w:val="0"/>
                <w:bCs/>
                <w:sz w:val="21"/>
                <w:szCs w:val="21"/>
                <w:lang w:val="en-US" w:eastAsia="zh-CN"/>
              </w:rPr>
              <w:t>25</w:t>
            </w:r>
          </w:p>
        </w:tc>
        <w:tc>
          <w:tcPr>
            <w:tcW w:w="5447" w:type="dxa"/>
            <w:tcBorders>
              <w:top w:val="single" w:color="auto" w:sz="4" w:space="0"/>
              <w:left w:val="single" w:color="auto" w:sz="4" w:space="0"/>
              <w:bottom w:val="single" w:color="auto" w:sz="4" w:space="0"/>
              <w:right w:val="single" w:color="auto" w:sz="4" w:space="0"/>
            </w:tcBorders>
            <w:vAlign w:val="center"/>
          </w:tcPr>
          <w:p w14:paraId="3AB4E9AC">
            <w:pPr>
              <w:keepLines w:val="0"/>
              <w:pageBreakBefore w:val="0"/>
              <w:widowControl w:val="0"/>
              <w:kinsoku/>
              <w:overflowPunct/>
              <w:topLinePunct w:val="0"/>
              <w:autoSpaceDE/>
              <w:autoSpaceDN/>
              <w:bidi w:val="0"/>
              <w:adjustRightInd w:val="0"/>
              <w:snapToGrid w:val="0"/>
              <w:spacing w:line="240" w:lineRule="auto"/>
              <w:ind w:left="0"/>
              <w:jc w:val="left"/>
              <w:textAlignment w:val="auto"/>
              <w:rPr>
                <w:rFonts w:hint="eastAsia" w:ascii="方正楷体_GBK" w:hAnsi="方正楷体_GBK" w:eastAsia="方正楷体_GBK" w:cs="方正楷体_GBK"/>
                <w:b w:val="0"/>
                <w:bCs/>
                <w:sz w:val="21"/>
                <w:szCs w:val="21"/>
              </w:rPr>
            </w:pPr>
            <w:r>
              <w:rPr>
                <w:rFonts w:hint="eastAsia" w:ascii="方正楷体_GBK" w:hAnsi="方正楷体_GBK" w:eastAsia="方正楷体_GBK" w:cs="方正楷体_GBK"/>
                <w:b w:val="0"/>
                <w:bCs/>
                <w:sz w:val="21"/>
                <w:szCs w:val="21"/>
              </w:rPr>
              <w:t>价格分计算方法：报价为平均数的为最高分即满分。</w:t>
            </w:r>
          </w:p>
          <w:p w14:paraId="2F255CD4">
            <w:pPr>
              <w:keepLines w:val="0"/>
              <w:pageBreakBefore w:val="0"/>
              <w:widowControl w:val="0"/>
              <w:kinsoku/>
              <w:overflowPunct/>
              <w:topLinePunct w:val="0"/>
              <w:autoSpaceDE/>
              <w:autoSpaceDN/>
              <w:bidi w:val="0"/>
              <w:adjustRightInd w:val="0"/>
              <w:snapToGrid w:val="0"/>
              <w:spacing w:line="240" w:lineRule="auto"/>
              <w:ind w:left="0"/>
              <w:jc w:val="left"/>
              <w:textAlignment w:val="auto"/>
              <w:rPr>
                <w:rFonts w:hint="eastAsia" w:ascii="方正楷体_GBK" w:hAnsi="方正楷体_GBK" w:eastAsia="方正楷体_GBK" w:cs="方正楷体_GBK"/>
                <w:b w:val="0"/>
                <w:bCs/>
                <w:sz w:val="21"/>
                <w:szCs w:val="21"/>
                <w:lang w:eastAsia="zh-CN"/>
              </w:rPr>
            </w:pPr>
            <w:r>
              <w:rPr>
                <w:rFonts w:hint="eastAsia" w:ascii="方正楷体_GBK" w:hAnsi="方正楷体_GBK" w:eastAsia="方正楷体_GBK" w:cs="方正楷体_GBK"/>
                <w:b w:val="0"/>
                <w:bCs/>
                <w:sz w:val="21"/>
                <w:szCs w:val="21"/>
                <w:lang w:val="en-US" w:eastAsia="zh-CN"/>
              </w:rPr>
              <w:t>假设供应商的</w:t>
            </w:r>
            <w:r>
              <w:rPr>
                <w:rFonts w:hint="eastAsia" w:ascii="方正楷体_GBK" w:hAnsi="方正楷体_GBK" w:eastAsia="方正楷体_GBK" w:cs="方正楷体_GBK"/>
                <w:b w:val="0"/>
                <w:bCs/>
                <w:sz w:val="21"/>
                <w:szCs w:val="21"/>
              </w:rPr>
              <w:t>报价结果分别为B1、B2</w:t>
            </w:r>
            <w:r>
              <w:rPr>
                <w:rFonts w:hint="eastAsia" w:ascii="方正楷体_GBK" w:hAnsi="方正楷体_GBK" w:eastAsia="方正楷体_GBK" w:cs="方正楷体_GBK"/>
                <w:b w:val="0"/>
                <w:bCs/>
                <w:sz w:val="21"/>
                <w:szCs w:val="21"/>
                <w:lang w:eastAsia="zh-CN"/>
              </w:rPr>
              <w:t>、</w:t>
            </w:r>
            <w:r>
              <w:rPr>
                <w:rFonts w:hint="eastAsia" w:ascii="方正楷体_GBK" w:hAnsi="方正楷体_GBK" w:eastAsia="方正楷体_GBK" w:cs="方正楷体_GBK"/>
                <w:b w:val="0"/>
                <w:bCs/>
                <w:sz w:val="21"/>
                <w:szCs w:val="21"/>
              </w:rPr>
              <w:t>B3……Bn，则报价的平均</w:t>
            </w:r>
            <w:r>
              <w:rPr>
                <w:rFonts w:hint="eastAsia" w:ascii="方正楷体_GBK" w:hAnsi="方正楷体_GBK" w:eastAsia="方正楷体_GBK" w:cs="方正楷体_GBK"/>
                <w:b w:val="0"/>
                <w:bCs/>
                <w:sz w:val="21"/>
                <w:szCs w:val="21"/>
                <w:lang w:val="en-US" w:eastAsia="zh-CN"/>
              </w:rPr>
              <w:t>数</w:t>
            </w:r>
            <w:r>
              <w:rPr>
                <w:rFonts w:hint="eastAsia" w:ascii="方正楷体_GBK" w:hAnsi="方正楷体_GBK" w:eastAsia="方正楷体_GBK" w:cs="方正楷体_GBK"/>
                <w:b w:val="0"/>
                <w:bCs/>
                <w:sz w:val="21"/>
                <w:szCs w:val="21"/>
              </w:rPr>
              <w:t>为C=[B1＋B2＋B3＋……＋Bn]÷n</w:t>
            </w:r>
            <w:r>
              <w:rPr>
                <w:rFonts w:hint="eastAsia" w:ascii="方正楷体_GBK" w:hAnsi="方正楷体_GBK" w:eastAsia="方正楷体_GBK" w:cs="方正楷体_GBK"/>
                <w:b w:val="0"/>
                <w:bCs/>
                <w:sz w:val="21"/>
                <w:szCs w:val="21"/>
                <w:lang w:eastAsia="zh-CN"/>
              </w:rPr>
              <w:t>，</w:t>
            </w:r>
            <w:r>
              <w:rPr>
                <w:rFonts w:hint="eastAsia" w:ascii="方正楷体_GBK" w:hAnsi="方正楷体_GBK" w:eastAsia="方正楷体_GBK" w:cs="方正楷体_GBK"/>
                <w:b w:val="0"/>
                <w:bCs/>
                <w:sz w:val="21"/>
                <w:szCs w:val="21"/>
              </w:rPr>
              <w:t>供应商</w:t>
            </w:r>
            <w:r>
              <w:rPr>
                <w:rFonts w:hint="eastAsia" w:ascii="方正楷体_GBK" w:hAnsi="方正楷体_GBK" w:eastAsia="方正楷体_GBK" w:cs="方正楷体_GBK"/>
                <w:b w:val="0"/>
                <w:bCs/>
                <w:sz w:val="21"/>
                <w:szCs w:val="21"/>
                <w:lang w:val="en-US" w:eastAsia="zh-CN"/>
              </w:rPr>
              <w:t>n的</w:t>
            </w:r>
            <w:r>
              <w:rPr>
                <w:rFonts w:hint="eastAsia" w:ascii="方正楷体_GBK" w:hAnsi="方正楷体_GBK" w:eastAsia="方正楷体_GBK" w:cs="方正楷体_GBK"/>
                <w:b w:val="0"/>
                <w:bCs/>
                <w:sz w:val="21"/>
                <w:szCs w:val="21"/>
              </w:rPr>
              <w:t>报价得分=</w:t>
            </w:r>
            <w:r>
              <w:rPr>
                <w:rFonts w:hint="eastAsia" w:ascii="方正楷体_GBK" w:hAnsi="方正楷体_GBK" w:eastAsia="方正楷体_GBK" w:cs="方正楷体_GBK"/>
                <w:b w:val="0"/>
                <w:bCs/>
                <w:sz w:val="21"/>
                <w:szCs w:val="21"/>
                <w:lang w:val="en-US" w:eastAsia="zh-CN"/>
              </w:rPr>
              <w:t>25×</w:t>
            </w:r>
            <w:r>
              <w:rPr>
                <w:rFonts w:hint="eastAsia" w:ascii="方正楷体_GBK" w:hAnsi="方正楷体_GBK" w:eastAsia="方正楷体_GBK" w:cs="方正楷体_GBK"/>
                <w:b w:val="0"/>
                <w:bCs/>
                <w:sz w:val="21"/>
                <w:szCs w:val="21"/>
              </w:rPr>
              <w:t>{1-(∣Bn－C∣)÷C}</w:t>
            </w:r>
            <w:r>
              <w:rPr>
                <w:rFonts w:hint="eastAsia" w:ascii="方正楷体_GBK" w:hAnsi="方正楷体_GBK" w:eastAsia="方正楷体_GBK" w:cs="方正楷体_GBK"/>
                <w:b w:val="0"/>
                <w:bCs/>
                <w:sz w:val="21"/>
                <w:szCs w:val="21"/>
                <w:lang w:eastAsia="zh-CN"/>
              </w:rPr>
              <w:t>。</w:t>
            </w:r>
          </w:p>
        </w:tc>
        <w:tc>
          <w:tcPr>
            <w:tcW w:w="780" w:type="dxa"/>
            <w:tcBorders>
              <w:top w:val="single" w:color="auto" w:sz="4" w:space="0"/>
              <w:left w:val="single" w:color="auto" w:sz="4" w:space="0"/>
              <w:bottom w:val="single" w:color="auto" w:sz="4" w:space="0"/>
              <w:right w:val="single" w:color="auto" w:sz="4" w:space="0"/>
            </w:tcBorders>
            <w:vAlign w:val="center"/>
          </w:tcPr>
          <w:p w14:paraId="18F83DD1">
            <w:pPr>
              <w:keepLines w:val="0"/>
              <w:pageBreakBefore w:val="0"/>
              <w:widowControl w:val="0"/>
              <w:kinsoku/>
              <w:overflowPunct/>
              <w:topLinePunct w:val="0"/>
              <w:autoSpaceDE/>
              <w:autoSpaceDN/>
              <w:bidi w:val="0"/>
              <w:adjustRightInd w:val="0"/>
              <w:snapToGrid w:val="0"/>
              <w:spacing w:line="240" w:lineRule="auto"/>
              <w:ind w:left="0"/>
              <w:jc w:val="center"/>
              <w:textAlignment w:val="auto"/>
              <w:rPr>
                <w:rFonts w:hint="eastAsia" w:ascii="方正楷体_GBK" w:hAnsi="方正楷体_GBK" w:eastAsia="方正楷体_GBK" w:cs="方正楷体_GBK"/>
                <w:b w:val="0"/>
                <w:bCs/>
                <w:sz w:val="21"/>
                <w:szCs w:val="21"/>
              </w:rPr>
            </w:pPr>
          </w:p>
        </w:tc>
      </w:tr>
      <w:tr w14:paraId="4F51877C">
        <w:tblPrEx>
          <w:tblCellMar>
            <w:top w:w="0" w:type="dxa"/>
            <w:left w:w="108" w:type="dxa"/>
            <w:bottom w:w="0" w:type="dxa"/>
            <w:right w:w="108" w:type="dxa"/>
          </w:tblCellMar>
        </w:tblPrEx>
        <w:trPr>
          <w:trHeight w:val="90" w:hRule="atLeast"/>
        </w:trPr>
        <w:tc>
          <w:tcPr>
            <w:tcW w:w="570" w:type="dxa"/>
            <w:tcBorders>
              <w:top w:val="single" w:color="auto" w:sz="4" w:space="0"/>
              <w:left w:val="single" w:color="auto" w:sz="4" w:space="0"/>
              <w:bottom w:val="single" w:color="auto" w:sz="4" w:space="0"/>
              <w:right w:val="single" w:color="auto" w:sz="4" w:space="0"/>
            </w:tcBorders>
            <w:vAlign w:val="center"/>
          </w:tcPr>
          <w:p w14:paraId="20A98B52">
            <w:pPr>
              <w:keepLines w:val="0"/>
              <w:pageBreakBefore w:val="0"/>
              <w:widowControl w:val="0"/>
              <w:kinsoku/>
              <w:overflowPunct/>
              <w:topLinePunct w:val="0"/>
              <w:autoSpaceDE/>
              <w:autoSpaceDN/>
              <w:bidi w:val="0"/>
              <w:adjustRightInd w:val="0"/>
              <w:snapToGrid w:val="0"/>
              <w:spacing w:line="240" w:lineRule="auto"/>
              <w:ind w:left="0"/>
              <w:jc w:val="center"/>
              <w:textAlignment w:val="auto"/>
              <w:rPr>
                <w:rFonts w:hint="eastAsia" w:ascii="方正楷体_GBK" w:hAnsi="方正楷体_GBK" w:eastAsia="方正楷体_GBK" w:cs="方正楷体_GBK"/>
                <w:b w:val="0"/>
                <w:bCs/>
                <w:sz w:val="21"/>
                <w:szCs w:val="21"/>
                <w:lang w:eastAsia="zh-CN"/>
              </w:rPr>
            </w:pPr>
            <w:r>
              <w:rPr>
                <w:rFonts w:hint="eastAsia" w:ascii="方正楷体_GBK" w:hAnsi="方正楷体_GBK" w:eastAsia="方正楷体_GBK" w:cs="方正楷体_GBK"/>
                <w:b w:val="0"/>
                <w:bCs/>
                <w:sz w:val="21"/>
                <w:szCs w:val="21"/>
                <w:lang w:val="en-US" w:eastAsia="zh-CN"/>
              </w:rPr>
              <w:t>2</w:t>
            </w:r>
          </w:p>
        </w:tc>
        <w:tc>
          <w:tcPr>
            <w:tcW w:w="2292" w:type="dxa"/>
            <w:gridSpan w:val="2"/>
            <w:tcBorders>
              <w:left w:val="single" w:color="auto" w:sz="4" w:space="0"/>
              <w:bottom w:val="single" w:color="auto" w:sz="4" w:space="0"/>
              <w:right w:val="single" w:color="auto" w:sz="4" w:space="0"/>
            </w:tcBorders>
            <w:shd w:val="clear" w:color="auto" w:fill="auto"/>
            <w:vAlign w:val="center"/>
          </w:tcPr>
          <w:p w14:paraId="6326F7AA">
            <w:pPr>
              <w:keepLines w:val="0"/>
              <w:pageBreakBefore w:val="0"/>
              <w:widowControl w:val="0"/>
              <w:kinsoku/>
              <w:overflowPunct/>
              <w:topLinePunct w:val="0"/>
              <w:autoSpaceDE/>
              <w:autoSpaceDN/>
              <w:bidi w:val="0"/>
              <w:adjustRightInd w:val="0"/>
              <w:snapToGrid w:val="0"/>
              <w:spacing w:line="240" w:lineRule="auto"/>
              <w:ind w:left="0"/>
              <w:jc w:val="center"/>
              <w:textAlignment w:val="auto"/>
              <w:rPr>
                <w:rFonts w:hint="eastAsia" w:ascii="方正楷体_GBK" w:hAnsi="方正楷体_GBK" w:eastAsia="方正楷体_GBK" w:cs="方正楷体_GBK"/>
                <w:b w:val="0"/>
                <w:bCs/>
                <w:kern w:val="2"/>
                <w:sz w:val="21"/>
                <w:szCs w:val="21"/>
                <w:lang w:val="en-US" w:eastAsia="zh-CN" w:bidi="ar-SA"/>
              </w:rPr>
            </w:pPr>
            <w:r>
              <w:rPr>
                <w:rFonts w:hint="eastAsia" w:ascii="方正楷体_GBK" w:hAnsi="方正楷体_GBK" w:eastAsia="方正楷体_GBK" w:cs="方正楷体_GBK"/>
                <w:b w:val="0"/>
                <w:bCs/>
                <w:kern w:val="2"/>
                <w:sz w:val="21"/>
                <w:szCs w:val="21"/>
                <w:lang w:val="en-US" w:eastAsia="zh-CN" w:bidi="ar-SA"/>
              </w:rPr>
              <w:t>保险费收入</w:t>
            </w:r>
          </w:p>
        </w:tc>
        <w:tc>
          <w:tcPr>
            <w:tcW w:w="543" w:type="dxa"/>
            <w:tcBorders>
              <w:top w:val="single" w:color="auto" w:sz="4" w:space="0"/>
              <w:left w:val="single" w:color="auto" w:sz="4" w:space="0"/>
              <w:bottom w:val="single" w:color="auto" w:sz="4" w:space="0"/>
              <w:right w:val="single" w:color="auto" w:sz="4" w:space="0"/>
            </w:tcBorders>
            <w:shd w:val="clear" w:color="auto" w:fill="auto"/>
            <w:vAlign w:val="center"/>
          </w:tcPr>
          <w:p w14:paraId="40F3B00A">
            <w:pPr>
              <w:keepLines w:val="0"/>
              <w:pageBreakBefore w:val="0"/>
              <w:widowControl w:val="0"/>
              <w:kinsoku/>
              <w:overflowPunct/>
              <w:topLinePunct w:val="0"/>
              <w:autoSpaceDE/>
              <w:autoSpaceDN/>
              <w:bidi w:val="0"/>
              <w:spacing w:line="240" w:lineRule="auto"/>
              <w:ind w:left="0"/>
              <w:jc w:val="center"/>
              <w:textAlignment w:val="auto"/>
              <w:rPr>
                <w:rFonts w:hint="eastAsia" w:ascii="方正楷体_GBK" w:hAnsi="方正楷体_GBK" w:eastAsia="方正楷体_GBK" w:cs="方正楷体_GBK"/>
                <w:b w:val="0"/>
                <w:bCs/>
                <w:kern w:val="2"/>
                <w:sz w:val="21"/>
                <w:szCs w:val="21"/>
                <w:lang w:val="en-US" w:eastAsia="zh-CN" w:bidi="ar-SA"/>
              </w:rPr>
            </w:pPr>
            <w:r>
              <w:rPr>
                <w:rFonts w:hint="eastAsia" w:ascii="方正楷体_GBK" w:hAnsi="方正楷体_GBK" w:eastAsia="方正楷体_GBK" w:cs="方正楷体_GBK"/>
                <w:b w:val="0"/>
                <w:bCs/>
                <w:kern w:val="2"/>
                <w:sz w:val="21"/>
                <w:szCs w:val="21"/>
                <w:lang w:val="en-US" w:eastAsia="zh-CN" w:bidi="ar-SA"/>
              </w:rPr>
              <w:t>10</w:t>
            </w:r>
          </w:p>
        </w:tc>
        <w:tc>
          <w:tcPr>
            <w:tcW w:w="5447" w:type="dxa"/>
            <w:tcBorders>
              <w:top w:val="single" w:color="auto" w:sz="4" w:space="0"/>
              <w:left w:val="single" w:color="auto" w:sz="4" w:space="0"/>
              <w:bottom w:val="single" w:color="auto" w:sz="4" w:space="0"/>
              <w:right w:val="single" w:color="auto" w:sz="4" w:space="0"/>
            </w:tcBorders>
            <w:shd w:val="clear" w:color="auto" w:fill="auto"/>
            <w:vAlign w:val="center"/>
          </w:tcPr>
          <w:p w14:paraId="70E41A50">
            <w:pPr>
              <w:keepNext/>
              <w:keepLines w:val="0"/>
              <w:pageBreakBefore w:val="0"/>
              <w:widowControl w:val="0"/>
              <w:kinsoku/>
              <w:overflowPunct/>
              <w:topLinePunct w:val="0"/>
              <w:autoSpaceDE/>
              <w:autoSpaceDN/>
              <w:bidi w:val="0"/>
              <w:adjustRightInd w:val="0"/>
              <w:snapToGrid w:val="0"/>
              <w:spacing w:line="240" w:lineRule="auto"/>
              <w:ind w:left="0"/>
              <w:textAlignment w:val="auto"/>
              <w:rPr>
                <w:rFonts w:hint="eastAsia" w:ascii="方正楷体_GBK" w:hAnsi="方正楷体_GBK" w:eastAsia="方正楷体_GBK" w:cs="方正楷体_GBK"/>
                <w:b w:val="0"/>
                <w:bCs/>
                <w:kern w:val="2"/>
                <w:sz w:val="21"/>
                <w:szCs w:val="21"/>
                <w:lang w:val="en-US" w:eastAsia="zh-CN" w:bidi="ar-SA"/>
              </w:rPr>
            </w:pPr>
            <w:r>
              <w:rPr>
                <w:rFonts w:hint="eastAsia" w:ascii="方正楷体_GBK" w:hAnsi="方正楷体_GBK" w:eastAsia="方正楷体_GBK" w:cs="方正楷体_GBK"/>
                <w:b w:val="0"/>
                <w:bCs/>
                <w:kern w:val="2"/>
                <w:sz w:val="21"/>
                <w:szCs w:val="21"/>
                <w:lang w:val="en-US" w:eastAsia="zh-CN" w:bidi="ar-SA"/>
              </w:rPr>
              <w:t>投标人（如投标人为分支机构，则其所在省级机构2025年全险种保费收入）：</w:t>
            </w:r>
          </w:p>
          <w:p w14:paraId="1289DCEF">
            <w:pPr>
              <w:keepNext/>
              <w:keepLines w:val="0"/>
              <w:pageBreakBefore w:val="0"/>
              <w:widowControl w:val="0"/>
              <w:kinsoku/>
              <w:overflowPunct/>
              <w:topLinePunct w:val="0"/>
              <w:autoSpaceDE/>
              <w:autoSpaceDN/>
              <w:bidi w:val="0"/>
              <w:adjustRightInd w:val="0"/>
              <w:snapToGrid w:val="0"/>
              <w:spacing w:line="240" w:lineRule="auto"/>
              <w:ind w:left="0"/>
              <w:textAlignment w:val="auto"/>
              <w:rPr>
                <w:rFonts w:hint="eastAsia" w:ascii="方正楷体_GBK" w:hAnsi="方正楷体_GBK" w:eastAsia="方正楷体_GBK" w:cs="方正楷体_GBK"/>
                <w:b w:val="0"/>
                <w:bCs/>
                <w:kern w:val="2"/>
                <w:sz w:val="21"/>
                <w:szCs w:val="21"/>
                <w:lang w:val="en-US" w:eastAsia="zh-CN" w:bidi="ar-SA"/>
              </w:rPr>
            </w:pPr>
            <w:r>
              <w:rPr>
                <w:rFonts w:hint="eastAsia" w:ascii="方正楷体_GBK" w:hAnsi="方正楷体_GBK" w:eastAsia="方正楷体_GBK" w:cs="方正楷体_GBK"/>
                <w:b w:val="0"/>
                <w:bCs/>
                <w:kern w:val="2"/>
                <w:sz w:val="21"/>
                <w:szCs w:val="21"/>
                <w:lang w:val="en-US" w:eastAsia="zh-CN" w:bidi="ar-SA"/>
              </w:rPr>
              <w:t>≥150亿元人民币的得10分；</w:t>
            </w:r>
          </w:p>
          <w:p w14:paraId="1A5BD165">
            <w:pPr>
              <w:keepNext/>
              <w:keepLines w:val="0"/>
              <w:pageBreakBefore w:val="0"/>
              <w:widowControl w:val="0"/>
              <w:kinsoku/>
              <w:overflowPunct/>
              <w:topLinePunct w:val="0"/>
              <w:autoSpaceDE/>
              <w:autoSpaceDN/>
              <w:bidi w:val="0"/>
              <w:adjustRightInd w:val="0"/>
              <w:snapToGrid w:val="0"/>
              <w:spacing w:line="240" w:lineRule="auto"/>
              <w:ind w:left="0"/>
              <w:textAlignment w:val="auto"/>
              <w:rPr>
                <w:rFonts w:hint="eastAsia" w:ascii="方正楷体_GBK" w:hAnsi="方正楷体_GBK" w:eastAsia="方正楷体_GBK" w:cs="方正楷体_GBK"/>
                <w:b w:val="0"/>
                <w:bCs/>
                <w:kern w:val="2"/>
                <w:sz w:val="21"/>
                <w:szCs w:val="21"/>
                <w:lang w:val="en-US" w:eastAsia="zh-CN" w:bidi="ar-SA"/>
              </w:rPr>
            </w:pPr>
            <w:r>
              <w:rPr>
                <w:rFonts w:hint="eastAsia" w:ascii="方正楷体_GBK" w:hAnsi="方正楷体_GBK" w:eastAsia="方正楷体_GBK" w:cs="方正楷体_GBK"/>
                <w:b w:val="0"/>
                <w:bCs/>
                <w:kern w:val="2"/>
                <w:sz w:val="21"/>
                <w:szCs w:val="21"/>
                <w:lang w:val="en-US" w:eastAsia="zh-CN" w:bidi="ar-SA"/>
              </w:rPr>
              <w:t>≥100亿元人民币的得7分；</w:t>
            </w:r>
          </w:p>
          <w:p w14:paraId="489FF6BC">
            <w:pPr>
              <w:keepNext/>
              <w:keepLines w:val="0"/>
              <w:pageBreakBefore w:val="0"/>
              <w:widowControl w:val="0"/>
              <w:kinsoku/>
              <w:overflowPunct/>
              <w:topLinePunct w:val="0"/>
              <w:autoSpaceDE/>
              <w:autoSpaceDN/>
              <w:bidi w:val="0"/>
              <w:adjustRightInd w:val="0"/>
              <w:snapToGrid w:val="0"/>
              <w:spacing w:line="240" w:lineRule="auto"/>
              <w:ind w:left="0"/>
              <w:textAlignment w:val="auto"/>
              <w:rPr>
                <w:rFonts w:hint="eastAsia" w:ascii="方正楷体_GBK" w:hAnsi="方正楷体_GBK" w:eastAsia="方正楷体_GBK" w:cs="方正楷体_GBK"/>
                <w:b w:val="0"/>
                <w:bCs/>
                <w:kern w:val="2"/>
                <w:sz w:val="21"/>
                <w:szCs w:val="21"/>
                <w:lang w:val="en-US" w:eastAsia="zh-CN" w:bidi="ar-SA"/>
              </w:rPr>
            </w:pPr>
            <w:r>
              <w:rPr>
                <w:rFonts w:hint="eastAsia" w:ascii="方正楷体_GBK" w:hAnsi="方正楷体_GBK" w:eastAsia="方正楷体_GBK" w:cs="方正楷体_GBK"/>
                <w:b w:val="0"/>
                <w:bCs/>
                <w:kern w:val="2"/>
                <w:sz w:val="21"/>
                <w:szCs w:val="21"/>
                <w:lang w:val="en-US" w:eastAsia="zh-CN" w:bidi="ar-SA"/>
              </w:rPr>
              <w:t>≥70亿元人民币的得5分；</w:t>
            </w:r>
          </w:p>
          <w:p w14:paraId="2A36A18B">
            <w:pPr>
              <w:keepNext/>
              <w:keepLines w:val="0"/>
              <w:pageBreakBefore w:val="0"/>
              <w:widowControl w:val="0"/>
              <w:kinsoku/>
              <w:overflowPunct/>
              <w:topLinePunct w:val="0"/>
              <w:autoSpaceDE/>
              <w:autoSpaceDN/>
              <w:bidi w:val="0"/>
              <w:adjustRightInd w:val="0"/>
              <w:snapToGrid w:val="0"/>
              <w:spacing w:line="240" w:lineRule="auto"/>
              <w:ind w:left="0"/>
              <w:textAlignment w:val="auto"/>
              <w:rPr>
                <w:rFonts w:hint="eastAsia" w:ascii="方正楷体_GBK" w:hAnsi="方正楷体_GBK" w:eastAsia="方正楷体_GBK" w:cs="方正楷体_GBK"/>
                <w:b w:val="0"/>
                <w:bCs/>
                <w:kern w:val="2"/>
                <w:sz w:val="21"/>
                <w:szCs w:val="21"/>
                <w:lang w:val="en-US" w:eastAsia="zh-CN" w:bidi="ar-SA"/>
              </w:rPr>
            </w:pPr>
            <w:r>
              <w:rPr>
                <w:rFonts w:hint="eastAsia" w:ascii="方正楷体_GBK" w:hAnsi="方正楷体_GBK" w:eastAsia="方正楷体_GBK" w:cs="方正楷体_GBK"/>
                <w:b w:val="0"/>
                <w:bCs/>
                <w:kern w:val="2"/>
                <w:sz w:val="21"/>
                <w:szCs w:val="21"/>
                <w:lang w:val="en-US" w:eastAsia="zh-CN" w:bidi="ar-SA"/>
              </w:rPr>
              <w:t>≥50亿元人民币的得2分；</w:t>
            </w:r>
          </w:p>
          <w:p w14:paraId="636DC3C5">
            <w:pPr>
              <w:keepNext/>
              <w:keepLines w:val="0"/>
              <w:pageBreakBefore w:val="0"/>
              <w:widowControl w:val="0"/>
              <w:kinsoku/>
              <w:overflowPunct/>
              <w:topLinePunct w:val="0"/>
              <w:autoSpaceDE/>
              <w:autoSpaceDN/>
              <w:bidi w:val="0"/>
              <w:adjustRightInd w:val="0"/>
              <w:snapToGrid w:val="0"/>
              <w:spacing w:line="240" w:lineRule="auto"/>
              <w:ind w:left="0"/>
              <w:textAlignment w:val="auto"/>
              <w:rPr>
                <w:rFonts w:hint="eastAsia" w:ascii="方正楷体_GBK" w:hAnsi="方正楷体_GBK" w:eastAsia="方正楷体_GBK" w:cs="方正楷体_GBK"/>
                <w:b w:val="0"/>
                <w:bCs/>
                <w:kern w:val="2"/>
                <w:sz w:val="21"/>
                <w:szCs w:val="21"/>
                <w:lang w:val="en-US" w:eastAsia="zh-CN" w:bidi="ar-SA"/>
              </w:rPr>
            </w:pPr>
            <w:r>
              <w:rPr>
                <w:rFonts w:hint="eastAsia" w:ascii="方正楷体_GBK" w:hAnsi="方正楷体_GBK" w:eastAsia="方正楷体_GBK" w:cs="方正楷体_GBK"/>
                <w:b w:val="0"/>
                <w:bCs/>
                <w:kern w:val="2"/>
                <w:sz w:val="21"/>
                <w:szCs w:val="21"/>
                <w:lang w:val="en-US" w:eastAsia="zh-CN" w:bidi="ar-SA"/>
              </w:rPr>
              <w:t>≥20亿元人民币的得1分；</w:t>
            </w:r>
          </w:p>
          <w:p w14:paraId="22CD2C47">
            <w:pPr>
              <w:keepNext/>
              <w:keepLines w:val="0"/>
              <w:pageBreakBefore w:val="0"/>
              <w:widowControl w:val="0"/>
              <w:kinsoku/>
              <w:overflowPunct/>
              <w:topLinePunct w:val="0"/>
              <w:autoSpaceDE/>
              <w:autoSpaceDN/>
              <w:bidi w:val="0"/>
              <w:adjustRightInd w:val="0"/>
              <w:snapToGrid w:val="0"/>
              <w:spacing w:line="240" w:lineRule="auto"/>
              <w:ind w:left="0"/>
              <w:textAlignment w:val="auto"/>
              <w:rPr>
                <w:rFonts w:hint="eastAsia" w:ascii="方正楷体_GBK" w:hAnsi="方正楷体_GBK" w:eastAsia="方正楷体_GBK" w:cs="方正楷体_GBK"/>
                <w:b w:val="0"/>
                <w:bCs/>
                <w:kern w:val="2"/>
                <w:sz w:val="21"/>
                <w:szCs w:val="21"/>
                <w:lang w:val="en-US" w:eastAsia="zh-CN" w:bidi="ar-SA"/>
              </w:rPr>
            </w:pPr>
            <w:r>
              <w:rPr>
                <w:rFonts w:hint="eastAsia" w:ascii="方正楷体_GBK" w:hAnsi="方正楷体_GBK" w:eastAsia="方正楷体_GBK" w:cs="方正楷体_GBK"/>
                <w:b w:val="0"/>
                <w:bCs/>
                <w:kern w:val="2"/>
                <w:sz w:val="21"/>
                <w:szCs w:val="21"/>
                <w:lang w:val="en-US" w:eastAsia="zh-CN" w:bidi="ar-SA"/>
              </w:rPr>
              <w:t>&lt;20亿元人民币的不得分；</w:t>
            </w:r>
          </w:p>
          <w:p w14:paraId="52A912D4">
            <w:pPr>
              <w:keepNext/>
              <w:keepLines w:val="0"/>
              <w:pageBreakBefore w:val="0"/>
              <w:widowControl w:val="0"/>
              <w:kinsoku/>
              <w:overflowPunct/>
              <w:topLinePunct w:val="0"/>
              <w:autoSpaceDE/>
              <w:autoSpaceDN/>
              <w:bidi w:val="0"/>
              <w:adjustRightInd w:val="0"/>
              <w:snapToGrid w:val="0"/>
              <w:spacing w:line="240" w:lineRule="auto"/>
              <w:ind w:left="0"/>
              <w:textAlignment w:val="auto"/>
              <w:rPr>
                <w:rFonts w:hint="eastAsia" w:ascii="方正楷体_GBK" w:hAnsi="方正楷体_GBK" w:eastAsia="方正楷体_GBK" w:cs="方正楷体_GBK"/>
                <w:b w:val="0"/>
                <w:bCs/>
                <w:kern w:val="2"/>
                <w:sz w:val="21"/>
                <w:szCs w:val="21"/>
                <w:lang w:val="en-US" w:eastAsia="zh-CN" w:bidi="ar-SA"/>
              </w:rPr>
            </w:pPr>
            <w:r>
              <w:rPr>
                <w:rFonts w:hint="eastAsia" w:ascii="方正楷体_GBK" w:hAnsi="方正楷体_GBK" w:eastAsia="方正楷体_GBK" w:cs="方正楷体_GBK"/>
                <w:b w:val="0"/>
                <w:bCs/>
                <w:kern w:val="2"/>
                <w:sz w:val="21"/>
                <w:szCs w:val="21"/>
                <w:lang w:val="en-US" w:eastAsia="zh-CN" w:bidi="ar-SA"/>
              </w:rPr>
              <w:t>注：须提供投标人最近一年度会计师事务所审计的财务报告或相关证明材料，并用显著方式标注。</w:t>
            </w:r>
          </w:p>
        </w:tc>
        <w:tc>
          <w:tcPr>
            <w:tcW w:w="780" w:type="dxa"/>
            <w:tcBorders>
              <w:top w:val="single" w:color="auto" w:sz="4" w:space="0"/>
              <w:left w:val="single" w:color="auto" w:sz="4" w:space="0"/>
              <w:bottom w:val="single" w:color="auto" w:sz="4" w:space="0"/>
              <w:right w:val="single" w:color="auto" w:sz="4" w:space="0"/>
            </w:tcBorders>
            <w:vAlign w:val="center"/>
          </w:tcPr>
          <w:p w14:paraId="213325BA">
            <w:pPr>
              <w:keepLines w:val="0"/>
              <w:pageBreakBefore w:val="0"/>
              <w:widowControl w:val="0"/>
              <w:kinsoku/>
              <w:overflowPunct/>
              <w:topLinePunct w:val="0"/>
              <w:autoSpaceDE/>
              <w:autoSpaceDN/>
              <w:bidi w:val="0"/>
              <w:adjustRightInd w:val="0"/>
              <w:snapToGrid w:val="0"/>
              <w:spacing w:line="240" w:lineRule="auto"/>
              <w:ind w:left="0"/>
              <w:jc w:val="center"/>
              <w:textAlignment w:val="auto"/>
              <w:rPr>
                <w:rFonts w:hint="eastAsia" w:ascii="方正楷体_GBK" w:hAnsi="方正楷体_GBK" w:eastAsia="方正楷体_GBK" w:cs="方正楷体_GBK"/>
                <w:b w:val="0"/>
                <w:bCs/>
                <w:sz w:val="21"/>
                <w:szCs w:val="21"/>
              </w:rPr>
            </w:pPr>
          </w:p>
        </w:tc>
      </w:tr>
      <w:tr w14:paraId="53A75E70">
        <w:tblPrEx>
          <w:tblCellMar>
            <w:top w:w="0" w:type="dxa"/>
            <w:left w:w="108" w:type="dxa"/>
            <w:bottom w:w="0" w:type="dxa"/>
            <w:right w:w="108" w:type="dxa"/>
          </w:tblCellMar>
        </w:tblPrEx>
        <w:trPr>
          <w:trHeight w:val="1060" w:hRule="atLeast"/>
        </w:trPr>
        <w:tc>
          <w:tcPr>
            <w:tcW w:w="570" w:type="dxa"/>
            <w:tcBorders>
              <w:top w:val="single" w:color="auto" w:sz="4" w:space="0"/>
              <w:left w:val="single" w:color="auto" w:sz="4" w:space="0"/>
              <w:bottom w:val="single" w:color="auto" w:sz="4" w:space="0"/>
              <w:right w:val="single" w:color="auto" w:sz="4" w:space="0"/>
            </w:tcBorders>
            <w:vAlign w:val="center"/>
          </w:tcPr>
          <w:p w14:paraId="4C31274E">
            <w:pPr>
              <w:keepLines w:val="0"/>
              <w:pageBreakBefore w:val="0"/>
              <w:widowControl w:val="0"/>
              <w:kinsoku/>
              <w:overflowPunct/>
              <w:topLinePunct w:val="0"/>
              <w:autoSpaceDE/>
              <w:autoSpaceDN/>
              <w:bidi w:val="0"/>
              <w:adjustRightInd w:val="0"/>
              <w:snapToGrid w:val="0"/>
              <w:spacing w:line="240" w:lineRule="auto"/>
              <w:ind w:left="0"/>
              <w:jc w:val="center"/>
              <w:textAlignment w:val="auto"/>
              <w:rPr>
                <w:rFonts w:hint="eastAsia" w:ascii="方正楷体_GBK" w:hAnsi="方正楷体_GBK" w:eastAsia="方正楷体_GBK" w:cs="方正楷体_GBK"/>
                <w:b w:val="0"/>
                <w:bCs/>
                <w:sz w:val="21"/>
                <w:szCs w:val="21"/>
                <w:lang w:eastAsia="zh-CN"/>
              </w:rPr>
            </w:pPr>
            <w:r>
              <w:rPr>
                <w:rFonts w:hint="eastAsia" w:ascii="方正楷体_GBK" w:hAnsi="方正楷体_GBK" w:eastAsia="方正楷体_GBK" w:cs="方正楷体_GBK"/>
                <w:b w:val="0"/>
                <w:bCs/>
                <w:sz w:val="21"/>
                <w:szCs w:val="21"/>
                <w:lang w:val="en-US" w:eastAsia="zh-CN"/>
              </w:rPr>
              <w:t>3</w:t>
            </w:r>
          </w:p>
        </w:tc>
        <w:tc>
          <w:tcPr>
            <w:tcW w:w="2292" w:type="dxa"/>
            <w:gridSpan w:val="2"/>
            <w:tcBorders>
              <w:top w:val="single" w:color="auto" w:sz="4" w:space="0"/>
              <w:left w:val="single" w:color="auto" w:sz="4" w:space="0"/>
              <w:right w:val="single" w:color="auto" w:sz="4" w:space="0"/>
            </w:tcBorders>
            <w:shd w:val="clear" w:color="auto" w:fill="auto"/>
            <w:vAlign w:val="center"/>
          </w:tcPr>
          <w:p w14:paraId="1CA7FF06">
            <w:pPr>
              <w:keepLines w:val="0"/>
              <w:pageBreakBefore w:val="0"/>
              <w:widowControl w:val="0"/>
              <w:kinsoku/>
              <w:overflowPunct/>
              <w:topLinePunct w:val="0"/>
              <w:autoSpaceDE/>
              <w:autoSpaceDN/>
              <w:bidi w:val="0"/>
              <w:adjustRightInd w:val="0"/>
              <w:snapToGrid w:val="0"/>
              <w:spacing w:line="240" w:lineRule="auto"/>
              <w:ind w:left="0"/>
              <w:jc w:val="center"/>
              <w:textAlignment w:val="auto"/>
              <w:rPr>
                <w:rFonts w:hint="eastAsia" w:ascii="方正楷体_GBK" w:hAnsi="方正楷体_GBK" w:eastAsia="方正楷体_GBK" w:cs="方正楷体_GBK"/>
                <w:b w:val="0"/>
                <w:bCs/>
                <w:kern w:val="2"/>
                <w:sz w:val="21"/>
                <w:szCs w:val="21"/>
                <w:lang w:val="en-US" w:eastAsia="zh-CN" w:bidi="ar-SA"/>
              </w:rPr>
            </w:pPr>
            <w:r>
              <w:rPr>
                <w:rFonts w:hint="eastAsia" w:ascii="方正楷体_GBK" w:hAnsi="方正楷体_GBK" w:eastAsia="方正楷体_GBK" w:cs="方正楷体_GBK"/>
                <w:b w:val="0"/>
                <w:bCs/>
                <w:kern w:val="2"/>
                <w:sz w:val="21"/>
                <w:szCs w:val="21"/>
                <w:lang w:val="en-US" w:eastAsia="zh-CN" w:bidi="ar-SA"/>
              </w:rPr>
              <w:t>综合偿付能力充足率</w:t>
            </w:r>
          </w:p>
        </w:tc>
        <w:tc>
          <w:tcPr>
            <w:tcW w:w="543" w:type="dxa"/>
            <w:tcBorders>
              <w:top w:val="single" w:color="auto" w:sz="4" w:space="0"/>
              <w:left w:val="single" w:color="auto" w:sz="4" w:space="0"/>
              <w:bottom w:val="single" w:color="auto" w:sz="4" w:space="0"/>
              <w:right w:val="single" w:color="auto" w:sz="4" w:space="0"/>
            </w:tcBorders>
            <w:shd w:val="clear" w:color="auto" w:fill="auto"/>
            <w:vAlign w:val="center"/>
          </w:tcPr>
          <w:p w14:paraId="6B98F524">
            <w:pPr>
              <w:keepLines w:val="0"/>
              <w:pageBreakBefore w:val="0"/>
              <w:widowControl w:val="0"/>
              <w:kinsoku/>
              <w:overflowPunct/>
              <w:topLinePunct w:val="0"/>
              <w:autoSpaceDE/>
              <w:autoSpaceDN/>
              <w:bidi w:val="0"/>
              <w:spacing w:line="240" w:lineRule="auto"/>
              <w:ind w:left="0"/>
              <w:jc w:val="center"/>
              <w:textAlignment w:val="auto"/>
              <w:rPr>
                <w:rFonts w:hint="eastAsia" w:ascii="方正楷体_GBK" w:hAnsi="方正楷体_GBK" w:eastAsia="方正楷体_GBK" w:cs="方正楷体_GBK"/>
                <w:b w:val="0"/>
                <w:bCs/>
                <w:kern w:val="2"/>
                <w:sz w:val="21"/>
                <w:szCs w:val="21"/>
                <w:lang w:val="en-US" w:eastAsia="zh-CN" w:bidi="ar-SA"/>
              </w:rPr>
            </w:pPr>
            <w:r>
              <w:rPr>
                <w:rFonts w:hint="eastAsia" w:ascii="方正楷体_GBK" w:hAnsi="方正楷体_GBK" w:eastAsia="方正楷体_GBK" w:cs="方正楷体_GBK"/>
                <w:b w:val="0"/>
                <w:bCs/>
                <w:kern w:val="2"/>
                <w:sz w:val="21"/>
                <w:szCs w:val="21"/>
                <w:lang w:val="en-US" w:eastAsia="zh-CN" w:bidi="ar-SA"/>
              </w:rPr>
              <w:t>10</w:t>
            </w:r>
          </w:p>
        </w:tc>
        <w:tc>
          <w:tcPr>
            <w:tcW w:w="5447" w:type="dxa"/>
            <w:tcBorders>
              <w:top w:val="single" w:color="auto" w:sz="4" w:space="0"/>
              <w:left w:val="single" w:color="auto" w:sz="4" w:space="0"/>
              <w:bottom w:val="single" w:color="auto" w:sz="4" w:space="0"/>
              <w:right w:val="single" w:color="auto" w:sz="4" w:space="0"/>
            </w:tcBorders>
            <w:shd w:val="clear" w:color="auto" w:fill="auto"/>
            <w:vAlign w:val="center"/>
          </w:tcPr>
          <w:p w14:paraId="52D0C94A">
            <w:pPr>
              <w:keepNext/>
              <w:keepLines w:val="0"/>
              <w:pageBreakBefore w:val="0"/>
              <w:widowControl w:val="0"/>
              <w:kinsoku/>
              <w:overflowPunct/>
              <w:topLinePunct w:val="0"/>
              <w:autoSpaceDE/>
              <w:autoSpaceDN/>
              <w:bidi w:val="0"/>
              <w:adjustRightInd w:val="0"/>
              <w:snapToGrid w:val="0"/>
              <w:spacing w:line="240" w:lineRule="auto"/>
              <w:ind w:left="0"/>
              <w:textAlignment w:val="auto"/>
              <w:rPr>
                <w:rFonts w:hint="eastAsia" w:ascii="方正楷体_GBK" w:hAnsi="方正楷体_GBK" w:eastAsia="方正楷体_GBK" w:cs="方正楷体_GBK"/>
                <w:b w:val="0"/>
                <w:bCs/>
                <w:kern w:val="2"/>
                <w:sz w:val="21"/>
                <w:szCs w:val="21"/>
                <w:lang w:val="en-US" w:eastAsia="zh-CN" w:bidi="ar-SA"/>
              </w:rPr>
            </w:pPr>
            <w:r>
              <w:rPr>
                <w:rFonts w:hint="eastAsia" w:ascii="方正楷体_GBK" w:hAnsi="方正楷体_GBK" w:eastAsia="方正楷体_GBK" w:cs="方正楷体_GBK"/>
                <w:b w:val="0"/>
                <w:bCs/>
                <w:kern w:val="2"/>
                <w:sz w:val="21"/>
                <w:szCs w:val="21"/>
                <w:lang w:val="en-US" w:eastAsia="zh-CN" w:bidi="ar-SA"/>
              </w:rPr>
              <w:t>投标人（总公司）最近一年的综合偿付能力充足率：</w:t>
            </w:r>
          </w:p>
          <w:p w14:paraId="2F189A8D">
            <w:pPr>
              <w:keepNext/>
              <w:keepLines w:val="0"/>
              <w:pageBreakBefore w:val="0"/>
              <w:widowControl w:val="0"/>
              <w:kinsoku/>
              <w:overflowPunct/>
              <w:topLinePunct w:val="0"/>
              <w:autoSpaceDE/>
              <w:autoSpaceDN/>
              <w:bidi w:val="0"/>
              <w:adjustRightInd w:val="0"/>
              <w:snapToGrid w:val="0"/>
              <w:spacing w:line="240" w:lineRule="auto"/>
              <w:ind w:left="0"/>
              <w:textAlignment w:val="auto"/>
              <w:rPr>
                <w:rFonts w:hint="eastAsia" w:ascii="方正楷体_GBK" w:hAnsi="方正楷体_GBK" w:eastAsia="方正楷体_GBK" w:cs="方正楷体_GBK"/>
                <w:b w:val="0"/>
                <w:bCs/>
                <w:kern w:val="2"/>
                <w:sz w:val="21"/>
                <w:szCs w:val="21"/>
                <w:lang w:val="en-US" w:eastAsia="zh-CN" w:bidi="ar-SA"/>
              </w:rPr>
            </w:pPr>
            <w:r>
              <w:rPr>
                <w:rFonts w:hint="eastAsia" w:ascii="方正楷体_GBK" w:hAnsi="方正楷体_GBK" w:eastAsia="方正楷体_GBK" w:cs="方正楷体_GBK"/>
                <w:b w:val="0"/>
                <w:bCs/>
                <w:kern w:val="2"/>
                <w:sz w:val="21"/>
                <w:szCs w:val="21"/>
                <w:lang w:val="en-US" w:eastAsia="zh-CN" w:bidi="ar-SA"/>
              </w:rPr>
              <w:t>≥200%，得10分；</w:t>
            </w:r>
          </w:p>
          <w:p w14:paraId="0D87E1A1">
            <w:pPr>
              <w:keepNext/>
              <w:keepLines w:val="0"/>
              <w:pageBreakBefore w:val="0"/>
              <w:widowControl w:val="0"/>
              <w:kinsoku/>
              <w:overflowPunct/>
              <w:topLinePunct w:val="0"/>
              <w:autoSpaceDE/>
              <w:autoSpaceDN/>
              <w:bidi w:val="0"/>
              <w:adjustRightInd w:val="0"/>
              <w:snapToGrid w:val="0"/>
              <w:spacing w:line="240" w:lineRule="auto"/>
              <w:ind w:left="0"/>
              <w:textAlignment w:val="auto"/>
              <w:rPr>
                <w:rFonts w:hint="eastAsia" w:ascii="方正楷体_GBK" w:hAnsi="方正楷体_GBK" w:eastAsia="方正楷体_GBK" w:cs="方正楷体_GBK"/>
                <w:b w:val="0"/>
                <w:bCs/>
                <w:kern w:val="2"/>
                <w:sz w:val="21"/>
                <w:szCs w:val="21"/>
                <w:lang w:val="en-US" w:eastAsia="zh-CN" w:bidi="ar-SA"/>
              </w:rPr>
            </w:pPr>
            <w:r>
              <w:rPr>
                <w:rFonts w:hint="eastAsia" w:ascii="方正楷体_GBK" w:hAnsi="方正楷体_GBK" w:eastAsia="方正楷体_GBK" w:cs="方正楷体_GBK"/>
                <w:b w:val="0"/>
                <w:bCs/>
                <w:kern w:val="2"/>
                <w:sz w:val="21"/>
                <w:szCs w:val="21"/>
                <w:lang w:val="en-US" w:eastAsia="zh-CN" w:bidi="ar-SA"/>
              </w:rPr>
              <w:t>≥180%，得6分；</w:t>
            </w:r>
          </w:p>
          <w:p w14:paraId="78E64A1A">
            <w:pPr>
              <w:keepNext/>
              <w:keepLines w:val="0"/>
              <w:pageBreakBefore w:val="0"/>
              <w:widowControl w:val="0"/>
              <w:kinsoku/>
              <w:overflowPunct/>
              <w:topLinePunct w:val="0"/>
              <w:autoSpaceDE/>
              <w:autoSpaceDN/>
              <w:bidi w:val="0"/>
              <w:adjustRightInd w:val="0"/>
              <w:snapToGrid w:val="0"/>
              <w:spacing w:line="240" w:lineRule="auto"/>
              <w:ind w:left="0"/>
              <w:textAlignment w:val="auto"/>
              <w:rPr>
                <w:rFonts w:hint="eastAsia" w:ascii="方正楷体_GBK" w:hAnsi="方正楷体_GBK" w:eastAsia="方正楷体_GBK" w:cs="方正楷体_GBK"/>
                <w:b w:val="0"/>
                <w:bCs/>
                <w:kern w:val="2"/>
                <w:sz w:val="21"/>
                <w:szCs w:val="21"/>
                <w:lang w:val="en-US" w:eastAsia="zh-CN" w:bidi="ar-SA"/>
              </w:rPr>
            </w:pPr>
            <w:r>
              <w:rPr>
                <w:rFonts w:hint="eastAsia" w:ascii="方正楷体_GBK" w:hAnsi="方正楷体_GBK" w:eastAsia="方正楷体_GBK" w:cs="方正楷体_GBK"/>
                <w:b w:val="0"/>
                <w:bCs/>
                <w:kern w:val="2"/>
                <w:sz w:val="21"/>
                <w:szCs w:val="21"/>
                <w:lang w:val="en-US" w:eastAsia="zh-CN" w:bidi="ar-SA"/>
              </w:rPr>
              <w:t>≥150%，得4分；</w:t>
            </w:r>
          </w:p>
          <w:p w14:paraId="77B8085A">
            <w:pPr>
              <w:keepNext/>
              <w:keepLines w:val="0"/>
              <w:pageBreakBefore w:val="0"/>
              <w:widowControl w:val="0"/>
              <w:kinsoku/>
              <w:overflowPunct/>
              <w:topLinePunct w:val="0"/>
              <w:autoSpaceDE/>
              <w:autoSpaceDN/>
              <w:bidi w:val="0"/>
              <w:adjustRightInd w:val="0"/>
              <w:snapToGrid w:val="0"/>
              <w:spacing w:line="240" w:lineRule="auto"/>
              <w:ind w:left="0"/>
              <w:textAlignment w:val="auto"/>
              <w:rPr>
                <w:rFonts w:hint="eastAsia" w:ascii="方正楷体_GBK" w:hAnsi="方正楷体_GBK" w:eastAsia="方正楷体_GBK" w:cs="方正楷体_GBK"/>
                <w:b w:val="0"/>
                <w:bCs/>
                <w:kern w:val="2"/>
                <w:sz w:val="21"/>
                <w:szCs w:val="21"/>
                <w:lang w:val="en-US" w:eastAsia="zh-CN" w:bidi="ar-SA"/>
              </w:rPr>
            </w:pPr>
            <w:r>
              <w:rPr>
                <w:rFonts w:hint="eastAsia" w:ascii="方正楷体_GBK" w:hAnsi="方正楷体_GBK" w:eastAsia="方正楷体_GBK" w:cs="方正楷体_GBK"/>
                <w:b w:val="0"/>
                <w:bCs/>
                <w:kern w:val="2"/>
                <w:sz w:val="21"/>
                <w:szCs w:val="21"/>
                <w:lang w:val="en-US" w:eastAsia="zh-CN" w:bidi="ar-SA"/>
              </w:rPr>
              <w:t>≥120%，得2分；</w:t>
            </w:r>
          </w:p>
          <w:p w14:paraId="28F0093C">
            <w:pPr>
              <w:keepNext/>
              <w:keepLines w:val="0"/>
              <w:pageBreakBefore w:val="0"/>
              <w:widowControl w:val="0"/>
              <w:kinsoku/>
              <w:overflowPunct/>
              <w:topLinePunct w:val="0"/>
              <w:autoSpaceDE/>
              <w:autoSpaceDN/>
              <w:bidi w:val="0"/>
              <w:adjustRightInd w:val="0"/>
              <w:snapToGrid w:val="0"/>
              <w:spacing w:line="240" w:lineRule="auto"/>
              <w:ind w:left="0"/>
              <w:textAlignment w:val="auto"/>
              <w:rPr>
                <w:rFonts w:hint="eastAsia" w:ascii="方正楷体_GBK" w:hAnsi="方正楷体_GBK" w:eastAsia="方正楷体_GBK" w:cs="方正楷体_GBK"/>
                <w:b w:val="0"/>
                <w:bCs/>
                <w:kern w:val="2"/>
                <w:sz w:val="21"/>
                <w:szCs w:val="21"/>
                <w:lang w:val="en-US" w:eastAsia="zh-CN" w:bidi="ar-SA"/>
              </w:rPr>
            </w:pPr>
            <w:r>
              <w:rPr>
                <w:rFonts w:hint="eastAsia" w:ascii="方正楷体_GBK" w:hAnsi="方正楷体_GBK" w:eastAsia="方正楷体_GBK" w:cs="方正楷体_GBK"/>
                <w:b w:val="0"/>
                <w:bCs/>
                <w:kern w:val="2"/>
                <w:sz w:val="21"/>
                <w:szCs w:val="21"/>
                <w:lang w:val="en-US" w:eastAsia="zh-CN" w:bidi="ar-SA"/>
              </w:rPr>
              <w:t>低于120%不得分。</w:t>
            </w:r>
          </w:p>
          <w:p w14:paraId="044556D3">
            <w:pPr>
              <w:keepNext/>
              <w:keepLines w:val="0"/>
              <w:pageBreakBefore w:val="0"/>
              <w:widowControl w:val="0"/>
              <w:kinsoku/>
              <w:overflowPunct/>
              <w:topLinePunct w:val="0"/>
              <w:autoSpaceDE/>
              <w:autoSpaceDN/>
              <w:bidi w:val="0"/>
              <w:adjustRightInd w:val="0"/>
              <w:snapToGrid w:val="0"/>
              <w:spacing w:line="240" w:lineRule="auto"/>
              <w:ind w:left="0"/>
              <w:textAlignment w:val="auto"/>
              <w:rPr>
                <w:rFonts w:hint="eastAsia" w:ascii="方正楷体_GBK" w:hAnsi="方正楷体_GBK" w:eastAsia="方正楷体_GBK" w:cs="方正楷体_GBK"/>
                <w:b w:val="0"/>
                <w:bCs/>
                <w:kern w:val="2"/>
                <w:sz w:val="21"/>
                <w:szCs w:val="21"/>
                <w:lang w:val="en-US" w:eastAsia="zh-CN" w:bidi="ar-SA"/>
              </w:rPr>
            </w:pPr>
            <w:r>
              <w:rPr>
                <w:rFonts w:hint="eastAsia" w:ascii="方正楷体_GBK" w:hAnsi="方正楷体_GBK" w:eastAsia="方正楷体_GBK" w:cs="方正楷体_GBK"/>
                <w:b w:val="0"/>
                <w:bCs/>
                <w:kern w:val="2"/>
                <w:sz w:val="21"/>
                <w:szCs w:val="21"/>
                <w:lang w:val="en-US" w:eastAsia="zh-CN" w:bidi="ar-SA"/>
              </w:rPr>
              <w:t>注：需提供各投标人最近一期经第三方会计师事务所出具的审计偿付能力报告的相关证明材料，并用显著方式标注。</w:t>
            </w:r>
          </w:p>
        </w:tc>
        <w:tc>
          <w:tcPr>
            <w:tcW w:w="780" w:type="dxa"/>
            <w:tcBorders>
              <w:top w:val="single" w:color="auto" w:sz="4" w:space="0"/>
              <w:left w:val="single" w:color="auto" w:sz="4" w:space="0"/>
              <w:bottom w:val="single" w:color="auto" w:sz="4" w:space="0"/>
              <w:right w:val="single" w:color="auto" w:sz="4" w:space="0"/>
            </w:tcBorders>
            <w:vAlign w:val="center"/>
          </w:tcPr>
          <w:p w14:paraId="6E9EF941">
            <w:pPr>
              <w:keepLines w:val="0"/>
              <w:pageBreakBefore w:val="0"/>
              <w:widowControl w:val="0"/>
              <w:kinsoku/>
              <w:overflowPunct/>
              <w:topLinePunct w:val="0"/>
              <w:autoSpaceDE/>
              <w:autoSpaceDN/>
              <w:bidi w:val="0"/>
              <w:adjustRightInd w:val="0"/>
              <w:snapToGrid w:val="0"/>
              <w:spacing w:line="240" w:lineRule="auto"/>
              <w:ind w:left="0"/>
              <w:jc w:val="center"/>
              <w:textAlignment w:val="auto"/>
              <w:rPr>
                <w:rFonts w:hint="eastAsia" w:ascii="方正楷体_GBK" w:hAnsi="方正楷体_GBK" w:eastAsia="方正楷体_GBK" w:cs="方正楷体_GBK"/>
                <w:b w:val="0"/>
                <w:bCs/>
                <w:sz w:val="21"/>
                <w:szCs w:val="21"/>
              </w:rPr>
            </w:pPr>
          </w:p>
        </w:tc>
      </w:tr>
      <w:tr w14:paraId="76D179E2">
        <w:tblPrEx>
          <w:tblCellMar>
            <w:top w:w="0" w:type="dxa"/>
            <w:left w:w="108" w:type="dxa"/>
            <w:bottom w:w="0" w:type="dxa"/>
            <w:right w:w="108" w:type="dxa"/>
          </w:tblCellMar>
        </w:tblPrEx>
        <w:trPr>
          <w:trHeight w:val="668" w:hRule="atLeast"/>
        </w:trPr>
        <w:tc>
          <w:tcPr>
            <w:tcW w:w="570" w:type="dxa"/>
            <w:tcBorders>
              <w:top w:val="single" w:color="auto" w:sz="4" w:space="0"/>
              <w:left w:val="single" w:color="auto" w:sz="4" w:space="0"/>
              <w:bottom w:val="single" w:color="auto" w:sz="4" w:space="0"/>
              <w:right w:val="single" w:color="auto" w:sz="4" w:space="0"/>
            </w:tcBorders>
            <w:vAlign w:val="center"/>
          </w:tcPr>
          <w:p w14:paraId="24046E6A">
            <w:pPr>
              <w:keepLines w:val="0"/>
              <w:pageBreakBefore w:val="0"/>
              <w:widowControl w:val="0"/>
              <w:kinsoku/>
              <w:overflowPunct/>
              <w:topLinePunct w:val="0"/>
              <w:autoSpaceDE/>
              <w:autoSpaceDN/>
              <w:bidi w:val="0"/>
              <w:adjustRightInd w:val="0"/>
              <w:snapToGrid w:val="0"/>
              <w:spacing w:line="240" w:lineRule="auto"/>
              <w:ind w:left="0"/>
              <w:jc w:val="center"/>
              <w:textAlignment w:val="auto"/>
              <w:rPr>
                <w:rFonts w:hint="eastAsia" w:ascii="方正楷体_GBK" w:hAnsi="方正楷体_GBK" w:eastAsia="方正楷体_GBK" w:cs="方正楷体_GBK"/>
                <w:b w:val="0"/>
                <w:bCs/>
                <w:kern w:val="2"/>
                <w:sz w:val="21"/>
                <w:szCs w:val="21"/>
                <w:lang w:val="en-US" w:eastAsia="zh-CN" w:bidi="ar-SA"/>
              </w:rPr>
            </w:pPr>
            <w:r>
              <w:rPr>
                <w:rFonts w:hint="eastAsia" w:ascii="方正楷体_GBK" w:hAnsi="方正楷体_GBK" w:eastAsia="方正楷体_GBK" w:cs="方正楷体_GBK"/>
                <w:b w:val="0"/>
                <w:bCs/>
                <w:sz w:val="21"/>
                <w:szCs w:val="21"/>
                <w:lang w:val="en-US" w:eastAsia="zh-CN"/>
              </w:rPr>
              <w:t>4</w:t>
            </w:r>
          </w:p>
        </w:tc>
        <w:tc>
          <w:tcPr>
            <w:tcW w:w="2292"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6E3BA19C">
            <w:pPr>
              <w:keepLines w:val="0"/>
              <w:pageBreakBefore w:val="0"/>
              <w:widowControl w:val="0"/>
              <w:kinsoku/>
              <w:overflowPunct/>
              <w:topLinePunct w:val="0"/>
              <w:autoSpaceDE/>
              <w:autoSpaceDN/>
              <w:bidi w:val="0"/>
              <w:adjustRightInd w:val="0"/>
              <w:snapToGrid w:val="0"/>
              <w:spacing w:line="240" w:lineRule="auto"/>
              <w:ind w:left="0"/>
              <w:jc w:val="center"/>
              <w:textAlignment w:val="auto"/>
              <w:rPr>
                <w:rFonts w:hint="eastAsia" w:ascii="方正楷体_GBK" w:hAnsi="方正楷体_GBK" w:eastAsia="方正楷体_GBK" w:cs="方正楷体_GBK"/>
                <w:b w:val="0"/>
                <w:bCs/>
                <w:kern w:val="2"/>
                <w:sz w:val="21"/>
                <w:szCs w:val="21"/>
                <w:lang w:val="en-US" w:eastAsia="zh-CN" w:bidi="ar-SA"/>
              </w:rPr>
            </w:pPr>
            <w:r>
              <w:rPr>
                <w:rFonts w:hint="eastAsia" w:ascii="方正楷体_GBK" w:hAnsi="方正楷体_GBK" w:eastAsia="方正楷体_GBK" w:cs="方正楷体_GBK"/>
                <w:b w:val="0"/>
                <w:bCs/>
                <w:kern w:val="2"/>
                <w:sz w:val="21"/>
                <w:szCs w:val="21"/>
                <w:lang w:val="en-US" w:eastAsia="zh-CN" w:bidi="ar-SA"/>
              </w:rPr>
              <w:t>承保机构（省级）董责险承保经验</w:t>
            </w:r>
          </w:p>
        </w:tc>
        <w:tc>
          <w:tcPr>
            <w:tcW w:w="543" w:type="dxa"/>
            <w:tcBorders>
              <w:top w:val="single" w:color="auto" w:sz="4" w:space="0"/>
              <w:left w:val="single" w:color="auto" w:sz="4" w:space="0"/>
              <w:bottom w:val="single" w:color="auto" w:sz="4" w:space="0"/>
              <w:right w:val="single" w:color="auto" w:sz="4" w:space="0"/>
            </w:tcBorders>
            <w:shd w:val="clear" w:color="auto" w:fill="auto"/>
            <w:vAlign w:val="center"/>
          </w:tcPr>
          <w:p w14:paraId="69BF0C55">
            <w:pPr>
              <w:keepLines w:val="0"/>
              <w:pageBreakBefore w:val="0"/>
              <w:widowControl w:val="0"/>
              <w:kinsoku/>
              <w:overflowPunct/>
              <w:topLinePunct w:val="0"/>
              <w:autoSpaceDE/>
              <w:autoSpaceDN/>
              <w:bidi w:val="0"/>
              <w:spacing w:line="240" w:lineRule="auto"/>
              <w:ind w:left="0"/>
              <w:jc w:val="center"/>
              <w:textAlignment w:val="auto"/>
              <w:rPr>
                <w:rFonts w:hint="eastAsia" w:ascii="方正楷体_GBK" w:hAnsi="方正楷体_GBK" w:eastAsia="方正楷体_GBK" w:cs="方正楷体_GBK"/>
                <w:b w:val="0"/>
                <w:bCs/>
                <w:kern w:val="2"/>
                <w:sz w:val="21"/>
                <w:szCs w:val="21"/>
                <w:lang w:val="en-US" w:eastAsia="zh-CN" w:bidi="ar-SA"/>
              </w:rPr>
            </w:pPr>
            <w:r>
              <w:rPr>
                <w:rFonts w:hint="eastAsia" w:ascii="方正楷体_GBK" w:hAnsi="方正楷体_GBK" w:eastAsia="方正楷体_GBK" w:cs="方正楷体_GBK"/>
                <w:b w:val="0"/>
                <w:bCs/>
                <w:kern w:val="2"/>
                <w:sz w:val="21"/>
                <w:szCs w:val="21"/>
                <w:lang w:val="en-US" w:eastAsia="zh-CN" w:bidi="ar-SA"/>
              </w:rPr>
              <w:t>10</w:t>
            </w:r>
          </w:p>
        </w:tc>
        <w:tc>
          <w:tcPr>
            <w:tcW w:w="5447" w:type="dxa"/>
            <w:tcBorders>
              <w:top w:val="single" w:color="auto" w:sz="4" w:space="0"/>
              <w:left w:val="single" w:color="auto" w:sz="4" w:space="0"/>
              <w:bottom w:val="single" w:color="auto" w:sz="4" w:space="0"/>
              <w:right w:val="single" w:color="auto" w:sz="4" w:space="0"/>
            </w:tcBorders>
            <w:shd w:val="clear" w:color="auto" w:fill="auto"/>
            <w:vAlign w:val="center"/>
          </w:tcPr>
          <w:p w14:paraId="3DE29A47">
            <w:pPr>
              <w:keepNext/>
              <w:keepLines w:val="0"/>
              <w:pageBreakBefore w:val="0"/>
              <w:widowControl w:val="0"/>
              <w:kinsoku/>
              <w:overflowPunct/>
              <w:topLinePunct w:val="0"/>
              <w:autoSpaceDE/>
              <w:autoSpaceDN/>
              <w:bidi w:val="0"/>
              <w:adjustRightInd w:val="0"/>
              <w:snapToGrid w:val="0"/>
              <w:spacing w:line="240" w:lineRule="auto"/>
              <w:ind w:left="0"/>
              <w:textAlignment w:val="auto"/>
              <w:rPr>
                <w:rFonts w:hint="eastAsia" w:ascii="方正楷体_GBK" w:hAnsi="方正楷体_GBK" w:eastAsia="方正楷体_GBK" w:cs="方正楷体_GBK"/>
                <w:b w:val="0"/>
                <w:bCs/>
                <w:kern w:val="2"/>
                <w:sz w:val="21"/>
                <w:szCs w:val="21"/>
                <w:lang w:val="en-US" w:eastAsia="zh-CN" w:bidi="ar-SA"/>
              </w:rPr>
            </w:pPr>
            <w:r>
              <w:rPr>
                <w:rFonts w:hint="eastAsia" w:ascii="方正楷体_GBK" w:hAnsi="方正楷体_GBK" w:eastAsia="方正楷体_GBK" w:cs="方正楷体_GBK"/>
                <w:b w:val="0"/>
                <w:bCs/>
                <w:kern w:val="2"/>
                <w:sz w:val="21"/>
                <w:szCs w:val="21"/>
                <w:lang w:val="en-US" w:eastAsia="zh-CN" w:bidi="ar-SA"/>
              </w:rPr>
              <w:t>1.承保董责险项目（含上市公司，下同）超30个，得10分；</w:t>
            </w:r>
          </w:p>
          <w:p w14:paraId="08833D1F">
            <w:pPr>
              <w:keepNext/>
              <w:keepLines w:val="0"/>
              <w:pageBreakBefore w:val="0"/>
              <w:widowControl w:val="0"/>
              <w:kinsoku/>
              <w:overflowPunct/>
              <w:topLinePunct w:val="0"/>
              <w:autoSpaceDE/>
              <w:autoSpaceDN/>
              <w:bidi w:val="0"/>
              <w:adjustRightInd w:val="0"/>
              <w:snapToGrid w:val="0"/>
              <w:spacing w:line="240" w:lineRule="auto"/>
              <w:ind w:left="0"/>
              <w:textAlignment w:val="auto"/>
              <w:rPr>
                <w:rFonts w:hint="eastAsia" w:ascii="方正楷体_GBK" w:hAnsi="方正楷体_GBK" w:eastAsia="方正楷体_GBK" w:cs="方正楷体_GBK"/>
                <w:b w:val="0"/>
                <w:bCs/>
                <w:kern w:val="2"/>
                <w:sz w:val="21"/>
                <w:szCs w:val="21"/>
                <w:lang w:val="en-US" w:eastAsia="zh-CN" w:bidi="ar-SA"/>
              </w:rPr>
            </w:pPr>
            <w:r>
              <w:rPr>
                <w:rFonts w:hint="eastAsia" w:ascii="方正楷体_GBK" w:hAnsi="方正楷体_GBK" w:eastAsia="方正楷体_GBK" w:cs="方正楷体_GBK"/>
                <w:b w:val="0"/>
                <w:bCs/>
                <w:kern w:val="2"/>
                <w:sz w:val="21"/>
                <w:szCs w:val="21"/>
                <w:lang w:val="en-US" w:eastAsia="zh-CN" w:bidi="ar-SA"/>
              </w:rPr>
              <w:t>2.承保董责险项目超20个，得5分；</w:t>
            </w:r>
          </w:p>
          <w:p w14:paraId="49B8CCB4">
            <w:pPr>
              <w:keepNext/>
              <w:keepLines w:val="0"/>
              <w:pageBreakBefore w:val="0"/>
              <w:widowControl w:val="0"/>
              <w:kinsoku/>
              <w:overflowPunct/>
              <w:topLinePunct w:val="0"/>
              <w:autoSpaceDE/>
              <w:autoSpaceDN/>
              <w:bidi w:val="0"/>
              <w:adjustRightInd w:val="0"/>
              <w:snapToGrid w:val="0"/>
              <w:spacing w:line="240" w:lineRule="auto"/>
              <w:ind w:left="0"/>
              <w:textAlignment w:val="auto"/>
              <w:rPr>
                <w:rFonts w:hint="eastAsia" w:ascii="方正楷体_GBK" w:hAnsi="方正楷体_GBK" w:eastAsia="方正楷体_GBK" w:cs="方正楷体_GBK"/>
                <w:b w:val="0"/>
                <w:bCs/>
                <w:kern w:val="2"/>
                <w:sz w:val="21"/>
                <w:szCs w:val="21"/>
                <w:lang w:val="en-US" w:eastAsia="zh-CN" w:bidi="ar-SA"/>
              </w:rPr>
            </w:pPr>
            <w:r>
              <w:rPr>
                <w:rFonts w:hint="eastAsia" w:ascii="方正楷体_GBK" w:hAnsi="方正楷体_GBK" w:eastAsia="方正楷体_GBK" w:cs="方正楷体_GBK"/>
                <w:b w:val="0"/>
                <w:bCs/>
                <w:kern w:val="2"/>
                <w:sz w:val="21"/>
                <w:szCs w:val="21"/>
                <w:lang w:val="en-US" w:eastAsia="zh-CN" w:bidi="ar-SA"/>
              </w:rPr>
              <w:t>3.承保董责险项目超15个，得3分；</w:t>
            </w:r>
          </w:p>
          <w:p w14:paraId="5BF372E9">
            <w:pPr>
              <w:keepNext/>
              <w:keepLines w:val="0"/>
              <w:pageBreakBefore w:val="0"/>
              <w:widowControl w:val="0"/>
              <w:kinsoku/>
              <w:overflowPunct/>
              <w:topLinePunct w:val="0"/>
              <w:autoSpaceDE/>
              <w:autoSpaceDN/>
              <w:bidi w:val="0"/>
              <w:adjustRightInd w:val="0"/>
              <w:snapToGrid w:val="0"/>
              <w:spacing w:line="240" w:lineRule="auto"/>
              <w:ind w:left="0"/>
              <w:textAlignment w:val="auto"/>
              <w:rPr>
                <w:rFonts w:hint="eastAsia" w:ascii="方正楷体_GBK" w:hAnsi="方正楷体_GBK" w:eastAsia="方正楷体_GBK" w:cs="方正楷体_GBK"/>
                <w:b w:val="0"/>
                <w:bCs/>
                <w:kern w:val="2"/>
                <w:sz w:val="21"/>
                <w:szCs w:val="21"/>
                <w:lang w:val="en-US" w:eastAsia="zh-CN" w:bidi="ar-SA"/>
              </w:rPr>
            </w:pPr>
            <w:r>
              <w:rPr>
                <w:rFonts w:hint="eastAsia" w:ascii="方正楷体_GBK" w:hAnsi="方正楷体_GBK" w:eastAsia="方正楷体_GBK" w:cs="方正楷体_GBK"/>
                <w:b w:val="0"/>
                <w:bCs/>
                <w:kern w:val="2"/>
                <w:sz w:val="21"/>
                <w:szCs w:val="21"/>
                <w:lang w:val="en-US" w:eastAsia="zh-CN" w:bidi="ar-SA"/>
              </w:rPr>
              <w:t>4.承保董责险项目不超过10个，不得分；</w:t>
            </w:r>
          </w:p>
          <w:p w14:paraId="6D41D57F">
            <w:pPr>
              <w:keepNext/>
              <w:keepLines w:val="0"/>
              <w:pageBreakBefore w:val="0"/>
              <w:widowControl w:val="0"/>
              <w:kinsoku/>
              <w:overflowPunct/>
              <w:topLinePunct w:val="0"/>
              <w:autoSpaceDE/>
              <w:autoSpaceDN/>
              <w:bidi w:val="0"/>
              <w:adjustRightInd w:val="0"/>
              <w:snapToGrid w:val="0"/>
              <w:spacing w:line="240" w:lineRule="auto"/>
              <w:ind w:left="0"/>
              <w:textAlignment w:val="auto"/>
              <w:rPr>
                <w:rFonts w:hint="eastAsia" w:ascii="方正楷体_GBK" w:hAnsi="方正楷体_GBK" w:eastAsia="方正楷体_GBK" w:cs="方正楷体_GBK"/>
                <w:b w:val="0"/>
                <w:bCs/>
                <w:kern w:val="2"/>
                <w:sz w:val="21"/>
                <w:szCs w:val="21"/>
                <w:lang w:val="en-US" w:eastAsia="zh-CN" w:bidi="ar-SA"/>
              </w:rPr>
            </w:pPr>
            <w:r>
              <w:rPr>
                <w:rFonts w:hint="eastAsia" w:ascii="方正楷体_GBK" w:hAnsi="方正楷体_GBK" w:eastAsia="方正楷体_GBK" w:cs="方正楷体_GBK"/>
                <w:b w:val="0"/>
                <w:bCs/>
                <w:kern w:val="2"/>
                <w:sz w:val="21"/>
                <w:szCs w:val="21"/>
                <w:lang w:val="en-US" w:eastAsia="zh-CN" w:bidi="ar-SA"/>
              </w:rPr>
              <w:t>注：须提供2025年度保险合同或服务协议等有效证明材料关键页或招投标信息（包括但不限于承保时间、保额/赔偿限额、签字盖章等，涉及敏感信息可脱敏处理）；如承保机构董责险承保经验因涉密或数量过多不便列举，可自拟格式证明文件并加盖公章，并自备证明材料待后续查验。</w:t>
            </w:r>
          </w:p>
        </w:tc>
        <w:tc>
          <w:tcPr>
            <w:tcW w:w="780" w:type="dxa"/>
            <w:tcBorders>
              <w:left w:val="single" w:color="auto" w:sz="4" w:space="0"/>
              <w:bottom w:val="single" w:color="auto" w:sz="4" w:space="0"/>
              <w:right w:val="single" w:color="auto" w:sz="4" w:space="0"/>
            </w:tcBorders>
            <w:vAlign w:val="center"/>
          </w:tcPr>
          <w:p w14:paraId="575158F3">
            <w:pPr>
              <w:keepLines w:val="0"/>
              <w:pageBreakBefore w:val="0"/>
              <w:widowControl w:val="0"/>
              <w:kinsoku/>
              <w:overflowPunct/>
              <w:topLinePunct w:val="0"/>
              <w:autoSpaceDE/>
              <w:autoSpaceDN/>
              <w:bidi w:val="0"/>
              <w:spacing w:line="240" w:lineRule="auto"/>
              <w:ind w:left="0"/>
              <w:jc w:val="center"/>
              <w:textAlignment w:val="auto"/>
              <w:rPr>
                <w:rFonts w:hint="eastAsia" w:ascii="方正楷体_GBK" w:hAnsi="方正楷体_GBK" w:eastAsia="方正楷体_GBK" w:cs="方正楷体_GBK"/>
                <w:b w:val="0"/>
                <w:bCs/>
                <w:sz w:val="21"/>
                <w:szCs w:val="21"/>
              </w:rPr>
            </w:pPr>
          </w:p>
        </w:tc>
      </w:tr>
      <w:tr w14:paraId="10BA357C">
        <w:tblPrEx>
          <w:tblCellMar>
            <w:top w:w="0" w:type="dxa"/>
            <w:left w:w="108" w:type="dxa"/>
            <w:bottom w:w="0" w:type="dxa"/>
            <w:right w:w="108" w:type="dxa"/>
          </w:tblCellMar>
        </w:tblPrEx>
        <w:trPr>
          <w:trHeight w:val="280" w:hRule="atLeast"/>
        </w:trPr>
        <w:tc>
          <w:tcPr>
            <w:tcW w:w="570" w:type="dxa"/>
            <w:vMerge w:val="restart"/>
            <w:tcBorders>
              <w:top w:val="single" w:color="auto" w:sz="4" w:space="0"/>
              <w:left w:val="single" w:color="auto" w:sz="4" w:space="0"/>
              <w:right w:val="single" w:color="auto" w:sz="4" w:space="0"/>
            </w:tcBorders>
            <w:vAlign w:val="center"/>
          </w:tcPr>
          <w:p w14:paraId="2F533B29">
            <w:pPr>
              <w:keepLines w:val="0"/>
              <w:pageBreakBefore w:val="0"/>
              <w:widowControl w:val="0"/>
              <w:kinsoku/>
              <w:overflowPunct/>
              <w:topLinePunct w:val="0"/>
              <w:autoSpaceDE/>
              <w:autoSpaceDN/>
              <w:bidi w:val="0"/>
              <w:adjustRightInd w:val="0"/>
              <w:snapToGrid w:val="0"/>
              <w:spacing w:line="240" w:lineRule="auto"/>
              <w:ind w:left="0"/>
              <w:jc w:val="center"/>
              <w:textAlignment w:val="auto"/>
              <w:rPr>
                <w:rFonts w:hint="eastAsia" w:ascii="方正楷体_GBK" w:hAnsi="方正楷体_GBK" w:eastAsia="方正楷体_GBK" w:cs="方正楷体_GBK"/>
                <w:b w:val="0"/>
                <w:bCs/>
                <w:sz w:val="21"/>
                <w:szCs w:val="21"/>
                <w:lang w:val="en-US" w:eastAsia="zh-CN"/>
              </w:rPr>
            </w:pPr>
            <w:r>
              <w:rPr>
                <w:rFonts w:hint="eastAsia" w:ascii="方正楷体_GBK" w:hAnsi="方正楷体_GBK" w:eastAsia="方正楷体_GBK" w:cs="方正楷体_GBK"/>
                <w:b w:val="0"/>
                <w:bCs/>
                <w:sz w:val="21"/>
                <w:szCs w:val="21"/>
                <w:lang w:val="en-US" w:eastAsia="zh-CN"/>
              </w:rPr>
              <w:t>5</w:t>
            </w:r>
          </w:p>
        </w:tc>
        <w:tc>
          <w:tcPr>
            <w:tcW w:w="771" w:type="dxa"/>
            <w:vMerge w:val="restart"/>
            <w:tcBorders>
              <w:top w:val="single" w:color="auto" w:sz="4" w:space="0"/>
              <w:left w:val="single" w:color="auto" w:sz="4" w:space="0"/>
              <w:right w:val="single" w:color="auto" w:sz="4" w:space="0"/>
            </w:tcBorders>
            <w:shd w:val="clear" w:color="auto" w:fill="auto"/>
            <w:vAlign w:val="center"/>
          </w:tcPr>
          <w:p w14:paraId="4A637AB8">
            <w:pPr>
              <w:keepLines w:val="0"/>
              <w:pageBreakBefore w:val="0"/>
              <w:widowControl w:val="0"/>
              <w:kinsoku/>
              <w:overflowPunct/>
              <w:topLinePunct w:val="0"/>
              <w:autoSpaceDE/>
              <w:autoSpaceDN/>
              <w:bidi w:val="0"/>
              <w:adjustRightInd w:val="0"/>
              <w:snapToGrid w:val="0"/>
              <w:spacing w:line="240" w:lineRule="auto"/>
              <w:ind w:left="0"/>
              <w:jc w:val="center"/>
              <w:textAlignment w:val="auto"/>
              <w:rPr>
                <w:rFonts w:hint="eastAsia" w:ascii="方正楷体_GBK" w:hAnsi="方正楷体_GBK" w:eastAsia="方正楷体_GBK" w:cs="方正楷体_GBK"/>
                <w:b w:val="0"/>
                <w:bCs/>
                <w:kern w:val="2"/>
                <w:sz w:val="21"/>
                <w:szCs w:val="21"/>
                <w:lang w:val="en-US" w:eastAsia="zh-CN" w:bidi="ar-SA"/>
              </w:rPr>
            </w:pPr>
            <w:r>
              <w:rPr>
                <w:rFonts w:hint="eastAsia" w:ascii="方正楷体_GBK" w:hAnsi="方正楷体_GBK" w:eastAsia="方正楷体_GBK" w:cs="方正楷体_GBK"/>
                <w:b w:val="0"/>
                <w:bCs/>
                <w:kern w:val="2"/>
                <w:sz w:val="21"/>
                <w:szCs w:val="21"/>
                <w:lang w:val="en-US" w:eastAsia="zh-CN" w:bidi="ar-SA"/>
              </w:rPr>
              <w:t>保险方案</w:t>
            </w:r>
          </w:p>
        </w:tc>
        <w:tc>
          <w:tcPr>
            <w:tcW w:w="1521" w:type="dxa"/>
            <w:tcBorders>
              <w:top w:val="single" w:color="auto" w:sz="4" w:space="0"/>
              <w:left w:val="single" w:color="auto" w:sz="4" w:space="0"/>
              <w:bottom w:val="single" w:color="auto" w:sz="4" w:space="0"/>
              <w:right w:val="single" w:color="auto" w:sz="4" w:space="0"/>
            </w:tcBorders>
            <w:shd w:val="clear" w:color="auto" w:fill="auto"/>
            <w:vAlign w:val="center"/>
          </w:tcPr>
          <w:p w14:paraId="1F5B52A9">
            <w:pPr>
              <w:keepLines w:val="0"/>
              <w:pageBreakBefore w:val="0"/>
              <w:widowControl w:val="0"/>
              <w:kinsoku/>
              <w:overflowPunct/>
              <w:topLinePunct w:val="0"/>
              <w:autoSpaceDE/>
              <w:autoSpaceDN/>
              <w:bidi w:val="0"/>
              <w:adjustRightInd w:val="0"/>
              <w:snapToGrid w:val="0"/>
              <w:spacing w:line="240" w:lineRule="auto"/>
              <w:ind w:left="0"/>
              <w:jc w:val="center"/>
              <w:textAlignment w:val="auto"/>
              <w:rPr>
                <w:rFonts w:hint="eastAsia" w:ascii="方正楷体_GBK" w:hAnsi="方正楷体_GBK" w:eastAsia="方正楷体_GBK" w:cs="方正楷体_GBK"/>
                <w:b w:val="0"/>
                <w:bCs/>
                <w:kern w:val="2"/>
                <w:sz w:val="21"/>
                <w:szCs w:val="21"/>
                <w:lang w:val="en-US" w:eastAsia="zh-CN" w:bidi="ar-SA"/>
              </w:rPr>
            </w:pPr>
            <w:r>
              <w:rPr>
                <w:rFonts w:hint="eastAsia" w:ascii="方正楷体_GBK" w:hAnsi="方正楷体_GBK" w:eastAsia="方正楷体_GBK" w:cs="方正楷体_GBK"/>
                <w:b w:val="0"/>
                <w:bCs/>
                <w:kern w:val="2"/>
                <w:sz w:val="21"/>
                <w:szCs w:val="21"/>
                <w:lang w:val="en-US" w:eastAsia="zh-CN" w:bidi="ar-SA"/>
              </w:rPr>
              <w:t>保障范围</w:t>
            </w:r>
          </w:p>
        </w:tc>
        <w:tc>
          <w:tcPr>
            <w:tcW w:w="543" w:type="dxa"/>
            <w:tcBorders>
              <w:top w:val="single" w:color="auto" w:sz="4" w:space="0"/>
              <w:left w:val="single" w:color="auto" w:sz="4" w:space="0"/>
              <w:bottom w:val="single" w:color="auto" w:sz="4" w:space="0"/>
              <w:right w:val="single" w:color="auto" w:sz="4" w:space="0"/>
            </w:tcBorders>
            <w:shd w:val="clear" w:color="auto" w:fill="auto"/>
            <w:vAlign w:val="center"/>
          </w:tcPr>
          <w:p w14:paraId="5526B571">
            <w:pPr>
              <w:keepLines w:val="0"/>
              <w:pageBreakBefore w:val="0"/>
              <w:widowControl w:val="0"/>
              <w:kinsoku/>
              <w:overflowPunct/>
              <w:topLinePunct w:val="0"/>
              <w:autoSpaceDE/>
              <w:autoSpaceDN/>
              <w:bidi w:val="0"/>
              <w:spacing w:line="240" w:lineRule="auto"/>
              <w:ind w:left="0"/>
              <w:jc w:val="center"/>
              <w:textAlignment w:val="auto"/>
              <w:rPr>
                <w:rFonts w:hint="eastAsia" w:ascii="方正楷体_GBK" w:hAnsi="方正楷体_GBK" w:eastAsia="方正楷体_GBK" w:cs="方正楷体_GBK"/>
                <w:b w:val="0"/>
                <w:bCs/>
                <w:kern w:val="2"/>
                <w:sz w:val="21"/>
                <w:szCs w:val="21"/>
                <w:lang w:val="en-US" w:eastAsia="zh-CN" w:bidi="ar-SA"/>
              </w:rPr>
            </w:pPr>
            <w:r>
              <w:rPr>
                <w:rFonts w:hint="eastAsia" w:ascii="方正楷体_GBK" w:hAnsi="方正楷体_GBK" w:eastAsia="方正楷体_GBK" w:cs="方正楷体_GBK"/>
                <w:b w:val="0"/>
                <w:bCs/>
                <w:kern w:val="2"/>
                <w:sz w:val="21"/>
                <w:szCs w:val="21"/>
                <w:lang w:val="en-US" w:eastAsia="zh-CN" w:bidi="ar-SA"/>
              </w:rPr>
              <w:t>16</w:t>
            </w:r>
          </w:p>
        </w:tc>
        <w:tc>
          <w:tcPr>
            <w:tcW w:w="5447" w:type="dxa"/>
            <w:tcBorders>
              <w:top w:val="single" w:color="auto" w:sz="4" w:space="0"/>
              <w:left w:val="single" w:color="auto" w:sz="4" w:space="0"/>
              <w:bottom w:val="single" w:color="auto" w:sz="4" w:space="0"/>
              <w:right w:val="single" w:color="auto" w:sz="4" w:space="0"/>
            </w:tcBorders>
            <w:shd w:val="clear" w:color="auto" w:fill="auto"/>
            <w:vAlign w:val="center"/>
          </w:tcPr>
          <w:p w14:paraId="67C15B98">
            <w:pPr>
              <w:keepNext/>
              <w:keepLines w:val="0"/>
              <w:pageBreakBefore w:val="0"/>
              <w:widowControl w:val="0"/>
              <w:kinsoku/>
              <w:overflowPunct/>
              <w:topLinePunct w:val="0"/>
              <w:autoSpaceDE/>
              <w:autoSpaceDN/>
              <w:bidi w:val="0"/>
              <w:adjustRightInd w:val="0"/>
              <w:snapToGrid w:val="0"/>
              <w:spacing w:line="240" w:lineRule="auto"/>
              <w:ind w:left="0"/>
              <w:textAlignment w:val="auto"/>
              <w:rPr>
                <w:rFonts w:hint="eastAsia" w:ascii="方正楷体_GBK" w:hAnsi="方正楷体_GBK" w:eastAsia="方正楷体_GBK" w:cs="方正楷体_GBK"/>
                <w:b w:val="0"/>
                <w:bCs/>
                <w:kern w:val="2"/>
                <w:sz w:val="21"/>
                <w:szCs w:val="21"/>
                <w:lang w:val="en-US" w:eastAsia="zh-CN" w:bidi="ar-SA"/>
              </w:rPr>
            </w:pPr>
            <w:r>
              <w:rPr>
                <w:rFonts w:hint="eastAsia" w:ascii="方正楷体_GBK" w:hAnsi="方正楷体_GBK" w:eastAsia="方正楷体_GBK" w:cs="方正楷体_GBK"/>
                <w:b w:val="0"/>
                <w:bCs/>
                <w:kern w:val="2"/>
                <w:sz w:val="21"/>
                <w:szCs w:val="21"/>
                <w:lang w:val="en-US" w:eastAsia="zh-CN" w:bidi="ar-SA"/>
              </w:rPr>
              <w:t>根据参与单位提供的保险方案中的承保范围进行评价，保险条款明确载明以下保险责任，否则不得分</w:t>
            </w:r>
          </w:p>
          <w:p w14:paraId="56E73930">
            <w:pPr>
              <w:keepNext/>
              <w:keepLines w:val="0"/>
              <w:pageBreakBefore w:val="0"/>
              <w:widowControl w:val="0"/>
              <w:kinsoku/>
              <w:overflowPunct/>
              <w:topLinePunct w:val="0"/>
              <w:autoSpaceDE/>
              <w:autoSpaceDN/>
              <w:bidi w:val="0"/>
              <w:adjustRightInd w:val="0"/>
              <w:snapToGrid w:val="0"/>
              <w:spacing w:line="240" w:lineRule="auto"/>
              <w:ind w:left="0"/>
              <w:textAlignment w:val="auto"/>
              <w:rPr>
                <w:rFonts w:hint="eastAsia" w:ascii="方正楷体_GBK" w:hAnsi="方正楷体_GBK" w:eastAsia="方正楷体_GBK" w:cs="方正楷体_GBK"/>
                <w:b w:val="0"/>
                <w:bCs/>
                <w:kern w:val="2"/>
                <w:sz w:val="21"/>
                <w:szCs w:val="21"/>
                <w:lang w:val="en-US" w:eastAsia="zh-CN" w:bidi="ar-SA"/>
              </w:rPr>
            </w:pPr>
            <w:r>
              <w:rPr>
                <w:rFonts w:hint="eastAsia" w:ascii="方正楷体_GBK" w:hAnsi="方正楷体_GBK" w:eastAsia="方正楷体_GBK" w:cs="方正楷体_GBK"/>
                <w:b w:val="0"/>
                <w:bCs/>
                <w:kern w:val="2"/>
                <w:sz w:val="21"/>
                <w:szCs w:val="21"/>
                <w:lang w:val="en-US" w:eastAsia="zh-CN" w:bidi="ar-SA"/>
              </w:rPr>
              <w:t>1.被保险个人保障：</w:t>
            </w:r>
          </w:p>
          <w:p w14:paraId="54C6768E">
            <w:pPr>
              <w:keepNext/>
              <w:keepLines w:val="0"/>
              <w:pageBreakBefore w:val="0"/>
              <w:widowControl w:val="0"/>
              <w:kinsoku/>
              <w:overflowPunct/>
              <w:topLinePunct w:val="0"/>
              <w:autoSpaceDE/>
              <w:autoSpaceDN/>
              <w:bidi w:val="0"/>
              <w:adjustRightInd w:val="0"/>
              <w:snapToGrid w:val="0"/>
              <w:spacing w:line="240" w:lineRule="auto"/>
              <w:ind w:left="0"/>
              <w:textAlignment w:val="auto"/>
              <w:rPr>
                <w:rFonts w:hint="eastAsia" w:ascii="方正楷体_GBK" w:hAnsi="方正楷体_GBK" w:eastAsia="方正楷体_GBK" w:cs="方正楷体_GBK"/>
                <w:b w:val="0"/>
                <w:bCs/>
                <w:kern w:val="2"/>
                <w:sz w:val="21"/>
                <w:szCs w:val="21"/>
                <w:lang w:val="en-US" w:eastAsia="zh-CN" w:bidi="ar-SA"/>
              </w:rPr>
            </w:pPr>
            <w:r>
              <w:rPr>
                <w:rFonts w:hint="eastAsia" w:ascii="方正楷体_GBK" w:hAnsi="方正楷体_GBK" w:eastAsia="方正楷体_GBK" w:cs="方正楷体_GBK"/>
                <w:b w:val="0"/>
                <w:bCs/>
                <w:kern w:val="2"/>
                <w:sz w:val="21"/>
                <w:szCs w:val="21"/>
                <w:lang w:val="en-US" w:eastAsia="zh-CN" w:bidi="ar-SA"/>
              </w:rPr>
              <w:t>（1）因不当行为遭受赔偿请求所引起的损失，得2分；</w:t>
            </w:r>
          </w:p>
          <w:p w14:paraId="0610553D">
            <w:pPr>
              <w:keepNext/>
              <w:keepLines w:val="0"/>
              <w:pageBreakBefore w:val="0"/>
              <w:widowControl w:val="0"/>
              <w:kinsoku/>
              <w:overflowPunct/>
              <w:topLinePunct w:val="0"/>
              <w:autoSpaceDE/>
              <w:autoSpaceDN/>
              <w:bidi w:val="0"/>
              <w:adjustRightInd w:val="0"/>
              <w:snapToGrid w:val="0"/>
              <w:spacing w:line="240" w:lineRule="auto"/>
              <w:ind w:left="0"/>
              <w:textAlignment w:val="auto"/>
              <w:rPr>
                <w:rFonts w:hint="eastAsia" w:ascii="方正楷体_GBK" w:hAnsi="方正楷体_GBK" w:eastAsia="方正楷体_GBK" w:cs="方正楷体_GBK"/>
                <w:b w:val="0"/>
                <w:bCs/>
                <w:kern w:val="2"/>
                <w:sz w:val="21"/>
                <w:szCs w:val="21"/>
                <w:lang w:val="en-US" w:eastAsia="zh-CN" w:bidi="ar-SA"/>
              </w:rPr>
            </w:pPr>
            <w:r>
              <w:rPr>
                <w:rFonts w:hint="eastAsia" w:ascii="方正楷体_GBK" w:hAnsi="方正楷体_GBK" w:eastAsia="方正楷体_GBK" w:cs="方正楷体_GBK"/>
                <w:b w:val="0"/>
                <w:bCs/>
                <w:kern w:val="2"/>
                <w:sz w:val="21"/>
                <w:szCs w:val="21"/>
                <w:lang w:val="en-US" w:eastAsia="zh-CN" w:bidi="ar-SA"/>
              </w:rPr>
              <w:t>（2）协助及配合核查与稽查、调查所引起的费用，得2分；</w:t>
            </w:r>
          </w:p>
          <w:p w14:paraId="77F9FFA4">
            <w:pPr>
              <w:keepNext/>
              <w:keepLines w:val="0"/>
              <w:pageBreakBefore w:val="0"/>
              <w:widowControl w:val="0"/>
              <w:kinsoku/>
              <w:overflowPunct/>
              <w:topLinePunct w:val="0"/>
              <w:autoSpaceDE/>
              <w:autoSpaceDN/>
              <w:bidi w:val="0"/>
              <w:adjustRightInd w:val="0"/>
              <w:snapToGrid w:val="0"/>
              <w:spacing w:line="240" w:lineRule="auto"/>
              <w:ind w:left="0"/>
              <w:textAlignment w:val="auto"/>
              <w:rPr>
                <w:rFonts w:hint="eastAsia" w:ascii="方正楷体_GBK" w:hAnsi="方正楷体_GBK" w:eastAsia="方正楷体_GBK" w:cs="方正楷体_GBK"/>
                <w:b w:val="0"/>
                <w:bCs/>
                <w:kern w:val="2"/>
                <w:sz w:val="21"/>
                <w:szCs w:val="21"/>
                <w:lang w:val="en-US" w:eastAsia="zh-CN" w:bidi="ar-SA"/>
              </w:rPr>
            </w:pPr>
            <w:r>
              <w:rPr>
                <w:rFonts w:hint="eastAsia" w:ascii="方正楷体_GBK" w:hAnsi="方正楷体_GBK" w:eastAsia="方正楷体_GBK" w:cs="方正楷体_GBK"/>
                <w:b w:val="0"/>
                <w:bCs/>
                <w:kern w:val="2"/>
                <w:sz w:val="21"/>
                <w:szCs w:val="21"/>
                <w:lang w:val="en-US" w:eastAsia="zh-CN" w:bidi="ar-SA"/>
              </w:rPr>
              <w:t>2.被保险公司的保障：</w:t>
            </w:r>
          </w:p>
          <w:p w14:paraId="166DA9A4">
            <w:pPr>
              <w:keepNext/>
              <w:keepLines w:val="0"/>
              <w:pageBreakBefore w:val="0"/>
              <w:widowControl w:val="0"/>
              <w:kinsoku/>
              <w:overflowPunct/>
              <w:topLinePunct w:val="0"/>
              <w:autoSpaceDE/>
              <w:autoSpaceDN/>
              <w:bidi w:val="0"/>
              <w:adjustRightInd w:val="0"/>
              <w:snapToGrid w:val="0"/>
              <w:spacing w:line="240" w:lineRule="auto"/>
              <w:ind w:left="0"/>
              <w:textAlignment w:val="auto"/>
              <w:rPr>
                <w:rFonts w:hint="eastAsia" w:ascii="方正楷体_GBK" w:hAnsi="方正楷体_GBK" w:eastAsia="方正楷体_GBK" w:cs="方正楷体_GBK"/>
                <w:b w:val="0"/>
                <w:bCs/>
                <w:kern w:val="2"/>
                <w:sz w:val="21"/>
                <w:szCs w:val="21"/>
                <w:lang w:val="en-US" w:eastAsia="zh-CN" w:bidi="ar-SA"/>
              </w:rPr>
            </w:pPr>
            <w:r>
              <w:rPr>
                <w:rFonts w:hint="eastAsia" w:ascii="方正楷体_GBK" w:hAnsi="方正楷体_GBK" w:eastAsia="方正楷体_GBK" w:cs="方正楷体_GBK"/>
                <w:b w:val="0"/>
                <w:bCs/>
                <w:kern w:val="2"/>
                <w:sz w:val="21"/>
                <w:szCs w:val="21"/>
                <w:lang w:val="en-US" w:eastAsia="zh-CN" w:bidi="ar-SA"/>
              </w:rPr>
              <w:t>（1）有价证券赔偿请求而引起的损失，得2分；</w:t>
            </w:r>
          </w:p>
          <w:p w14:paraId="3E26B90E">
            <w:pPr>
              <w:keepNext/>
              <w:keepLines w:val="0"/>
              <w:pageBreakBefore w:val="0"/>
              <w:widowControl w:val="0"/>
              <w:kinsoku/>
              <w:overflowPunct/>
              <w:topLinePunct w:val="0"/>
              <w:autoSpaceDE/>
              <w:autoSpaceDN/>
              <w:bidi w:val="0"/>
              <w:adjustRightInd w:val="0"/>
              <w:snapToGrid w:val="0"/>
              <w:spacing w:line="240" w:lineRule="auto"/>
              <w:ind w:left="0"/>
              <w:textAlignment w:val="auto"/>
              <w:rPr>
                <w:rFonts w:hint="eastAsia" w:ascii="方正楷体_GBK" w:hAnsi="方正楷体_GBK" w:eastAsia="方正楷体_GBK" w:cs="方正楷体_GBK"/>
                <w:b w:val="0"/>
                <w:bCs/>
                <w:kern w:val="2"/>
                <w:sz w:val="21"/>
                <w:szCs w:val="21"/>
                <w:lang w:val="en-US" w:eastAsia="zh-CN" w:bidi="ar-SA"/>
              </w:rPr>
            </w:pPr>
            <w:r>
              <w:rPr>
                <w:rFonts w:hint="eastAsia" w:ascii="方正楷体_GBK" w:hAnsi="方正楷体_GBK" w:eastAsia="方正楷体_GBK" w:cs="方正楷体_GBK"/>
                <w:b w:val="0"/>
                <w:bCs/>
                <w:kern w:val="2"/>
                <w:sz w:val="21"/>
                <w:szCs w:val="21"/>
                <w:lang w:val="en-US" w:eastAsia="zh-CN" w:bidi="ar-SA"/>
              </w:rPr>
              <w:t>（2）协助监管机构的核查与稽查、调查所引起的费用，得2分；</w:t>
            </w:r>
          </w:p>
          <w:p w14:paraId="76B80DDB">
            <w:pPr>
              <w:keepNext/>
              <w:keepLines w:val="0"/>
              <w:pageBreakBefore w:val="0"/>
              <w:widowControl w:val="0"/>
              <w:kinsoku/>
              <w:overflowPunct/>
              <w:topLinePunct w:val="0"/>
              <w:autoSpaceDE/>
              <w:autoSpaceDN/>
              <w:bidi w:val="0"/>
              <w:adjustRightInd w:val="0"/>
              <w:snapToGrid w:val="0"/>
              <w:spacing w:line="240" w:lineRule="auto"/>
              <w:ind w:left="0"/>
              <w:textAlignment w:val="auto"/>
              <w:rPr>
                <w:rFonts w:hint="eastAsia" w:ascii="方正楷体_GBK" w:hAnsi="方正楷体_GBK" w:eastAsia="方正楷体_GBK" w:cs="方正楷体_GBK"/>
                <w:b w:val="0"/>
                <w:bCs/>
                <w:kern w:val="2"/>
                <w:sz w:val="21"/>
                <w:szCs w:val="21"/>
                <w:lang w:val="en-US" w:eastAsia="zh-CN" w:bidi="ar-SA"/>
              </w:rPr>
            </w:pPr>
            <w:r>
              <w:rPr>
                <w:rFonts w:hint="eastAsia" w:ascii="方正楷体_GBK" w:hAnsi="方正楷体_GBK" w:eastAsia="方正楷体_GBK" w:cs="方正楷体_GBK"/>
                <w:b w:val="0"/>
                <w:bCs/>
                <w:kern w:val="2"/>
                <w:sz w:val="21"/>
                <w:szCs w:val="21"/>
                <w:lang w:val="en-US" w:eastAsia="zh-CN" w:bidi="ar-SA"/>
              </w:rPr>
              <w:t>（3）因不当雇佣行为赔偿请求所引起的损失，得2分；</w:t>
            </w:r>
          </w:p>
          <w:p w14:paraId="5F7AF4DE">
            <w:pPr>
              <w:keepNext/>
              <w:keepLines w:val="0"/>
              <w:pageBreakBefore w:val="0"/>
              <w:widowControl w:val="0"/>
              <w:kinsoku/>
              <w:overflowPunct/>
              <w:topLinePunct w:val="0"/>
              <w:autoSpaceDE/>
              <w:autoSpaceDN/>
              <w:bidi w:val="0"/>
              <w:adjustRightInd w:val="0"/>
              <w:snapToGrid w:val="0"/>
              <w:spacing w:line="240" w:lineRule="auto"/>
              <w:ind w:left="0"/>
              <w:textAlignment w:val="auto"/>
              <w:rPr>
                <w:rFonts w:hint="eastAsia" w:ascii="方正楷体_GBK" w:hAnsi="方正楷体_GBK" w:eastAsia="方正楷体_GBK" w:cs="方正楷体_GBK"/>
                <w:b w:val="0"/>
                <w:bCs/>
                <w:kern w:val="2"/>
                <w:sz w:val="21"/>
                <w:szCs w:val="21"/>
                <w:lang w:val="en-US" w:eastAsia="zh-CN" w:bidi="ar-SA"/>
              </w:rPr>
            </w:pPr>
            <w:r>
              <w:rPr>
                <w:rFonts w:hint="eastAsia" w:ascii="方正楷体_GBK" w:hAnsi="方正楷体_GBK" w:eastAsia="方正楷体_GBK" w:cs="方正楷体_GBK"/>
                <w:b w:val="0"/>
                <w:bCs/>
                <w:kern w:val="2"/>
                <w:sz w:val="21"/>
                <w:szCs w:val="21"/>
                <w:lang w:val="en-US" w:eastAsia="zh-CN" w:bidi="ar-SA"/>
              </w:rPr>
              <w:t>（4）承担危机事件管理费用，得2分；</w:t>
            </w:r>
          </w:p>
          <w:p w14:paraId="73DE0FC3">
            <w:pPr>
              <w:keepNext/>
              <w:keepLines w:val="0"/>
              <w:pageBreakBefore w:val="0"/>
              <w:widowControl w:val="0"/>
              <w:kinsoku/>
              <w:overflowPunct/>
              <w:topLinePunct w:val="0"/>
              <w:autoSpaceDE/>
              <w:autoSpaceDN/>
              <w:bidi w:val="0"/>
              <w:adjustRightInd w:val="0"/>
              <w:snapToGrid w:val="0"/>
              <w:spacing w:line="240" w:lineRule="auto"/>
              <w:ind w:left="0"/>
              <w:textAlignment w:val="auto"/>
              <w:rPr>
                <w:rFonts w:hint="eastAsia" w:ascii="方正楷体_GBK" w:hAnsi="方正楷体_GBK" w:eastAsia="方正楷体_GBK" w:cs="方正楷体_GBK"/>
                <w:b w:val="0"/>
                <w:bCs/>
                <w:kern w:val="2"/>
                <w:sz w:val="21"/>
                <w:szCs w:val="21"/>
                <w:lang w:val="en-US" w:eastAsia="zh-CN" w:bidi="ar-SA"/>
              </w:rPr>
            </w:pPr>
            <w:r>
              <w:rPr>
                <w:rFonts w:hint="eastAsia" w:ascii="方正楷体_GBK" w:hAnsi="方正楷体_GBK" w:eastAsia="方正楷体_GBK" w:cs="方正楷体_GBK"/>
                <w:b w:val="0"/>
                <w:bCs/>
                <w:kern w:val="2"/>
                <w:sz w:val="21"/>
                <w:szCs w:val="21"/>
                <w:lang w:val="en-US" w:eastAsia="zh-CN" w:bidi="ar-SA"/>
              </w:rPr>
              <w:t>3.被保险人的保障：</w:t>
            </w:r>
          </w:p>
          <w:p w14:paraId="0C196C89">
            <w:pPr>
              <w:keepNext/>
              <w:keepLines w:val="0"/>
              <w:pageBreakBefore w:val="0"/>
              <w:widowControl w:val="0"/>
              <w:kinsoku/>
              <w:overflowPunct/>
              <w:topLinePunct w:val="0"/>
              <w:autoSpaceDE/>
              <w:autoSpaceDN/>
              <w:bidi w:val="0"/>
              <w:adjustRightInd w:val="0"/>
              <w:snapToGrid w:val="0"/>
              <w:spacing w:line="240" w:lineRule="auto"/>
              <w:ind w:left="0"/>
              <w:textAlignment w:val="auto"/>
              <w:rPr>
                <w:rFonts w:hint="eastAsia" w:ascii="方正楷体_GBK" w:hAnsi="方正楷体_GBK" w:eastAsia="方正楷体_GBK" w:cs="方正楷体_GBK"/>
                <w:b w:val="0"/>
                <w:bCs/>
                <w:kern w:val="2"/>
                <w:sz w:val="21"/>
                <w:szCs w:val="21"/>
                <w:lang w:val="en-US" w:eastAsia="zh-CN" w:bidi="ar-SA"/>
              </w:rPr>
            </w:pPr>
            <w:r>
              <w:rPr>
                <w:rFonts w:hint="eastAsia" w:ascii="方正楷体_GBK" w:hAnsi="方正楷体_GBK" w:eastAsia="方正楷体_GBK" w:cs="方正楷体_GBK"/>
                <w:b w:val="0"/>
                <w:bCs/>
                <w:kern w:val="2"/>
                <w:sz w:val="21"/>
                <w:szCs w:val="21"/>
                <w:lang w:val="en-US" w:eastAsia="zh-CN" w:bidi="ar-SA"/>
              </w:rPr>
              <w:t>（1）裁判或和解前危机管理费用得2分；</w:t>
            </w:r>
          </w:p>
          <w:p w14:paraId="1F61138A">
            <w:pPr>
              <w:keepNext/>
              <w:keepLines w:val="0"/>
              <w:pageBreakBefore w:val="0"/>
              <w:widowControl w:val="0"/>
              <w:kinsoku/>
              <w:overflowPunct/>
              <w:topLinePunct w:val="0"/>
              <w:autoSpaceDE/>
              <w:autoSpaceDN/>
              <w:bidi w:val="0"/>
              <w:adjustRightInd w:val="0"/>
              <w:snapToGrid w:val="0"/>
              <w:spacing w:line="240" w:lineRule="auto"/>
              <w:ind w:left="0"/>
              <w:textAlignment w:val="auto"/>
              <w:rPr>
                <w:rFonts w:hint="eastAsia" w:ascii="方正楷体_GBK" w:hAnsi="方正楷体_GBK" w:eastAsia="方正楷体_GBK" w:cs="方正楷体_GBK"/>
                <w:b w:val="0"/>
                <w:bCs/>
                <w:kern w:val="2"/>
                <w:sz w:val="21"/>
                <w:szCs w:val="21"/>
                <w:lang w:val="en-US" w:eastAsia="zh-CN" w:bidi="ar-SA"/>
              </w:rPr>
            </w:pPr>
            <w:r>
              <w:rPr>
                <w:rFonts w:hint="eastAsia" w:ascii="方正楷体_GBK" w:hAnsi="方正楷体_GBK" w:eastAsia="方正楷体_GBK" w:cs="方正楷体_GBK"/>
                <w:b w:val="0"/>
                <w:bCs/>
                <w:kern w:val="2"/>
                <w:sz w:val="21"/>
                <w:szCs w:val="21"/>
                <w:lang w:val="en-US" w:eastAsia="zh-CN" w:bidi="ar-SA"/>
              </w:rPr>
              <w:t>（2）裁判后名誉恢复费用得2分。</w:t>
            </w:r>
          </w:p>
        </w:tc>
        <w:tc>
          <w:tcPr>
            <w:tcW w:w="780" w:type="dxa"/>
            <w:tcBorders>
              <w:top w:val="single" w:color="auto" w:sz="4" w:space="0"/>
              <w:left w:val="single" w:color="auto" w:sz="4" w:space="0"/>
              <w:bottom w:val="single" w:color="auto" w:sz="4" w:space="0"/>
              <w:right w:val="single" w:color="auto" w:sz="4" w:space="0"/>
            </w:tcBorders>
            <w:vAlign w:val="center"/>
          </w:tcPr>
          <w:p w14:paraId="305D7744">
            <w:pPr>
              <w:keepLines w:val="0"/>
              <w:pageBreakBefore w:val="0"/>
              <w:widowControl w:val="0"/>
              <w:kinsoku/>
              <w:overflowPunct/>
              <w:topLinePunct w:val="0"/>
              <w:autoSpaceDE/>
              <w:autoSpaceDN/>
              <w:bidi w:val="0"/>
              <w:adjustRightInd w:val="0"/>
              <w:snapToGrid w:val="0"/>
              <w:spacing w:line="240" w:lineRule="auto"/>
              <w:ind w:left="0"/>
              <w:jc w:val="center"/>
              <w:textAlignment w:val="auto"/>
              <w:rPr>
                <w:rFonts w:hint="eastAsia" w:ascii="方正楷体_GBK" w:hAnsi="方正楷体_GBK" w:eastAsia="方正楷体_GBK" w:cs="方正楷体_GBK"/>
                <w:b w:val="0"/>
                <w:bCs/>
                <w:sz w:val="21"/>
                <w:szCs w:val="21"/>
              </w:rPr>
            </w:pPr>
          </w:p>
        </w:tc>
      </w:tr>
      <w:tr w14:paraId="00DD45EA">
        <w:tblPrEx>
          <w:tblCellMar>
            <w:top w:w="0" w:type="dxa"/>
            <w:left w:w="108" w:type="dxa"/>
            <w:bottom w:w="0" w:type="dxa"/>
            <w:right w:w="108" w:type="dxa"/>
          </w:tblCellMar>
        </w:tblPrEx>
        <w:trPr>
          <w:trHeight w:val="321" w:hRule="atLeast"/>
        </w:trPr>
        <w:tc>
          <w:tcPr>
            <w:tcW w:w="570" w:type="dxa"/>
            <w:vMerge w:val="continue"/>
            <w:tcBorders>
              <w:left w:val="single" w:color="auto" w:sz="4" w:space="0"/>
              <w:right w:val="single" w:color="auto" w:sz="4" w:space="0"/>
            </w:tcBorders>
            <w:vAlign w:val="center"/>
          </w:tcPr>
          <w:p w14:paraId="5C45A155">
            <w:pPr>
              <w:keepLines w:val="0"/>
              <w:pageBreakBefore w:val="0"/>
              <w:widowControl w:val="0"/>
              <w:kinsoku/>
              <w:overflowPunct/>
              <w:topLinePunct w:val="0"/>
              <w:autoSpaceDE/>
              <w:autoSpaceDN/>
              <w:bidi w:val="0"/>
              <w:adjustRightInd w:val="0"/>
              <w:snapToGrid w:val="0"/>
              <w:spacing w:line="240" w:lineRule="auto"/>
              <w:ind w:left="0"/>
              <w:jc w:val="center"/>
              <w:textAlignment w:val="auto"/>
              <w:rPr>
                <w:rFonts w:hint="eastAsia" w:ascii="方正楷体_GBK" w:hAnsi="方正楷体_GBK" w:eastAsia="方正楷体_GBK" w:cs="方正楷体_GBK"/>
                <w:b w:val="0"/>
                <w:bCs/>
                <w:sz w:val="21"/>
                <w:szCs w:val="21"/>
                <w:lang w:val="en-US" w:eastAsia="zh-CN"/>
              </w:rPr>
            </w:pPr>
          </w:p>
        </w:tc>
        <w:tc>
          <w:tcPr>
            <w:tcW w:w="771" w:type="dxa"/>
            <w:vMerge w:val="continue"/>
            <w:tcBorders>
              <w:left w:val="single" w:color="auto" w:sz="4" w:space="0"/>
              <w:right w:val="single" w:color="auto" w:sz="4" w:space="0"/>
            </w:tcBorders>
            <w:shd w:val="clear" w:color="auto" w:fill="auto"/>
            <w:vAlign w:val="center"/>
          </w:tcPr>
          <w:p w14:paraId="6CF0FB57">
            <w:pPr>
              <w:keepLines w:val="0"/>
              <w:pageBreakBefore w:val="0"/>
              <w:widowControl w:val="0"/>
              <w:kinsoku/>
              <w:overflowPunct/>
              <w:topLinePunct w:val="0"/>
              <w:autoSpaceDE/>
              <w:autoSpaceDN/>
              <w:bidi w:val="0"/>
              <w:adjustRightInd w:val="0"/>
              <w:snapToGrid w:val="0"/>
              <w:spacing w:line="240" w:lineRule="auto"/>
              <w:ind w:left="0"/>
              <w:jc w:val="center"/>
              <w:textAlignment w:val="auto"/>
              <w:rPr>
                <w:rFonts w:hint="eastAsia" w:ascii="方正楷体_GBK" w:hAnsi="方正楷体_GBK" w:eastAsia="方正楷体_GBK" w:cs="方正楷体_GBK"/>
                <w:b w:val="0"/>
                <w:bCs/>
                <w:kern w:val="2"/>
                <w:sz w:val="21"/>
                <w:szCs w:val="21"/>
                <w:lang w:val="en-US" w:eastAsia="zh-CN" w:bidi="ar-SA"/>
              </w:rPr>
            </w:pPr>
          </w:p>
        </w:tc>
        <w:tc>
          <w:tcPr>
            <w:tcW w:w="1521" w:type="dxa"/>
            <w:tcBorders>
              <w:top w:val="single" w:color="auto" w:sz="4" w:space="0"/>
              <w:left w:val="single" w:color="auto" w:sz="4" w:space="0"/>
              <w:bottom w:val="single" w:color="auto" w:sz="4" w:space="0"/>
              <w:right w:val="single" w:color="auto" w:sz="4" w:space="0"/>
            </w:tcBorders>
            <w:shd w:val="clear" w:color="auto" w:fill="auto"/>
            <w:vAlign w:val="center"/>
          </w:tcPr>
          <w:p w14:paraId="6D9F6992">
            <w:pPr>
              <w:keepLines w:val="0"/>
              <w:pageBreakBefore w:val="0"/>
              <w:widowControl w:val="0"/>
              <w:kinsoku/>
              <w:overflowPunct/>
              <w:topLinePunct w:val="0"/>
              <w:autoSpaceDE/>
              <w:autoSpaceDN/>
              <w:bidi w:val="0"/>
              <w:adjustRightInd w:val="0"/>
              <w:snapToGrid w:val="0"/>
              <w:spacing w:line="240" w:lineRule="auto"/>
              <w:ind w:left="0"/>
              <w:jc w:val="center"/>
              <w:textAlignment w:val="auto"/>
              <w:rPr>
                <w:rFonts w:hint="eastAsia" w:ascii="方正楷体_GBK" w:hAnsi="方正楷体_GBK" w:eastAsia="方正楷体_GBK" w:cs="方正楷体_GBK"/>
                <w:b w:val="0"/>
                <w:bCs/>
                <w:kern w:val="2"/>
                <w:sz w:val="21"/>
                <w:szCs w:val="21"/>
                <w:lang w:val="en-US" w:eastAsia="zh-CN" w:bidi="ar-SA"/>
              </w:rPr>
            </w:pPr>
            <w:r>
              <w:rPr>
                <w:rFonts w:hint="eastAsia" w:ascii="方正楷体_GBK" w:hAnsi="方正楷体_GBK" w:eastAsia="方正楷体_GBK" w:cs="方正楷体_GBK"/>
                <w:b w:val="0"/>
                <w:bCs/>
                <w:kern w:val="2"/>
                <w:sz w:val="21"/>
                <w:szCs w:val="21"/>
                <w:lang w:val="en-US" w:eastAsia="zh-CN" w:bidi="ar-SA"/>
              </w:rPr>
              <w:t>针对新《中华人民共和国公司法》特别保障</w:t>
            </w:r>
          </w:p>
        </w:tc>
        <w:tc>
          <w:tcPr>
            <w:tcW w:w="543" w:type="dxa"/>
            <w:tcBorders>
              <w:top w:val="single" w:color="auto" w:sz="4" w:space="0"/>
              <w:left w:val="single" w:color="auto" w:sz="4" w:space="0"/>
              <w:bottom w:val="single" w:color="auto" w:sz="4" w:space="0"/>
              <w:right w:val="single" w:color="auto" w:sz="4" w:space="0"/>
            </w:tcBorders>
            <w:shd w:val="clear" w:color="auto" w:fill="auto"/>
            <w:vAlign w:val="center"/>
          </w:tcPr>
          <w:p w14:paraId="4D92FD6C">
            <w:pPr>
              <w:keepLines w:val="0"/>
              <w:pageBreakBefore w:val="0"/>
              <w:widowControl w:val="0"/>
              <w:kinsoku/>
              <w:overflowPunct/>
              <w:topLinePunct w:val="0"/>
              <w:autoSpaceDE/>
              <w:autoSpaceDN/>
              <w:bidi w:val="0"/>
              <w:spacing w:line="240" w:lineRule="auto"/>
              <w:ind w:left="0"/>
              <w:jc w:val="center"/>
              <w:textAlignment w:val="auto"/>
              <w:rPr>
                <w:rFonts w:hint="eastAsia" w:ascii="方正楷体_GBK" w:hAnsi="方正楷体_GBK" w:eastAsia="方正楷体_GBK" w:cs="方正楷体_GBK"/>
                <w:b w:val="0"/>
                <w:bCs/>
                <w:kern w:val="2"/>
                <w:sz w:val="21"/>
                <w:szCs w:val="21"/>
                <w:lang w:val="en-US" w:eastAsia="zh-CN" w:bidi="ar-SA"/>
              </w:rPr>
            </w:pPr>
            <w:r>
              <w:rPr>
                <w:rFonts w:hint="eastAsia" w:ascii="方正楷体_GBK" w:hAnsi="方正楷体_GBK" w:eastAsia="方正楷体_GBK" w:cs="方正楷体_GBK"/>
                <w:b w:val="0"/>
                <w:bCs/>
                <w:kern w:val="2"/>
                <w:sz w:val="21"/>
                <w:szCs w:val="21"/>
                <w:lang w:val="en-US" w:eastAsia="zh-CN" w:bidi="ar-SA"/>
              </w:rPr>
              <w:t>4</w:t>
            </w:r>
          </w:p>
        </w:tc>
        <w:tc>
          <w:tcPr>
            <w:tcW w:w="5447" w:type="dxa"/>
            <w:tcBorders>
              <w:top w:val="single" w:color="auto" w:sz="4" w:space="0"/>
              <w:left w:val="single" w:color="auto" w:sz="4" w:space="0"/>
              <w:bottom w:val="single" w:color="auto" w:sz="4" w:space="0"/>
              <w:right w:val="single" w:color="auto" w:sz="4" w:space="0"/>
            </w:tcBorders>
            <w:shd w:val="clear" w:color="auto" w:fill="auto"/>
            <w:vAlign w:val="center"/>
          </w:tcPr>
          <w:p w14:paraId="253B844C">
            <w:pPr>
              <w:keepNext/>
              <w:keepLines w:val="0"/>
              <w:pageBreakBefore w:val="0"/>
              <w:widowControl w:val="0"/>
              <w:kinsoku/>
              <w:overflowPunct/>
              <w:topLinePunct w:val="0"/>
              <w:autoSpaceDE/>
              <w:autoSpaceDN/>
              <w:bidi w:val="0"/>
              <w:adjustRightInd w:val="0"/>
              <w:snapToGrid w:val="0"/>
              <w:spacing w:line="240" w:lineRule="auto"/>
              <w:ind w:left="0"/>
              <w:textAlignment w:val="auto"/>
              <w:rPr>
                <w:rFonts w:hint="eastAsia" w:ascii="方正楷体_GBK" w:hAnsi="方正楷体_GBK" w:eastAsia="方正楷体_GBK" w:cs="方正楷体_GBK"/>
                <w:b w:val="0"/>
                <w:bCs/>
                <w:kern w:val="2"/>
                <w:sz w:val="21"/>
                <w:szCs w:val="21"/>
                <w:lang w:val="en-US" w:eastAsia="zh-CN" w:bidi="ar-SA"/>
              </w:rPr>
            </w:pPr>
            <w:r>
              <w:rPr>
                <w:rFonts w:hint="eastAsia" w:ascii="方正楷体_GBK" w:hAnsi="方正楷体_GBK" w:eastAsia="方正楷体_GBK" w:cs="方正楷体_GBK"/>
                <w:b w:val="0"/>
                <w:bCs/>
                <w:kern w:val="2"/>
                <w:sz w:val="21"/>
                <w:szCs w:val="21"/>
                <w:lang w:val="en-US" w:eastAsia="zh-CN" w:bidi="ar-SA"/>
              </w:rPr>
              <w:t>保险条款或保险附加条款有相应保障，</w:t>
            </w:r>
            <w:r>
              <w:rPr>
                <w:rFonts w:hint="eastAsia" w:ascii="方正楷体_GBK" w:hAnsi="方正楷体_GBK" w:eastAsia="方正楷体_GBK" w:cs="方正楷体_GBK"/>
                <w:b w:val="0"/>
                <w:bCs/>
                <w:spacing w:val="-3"/>
                <w:sz w:val="21"/>
                <w:szCs w:val="21"/>
              </w:rPr>
              <w:t>得4</w:t>
            </w:r>
            <w:r>
              <w:rPr>
                <w:rFonts w:hint="eastAsia" w:ascii="方正楷体_GBK" w:hAnsi="方正楷体_GBK" w:eastAsia="方正楷体_GBK" w:cs="方正楷体_GBK"/>
                <w:b w:val="0"/>
                <w:bCs/>
                <w:spacing w:val="-4"/>
                <w:sz w:val="21"/>
                <w:szCs w:val="21"/>
              </w:rPr>
              <w:t>分</w:t>
            </w:r>
            <w:r>
              <w:rPr>
                <w:rFonts w:hint="eastAsia" w:ascii="方正楷体_GBK" w:hAnsi="方正楷体_GBK" w:eastAsia="方正楷体_GBK" w:cs="方正楷体_GBK"/>
                <w:b w:val="0"/>
                <w:bCs/>
                <w:spacing w:val="-4"/>
                <w:sz w:val="21"/>
                <w:szCs w:val="21"/>
                <w:lang w:eastAsia="zh-CN"/>
              </w:rPr>
              <w:t>。</w:t>
            </w:r>
          </w:p>
        </w:tc>
        <w:tc>
          <w:tcPr>
            <w:tcW w:w="780" w:type="dxa"/>
            <w:tcBorders>
              <w:top w:val="single" w:color="auto" w:sz="4" w:space="0"/>
              <w:left w:val="single" w:color="auto" w:sz="4" w:space="0"/>
              <w:bottom w:val="single" w:color="auto" w:sz="4" w:space="0"/>
              <w:right w:val="single" w:color="auto" w:sz="4" w:space="0"/>
            </w:tcBorders>
            <w:vAlign w:val="center"/>
          </w:tcPr>
          <w:p w14:paraId="059E0D85">
            <w:pPr>
              <w:keepLines w:val="0"/>
              <w:pageBreakBefore w:val="0"/>
              <w:widowControl w:val="0"/>
              <w:kinsoku/>
              <w:overflowPunct/>
              <w:topLinePunct w:val="0"/>
              <w:autoSpaceDE/>
              <w:autoSpaceDN/>
              <w:bidi w:val="0"/>
              <w:adjustRightInd w:val="0"/>
              <w:snapToGrid w:val="0"/>
              <w:spacing w:line="240" w:lineRule="auto"/>
              <w:ind w:left="0"/>
              <w:jc w:val="center"/>
              <w:textAlignment w:val="auto"/>
              <w:rPr>
                <w:rFonts w:hint="eastAsia" w:ascii="方正楷体_GBK" w:hAnsi="方正楷体_GBK" w:eastAsia="方正楷体_GBK" w:cs="方正楷体_GBK"/>
                <w:b w:val="0"/>
                <w:bCs/>
                <w:sz w:val="21"/>
                <w:szCs w:val="21"/>
              </w:rPr>
            </w:pPr>
          </w:p>
        </w:tc>
      </w:tr>
      <w:tr w14:paraId="4F25774D">
        <w:tblPrEx>
          <w:tblCellMar>
            <w:top w:w="0" w:type="dxa"/>
            <w:left w:w="108" w:type="dxa"/>
            <w:bottom w:w="0" w:type="dxa"/>
            <w:right w:w="108" w:type="dxa"/>
          </w:tblCellMar>
        </w:tblPrEx>
        <w:trPr>
          <w:trHeight w:val="174" w:hRule="atLeast"/>
        </w:trPr>
        <w:tc>
          <w:tcPr>
            <w:tcW w:w="570" w:type="dxa"/>
            <w:vMerge w:val="continue"/>
            <w:tcBorders>
              <w:left w:val="single" w:color="auto" w:sz="4" w:space="0"/>
              <w:bottom w:val="single" w:color="auto" w:sz="4" w:space="0"/>
              <w:right w:val="single" w:color="auto" w:sz="4" w:space="0"/>
            </w:tcBorders>
            <w:vAlign w:val="center"/>
          </w:tcPr>
          <w:p w14:paraId="4E046A63">
            <w:pPr>
              <w:keepLines w:val="0"/>
              <w:pageBreakBefore w:val="0"/>
              <w:widowControl w:val="0"/>
              <w:kinsoku/>
              <w:overflowPunct/>
              <w:topLinePunct w:val="0"/>
              <w:autoSpaceDE/>
              <w:autoSpaceDN/>
              <w:bidi w:val="0"/>
              <w:adjustRightInd w:val="0"/>
              <w:snapToGrid w:val="0"/>
              <w:spacing w:line="240" w:lineRule="auto"/>
              <w:ind w:left="0"/>
              <w:jc w:val="center"/>
              <w:textAlignment w:val="auto"/>
              <w:rPr>
                <w:rFonts w:hint="eastAsia" w:ascii="方正楷体_GBK" w:hAnsi="方正楷体_GBK" w:eastAsia="方正楷体_GBK" w:cs="方正楷体_GBK"/>
                <w:b w:val="0"/>
                <w:bCs/>
                <w:sz w:val="21"/>
                <w:szCs w:val="21"/>
                <w:lang w:val="en-US" w:eastAsia="zh-CN"/>
              </w:rPr>
            </w:pPr>
          </w:p>
        </w:tc>
        <w:tc>
          <w:tcPr>
            <w:tcW w:w="771" w:type="dxa"/>
            <w:vMerge w:val="continue"/>
            <w:tcBorders>
              <w:left w:val="single" w:color="auto" w:sz="4" w:space="0"/>
              <w:right w:val="single" w:color="auto" w:sz="4" w:space="0"/>
            </w:tcBorders>
            <w:shd w:val="clear" w:color="auto" w:fill="auto"/>
            <w:vAlign w:val="center"/>
          </w:tcPr>
          <w:p w14:paraId="21156681">
            <w:pPr>
              <w:keepLines w:val="0"/>
              <w:pageBreakBefore w:val="0"/>
              <w:widowControl w:val="0"/>
              <w:kinsoku/>
              <w:overflowPunct/>
              <w:topLinePunct w:val="0"/>
              <w:autoSpaceDE/>
              <w:autoSpaceDN/>
              <w:bidi w:val="0"/>
              <w:adjustRightInd w:val="0"/>
              <w:snapToGrid w:val="0"/>
              <w:spacing w:line="240" w:lineRule="auto"/>
              <w:ind w:left="0"/>
              <w:jc w:val="center"/>
              <w:textAlignment w:val="auto"/>
              <w:rPr>
                <w:rFonts w:hint="eastAsia" w:ascii="方正楷体_GBK" w:hAnsi="方正楷体_GBK" w:eastAsia="方正楷体_GBK" w:cs="方正楷体_GBK"/>
                <w:b w:val="0"/>
                <w:bCs/>
                <w:kern w:val="2"/>
                <w:sz w:val="21"/>
                <w:szCs w:val="21"/>
                <w:lang w:val="en-US" w:eastAsia="zh-CN" w:bidi="ar-SA"/>
              </w:rPr>
            </w:pPr>
          </w:p>
        </w:tc>
        <w:tc>
          <w:tcPr>
            <w:tcW w:w="1521" w:type="dxa"/>
            <w:tcBorders>
              <w:top w:val="single" w:color="auto" w:sz="4" w:space="0"/>
              <w:left w:val="single" w:color="auto" w:sz="4" w:space="0"/>
              <w:bottom w:val="single" w:color="auto" w:sz="4" w:space="0"/>
              <w:right w:val="single" w:color="auto" w:sz="4" w:space="0"/>
            </w:tcBorders>
            <w:shd w:val="clear" w:color="auto" w:fill="auto"/>
            <w:vAlign w:val="center"/>
          </w:tcPr>
          <w:p w14:paraId="37ABD896">
            <w:pPr>
              <w:keepLines w:val="0"/>
              <w:pageBreakBefore w:val="0"/>
              <w:widowControl w:val="0"/>
              <w:kinsoku/>
              <w:overflowPunct/>
              <w:topLinePunct w:val="0"/>
              <w:autoSpaceDE/>
              <w:autoSpaceDN/>
              <w:bidi w:val="0"/>
              <w:adjustRightInd w:val="0"/>
              <w:snapToGrid w:val="0"/>
              <w:spacing w:line="240" w:lineRule="auto"/>
              <w:ind w:left="0"/>
              <w:jc w:val="center"/>
              <w:textAlignment w:val="auto"/>
              <w:rPr>
                <w:rFonts w:hint="eastAsia" w:ascii="方正楷体_GBK" w:hAnsi="方正楷体_GBK" w:eastAsia="方正楷体_GBK" w:cs="方正楷体_GBK"/>
                <w:b w:val="0"/>
                <w:bCs/>
                <w:kern w:val="2"/>
                <w:sz w:val="21"/>
                <w:szCs w:val="21"/>
                <w:lang w:val="en-US" w:eastAsia="zh-CN" w:bidi="ar-SA"/>
              </w:rPr>
            </w:pPr>
            <w:r>
              <w:rPr>
                <w:rFonts w:hint="eastAsia" w:ascii="方正楷体_GBK" w:hAnsi="方正楷体_GBK" w:eastAsia="方正楷体_GBK" w:cs="方正楷体_GBK"/>
                <w:b w:val="0"/>
                <w:bCs/>
                <w:kern w:val="2"/>
                <w:sz w:val="21"/>
                <w:szCs w:val="21"/>
                <w:lang w:val="en-US" w:eastAsia="zh-CN" w:bidi="ar-SA"/>
              </w:rPr>
              <w:t>免赔额</w:t>
            </w:r>
          </w:p>
        </w:tc>
        <w:tc>
          <w:tcPr>
            <w:tcW w:w="543" w:type="dxa"/>
            <w:tcBorders>
              <w:top w:val="single" w:color="auto" w:sz="4" w:space="0"/>
              <w:left w:val="single" w:color="auto" w:sz="4" w:space="0"/>
              <w:bottom w:val="single" w:color="auto" w:sz="4" w:space="0"/>
              <w:right w:val="single" w:color="auto" w:sz="4" w:space="0"/>
            </w:tcBorders>
            <w:shd w:val="clear" w:color="auto" w:fill="auto"/>
            <w:vAlign w:val="center"/>
          </w:tcPr>
          <w:p w14:paraId="0F3B65F5">
            <w:pPr>
              <w:keepLines w:val="0"/>
              <w:pageBreakBefore w:val="0"/>
              <w:widowControl w:val="0"/>
              <w:kinsoku/>
              <w:overflowPunct/>
              <w:topLinePunct w:val="0"/>
              <w:autoSpaceDE/>
              <w:autoSpaceDN/>
              <w:bidi w:val="0"/>
              <w:spacing w:line="240" w:lineRule="auto"/>
              <w:ind w:left="0"/>
              <w:jc w:val="center"/>
              <w:textAlignment w:val="auto"/>
              <w:rPr>
                <w:rFonts w:hint="eastAsia" w:ascii="方正楷体_GBK" w:hAnsi="方正楷体_GBK" w:eastAsia="方正楷体_GBK" w:cs="方正楷体_GBK"/>
                <w:b w:val="0"/>
                <w:bCs/>
                <w:kern w:val="2"/>
                <w:sz w:val="21"/>
                <w:szCs w:val="21"/>
                <w:lang w:val="en-US" w:eastAsia="zh-CN" w:bidi="ar-SA"/>
              </w:rPr>
            </w:pPr>
            <w:r>
              <w:rPr>
                <w:rFonts w:hint="eastAsia" w:ascii="方正楷体_GBK" w:hAnsi="方正楷体_GBK" w:eastAsia="方正楷体_GBK" w:cs="方正楷体_GBK"/>
                <w:b w:val="0"/>
                <w:bCs/>
                <w:kern w:val="2"/>
                <w:sz w:val="21"/>
                <w:szCs w:val="21"/>
                <w:lang w:val="en-US" w:eastAsia="zh-CN" w:bidi="ar-SA"/>
              </w:rPr>
              <w:t>1</w:t>
            </w:r>
          </w:p>
        </w:tc>
        <w:tc>
          <w:tcPr>
            <w:tcW w:w="5447" w:type="dxa"/>
            <w:tcBorders>
              <w:top w:val="single" w:color="auto" w:sz="4" w:space="0"/>
              <w:left w:val="single" w:color="auto" w:sz="4" w:space="0"/>
              <w:bottom w:val="single" w:color="auto" w:sz="4" w:space="0"/>
              <w:right w:val="single" w:color="auto" w:sz="4" w:space="0"/>
            </w:tcBorders>
            <w:shd w:val="clear" w:color="auto" w:fill="auto"/>
            <w:vAlign w:val="center"/>
          </w:tcPr>
          <w:p w14:paraId="4C8147B1">
            <w:pPr>
              <w:keepNext/>
              <w:keepLines w:val="0"/>
              <w:pageBreakBefore w:val="0"/>
              <w:widowControl w:val="0"/>
              <w:kinsoku/>
              <w:overflowPunct/>
              <w:topLinePunct w:val="0"/>
              <w:autoSpaceDE/>
              <w:autoSpaceDN/>
              <w:bidi w:val="0"/>
              <w:adjustRightInd w:val="0"/>
              <w:snapToGrid w:val="0"/>
              <w:spacing w:line="240" w:lineRule="auto"/>
              <w:ind w:left="0"/>
              <w:textAlignment w:val="auto"/>
              <w:rPr>
                <w:rFonts w:hint="eastAsia" w:ascii="方正楷体_GBK" w:hAnsi="方正楷体_GBK" w:eastAsia="方正楷体_GBK" w:cs="方正楷体_GBK"/>
                <w:b w:val="0"/>
                <w:bCs/>
                <w:kern w:val="2"/>
                <w:sz w:val="21"/>
                <w:szCs w:val="21"/>
                <w:lang w:val="en-US" w:eastAsia="zh-CN" w:bidi="ar-SA"/>
              </w:rPr>
            </w:pPr>
            <w:r>
              <w:rPr>
                <w:rFonts w:hint="eastAsia" w:ascii="方正楷体_GBK" w:hAnsi="方正楷体_GBK" w:eastAsia="方正楷体_GBK" w:cs="方正楷体_GBK"/>
                <w:b w:val="0"/>
                <w:bCs/>
                <w:kern w:val="2"/>
                <w:sz w:val="21"/>
                <w:szCs w:val="21"/>
                <w:lang w:val="en-US" w:eastAsia="zh-CN" w:bidi="ar-SA"/>
              </w:rPr>
              <w:t>保单主保险条款和附加条款单一赔偿限额≤5万元，得1分</w:t>
            </w:r>
          </w:p>
        </w:tc>
        <w:tc>
          <w:tcPr>
            <w:tcW w:w="780" w:type="dxa"/>
            <w:tcBorders>
              <w:top w:val="single" w:color="auto" w:sz="4" w:space="0"/>
              <w:left w:val="single" w:color="auto" w:sz="4" w:space="0"/>
              <w:bottom w:val="single" w:color="auto" w:sz="4" w:space="0"/>
              <w:right w:val="single" w:color="auto" w:sz="4" w:space="0"/>
            </w:tcBorders>
            <w:vAlign w:val="center"/>
          </w:tcPr>
          <w:p w14:paraId="3441D3A5">
            <w:pPr>
              <w:keepLines w:val="0"/>
              <w:pageBreakBefore w:val="0"/>
              <w:widowControl w:val="0"/>
              <w:kinsoku/>
              <w:overflowPunct/>
              <w:topLinePunct w:val="0"/>
              <w:autoSpaceDE/>
              <w:autoSpaceDN/>
              <w:bidi w:val="0"/>
              <w:adjustRightInd w:val="0"/>
              <w:snapToGrid w:val="0"/>
              <w:spacing w:line="240" w:lineRule="auto"/>
              <w:ind w:left="0"/>
              <w:jc w:val="center"/>
              <w:textAlignment w:val="auto"/>
              <w:rPr>
                <w:rFonts w:hint="eastAsia" w:ascii="方正楷体_GBK" w:hAnsi="方正楷体_GBK" w:eastAsia="方正楷体_GBK" w:cs="方正楷体_GBK"/>
                <w:b w:val="0"/>
                <w:bCs/>
                <w:sz w:val="21"/>
                <w:szCs w:val="21"/>
              </w:rPr>
            </w:pPr>
          </w:p>
        </w:tc>
      </w:tr>
      <w:tr w14:paraId="55258DAE">
        <w:tblPrEx>
          <w:tblCellMar>
            <w:top w:w="0" w:type="dxa"/>
            <w:left w:w="108" w:type="dxa"/>
            <w:bottom w:w="0" w:type="dxa"/>
            <w:right w:w="108" w:type="dxa"/>
          </w:tblCellMar>
        </w:tblPrEx>
        <w:trPr>
          <w:trHeight w:val="169" w:hRule="atLeast"/>
        </w:trPr>
        <w:tc>
          <w:tcPr>
            <w:tcW w:w="570" w:type="dxa"/>
            <w:vMerge w:val="continue"/>
            <w:tcBorders>
              <w:left w:val="single" w:color="auto" w:sz="4" w:space="0"/>
              <w:bottom w:val="single" w:color="auto" w:sz="4" w:space="0"/>
              <w:right w:val="single" w:color="auto" w:sz="4" w:space="0"/>
            </w:tcBorders>
            <w:vAlign w:val="center"/>
          </w:tcPr>
          <w:p w14:paraId="4405F224">
            <w:pPr>
              <w:keepLines w:val="0"/>
              <w:pageBreakBefore w:val="0"/>
              <w:widowControl w:val="0"/>
              <w:kinsoku/>
              <w:overflowPunct/>
              <w:topLinePunct w:val="0"/>
              <w:autoSpaceDE/>
              <w:autoSpaceDN/>
              <w:bidi w:val="0"/>
              <w:adjustRightInd w:val="0"/>
              <w:snapToGrid w:val="0"/>
              <w:spacing w:line="240" w:lineRule="auto"/>
              <w:ind w:left="0"/>
              <w:jc w:val="center"/>
              <w:textAlignment w:val="auto"/>
              <w:rPr>
                <w:rFonts w:hint="eastAsia" w:ascii="方正楷体_GBK" w:hAnsi="方正楷体_GBK" w:eastAsia="方正楷体_GBK" w:cs="方正楷体_GBK"/>
                <w:b w:val="0"/>
                <w:bCs/>
                <w:sz w:val="21"/>
                <w:szCs w:val="21"/>
                <w:lang w:val="en-US" w:eastAsia="zh-CN"/>
              </w:rPr>
            </w:pPr>
          </w:p>
        </w:tc>
        <w:tc>
          <w:tcPr>
            <w:tcW w:w="771" w:type="dxa"/>
            <w:vMerge w:val="continue"/>
            <w:tcBorders>
              <w:left w:val="single" w:color="auto" w:sz="4" w:space="0"/>
              <w:right w:val="single" w:color="auto" w:sz="4" w:space="0"/>
            </w:tcBorders>
            <w:shd w:val="clear" w:color="auto" w:fill="auto"/>
            <w:vAlign w:val="center"/>
          </w:tcPr>
          <w:p w14:paraId="470938CB">
            <w:pPr>
              <w:keepLines w:val="0"/>
              <w:pageBreakBefore w:val="0"/>
              <w:widowControl w:val="0"/>
              <w:kinsoku/>
              <w:overflowPunct/>
              <w:topLinePunct w:val="0"/>
              <w:autoSpaceDE/>
              <w:autoSpaceDN/>
              <w:bidi w:val="0"/>
              <w:adjustRightInd w:val="0"/>
              <w:snapToGrid w:val="0"/>
              <w:spacing w:line="240" w:lineRule="auto"/>
              <w:ind w:left="0"/>
              <w:jc w:val="center"/>
              <w:textAlignment w:val="auto"/>
              <w:rPr>
                <w:rFonts w:hint="eastAsia" w:ascii="方正楷体_GBK" w:hAnsi="方正楷体_GBK" w:eastAsia="方正楷体_GBK" w:cs="方正楷体_GBK"/>
                <w:b w:val="0"/>
                <w:bCs/>
                <w:kern w:val="2"/>
                <w:sz w:val="21"/>
                <w:szCs w:val="21"/>
                <w:lang w:val="en-US" w:eastAsia="zh-CN" w:bidi="ar-SA"/>
              </w:rPr>
            </w:pPr>
          </w:p>
        </w:tc>
        <w:tc>
          <w:tcPr>
            <w:tcW w:w="1521" w:type="dxa"/>
            <w:tcBorders>
              <w:top w:val="single" w:color="auto" w:sz="4" w:space="0"/>
              <w:left w:val="single" w:color="auto" w:sz="4" w:space="0"/>
              <w:bottom w:val="single" w:color="auto" w:sz="4" w:space="0"/>
              <w:right w:val="single" w:color="auto" w:sz="4" w:space="0"/>
            </w:tcBorders>
            <w:shd w:val="clear" w:color="auto" w:fill="auto"/>
            <w:vAlign w:val="center"/>
          </w:tcPr>
          <w:p w14:paraId="3BF9D254">
            <w:pPr>
              <w:keepLines w:val="0"/>
              <w:pageBreakBefore w:val="0"/>
              <w:widowControl w:val="0"/>
              <w:kinsoku/>
              <w:overflowPunct/>
              <w:topLinePunct w:val="0"/>
              <w:autoSpaceDE/>
              <w:autoSpaceDN/>
              <w:bidi w:val="0"/>
              <w:adjustRightInd w:val="0"/>
              <w:snapToGrid w:val="0"/>
              <w:spacing w:line="240" w:lineRule="auto"/>
              <w:ind w:left="0"/>
              <w:jc w:val="center"/>
              <w:textAlignment w:val="auto"/>
              <w:rPr>
                <w:rFonts w:hint="eastAsia" w:ascii="方正楷体_GBK" w:hAnsi="方正楷体_GBK" w:eastAsia="方正楷体_GBK" w:cs="方正楷体_GBK"/>
                <w:b w:val="0"/>
                <w:bCs/>
                <w:kern w:val="2"/>
                <w:sz w:val="21"/>
                <w:szCs w:val="21"/>
                <w:lang w:val="en-US" w:eastAsia="zh-CN" w:bidi="ar-SA"/>
              </w:rPr>
            </w:pPr>
            <w:r>
              <w:rPr>
                <w:rFonts w:hint="eastAsia" w:ascii="方正楷体_GBK" w:hAnsi="方正楷体_GBK" w:eastAsia="方正楷体_GBK" w:cs="方正楷体_GBK"/>
                <w:b w:val="0"/>
                <w:bCs/>
                <w:kern w:val="2"/>
                <w:sz w:val="21"/>
                <w:szCs w:val="21"/>
                <w:lang w:val="en-US" w:eastAsia="zh-CN" w:bidi="ar-SA"/>
              </w:rPr>
              <w:t>可分性</w:t>
            </w:r>
          </w:p>
        </w:tc>
        <w:tc>
          <w:tcPr>
            <w:tcW w:w="543" w:type="dxa"/>
            <w:tcBorders>
              <w:top w:val="single" w:color="auto" w:sz="4" w:space="0"/>
              <w:left w:val="single" w:color="auto" w:sz="4" w:space="0"/>
              <w:bottom w:val="single" w:color="auto" w:sz="4" w:space="0"/>
              <w:right w:val="single" w:color="auto" w:sz="4" w:space="0"/>
            </w:tcBorders>
            <w:shd w:val="clear" w:color="auto" w:fill="auto"/>
            <w:vAlign w:val="center"/>
          </w:tcPr>
          <w:p w14:paraId="3D2946D7">
            <w:pPr>
              <w:keepLines w:val="0"/>
              <w:pageBreakBefore w:val="0"/>
              <w:widowControl w:val="0"/>
              <w:kinsoku/>
              <w:overflowPunct/>
              <w:topLinePunct w:val="0"/>
              <w:autoSpaceDE/>
              <w:autoSpaceDN/>
              <w:bidi w:val="0"/>
              <w:spacing w:line="240" w:lineRule="auto"/>
              <w:ind w:left="0"/>
              <w:jc w:val="center"/>
              <w:textAlignment w:val="auto"/>
              <w:rPr>
                <w:rFonts w:hint="eastAsia" w:ascii="方正楷体_GBK" w:hAnsi="方正楷体_GBK" w:eastAsia="方正楷体_GBK" w:cs="方正楷体_GBK"/>
                <w:b w:val="0"/>
                <w:bCs/>
                <w:kern w:val="2"/>
                <w:sz w:val="21"/>
                <w:szCs w:val="21"/>
                <w:lang w:val="en-US" w:eastAsia="zh-CN" w:bidi="ar-SA"/>
              </w:rPr>
            </w:pPr>
            <w:r>
              <w:rPr>
                <w:rFonts w:hint="eastAsia" w:ascii="方正楷体_GBK" w:hAnsi="方正楷体_GBK" w:eastAsia="方正楷体_GBK" w:cs="方正楷体_GBK"/>
                <w:b w:val="0"/>
                <w:bCs/>
                <w:kern w:val="2"/>
                <w:sz w:val="21"/>
                <w:szCs w:val="21"/>
                <w:lang w:val="en-US" w:eastAsia="zh-CN" w:bidi="ar-SA"/>
              </w:rPr>
              <w:t>2</w:t>
            </w:r>
          </w:p>
        </w:tc>
        <w:tc>
          <w:tcPr>
            <w:tcW w:w="5447" w:type="dxa"/>
            <w:tcBorders>
              <w:top w:val="single" w:color="auto" w:sz="4" w:space="0"/>
              <w:left w:val="single" w:color="auto" w:sz="4" w:space="0"/>
              <w:bottom w:val="single" w:color="auto" w:sz="4" w:space="0"/>
              <w:right w:val="single" w:color="auto" w:sz="4" w:space="0"/>
            </w:tcBorders>
            <w:shd w:val="clear" w:color="auto" w:fill="auto"/>
            <w:vAlign w:val="center"/>
          </w:tcPr>
          <w:p w14:paraId="0DECA06C">
            <w:pPr>
              <w:keepNext/>
              <w:keepLines w:val="0"/>
              <w:pageBreakBefore w:val="0"/>
              <w:widowControl w:val="0"/>
              <w:kinsoku/>
              <w:overflowPunct/>
              <w:topLinePunct w:val="0"/>
              <w:autoSpaceDE/>
              <w:autoSpaceDN/>
              <w:bidi w:val="0"/>
              <w:adjustRightInd w:val="0"/>
              <w:snapToGrid w:val="0"/>
              <w:spacing w:line="240" w:lineRule="auto"/>
              <w:ind w:left="0"/>
              <w:textAlignment w:val="auto"/>
              <w:rPr>
                <w:rFonts w:hint="eastAsia" w:ascii="方正楷体_GBK" w:hAnsi="方正楷体_GBK" w:eastAsia="方正楷体_GBK" w:cs="方正楷体_GBK"/>
                <w:b w:val="0"/>
                <w:bCs/>
                <w:kern w:val="2"/>
                <w:sz w:val="21"/>
                <w:szCs w:val="21"/>
                <w:lang w:val="en-US" w:eastAsia="zh-CN" w:bidi="ar-SA"/>
              </w:rPr>
            </w:pPr>
            <w:r>
              <w:rPr>
                <w:rFonts w:hint="eastAsia" w:ascii="方正楷体_GBK" w:hAnsi="方正楷体_GBK" w:eastAsia="方正楷体_GBK" w:cs="方正楷体_GBK"/>
                <w:b w:val="0"/>
                <w:bCs/>
                <w:kern w:val="2"/>
                <w:sz w:val="21"/>
                <w:szCs w:val="21"/>
                <w:lang w:val="en-US" w:eastAsia="zh-CN" w:bidi="ar-SA"/>
              </w:rPr>
              <w:t>保险条款明确载明：</w:t>
            </w:r>
          </w:p>
          <w:p w14:paraId="5D36C3A1">
            <w:pPr>
              <w:keepNext/>
              <w:keepLines w:val="0"/>
              <w:pageBreakBefore w:val="0"/>
              <w:widowControl w:val="0"/>
              <w:kinsoku/>
              <w:overflowPunct/>
              <w:topLinePunct w:val="0"/>
              <w:autoSpaceDE/>
              <w:autoSpaceDN/>
              <w:bidi w:val="0"/>
              <w:adjustRightInd w:val="0"/>
              <w:snapToGrid w:val="0"/>
              <w:spacing w:line="240" w:lineRule="auto"/>
              <w:ind w:left="0"/>
              <w:textAlignment w:val="auto"/>
              <w:rPr>
                <w:rFonts w:hint="eastAsia" w:ascii="方正楷体_GBK" w:hAnsi="方正楷体_GBK" w:eastAsia="方正楷体_GBK" w:cs="方正楷体_GBK"/>
                <w:b w:val="0"/>
                <w:bCs/>
                <w:kern w:val="2"/>
                <w:sz w:val="21"/>
                <w:szCs w:val="21"/>
                <w:lang w:val="en-US" w:eastAsia="zh-CN" w:bidi="ar-SA"/>
              </w:rPr>
            </w:pPr>
            <w:r>
              <w:rPr>
                <w:rFonts w:hint="eastAsia" w:ascii="方正楷体_GBK" w:hAnsi="方正楷体_GBK" w:eastAsia="方正楷体_GBK" w:cs="方正楷体_GBK"/>
                <w:b w:val="0"/>
                <w:bCs/>
                <w:kern w:val="2"/>
                <w:sz w:val="21"/>
                <w:szCs w:val="21"/>
                <w:lang w:val="en-US" w:eastAsia="zh-CN" w:bidi="ar-SA"/>
              </w:rPr>
              <w:t>1.被保险个人之间具备完整可分性：得1分</w:t>
            </w:r>
          </w:p>
          <w:p w14:paraId="48D3A6F6">
            <w:pPr>
              <w:keepNext/>
              <w:keepLines w:val="0"/>
              <w:pageBreakBefore w:val="0"/>
              <w:widowControl w:val="0"/>
              <w:kinsoku/>
              <w:overflowPunct/>
              <w:topLinePunct w:val="0"/>
              <w:autoSpaceDE/>
              <w:autoSpaceDN/>
              <w:bidi w:val="0"/>
              <w:adjustRightInd w:val="0"/>
              <w:snapToGrid w:val="0"/>
              <w:spacing w:line="240" w:lineRule="auto"/>
              <w:ind w:left="0"/>
              <w:textAlignment w:val="auto"/>
              <w:rPr>
                <w:rFonts w:hint="eastAsia" w:ascii="方正楷体_GBK" w:hAnsi="方正楷体_GBK" w:eastAsia="方正楷体_GBK" w:cs="方正楷体_GBK"/>
                <w:b w:val="0"/>
                <w:bCs/>
                <w:kern w:val="2"/>
                <w:sz w:val="21"/>
                <w:szCs w:val="21"/>
                <w:lang w:val="en-US" w:eastAsia="zh-CN" w:bidi="ar-SA"/>
              </w:rPr>
            </w:pPr>
            <w:r>
              <w:rPr>
                <w:rFonts w:hint="eastAsia" w:ascii="方正楷体_GBK" w:hAnsi="方正楷体_GBK" w:eastAsia="方正楷体_GBK" w:cs="方正楷体_GBK"/>
                <w:b w:val="0"/>
                <w:bCs/>
                <w:kern w:val="2"/>
                <w:sz w:val="21"/>
                <w:szCs w:val="21"/>
                <w:lang w:val="en-US" w:eastAsia="zh-CN" w:bidi="ar-SA"/>
              </w:rPr>
              <w:t>2.被保险公司之间具备完整可分性，得1分</w:t>
            </w:r>
          </w:p>
        </w:tc>
        <w:tc>
          <w:tcPr>
            <w:tcW w:w="780" w:type="dxa"/>
            <w:tcBorders>
              <w:top w:val="single" w:color="auto" w:sz="4" w:space="0"/>
              <w:left w:val="single" w:color="auto" w:sz="4" w:space="0"/>
              <w:bottom w:val="single" w:color="auto" w:sz="4" w:space="0"/>
              <w:right w:val="single" w:color="auto" w:sz="4" w:space="0"/>
            </w:tcBorders>
            <w:vAlign w:val="center"/>
          </w:tcPr>
          <w:p w14:paraId="32DB4018">
            <w:pPr>
              <w:keepLines w:val="0"/>
              <w:pageBreakBefore w:val="0"/>
              <w:widowControl w:val="0"/>
              <w:kinsoku/>
              <w:overflowPunct/>
              <w:topLinePunct w:val="0"/>
              <w:autoSpaceDE/>
              <w:autoSpaceDN/>
              <w:bidi w:val="0"/>
              <w:adjustRightInd w:val="0"/>
              <w:snapToGrid w:val="0"/>
              <w:spacing w:line="240" w:lineRule="auto"/>
              <w:ind w:left="0"/>
              <w:jc w:val="center"/>
              <w:textAlignment w:val="auto"/>
              <w:rPr>
                <w:rFonts w:hint="eastAsia" w:ascii="方正楷体_GBK" w:hAnsi="方正楷体_GBK" w:eastAsia="方正楷体_GBK" w:cs="方正楷体_GBK"/>
                <w:b w:val="0"/>
                <w:bCs/>
                <w:sz w:val="21"/>
                <w:szCs w:val="21"/>
              </w:rPr>
            </w:pPr>
          </w:p>
        </w:tc>
      </w:tr>
      <w:tr w14:paraId="65F51CDC">
        <w:tblPrEx>
          <w:tblCellMar>
            <w:top w:w="0" w:type="dxa"/>
            <w:left w:w="108" w:type="dxa"/>
            <w:bottom w:w="0" w:type="dxa"/>
            <w:right w:w="108" w:type="dxa"/>
          </w:tblCellMar>
        </w:tblPrEx>
        <w:trPr>
          <w:trHeight w:val="970" w:hRule="atLeast"/>
        </w:trPr>
        <w:tc>
          <w:tcPr>
            <w:tcW w:w="570" w:type="dxa"/>
            <w:vMerge w:val="continue"/>
            <w:tcBorders>
              <w:left w:val="single" w:color="auto" w:sz="4" w:space="0"/>
              <w:bottom w:val="single" w:color="auto" w:sz="4" w:space="0"/>
              <w:right w:val="single" w:color="auto" w:sz="4" w:space="0"/>
            </w:tcBorders>
            <w:vAlign w:val="center"/>
          </w:tcPr>
          <w:p w14:paraId="14ADFFFE">
            <w:pPr>
              <w:keepLines w:val="0"/>
              <w:pageBreakBefore w:val="0"/>
              <w:widowControl w:val="0"/>
              <w:kinsoku/>
              <w:overflowPunct/>
              <w:topLinePunct w:val="0"/>
              <w:autoSpaceDE/>
              <w:autoSpaceDN/>
              <w:bidi w:val="0"/>
              <w:adjustRightInd w:val="0"/>
              <w:snapToGrid w:val="0"/>
              <w:spacing w:line="240" w:lineRule="auto"/>
              <w:ind w:left="0"/>
              <w:jc w:val="center"/>
              <w:textAlignment w:val="auto"/>
              <w:rPr>
                <w:rFonts w:hint="eastAsia" w:ascii="方正楷体_GBK" w:hAnsi="方正楷体_GBK" w:eastAsia="方正楷体_GBK" w:cs="方正楷体_GBK"/>
                <w:b w:val="0"/>
                <w:bCs/>
                <w:sz w:val="21"/>
                <w:szCs w:val="21"/>
                <w:lang w:val="en-US" w:eastAsia="zh-CN"/>
              </w:rPr>
            </w:pPr>
          </w:p>
        </w:tc>
        <w:tc>
          <w:tcPr>
            <w:tcW w:w="771" w:type="dxa"/>
            <w:vMerge w:val="continue"/>
            <w:tcBorders>
              <w:left w:val="single" w:color="auto" w:sz="4" w:space="0"/>
              <w:bottom w:val="single" w:color="auto" w:sz="4" w:space="0"/>
              <w:right w:val="single" w:color="auto" w:sz="4" w:space="0"/>
            </w:tcBorders>
            <w:shd w:val="clear" w:color="auto" w:fill="auto"/>
            <w:vAlign w:val="center"/>
          </w:tcPr>
          <w:p w14:paraId="1CDBE587">
            <w:pPr>
              <w:keepLines w:val="0"/>
              <w:pageBreakBefore w:val="0"/>
              <w:widowControl w:val="0"/>
              <w:kinsoku/>
              <w:overflowPunct/>
              <w:topLinePunct w:val="0"/>
              <w:autoSpaceDE/>
              <w:autoSpaceDN/>
              <w:bidi w:val="0"/>
              <w:adjustRightInd w:val="0"/>
              <w:snapToGrid w:val="0"/>
              <w:spacing w:line="240" w:lineRule="auto"/>
              <w:ind w:left="0"/>
              <w:jc w:val="center"/>
              <w:textAlignment w:val="auto"/>
              <w:rPr>
                <w:rFonts w:hint="eastAsia" w:ascii="方正楷体_GBK" w:hAnsi="方正楷体_GBK" w:eastAsia="方正楷体_GBK" w:cs="方正楷体_GBK"/>
                <w:b w:val="0"/>
                <w:bCs/>
                <w:kern w:val="2"/>
                <w:sz w:val="21"/>
                <w:szCs w:val="21"/>
                <w:lang w:val="en-US" w:eastAsia="zh-CN" w:bidi="ar-SA"/>
              </w:rPr>
            </w:pPr>
          </w:p>
        </w:tc>
        <w:tc>
          <w:tcPr>
            <w:tcW w:w="1521" w:type="dxa"/>
            <w:tcBorders>
              <w:top w:val="single" w:color="auto" w:sz="4" w:space="0"/>
              <w:left w:val="single" w:color="auto" w:sz="4" w:space="0"/>
              <w:bottom w:val="single" w:color="auto" w:sz="4" w:space="0"/>
              <w:right w:val="single" w:color="auto" w:sz="4" w:space="0"/>
            </w:tcBorders>
            <w:shd w:val="clear" w:color="auto" w:fill="auto"/>
            <w:vAlign w:val="center"/>
          </w:tcPr>
          <w:p w14:paraId="0FFBD259">
            <w:pPr>
              <w:keepLines w:val="0"/>
              <w:pageBreakBefore w:val="0"/>
              <w:widowControl w:val="0"/>
              <w:kinsoku/>
              <w:overflowPunct/>
              <w:topLinePunct w:val="0"/>
              <w:autoSpaceDE/>
              <w:autoSpaceDN/>
              <w:bidi w:val="0"/>
              <w:adjustRightInd w:val="0"/>
              <w:snapToGrid w:val="0"/>
              <w:spacing w:line="240" w:lineRule="auto"/>
              <w:ind w:left="0"/>
              <w:jc w:val="center"/>
              <w:textAlignment w:val="auto"/>
              <w:rPr>
                <w:rFonts w:hint="eastAsia" w:ascii="方正楷体_GBK" w:hAnsi="方正楷体_GBK" w:eastAsia="方正楷体_GBK" w:cs="方正楷体_GBK"/>
                <w:b w:val="0"/>
                <w:bCs/>
                <w:kern w:val="2"/>
                <w:sz w:val="21"/>
                <w:szCs w:val="21"/>
                <w:lang w:val="en-US" w:eastAsia="zh-CN" w:bidi="ar-SA"/>
              </w:rPr>
            </w:pPr>
            <w:r>
              <w:rPr>
                <w:rFonts w:hint="eastAsia" w:ascii="方正楷体_GBK" w:hAnsi="方正楷体_GBK" w:eastAsia="方正楷体_GBK" w:cs="方正楷体_GBK"/>
                <w:b w:val="0"/>
                <w:bCs/>
                <w:kern w:val="2"/>
                <w:sz w:val="21"/>
                <w:szCs w:val="21"/>
                <w:lang w:val="en-US" w:eastAsia="zh-CN" w:bidi="ar-SA"/>
              </w:rPr>
              <w:t>保障对象</w:t>
            </w:r>
          </w:p>
        </w:tc>
        <w:tc>
          <w:tcPr>
            <w:tcW w:w="543" w:type="dxa"/>
            <w:tcBorders>
              <w:top w:val="single" w:color="auto" w:sz="4" w:space="0"/>
              <w:left w:val="single" w:color="auto" w:sz="4" w:space="0"/>
              <w:bottom w:val="single" w:color="auto" w:sz="4" w:space="0"/>
              <w:right w:val="single" w:color="auto" w:sz="4" w:space="0"/>
            </w:tcBorders>
            <w:shd w:val="clear" w:color="auto" w:fill="auto"/>
            <w:vAlign w:val="center"/>
          </w:tcPr>
          <w:p w14:paraId="4B658BFD">
            <w:pPr>
              <w:keepLines w:val="0"/>
              <w:pageBreakBefore w:val="0"/>
              <w:widowControl w:val="0"/>
              <w:kinsoku/>
              <w:overflowPunct/>
              <w:topLinePunct w:val="0"/>
              <w:autoSpaceDE/>
              <w:autoSpaceDN/>
              <w:bidi w:val="0"/>
              <w:spacing w:line="240" w:lineRule="auto"/>
              <w:ind w:left="0"/>
              <w:jc w:val="center"/>
              <w:textAlignment w:val="auto"/>
              <w:rPr>
                <w:rFonts w:hint="eastAsia" w:ascii="方正楷体_GBK" w:hAnsi="方正楷体_GBK" w:eastAsia="方正楷体_GBK" w:cs="方正楷体_GBK"/>
                <w:b w:val="0"/>
                <w:bCs/>
                <w:kern w:val="2"/>
                <w:sz w:val="21"/>
                <w:szCs w:val="21"/>
                <w:lang w:val="en-US" w:eastAsia="zh-CN" w:bidi="ar-SA"/>
              </w:rPr>
            </w:pPr>
            <w:r>
              <w:rPr>
                <w:rFonts w:hint="eastAsia" w:ascii="方正楷体_GBK" w:hAnsi="方正楷体_GBK" w:eastAsia="方正楷体_GBK" w:cs="方正楷体_GBK"/>
                <w:b w:val="0"/>
                <w:bCs/>
                <w:kern w:val="2"/>
                <w:sz w:val="21"/>
                <w:szCs w:val="21"/>
                <w:lang w:val="en-US" w:eastAsia="zh-CN" w:bidi="ar-SA"/>
              </w:rPr>
              <w:t>3</w:t>
            </w:r>
          </w:p>
        </w:tc>
        <w:tc>
          <w:tcPr>
            <w:tcW w:w="5447" w:type="dxa"/>
            <w:tcBorders>
              <w:top w:val="single" w:color="auto" w:sz="4" w:space="0"/>
              <w:left w:val="single" w:color="auto" w:sz="4" w:space="0"/>
              <w:bottom w:val="single" w:color="auto" w:sz="4" w:space="0"/>
              <w:right w:val="single" w:color="auto" w:sz="4" w:space="0"/>
            </w:tcBorders>
            <w:shd w:val="clear" w:color="auto" w:fill="auto"/>
            <w:vAlign w:val="center"/>
          </w:tcPr>
          <w:p w14:paraId="734EA5B7">
            <w:pPr>
              <w:keepNext/>
              <w:keepLines w:val="0"/>
              <w:pageBreakBefore w:val="0"/>
              <w:widowControl w:val="0"/>
              <w:kinsoku/>
              <w:overflowPunct/>
              <w:topLinePunct w:val="0"/>
              <w:autoSpaceDE/>
              <w:autoSpaceDN/>
              <w:bidi w:val="0"/>
              <w:adjustRightInd w:val="0"/>
              <w:snapToGrid w:val="0"/>
              <w:spacing w:line="240" w:lineRule="auto"/>
              <w:ind w:left="0"/>
              <w:textAlignment w:val="auto"/>
              <w:rPr>
                <w:rFonts w:hint="eastAsia" w:ascii="方正楷体_GBK" w:hAnsi="方正楷体_GBK" w:eastAsia="方正楷体_GBK" w:cs="方正楷体_GBK"/>
                <w:b w:val="0"/>
                <w:bCs/>
                <w:kern w:val="2"/>
                <w:sz w:val="21"/>
                <w:szCs w:val="21"/>
                <w:lang w:val="en-US" w:eastAsia="zh-CN" w:bidi="ar-SA"/>
              </w:rPr>
            </w:pPr>
            <w:r>
              <w:rPr>
                <w:rFonts w:hint="eastAsia" w:ascii="方正楷体_GBK" w:hAnsi="方正楷体_GBK" w:eastAsia="方正楷体_GBK" w:cs="方正楷体_GBK"/>
                <w:b w:val="0"/>
                <w:bCs/>
                <w:kern w:val="2"/>
                <w:sz w:val="21"/>
                <w:szCs w:val="21"/>
                <w:lang w:val="en-US" w:eastAsia="zh-CN" w:bidi="ar-SA"/>
              </w:rPr>
              <w:t>保险条款明确载明以下保障，否则不得分：</w:t>
            </w:r>
          </w:p>
          <w:p w14:paraId="011B8788">
            <w:pPr>
              <w:keepNext/>
              <w:keepLines w:val="0"/>
              <w:pageBreakBefore w:val="0"/>
              <w:widowControl w:val="0"/>
              <w:kinsoku/>
              <w:overflowPunct/>
              <w:topLinePunct w:val="0"/>
              <w:autoSpaceDE/>
              <w:autoSpaceDN/>
              <w:bidi w:val="0"/>
              <w:adjustRightInd w:val="0"/>
              <w:snapToGrid w:val="0"/>
              <w:spacing w:line="240" w:lineRule="auto"/>
              <w:ind w:left="0"/>
              <w:textAlignment w:val="auto"/>
              <w:rPr>
                <w:rFonts w:hint="eastAsia" w:ascii="方正楷体_GBK" w:hAnsi="方正楷体_GBK" w:eastAsia="方正楷体_GBK" w:cs="方正楷体_GBK"/>
                <w:b w:val="0"/>
                <w:bCs/>
                <w:kern w:val="2"/>
                <w:sz w:val="21"/>
                <w:szCs w:val="21"/>
                <w:lang w:val="en-US" w:eastAsia="zh-CN" w:bidi="ar-SA"/>
              </w:rPr>
            </w:pPr>
            <w:r>
              <w:rPr>
                <w:rFonts w:hint="eastAsia" w:ascii="方正楷体_GBK" w:hAnsi="方正楷体_GBK" w:eastAsia="方正楷体_GBK" w:cs="方正楷体_GBK"/>
                <w:b w:val="0"/>
                <w:bCs/>
                <w:kern w:val="2"/>
                <w:sz w:val="21"/>
                <w:szCs w:val="21"/>
                <w:lang w:val="en-US" w:eastAsia="zh-CN" w:bidi="ar-SA"/>
              </w:rPr>
              <w:t>1.保障对象同时涵盖董事、高级管理人员个人（含有管理职责雇员），得1分；</w:t>
            </w:r>
          </w:p>
          <w:p w14:paraId="2F715B3A">
            <w:pPr>
              <w:keepNext/>
              <w:keepLines w:val="0"/>
              <w:pageBreakBefore w:val="0"/>
              <w:widowControl w:val="0"/>
              <w:kinsoku/>
              <w:overflowPunct/>
              <w:topLinePunct w:val="0"/>
              <w:autoSpaceDE/>
              <w:autoSpaceDN/>
              <w:bidi w:val="0"/>
              <w:adjustRightInd w:val="0"/>
              <w:snapToGrid w:val="0"/>
              <w:spacing w:line="240" w:lineRule="auto"/>
              <w:ind w:left="0"/>
              <w:textAlignment w:val="auto"/>
              <w:rPr>
                <w:rFonts w:hint="eastAsia" w:ascii="方正楷体_GBK" w:hAnsi="方正楷体_GBK" w:eastAsia="方正楷体_GBK" w:cs="方正楷体_GBK"/>
                <w:b w:val="0"/>
                <w:bCs/>
                <w:kern w:val="2"/>
                <w:sz w:val="21"/>
                <w:szCs w:val="21"/>
                <w:lang w:val="en-US" w:eastAsia="zh-CN" w:bidi="ar-SA"/>
              </w:rPr>
            </w:pPr>
            <w:r>
              <w:rPr>
                <w:rFonts w:hint="eastAsia" w:ascii="方正楷体_GBK" w:hAnsi="方正楷体_GBK" w:eastAsia="方正楷体_GBK" w:cs="方正楷体_GBK"/>
                <w:b w:val="0"/>
                <w:bCs/>
                <w:kern w:val="2"/>
                <w:sz w:val="21"/>
                <w:szCs w:val="21"/>
                <w:lang w:val="en-US" w:eastAsia="zh-CN" w:bidi="ar-SA"/>
              </w:rPr>
              <w:t>2.保障对象同时涵盖法定代表人、破产清算人、实控人、控股股东，得1分；</w:t>
            </w:r>
          </w:p>
          <w:p w14:paraId="2D34CDCE">
            <w:pPr>
              <w:keepNext/>
              <w:keepLines w:val="0"/>
              <w:pageBreakBefore w:val="0"/>
              <w:widowControl w:val="0"/>
              <w:kinsoku/>
              <w:overflowPunct/>
              <w:topLinePunct w:val="0"/>
              <w:autoSpaceDE/>
              <w:autoSpaceDN/>
              <w:bidi w:val="0"/>
              <w:adjustRightInd w:val="0"/>
              <w:snapToGrid w:val="0"/>
              <w:spacing w:line="240" w:lineRule="auto"/>
              <w:ind w:left="0"/>
              <w:textAlignment w:val="auto"/>
              <w:rPr>
                <w:rFonts w:hint="eastAsia" w:ascii="方正楷体_GBK" w:hAnsi="方正楷体_GBK" w:eastAsia="方正楷体_GBK" w:cs="方正楷体_GBK"/>
                <w:b w:val="0"/>
                <w:bCs/>
                <w:kern w:val="2"/>
                <w:sz w:val="21"/>
                <w:szCs w:val="21"/>
                <w:lang w:val="en-US" w:eastAsia="zh-CN" w:bidi="ar-SA"/>
              </w:rPr>
            </w:pPr>
            <w:r>
              <w:rPr>
                <w:rFonts w:hint="eastAsia" w:ascii="方正楷体_GBK" w:hAnsi="方正楷体_GBK" w:eastAsia="方正楷体_GBK" w:cs="方正楷体_GBK"/>
                <w:b w:val="0"/>
                <w:bCs/>
                <w:kern w:val="2"/>
                <w:sz w:val="21"/>
                <w:szCs w:val="21"/>
                <w:lang w:val="en-US" w:eastAsia="zh-CN" w:bidi="ar-SA"/>
              </w:rPr>
              <w:t>3.保障对象涵盖新子公司，且新子公司≤主被保险公司合并总资产100%且未上市可自动承保，无需增加保费，得1分。</w:t>
            </w:r>
          </w:p>
        </w:tc>
        <w:tc>
          <w:tcPr>
            <w:tcW w:w="780" w:type="dxa"/>
            <w:tcBorders>
              <w:top w:val="single" w:color="auto" w:sz="4" w:space="0"/>
              <w:left w:val="single" w:color="auto" w:sz="4" w:space="0"/>
              <w:bottom w:val="single" w:color="auto" w:sz="4" w:space="0"/>
              <w:right w:val="single" w:color="auto" w:sz="4" w:space="0"/>
            </w:tcBorders>
            <w:vAlign w:val="center"/>
          </w:tcPr>
          <w:p w14:paraId="1A42C235">
            <w:pPr>
              <w:keepLines w:val="0"/>
              <w:pageBreakBefore w:val="0"/>
              <w:widowControl w:val="0"/>
              <w:kinsoku/>
              <w:overflowPunct/>
              <w:topLinePunct w:val="0"/>
              <w:autoSpaceDE/>
              <w:autoSpaceDN/>
              <w:bidi w:val="0"/>
              <w:adjustRightInd w:val="0"/>
              <w:snapToGrid w:val="0"/>
              <w:spacing w:line="240" w:lineRule="auto"/>
              <w:ind w:left="0"/>
              <w:jc w:val="center"/>
              <w:textAlignment w:val="auto"/>
              <w:rPr>
                <w:rFonts w:hint="eastAsia" w:ascii="方正楷体_GBK" w:hAnsi="方正楷体_GBK" w:eastAsia="方正楷体_GBK" w:cs="方正楷体_GBK"/>
                <w:b w:val="0"/>
                <w:bCs/>
                <w:sz w:val="21"/>
                <w:szCs w:val="21"/>
              </w:rPr>
            </w:pPr>
          </w:p>
        </w:tc>
      </w:tr>
      <w:tr w14:paraId="642CD8CC">
        <w:tblPrEx>
          <w:tblCellMar>
            <w:top w:w="0" w:type="dxa"/>
            <w:left w:w="108" w:type="dxa"/>
            <w:bottom w:w="0" w:type="dxa"/>
            <w:right w:w="108" w:type="dxa"/>
          </w:tblCellMar>
        </w:tblPrEx>
        <w:trPr>
          <w:trHeight w:val="1218" w:hRule="atLeast"/>
        </w:trPr>
        <w:tc>
          <w:tcPr>
            <w:tcW w:w="570" w:type="dxa"/>
            <w:vMerge w:val="continue"/>
            <w:tcBorders>
              <w:left w:val="single" w:color="auto" w:sz="4" w:space="0"/>
              <w:bottom w:val="single" w:color="auto" w:sz="4" w:space="0"/>
              <w:right w:val="single" w:color="auto" w:sz="4" w:space="0"/>
            </w:tcBorders>
            <w:vAlign w:val="center"/>
          </w:tcPr>
          <w:p w14:paraId="394FFF0C">
            <w:pPr>
              <w:keepLines w:val="0"/>
              <w:pageBreakBefore w:val="0"/>
              <w:widowControl w:val="0"/>
              <w:kinsoku/>
              <w:overflowPunct/>
              <w:topLinePunct w:val="0"/>
              <w:autoSpaceDE/>
              <w:autoSpaceDN/>
              <w:bidi w:val="0"/>
              <w:adjustRightInd w:val="0"/>
              <w:snapToGrid w:val="0"/>
              <w:spacing w:line="240" w:lineRule="auto"/>
              <w:ind w:left="0"/>
              <w:jc w:val="center"/>
              <w:textAlignment w:val="auto"/>
              <w:rPr>
                <w:rFonts w:hint="eastAsia" w:ascii="方正楷体_GBK" w:hAnsi="方正楷体_GBK" w:eastAsia="方正楷体_GBK" w:cs="方正楷体_GBK"/>
                <w:b w:val="0"/>
                <w:bCs/>
                <w:sz w:val="21"/>
                <w:szCs w:val="21"/>
                <w:lang w:val="en-US" w:eastAsia="zh-CN"/>
              </w:rPr>
            </w:pPr>
          </w:p>
        </w:tc>
        <w:tc>
          <w:tcPr>
            <w:tcW w:w="771" w:type="dxa"/>
            <w:vMerge w:val="continue"/>
            <w:tcBorders>
              <w:left w:val="single" w:color="auto" w:sz="4" w:space="0"/>
              <w:bottom w:val="single" w:color="auto" w:sz="4" w:space="0"/>
              <w:right w:val="single" w:color="auto" w:sz="4" w:space="0"/>
            </w:tcBorders>
            <w:shd w:val="clear" w:color="auto" w:fill="auto"/>
            <w:vAlign w:val="center"/>
          </w:tcPr>
          <w:p w14:paraId="385C0C7F">
            <w:pPr>
              <w:keepLines w:val="0"/>
              <w:pageBreakBefore w:val="0"/>
              <w:widowControl w:val="0"/>
              <w:kinsoku/>
              <w:overflowPunct/>
              <w:topLinePunct w:val="0"/>
              <w:autoSpaceDE/>
              <w:autoSpaceDN/>
              <w:bidi w:val="0"/>
              <w:adjustRightInd w:val="0"/>
              <w:snapToGrid w:val="0"/>
              <w:spacing w:line="240" w:lineRule="auto"/>
              <w:ind w:left="0"/>
              <w:jc w:val="center"/>
              <w:textAlignment w:val="auto"/>
              <w:rPr>
                <w:rFonts w:hint="eastAsia" w:ascii="方正楷体_GBK" w:hAnsi="方正楷体_GBK" w:eastAsia="方正楷体_GBK" w:cs="方正楷体_GBK"/>
                <w:b w:val="0"/>
                <w:bCs/>
                <w:kern w:val="2"/>
                <w:sz w:val="21"/>
                <w:szCs w:val="21"/>
                <w:lang w:val="en-US" w:eastAsia="zh-CN" w:bidi="ar-SA"/>
              </w:rPr>
            </w:pPr>
          </w:p>
        </w:tc>
        <w:tc>
          <w:tcPr>
            <w:tcW w:w="1521" w:type="dxa"/>
            <w:tcBorders>
              <w:top w:val="single" w:color="auto" w:sz="4" w:space="0"/>
              <w:left w:val="single" w:color="auto" w:sz="4" w:space="0"/>
              <w:bottom w:val="single" w:color="auto" w:sz="4" w:space="0"/>
              <w:right w:val="single" w:color="auto" w:sz="4" w:space="0"/>
            </w:tcBorders>
            <w:shd w:val="clear" w:color="auto" w:fill="auto"/>
            <w:vAlign w:val="center"/>
          </w:tcPr>
          <w:p w14:paraId="0C6B0B50">
            <w:pPr>
              <w:keepLines w:val="0"/>
              <w:pageBreakBefore w:val="0"/>
              <w:widowControl w:val="0"/>
              <w:kinsoku/>
              <w:overflowPunct/>
              <w:topLinePunct w:val="0"/>
              <w:autoSpaceDE/>
              <w:autoSpaceDN/>
              <w:bidi w:val="0"/>
              <w:adjustRightInd w:val="0"/>
              <w:snapToGrid w:val="0"/>
              <w:spacing w:line="240" w:lineRule="auto"/>
              <w:ind w:left="0"/>
              <w:jc w:val="center"/>
              <w:textAlignment w:val="auto"/>
              <w:rPr>
                <w:rFonts w:hint="eastAsia" w:ascii="方正楷体_GBK" w:hAnsi="方正楷体_GBK" w:eastAsia="方正楷体_GBK" w:cs="方正楷体_GBK"/>
                <w:b w:val="0"/>
                <w:bCs/>
                <w:kern w:val="2"/>
                <w:sz w:val="21"/>
                <w:szCs w:val="21"/>
                <w:lang w:val="en-US" w:eastAsia="zh-CN" w:bidi="ar-SA"/>
              </w:rPr>
            </w:pPr>
            <w:r>
              <w:rPr>
                <w:rFonts w:hint="eastAsia" w:ascii="方正楷体_GBK" w:hAnsi="方正楷体_GBK" w:eastAsia="方正楷体_GBK" w:cs="方正楷体_GBK"/>
                <w:b w:val="0"/>
                <w:bCs/>
                <w:kern w:val="2"/>
                <w:sz w:val="21"/>
                <w:szCs w:val="21"/>
                <w:lang w:val="en-US" w:eastAsia="zh-CN" w:bidi="ar-SA"/>
              </w:rPr>
              <w:t>附加差异性保障服务</w:t>
            </w:r>
          </w:p>
        </w:tc>
        <w:tc>
          <w:tcPr>
            <w:tcW w:w="543" w:type="dxa"/>
            <w:tcBorders>
              <w:top w:val="single" w:color="auto" w:sz="4" w:space="0"/>
              <w:left w:val="single" w:color="auto" w:sz="4" w:space="0"/>
              <w:bottom w:val="single" w:color="auto" w:sz="4" w:space="0"/>
              <w:right w:val="single" w:color="auto" w:sz="4" w:space="0"/>
            </w:tcBorders>
            <w:shd w:val="clear" w:color="auto" w:fill="auto"/>
            <w:vAlign w:val="center"/>
          </w:tcPr>
          <w:p w14:paraId="75067F08">
            <w:pPr>
              <w:keepLines w:val="0"/>
              <w:pageBreakBefore w:val="0"/>
              <w:widowControl w:val="0"/>
              <w:kinsoku/>
              <w:overflowPunct/>
              <w:topLinePunct w:val="0"/>
              <w:autoSpaceDE/>
              <w:autoSpaceDN/>
              <w:bidi w:val="0"/>
              <w:spacing w:line="240" w:lineRule="auto"/>
              <w:ind w:left="0"/>
              <w:jc w:val="center"/>
              <w:textAlignment w:val="auto"/>
              <w:rPr>
                <w:rFonts w:hint="eastAsia" w:ascii="方正楷体_GBK" w:hAnsi="方正楷体_GBK" w:eastAsia="方正楷体_GBK" w:cs="方正楷体_GBK"/>
                <w:b w:val="0"/>
                <w:bCs/>
                <w:kern w:val="2"/>
                <w:sz w:val="21"/>
                <w:szCs w:val="21"/>
                <w:lang w:val="en-US" w:eastAsia="zh-CN" w:bidi="ar-SA"/>
              </w:rPr>
            </w:pPr>
            <w:r>
              <w:rPr>
                <w:rFonts w:hint="eastAsia" w:ascii="方正楷体_GBK" w:hAnsi="方正楷体_GBK" w:eastAsia="方正楷体_GBK" w:cs="方正楷体_GBK"/>
                <w:b w:val="0"/>
                <w:bCs/>
                <w:kern w:val="2"/>
                <w:sz w:val="21"/>
                <w:szCs w:val="21"/>
                <w:lang w:val="en-US" w:eastAsia="zh-CN" w:bidi="ar-SA"/>
              </w:rPr>
              <w:t>4</w:t>
            </w:r>
          </w:p>
        </w:tc>
        <w:tc>
          <w:tcPr>
            <w:tcW w:w="5447" w:type="dxa"/>
            <w:tcBorders>
              <w:top w:val="single" w:color="auto" w:sz="4" w:space="0"/>
              <w:left w:val="single" w:color="auto" w:sz="4" w:space="0"/>
              <w:bottom w:val="single" w:color="auto" w:sz="4" w:space="0"/>
              <w:right w:val="single" w:color="auto" w:sz="4" w:space="0"/>
            </w:tcBorders>
            <w:shd w:val="clear" w:color="auto" w:fill="auto"/>
            <w:vAlign w:val="center"/>
          </w:tcPr>
          <w:p w14:paraId="03EB4ECE">
            <w:pPr>
              <w:keepNext/>
              <w:keepLines w:val="0"/>
              <w:pageBreakBefore w:val="0"/>
              <w:widowControl w:val="0"/>
              <w:kinsoku/>
              <w:overflowPunct/>
              <w:topLinePunct w:val="0"/>
              <w:autoSpaceDE/>
              <w:autoSpaceDN/>
              <w:bidi w:val="0"/>
              <w:adjustRightInd w:val="0"/>
              <w:snapToGrid w:val="0"/>
              <w:spacing w:line="240" w:lineRule="auto"/>
              <w:ind w:left="0"/>
              <w:textAlignment w:val="auto"/>
              <w:rPr>
                <w:rFonts w:hint="eastAsia" w:ascii="方正楷体_GBK" w:hAnsi="方正楷体_GBK" w:eastAsia="方正楷体_GBK" w:cs="方正楷体_GBK"/>
                <w:b w:val="0"/>
                <w:bCs/>
                <w:kern w:val="2"/>
                <w:sz w:val="21"/>
                <w:szCs w:val="21"/>
                <w:lang w:val="en-US" w:eastAsia="zh-CN" w:bidi="ar-SA"/>
              </w:rPr>
            </w:pPr>
            <w:r>
              <w:rPr>
                <w:rFonts w:hint="eastAsia" w:ascii="方正楷体_GBK" w:hAnsi="方正楷体_GBK" w:eastAsia="方正楷体_GBK" w:cs="方正楷体_GBK"/>
                <w:b w:val="0"/>
                <w:bCs/>
                <w:kern w:val="2"/>
                <w:sz w:val="21"/>
                <w:szCs w:val="21"/>
                <w:lang w:val="en-US" w:eastAsia="zh-CN" w:bidi="ar-SA"/>
              </w:rPr>
              <w:t>参与单位有明显优于其他参与单位的，附加权益和服务，例如企业管理咨询、合规培训等，每项附加服务可给予2分，合计最高不超过4分。</w:t>
            </w:r>
          </w:p>
        </w:tc>
        <w:tc>
          <w:tcPr>
            <w:tcW w:w="780" w:type="dxa"/>
            <w:tcBorders>
              <w:top w:val="single" w:color="auto" w:sz="4" w:space="0"/>
              <w:left w:val="single" w:color="auto" w:sz="4" w:space="0"/>
              <w:bottom w:val="single" w:color="auto" w:sz="4" w:space="0"/>
              <w:right w:val="single" w:color="auto" w:sz="4" w:space="0"/>
            </w:tcBorders>
            <w:vAlign w:val="center"/>
          </w:tcPr>
          <w:p w14:paraId="1B756560">
            <w:pPr>
              <w:keepLines w:val="0"/>
              <w:pageBreakBefore w:val="0"/>
              <w:widowControl w:val="0"/>
              <w:kinsoku/>
              <w:overflowPunct/>
              <w:topLinePunct w:val="0"/>
              <w:autoSpaceDE/>
              <w:autoSpaceDN/>
              <w:bidi w:val="0"/>
              <w:adjustRightInd w:val="0"/>
              <w:snapToGrid w:val="0"/>
              <w:spacing w:line="240" w:lineRule="auto"/>
              <w:ind w:left="0"/>
              <w:jc w:val="center"/>
              <w:textAlignment w:val="auto"/>
              <w:rPr>
                <w:rFonts w:hint="eastAsia" w:ascii="方正楷体_GBK" w:hAnsi="方正楷体_GBK" w:eastAsia="方正楷体_GBK" w:cs="方正楷体_GBK"/>
                <w:b w:val="0"/>
                <w:bCs/>
                <w:sz w:val="21"/>
                <w:szCs w:val="21"/>
              </w:rPr>
            </w:pPr>
          </w:p>
        </w:tc>
      </w:tr>
      <w:tr w14:paraId="181843B9">
        <w:tblPrEx>
          <w:tblCellMar>
            <w:top w:w="0" w:type="dxa"/>
            <w:left w:w="108" w:type="dxa"/>
            <w:bottom w:w="0" w:type="dxa"/>
            <w:right w:w="108" w:type="dxa"/>
          </w:tblCellMar>
        </w:tblPrEx>
        <w:trPr>
          <w:trHeight w:val="471" w:hRule="atLeast"/>
        </w:trPr>
        <w:tc>
          <w:tcPr>
            <w:tcW w:w="570" w:type="dxa"/>
            <w:tcBorders>
              <w:top w:val="single" w:color="auto" w:sz="4" w:space="0"/>
              <w:left w:val="single" w:color="auto" w:sz="4" w:space="0"/>
              <w:bottom w:val="single" w:color="auto" w:sz="4" w:space="0"/>
              <w:right w:val="single" w:color="auto" w:sz="4" w:space="0"/>
            </w:tcBorders>
            <w:vAlign w:val="center"/>
          </w:tcPr>
          <w:p w14:paraId="1A2218E4">
            <w:pPr>
              <w:keepLines w:val="0"/>
              <w:pageBreakBefore w:val="0"/>
              <w:widowControl w:val="0"/>
              <w:kinsoku/>
              <w:overflowPunct/>
              <w:topLinePunct w:val="0"/>
              <w:autoSpaceDE/>
              <w:autoSpaceDN/>
              <w:bidi w:val="0"/>
              <w:adjustRightInd w:val="0"/>
              <w:snapToGrid w:val="0"/>
              <w:spacing w:line="240" w:lineRule="auto"/>
              <w:ind w:left="0"/>
              <w:jc w:val="center"/>
              <w:textAlignment w:val="auto"/>
              <w:rPr>
                <w:rFonts w:hint="eastAsia" w:ascii="方正楷体_GBK" w:hAnsi="方正楷体_GBK" w:eastAsia="方正楷体_GBK" w:cs="方正楷体_GBK"/>
                <w:b w:val="0"/>
                <w:bCs/>
                <w:kern w:val="2"/>
                <w:sz w:val="21"/>
                <w:szCs w:val="21"/>
                <w:lang w:val="en-US" w:eastAsia="zh-CN" w:bidi="ar-SA"/>
              </w:rPr>
            </w:pPr>
            <w:r>
              <w:rPr>
                <w:rFonts w:hint="eastAsia" w:ascii="方正楷体_GBK" w:hAnsi="方正楷体_GBK" w:eastAsia="方正楷体_GBK" w:cs="方正楷体_GBK"/>
                <w:b w:val="0"/>
                <w:bCs/>
                <w:sz w:val="21"/>
                <w:szCs w:val="21"/>
                <w:lang w:val="en-US" w:eastAsia="zh-CN"/>
              </w:rPr>
              <w:t>6</w:t>
            </w:r>
          </w:p>
        </w:tc>
        <w:tc>
          <w:tcPr>
            <w:tcW w:w="2292"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4B760663">
            <w:pPr>
              <w:keepLines w:val="0"/>
              <w:pageBreakBefore w:val="0"/>
              <w:widowControl w:val="0"/>
              <w:kinsoku/>
              <w:overflowPunct/>
              <w:topLinePunct w:val="0"/>
              <w:autoSpaceDE/>
              <w:autoSpaceDN/>
              <w:bidi w:val="0"/>
              <w:adjustRightInd w:val="0"/>
              <w:snapToGrid w:val="0"/>
              <w:spacing w:line="240" w:lineRule="auto"/>
              <w:ind w:left="0"/>
              <w:jc w:val="center"/>
              <w:textAlignment w:val="auto"/>
              <w:rPr>
                <w:rFonts w:hint="eastAsia" w:ascii="方正楷体_GBK" w:hAnsi="方正楷体_GBK" w:eastAsia="方正楷体_GBK" w:cs="方正楷体_GBK"/>
                <w:b w:val="0"/>
                <w:bCs/>
                <w:kern w:val="2"/>
                <w:sz w:val="21"/>
                <w:szCs w:val="21"/>
                <w:lang w:val="en-US" w:eastAsia="zh-CN" w:bidi="ar-SA"/>
              </w:rPr>
            </w:pPr>
            <w:r>
              <w:rPr>
                <w:rFonts w:hint="eastAsia" w:ascii="方正楷体_GBK" w:hAnsi="方正楷体_GBK" w:eastAsia="方正楷体_GBK" w:cs="方正楷体_GBK"/>
                <w:b w:val="0"/>
                <w:bCs/>
                <w:kern w:val="2"/>
                <w:sz w:val="21"/>
                <w:szCs w:val="21"/>
                <w:lang w:val="en-US" w:eastAsia="zh-CN" w:bidi="ar-SA"/>
              </w:rPr>
              <w:t>服务承诺</w:t>
            </w:r>
          </w:p>
        </w:tc>
        <w:tc>
          <w:tcPr>
            <w:tcW w:w="543" w:type="dxa"/>
            <w:tcBorders>
              <w:top w:val="single" w:color="auto" w:sz="4" w:space="0"/>
              <w:left w:val="single" w:color="auto" w:sz="4" w:space="0"/>
              <w:bottom w:val="single" w:color="auto" w:sz="4" w:space="0"/>
              <w:right w:val="single" w:color="auto" w:sz="4" w:space="0"/>
            </w:tcBorders>
            <w:shd w:val="clear" w:color="auto" w:fill="auto"/>
            <w:vAlign w:val="center"/>
          </w:tcPr>
          <w:p w14:paraId="5B95107E">
            <w:pPr>
              <w:keepLines w:val="0"/>
              <w:pageBreakBefore w:val="0"/>
              <w:widowControl w:val="0"/>
              <w:kinsoku/>
              <w:overflowPunct/>
              <w:topLinePunct w:val="0"/>
              <w:autoSpaceDE/>
              <w:autoSpaceDN/>
              <w:bidi w:val="0"/>
              <w:spacing w:line="240" w:lineRule="auto"/>
              <w:ind w:left="0"/>
              <w:jc w:val="center"/>
              <w:textAlignment w:val="auto"/>
              <w:rPr>
                <w:rFonts w:hint="eastAsia" w:ascii="方正楷体_GBK" w:hAnsi="方正楷体_GBK" w:eastAsia="方正楷体_GBK" w:cs="方正楷体_GBK"/>
                <w:b w:val="0"/>
                <w:bCs/>
                <w:kern w:val="2"/>
                <w:sz w:val="21"/>
                <w:szCs w:val="21"/>
                <w:lang w:val="en-US" w:eastAsia="zh-CN" w:bidi="ar-SA"/>
              </w:rPr>
            </w:pPr>
            <w:r>
              <w:rPr>
                <w:rFonts w:hint="eastAsia" w:ascii="方正楷体_GBK" w:hAnsi="方正楷体_GBK" w:eastAsia="方正楷体_GBK" w:cs="方正楷体_GBK"/>
                <w:b w:val="0"/>
                <w:bCs/>
                <w:kern w:val="2"/>
                <w:sz w:val="21"/>
                <w:szCs w:val="21"/>
                <w:lang w:val="en-US" w:eastAsia="zh-CN" w:bidi="ar-SA"/>
              </w:rPr>
              <w:t>5</w:t>
            </w:r>
          </w:p>
        </w:tc>
        <w:tc>
          <w:tcPr>
            <w:tcW w:w="5447" w:type="dxa"/>
            <w:tcBorders>
              <w:top w:val="single" w:color="auto" w:sz="4" w:space="0"/>
              <w:left w:val="single" w:color="auto" w:sz="4" w:space="0"/>
              <w:bottom w:val="single" w:color="auto" w:sz="4" w:space="0"/>
              <w:right w:val="single" w:color="auto" w:sz="4" w:space="0"/>
            </w:tcBorders>
            <w:shd w:val="clear" w:color="auto" w:fill="auto"/>
            <w:vAlign w:val="center"/>
          </w:tcPr>
          <w:p w14:paraId="17D5B7D9">
            <w:pPr>
              <w:keepNext/>
              <w:keepLines w:val="0"/>
              <w:pageBreakBefore w:val="0"/>
              <w:widowControl w:val="0"/>
              <w:kinsoku/>
              <w:overflowPunct/>
              <w:topLinePunct w:val="0"/>
              <w:autoSpaceDE/>
              <w:autoSpaceDN/>
              <w:bidi w:val="0"/>
              <w:adjustRightInd w:val="0"/>
              <w:snapToGrid w:val="0"/>
              <w:spacing w:line="240" w:lineRule="auto"/>
              <w:ind w:left="0"/>
              <w:textAlignment w:val="auto"/>
              <w:rPr>
                <w:rFonts w:hint="eastAsia" w:ascii="方正楷体_GBK" w:hAnsi="方正楷体_GBK" w:eastAsia="方正楷体_GBK" w:cs="方正楷体_GBK"/>
                <w:b w:val="0"/>
                <w:bCs/>
                <w:kern w:val="2"/>
                <w:sz w:val="21"/>
                <w:szCs w:val="21"/>
                <w:lang w:val="en-US" w:eastAsia="zh-CN" w:bidi="ar-SA"/>
              </w:rPr>
            </w:pPr>
            <w:r>
              <w:rPr>
                <w:rFonts w:hint="eastAsia" w:ascii="方正楷体_GBK" w:hAnsi="方正楷体_GBK" w:eastAsia="方正楷体_GBK" w:cs="方正楷体_GBK"/>
                <w:b w:val="0"/>
                <w:bCs/>
                <w:kern w:val="2"/>
                <w:sz w:val="21"/>
                <w:szCs w:val="21"/>
                <w:lang w:val="en-US" w:eastAsia="zh-CN" w:bidi="ar-SA"/>
              </w:rPr>
              <w:t>提供的增值服务评分，根据增值服务的三个维度评分：实用性、合理性、专业性，进行评分。</w:t>
            </w:r>
          </w:p>
          <w:p w14:paraId="74E6CA4C">
            <w:pPr>
              <w:keepNext/>
              <w:keepLines w:val="0"/>
              <w:pageBreakBefore w:val="0"/>
              <w:widowControl w:val="0"/>
              <w:kinsoku/>
              <w:overflowPunct/>
              <w:topLinePunct w:val="0"/>
              <w:autoSpaceDE/>
              <w:autoSpaceDN/>
              <w:bidi w:val="0"/>
              <w:adjustRightInd w:val="0"/>
              <w:snapToGrid w:val="0"/>
              <w:spacing w:line="240" w:lineRule="auto"/>
              <w:ind w:left="0"/>
              <w:textAlignment w:val="auto"/>
              <w:rPr>
                <w:rFonts w:hint="eastAsia" w:ascii="方正楷体_GBK" w:hAnsi="方正楷体_GBK" w:eastAsia="方正楷体_GBK" w:cs="方正楷体_GBK"/>
                <w:b w:val="0"/>
                <w:bCs/>
                <w:kern w:val="2"/>
                <w:sz w:val="21"/>
                <w:szCs w:val="21"/>
                <w:lang w:val="en-US" w:eastAsia="zh-CN" w:bidi="ar-SA"/>
              </w:rPr>
            </w:pPr>
            <w:r>
              <w:rPr>
                <w:rFonts w:hint="eastAsia" w:ascii="方正楷体_GBK" w:hAnsi="方正楷体_GBK" w:eastAsia="方正楷体_GBK" w:cs="方正楷体_GBK"/>
                <w:b w:val="0"/>
                <w:bCs/>
                <w:kern w:val="2"/>
                <w:sz w:val="21"/>
                <w:szCs w:val="21"/>
                <w:lang w:val="en-US" w:eastAsia="zh-CN" w:bidi="ar-SA"/>
              </w:rPr>
              <w:t>（1）优，且保险条款明确载明，得5分；</w:t>
            </w:r>
          </w:p>
          <w:p w14:paraId="246DE367">
            <w:pPr>
              <w:keepNext/>
              <w:keepLines w:val="0"/>
              <w:pageBreakBefore w:val="0"/>
              <w:widowControl w:val="0"/>
              <w:kinsoku/>
              <w:overflowPunct/>
              <w:topLinePunct w:val="0"/>
              <w:autoSpaceDE/>
              <w:autoSpaceDN/>
              <w:bidi w:val="0"/>
              <w:adjustRightInd w:val="0"/>
              <w:snapToGrid w:val="0"/>
              <w:spacing w:line="240" w:lineRule="auto"/>
              <w:ind w:left="0"/>
              <w:textAlignment w:val="auto"/>
              <w:rPr>
                <w:rFonts w:hint="eastAsia" w:ascii="方正楷体_GBK" w:hAnsi="方正楷体_GBK" w:eastAsia="方正楷体_GBK" w:cs="方正楷体_GBK"/>
                <w:b w:val="0"/>
                <w:bCs/>
                <w:kern w:val="2"/>
                <w:sz w:val="21"/>
                <w:szCs w:val="21"/>
                <w:lang w:val="en-US" w:eastAsia="zh-CN" w:bidi="ar-SA"/>
              </w:rPr>
            </w:pPr>
            <w:r>
              <w:rPr>
                <w:rFonts w:hint="eastAsia" w:ascii="方正楷体_GBK" w:hAnsi="方正楷体_GBK" w:eastAsia="方正楷体_GBK" w:cs="方正楷体_GBK"/>
                <w:b w:val="0"/>
                <w:bCs/>
                <w:kern w:val="2"/>
                <w:sz w:val="21"/>
                <w:szCs w:val="21"/>
                <w:lang w:val="en-US" w:eastAsia="zh-CN" w:bidi="ar-SA"/>
              </w:rPr>
              <w:t>（2）良，得3分；</w:t>
            </w:r>
          </w:p>
          <w:p w14:paraId="4B51C2BA">
            <w:pPr>
              <w:keepNext/>
              <w:keepLines w:val="0"/>
              <w:pageBreakBefore w:val="0"/>
              <w:widowControl w:val="0"/>
              <w:kinsoku/>
              <w:overflowPunct/>
              <w:topLinePunct w:val="0"/>
              <w:autoSpaceDE/>
              <w:autoSpaceDN/>
              <w:bidi w:val="0"/>
              <w:adjustRightInd w:val="0"/>
              <w:snapToGrid w:val="0"/>
              <w:spacing w:line="240" w:lineRule="auto"/>
              <w:ind w:left="0"/>
              <w:textAlignment w:val="auto"/>
              <w:rPr>
                <w:rFonts w:hint="eastAsia" w:ascii="方正楷体_GBK" w:hAnsi="方正楷体_GBK" w:eastAsia="方正楷体_GBK" w:cs="方正楷体_GBK"/>
                <w:b w:val="0"/>
                <w:bCs/>
                <w:kern w:val="2"/>
                <w:sz w:val="21"/>
                <w:szCs w:val="21"/>
                <w:lang w:val="en-US" w:eastAsia="zh-CN" w:bidi="ar-SA"/>
              </w:rPr>
            </w:pPr>
            <w:r>
              <w:rPr>
                <w:rFonts w:hint="eastAsia" w:ascii="方正楷体_GBK" w:hAnsi="方正楷体_GBK" w:eastAsia="方正楷体_GBK" w:cs="方正楷体_GBK"/>
                <w:b w:val="0"/>
                <w:bCs/>
                <w:kern w:val="2"/>
                <w:sz w:val="21"/>
                <w:szCs w:val="21"/>
                <w:lang w:val="en-US" w:eastAsia="zh-CN" w:bidi="ar-SA"/>
              </w:rPr>
              <w:t>（3）一般，得1分；</w:t>
            </w:r>
          </w:p>
          <w:p w14:paraId="12D42D7B">
            <w:pPr>
              <w:keepNext/>
              <w:keepLines w:val="0"/>
              <w:pageBreakBefore w:val="0"/>
              <w:widowControl w:val="0"/>
              <w:kinsoku/>
              <w:overflowPunct/>
              <w:topLinePunct w:val="0"/>
              <w:autoSpaceDE/>
              <w:autoSpaceDN/>
              <w:bidi w:val="0"/>
              <w:adjustRightInd w:val="0"/>
              <w:snapToGrid w:val="0"/>
              <w:spacing w:line="240" w:lineRule="auto"/>
              <w:ind w:left="0"/>
              <w:textAlignment w:val="auto"/>
              <w:rPr>
                <w:rFonts w:hint="eastAsia" w:ascii="方正楷体_GBK" w:hAnsi="方正楷体_GBK" w:eastAsia="方正楷体_GBK" w:cs="方正楷体_GBK"/>
                <w:b w:val="0"/>
                <w:bCs/>
                <w:kern w:val="2"/>
                <w:sz w:val="21"/>
                <w:szCs w:val="21"/>
                <w:lang w:val="en-US" w:eastAsia="zh-CN" w:bidi="ar-SA"/>
              </w:rPr>
            </w:pPr>
            <w:r>
              <w:rPr>
                <w:rFonts w:hint="eastAsia" w:ascii="方正楷体_GBK" w:hAnsi="方正楷体_GBK" w:eastAsia="方正楷体_GBK" w:cs="方正楷体_GBK"/>
                <w:b w:val="0"/>
                <w:bCs/>
                <w:kern w:val="2"/>
                <w:sz w:val="21"/>
                <w:szCs w:val="21"/>
                <w:lang w:val="en-US" w:eastAsia="zh-CN" w:bidi="ar-SA"/>
              </w:rPr>
              <w:t>（4）其他不得分。</w:t>
            </w:r>
          </w:p>
        </w:tc>
        <w:tc>
          <w:tcPr>
            <w:tcW w:w="780" w:type="dxa"/>
            <w:tcBorders>
              <w:top w:val="single" w:color="auto" w:sz="4" w:space="0"/>
              <w:left w:val="single" w:color="auto" w:sz="4" w:space="0"/>
              <w:bottom w:val="single" w:color="auto" w:sz="4" w:space="0"/>
              <w:right w:val="single" w:color="auto" w:sz="4" w:space="0"/>
            </w:tcBorders>
            <w:vAlign w:val="center"/>
          </w:tcPr>
          <w:p w14:paraId="33634DFE">
            <w:pPr>
              <w:keepLines w:val="0"/>
              <w:pageBreakBefore w:val="0"/>
              <w:widowControl w:val="0"/>
              <w:kinsoku/>
              <w:overflowPunct/>
              <w:topLinePunct w:val="0"/>
              <w:autoSpaceDE/>
              <w:autoSpaceDN/>
              <w:bidi w:val="0"/>
              <w:spacing w:line="240" w:lineRule="auto"/>
              <w:ind w:left="0"/>
              <w:jc w:val="center"/>
              <w:textAlignment w:val="auto"/>
              <w:rPr>
                <w:rFonts w:hint="eastAsia" w:ascii="方正楷体_GBK" w:hAnsi="方正楷体_GBK" w:eastAsia="方正楷体_GBK" w:cs="方正楷体_GBK"/>
                <w:b w:val="0"/>
                <w:bCs/>
                <w:kern w:val="2"/>
                <w:sz w:val="21"/>
                <w:szCs w:val="21"/>
                <w:lang w:val="en-US" w:eastAsia="zh-CN" w:bidi="ar-SA"/>
              </w:rPr>
            </w:pPr>
          </w:p>
        </w:tc>
      </w:tr>
      <w:tr w14:paraId="3485E55E">
        <w:tblPrEx>
          <w:tblCellMar>
            <w:top w:w="0" w:type="dxa"/>
            <w:left w:w="108" w:type="dxa"/>
            <w:bottom w:w="0" w:type="dxa"/>
            <w:right w:w="108" w:type="dxa"/>
          </w:tblCellMar>
        </w:tblPrEx>
        <w:trPr>
          <w:trHeight w:val="378" w:hRule="atLeast"/>
        </w:trPr>
        <w:tc>
          <w:tcPr>
            <w:tcW w:w="570" w:type="dxa"/>
            <w:tcBorders>
              <w:top w:val="single" w:color="auto" w:sz="4" w:space="0"/>
              <w:left w:val="single" w:color="auto" w:sz="4" w:space="0"/>
              <w:bottom w:val="single" w:color="auto" w:sz="4" w:space="0"/>
              <w:right w:val="single" w:color="auto" w:sz="4" w:space="0"/>
            </w:tcBorders>
            <w:vAlign w:val="center"/>
          </w:tcPr>
          <w:p w14:paraId="6D64595B">
            <w:pPr>
              <w:keepLines w:val="0"/>
              <w:pageBreakBefore w:val="0"/>
              <w:widowControl w:val="0"/>
              <w:kinsoku/>
              <w:overflowPunct/>
              <w:topLinePunct w:val="0"/>
              <w:autoSpaceDE/>
              <w:autoSpaceDN/>
              <w:bidi w:val="0"/>
              <w:adjustRightInd w:val="0"/>
              <w:snapToGrid w:val="0"/>
              <w:spacing w:line="240" w:lineRule="auto"/>
              <w:ind w:left="0"/>
              <w:jc w:val="center"/>
              <w:textAlignment w:val="auto"/>
              <w:rPr>
                <w:rFonts w:hint="eastAsia" w:ascii="方正楷体_GBK" w:hAnsi="方正楷体_GBK" w:eastAsia="方正楷体_GBK" w:cs="方正楷体_GBK"/>
                <w:b w:val="0"/>
                <w:bCs/>
                <w:sz w:val="21"/>
                <w:szCs w:val="21"/>
                <w:lang w:val="en-US" w:eastAsia="zh-CN"/>
              </w:rPr>
            </w:pPr>
            <w:r>
              <w:rPr>
                <w:rFonts w:hint="eastAsia" w:ascii="方正楷体_GBK" w:hAnsi="方正楷体_GBK" w:eastAsia="方正楷体_GBK" w:cs="方正楷体_GBK"/>
                <w:b w:val="0"/>
                <w:bCs/>
                <w:sz w:val="21"/>
                <w:szCs w:val="21"/>
                <w:lang w:val="en-US" w:eastAsia="zh-CN"/>
              </w:rPr>
              <w:t>7</w:t>
            </w:r>
          </w:p>
        </w:tc>
        <w:tc>
          <w:tcPr>
            <w:tcW w:w="2292"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34EF1559">
            <w:pPr>
              <w:keepLines w:val="0"/>
              <w:pageBreakBefore w:val="0"/>
              <w:widowControl w:val="0"/>
              <w:kinsoku/>
              <w:overflowPunct/>
              <w:topLinePunct w:val="0"/>
              <w:autoSpaceDE/>
              <w:autoSpaceDN/>
              <w:bidi w:val="0"/>
              <w:adjustRightInd w:val="0"/>
              <w:snapToGrid w:val="0"/>
              <w:spacing w:line="240" w:lineRule="auto"/>
              <w:ind w:left="0"/>
              <w:jc w:val="center"/>
              <w:textAlignment w:val="auto"/>
              <w:rPr>
                <w:rFonts w:hint="eastAsia" w:ascii="方正楷体_GBK" w:hAnsi="方正楷体_GBK" w:eastAsia="方正楷体_GBK" w:cs="方正楷体_GBK"/>
                <w:b w:val="0"/>
                <w:bCs/>
                <w:kern w:val="2"/>
                <w:sz w:val="21"/>
                <w:szCs w:val="21"/>
                <w:lang w:val="en-US" w:eastAsia="zh-CN" w:bidi="ar-SA"/>
              </w:rPr>
            </w:pPr>
            <w:r>
              <w:rPr>
                <w:rFonts w:hint="eastAsia" w:ascii="方正楷体_GBK" w:hAnsi="方正楷体_GBK" w:eastAsia="方正楷体_GBK" w:cs="方正楷体_GBK"/>
                <w:b w:val="0"/>
                <w:bCs/>
                <w:kern w:val="2"/>
                <w:sz w:val="21"/>
                <w:szCs w:val="21"/>
                <w:lang w:val="en-US" w:eastAsia="zh-CN" w:bidi="ar-SA"/>
              </w:rPr>
              <w:t>（总部）理赔经验</w:t>
            </w:r>
          </w:p>
        </w:tc>
        <w:tc>
          <w:tcPr>
            <w:tcW w:w="543" w:type="dxa"/>
            <w:tcBorders>
              <w:top w:val="single" w:color="auto" w:sz="4" w:space="0"/>
              <w:left w:val="single" w:color="auto" w:sz="4" w:space="0"/>
              <w:bottom w:val="single" w:color="auto" w:sz="4" w:space="0"/>
              <w:right w:val="single" w:color="auto" w:sz="4" w:space="0"/>
            </w:tcBorders>
            <w:shd w:val="clear" w:color="auto" w:fill="auto"/>
            <w:vAlign w:val="center"/>
          </w:tcPr>
          <w:p w14:paraId="6CC4E621">
            <w:pPr>
              <w:keepLines w:val="0"/>
              <w:pageBreakBefore w:val="0"/>
              <w:widowControl w:val="0"/>
              <w:kinsoku/>
              <w:overflowPunct/>
              <w:topLinePunct w:val="0"/>
              <w:autoSpaceDE/>
              <w:autoSpaceDN/>
              <w:bidi w:val="0"/>
              <w:spacing w:line="240" w:lineRule="auto"/>
              <w:ind w:left="0"/>
              <w:jc w:val="center"/>
              <w:textAlignment w:val="auto"/>
              <w:rPr>
                <w:rFonts w:hint="eastAsia" w:ascii="方正楷体_GBK" w:hAnsi="方正楷体_GBK" w:eastAsia="方正楷体_GBK" w:cs="方正楷体_GBK"/>
                <w:b w:val="0"/>
                <w:bCs/>
                <w:kern w:val="2"/>
                <w:sz w:val="21"/>
                <w:szCs w:val="21"/>
                <w:lang w:val="en-US" w:eastAsia="zh-CN" w:bidi="ar-SA"/>
              </w:rPr>
            </w:pPr>
            <w:r>
              <w:rPr>
                <w:rFonts w:hint="eastAsia" w:ascii="方正楷体_GBK" w:hAnsi="方正楷体_GBK" w:eastAsia="方正楷体_GBK" w:cs="方正楷体_GBK"/>
                <w:b w:val="0"/>
                <w:bCs/>
                <w:kern w:val="2"/>
                <w:sz w:val="21"/>
                <w:szCs w:val="21"/>
                <w:lang w:val="en-US" w:eastAsia="zh-CN" w:bidi="ar-SA"/>
              </w:rPr>
              <w:t>10</w:t>
            </w:r>
          </w:p>
        </w:tc>
        <w:tc>
          <w:tcPr>
            <w:tcW w:w="5447" w:type="dxa"/>
            <w:tcBorders>
              <w:top w:val="single" w:color="auto" w:sz="4" w:space="0"/>
              <w:left w:val="single" w:color="auto" w:sz="4" w:space="0"/>
              <w:bottom w:val="single" w:color="auto" w:sz="4" w:space="0"/>
              <w:right w:val="single" w:color="auto" w:sz="4" w:space="0"/>
            </w:tcBorders>
            <w:shd w:val="clear" w:color="auto" w:fill="auto"/>
            <w:vAlign w:val="center"/>
          </w:tcPr>
          <w:p w14:paraId="79F6B17C">
            <w:pPr>
              <w:keepNext/>
              <w:keepLines w:val="0"/>
              <w:pageBreakBefore w:val="0"/>
              <w:widowControl w:val="0"/>
              <w:kinsoku/>
              <w:overflowPunct/>
              <w:topLinePunct w:val="0"/>
              <w:autoSpaceDE/>
              <w:autoSpaceDN/>
              <w:bidi w:val="0"/>
              <w:adjustRightInd w:val="0"/>
              <w:snapToGrid w:val="0"/>
              <w:spacing w:line="240" w:lineRule="auto"/>
              <w:ind w:left="0"/>
              <w:textAlignment w:val="auto"/>
              <w:rPr>
                <w:rFonts w:hint="eastAsia" w:ascii="方正楷体_GBK" w:hAnsi="方正楷体_GBK" w:eastAsia="方正楷体_GBK" w:cs="方正楷体_GBK"/>
                <w:b w:val="0"/>
                <w:bCs/>
                <w:kern w:val="2"/>
                <w:sz w:val="21"/>
                <w:szCs w:val="21"/>
                <w:lang w:val="en-US" w:eastAsia="zh-CN" w:bidi="ar-SA"/>
              </w:rPr>
            </w:pPr>
            <w:r>
              <w:rPr>
                <w:rFonts w:hint="eastAsia" w:ascii="方正楷体_GBK" w:hAnsi="方正楷体_GBK" w:eastAsia="方正楷体_GBK" w:cs="方正楷体_GBK"/>
                <w:b w:val="0"/>
                <w:bCs/>
                <w:kern w:val="2"/>
                <w:sz w:val="21"/>
                <w:szCs w:val="21"/>
                <w:lang w:val="en-US" w:eastAsia="zh-CN" w:bidi="ar-SA"/>
              </w:rPr>
              <w:t>提供的董责险理赔服务项目≥5个，得10分；</w:t>
            </w:r>
          </w:p>
          <w:p w14:paraId="190F6019">
            <w:pPr>
              <w:keepNext/>
              <w:keepLines w:val="0"/>
              <w:pageBreakBefore w:val="0"/>
              <w:widowControl w:val="0"/>
              <w:kinsoku/>
              <w:overflowPunct/>
              <w:topLinePunct w:val="0"/>
              <w:autoSpaceDE/>
              <w:autoSpaceDN/>
              <w:bidi w:val="0"/>
              <w:adjustRightInd w:val="0"/>
              <w:snapToGrid w:val="0"/>
              <w:spacing w:line="240" w:lineRule="auto"/>
              <w:ind w:left="0"/>
              <w:textAlignment w:val="auto"/>
              <w:rPr>
                <w:rFonts w:hint="eastAsia" w:ascii="方正楷体_GBK" w:hAnsi="方正楷体_GBK" w:eastAsia="方正楷体_GBK" w:cs="方正楷体_GBK"/>
                <w:b w:val="0"/>
                <w:bCs/>
                <w:kern w:val="2"/>
                <w:sz w:val="21"/>
                <w:szCs w:val="21"/>
                <w:lang w:val="en-US" w:eastAsia="zh-CN" w:bidi="ar-SA"/>
              </w:rPr>
            </w:pPr>
            <w:r>
              <w:rPr>
                <w:rFonts w:hint="eastAsia" w:ascii="方正楷体_GBK" w:hAnsi="方正楷体_GBK" w:eastAsia="方正楷体_GBK" w:cs="方正楷体_GBK"/>
                <w:b w:val="0"/>
                <w:bCs/>
                <w:kern w:val="2"/>
                <w:sz w:val="21"/>
                <w:szCs w:val="21"/>
                <w:lang w:val="en-US" w:eastAsia="zh-CN" w:bidi="ar-SA"/>
              </w:rPr>
              <w:t>提供的董责险理赔服务项目≥3个，得5分</w:t>
            </w:r>
          </w:p>
          <w:p w14:paraId="5561DA97">
            <w:pPr>
              <w:keepNext/>
              <w:keepLines w:val="0"/>
              <w:pageBreakBefore w:val="0"/>
              <w:widowControl w:val="0"/>
              <w:kinsoku/>
              <w:overflowPunct/>
              <w:topLinePunct w:val="0"/>
              <w:autoSpaceDE/>
              <w:autoSpaceDN/>
              <w:bidi w:val="0"/>
              <w:adjustRightInd w:val="0"/>
              <w:snapToGrid w:val="0"/>
              <w:spacing w:line="240" w:lineRule="auto"/>
              <w:ind w:left="0"/>
              <w:textAlignment w:val="auto"/>
              <w:rPr>
                <w:rFonts w:hint="eastAsia" w:ascii="方正楷体_GBK" w:hAnsi="方正楷体_GBK" w:eastAsia="方正楷体_GBK" w:cs="方正楷体_GBK"/>
                <w:b w:val="0"/>
                <w:bCs/>
                <w:kern w:val="2"/>
                <w:sz w:val="21"/>
                <w:szCs w:val="21"/>
                <w:lang w:val="en-US" w:eastAsia="zh-CN" w:bidi="ar-SA"/>
              </w:rPr>
            </w:pPr>
            <w:r>
              <w:rPr>
                <w:rFonts w:hint="eastAsia" w:ascii="方正楷体_GBK" w:hAnsi="方正楷体_GBK" w:eastAsia="方正楷体_GBK" w:cs="方正楷体_GBK"/>
                <w:b w:val="0"/>
                <w:bCs/>
                <w:kern w:val="2"/>
                <w:sz w:val="21"/>
                <w:szCs w:val="21"/>
                <w:lang w:val="en-US" w:eastAsia="zh-CN" w:bidi="ar-SA"/>
              </w:rPr>
              <w:t>提供的董责险理赔服务项目&lt;3个，不得分</w:t>
            </w:r>
          </w:p>
          <w:p w14:paraId="1DE5235B">
            <w:pPr>
              <w:keepNext/>
              <w:keepLines w:val="0"/>
              <w:pageBreakBefore w:val="0"/>
              <w:widowControl w:val="0"/>
              <w:kinsoku/>
              <w:overflowPunct/>
              <w:topLinePunct w:val="0"/>
              <w:autoSpaceDE/>
              <w:autoSpaceDN/>
              <w:bidi w:val="0"/>
              <w:adjustRightInd w:val="0"/>
              <w:snapToGrid w:val="0"/>
              <w:spacing w:line="240" w:lineRule="auto"/>
              <w:ind w:left="0"/>
              <w:textAlignment w:val="auto"/>
              <w:rPr>
                <w:rFonts w:hint="eastAsia" w:ascii="方正楷体_GBK" w:hAnsi="方正楷体_GBK" w:eastAsia="方正楷体_GBK" w:cs="方正楷体_GBK"/>
                <w:b w:val="0"/>
                <w:bCs/>
                <w:kern w:val="2"/>
                <w:sz w:val="21"/>
                <w:szCs w:val="21"/>
                <w:lang w:val="en-US" w:eastAsia="zh-CN" w:bidi="ar-SA"/>
              </w:rPr>
            </w:pPr>
            <w:r>
              <w:rPr>
                <w:rFonts w:hint="eastAsia" w:ascii="方正楷体_GBK" w:hAnsi="方正楷体_GBK" w:eastAsia="方正楷体_GBK" w:cs="方正楷体_GBK"/>
                <w:b w:val="0"/>
                <w:bCs/>
                <w:kern w:val="2"/>
                <w:sz w:val="21"/>
                <w:szCs w:val="21"/>
                <w:lang w:val="en-US" w:eastAsia="zh-CN" w:bidi="ar-SA"/>
              </w:rPr>
              <w:t>注：须提供理赔通知书或理赔通知邮件等有效证明材料关键页（包括但不限于保单号码、可赔情况或理赔情况等，涉及敏感信息可脱敏处理）</w:t>
            </w:r>
          </w:p>
        </w:tc>
        <w:tc>
          <w:tcPr>
            <w:tcW w:w="780" w:type="dxa"/>
            <w:tcBorders>
              <w:top w:val="single" w:color="auto" w:sz="4" w:space="0"/>
              <w:left w:val="single" w:color="auto" w:sz="4" w:space="0"/>
              <w:bottom w:val="single" w:color="auto" w:sz="4" w:space="0"/>
              <w:right w:val="single" w:color="auto" w:sz="4" w:space="0"/>
            </w:tcBorders>
            <w:vAlign w:val="center"/>
          </w:tcPr>
          <w:p w14:paraId="70F5B5EE">
            <w:pPr>
              <w:keepLines w:val="0"/>
              <w:pageBreakBefore w:val="0"/>
              <w:widowControl w:val="0"/>
              <w:kinsoku/>
              <w:overflowPunct/>
              <w:topLinePunct w:val="0"/>
              <w:autoSpaceDE/>
              <w:autoSpaceDN/>
              <w:bidi w:val="0"/>
              <w:spacing w:line="240" w:lineRule="auto"/>
              <w:ind w:left="0"/>
              <w:jc w:val="center"/>
              <w:textAlignment w:val="auto"/>
              <w:rPr>
                <w:rFonts w:hint="eastAsia" w:ascii="方正楷体_GBK" w:hAnsi="方正楷体_GBK" w:eastAsia="方正楷体_GBK" w:cs="方正楷体_GBK"/>
                <w:b w:val="0"/>
                <w:bCs/>
                <w:kern w:val="2"/>
                <w:sz w:val="21"/>
                <w:szCs w:val="21"/>
                <w:lang w:val="en-US" w:eastAsia="zh-CN" w:bidi="ar-SA"/>
              </w:rPr>
            </w:pPr>
          </w:p>
        </w:tc>
      </w:tr>
      <w:tr w14:paraId="0F8C0602">
        <w:tblPrEx>
          <w:tblCellMar>
            <w:top w:w="0" w:type="dxa"/>
            <w:left w:w="108" w:type="dxa"/>
            <w:bottom w:w="0" w:type="dxa"/>
            <w:right w:w="108" w:type="dxa"/>
          </w:tblCellMar>
        </w:tblPrEx>
        <w:trPr>
          <w:trHeight w:val="674" w:hRule="atLeast"/>
        </w:trPr>
        <w:tc>
          <w:tcPr>
            <w:tcW w:w="570" w:type="dxa"/>
            <w:tcBorders>
              <w:top w:val="single" w:color="auto" w:sz="4" w:space="0"/>
              <w:left w:val="single" w:color="auto" w:sz="4" w:space="0"/>
              <w:bottom w:val="single" w:color="auto" w:sz="4" w:space="0"/>
              <w:right w:val="single" w:color="auto" w:sz="4" w:space="0"/>
            </w:tcBorders>
            <w:vAlign w:val="center"/>
          </w:tcPr>
          <w:p w14:paraId="7A445028">
            <w:pPr>
              <w:keepLines w:val="0"/>
              <w:pageBreakBefore w:val="0"/>
              <w:widowControl w:val="0"/>
              <w:kinsoku/>
              <w:overflowPunct/>
              <w:topLinePunct w:val="0"/>
              <w:autoSpaceDE/>
              <w:autoSpaceDN/>
              <w:bidi w:val="0"/>
              <w:adjustRightInd w:val="0"/>
              <w:snapToGrid w:val="0"/>
              <w:spacing w:line="240" w:lineRule="auto"/>
              <w:ind w:left="0"/>
              <w:jc w:val="center"/>
              <w:textAlignment w:val="auto"/>
              <w:rPr>
                <w:rFonts w:hint="eastAsia" w:ascii="方正楷体_GBK" w:hAnsi="方正楷体_GBK" w:eastAsia="方正楷体_GBK" w:cs="方正楷体_GBK"/>
                <w:b w:val="0"/>
                <w:bCs/>
                <w:sz w:val="21"/>
                <w:szCs w:val="21"/>
              </w:rPr>
            </w:pPr>
          </w:p>
        </w:tc>
        <w:tc>
          <w:tcPr>
            <w:tcW w:w="2292" w:type="dxa"/>
            <w:gridSpan w:val="2"/>
            <w:tcBorders>
              <w:top w:val="single" w:color="auto" w:sz="4" w:space="0"/>
              <w:left w:val="single" w:color="auto" w:sz="4" w:space="0"/>
              <w:bottom w:val="single" w:color="auto" w:sz="4" w:space="0"/>
              <w:right w:val="single" w:color="auto" w:sz="4" w:space="0"/>
            </w:tcBorders>
            <w:vAlign w:val="center"/>
          </w:tcPr>
          <w:p w14:paraId="6C248A39">
            <w:pPr>
              <w:keepLines w:val="0"/>
              <w:pageBreakBefore w:val="0"/>
              <w:widowControl w:val="0"/>
              <w:kinsoku/>
              <w:overflowPunct/>
              <w:topLinePunct w:val="0"/>
              <w:autoSpaceDE/>
              <w:autoSpaceDN/>
              <w:bidi w:val="0"/>
              <w:adjustRightInd w:val="0"/>
              <w:snapToGrid w:val="0"/>
              <w:spacing w:line="240" w:lineRule="auto"/>
              <w:ind w:left="0"/>
              <w:jc w:val="center"/>
              <w:textAlignment w:val="auto"/>
              <w:rPr>
                <w:rFonts w:hint="eastAsia" w:ascii="方正楷体_GBK" w:hAnsi="方正楷体_GBK" w:eastAsia="方正楷体_GBK" w:cs="方正楷体_GBK"/>
                <w:b w:val="0"/>
                <w:bCs/>
                <w:sz w:val="21"/>
                <w:szCs w:val="21"/>
              </w:rPr>
            </w:pPr>
            <w:r>
              <w:rPr>
                <w:rFonts w:hint="eastAsia" w:ascii="方正楷体_GBK" w:hAnsi="方正楷体_GBK" w:eastAsia="方正楷体_GBK" w:cs="方正楷体_GBK"/>
                <w:b w:val="0"/>
                <w:bCs/>
                <w:sz w:val="21"/>
                <w:szCs w:val="21"/>
              </w:rPr>
              <w:t>合计</w:t>
            </w:r>
          </w:p>
        </w:tc>
        <w:tc>
          <w:tcPr>
            <w:tcW w:w="543" w:type="dxa"/>
            <w:tcBorders>
              <w:top w:val="single" w:color="auto" w:sz="4" w:space="0"/>
              <w:left w:val="single" w:color="auto" w:sz="4" w:space="0"/>
              <w:bottom w:val="single" w:color="auto" w:sz="4" w:space="0"/>
              <w:right w:val="single" w:color="auto" w:sz="4" w:space="0"/>
            </w:tcBorders>
            <w:vAlign w:val="center"/>
          </w:tcPr>
          <w:p w14:paraId="331AB673">
            <w:pPr>
              <w:keepLines w:val="0"/>
              <w:pageBreakBefore w:val="0"/>
              <w:widowControl w:val="0"/>
              <w:kinsoku/>
              <w:overflowPunct/>
              <w:topLinePunct w:val="0"/>
              <w:autoSpaceDE/>
              <w:autoSpaceDN/>
              <w:bidi w:val="0"/>
              <w:adjustRightInd w:val="0"/>
              <w:snapToGrid w:val="0"/>
              <w:spacing w:line="240" w:lineRule="auto"/>
              <w:ind w:left="0"/>
              <w:jc w:val="center"/>
              <w:textAlignment w:val="auto"/>
              <w:rPr>
                <w:rFonts w:hint="eastAsia" w:ascii="方正楷体_GBK" w:hAnsi="方正楷体_GBK" w:eastAsia="方正楷体_GBK" w:cs="方正楷体_GBK"/>
                <w:b w:val="0"/>
                <w:bCs/>
                <w:sz w:val="21"/>
                <w:szCs w:val="21"/>
              </w:rPr>
            </w:pPr>
            <w:r>
              <w:rPr>
                <w:rFonts w:hint="eastAsia" w:ascii="方正楷体_GBK" w:hAnsi="方正楷体_GBK" w:eastAsia="方正楷体_GBK" w:cs="方正楷体_GBK"/>
                <w:b w:val="0"/>
                <w:bCs/>
                <w:sz w:val="21"/>
                <w:szCs w:val="21"/>
              </w:rPr>
              <w:t>100</w:t>
            </w:r>
          </w:p>
        </w:tc>
        <w:tc>
          <w:tcPr>
            <w:tcW w:w="5447" w:type="dxa"/>
            <w:tcBorders>
              <w:top w:val="single" w:color="auto" w:sz="4" w:space="0"/>
              <w:left w:val="single" w:color="auto" w:sz="4" w:space="0"/>
              <w:bottom w:val="single" w:color="auto" w:sz="4" w:space="0"/>
              <w:right w:val="single" w:color="auto" w:sz="4" w:space="0"/>
            </w:tcBorders>
            <w:vAlign w:val="center"/>
          </w:tcPr>
          <w:p w14:paraId="2795D95F">
            <w:pPr>
              <w:keepLines w:val="0"/>
              <w:pageBreakBefore w:val="0"/>
              <w:widowControl w:val="0"/>
              <w:kinsoku/>
              <w:overflowPunct/>
              <w:topLinePunct w:val="0"/>
              <w:autoSpaceDE/>
              <w:autoSpaceDN/>
              <w:bidi w:val="0"/>
              <w:adjustRightInd w:val="0"/>
              <w:snapToGrid w:val="0"/>
              <w:spacing w:line="240" w:lineRule="auto"/>
              <w:ind w:left="0"/>
              <w:jc w:val="center"/>
              <w:textAlignment w:val="auto"/>
              <w:rPr>
                <w:rFonts w:hint="eastAsia" w:ascii="方正楷体_GBK" w:hAnsi="方正楷体_GBK" w:eastAsia="方正楷体_GBK" w:cs="方正楷体_GBK"/>
                <w:b w:val="0"/>
                <w:bCs/>
                <w:sz w:val="21"/>
                <w:szCs w:val="21"/>
              </w:rPr>
            </w:pPr>
          </w:p>
        </w:tc>
        <w:tc>
          <w:tcPr>
            <w:tcW w:w="780" w:type="dxa"/>
            <w:tcBorders>
              <w:top w:val="nil"/>
              <w:left w:val="nil"/>
              <w:bottom w:val="single" w:color="auto" w:sz="4" w:space="0"/>
              <w:right w:val="single" w:color="auto" w:sz="4" w:space="0"/>
            </w:tcBorders>
            <w:vAlign w:val="center"/>
          </w:tcPr>
          <w:p w14:paraId="08A6C2B0">
            <w:pPr>
              <w:keepLines w:val="0"/>
              <w:pageBreakBefore w:val="0"/>
              <w:widowControl w:val="0"/>
              <w:kinsoku/>
              <w:overflowPunct/>
              <w:topLinePunct w:val="0"/>
              <w:autoSpaceDE/>
              <w:autoSpaceDN/>
              <w:bidi w:val="0"/>
              <w:adjustRightInd w:val="0"/>
              <w:snapToGrid w:val="0"/>
              <w:spacing w:line="240" w:lineRule="auto"/>
              <w:ind w:left="0"/>
              <w:jc w:val="center"/>
              <w:textAlignment w:val="auto"/>
              <w:rPr>
                <w:rFonts w:hint="eastAsia" w:ascii="方正楷体_GBK" w:hAnsi="方正楷体_GBK" w:eastAsia="方正楷体_GBK" w:cs="方正楷体_GBK"/>
                <w:b w:val="0"/>
                <w:bCs/>
                <w:sz w:val="21"/>
                <w:szCs w:val="21"/>
              </w:rPr>
            </w:pPr>
          </w:p>
        </w:tc>
      </w:tr>
    </w:tbl>
    <w:p w14:paraId="4DBA4DA7">
      <w:pPr>
        <w:widowControl w:val="0"/>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240"/>
        </w:tabs>
        <w:spacing w:before="0"/>
        <w:jc w:val="both"/>
        <w:rPr>
          <w:rFonts w:ascii="黑体" w:hAnsi="黑体" w:eastAsia="黑体" w:cs="黑体"/>
          <w:kern w:val="2"/>
          <w:sz w:val="21"/>
          <w:szCs w:val="21"/>
        </w:rPr>
      </w:pPr>
    </w:p>
    <w:p w14:paraId="64E87380">
      <w:pPr>
        <w:widowControl w:val="0"/>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240"/>
        </w:tabs>
        <w:spacing w:before="0"/>
        <w:ind w:firstLine="420" w:firstLineChars="200"/>
        <w:jc w:val="both"/>
        <w:rPr>
          <w:rFonts w:hint="default" w:ascii="黑体" w:hAnsi="黑体" w:eastAsia="黑体" w:cs="黑体"/>
          <w:kern w:val="2"/>
          <w:sz w:val="21"/>
          <w:szCs w:val="21"/>
        </w:rPr>
      </w:pPr>
      <w:r>
        <w:rPr>
          <w:rFonts w:ascii="黑体" w:hAnsi="黑体" w:eastAsia="黑体" w:cs="黑体"/>
          <w:kern w:val="2"/>
          <w:sz w:val="21"/>
          <w:szCs w:val="21"/>
        </w:rPr>
        <w:t>备注：</w:t>
      </w:r>
      <w:r>
        <w:rPr>
          <w:rFonts w:ascii="黑体" w:hAnsi="黑体" w:eastAsia="黑体" w:cs="黑体"/>
          <w:kern w:val="2"/>
          <w:sz w:val="21"/>
          <w:szCs w:val="21"/>
          <w:lang w:val="en-US"/>
        </w:rPr>
        <w:t>1.</w:t>
      </w:r>
      <w:r>
        <w:rPr>
          <w:rFonts w:ascii="黑体" w:hAnsi="黑体" w:eastAsia="黑体" w:cs="黑体"/>
          <w:kern w:val="2"/>
          <w:sz w:val="21"/>
          <w:szCs w:val="21"/>
        </w:rPr>
        <w:t>各项评审打分按照四舍五入，小数点后保留</w:t>
      </w:r>
      <w:r>
        <w:rPr>
          <w:rFonts w:ascii="黑体" w:hAnsi="黑体" w:eastAsia="黑体" w:cs="黑体"/>
          <w:kern w:val="2"/>
          <w:sz w:val="21"/>
          <w:szCs w:val="21"/>
          <w:lang w:val="en-US"/>
        </w:rPr>
        <w:t>2</w:t>
      </w:r>
      <w:r>
        <w:rPr>
          <w:rFonts w:ascii="黑体" w:hAnsi="黑体" w:eastAsia="黑体" w:cs="黑体"/>
          <w:kern w:val="2"/>
          <w:sz w:val="21"/>
          <w:szCs w:val="21"/>
        </w:rPr>
        <w:t>位进行计算；</w:t>
      </w:r>
    </w:p>
    <w:p w14:paraId="777944D3">
      <w:pPr>
        <w:widowControl w:val="0"/>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240"/>
        </w:tabs>
        <w:spacing w:before="0"/>
        <w:ind w:left="1050" w:hanging="1050"/>
        <w:jc w:val="both"/>
        <w:rPr>
          <w:rFonts w:hint="default"/>
        </w:rPr>
      </w:pPr>
      <w:r>
        <w:rPr>
          <w:rFonts w:ascii="黑体" w:hAnsi="黑体" w:eastAsia="黑体" w:cs="黑体"/>
          <w:kern w:val="2"/>
          <w:sz w:val="21"/>
          <w:szCs w:val="21"/>
          <w:lang w:val="en-US"/>
        </w:rPr>
        <w:t xml:space="preserve">          2.</w:t>
      </w:r>
      <w:r>
        <w:rPr>
          <w:rFonts w:ascii="黑体" w:hAnsi="黑体" w:eastAsia="黑体" w:cs="黑体"/>
          <w:kern w:val="2"/>
          <w:sz w:val="21"/>
          <w:szCs w:val="21"/>
        </w:rPr>
        <w:t>若出现拟推荐</w:t>
      </w:r>
      <w:bookmarkStart w:id="0" w:name="_GoBack"/>
      <w:bookmarkEnd w:id="0"/>
      <w:r>
        <w:rPr>
          <w:rFonts w:hint="eastAsia" w:ascii="黑体" w:hAnsi="黑体" w:eastAsia="黑体" w:cs="黑体"/>
          <w:kern w:val="2"/>
          <w:sz w:val="21"/>
          <w:szCs w:val="21"/>
          <w:lang w:eastAsia="zh-CN"/>
        </w:rPr>
        <w:t>中标</w:t>
      </w:r>
      <w:r>
        <w:rPr>
          <w:rFonts w:ascii="黑体" w:hAnsi="黑体" w:eastAsia="黑体" w:cs="黑体"/>
          <w:kern w:val="2"/>
          <w:sz w:val="21"/>
          <w:szCs w:val="21"/>
        </w:rPr>
        <w:t>候选供应商票数相同的情况，以未推荐上述单位的评审专家对并列第一的候选供应商既定打分排序作为最终选定依据。</w:t>
      </w:r>
    </w:p>
    <w:p w14:paraId="36D360F5"/>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01"/>
    <w:family w:val="roman"/>
    <w:pitch w:val="default"/>
    <w:sig w:usb0="00000000" w:usb1="00000000" w:usb2="00000009" w:usb3="00000000" w:csb0="400001FF" w:csb1="FFFF0000"/>
  </w:font>
  <w:font w:name="宋体">
    <w:altName w:val="Droid Sans Fallback"/>
    <w:panose1 w:val="00000000000000000000"/>
    <w:charset w:val="86"/>
    <w:family w:val="auto"/>
    <w:pitch w:val="default"/>
    <w:sig w:usb0="00000000" w:usb1="00000000" w:usb2="00000000" w:usb3="00000000" w:csb0="00000000" w:csb1="00000000"/>
  </w:font>
  <w:font w:name="Wingdings">
    <w:altName w:val="Wingdings 2"/>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CESI黑体-GB13000"/>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Wingdings 2"/>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Droid Sans Fallback">
    <w:panose1 w:val="020B0502000000000001"/>
    <w:charset w:val="86"/>
    <w:family w:val="auto"/>
    <w:pitch w:val="default"/>
    <w:sig w:usb0="910002FF" w:usb1="2BDFFCFB" w:usb2="00000036" w:usb3="00000000" w:csb0="203F01FF" w:csb1="D7FF0000"/>
  </w:font>
  <w:font w:name="仿宋_GB2312">
    <w:panose1 w:val="02010609030101010101"/>
    <w:charset w:val="86"/>
    <w:family w:val="modern"/>
    <w:pitch w:val="default"/>
    <w:sig w:usb0="00000001" w:usb1="080E0000" w:usb2="00000000" w:usb3="00000000" w:csb0="00040000" w:csb1="00000000"/>
  </w:font>
  <w:font w:name="PingFang SC Regular">
    <w:altName w:val="华文仿宋"/>
    <w:panose1 w:val="00000000000000000000"/>
    <w:charset w:val="00"/>
    <w:family w:val="roman"/>
    <w:pitch w:val="default"/>
    <w:sig w:usb0="00000000" w:usb1="00000000" w:usb2="00000000" w:usb3="00000000" w:csb0="00040001" w:csb1="00000000"/>
  </w:font>
  <w:font w:name="华文仿宋">
    <w:panose1 w:val="02010600040101010101"/>
    <w:charset w:val="86"/>
    <w:family w:val="auto"/>
    <w:pitch w:val="default"/>
    <w:sig w:usb0="00000287" w:usb1="080F0000" w:usb2="00000000" w:usb3="00000000" w:csb0="0004009F" w:csb1="DFD70000"/>
  </w:font>
  <w:font w:name="方正楷体_GBK">
    <w:panose1 w:val="02000000000000000000"/>
    <w:charset w:val="86"/>
    <w:family w:val="auto"/>
    <w:pitch w:val="default"/>
    <w:sig w:usb0="800002BF" w:usb1="38CF7CFA" w:usb2="00000016" w:usb3="00000000" w:csb0="00040000" w:csb1="00000000"/>
  </w:font>
  <w:font w:name="CESI黑体-GB13000">
    <w:panose1 w:val="02000500000000000000"/>
    <w:charset w:val="86"/>
    <w:family w:val="auto"/>
    <w:pitch w:val="default"/>
    <w:sig w:usb0="800002BF" w:usb1="38CF7CF8" w:usb2="00000016" w:usb3="00000000" w:csb0="0004000F" w:csb1="00000000"/>
  </w:font>
  <w:font w:name="Wingdings 2">
    <w:panose1 w:val="05020102010507070707"/>
    <w:charset w:val="00"/>
    <w:family w:val="auto"/>
    <w:pitch w:val="default"/>
    <w:sig w:usb0="00000000" w:usb1="00000000" w:usb2="00000000" w:usb3="00000000" w:csb0="8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gxMzVhMDlhOTk3ZTc4ZWFhYjJiOGFiYTU2ZTVjMzEifQ=="/>
  </w:docVars>
  <w:rsids>
    <w:rsidRoot w:val="5AB00F04"/>
    <w:rsid w:val="09440A55"/>
    <w:rsid w:val="109D44D0"/>
    <w:rsid w:val="2AEA5506"/>
    <w:rsid w:val="2DD02B28"/>
    <w:rsid w:val="2DF3032B"/>
    <w:rsid w:val="362D7FF8"/>
    <w:rsid w:val="3E76F33A"/>
    <w:rsid w:val="3F9F46CC"/>
    <w:rsid w:val="3FD7572F"/>
    <w:rsid w:val="42AE556F"/>
    <w:rsid w:val="496E5696"/>
    <w:rsid w:val="4BD75B0A"/>
    <w:rsid w:val="544333A3"/>
    <w:rsid w:val="5AB00F04"/>
    <w:rsid w:val="5FFD0D45"/>
    <w:rsid w:val="64EB45D2"/>
    <w:rsid w:val="66051C6E"/>
    <w:rsid w:val="6861575B"/>
    <w:rsid w:val="6BDB75D3"/>
    <w:rsid w:val="6E510020"/>
    <w:rsid w:val="78BEA607"/>
    <w:rsid w:val="7C847596"/>
    <w:rsid w:val="7DCE833A"/>
    <w:rsid w:val="7FE74FAD"/>
    <w:rsid w:val="7FF79E47"/>
    <w:rsid w:val="7FFF1A36"/>
    <w:rsid w:val="8F7ED425"/>
    <w:rsid w:val="BBFF92AD"/>
    <w:rsid w:val="BDCB6565"/>
    <w:rsid w:val="BFAF6F56"/>
    <w:rsid w:val="BFF51FB7"/>
    <w:rsid w:val="BFFF84D2"/>
    <w:rsid w:val="FFE70F4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qFormat="1" w:unhideWhenUsed="0" w:uiPriority="0" w:semiHidden="0" w:name="index 8"/>
    <w:lsdException w:unhideWhenUsed="0" w:uiPriority="0" w:semiHidden="0" w:name="index 9"/>
    <w:lsdException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toc 2"/>
    <w:basedOn w:val="1"/>
    <w:next w:val="1"/>
    <w:qFormat/>
    <w:uiPriority w:val="0"/>
    <w:pPr>
      <w:spacing w:line="600" w:lineRule="exact"/>
      <w:ind w:firstLine="880" w:firstLineChars="200"/>
    </w:pPr>
    <w:rPr>
      <w:rFonts w:eastAsia="仿宋_GB2312"/>
      <w:sz w:val="32"/>
    </w:rPr>
  </w:style>
  <w:style w:type="paragraph" w:styleId="3">
    <w:name w:val="index 8"/>
    <w:basedOn w:val="1"/>
    <w:next w:val="1"/>
    <w:qFormat/>
    <w:uiPriority w:val="0"/>
    <w:pPr>
      <w:ind w:left="1400" w:leftChars="1400"/>
    </w:pPr>
  </w:style>
  <w:style w:type="paragraph" w:styleId="4">
    <w:name w:val="Plain Text"/>
    <w:basedOn w:val="1"/>
    <w:next w:val="3"/>
    <w:qFormat/>
    <w:uiPriority w:val="0"/>
    <w:rPr>
      <w:rFonts w:ascii="宋体" w:hAnsi="Courier New"/>
      <w:szCs w:val="21"/>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835</Words>
  <Characters>878</Characters>
  <Lines>0</Lines>
  <Paragraphs>0</Paragraphs>
  <TotalTime>0</TotalTime>
  <ScaleCrop>false</ScaleCrop>
  <LinksUpToDate>false</LinksUpToDate>
  <CharactersWithSpaces>941</CharactersWithSpaces>
  <Application>WPS Office_12.1.2.26885_F1E327BC-269C-435d-A152-05C5408002CA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2021-04-07T09:41:00Z</dcterms:created>
  <dc:creator>苏述超</dc:creator>
  <cp:lastModifiedBy>苏述超</cp:lastModifiedBy>
  <dcterms:modified xsi:type="dcterms:W3CDTF">2026-07-02T14:23:12Z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2052-12.1.2.26885</vt:lpwstr>
  </property>
  <property fmtid="{D5CDD505-2E9C-101B-9397-08002B2CF9AE}" pid="3" name="ICV">
    <vt:lpwstr>800C77DB2FB6444F81A178C03576ACFD</vt:lpwstr>
  </property>
  <property fmtid="{D5CDD505-2E9C-101B-9397-08002B2CF9AE}" pid="4" name="KSOTemplateDocerSaveRecord">
    <vt:lpwstr>eyJoZGlkIjoiZDVjOTM1OWRjMjJjZjIyOWE5NDg2NjkxMjM2N2UwOTciLCJ1c2VySWQiOiIyNjQ5OTkyIn0=</vt:lpwstr>
  </property>
</Properties>
</file>