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2026年医学检验试剂（第二批）</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LGQY2026HC0014</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7</w:t>
      </w:r>
      <w:r>
        <w:rPr>
          <w:rFonts w:hint="eastAsia"/>
          <w:b/>
          <w:sz w:val="30"/>
          <w:szCs w:val="30"/>
        </w:rPr>
        <w:t>月</w:t>
      </w:r>
      <w:r>
        <w:rPr>
          <w:rFonts w:hint="eastAsia"/>
          <w:b/>
          <w:sz w:val="30"/>
          <w:szCs w:val="30"/>
          <w:lang w:val="en-US" w:eastAsia="zh-CN"/>
        </w:rPr>
        <w:t>6</w:t>
      </w:r>
      <w:bookmarkStart w:id="6" w:name="_GoBack"/>
      <w:bookmarkEnd w:id="6"/>
      <w:r>
        <w:rPr>
          <w:rFonts w:hint="eastAsia"/>
          <w:b/>
          <w:sz w:val="30"/>
          <w:szCs w:val="30"/>
        </w:rPr>
        <w:t>日</w:t>
      </w:r>
      <w:bookmarkStart w:id="0" w:name="_Toc19727"/>
      <w:bookmarkStart w:id="1" w:name="_Toc17611"/>
      <w:bookmarkStart w:id="2" w:name="_Toc17358"/>
      <w:bookmarkStart w:id="3" w:name="_Toc31813"/>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深圳市龙岗区第七人民医院2026年医学检验试剂（第二批）</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LGQY2026HC0014</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深圳市龙岗区第七人民医院2026年医学检验试剂（第二批）</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LGQY2026HC0014</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highlight w:val="none"/>
        </w:rPr>
        <w:t>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64DE0654">
      <w:pPr>
        <w:pStyle w:val="2"/>
        <w:jc w:val="center"/>
        <w:rPr>
          <w:rFonts w:hint="default" w:ascii="仿宋_GB2312" w:hAnsi="仿宋_GB2312" w:eastAsia="仿宋_GB2312" w:cs="仿宋_GB2312"/>
          <w:b/>
          <w:sz w:val="52"/>
          <w:szCs w:val="192"/>
          <w:lang w:val="en-US" w:eastAsia="zh-CN" w:bidi="ar-SA"/>
        </w:rPr>
      </w:pPr>
      <w:r>
        <w:rPr>
          <w:rFonts w:hint="eastAsia" w:ascii="仿宋_GB2312" w:hAnsi="仿宋_GB2312" w:eastAsia="仿宋_GB2312" w:cs="仿宋_GB2312"/>
          <w:b/>
          <w:sz w:val="52"/>
          <w:szCs w:val="192"/>
          <w:lang w:val="en-US" w:eastAsia="zh-CN" w:bidi="ar-SA"/>
        </w:rPr>
        <w:t>XXX遴选项目</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en-US" w:eastAsia="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响应文件封面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1.每个产品的材料按“响应文件目录”所列顺序装订，并在每个所投产品材料的右上角编上采购目录序号。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3.响应文件目录内的资料可根据各公司的资质情况进行提供。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57" w:type="dxa"/>
        <w:tblInd w:w="0" w:type="dxa"/>
        <w:tblLayout w:type="autofit"/>
        <w:tblCellMar>
          <w:top w:w="0" w:type="dxa"/>
          <w:left w:w="0" w:type="dxa"/>
          <w:bottom w:w="0" w:type="dxa"/>
          <w:right w:w="0" w:type="dxa"/>
        </w:tblCellMar>
      </w:tblPr>
      <w:tblGrid>
        <w:gridCol w:w="308"/>
        <w:gridCol w:w="443"/>
        <w:gridCol w:w="848"/>
        <w:gridCol w:w="1274"/>
        <w:gridCol w:w="510"/>
        <w:gridCol w:w="443"/>
        <w:gridCol w:w="1396"/>
        <w:gridCol w:w="308"/>
        <w:gridCol w:w="308"/>
        <w:gridCol w:w="443"/>
        <w:gridCol w:w="443"/>
        <w:gridCol w:w="578"/>
        <w:gridCol w:w="1200"/>
        <w:gridCol w:w="1200"/>
        <w:gridCol w:w="1198"/>
        <w:gridCol w:w="1199"/>
        <w:gridCol w:w="578"/>
        <w:gridCol w:w="855"/>
        <w:gridCol w:w="930"/>
        <w:gridCol w:w="555"/>
        <w:gridCol w:w="240"/>
      </w:tblGrid>
      <w:tr w14:paraId="6305D855">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Cs/>
                <w:color w:val="auto"/>
                <w:spacing w:val="0"/>
                <w:kern w:val="0"/>
                <w:sz w:val="21"/>
                <w:szCs w:val="21"/>
                <w:lang w:val="en-US" w:eastAsia="zh-CN" w:bidi="ar-SA"/>
              </w:rPr>
              <w:t>投标产品情况表</w:t>
            </w:r>
          </w:p>
        </w:tc>
        <w:tc>
          <w:tcPr>
            <w:tcW w:w="1200" w:type="dxa"/>
            <w:tcBorders>
              <w:top w:val="single" w:color="000000" w:sz="4" w:space="0"/>
              <w:left w:val="single" w:color="000000" w:sz="4" w:space="0"/>
              <w:bottom w:val="nil"/>
              <w:right w:val="single" w:color="000000" w:sz="4" w:space="0"/>
            </w:tcBorders>
          </w:tcPr>
          <w:p w14:paraId="54EC6266">
            <w:pPr>
              <w:jc w:val="center"/>
              <w:rPr>
                <w:rFonts w:hint="eastAsia" w:ascii="仿宋_GB2312" w:hAnsi="仿宋_GB2312" w:eastAsia="仿宋_GB2312" w:cs="仿宋_GB2312"/>
                <w:bCs/>
                <w:color w:val="auto"/>
                <w:spacing w:val="0"/>
                <w:kern w:val="0"/>
                <w:sz w:val="21"/>
                <w:szCs w:val="21"/>
                <w:lang w:val="en-US" w:eastAsia="zh-CN" w:bidi="ar-SA"/>
              </w:rPr>
            </w:pPr>
          </w:p>
        </w:tc>
        <w:tc>
          <w:tcPr>
            <w:tcW w:w="1200" w:type="dxa"/>
            <w:tcBorders>
              <w:top w:val="single" w:color="000000" w:sz="4" w:space="0"/>
              <w:left w:val="single" w:color="000000" w:sz="4" w:space="0"/>
              <w:bottom w:val="nil"/>
              <w:right w:val="single" w:color="000000" w:sz="4" w:space="0"/>
            </w:tcBorders>
          </w:tcPr>
          <w:p w14:paraId="7CE23D2F">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nil"/>
              <w:right w:val="single" w:color="000000" w:sz="4" w:space="0"/>
            </w:tcBorders>
          </w:tcPr>
          <w:p w14:paraId="4B15AE28">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nil"/>
              <w:right w:val="single" w:color="000000" w:sz="4" w:space="0"/>
            </w:tcBorders>
          </w:tcPr>
          <w:p w14:paraId="17388D92">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nil"/>
              <w:right w:val="single" w:color="000000" w:sz="4" w:space="0"/>
            </w:tcBorders>
          </w:tcPr>
          <w:p w14:paraId="48518869">
            <w:pPr>
              <w:jc w:val="center"/>
              <w:rPr>
                <w:rFonts w:hint="eastAsia" w:ascii="仿宋_GB2312" w:hAnsi="仿宋_GB2312" w:eastAsia="仿宋_GB2312" w:cs="仿宋_GB2312"/>
                <w:bCs/>
                <w:color w:val="auto"/>
                <w:spacing w:val="0"/>
                <w:kern w:val="0"/>
                <w:sz w:val="21"/>
                <w:szCs w:val="21"/>
                <w:lang w:val="en-US" w:eastAsia="zh-CN" w:bidi="ar-SA"/>
              </w:rPr>
            </w:pPr>
          </w:p>
        </w:tc>
        <w:tc>
          <w:tcPr>
            <w:tcW w:w="555" w:type="dxa"/>
            <w:tcBorders>
              <w:top w:val="single" w:color="000000" w:sz="4" w:space="0"/>
              <w:left w:val="single" w:color="000000" w:sz="4" w:space="0"/>
              <w:bottom w:val="nil"/>
              <w:right w:val="single" w:color="000000" w:sz="4" w:space="0"/>
            </w:tcBorders>
          </w:tcPr>
          <w:p w14:paraId="65573256">
            <w:pPr>
              <w:jc w:val="center"/>
              <w:rPr>
                <w:rFonts w:hint="eastAsia" w:ascii="仿宋_GB2312" w:hAnsi="仿宋_GB2312" w:eastAsia="仿宋_GB2312" w:cs="仿宋_GB2312"/>
                <w:bCs/>
                <w:color w:val="auto"/>
                <w:spacing w:val="0"/>
                <w:kern w:val="0"/>
                <w:sz w:val="21"/>
                <w:szCs w:val="21"/>
                <w:lang w:val="en-US" w:eastAsia="zh-CN" w:bidi="ar-SA"/>
              </w:rPr>
            </w:pPr>
          </w:p>
        </w:tc>
        <w:tc>
          <w:tcPr>
            <w:tcW w:w="240" w:type="dxa"/>
            <w:tcBorders>
              <w:top w:val="single" w:color="000000" w:sz="4" w:space="0"/>
              <w:left w:val="single" w:color="000000" w:sz="4" w:space="0"/>
              <w:bottom w:val="nil"/>
              <w:right w:val="single" w:color="000000" w:sz="4" w:space="0"/>
            </w:tcBorders>
          </w:tcPr>
          <w:p w14:paraId="4488149E">
            <w:pPr>
              <w:jc w:val="center"/>
              <w:rPr>
                <w:rFonts w:hint="eastAsia" w:ascii="仿宋_GB2312" w:hAnsi="仿宋_GB2312" w:eastAsia="仿宋_GB2312" w:cs="仿宋_GB2312"/>
                <w:bCs/>
                <w:color w:val="auto"/>
                <w:spacing w:val="0"/>
                <w:kern w:val="0"/>
                <w:sz w:val="21"/>
                <w:szCs w:val="21"/>
                <w:lang w:val="en-US" w:eastAsia="zh-CN" w:bidi="ar-SA"/>
              </w:rPr>
            </w:pPr>
          </w:p>
        </w:tc>
      </w:tr>
      <w:tr w14:paraId="301C6345">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1"/>
                <w:szCs w:val="21"/>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试剂最小单位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试剂最小单位报价（元）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我院挂网最高限价（元）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7BCA">
            <w:pPr>
              <w:ind w:left="0" w:leftChars="0" w:firstLine="0" w:firstLineChars="0"/>
              <w:jc w:val="center"/>
              <w:rPr>
                <w:rFonts w:hint="default"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人份与最小单位换算关系</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981F">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计量单位人份单价（元）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0AE1">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0248">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0192">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收费单价（元）</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7379">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试剂成本占比（%）</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FDC9">
            <w:pPr>
              <w:ind w:left="0" w:leftChars="0" w:firstLine="0" w:firstLineChars="0"/>
              <w:jc w:val="center"/>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备注</w:t>
            </w:r>
          </w:p>
        </w:tc>
      </w:tr>
      <w:tr w14:paraId="33F42F2C">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default" w:ascii="仿宋_GB2312" w:hAnsi="仿宋_GB2312" w:eastAsia="仿宋_GB2312" w:cs="仿宋_GB2312"/>
                <w:bCs/>
                <w:color w:val="auto"/>
                <w:spacing w:val="0"/>
                <w:kern w:val="0"/>
                <w:sz w:val="21"/>
                <w:szCs w:val="21"/>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0DF">
            <w:pPr>
              <w:jc w:val="center"/>
              <w:rPr>
                <w:rFonts w:hint="eastAsia" w:ascii="仿宋_GB2312" w:hAnsi="仿宋_GB2312" w:eastAsia="仿宋_GB2312" w:cs="仿宋_GB2312"/>
                <w:bCs/>
                <w:color w:val="auto"/>
                <w:spacing w:val="0"/>
                <w:kern w:val="0"/>
                <w:sz w:val="21"/>
                <w:szCs w:val="21"/>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0C1F">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3212">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E7BA">
            <w:pPr>
              <w:jc w:val="center"/>
              <w:rPr>
                <w:rFonts w:hint="eastAsia" w:ascii="仿宋_GB2312" w:hAnsi="仿宋_GB2312" w:eastAsia="仿宋_GB2312" w:cs="仿宋_GB2312"/>
                <w:bCs/>
                <w:color w:val="auto"/>
                <w:spacing w:val="0"/>
                <w:kern w:val="0"/>
                <w:sz w:val="21"/>
                <w:szCs w:val="21"/>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2EA4">
            <w:pPr>
              <w:jc w:val="center"/>
              <w:rPr>
                <w:rFonts w:hint="eastAsia" w:ascii="仿宋_GB2312" w:hAnsi="仿宋_GB2312" w:eastAsia="仿宋_GB2312" w:cs="仿宋_GB2312"/>
                <w:bCs/>
                <w:color w:val="auto"/>
                <w:spacing w:val="0"/>
                <w:kern w:val="0"/>
                <w:sz w:val="21"/>
                <w:szCs w:val="21"/>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FE43">
            <w:pPr>
              <w:jc w:val="center"/>
              <w:rPr>
                <w:rFonts w:hint="eastAsia" w:ascii="仿宋_GB2312" w:hAnsi="仿宋_GB2312" w:eastAsia="仿宋_GB2312" w:cs="仿宋_GB2312"/>
                <w:bCs/>
                <w:color w:val="auto"/>
                <w:spacing w:val="0"/>
                <w:kern w:val="0"/>
                <w:sz w:val="21"/>
                <w:szCs w:val="21"/>
                <w:lang w:val="en-US" w:eastAsia="zh-CN"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47A">
            <w:pPr>
              <w:jc w:val="center"/>
              <w:rPr>
                <w:rFonts w:hint="eastAsia" w:ascii="仿宋_GB2312" w:hAnsi="仿宋_GB2312" w:eastAsia="仿宋_GB2312" w:cs="仿宋_GB2312"/>
                <w:bCs/>
                <w:color w:val="auto"/>
                <w:spacing w:val="0"/>
                <w:kern w:val="0"/>
                <w:sz w:val="21"/>
                <w:szCs w:val="21"/>
                <w:lang w:val="en-US" w:eastAsia="zh-CN" w:bidi="ar-SA"/>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1"/>
          <w:szCs w:val="21"/>
          <w:highlight w:val="none"/>
          <w:lang w:val="en-US" w:eastAsia="zh-CN" w:bidi="ar-SA"/>
        </w:rPr>
      </w:pPr>
      <w:r>
        <w:rPr>
          <w:rFonts w:hint="eastAsia" w:ascii="仿宋_GB2312" w:hAnsi="仿宋_GB2312" w:eastAsia="仿宋_GB2312" w:cs="仿宋_GB2312"/>
          <w:bCs/>
          <w:color w:val="auto"/>
          <w:spacing w:val="0"/>
          <w:kern w:val="0"/>
          <w:sz w:val="21"/>
          <w:szCs w:val="21"/>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1"/>
          <w:szCs w:val="21"/>
          <w:lang w:val="en-US" w:eastAsia="zh-CN" w:bidi="ar-SA"/>
        </w:rPr>
        <w:t>（可编辑EXCEL版）</w:t>
      </w:r>
      <w:r>
        <w:rPr>
          <w:rFonts w:hint="eastAsia" w:ascii="仿宋_GB2312" w:hAnsi="仿宋_GB2312" w:eastAsia="仿宋_GB2312" w:cs="仿宋_GB2312"/>
          <w:bCs/>
          <w:color w:val="auto"/>
          <w:spacing w:val="0"/>
          <w:kern w:val="0"/>
          <w:sz w:val="21"/>
          <w:szCs w:val="21"/>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2.此表不能出现任何合并单元格的情况，否则遴选现场无法筛选。</w:t>
      </w:r>
    </w:p>
    <w:p w14:paraId="7D9B853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3.该表提供的信息将作为签订合同的依据，如有错误或漏写，后果责任自负，提交后不得随意更改。</w:t>
      </w:r>
    </w:p>
    <w:p w14:paraId="0F22B2AB">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4.“我院挂网最高限价（元）”为本院实际挂出的采购限价，即投标产品不得高于此价格。若某产品我院未挂出具体限价，则该列填“/”。</w:t>
      </w:r>
    </w:p>
    <w:p w14:paraId="2F6FBD57">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5.“收费项目编码、收费项目（名称）、收费单价（元）、试剂成本占比（%）”为成本核算栏，试剂必填。</w:t>
      </w: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pacing w:val="0"/>
          <w:kern w:val="0"/>
          <w:sz w:val="21"/>
          <w:szCs w:val="21"/>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5000" w:type="pct"/>
        <w:tblInd w:w="0" w:type="dxa"/>
        <w:tblLayout w:type="autofit"/>
        <w:tblCellMar>
          <w:top w:w="0" w:type="dxa"/>
          <w:left w:w="108" w:type="dxa"/>
          <w:bottom w:w="0" w:type="dxa"/>
          <w:right w:w="108" w:type="dxa"/>
        </w:tblCellMar>
      </w:tblPr>
      <w:tblGrid>
        <w:gridCol w:w="445"/>
        <w:gridCol w:w="1056"/>
        <w:gridCol w:w="867"/>
        <w:gridCol w:w="891"/>
        <w:gridCol w:w="514"/>
        <w:gridCol w:w="490"/>
        <w:gridCol w:w="944"/>
        <w:gridCol w:w="445"/>
        <w:gridCol w:w="445"/>
        <w:gridCol w:w="490"/>
        <w:gridCol w:w="490"/>
        <w:gridCol w:w="535"/>
        <w:gridCol w:w="1022"/>
        <w:gridCol w:w="1022"/>
        <w:gridCol w:w="666"/>
        <w:gridCol w:w="1022"/>
        <w:gridCol w:w="535"/>
        <w:gridCol w:w="768"/>
        <w:gridCol w:w="968"/>
        <w:gridCol w:w="873"/>
        <w:gridCol w:w="448"/>
      </w:tblGrid>
      <w:tr w14:paraId="2F872CD7">
        <w:tblPrEx>
          <w:tblCellMar>
            <w:top w:w="0" w:type="dxa"/>
            <w:left w:w="108" w:type="dxa"/>
            <w:bottom w:w="0" w:type="dxa"/>
            <w:right w:w="108" w:type="dxa"/>
          </w:tblCellMar>
        </w:tblPrEx>
        <w:trPr>
          <w:trHeight w:val="605" w:hRule="atLeast"/>
        </w:trPr>
        <w:tc>
          <w:tcPr>
            <w:tcW w:w="455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817003B">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产品最终报价表</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398F">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FE7A">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p>
        </w:tc>
      </w:tr>
      <w:tr w14:paraId="21E84C66">
        <w:tblPrEx>
          <w:tblCellMar>
            <w:top w:w="0" w:type="dxa"/>
            <w:left w:w="108" w:type="dxa"/>
            <w:bottom w:w="0" w:type="dxa"/>
            <w:right w:w="108" w:type="dxa"/>
          </w:tblCellMar>
        </w:tblPrEx>
        <w:trPr>
          <w:trHeight w:val="348" w:hRule="atLeast"/>
        </w:trPr>
        <w:tc>
          <w:tcPr>
            <w:tcW w:w="149" w:type="pct"/>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序号</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试剂名称</w:t>
            </w:r>
          </w:p>
        </w:tc>
        <w:tc>
          <w:tcPr>
            <w:tcW w:w="290" w:type="pct"/>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深圳医用耗材阳光交易和监管平台交易产品代码</w:t>
            </w:r>
          </w:p>
        </w:tc>
        <w:tc>
          <w:tcPr>
            <w:tcW w:w="298" w:type="pct"/>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国家医保编码（填写27位数）</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注册证名称</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注册证号</w:t>
            </w:r>
          </w:p>
        </w:tc>
        <w:tc>
          <w:tcPr>
            <w:tcW w:w="316" w:type="pct"/>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注册证规格型号（与产品包装一致）</w:t>
            </w:r>
          </w:p>
        </w:tc>
        <w:tc>
          <w:tcPr>
            <w:tcW w:w="149" w:type="pct"/>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品牌</w:t>
            </w:r>
          </w:p>
        </w:tc>
        <w:tc>
          <w:tcPr>
            <w:tcW w:w="149" w:type="pct"/>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产地</w:t>
            </w:r>
          </w:p>
        </w:tc>
        <w:tc>
          <w:tcPr>
            <w:tcW w:w="164" w:type="pct"/>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生产厂家</w:t>
            </w:r>
          </w:p>
        </w:tc>
        <w:tc>
          <w:tcPr>
            <w:tcW w:w="164" w:type="pct"/>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包装说明</w:t>
            </w:r>
          </w:p>
        </w:tc>
        <w:tc>
          <w:tcPr>
            <w:tcW w:w="179" w:type="pct"/>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default"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试剂最小单位</w:t>
            </w:r>
          </w:p>
        </w:tc>
        <w:tc>
          <w:tcPr>
            <w:tcW w:w="342" w:type="pct"/>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试剂最小单位报价（元）</w:t>
            </w:r>
          </w:p>
        </w:tc>
        <w:tc>
          <w:tcPr>
            <w:tcW w:w="342" w:type="pct"/>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我院挂网最高限价（元）</w:t>
            </w:r>
          </w:p>
        </w:tc>
        <w:tc>
          <w:tcPr>
            <w:tcW w:w="223" w:type="pct"/>
            <w:tcBorders>
              <w:top w:val="single" w:color="000000" w:sz="4" w:space="0"/>
              <w:left w:val="single" w:color="000000" w:sz="4" w:space="0"/>
              <w:right w:val="single" w:color="000000" w:sz="4" w:space="0"/>
            </w:tcBorders>
            <w:shd w:val="clear" w:color="auto" w:fill="auto"/>
            <w:vAlign w:val="center"/>
          </w:tcPr>
          <w:p w14:paraId="73A133D8">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ascii="Segoe UI" w:hAnsi="Segoe UI" w:eastAsia="Segoe UI" w:cs="Segoe UI"/>
                <w:i w:val="0"/>
                <w:iCs w:val="0"/>
                <w:caps w:val="0"/>
                <w:color w:val="0F1115"/>
                <w:spacing w:val="0"/>
                <w:sz w:val="22"/>
                <w:szCs w:val="22"/>
                <w:shd w:val="clear" w:fill="FFFFFF"/>
              </w:rPr>
              <w:t>人份与最小单位换算关系</w:t>
            </w:r>
          </w:p>
        </w:tc>
        <w:tc>
          <w:tcPr>
            <w:tcW w:w="342" w:type="pct"/>
            <w:tcBorders>
              <w:top w:val="single" w:color="000000" w:sz="4" w:space="0"/>
              <w:left w:val="single" w:color="000000" w:sz="4" w:space="0"/>
              <w:right w:val="single" w:color="000000" w:sz="4" w:space="0"/>
            </w:tcBorders>
            <w:shd w:val="clear" w:color="auto" w:fill="auto"/>
            <w:vAlign w:val="center"/>
          </w:tcPr>
          <w:p w14:paraId="4F7CBBCA">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color w:val="auto"/>
                <w:spacing w:val="0"/>
                <w:kern w:val="0"/>
                <w:sz w:val="21"/>
                <w:szCs w:val="21"/>
                <w:lang w:val="en-US" w:eastAsia="zh-CN" w:bidi="ar-SA"/>
              </w:rPr>
              <w:t>计量单位人份报价（元）</w:t>
            </w:r>
          </w:p>
        </w:tc>
        <w:tc>
          <w:tcPr>
            <w:tcW w:w="179" w:type="pct"/>
            <w:tcBorders>
              <w:top w:val="single" w:color="000000" w:sz="4" w:space="0"/>
              <w:left w:val="single" w:color="000000" w:sz="4" w:space="0"/>
              <w:right w:val="single" w:color="000000" w:sz="4" w:space="0"/>
            </w:tcBorders>
            <w:shd w:val="clear" w:color="auto" w:fill="auto"/>
            <w:vAlign w:val="center"/>
          </w:tcPr>
          <w:p w14:paraId="504E868E">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收费项目编码</w:t>
            </w:r>
          </w:p>
        </w:tc>
        <w:tc>
          <w:tcPr>
            <w:tcW w:w="257" w:type="pct"/>
            <w:tcBorders>
              <w:top w:val="single" w:color="000000" w:sz="4" w:space="0"/>
              <w:left w:val="single" w:color="000000" w:sz="4" w:space="0"/>
              <w:right w:val="single" w:color="000000" w:sz="4" w:space="0"/>
            </w:tcBorders>
            <w:shd w:val="clear" w:color="auto" w:fill="auto"/>
            <w:vAlign w:val="center"/>
          </w:tcPr>
          <w:p w14:paraId="2E8D0A4F">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收费项目（名称）</w:t>
            </w:r>
          </w:p>
        </w:tc>
        <w:tc>
          <w:tcPr>
            <w:tcW w:w="313" w:type="pct"/>
            <w:tcBorders>
              <w:top w:val="single" w:color="000000" w:sz="4" w:space="0"/>
              <w:left w:val="single" w:color="000000" w:sz="4" w:space="0"/>
              <w:right w:val="single" w:color="000000" w:sz="4" w:space="0"/>
            </w:tcBorders>
            <w:shd w:val="clear" w:color="auto" w:fill="auto"/>
            <w:vAlign w:val="center"/>
          </w:tcPr>
          <w:p w14:paraId="7F6E9818">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收费单价（元）</w:t>
            </w:r>
          </w:p>
        </w:tc>
        <w:tc>
          <w:tcPr>
            <w:tcW w:w="292" w:type="pct"/>
            <w:tcBorders>
              <w:top w:val="single" w:color="000000" w:sz="4" w:space="0"/>
              <w:left w:val="single" w:color="000000" w:sz="4" w:space="0"/>
              <w:right w:val="single" w:color="000000" w:sz="4" w:space="0"/>
            </w:tcBorders>
            <w:shd w:val="clear" w:color="auto" w:fill="auto"/>
            <w:vAlign w:val="center"/>
          </w:tcPr>
          <w:p w14:paraId="50CBE2DA">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试剂成本占比（%）</w:t>
            </w:r>
          </w:p>
        </w:tc>
        <w:tc>
          <w:tcPr>
            <w:tcW w:w="150" w:type="pct"/>
            <w:tcBorders>
              <w:top w:val="single" w:color="000000" w:sz="4" w:space="0"/>
              <w:left w:val="single" w:color="000000" w:sz="4" w:space="0"/>
              <w:right w:val="single" w:color="000000" w:sz="4" w:space="0"/>
            </w:tcBorders>
            <w:shd w:val="clear" w:color="auto" w:fill="auto"/>
            <w:vAlign w:val="center"/>
          </w:tcPr>
          <w:p w14:paraId="7374B604">
            <w:pPr>
              <w:widowControl/>
              <w:ind w:left="0" w:leftChars="0"/>
              <w:jc w:val="center"/>
              <w:textAlignment w:val="center"/>
              <w:rPr>
                <w:rFonts w:hint="eastAsia" w:ascii="仿宋_GB2312" w:hAnsi="仿宋_GB2312" w:eastAsia="仿宋_GB2312" w:cs="仿宋_GB2312"/>
                <w:bCs/>
                <w:spacing w:val="0"/>
                <w:kern w:val="0"/>
                <w:sz w:val="21"/>
                <w:szCs w:val="21"/>
                <w:lang w:val="en-US" w:eastAsia="zh-CN" w:bidi="ar-SA"/>
              </w:rPr>
            </w:pPr>
            <w:r>
              <w:rPr>
                <w:rFonts w:hint="eastAsia" w:ascii="仿宋_GB2312" w:hAnsi="仿宋_GB2312" w:eastAsia="仿宋_GB2312" w:cs="仿宋_GB2312"/>
                <w:bCs/>
                <w:spacing w:val="0"/>
                <w:kern w:val="0"/>
                <w:sz w:val="21"/>
                <w:szCs w:val="21"/>
                <w:lang w:val="en-US" w:eastAsia="zh-CN" w:bidi="ar-SA"/>
              </w:rPr>
              <w:t>备注</w:t>
            </w:r>
          </w:p>
        </w:tc>
      </w:tr>
      <w:tr w14:paraId="12541FF6">
        <w:tblPrEx>
          <w:tblCellMar>
            <w:top w:w="0" w:type="dxa"/>
            <w:left w:w="108" w:type="dxa"/>
            <w:bottom w:w="0" w:type="dxa"/>
            <w:right w:w="108" w:type="dxa"/>
          </w:tblCellMar>
        </w:tblPrEx>
        <w:trPr>
          <w:trHeight w:val="348" w:hRule="atLeast"/>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1"/>
                <w:szCs w:val="21"/>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1"/>
                <w:szCs w:val="21"/>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1"/>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1"/>
                <w:szCs w:val="21"/>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1"/>
                <w:szCs w:val="2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1"/>
                <w:szCs w:val="2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1"/>
                <w:szCs w:val="21"/>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1"/>
                <w:szCs w:val="21"/>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F363">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483">
            <w:pPr>
              <w:jc w:val="center"/>
              <w:rPr>
                <w:rFonts w:hint="eastAsia" w:ascii="仿宋_GB2312" w:hAnsi="仿宋_GB2312" w:eastAsia="仿宋_GB2312" w:cs="仿宋_GB2312"/>
                <w:color w:val="000000"/>
                <w:sz w:val="21"/>
                <w:szCs w:val="21"/>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F1BD">
            <w:pPr>
              <w:jc w:val="center"/>
              <w:rPr>
                <w:rFonts w:hint="eastAsia" w:ascii="仿宋_GB2312" w:hAnsi="仿宋_GB2312" w:eastAsia="仿宋_GB2312" w:cs="仿宋_GB2312"/>
                <w:color w:val="000000"/>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EB69">
            <w:pPr>
              <w:jc w:val="center"/>
              <w:rPr>
                <w:rFonts w:hint="eastAsia" w:ascii="仿宋_GB2312" w:hAnsi="仿宋_GB2312" w:eastAsia="仿宋_GB2312" w:cs="仿宋_GB2312"/>
                <w:color w:val="000000"/>
                <w:sz w:val="21"/>
                <w:szCs w:val="21"/>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5A3F">
            <w:pPr>
              <w:jc w:val="center"/>
              <w:rPr>
                <w:rFonts w:hint="eastAsia" w:ascii="仿宋_GB2312" w:hAnsi="仿宋_GB2312" w:eastAsia="仿宋_GB2312" w:cs="仿宋_GB2312"/>
                <w:color w:val="000000"/>
                <w:sz w:val="21"/>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543F">
            <w:pPr>
              <w:jc w:val="center"/>
              <w:rPr>
                <w:rFonts w:hint="eastAsia" w:ascii="仿宋_GB2312" w:hAnsi="仿宋_GB2312" w:eastAsia="仿宋_GB2312" w:cs="仿宋_GB2312"/>
                <w:color w:val="000000"/>
                <w:sz w:val="21"/>
                <w:szCs w:val="21"/>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74E8">
            <w:pPr>
              <w:jc w:val="center"/>
              <w:rPr>
                <w:rFonts w:hint="eastAsia" w:ascii="仿宋_GB2312" w:hAnsi="仿宋_GB2312" w:eastAsia="仿宋_GB2312" w:cs="仿宋_GB2312"/>
                <w:color w:val="000000"/>
                <w:sz w:val="21"/>
                <w:szCs w:val="21"/>
              </w:rPr>
            </w:pPr>
          </w:p>
        </w:tc>
      </w:tr>
      <w:tr w14:paraId="7A27ACCB">
        <w:tblPrEx>
          <w:tblCellMar>
            <w:top w:w="0" w:type="dxa"/>
            <w:left w:w="108" w:type="dxa"/>
            <w:bottom w:w="0" w:type="dxa"/>
            <w:right w:w="108" w:type="dxa"/>
          </w:tblCellMar>
        </w:tblPrEx>
        <w:trPr>
          <w:trHeight w:val="377" w:hRule="atLeast"/>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1"/>
                <w:szCs w:val="21"/>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1"/>
                <w:szCs w:val="21"/>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1"/>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1"/>
                <w:szCs w:val="21"/>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1"/>
                <w:szCs w:val="2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1"/>
                <w:szCs w:val="21"/>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1"/>
                <w:szCs w:val="21"/>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1"/>
                <w:szCs w:val="21"/>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1"/>
                <w:szCs w:val="21"/>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6370">
            <w:pPr>
              <w:jc w:val="center"/>
              <w:rPr>
                <w:rFonts w:hint="eastAsia" w:ascii="仿宋_GB2312" w:hAnsi="仿宋_GB2312" w:eastAsia="仿宋_GB2312" w:cs="仿宋_GB2312"/>
                <w:color w:val="000000"/>
                <w:sz w:val="21"/>
                <w:szCs w:val="21"/>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3138">
            <w:pPr>
              <w:jc w:val="center"/>
              <w:rPr>
                <w:rFonts w:hint="eastAsia" w:ascii="仿宋_GB2312" w:hAnsi="仿宋_GB2312" w:eastAsia="仿宋_GB2312" w:cs="仿宋_GB2312"/>
                <w:color w:val="000000"/>
                <w:sz w:val="21"/>
                <w:szCs w:val="21"/>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B3FE">
            <w:pPr>
              <w:jc w:val="center"/>
              <w:rPr>
                <w:rFonts w:hint="eastAsia" w:ascii="仿宋_GB2312" w:hAnsi="仿宋_GB2312" w:eastAsia="仿宋_GB2312" w:cs="仿宋_GB2312"/>
                <w:color w:val="000000"/>
                <w:sz w:val="21"/>
                <w:szCs w:val="21"/>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E6BE">
            <w:pPr>
              <w:jc w:val="center"/>
              <w:rPr>
                <w:rFonts w:hint="eastAsia" w:ascii="仿宋_GB2312" w:hAnsi="仿宋_GB2312" w:eastAsia="仿宋_GB2312" w:cs="仿宋_GB2312"/>
                <w:color w:val="000000"/>
                <w:sz w:val="21"/>
                <w:szCs w:val="21"/>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90C9">
            <w:pPr>
              <w:jc w:val="center"/>
              <w:rPr>
                <w:rFonts w:hint="eastAsia" w:ascii="仿宋_GB2312" w:hAnsi="仿宋_GB2312" w:eastAsia="仿宋_GB2312" w:cs="仿宋_GB2312"/>
                <w:color w:val="000000"/>
                <w:sz w:val="21"/>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BBCD">
            <w:pPr>
              <w:jc w:val="center"/>
              <w:rPr>
                <w:rFonts w:hint="eastAsia" w:ascii="仿宋_GB2312" w:hAnsi="仿宋_GB2312" w:eastAsia="仿宋_GB2312" w:cs="仿宋_GB2312"/>
                <w:color w:val="000000"/>
                <w:sz w:val="21"/>
                <w:szCs w:val="21"/>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4D77">
            <w:pPr>
              <w:jc w:val="center"/>
              <w:rPr>
                <w:rFonts w:hint="eastAsia" w:ascii="仿宋_GB2312" w:hAnsi="仿宋_GB2312" w:eastAsia="仿宋_GB2312" w:cs="仿宋_GB2312"/>
                <w:color w:val="000000"/>
                <w:sz w:val="21"/>
                <w:szCs w:val="21"/>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4C4BDA20">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5.“我院挂网最高限价（元）”为本院实际挂出的采购限价，即投标产品不得高于此价格。若某产品我院未挂出具体限价，则该列填“/”。</w:t>
      </w:r>
    </w:p>
    <w:p w14:paraId="3CAC7CD2">
      <w:pPr>
        <w:pStyle w:val="23"/>
        <w:numPr>
          <w:ilvl w:val="0"/>
          <w:numId w:val="0"/>
        </w:numPr>
        <w:snapToGrid/>
        <w:spacing w:before="0" w:beforeAutospacing="0" w:after="0" w:afterAutospacing="0" w:line="560" w:lineRule="exact"/>
        <w:ind w:left="360" w:leftChars="0" w:right="0" w:rightChars="0"/>
        <w:jc w:val="left"/>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6.“收费项目编码、收费项目（名称）、收费单价（元）、试剂成本占比（%）”为成本核算栏，试剂必填。</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ind w:left="0" w:leftChars="0" w:firstLine="0" w:firstLineChars="0"/>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890120EC-D807-495C-A7DE-E9293F9CCBF0}"/>
  </w:font>
  <w:font w:name="华文中宋">
    <w:panose1 w:val="02010600040101010101"/>
    <w:charset w:val="86"/>
    <w:family w:val="auto"/>
    <w:pitch w:val="default"/>
    <w:sig w:usb0="00000287" w:usb1="080F0000" w:usb2="00000000" w:usb3="00000000" w:csb0="0004009F" w:csb1="DFD70000"/>
    <w:embedRegular r:id="rId2" w:fontKey="{2CD1200E-B97D-42E9-A2A4-1405C5EF625A}"/>
  </w:font>
  <w:font w:name="方正小标宋简体">
    <w:panose1 w:val="02000000000000000000"/>
    <w:charset w:val="86"/>
    <w:family w:val="auto"/>
    <w:pitch w:val="default"/>
    <w:sig w:usb0="A00002BF" w:usb1="184F6CFA" w:usb2="00000012" w:usb3="00000000" w:csb0="00040001" w:csb1="00000000"/>
    <w:embedRegular r:id="rId3" w:fontKey="{6818F04E-4D34-454C-A6A9-17E7F1835E59}"/>
  </w:font>
  <w:font w:name="仿宋">
    <w:panose1 w:val="02010609060101010101"/>
    <w:charset w:val="86"/>
    <w:family w:val="auto"/>
    <w:pitch w:val="default"/>
    <w:sig w:usb0="800002BF" w:usb1="38CF7CFA" w:usb2="00000016" w:usb3="00000000" w:csb0="00040001" w:csb1="00000000"/>
    <w:embedRegular r:id="rId4" w:fontKey="{950584A7-4802-4E8A-8434-8784A992E126}"/>
  </w:font>
  <w:font w:name="Segoe UI">
    <w:panose1 w:val="020B0502040204020203"/>
    <w:charset w:val="00"/>
    <w:family w:val="auto"/>
    <w:pitch w:val="default"/>
    <w:sig w:usb0="E4002EFF" w:usb1="C000E47F" w:usb2="00000009" w:usb3="00000000" w:csb0="200001FF" w:csb1="00000000"/>
    <w:embedRegular r:id="rId5" w:fontKey="{576CA8A2-C1A5-4AD3-82FB-89136C6C5B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2CB7F49"/>
    <w:rsid w:val="030652A3"/>
    <w:rsid w:val="03990C42"/>
    <w:rsid w:val="03B76F8D"/>
    <w:rsid w:val="03C52DA0"/>
    <w:rsid w:val="0443123E"/>
    <w:rsid w:val="046D1743"/>
    <w:rsid w:val="047D1717"/>
    <w:rsid w:val="04E5327A"/>
    <w:rsid w:val="055B2863"/>
    <w:rsid w:val="059E7D86"/>
    <w:rsid w:val="05C933F6"/>
    <w:rsid w:val="063E0A32"/>
    <w:rsid w:val="064253DE"/>
    <w:rsid w:val="06BB4119"/>
    <w:rsid w:val="06D501D8"/>
    <w:rsid w:val="07333482"/>
    <w:rsid w:val="081C157F"/>
    <w:rsid w:val="08421C7B"/>
    <w:rsid w:val="08DE62F9"/>
    <w:rsid w:val="09ED57F3"/>
    <w:rsid w:val="0A125B09"/>
    <w:rsid w:val="0A746F89"/>
    <w:rsid w:val="0AC7775B"/>
    <w:rsid w:val="0AE95F05"/>
    <w:rsid w:val="0B107941"/>
    <w:rsid w:val="0B481F4B"/>
    <w:rsid w:val="0B9B0A49"/>
    <w:rsid w:val="0BCB0294"/>
    <w:rsid w:val="0BDA3B98"/>
    <w:rsid w:val="0C82125C"/>
    <w:rsid w:val="0DC12E15"/>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61C6CAE"/>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2E5A62"/>
    <w:rsid w:val="239475F2"/>
    <w:rsid w:val="23D70D80"/>
    <w:rsid w:val="24A5440E"/>
    <w:rsid w:val="24B404DD"/>
    <w:rsid w:val="24E34BBB"/>
    <w:rsid w:val="252B2217"/>
    <w:rsid w:val="254C059B"/>
    <w:rsid w:val="255B4007"/>
    <w:rsid w:val="25FA6B85"/>
    <w:rsid w:val="263B7F0E"/>
    <w:rsid w:val="283E772A"/>
    <w:rsid w:val="28D64DCE"/>
    <w:rsid w:val="297B5BDB"/>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9652B7"/>
    <w:rsid w:val="2FE70360"/>
    <w:rsid w:val="309549A7"/>
    <w:rsid w:val="30C272A7"/>
    <w:rsid w:val="30EC2733"/>
    <w:rsid w:val="30F630BF"/>
    <w:rsid w:val="312A215B"/>
    <w:rsid w:val="326B1038"/>
    <w:rsid w:val="32807B59"/>
    <w:rsid w:val="33DE722D"/>
    <w:rsid w:val="34012F1B"/>
    <w:rsid w:val="347164DD"/>
    <w:rsid w:val="34D022F4"/>
    <w:rsid w:val="34F366F2"/>
    <w:rsid w:val="352567D5"/>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C5779D"/>
    <w:rsid w:val="3E265AA9"/>
    <w:rsid w:val="3E5C3A82"/>
    <w:rsid w:val="3EF029D2"/>
    <w:rsid w:val="3F5D2E5B"/>
    <w:rsid w:val="3FE61852"/>
    <w:rsid w:val="402C28CD"/>
    <w:rsid w:val="407B57BE"/>
    <w:rsid w:val="41C030E4"/>
    <w:rsid w:val="424D0665"/>
    <w:rsid w:val="424E59CB"/>
    <w:rsid w:val="426262E7"/>
    <w:rsid w:val="426A04D6"/>
    <w:rsid w:val="43097368"/>
    <w:rsid w:val="44432D59"/>
    <w:rsid w:val="4558564E"/>
    <w:rsid w:val="45FA4D69"/>
    <w:rsid w:val="46046FDC"/>
    <w:rsid w:val="460546D3"/>
    <w:rsid w:val="461B1594"/>
    <w:rsid w:val="469E26A1"/>
    <w:rsid w:val="46DE51DD"/>
    <w:rsid w:val="46E50DAB"/>
    <w:rsid w:val="477E6905"/>
    <w:rsid w:val="47937E52"/>
    <w:rsid w:val="4802041C"/>
    <w:rsid w:val="4816167C"/>
    <w:rsid w:val="48437CAF"/>
    <w:rsid w:val="4900334A"/>
    <w:rsid w:val="492E7EB7"/>
    <w:rsid w:val="49C9299D"/>
    <w:rsid w:val="4A49144C"/>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2F65EE9"/>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0201C2"/>
    <w:rsid w:val="57451C9D"/>
    <w:rsid w:val="57601B83"/>
    <w:rsid w:val="57725AC3"/>
    <w:rsid w:val="583B7EFB"/>
    <w:rsid w:val="584E5272"/>
    <w:rsid w:val="59444935"/>
    <w:rsid w:val="598633F7"/>
    <w:rsid w:val="59EC2D0B"/>
    <w:rsid w:val="5A383479"/>
    <w:rsid w:val="5A513A45"/>
    <w:rsid w:val="5AB23980"/>
    <w:rsid w:val="5B3E7F44"/>
    <w:rsid w:val="5B89002A"/>
    <w:rsid w:val="5B936D58"/>
    <w:rsid w:val="5BDE576D"/>
    <w:rsid w:val="5C0D453C"/>
    <w:rsid w:val="5C4A4BB0"/>
    <w:rsid w:val="5C6F1BC3"/>
    <w:rsid w:val="5C7572BF"/>
    <w:rsid w:val="5CCA3EEF"/>
    <w:rsid w:val="5CE3055E"/>
    <w:rsid w:val="5D0D455B"/>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5F8396A"/>
    <w:rsid w:val="772D4DA3"/>
    <w:rsid w:val="774B7D02"/>
    <w:rsid w:val="77F12D06"/>
    <w:rsid w:val="77FC1347"/>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3821</Words>
  <Characters>4010</Characters>
  <Lines>73</Lines>
  <Paragraphs>20</Paragraphs>
  <TotalTime>6</TotalTime>
  <ScaleCrop>false</ScaleCrop>
  <LinksUpToDate>false</LinksUpToDate>
  <CharactersWithSpaces>4224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2026-06-12T07:59:00Z</cp:lastPrinted>
  <dcterms:modified xsi:type="dcterms:W3CDTF">2026-07-06T06:18:06Z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eyJoZGlkIjoiZDY3MmFiMzBhMDRhNTk3MDg2Njg1MDkwNDljODc1OGYiLCJ1c2VySWQiOiI0MDAwMTU5MTEifQ==</vt:lpwstr>
  </property>
</Properties>
</file>