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Lines w:val="0"/>
        <w:pageBreakBefore w:val="0"/>
        <w:kinsoku/>
        <w:wordWrap/>
        <w:overflowPunct/>
        <w:topLinePunct w:val="0"/>
        <w:bidi w:val="0"/>
        <w:spacing w:line="560" w:lineRule="exact"/>
        <w:rPr>
          <w:color w:val="auto"/>
          <w:sz w:val="18"/>
          <w:szCs w:val="18"/>
          <w:highlight w:val="none"/>
        </w:rPr>
      </w:pPr>
    </w:p>
    <w:p>
      <w:pPr>
        <w:keepLines w:val="0"/>
        <w:pageBreakBefore w:val="0"/>
        <w:kinsoku/>
        <w:wordWrap/>
        <w:overflowPunct/>
        <w:topLinePunct w:val="0"/>
        <w:bidi w:val="0"/>
        <w:spacing w:line="560" w:lineRule="exact"/>
        <w:jc w:val="center"/>
        <w:rPr>
          <w:rFonts w:ascii="宋体" w:hAnsi="宋体"/>
          <w:b/>
          <w:bCs/>
          <w:color w:val="auto"/>
          <w:sz w:val="44"/>
          <w:highlight w:val="none"/>
        </w:rPr>
      </w:pPr>
      <w:r>
        <w:rPr>
          <w:rFonts w:hint="eastAsia" w:ascii="宋体" w:hAnsi="宋体"/>
          <w:b/>
          <w:bCs/>
          <w:color w:val="auto"/>
          <w:sz w:val="44"/>
          <w:highlight w:val="none"/>
        </w:rPr>
        <w:t>深圳市龙岗区第七人民医院</w:t>
      </w:r>
    </w:p>
    <w:p>
      <w:pPr>
        <w:keepLines w:val="0"/>
        <w:pageBreakBefore w:val="0"/>
        <w:kinsoku/>
        <w:wordWrap/>
        <w:overflowPunct/>
        <w:topLinePunct w:val="0"/>
        <w:bidi w:val="0"/>
        <w:spacing w:line="560" w:lineRule="exact"/>
        <w:jc w:val="center"/>
        <w:rPr>
          <w:rFonts w:ascii="宋体" w:hAnsi="宋体"/>
          <w:b/>
          <w:bCs/>
          <w:color w:val="auto"/>
          <w:sz w:val="44"/>
          <w:highlight w:val="none"/>
        </w:rPr>
      </w:pPr>
      <w:r>
        <w:rPr>
          <w:rFonts w:hint="eastAsia" w:ascii="宋体" w:hAnsi="宋体"/>
          <w:b/>
          <w:bCs/>
          <w:color w:val="auto"/>
          <w:sz w:val="44"/>
          <w:highlight w:val="none"/>
        </w:rPr>
        <w:t>院内采购标书</w:t>
      </w:r>
    </w:p>
    <w:p>
      <w:pPr>
        <w:keepLines w:val="0"/>
        <w:pageBreakBefore w:val="0"/>
        <w:kinsoku/>
        <w:wordWrap/>
        <w:overflowPunct/>
        <w:topLinePunct w:val="0"/>
        <w:bidi w:val="0"/>
        <w:spacing w:line="560" w:lineRule="exact"/>
        <w:jc w:val="center"/>
        <w:rPr>
          <w:rFonts w:ascii="宋体" w:hAnsi="宋体"/>
          <w:b/>
          <w:bCs/>
          <w:color w:val="auto"/>
          <w:sz w:val="44"/>
          <w:highlight w:val="none"/>
        </w:rPr>
      </w:pPr>
    </w:p>
    <w:p>
      <w:pPr>
        <w:keepLines w:val="0"/>
        <w:pageBreakBefore w:val="0"/>
        <w:kinsoku/>
        <w:wordWrap/>
        <w:overflowPunct/>
        <w:topLinePunct w:val="0"/>
        <w:bidi w:val="0"/>
        <w:spacing w:line="560" w:lineRule="exact"/>
        <w:jc w:val="center"/>
        <w:rPr>
          <w:rFonts w:ascii="宋体" w:hAnsi="宋体"/>
          <w:b/>
          <w:bCs/>
          <w:color w:val="auto"/>
          <w:sz w:val="44"/>
          <w:highlight w:val="none"/>
        </w:rPr>
      </w:pPr>
      <w:r>
        <w:rPr>
          <w:rFonts w:hint="eastAsia" w:ascii="宋体" w:hAnsi="宋体"/>
          <w:b/>
          <w:bCs/>
          <w:color w:val="auto"/>
          <w:sz w:val="44"/>
          <w:highlight w:val="none"/>
        </w:rPr>
        <w:t>招标文件信息</w:t>
      </w:r>
    </w:p>
    <w:p>
      <w:pPr>
        <w:keepLines w:val="0"/>
        <w:pageBreakBefore w:val="0"/>
        <w:kinsoku/>
        <w:wordWrap/>
        <w:overflowPunct/>
        <w:topLinePunct w:val="0"/>
        <w:bidi w:val="0"/>
        <w:spacing w:line="560" w:lineRule="exact"/>
        <w:jc w:val="center"/>
        <w:rPr>
          <w:rFonts w:ascii="宋体" w:hAnsi="宋体"/>
          <w:b/>
          <w:bCs/>
          <w:color w:val="auto"/>
          <w:sz w:val="44"/>
          <w:highlight w:val="none"/>
        </w:rPr>
      </w:pPr>
    </w:p>
    <w:p>
      <w:pPr>
        <w:keepLines w:val="0"/>
        <w:pageBreakBefore w:val="0"/>
        <w:kinsoku/>
        <w:wordWrap/>
        <w:overflowPunct/>
        <w:topLinePunct w:val="0"/>
        <w:bidi w:val="0"/>
        <w:snapToGrid w:val="0"/>
        <w:spacing w:line="560" w:lineRule="exact"/>
        <w:rPr>
          <w:rFonts w:hint="eastAsia" w:ascii="仿宋_GB2312" w:hAnsi="仿宋_GB2312" w:eastAsia="仿宋_GB2312" w:cs="仿宋_GB2312"/>
          <w:b/>
          <w:bCs/>
          <w:color w:val="auto"/>
          <w:sz w:val="36"/>
          <w:szCs w:val="36"/>
          <w:highlight w:val="none"/>
        </w:rPr>
      </w:pPr>
      <w:r>
        <w:rPr>
          <w:rFonts w:hint="eastAsia" w:ascii="仿宋_GB2312" w:hAnsi="仿宋_GB2312" w:eastAsia="仿宋_GB2312" w:cs="仿宋_GB2312"/>
          <w:b/>
          <w:bCs/>
          <w:color w:val="auto"/>
          <w:sz w:val="36"/>
          <w:szCs w:val="36"/>
          <w:highlight w:val="none"/>
        </w:rPr>
        <w:t>采购项目：</w:t>
      </w:r>
      <w:r>
        <w:rPr>
          <w:rFonts w:hint="eastAsia" w:ascii="仿宋_GB2312" w:hAnsi="仿宋_GB2312" w:eastAsia="仿宋_GB2312" w:cs="仿宋_GB2312"/>
          <w:color w:val="auto"/>
          <w:sz w:val="36"/>
          <w:szCs w:val="36"/>
          <w:highlight w:val="none"/>
          <w:lang w:val="en-US" w:eastAsia="zh-CN"/>
        </w:rPr>
        <w:t>深圳市龙岗区第七人民医院消化内镜能量平台（氩气高频电刀）及内镜注水泵采购项目</w:t>
      </w:r>
    </w:p>
    <w:p>
      <w:pPr>
        <w:keepLines w:val="0"/>
        <w:pageBreakBefore w:val="0"/>
        <w:kinsoku/>
        <w:wordWrap/>
        <w:overflowPunct/>
        <w:topLinePunct w:val="0"/>
        <w:bidi w:val="0"/>
        <w:snapToGrid w:val="0"/>
        <w:spacing w:line="560" w:lineRule="exact"/>
        <w:rPr>
          <w:rFonts w:hint="default" w:ascii="仿宋_GB2312" w:hAnsi="仿宋_GB2312" w:eastAsia="仿宋_GB2312" w:cs="仿宋_GB2312"/>
          <w:color w:val="auto"/>
          <w:sz w:val="36"/>
          <w:szCs w:val="36"/>
          <w:highlight w:val="none"/>
          <w:lang w:val="en-US"/>
        </w:rPr>
      </w:pPr>
      <w:r>
        <w:rPr>
          <w:rFonts w:hint="eastAsia" w:ascii="仿宋_GB2312" w:hAnsi="仿宋_GB2312" w:eastAsia="仿宋_GB2312" w:cs="仿宋_GB2312"/>
          <w:b/>
          <w:bCs/>
          <w:color w:val="auto"/>
          <w:sz w:val="36"/>
          <w:szCs w:val="36"/>
          <w:highlight w:val="none"/>
        </w:rPr>
        <w:t>采购项目编号：</w:t>
      </w:r>
      <w:r>
        <w:rPr>
          <w:rFonts w:hint="eastAsia" w:ascii="仿宋_GB2312" w:hAnsi="仿宋_GB2312" w:eastAsia="仿宋_GB2312" w:cs="仿宋_GB2312"/>
          <w:color w:val="auto"/>
          <w:kern w:val="2"/>
          <w:sz w:val="36"/>
          <w:szCs w:val="36"/>
          <w:highlight w:val="none"/>
          <w:lang w:val="en-US" w:eastAsia="zh-CN" w:bidi="ar-SA"/>
        </w:rPr>
        <w:t>深龙七医采[LGQY2026SB006]</w:t>
      </w:r>
    </w:p>
    <w:p>
      <w:pPr>
        <w:keepLines w:val="0"/>
        <w:pageBreakBefore w:val="0"/>
        <w:kinsoku/>
        <w:wordWrap/>
        <w:overflowPunct/>
        <w:topLinePunct w:val="0"/>
        <w:bidi w:val="0"/>
        <w:snapToGrid w:val="0"/>
        <w:spacing w:line="560" w:lineRule="exact"/>
        <w:rPr>
          <w:rFonts w:ascii="仿宋_GB2312" w:hAnsi="仿宋_GB2312" w:eastAsia="仿宋_GB2312" w:cs="仿宋_GB2312"/>
          <w:color w:val="auto"/>
          <w:sz w:val="36"/>
          <w:szCs w:val="36"/>
          <w:highlight w:val="none"/>
        </w:rPr>
      </w:pPr>
      <w:r>
        <w:rPr>
          <w:rFonts w:hint="eastAsia" w:ascii="仿宋_GB2312" w:hAnsi="仿宋_GB2312" w:eastAsia="仿宋_GB2312" w:cs="仿宋_GB2312"/>
          <w:b/>
          <w:bCs/>
          <w:color w:val="auto"/>
          <w:sz w:val="36"/>
          <w:szCs w:val="36"/>
          <w:highlight w:val="none"/>
        </w:rPr>
        <w:t>项目类型：</w:t>
      </w:r>
      <w:r>
        <w:rPr>
          <w:rFonts w:hint="eastAsia" w:ascii="仿宋_GB2312" w:hAnsi="仿宋_GB2312" w:eastAsia="仿宋_GB2312" w:cs="仿宋_GB2312"/>
          <w:color w:val="auto"/>
          <w:sz w:val="36"/>
          <w:szCs w:val="36"/>
          <w:highlight w:val="none"/>
          <w:lang w:val="en-US" w:eastAsia="zh-CN"/>
        </w:rPr>
        <w:t>货物</w:t>
      </w:r>
      <w:r>
        <w:rPr>
          <w:rFonts w:hint="eastAsia" w:ascii="仿宋_GB2312" w:hAnsi="仿宋_GB2312" w:eastAsia="仿宋_GB2312" w:cs="仿宋_GB2312"/>
          <w:color w:val="auto"/>
          <w:sz w:val="36"/>
          <w:szCs w:val="36"/>
          <w:highlight w:val="none"/>
        </w:rPr>
        <w:t>类</w:t>
      </w:r>
    </w:p>
    <w:p>
      <w:pPr>
        <w:keepLines w:val="0"/>
        <w:pageBreakBefore w:val="0"/>
        <w:kinsoku/>
        <w:wordWrap/>
        <w:overflowPunct/>
        <w:topLinePunct w:val="0"/>
        <w:bidi w:val="0"/>
        <w:snapToGrid w:val="0"/>
        <w:spacing w:line="560" w:lineRule="exact"/>
        <w:rPr>
          <w:rFonts w:eastAsia="仿宋_GB2312"/>
          <w:color w:val="auto"/>
          <w:highlight w:val="none"/>
        </w:rPr>
      </w:pPr>
      <w:r>
        <w:rPr>
          <w:rFonts w:hint="eastAsia" w:ascii="仿宋_GB2312" w:hAnsi="仿宋_GB2312" w:eastAsia="仿宋_GB2312" w:cs="仿宋_GB2312"/>
          <w:b/>
          <w:bCs/>
          <w:color w:val="auto"/>
          <w:sz w:val="36"/>
          <w:szCs w:val="36"/>
          <w:highlight w:val="none"/>
        </w:rPr>
        <w:t>采购数量：</w:t>
      </w:r>
      <w:r>
        <w:rPr>
          <w:rFonts w:hint="eastAsia" w:ascii="仿宋_GB2312" w:hAnsi="仿宋_GB2312" w:eastAsia="仿宋_GB2312" w:cs="仿宋_GB2312"/>
          <w:b w:val="0"/>
          <w:bCs w:val="0"/>
          <w:color w:val="auto"/>
          <w:sz w:val="36"/>
          <w:szCs w:val="36"/>
          <w:highlight w:val="none"/>
          <w:lang w:val="en-US" w:eastAsia="zh-CN"/>
        </w:rPr>
        <w:t>1项</w:t>
      </w:r>
    </w:p>
    <w:p>
      <w:pPr>
        <w:keepLines w:val="0"/>
        <w:pageBreakBefore w:val="0"/>
        <w:kinsoku/>
        <w:wordWrap/>
        <w:overflowPunct/>
        <w:topLinePunct w:val="0"/>
        <w:bidi w:val="0"/>
        <w:snapToGrid w:val="0"/>
        <w:spacing w:line="560" w:lineRule="exact"/>
        <w:jc w:val="left"/>
        <w:rPr>
          <w:rFonts w:hint="default" w:ascii="仿宋_GB2312" w:hAnsi="仿宋_GB2312" w:eastAsia="仿宋_GB2312" w:cs="仿宋_GB2312"/>
          <w:color w:val="auto"/>
          <w:sz w:val="36"/>
          <w:szCs w:val="36"/>
          <w:highlight w:val="none"/>
          <w:lang w:val="en-US"/>
        </w:rPr>
      </w:pPr>
      <w:r>
        <w:rPr>
          <w:rFonts w:hint="eastAsia" w:ascii="仿宋_GB2312" w:hAnsi="仿宋_GB2312" w:eastAsia="仿宋_GB2312" w:cs="仿宋_GB2312"/>
          <w:b/>
          <w:bCs/>
          <w:color w:val="auto"/>
          <w:sz w:val="36"/>
          <w:szCs w:val="36"/>
          <w:highlight w:val="none"/>
        </w:rPr>
        <w:t>预算总金额：</w:t>
      </w:r>
      <w:r>
        <w:rPr>
          <w:rFonts w:hint="eastAsia" w:ascii="仿宋_GB2312" w:hAnsi="仿宋_GB2312" w:eastAsia="仿宋_GB2312" w:cs="仿宋_GB2312"/>
          <w:b w:val="0"/>
          <w:bCs w:val="0"/>
          <w:color w:val="auto"/>
          <w:sz w:val="36"/>
          <w:szCs w:val="36"/>
          <w:highlight w:val="none"/>
          <w:lang w:val="en-US" w:eastAsia="zh-CN"/>
        </w:rPr>
        <w:t>15.98万元</w:t>
      </w:r>
    </w:p>
    <w:p>
      <w:pPr>
        <w:keepLines w:val="0"/>
        <w:pageBreakBefore w:val="0"/>
        <w:kinsoku/>
        <w:wordWrap/>
        <w:overflowPunct/>
        <w:topLinePunct w:val="0"/>
        <w:bidi w:val="0"/>
        <w:snapToGrid w:val="0"/>
        <w:spacing w:line="560" w:lineRule="exact"/>
        <w:rPr>
          <w:rFonts w:ascii="仿宋_GB2312" w:hAnsi="仿宋_GB2312" w:eastAsia="仿宋_GB2312" w:cs="仿宋_GB2312"/>
          <w:color w:val="auto"/>
          <w:sz w:val="36"/>
          <w:szCs w:val="36"/>
          <w:highlight w:val="none"/>
        </w:rPr>
      </w:pPr>
      <w:r>
        <w:rPr>
          <w:rFonts w:hint="eastAsia" w:ascii="仿宋_GB2312" w:hAnsi="仿宋_GB2312" w:eastAsia="仿宋_GB2312" w:cs="仿宋_GB2312"/>
          <w:b/>
          <w:bCs/>
          <w:color w:val="auto"/>
          <w:sz w:val="36"/>
          <w:szCs w:val="36"/>
          <w:highlight w:val="none"/>
        </w:rPr>
        <w:t>采购方式：</w:t>
      </w:r>
      <w:r>
        <w:rPr>
          <w:rFonts w:hint="eastAsia" w:ascii="仿宋_GB2312" w:hAnsi="仿宋_GB2312" w:eastAsia="仿宋_GB2312" w:cs="仿宋_GB2312"/>
          <w:color w:val="auto"/>
          <w:sz w:val="36"/>
          <w:szCs w:val="36"/>
          <w:highlight w:val="none"/>
        </w:rPr>
        <w:t>院内公开</w:t>
      </w:r>
      <w:r>
        <w:rPr>
          <w:rFonts w:hint="eastAsia" w:ascii="仿宋_GB2312" w:hAnsi="仿宋_GB2312" w:eastAsia="仿宋_GB2312" w:cs="仿宋_GB2312"/>
          <w:color w:val="auto"/>
          <w:sz w:val="36"/>
          <w:szCs w:val="36"/>
          <w:highlight w:val="none"/>
          <w:lang w:val="en-US" w:eastAsia="zh-CN"/>
        </w:rPr>
        <w:t>招标</w:t>
      </w:r>
      <w:r>
        <w:rPr>
          <w:rFonts w:hint="eastAsia" w:ascii="仿宋_GB2312" w:hAnsi="仿宋_GB2312" w:eastAsia="仿宋_GB2312" w:cs="仿宋_GB2312"/>
          <w:color w:val="auto"/>
          <w:sz w:val="36"/>
          <w:szCs w:val="36"/>
          <w:highlight w:val="none"/>
        </w:rPr>
        <w:t>采购</w:t>
      </w:r>
    </w:p>
    <w:p>
      <w:pPr>
        <w:keepLines w:val="0"/>
        <w:pageBreakBefore w:val="0"/>
        <w:kinsoku/>
        <w:wordWrap/>
        <w:overflowPunct/>
        <w:topLinePunct w:val="0"/>
        <w:bidi w:val="0"/>
        <w:snapToGrid w:val="0"/>
        <w:spacing w:line="560" w:lineRule="exact"/>
        <w:rPr>
          <w:rFonts w:ascii="仿宋_GB2312" w:hAnsi="仿宋_GB2312" w:eastAsia="仿宋_GB2312" w:cs="仿宋_GB2312"/>
          <w:color w:val="auto"/>
          <w:sz w:val="36"/>
          <w:szCs w:val="36"/>
          <w:highlight w:val="none"/>
        </w:rPr>
      </w:pPr>
      <w:r>
        <w:rPr>
          <w:rFonts w:hint="eastAsia" w:ascii="仿宋_GB2312" w:hAnsi="仿宋_GB2312" w:eastAsia="仿宋_GB2312" w:cs="仿宋_GB2312"/>
          <w:b/>
          <w:bCs/>
          <w:color w:val="auto"/>
          <w:sz w:val="36"/>
          <w:szCs w:val="36"/>
          <w:highlight w:val="none"/>
        </w:rPr>
        <w:t>评标方法：</w:t>
      </w:r>
      <w:r>
        <w:rPr>
          <w:rFonts w:hint="eastAsia" w:ascii="仿宋_GB2312" w:hAnsi="仿宋_GB2312" w:eastAsia="仿宋_GB2312" w:cs="仿宋_GB2312"/>
          <w:color w:val="auto"/>
          <w:sz w:val="36"/>
          <w:szCs w:val="36"/>
          <w:highlight w:val="none"/>
        </w:rPr>
        <w:t>综合评分法</w:t>
      </w:r>
      <w:bookmarkStart w:id="18" w:name="_GoBack"/>
      <w:bookmarkEnd w:id="18"/>
    </w:p>
    <w:p>
      <w:pPr>
        <w:keepLines w:val="0"/>
        <w:pageBreakBefore w:val="0"/>
        <w:kinsoku/>
        <w:wordWrap/>
        <w:overflowPunct/>
        <w:topLinePunct w:val="0"/>
        <w:bidi w:val="0"/>
        <w:snapToGrid w:val="0"/>
        <w:spacing w:line="560" w:lineRule="exact"/>
        <w:rPr>
          <w:rFonts w:ascii="仿宋_GB2312" w:hAnsi="仿宋_GB2312" w:eastAsia="仿宋_GB2312" w:cs="仿宋_GB2312"/>
          <w:color w:val="auto"/>
          <w:sz w:val="36"/>
          <w:szCs w:val="36"/>
          <w:highlight w:val="none"/>
        </w:rPr>
      </w:pPr>
      <w:r>
        <w:rPr>
          <w:rFonts w:hint="eastAsia" w:ascii="仿宋_GB2312" w:hAnsi="仿宋_GB2312" w:eastAsia="仿宋_GB2312" w:cs="仿宋_GB2312"/>
          <w:b/>
          <w:bCs/>
          <w:color w:val="auto"/>
          <w:sz w:val="36"/>
          <w:szCs w:val="36"/>
          <w:highlight w:val="none"/>
        </w:rPr>
        <w:t>投标货币</w:t>
      </w:r>
      <w:r>
        <w:rPr>
          <w:rFonts w:hint="eastAsia" w:ascii="仿宋_GB2312" w:hAnsi="仿宋_GB2312" w:eastAsia="仿宋_GB2312" w:cs="仿宋_GB2312"/>
          <w:color w:val="auto"/>
          <w:sz w:val="36"/>
          <w:szCs w:val="36"/>
          <w:highlight w:val="none"/>
        </w:rPr>
        <w:t>：人民币</w:t>
      </w:r>
    </w:p>
    <w:p>
      <w:pPr>
        <w:pStyle w:val="10"/>
        <w:keepLines w:val="0"/>
        <w:pageBreakBefore w:val="0"/>
        <w:kinsoku/>
        <w:wordWrap/>
        <w:overflowPunct/>
        <w:topLinePunct w:val="0"/>
        <w:bidi w:val="0"/>
        <w:spacing w:line="560" w:lineRule="exact"/>
        <w:rPr>
          <w:rFonts w:hint="default"/>
          <w:color w:val="auto"/>
          <w:highlight w:val="none"/>
        </w:rPr>
      </w:pPr>
    </w:p>
    <w:p>
      <w:pPr>
        <w:pStyle w:val="10"/>
        <w:keepLines w:val="0"/>
        <w:pageBreakBefore w:val="0"/>
        <w:kinsoku/>
        <w:wordWrap/>
        <w:overflowPunct/>
        <w:topLinePunct w:val="0"/>
        <w:bidi w:val="0"/>
        <w:spacing w:line="560" w:lineRule="exact"/>
        <w:rPr>
          <w:rFonts w:hint="default"/>
          <w:color w:val="auto"/>
          <w:szCs w:val="20"/>
          <w:highlight w:val="none"/>
        </w:rPr>
      </w:pPr>
    </w:p>
    <w:p>
      <w:pPr>
        <w:pStyle w:val="5"/>
        <w:keepLines w:val="0"/>
        <w:pageBreakBefore w:val="0"/>
        <w:kinsoku/>
        <w:wordWrap/>
        <w:overflowPunct/>
        <w:topLinePunct w:val="0"/>
        <w:bidi w:val="0"/>
        <w:spacing w:line="560" w:lineRule="exact"/>
        <w:rPr>
          <w:color w:val="auto"/>
          <w:highlight w:val="none"/>
        </w:rPr>
      </w:pPr>
    </w:p>
    <w:p>
      <w:pPr>
        <w:keepLines w:val="0"/>
        <w:pageBreakBefore w:val="0"/>
        <w:kinsoku/>
        <w:wordWrap/>
        <w:overflowPunct/>
        <w:topLinePunct w:val="0"/>
        <w:bidi w:val="0"/>
        <w:spacing w:line="560" w:lineRule="exact"/>
        <w:rPr>
          <w:color w:val="auto"/>
          <w:highlight w:val="none"/>
        </w:rPr>
      </w:pPr>
    </w:p>
    <w:p>
      <w:pPr>
        <w:pStyle w:val="3"/>
        <w:keepLines w:val="0"/>
        <w:pageBreakBefore w:val="0"/>
        <w:kinsoku/>
        <w:wordWrap/>
        <w:overflowPunct/>
        <w:topLinePunct w:val="0"/>
        <w:bidi w:val="0"/>
        <w:spacing w:line="560" w:lineRule="exact"/>
        <w:rPr>
          <w:color w:val="auto"/>
          <w:highlight w:val="none"/>
        </w:rPr>
      </w:pPr>
    </w:p>
    <w:p>
      <w:pPr>
        <w:keepLines w:val="0"/>
        <w:pageBreakBefore w:val="0"/>
        <w:kinsoku/>
        <w:wordWrap/>
        <w:overflowPunct/>
        <w:topLinePunct w:val="0"/>
        <w:bidi w:val="0"/>
        <w:spacing w:line="560" w:lineRule="exact"/>
        <w:rPr>
          <w:color w:val="auto"/>
          <w:highlight w:val="none"/>
        </w:rPr>
      </w:pPr>
    </w:p>
    <w:p>
      <w:pPr>
        <w:pStyle w:val="3"/>
        <w:keepLines w:val="0"/>
        <w:pageBreakBefore w:val="0"/>
        <w:kinsoku/>
        <w:wordWrap/>
        <w:overflowPunct/>
        <w:topLinePunct w:val="0"/>
        <w:bidi w:val="0"/>
        <w:spacing w:line="560" w:lineRule="exact"/>
        <w:ind w:firstLine="1920" w:firstLineChars="600"/>
        <w:rPr>
          <w:rFonts w:cs="宋体"/>
          <w:color w:val="auto"/>
          <w:sz w:val="40"/>
          <w:szCs w:val="40"/>
          <w:highlight w:val="none"/>
        </w:rPr>
      </w:pPr>
      <w:r>
        <w:rPr>
          <w:rFonts w:ascii="仿宋_GB2312" w:hAnsi="仿宋_GB2312" w:eastAsia="仿宋_GB2312" w:cs="仿宋_GB2312"/>
          <w:color w:val="auto"/>
          <w:sz w:val="32"/>
          <w:szCs w:val="32"/>
          <w:highlight w:val="none"/>
        </w:rPr>
        <w:t>日期：</w:t>
      </w:r>
      <w:r>
        <w:rPr>
          <w:rFonts w:hint="eastAsia" w:ascii="仿宋_GB2312" w:hAnsi="仿宋_GB2312" w:eastAsia="仿宋_GB2312" w:cs="仿宋_GB2312"/>
          <w:color w:val="auto"/>
          <w:sz w:val="32"/>
          <w:szCs w:val="32"/>
          <w:highlight w:val="none"/>
          <w:lang w:val="en-US" w:eastAsia="zh-CN"/>
        </w:rPr>
        <w:t>2026</w:t>
      </w:r>
      <w:r>
        <w:rPr>
          <w:rFonts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val="en-US" w:eastAsia="zh-CN"/>
        </w:rPr>
        <w:t>7</w:t>
      </w:r>
      <w:r>
        <w:rPr>
          <w:rFonts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lang w:val="en-US" w:eastAsia="zh-CN"/>
        </w:rPr>
        <w:t>2</w:t>
      </w:r>
      <w:r>
        <w:rPr>
          <w:rFonts w:ascii="仿宋_GB2312" w:hAnsi="仿宋_GB2312" w:eastAsia="仿宋_GB2312" w:cs="仿宋_GB2312"/>
          <w:color w:val="auto"/>
          <w:sz w:val="32"/>
          <w:szCs w:val="32"/>
          <w:highlight w:val="none"/>
        </w:rPr>
        <w:t>日</w:t>
      </w:r>
    </w:p>
    <w:p>
      <w:pPr>
        <w:spacing w:line="560" w:lineRule="exact"/>
        <w:rPr>
          <w:color w:val="auto"/>
          <w:highlight w:val="none"/>
        </w:rPr>
      </w:pPr>
      <w:r>
        <w:rPr>
          <w:color w:val="auto"/>
          <w:highlight w:val="none"/>
        </w:rPr>
        <w:br w:type="page"/>
      </w:r>
    </w:p>
    <w:p>
      <w:pPr>
        <w:pStyle w:val="2"/>
        <w:bidi w:val="0"/>
        <w:spacing w:line="560" w:lineRule="exact"/>
        <w:jc w:val="center"/>
        <w:rPr>
          <w:color w:val="auto"/>
          <w:sz w:val="40"/>
          <w:szCs w:val="22"/>
          <w:highlight w:val="none"/>
        </w:rPr>
      </w:pPr>
      <w:r>
        <w:rPr>
          <w:rFonts w:hint="eastAsia"/>
          <w:color w:val="auto"/>
          <w:sz w:val="40"/>
          <w:szCs w:val="22"/>
          <w:highlight w:val="none"/>
        </w:rPr>
        <w:t>第一章</w:t>
      </w:r>
    </w:p>
    <w:p>
      <w:pPr>
        <w:keepLines w:val="0"/>
        <w:pageBreakBefore w:val="0"/>
        <w:kinsoku/>
        <w:wordWrap/>
        <w:overflowPunct/>
        <w:topLinePunct w:val="0"/>
        <w:bidi w:val="0"/>
        <w:snapToGrid w:val="0"/>
        <w:spacing w:line="560" w:lineRule="exact"/>
        <w:jc w:val="center"/>
        <w:rPr>
          <w:rFonts w:hint="eastAsia" w:ascii="方正小标宋简体" w:hAnsi="方正小标宋简体" w:eastAsia="方正小标宋简体" w:cs="方正小标宋简体"/>
          <w:color w:val="auto"/>
          <w:kern w:val="0"/>
          <w:sz w:val="44"/>
          <w:szCs w:val="44"/>
          <w:highlight w:val="none"/>
          <w:lang w:val="en-US" w:eastAsia="zh-CN" w:bidi="ar-SA"/>
        </w:rPr>
      </w:pPr>
      <w:r>
        <w:rPr>
          <w:rFonts w:hint="eastAsia" w:ascii="方正小标宋简体" w:hAnsi="方正小标宋简体" w:eastAsia="方正小标宋简体" w:cs="方正小标宋简体"/>
          <w:color w:val="auto"/>
          <w:kern w:val="0"/>
          <w:sz w:val="44"/>
          <w:szCs w:val="44"/>
          <w:highlight w:val="none"/>
          <w:lang w:val="en-US" w:eastAsia="zh-CN" w:bidi="ar-SA"/>
        </w:rPr>
        <w:t>深圳市龙岗区第七人民医院消化内镜能量平台（氩气高频电刀）及内镜注水泵采购项目</w:t>
      </w:r>
    </w:p>
    <w:p>
      <w:pPr>
        <w:pStyle w:val="25"/>
        <w:keepNext w:val="0"/>
        <w:keepLines w:val="0"/>
        <w:pageBreakBefore w:val="0"/>
        <w:widowControl/>
        <w:numPr>
          <w:ilvl w:val="0"/>
          <w:numId w:val="0"/>
        </w:numPr>
        <w:kinsoku/>
        <w:wordWrap/>
        <w:overflowPunct/>
        <w:topLinePunct w:val="0"/>
        <w:autoSpaceDE/>
        <w:autoSpaceDN/>
        <w:bidi w:val="0"/>
        <w:adjustRightInd/>
        <w:snapToGrid w:val="0"/>
        <w:spacing w:line="560" w:lineRule="exact"/>
        <w:ind w:firstLine="0" w:firstLineChars="0"/>
        <w:jc w:val="center"/>
        <w:textAlignment w:val="auto"/>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院内公开采购的公告</w:t>
      </w:r>
    </w:p>
    <w:p>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ascii="仿宋_GB2312" w:hAnsi="宋体" w:eastAsia="仿宋_GB2312"/>
          <w:color w:val="auto"/>
          <w:sz w:val="28"/>
          <w:szCs w:val="28"/>
          <w:highlight w:val="none"/>
        </w:rPr>
      </w:pPr>
    </w:p>
    <w:p>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宋体" w:eastAsia="仿宋_GB2312"/>
          <w:color w:val="auto"/>
          <w:sz w:val="28"/>
          <w:szCs w:val="28"/>
          <w:highlight w:val="none"/>
          <w:lang w:eastAsia="zh-CN"/>
        </w:rPr>
      </w:pPr>
      <w:r>
        <w:rPr>
          <w:rFonts w:hint="eastAsia" w:ascii="仿宋_GB2312" w:hAnsi="宋体" w:eastAsia="仿宋_GB2312"/>
          <w:color w:val="auto"/>
          <w:sz w:val="28"/>
          <w:szCs w:val="28"/>
          <w:highlight w:val="none"/>
        </w:rPr>
        <w:t>根据政府采</w:t>
      </w:r>
      <w:r>
        <w:rPr>
          <w:rFonts w:hint="eastAsia" w:ascii="仿宋_GB2312" w:hAnsi="宋体" w:eastAsia="仿宋_GB2312"/>
          <w:color w:val="auto"/>
          <w:sz w:val="28"/>
          <w:szCs w:val="28"/>
          <w:highlight w:val="none"/>
          <w:lang w:eastAsia="zh-CN"/>
        </w:rPr>
        <w:t>购的</w:t>
      </w:r>
      <w:r>
        <w:rPr>
          <w:rFonts w:hint="eastAsia" w:ascii="仿宋_GB2312" w:hAnsi="宋体" w:eastAsia="仿宋_GB2312"/>
          <w:color w:val="auto"/>
          <w:sz w:val="28"/>
          <w:szCs w:val="28"/>
          <w:highlight w:val="none"/>
        </w:rPr>
        <w:t>相关规定和《深圳市龙岗区第七人民医院采购管理办法》的有关规定，</w:t>
      </w:r>
      <w:r>
        <w:rPr>
          <w:rFonts w:hint="eastAsia" w:ascii="仿宋_GB2312" w:eastAsia="仿宋_GB2312"/>
          <w:color w:val="auto"/>
          <w:sz w:val="28"/>
          <w:szCs w:val="28"/>
          <w:highlight w:val="none"/>
        </w:rPr>
        <w:t>我院拟对以下项目进行院内公开采购，欢迎符合条件具有供应能力的</w:t>
      </w:r>
      <w:r>
        <w:rPr>
          <w:rFonts w:hint="eastAsia" w:ascii="仿宋_GB2312" w:hAnsi="宋体" w:eastAsia="仿宋_GB2312"/>
          <w:color w:val="auto"/>
          <w:sz w:val="28"/>
          <w:szCs w:val="28"/>
          <w:highlight w:val="none"/>
          <w:lang w:eastAsia="zh-CN"/>
        </w:rPr>
        <w:t>供应商或厂家前来报名参加。</w:t>
      </w:r>
    </w:p>
    <w:p>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黑体" w:hAnsi="黑体" w:eastAsia="黑体"/>
          <w:color w:val="auto"/>
          <w:sz w:val="28"/>
          <w:szCs w:val="28"/>
          <w:highlight w:val="none"/>
          <w:lang w:eastAsia="zh-CN"/>
        </w:rPr>
      </w:pPr>
      <w:r>
        <w:rPr>
          <w:rFonts w:hint="eastAsia" w:ascii="黑体" w:hAnsi="黑体" w:eastAsia="黑体"/>
          <w:color w:val="auto"/>
          <w:sz w:val="28"/>
          <w:szCs w:val="28"/>
          <w:highlight w:val="none"/>
          <w:lang w:eastAsia="zh-CN"/>
        </w:rPr>
        <w:t>一、采购项目</w:t>
      </w:r>
    </w:p>
    <w:p>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default" w:ascii="仿宋_GB2312" w:hAnsi="宋体" w:eastAsia="仿宋_GB2312"/>
          <w:color w:val="auto"/>
          <w:sz w:val="28"/>
          <w:szCs w:val="28"/>
          <w:highlight w:val="none"/>
          <w:lang w:val="en-US" w:eastAsia="zh-CN"/>
        </w:rPr>
      </w:pPr>
      <w:r>
        <w:rPr>
          <w:rFonts w:hint="eastAsia" w:ascii="楷体_GB2312" w:hAnsi="楷体_GB2312" w:eastAsia="楷体_GB2312" w:cs="楷体_GB2312"/>
          <w:color w:val="auto"/>
          <w:sz w:val="28"/>
          <w:szCs w:val="28"/>
          <w:highlight w:val="none"/>
          <w:lang w:eastAsia="zh-CN"/>
        </w:rPr>
        <w:t>（</w:t>
      </w:r>
      <w:r>
        <w:rPr>
          <w:rFonts w:hint="eastAsia" w:ascii="楷体_GB2312" w:hAnsi="楷体_GB2312" w:eastAsia="楷体_GB2312" w:cs="楷体_GB2312"/>
          <w:color w:val="auto"/>
          <w:sz w:val="28"/>
          <w:szCs w:val="28"/>
          <w:highlight w:val="none"/>
          <w:lang w:val="en-US" w:eastAsia="zh-CN"/>
        </w:rPr>
        <w:t>一</w:t>
      </w:r>
      <w:r>
        <w:rPr>
          <w:rFonts w:hint="eastAsia" w:ascii="楷体_GB2312" w:hAnsi="楷体_GB2312" w:eastAsia="楷体_GB2312" w:cs="楷体_GB2312"/>
          <w:color w:val="auto"/>
          <w:sz w:val="28"/>
          <w:szCs w:val="28"/>
          <w:highlight w:val="none"/>
          <w:lang w:eastAsia="zh-CN"/>
        </w:rPr>
        <w:t>）项目编号</w:t>
      </w:r>
      <w:r>
        <w:rPr>
          <w:rFonts w:hint="eastAsia" w:ascii="仿宋_GB2312" w:hAnsi="宋体" w:eastAsia="仿宋_GB2312"/>
          <w:color w:val="auto"/>
          <w:sz w:val="28"/>
          <w:szCs w:val="28"/>
          <w:highlight w:val="none"/>
          <w:lang w:eastAsia="zh-CN"/>
        </w:rPr>
        <w:t>：</w:t>
      </w:r>
      <w:r>
        <w:rPr>
          <w:rFonts w:hint="eastAsia" w:ascii="仿宋_GB2312" w:hAnsi="宋体" w:eastAsia="仿宋_GB2312"/>
          <w:color w:val="auto"/>
          <w:sz w:val="28"/>
          <w:szCs w:val="28"/>
          <w:highlight w:val="none"/>
          <w:lang w:val="en-US" w:eastAsia="zh-CN"/>
        </w:rPr>
        <w:t>深龙七医采[LGQY2026SB006]</w:t>
      </w:r>
    </w:p>
    <w:p>
      <w:pPr>
        <w:keepNext w:val="0"/>
        <w:keepLines w:val="0"/>
        <w:pageBreakBefore w:val="0"/>
        <w:kinsoku/>
        <w:wordWrap/>
        <w:overflowPunct/>
        <w:topLinePunct w:val="0"/>
        <w:autoSpaceDE/>
        <w:autoSpaceDN/>
        <w:bidi w:val="0"/>
        <w:adjustRightInd/>
        <w:snapToGrid/>
        <w:spacing w:line="540" w:lineRule="exact"/>
        <w:ind w:left="839" w:leftChars="266" w:hanging="280" w:hangingChars="100"/>
        <w:textAlignment w:val="auto"/>
        <w:rPr>
          <w:rFonts w:hint="eastAsia" w:ascii="仿宋_GB2312" w:hAnsi="仿宋_GB2312" w:eastAsia="仿宋_GB2312" w:cs="仿宋_GB2312"/>
          <w:color w:val="auto"/>
          <w:sz w:val="32"/>
          <w:szCs w:val="32"/>
          <w:highlight w:val="none"/>
          <w:lang w:val="en-US" w:eastAsia="zh-CN"/>
        </w:rPr>
      </w:pPr>
      <w:r>
        <w:rPr>
          <w:rFonts w:hint="eastAsia" w:ascii="楷体_GB2312" w:hAnsi="楷体_GB2312" w:eastAsia="楷体_GB2312" w:cs="楷体_GB2312"/>
          <w:color w:val="auto"/>
          <w:sz w:val="28"/>
          <w:szCs w:val="28"/>
          <w:highlight w:val="none"/>
          <w:lang w:eastAsia="zh-CN"/>
        </w:rPr>
        <w:t>（</w:t>
      </w:r>
      <w:r>
        <w:rPr>
          <w:rFonts w:hint="eastAsia" w:ascii="楷体_GB2312" w:hAnsi="楷体_GB2312" w:eastAsia="楷体_GB2312" w:cs="楷体_GB2312"/>
          <w:color w:val="auto"/>
          <w:sz w:val="28"/>
          <w:szCs w:val="28"/>
          <w:highlight w:val="none"/>
          <w:lang w:val="en-US" w:eastAsia="zh-CN"/>
        </w:rPr>
        <w:t>二</w:t>
      </w:r>
      <w:r>
        <w:rPr>
          <w:rFonts w:hint="eastAsia" w:ascii="楷体_GB2312" w:hAnsi="楷体_GB2312" w:eastAsia="楷体_GB2312" w:cs="楷体_GB2312"/>
          <w:color w:val="auto"/>
          <w:sz w:val="28"/>
          <w:szCs w:val="28"/>
          <w:highlight w:val="none"/>
          <w:lang w:eastAsia="zh-CN"/>
        </w:rPr>
        <w:t>）项目名</w:t>
      </w:r>
      <w:r>
        <w:rPr>
          <w:rFonts w:hint="eastAsia" w:ascii="楷体_GB2312" w:hAnsi="楷体_GB2312" w:eastAsia="楷体_GB2312" w:cs="楷体_GB2312"/>
          <w:color w:val="auto"/>
          <w:sz w:val="28"/>
          <w:szCs w:val="28"/>
          <w:highlight w:val="none"/>
          <w:lang w:val="en-US" w:eastAsia="zh-CN"/>
        </w:rPr>
        <w:t>称：</w:t>
      </w:r>
      <w:r>
        <w:rPr>
          <w:rFonts w:hint="eastAsia" w:ascii="仿宋_GB2312" w:hAnsi="宋体" w:eastAsia="仿宋_GB2312"/>
          <w:color w:val="auto"/>
          <w:sz w:val="28"/>
          <w:szCs w:val="28"/>
          <w:highlight w:val="none"/>
          <w:lang w:val="en-US" w:eastAsia="zh-CN"/>
        </w:rPr>
        <w:t>深圳市龙岗区第七人民医院消化内镜能量平台（氩气高频电刀）及内镜注水泵</w:t>
      </w:r>
      <w:r>
        <w:rPr>
          <w:rFonts w:hint="eastAsia" w:ascii="仿宋_GB2312" w:hAnsi="仿宋_GB2312" w:eastAsia="仿宋_GB2312" w:cs="仿宋_GB2312"/>
          <w:color w:val="auto"/>
          <w:sz w:val="32"/>
          <w:szCs w:val="32"/>
          <w:highlight w:val="none"/>
          <w:lang w:val="en-US" w:eastAsia="zh-CN"/>
        </w:rPr>
        <w:t>采购项目</w:t>
      </w:r>
    </w:p>
    <w:p>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宋体" w:eastAsia="仿宋_GB2312"/>
          <w:color w:val="auto"/>
          <w:sz w:val="28"/>
          <w:szCs w:val="28"/>
          <w:highlight w:val="none"/>
          <w:lang w:eastAsia="zh-CN"/>
        </w:rPr>
      </w:pPr>
      <w:r>
        <w:rPr>
          <w:rFonts w:hint="eastAsia" w:ascii="楷体_GB2312" w:hAnsi="楷体_GB2312" w:eastAsia="楷体_GB2312" w:cs="楷体_GB2312"/>
          <w:color w:val="auto"/>
          <w:sz w:val="28"/>
          <w:szCs w:val="28"/>
          <w:highlight w:val="none"/>
          <w:lang w:eastAsia="zh-CN"/>
        </w:rPr>
        <w:t>（</w:t>
      </w:r>
      <w:r>
        <w:rPr>
          <w:rFonts w:hint="eastAsia" w:ascii="楷体_GB2312" w:hAnsi="楷体_GB2312" w:eastAsia="楷体_GB2312" w:cs="楷体_GB2312"/>
          <w:color w:val="auto"/>
          <w:sz w:val="28"/>
          <w:szCs w:val="28"/>
          <w:highlight w:val="none"/>
          <w:lang w:val="en-US" w:eastAsia="zh-CN"/>
        </w:rPr>
        <w:t>三</w:t>
      </w:r>
      <w:r>
        <w:rPr>
          <w:rFonts w:hint="eastAsia" w:ascii="楷体_GB2312" w:hAnsi="楷体_GB2312" w:eastAsia="楷体_GB2312" w:cs="楷体_GB2312"/>
          <w:color w:val="auto"/>
          <w:sz w:val="28"/>
          <w:szCs w:val="28"/>
          <w:highlight w:val="none"/>
          <w:lang w:eastAsia="zh-CN"/>
        </w:rPr>
        <w:t>）采购数量：</w:t>
      </w:r>
      <w:r>
        <w:rPr>
          <w:rFonts w:hint="eastAsia" w:ascii="仿宋_GB2312" w:hAnsi="宋体" w:eastAsia="仿宋_GB2312"/>
          <w:color w:val="auto"/>
          <w:sz w:val="28"/>
          <w:szCs w:val="28"/>
          <w:highlight w:val="none"/>
          <w:lang w:val="en-US" w:eastAsia="zh-CN"/>
        </w:rPr>
        <w:t>1项</w:t>
      </w:r>
    </w:p>
    <w:p>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default" w:ascii="仿宋_GB2312" w:hAnsi="宋体" w:eastAsia="仿宋_GB2312"/>
          <w:color w:val="auto"/>
          <w:sz w:val="28"/>
          <w:szCs w:val="28"/>
          <w:highlight w:val="none"/>
          <w:lang w:val="en-US" w:eastAsia="zh-CN"/>
        </w:rPr>
      </w:pPr>
      <w:r>
        <w:rPr>
          <w:rFonts w:hint="eastAsia" w:ascii="楷体_GB2312" w:hAnsi="楷体_GB2312" w:eastAsia="楷体_GB2312" w:cs="楷体_GB2312"/>
          <w:color w:val="auto"/>
          <w:sz w:val="28"/>
          <w:szCs w:val="28"/>
          <w:highlight w:val="none"/>
          <w:lang w:eastAsia="zh-CN"/>
        </w:rPr>
        <w:t>（</w:t>
      </w:r>
      <w:r>
        <w:rPr>
          <w:rFonts w:hint="eastAsia" w:ascii="楷体_GB2312" w:hAnsi="楷体_GB2312" w:eastAsia="楷体_GB2312" w:cs="楷体_GB2312"/>
          <w:color w:val="auto"/>
          <w:sz w:val="28"/>
          <w:szCs w:val="28"/>
          <w:highlight w:val="none"/>
          <w:lang w:val="en-US" w:eastAsia="zh-CN"/>
        </w:rPr>
        <w:t>四</w:t>
      </w:r>
      <w:r>
        <w:rPr>
          <w:rFonts w:hint="eastAsia" w:ascii="楷体_GB2312" w:hAnsi="楷体_GB2312" w:eastAsia="楷体_GB2312" w:cs="楷体_GB2312"/>
          <w:color w:val="auto"/>
          <w:sz w:val="28"/>
          <w:szCs w:val="28"/>
          <w:highlight w:val="none"/>
          <w:lang w:eastAsia="zh-CN"/>
        </w:rPr>
        <w:t>）预算金额（最高限</w:t>
      </w:r>
      <w:r>
        <w:rPr>
          <w:rFonts w:hint="eastAsia" w:ascii="楷体_GB2312" w:hAnsi="楷体_GB2312" w:eastAsia="楷体_GB2312" w:cs="楷体_GB2312"/>
          <w:color w:val="auto"/>
          <w:sz w:val="28"/>
          <w:szCs w:val="28"/>
          <w:highlight w:val="none"/>
          <w:lang w:val="en-US" w:eastAsia="zh-CN"/>
        </w:rPr>
        <w:t>价</w:t>
      </w:r>
      <w:r>
        <w:rPr>
          <w:rFonts w:hint="eastAsia" w:ascii="楷体_GB2312" w:hAnsi="楷体_GB2312" w:eastAsia="楷体_GB2312" w:cs="楷体_GB2312"/>
          <w:color w:val="auto"/>
          <w:sz w:val="28"/>
          <w:szCs w:val="28"/>
          <w:highlight w:val="none"/>
          <w:lang w:eastAsia="zh-CN"/>
        </w:rPr>
        <w:t>）：</w:t>
      </w:r>
      <w:r>
        <w:rPr>
          <w:rFonts w:hint="eastAsia" w:ascii="仿宋_GB2312" w:hAnsi="宋体" w:eastAsia="仿宋_GB2312"/>
          <w:color w:val="auto"/>
          <w:sz w:val="28"/>
          <w:szCs w:val="28"/>
          <w:highlight w:val="none"/>
          <w:lang w:val="en-US" w:eastAsia="zh-CN"/>
        </w:rPr>
        <w:t>15.98万元</w:t>
      </w:r>
    </w:p>
    <w:p>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黑体" w:hAnsi="黑体" w:eastAsia="黑体" w:cs="黑体"/>
          <w:color w:val="auto"/>
          <w:kern w:val="2"/>
          <w:sz w:val="28"/>
          <w:szCs w:val="28"/>
          <w:highlight w:val="none"/>
          <w:lang w:val="en-US" w:eastAsia="zh-CN" w:bidi="ar-SA"/>
        </w:rPr>
      </w:pPr>
      <w:r>
        <w:rPr>
          <w:rFonts w:hint="eastAsia" w:ascii="黑体" w:hAnsi="黑体" w:eastAsia="黑体" w:cs="黑体"/>
          <w:color w:val="auto"/>
          <w:kern w:val="2"/>
          <w:sz w:val="28"/>
          <w:szCs w:val="28"/>
          <w:highlight w:val="none"/>
          <w:lang w:val="en-US" w:eastAsia="zh-CN" w:bidi="ar-SA"/>
        </w:rPr>
        <w:t>二、资质要求</w:t>
      </w:r>
    </w:p>
    <w:p>
      <w:pPr>
        <w:pStyle w:val="25"/>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楷体_GB2312" w:hAnsi="楷体_GB2312" w:eastAsia="楷体_GB2312" w:cs="楷体_GB2312"/>
          <w:color w:val="auto"/>
          <w:kern w:val="2"/>
          <w:sz w:val="28"/>
          <w:szCs w:val="28"/>
          <w:highlight w:val="none"/>
          <w:lang w:val="en-US" w:eastAsia="zh-CN" w:bidi="ar-SA"/>
        </w:rPr>
      </w:pPr>
      <w:r>
        <w:rPr>
          <w:rFonts w:hint="eastAsia" w:ascii="楷体_GB2312" w:hAnsi="楷体_GB2312" w:eastAsia="楷体_GB2312" w:cs="楷体_GB2312"/>
          <w:color w:val="auto"/>
          <w:kern w:val="2"/>
          <w:sz w:val="28"/>
          <w:szCs w:val="28"/>
          <w:highlight w:val="none"/>
          <w:lang w:val="en-US" w:eastAsia="zh-CN" w:bidi="ar-SA"/>
        </w:rPr>
        <w:t>（一）基本资格条件</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满足《中华人民共和国政府采购法》第二十二条规定（须提供具有独立承担民事责任能力的法人或其他组织的营业执照或法人证书等证明材料复印件或扫描件以及《投标及履约承诺函》加盖投标人公章），总公司或者分公司只允许一家投标，不允许同时参与本项目投标，以分公司名义参与投标的，须提供总公司或具有独立法人资格的上一级公司出具的愿为其参与本项目投标以及履约等行为承担民事责任的加盖总公司公章的授权函，并提供总公司及分公司的营业执照复印件或扫描件加盖投标人公章，原件备查；</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2.落实政府采购政策需满足的资格要求：无；</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楷体_GB2312" w:hAnsi="楷体_GB2312" w:eastAsia="楷体_GB2312" w:cs="楷体_GB2312"/>
          <w:color w:val="auto"/>
          <w:kern w:val="2"/>
          <w:sz w:val="28"/>
          <w:szCs w:val="28"/>
          <w:highlight w:val="none"/>
          <w:lang w:val="en-US" w:eastAsia="zh-CN" w:bidi="ar-SA"/>
        </w:rPr>
      </w:pPr>
      <w:r>
        <w:rPr>
          <w:rFonts w:hint="eastAsia" w:ascii="楷体_GB2312" w:hAnsi="楷体_GB2312" w:eastAsia="楷体_GB2312" w:cs="楷体_GB2312"/>
          <w:color w:val="auto"/>
          <w:kern w:val="2"/>
          <w:sz w:val="28"/>
          <w:szCs w:val="28"/>
          <w:highlight w:val="none"/>
          <w:lang w:val="en-US" w:eastAsia="zh-CN" w:bidi="ar-SA"/>
        </w:rPr>
        <w:t>（二）本项目的特定资格要求</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1.参与本项目投标前三年内，在经营活动中没有重大违法记录（须按本项目投标文件格式要求提供《投标及履约承诺函》加盖投标人公章）；</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2.参与本项目政府采购活动时不存在被有关部门禁止参与政府采购活动且在有效期内的情况（须按本项目投标文件格式要求提供《投标及履约承诺函》加盖投标人公章）；</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3.单位负责人为同一人或者存在直接控股、管理关系的不同供应商，不得参加同一合同项下的政府采购活动（须按本项目投标文件格式要求提供《投标及履约承诺函》加盖投标人公章）；</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4.除单一来源采购项目外，为采购项目提供整体设计、规范编制或者项目管理、监理、检测等服务的供应商，不得再参加该采购项目的其他采购活动（须按本项目投标文件格式要求提供《投标及履约承诺函》加盖投标人公章）；</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5.参与本项目不存在《深圳市财政局政府采购供应商信用信息管理办法》列明的严重违法失信行为（须按本项目投标文件格式要求提供《投标及履约承诺函》加盖投标人公章）；</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6.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7.投标人未被列入失信被执行人、重大税收违法案件当事人名单及政府采购严重违法失信行为记录名单（“信用中国”“信用服务”栏的“重大税收违法失信主体”“失信被执行人”，“中国政府采购网”“政府采购严重违法失信行为记录名单”以及“深圳市政府采购监管网”为投标人信用信息查询渠道，相关信息以开标当日的查询结果为准；</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8.投标人须提供国家企业信用信息公示系统或机关赋码和事业单位登记管理网或全国社会组织信用信息公示平台网站截图，作为不同供应商之间不存在单位负责人为同一人或者直接控股、管理关系的补充证明；</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9.本项目不接受联合体投标，不允许分包或转包；</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10.本项目不接受进口产品投标（进口产品是指通过中国海关报关验放进入中国境内且产自关境外的产品）；</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11.投标人若为生产企业：所投产品为第二、三类医疗器械的，提供药品监督管理部门颁发的涵盖所投医疗器械的《医疗器械生产许可证》（有效期内）扫描件，原件备查；</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投标人若为经营企业，所投产品为第二类医疗器械的，提供药品监督管理部门颁发的涵盖所投医疗器械的《医疗器械经营备案凭证》（有效期内）扫描件，原件备查；所投产品为第三类医疗器械的，提供药品监督管理部门颁发的涵盖所投医疗器械的《医疗器械经营许可证》（有效期内）扫描件，原件备查；</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12.产品具备相关主管部门要求的认证资料：所投产品为第一类医疗器械的，提供药品监督管理部门签发的有效的《医疗器械备案凭证》或《医疗器械备案编号告知书》扫描件，原件备查；所投产品为第二、三类医疗器械的，提供药品监督管理部门签发的涵盖所投产品的《医疗器械注册证》（有效期内）扫描件，原件备查。</w:t>
      </w:r>
    </w:p>
    <w:p>
      <w:pPr>
        <w:pStyle w:val="25"/>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黑体" w:hAnsi="黑体" w:eastAsia="黑体" w:cs="黑体"/>
          <w:color w:val="auto"/>
          <w:kern w:val="2"/>
          <w:sz w:val="28"/>
          <w:szCs w:val="28"/>
          <w:highlight w:val="none"/>
          <w:lang w:val="en-US" w:eastAsia="zh-CN" w:bidi="ar-SA"/>
        </w:rPr>
        <w:t>三、采购方式：</w:t>
      </w:r>
      <w:r>
        <w:rPr>
          <w:rFonts w:hint="eastAsia" w:ascii="仿宋_GB2312" w:hAnsi="仿宋_GB2312" w:eastAsia="仿宋_GB2312" w:cs="仿宋_GB2312"/>
          <w:color w:val="auto"/>
          <w:kern w:val="2"/>
          <w:sz w:val="28"/>
          <w:szCs w:val="28"/>
          <w:highlight w:val="none"/>
          <w:lang w:val="en-US" w:eastAsia="zh-CN" w:bidi="ar-SA"/>
        </w:rPr>
        <w:t>院内公开招标</w:t>
      </w:r>
    </w:p>
    <w:p>
      <w:pPr>
        <w:pStyle w:val="25"/>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黑体" w:hAnsi="黑体" w:eastAsia="黑体" w:cs="黑体"/>
          <w:color w:val="auto"/>
          <w:kern w:val="2"/>
          <w:sz w:val="28"/>
          <w:szCs w:val="28"/>
          <w:highlight w:val="none"/>
          <w:lang w:val="en-US" w:eastAsia="zh-CN" w:bidi="ar-SA"/>
        </w:rPr>
        <w:t>四、评标方法：</w:t>
      </w:r>
      <w:r>
        <w:rPr>
          <w:rFonts w:hint="eastAsia" w:ascii="仿宋_GB2312" w:hAnsi="仿宋_GB2312" w:eastAsia="仿宋_GB2312" w:cs="仿宋_GB2312"/>
          <w:color w:val="auto"/>
          <w:kern w:val="2"/>
          <w:sz w:val="28"/>
          <w:szCs w:val="28"/>
          <w:highlight w:val="none"/>
          <w:lang w:val="en-US" w:eastAsia="zh-CN" w:bidi="ar-SA"/>
        </w:rPr>
        <w:t>综合评分法</w:t>
      </w:r>
    </w:p>
    <w:p>
      <w:pPr>
        <w:pStyle w:val="25"/>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黑体" w:hAnsi="黑体" w:eastAsia="黑体" w:cs="黑体"/>
          <w:color w:val="auto"/>
          <w:kern w:val="2"/>
          <w:sz w:val="28"/>
          <w:szCs w:val="28"/>
          <w:highlight w:val="none"/>
          <w:lang w:val="en-US" w:eastAsia="zh-CN" w:bidi="ar-SA"/>
        </w:rPr>
      </w:pPr>
      <w:r>
        <w:rPr>
          <w:rFonts w:hint="eastAsia" w:ascii="黑体" w:hAnsi="黑体" w:eastAsia="黑体" w:cs="黑体"/>
          <w:color w:val="auto"/>
          <w:kern w:val="2"/>
          <w:sz w:val="28"/>
          <w:szCs w:val="28"/>
          <w:highlight w:val="none"/>
          <w:lang w:val="en-US" w:eastAsia="zh-CN" w:bidi="ar-SA"/>
        </w:rPr>
        <w:t>五、投标人报名资料要求</w:t>
      </w:r>
    </w:p>
    <w:p>
      <w:pPr>
        <w:pStyle w:val="25"/>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（一）院内采购报名表。</w:t>
      </w:r>
    </w:p>
    <w:p>
      <w:pPr>
        <w:pStyle w:val="25"/>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（二）法定代表人参加的提供法定代表人资格证明书及个人身份证复印件；非法定代表人参加的须提供法定代表人资格证明书及法定代表人身份证复印件、法定代表人授权书及授权代表人身份证复印件。</w:t>
      </w:r>
    </w:p>
    <w:p>
      <w:pPr>
        <w:pStyle w:val="27"/>
        <w:keepNext w:val="0"/>
        <w:keepLines w:val="0"/>
        <w:pageBreakBefore w:val="0"/>
        <w:kinsoku/>
        <w:wordWrap/>
        <w:overflowPunct/>
        <w:topLinePunct w:val="0"/>
        <w:autoSpaceDE/>
        <w:autoSpaceDN/>
        <w:bidi w:val="0"/>
        <w:adjustRightInd/>
        <w:snapToGrid/>
        <w:spacing w:line="540" w:lineRule="exact"/>
        <w:ind w:firstLine="56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（三）供应商须提供具有独立承担民事责任能力的法人或其他组织或个体工商户的营业执照或法人证书等证明材料复印件或扫描件。</w:t>
      </w:r>
    </w:p>
    <w:p>
      <w:pPr>
        <w:pStyle w:val="27"/>
        <w:keepNext w:val="0"/>
        <w:keepLines w:val="0"/>
        <w:pageBreakBefore w:val="0"/>
        <w:kinsoku/>
        <w:wordWrap/>
        <w:overflowPunct/>
        <w:topLinePunct w:val="0"/>
        <w:autoSpaceDE/>
        <w:autoSpaceDN/>
        <w:bidi w:val="0"/>
        <w:adjustRightInd/>
        <w:snapToGrid/>
        <w:spacing w:line="540" w:lineRule="exact"/>
        <w:ind w:firstLine="56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（四）供应商基本情况表。</w:t>
      </w:r>
    </w:p>
    <w:p>
      <w:pPr>
        <w:pStyle w:val="25"/>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（五）提供法定代表人、主要经营负责人、投标授权代表人、项目负责人（如有）、主要技术人员（如有）最近一个月的社保证明。</w:t>
      </w:r>
    </w:p>
    <w:p>
      <w:pPr>
        <w:pStyle w:val="25"/>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六）通过以下官网的信用信息查询记录网络截图件并加盖投标人公章：①信用中国②中国政府采购网③深圳市政府采购监管网④国家企业信用信息公示系统或机关赋码和事业单位登记管理网或全国社会组织信用信息公示平台。相关信息以开标当日的查询结果为准。</w:t>
      </w:r>
    </w:p>
    <w:p>
      <w:pPr>
        <w:pStyle w:val="25"/>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（七）投标及履约承诺函。</w:t>
      </w:r>
    </w:p>
    <w:p>
      <w:pPr>
        <w:pStyle w:val="25"/>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八）投标人若为生产企业：所投产品为第二、三类医疗器械的，提供药品监督管理部门签发的涵盖所投报医疗器械的《医疗器械生产许可证》（有效期内）扫描件，原件备查；投标人若为经营企业：所投产品为第二类医疗器械的，提供药品监督管理部门签发的涵盖所投报医疗器械的《医疗器械经营备案凭证》（有效期内）扫描件，原件备查；所投产品为第三类医疗器械的，提供药品监督管理部门签发的涵盖所投报医疗器械的《医疗器械经营许可证》（有效期内）扫描件，原件备查。</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九）产品具备相关主管部门要求的认证资料：所投产品为第一类医疗器械的，提供药品监督管理部门签发的有效的《医疗器械备案凭证》或《医疗器械备案编号告知书》扫描件，原件备查；所投产品为第二、三类医疗器械的，提供药品监督管理部门签发的涵盖所投产品的《医疗器械注册证》（有效期内）扫描件，原件备查。</w:t>
      </w:r>
    </w:p>
    <w:p>
      <w:pPr>
        <w:pStyle w:val="25"/>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以上资料均需在有效期内并加盖投标方公章。本项目实行资格预审，投标人报名时将进行资格审查，未经审查或审查未通过的不能参与投标。</w:t>
      </w:r>
    </w:p>
    <w:p>
      <w:pPr>
        <w:pStyle w:val="25"/>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default" w:ascii="黑体" w:hAnsi="黑体" w:eastAsia="黑体" w:cs="黑体"/>
          <w:color w:val="auto"/>
          <w:kern w:val="2"/>
          <w:sz w:val="28"/>
          <w:szCs w:val="28"/>
          <w:highlight w:val="none"/>
          <w:lang w:val="en-US" w:eastAsia="zh-CN" w:bidi="ar-SA"/>
        </w:rPr>
      </w:pPr>
      <w:r>
        <w:rPr>
          <w:rFonts w:hint="eastAsia" w:ascii="黑体" w:hAnsi="黑体" w:eastAsia="黑体" w:cs="黑体"/>
          <w:color w:val="auto"/>
          <w:kern w:val="2"/>
          <w:sz w:val="28"/>
          <w:szCs w:val="28"/>
          <w:highlight w:val="none"/>
          <w:lang w:val="en-US" w:eastAsia="zh-CN" w:bidi="ar-SA"/>
        </w:rPr>
        <w:t>六、报名方式：</w:t>
      </w:r>
      <w:r>
        <w:rPr>
          <w:rFonts w:hint="eastAsia" w:ascii="仿宋_GB2312" w:hAnsi="仿宋_GB2312" w:eastAsia="仿宋_GB2312" w:cs="仿宋_GB2312"/>
          <w:color w:val="auto"/>
          <w:kern w:val="2"/>
          <w:sz w:val="28"/>
          <w:szCs w:val="28"/>
          <w:highlight w:val="none"/>
          <w:lang w:val="en-US" w:eastAsia="zh-CN" w:bidi="ar-SA"/>
        </w:rPr>
        <w:t>现场报名或邮寄（选择邮寄方式需与采购人电话确认是否已签收并通过报名）。</w:t>
      </w:r>
    </w:p>
    <w:p>
      <w:pPr>
        <w:pStyle w:val="25"/>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黑体" w:hAnsi="黑体" w:eastAsia="黑体" w:cs="黑体"/>
          <w:color w:val="auto"/>
          <w:kern w:val="2"/>
          <w:sz w:val="28"/>
          <w:szCs w:val="28"/>
          <w:highlight w:val="none"/>
          <w:lang w:val="en-US" w:eastAsia="zh-CN" w:bidi="ar-SA"/>
        </w:rPr>
        <w:t>七、报名截止时间及地点：</w:t>
      </w:r>
      <w:r>
        <w:rPr>
          <w:rFonts w:hint="eastAsia" w:ascii="仿宋_GB2312" w:hAnsi="仿宋_GB2312" w:eastAsia="仿宋_GB2312" w:cs="仿宋_GB2312"/>
          <w:color w:val="auto"/>
          <w:kern w:val="2"/>
          <w:sz w:val="28"/>
          <w:szCs w:val="28"/>
          <w:highlight w:val="none"/>
          <w:lang w:val="en-US" w:eastAsia="zh-CN" w:bidi="ar-SA"/>
        </w:rPr>
        <w:t>2026年7月9日</w:t>
      </w:r>
      <w:bookmarkStart w:id="0" w:name="OLE_LINK1"/>
      <w:r>
        <w:rPr>
          <w:rFonts w:hint="eastAsia" w:ascii="仿宋_GB2312" w:hAnsi="仿宋_GB2312" w:eastAsia="仿宋_GB2312" w:cs="仿宋_GB2312"/>
          <w:color w:val="auto"/>
          <w:kern w:val="2"/>
          <w:sz w:val="28"/>
          <w:szCs w:val="28"/>
          <w:highlight w:val="none"/>
          <w:lang w:val="en-US" w:eastAsia="zh-CN" w:bidi="ar-SA"/>
        </w:rPr>
        <w:t>下午5点</w:t>
      </w:r>
      <w:bookmarkEnd w:id="0"/>
      <w:r>
        <w:rPr>
          <w:rFonts w:hint="eastAsia" w:ascii="仿宋_GB2312" w:hAnsi="仿宋_GB2312" w:eastAsia="仿宋_GB2312" w:cs="仿宋_GB2312"/>
          <w:color w:val="auto"/>
          <w:kern w:val="2"/>
          <w:sz w:val="28"/>
          <w:szCs w:val="28"/>
          <w:highlight w:val="none"/>
          <w:lang w:val="en-US" w:eastAsia="zh-CN" w:bidi="ar-SA"/>
        </w:rPr>
        <w:t>，布吉街道吉华路175号综合楼810招采办。</w:t>
      </w:r>
    </w:p>
    <w:p>
      <w:pPr>
        <w:pStyle w:val="25"/>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黑体" w:hAnsi="黑体" w:eastAsia="黑体" w:cs="黑体"/>
          <w:color w:val="auto"/>
          <w:kern w:val="2"/>
          <w:sz w:val="28"/>
          <w:szCs w:val="28"/>
          <w:highlight w:val="none"/>
          <w:lang w:val="en-US" w:eastAsia="zh-CN" w:bidi="ar-SA"/>
        </w:rPr>
        <w:t>八、递交投标文件及开标时间及地点：</w:t>
      </w:r>
      <w:r>
        <w:rPr>
          <w:rFonts w:hint="eastAsia" w:ascii="仿宋_GB2312" w:hAnsi="仿宋_GB2312" w:eastAsia="仿宋_GB2312" w:cs="仿宋_GB2312"/>
          <w:color w:val="auto"/>
          <w:kern w:val="2"/>
          <w:sz w:val="28"/>
          <w:szCs w:val="28"/>
          <w:highlight w:val="none"/>
          <w:lang w:val="en-US" w:eastAsia="zh-CN" w:bidi="ar-SA"/>
        </w:rPr>
        <w:t>2026年7月10日下午3点，深圳市龙岗区布吉街道吉华路175号龙岭院区综合楼1002会议室（如有变动，另行通知）。</w:t>
      </w:r>
    </w:p>
    <w:p>
      <w:pPr>
        <w:pStyle w:val="25"/>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黑体" w:hAnsi="黑体" w:eastAsia="黑体" w:cs="黑体"/>
          <w:color w:val="auto"/>
          <w:kern w:val="2"/>
          <w:sz w:val="28"/>
          <w:szCs w:val="28"/>
          <w:highlight w:val="none"/>
          <w:lang w:val="en-US" w:eastAsia="zh-CN" w:bidi="ar-SA"/>
        </w:rPr>
        <w:t>九、联系人及联系电话：</w:t>
      </w:r>
      <w:r>
        <w:rPr>
          <w:rFonts w:hint="eastAsia" w:ascii="仿宋_GB2312" w:hAnsi="仿宋_GB2312" w:eastAsia="仿宋_GB2312" w:cs="仿宋_GB2312"/>
          <w:color w:val="auto"/>
          <w:kern w:val="2"/>
          <w:sz w:val="28"/>
          <w:szCs w:val="28"/>
          <w:highlight w:val="none"/>
          <w:lang w:val="en-US" w:eastAsia="zh-CN" w:bidi="ar-SA"/>
        </w:rPr>
        <w:t>陈工、李工，0755-28740606-3810。</w:t>
      </w:r>
    </w:p>
    <w:p>
      <w:pPr>
        <w:pStyle w:val="25"/>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黑体" w:hAnsi="黑体" w:eastAsia="黑体" w:cs="黑体"/>
          <w:color w:val="auto"/>
          <w:kern w:val="2"/>
          <w:sz w:val="28"/>
          <w:szCs w:val="28"/>
          <w:highlight w:val="none"/>
          <w:lang w:val="en-US" w:eastAsia="zh-CN" w:bidi="ar-SA"/>
        </w:rPr>
        <w:t>十、公告日期：</w:t>
      </w:r>
      <w:r>
        <w:rPr>
          <w:rFonts w:hint="eastAsia" w:ascii="仿宋_GB2312" w:hAnsi="仿宋_GB2312" w:eastAsia="仿宋_GB2312" w:cs="仿宋_GB2312"/>
          <w:color w:val="auto"/>
          <w:kern w:val="2"/>
          <w:sz w:val="28"/>
          <w:szCs w:val="28"/>
          <w:highlight w:val="none"/>
          <w:lang w:val="en-US" w:eastAsia="zh-CN" w:bidi="ar-SA"/>
        </w:rPr>
        <w:t>自公告发布之日起5个工作日。</w:t>
      </w:r>
    </w:p>
    <w:p>
      <w:pPr>
        <w:pStyle w:val="27"/>
        <w:keepNext w:val="0"/>
        <w:keepLines w:val="0"/>
        <w:pageBreakBefore w:val="0"/>
        <w:kinsoku/>
        <w:wordWrap/>
        <w:overflowPunct/>
        <w:topLinePunct w:val="0"/>
        <w:autoSpaceDE/>
        <w:autoSpaceDN/>
        <w:bidi w:val="0"/>
        <w:adjustRightInd/>
        <w:snapToGrid/>
        <w:spacing w:line="540" w:lineRule="exact"/>
        <w:ind w:firstLine="560"/>
        <w:jc w:val="left"/>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附件：</w:t>
      </w:r>
    </w:p>
    <w:p>
      <w:pPr>
        <w:pStyle w:val="27"/>
        <w:keepNext w:val="0"/>
        <w:keepLines w:val="0"/>
        <w:pageBreakBefore w:val="0"/>
        <w:kinsoku/>
        <w:wordWrap/>
        <w:overflowPunct/>
        <w:topLinePunct w:val="0"/>
        <w:autoSpaceDE/>
        <w:autoSpaceDN/>
        <w:bidi w:val="0"/>
        <w:adjustRightInd/>
        <w:snapToGrid/>
        <w:spacing w:line="540" w:lineRule="exact"/>
        <w:ind w:left="0" w:leftChars="0" w:firstLine="560" w:firstLineChars="0"/>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1.深圳市龙岗区第七人民医院院内公开采购报名表</w:t>
      </w:r>
    </w:p>
    <w:p>
      <w:pPr>
        <w:keepNext w:val="0"/>
        <w:keepLines w:val="0"/>
        <w:pageBreakBefore w:val="0"/>
        <w:kinsoku/>
        <w:wordWrap/>
        <w:overflowPunct/>
        <w:topLinePunct w:val="0"/>
        <w:autoSpaceDE/>
        <w:autoSpaceDN/>
        <w:bidi w:val="0"/>
        <w:adjustRightInd/>
        <w:snapToGrid/>
        <w:spacing w:line="540" w:lineRule="exact"/>
        <w:ind w:left="839" w:leftChars="266" w:hanging="280" w:hangingChars="100"/>
        <w:jc w:val="both"/>
        <w:textAlignment w:val="auto"/>
        <w:rPr>
          <w:rFonts w:ascii="仿宋_GB2312" w:eastAsia="仿宋_GB2312"/>
          <w:color w:val="auto"/>
          <w:sz w:val="28"/>
          <w:szCs w:val="28"/>
          <w:highlight w:val="none"/>
        </w:rPr>
      </w:pPr>
      <w:r>
        <w:rPr>
          <w:rFonts w:hint="eastAsia" w:ascii="仿宋_GB2312" w:hAnsi="仿宋_GB2312" w:eastAsia="仿宋_GB2312" w:cs="仿宋_GB2312"/>
          <w:color w:val="auto"/>
          <w:kern w:val="2"/>
          <w:sz w:val="28"/>
          <w:szCs w:val="28"/>
          <w:highlight w:val="none"/>
          <w:lang w:val="en-US" w:eastAsia="zh-CN" w:bidi="ar-SA"/>
        </w:rPr>
        <w:t>2.</w:t>
      </w:r>
      <w:r>
        <w:rPr>
          <w:rFonts w:hint="eastAsia" w:ascii="仿宋_GB2312" w:hAnsi="宋体" w:eastAsia="仿宋_GB2312"/>
          <w:color w:val="auto"/>
          <w:sz w:val="28"/>
          <w:szCs w:val="28"/>
          <w:highlight w:val="none"/>
          <w:lang w:val="en-US" w:eastAsia="zh-CN"/>
        </w:rPr>
        <w:t>深圳市龙岗区第七人民医院消化内镜能量平台（氩气高频电刀）及内镜注水泵采购项目</w:t>
      </w:r>
      <w:r>
        <w:rPr>
          <w:rFonts w:hint="eastAsia" w:ascii="仿宋_GB2312" w:hAnsi="仿宋_GB2312" w:eastAsia="仿宋_GB2312" w:cs="仿宋_GB2312"/>
          <w:color w:val="auto"/>
          <w:kern w:val="2"/>
          <w:sz w:val="28"/>
          <w:szCs w:val="28"/>
          <w:highlight w:val="none"/>
          <w:lang w:val="en-US" w:eastAsia="zh-CN" w:bidi="ar-SA"/>
        </w:rPr>
        <w:t>招标文件</w:t>
      </w:r>
    </w:p>
    <w:p>
      <w:pPr>
        <w:pStyle w:val="27"/>
        <w:keepNext w:val="0"/>
        <w:keepLines w:val="0"/>
        <w:pageBreakBefore w:val="0"/>
        <w:kinsoku/>
        <w:wordWrap/>
        <w:overflowPunct/>
        <w:topLinePunct w:val="0"/>
        <w:autoSpaceDE/>
        <w:autoSpaceDN/>
        <w:bidi w:val="0"/>
        <w:adjustRightInd/>
        <w:snapToGrid/>
        <w:spacing w:line="540" w:lineRule="exact"/>
        <w:ind w:firstLine="560"/>
        <w:jc w:val="right"/>
        <w:textAlignment w:val="auto"/>
        <w:rPr>
          <w:rFonts w:hint="eastAsia" w:ascii="仿宋_GB2312" w:eastAsia="仿宋_GB2312"/>
          <w:color w:val="auto"/>
          <w:sz w:val="28"/>
          <w:szCs w:val="28"/>
          <w:highlight w:val="none"/>
        </w:rPr>
      </w:pPr>
    </w:p>
    <w:p>
      <w:pPr>
        <w:pStyle w:val="27"/>
        <w:keepNext w:val="0"/>
        <w:keepLines w:val="0"/>
        <w:pageBreakBefore w:val="0"/>
        <w:kinsoku/>
        <w:wordWrap/>
        <w:overflowPunct/>
        <w:topLinePunct w:val="0"/>
        <w:autoSpaceDE/>
        <w:autoSpaceDN/>
        <w:bidi w:val="0"/>
        <w:adjustRightInd/>
        <w:snapToGrid/>
        <w:spacing w:line="540" w:lineRule="exact"/>
        <w:ind w:firstLine="560"/>
        <w:jc w:val="right"/>
        <w:textAlignment w:val="auto"/>
        <w:rPr>
          <w:rFonts w:hint="eastAsia" w:ascii="仿宋_GB2312" w:eastAsia="仿宋_GB2312"/>
          <w:color w:val="auto"/>
          <w:sz w:val="28"/>
          <w:szCs w:val="28"/>
          <w:highlight w:val="none"/>
        </w:rPr>
      </w:pPr>
    </w:p>
    <w:p>
      <w:pPr>
        <w:pStyle w:val="27"/>
        <w:keepNext w:val="0"/>
        <w:keepLines w:val="0"/>
        <w:pageBreakBefore w:val="0"/>
        <w:kinsoku/>
        <w:wordWrap/>
        <w:overflowPunct/>
        <w:topLinePunct w:val="0"/>
        <w:autoSpaceDE/>
        <w:autoSpaceDN/>
        <w:bidi w:val="0"/>
        <w:adjustRightInd/>
        <w:snapToGrid/>
        <w:spacing w:line="540" w:lineRule="exact"/>
        <w:ind w:firstLine="560"/>
        <w:jc w:val="righ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深圳市龙岗区第七人民医院</w:t>
      </w:r>
    </w:p>
    <w:p>
      <w:pPr>
        <w:pStyle w:val="27"/>
        <w:keepNext w:val="0"/>
        <w:keepLines w:val="0"/>
        <w:pageBreakBefore w:val="0"/>
        <w:kinsoku/>
        <w:wordWrap/>
        <w:overflowPunct/>
        <w:topLinePunct w:val="0"/>
        <w:autoSpaceDE/>
        <w:autoSpaceDN/>
        <w:bidi w:val="0"/>
        <w:adjustRightInd/>
        <w:snapToGrid/>
        <w:spacing w:line="540" w:lineRule="exact"/>
        <w:ind w:firstLine="560"/>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eastAsia="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val="en-US" w:eastAsia="zh-CN"/>
        </w:rPr>
        <w:t>2026年7月2日</w:t>
      </w:r>
    </w:p>
    <w:p>
      <w:pPr>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br w:type="page"/>
      </w:r>
    </w:p>
    <w:p>
      <w:pPr>
        <w:keepNext w:val="0"/>
        <w:keepLines w:val="0"/>
        <w:pageBreakBefore w:val="0"/>
        <w:numPr>
          <w:ilvl w:val="0"/>
          <w:numId w:val="1"/>
        </w:numPr>
        <w:kinsoku/>
        <w:wordWrap/>
        <w:overflowPunct/>
        <w:topLinePunct w:val="0"/>
        <w:autoSpaceDE/>
        <w:autoSpaceDN/>
        <w:bidi w:val="0"/>
        <w:adjustRightInd/>
        <w:snapToGrid/>
        <w:spacing w:line="560" w:lineRule="exact"/>
        <w:jc w:val="center"/>
        <w:textAlignment w:val="auto"/>
        <w:rPr>
          <w:rFonts w:ascii="仿宋_GB2312" w:hAnsi="仿宋_GB2312" w:eastAsia="仿宋_GB2312" w:cs="仿宋_GB2312"/>
          <w:b/>
          <w:bCs/>
          <w:color w:val="auto"/>
          <w:sz w:val="44"/>
          <w:szCs w:val="44"/>
          <w:highlight w:val="none"/>
        </w:rPr>
      </w:pPr>
      <w:r>
        <w:rPr>
          <w:rFonts w:hint="eastAsia" w:ascii="仿宋_GB2312" w:hAnsi="仿宋_GB2312" w:eastAsia="仿宋_GB2312" w:cs="仿宋_GB2312"/>
          <w:b/>
          <w:bCs/>
          <w:color w:val="auto"/>
          <w:sz w:val="44"/>
          <w:szCs w:val="44"/>
          <w:highlight w:val="none"/>
        </w:rPr>
        <w:t>院内公开采购项目需求</w:t>
      </w:r>
    </w:p>
    <w:p>
      <w:pPr>
        <w:pStyle w:val="25"/>
        <w:keepNext w:val="0"/>
        <w:keepLines w:val="0"/>
        <w:pageBreakBefore w:val="0"/>
        <w:numPr>
          <w:ilvl w:val="0"/>
          <w:numId w:val="0"/>
        </w:numPr>
        <w:kinsoku/>
        <w:wordWrap/>
        <w:overflowPunct/>
        <w:topLinePunct w:val="0"/>
        <w:autoSpaceDE/>
        <w:autoSpaceDN/>
        <w:bidi w:val="0"/>
        <w:adjustRightInd/>
        <w:snapToGrid/>
        <w:spacing w:line="560" w:lineRule="exact"/>
        <w:ind w:right="-82" w:rightChars="-39" w:firstLine="422" w:firstLineChars="200"/>
        <w:jc w:val="both"/>
        <w:textAlignment w:val="auto"/>
        <w:rPr>
          <w:rFonts w:hint="eastAsia" w:cs="宋体"/>
          <w:b/>
          <w:color w:val="auto"/>
          <w:szCs w:val="21"/>
          <w:highlight w:val="none"/>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黑体" w:hAnsi="黑体" w:eastAsia="黑体" w:cs="黑体"/>
          <w:b w:val="0"/>
          <w:bCs w:val="0"/>
          <w:color w:val="auto"/>
          <w:kern w:val="0"/>
          <w:sz w:val="28"/>
          <w:szCs w:val="28"/>
          <w:highlight w:val="none"/>
          <w:lang w:val="en-US" w:eastAsia="zh-CN" w:bidi="ar-SA"/>
        </w:rPr>
        <w:t>一、项目概况：</w:t>
      </w:r>
      <w:r>
        <w:rPr>
          <w:rFonts w:hint="eastAsia" w:ascii="仿宋_GB2312" w:hAnsi="仿宋_GB2312" w:eastAsia="仿宋_GB2312" w:cs="仿宋_GB2312"/>
          <w:color w:val="auto"/>
          <w:kern w:val="2"/>
          <w:sz w:val="28"/>
          <w:szCs w:val="28"/>
          <w:highlight w:val="none"/>
          <w:lang w:val="en-US" w:eastAsia="zh-CN" w:bidi="ar-SA"/>
        </w:rPr>
        <w:t>龙岭院区于2026年4月3日正式复业开科，目前门诊、住院业务有序开展，诊疗服务持续扩容，消化内科就诊量稳步增长。受居民饮食及生活习惯改变影响，辖区胃肠道疾病患者日益增多，群众在基础胃肠疾病诊疗基础上，对内镜下微创切除、止血、病灶消融等精细化、微创化专科医疗服务需求持续提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目前我院消化内科缺乏专业的内镜微创治疗及配套设备，仅可开展基础胃肠镜筛查、问诊及药物保守治疗，无法开展氩气高频电刀微创治疗、内镜下病灶处理等特色项目，存在诊疗项目单一、微创诊疗能力不足、专科服务薄弱等问题，难以满足群众多元化就医需求，制约了科室专科建设与业务发展。为补齐设备短板、完善内镜诊疗体系、提升微创诊疗水平，结合院区学科发展规划，我院拟采购消化内镜能量平台（氩气高频电刀）及内镜注水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本次采购设备为消化内科临床刚需核心设备，是开展内镜微创诊疗的关键配套设施。设备投入使用后，可有效填补院区消化内镜微创诊疗业务空白，丰富诊疗项目、提升微创诊疗质量与安全性，优化患者就医体验。同时助力科室规范化开展微创诊疗业务，强化专科服务能力，夯实院区综合医疗服务水平，为辖区居民提供优质、高效的消化疾病诊疗服务。</w:t>
      </w:r>
    </w:p>
    <w:p>
      <w:pPr>
        <w:pStyle w:val="3"/>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黑体" w:hAnsi="黑体" w:eastAsia="黑体" w:cs="黑体"/>
          <w:b w:val="0"/>
          <w:bCs w:val="0"/>
          <w:color w:val="auto"/>
          <w:kern w:val="0"/>
          <w:sz w:val="28"/>
          <w:szCs w:val="28"/>
          <w:highlight w:val="none"/>
          <w:lang w:val="en-US" w:eastAsia="zh-CN" w:bidi="ar-SA"/>
        </w:rPr>
        <w:t>二、预算金额：</w:t>
      </w:r>
      <w:r>
        <w:rPr>
          <w:rFonts w:ascii="仿宋_GB2312" w:hAnsi="仿宋_GB2312" w:eastAsia="仿宋_GB2312" w:cs="仿宋_GB2312"/>
          <w:color w:val="auto"/>
          <w:sz w:val="28"/>
          <w:szCs w:val="28"/>
          <w:highlight w:val="none"/>
        </w:rPr>
        <w:t>预算</w:t>
      </w:r>
      <w:r>
        <w:rPr>
          <w:rFonts w:hint="eastAsia" w:ascii="仿宋_GB2312" w:hAnsi="仿宋_GB2312" w:eastAsia="仿宋_GB2312" w:cs="仿宋_GB2312"/>
          <w:color w:val="auto"/>
          <w:kern w:val="0"/>
          <w:sz w:val="28"/>
          <w:szCs w:val="28"/>
          <w:highlight w:val="none"/>
        </w:rPr>
        <w:t>金额为</w:t>
      </w:r>
      <w:r>
        <w:rPr>
          <w:rFonts w:hint="eastAsia" w:ascii="仿宋_GB2312" w:hAnsi="仿宋_GB2312" w:eastAsia="仿宋_GB2312" w:cs="仿宋_GB2312"/>
          <w:color w:val="auto"/>
          <w:kern w:val="0"/>
          <w:sz w:val="28"/>
          <w:szCs w:val="28"/>
          <w:highlight w:val="none"/>
          <w:lang w:val="en-US" w:eastAsia="zh-CN"/>
        </w:rPr>
        <w:t>15.98万</w:t>
      </w:r>
      <w:r>
        <w:rPr>
          <w:rFonts w:hint="eastAsia" w:ascii="仿宋_GB2312" w:hAnsi="仿宋_GB2312" w:eastAsia="仿宋_GB2312" w:cs="仿宋_GB2312"/>
          <w:color w:val="auto"/>
          <w:kern w:val="0"/>
          <w:sz w:val="28"/>
          <w:szCs w:val="28"/>
          <w:highlight w:val="none"/>
        </w:rPr>
        <w:t>元</w:t>
      </w:r>
      <w:r>
        <w:rPr>
          <w:rFonts w:hint="eastAsia" w:ascii="仿宋_GB2312" w:hAnsi="仿宋_GB2312" w:eastAsia="仿宋_GB2312" w:cs="仿宋_GB2312"/>
          <w:color w:val="auto"/>
          <w:kern w:val="0"/>
          <w:sz w:val="28"/>
          <w:szCs w:val="28"/>
          <w:highlight w:val="none"/>
          <w:lang w:eastAsia="zh-CN"/>
        </w:rPr>
        <w:t>。</w:t>
      </w:r>
    </w:p>
    <w:p>
      <w:pPr>
        <w:pStyle w:val="25"/>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ascii="仿宋_GB2312" w:hAnsi="仿宋_GB2312" w:eastAsia="仿宋_GB2312" w:cs="仿宋_GB2312"/>
          <w:b/>
          <w:bCs/>
          <w:color w:val="auto"/>
          <w:sz w:val="28"/>
          <w:szCs w:val="28"/>
          <w:highlight w:val="none"/>
        </w:rPr>
      </w:pPr>
      <w:r>
        <w:rPr>
          <w:rFonts w:hint="eastAsia" w:ascii="黑体" w:hAnsi="黑体" w:eastAsia="黑体" w:cs="黑体"/>
          <w:b w:val="0"/>
          <w:bCs w:val="0"/>
          <w:color w:val="auto"/>
          <w:kern w:val="0"/>
          <w:sz w:val="28"/>
          <w:szCs w:val="28"/>
          <w:highlight w:val="none"/>
          <w:lang w:val="en-US" w:eastAsia="zh-CN" w:bidi="ar-SA"/>
        </w:rPr>
        <w:t>三、采购组织形式（勾选）：</w:t>
      </w:r>
      <w:r>
        <w:rPr>
          <w:rFonts w:hint="eastAsia" w:ascii="仿宋_GB2312" w:hAnsi="仿宋_GB2312" w:eastAsia="仿宋_GB2312" w:cs="仿宋_GB2312"/>
          <w:color w:val="auto"/>
          <w:sz w:val="28"/>
          <w:szCs w:val="28"/>
          <w:highlight w:val="none"/>
        </w:rPr>
        <w:t>政府集中采购□、院内集中采购☑、院内委托代理采购□、集团联合采购□、其他□。</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color w:val="auto"/>
          <w:highlight w:val="none"/>
        </w:rPr>
      </w:pPr>
      <w:r>
        <w:rPr>
          <w:rFonts w:hint="eastAsia" w:ascii="黑体" w:hAnsi="黑体" w:eastAsia="黑体" w:cs="黑体"/>
          <w:b w:val="0"/>
          <w:bCs w:val="0"/>
          <w:color w:val="auto"/>
          <w:kern w:val="0"/>
          <w:sz w:val="28"/>
          <w:szCs w:val="28"/>
          <w:highlight w:val="none"/>
          <w:lang w:val="en-US" w:eastAsia="zh-CN" w:bidi="ar-SA"/>
        </w:rPr>
        <w:t>四、采购方式（勾选）：</w:t>
      </w:r>
      <w:r>
        <w:rPr>
          <w:rFonts w:hint="eastAsia" w:ascii="仿宋_GB2312" w:hAnsi="仿宋_GB2312" w:eastAsia="仿宋_GB2312" w:cs="仿宋_GB2312"/>
          <w:color w:val="auto"/>
          <w:sz w:val="28"/>
          <w:szCs w:val="28"/>
          <w:highlight w:val="none"/>
        </w:rPr>
        <w:t>院内招标</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、院内竞价</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、院内邀标□、院内询价</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、竞争性磋商□、院内直接议价□、其他□。</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黑体" w:hAnsi="黑体" w:eastAsia="黑体" w:cs="黑体"/>
          <w:b w:val="0"/>
          <w:bCs w:val="0"/>
          <w:color w:val="auto"/>
          <w:kern w:val="0"/>
          <w:sz w:val="28"/>
          <w:szCs w:val="28"/>
          <w:highlight w:val="none"/>
          <w:lang w:val="en-US" w:eastAsia="zh-CN" w:bidi="ar-SA"/>
        </w:rPr>
      </w:pPr>
      <w:r>
        <w:rPr>
          <w:rFonts w:hint="eastAsia" w:ascii="黑体" w:hAnsi="黑体" w:eastAsia="黑体" w:cs="黑体"/>
          <w:b w:val="0"/>
          <w:bCs w:val="0"/>
          <w:color w:val="auto"/>
          <w:kern w:val="0"/>
          <w:sz w:val="28"/>
          <w:szCs w:val="28"/>
          <w:highlight w:val="none"/>
          <w:lang w:val="en-US" w:eastAsia="zh-CN" w:bidi="ar-SA"/>
        </w:rPr>
        <w:t>五、投标人资格要求</w:t>
      </w:r>
    </w:p>
    <w:p>
      <w:pPr>
        <w:pStyle w:val="25"/>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楷体_GB2312" w:hAnsi="楷体_GB2312" w:eastAsia="楷体_GB2312" w:cs="楷体_GB2312"/>
          <w:color w:val="auto"/>
          <w:kern w:val="2"/>
          <w:sz w:val="28"/>
          <w:szCs w:val="28"/>
          <w:highlight w:val="none"/>
          <w:lang w:val="en-US" w:eastAsia="zh-CN" w:bidi="ar-SA"/>
        </w:rPr>
      </w:pPr>
      <w:r>
        <w:rPr>
          <w:rFonts w:hint="eastAsia" w:ascii="楷体_GB2312" w:hAnsi="楷体_GB2312" w:eastAsia="楷体_GB2312" w:cs="楷体_GB2312"/>
          <w:color w:val="auto"/>
          <w:kern w:val="2"/>
          <w:sz w:val="28"/>
          <w:szCs w:val="28"/>
          <w:highlight w:val="none"/>
          <w:lang w:val="en-US" w:eastAsia="zh-CN" w:bidi="ar-SA"/>
        </w:rPr>
        <w:t>（一）基本资格条件</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满足《中华人民共和国政府采购法》第二十二条规定（须提供具有独立承担民事责任能力的法人或其他组织的营业执照或法人证书等证明材料复印件或扫描件以及《投标及履约承诺函》加盖投标人公章），总公司或者分公司只允许一家投标，不允许同时参与本项目投标，以分公司名义参与投标的，须提供总公司或具有独立法人资格的上一级公司出具的愿为其参与本项目投标以及履约等行为承担民事责任的加盖总公司公章的授权函，并提供总公司及分公司的营业执照复印件或扫描件加盖投标人公章，原件备查；</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2.落实政府采购政策需满足的资格要求：无；</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楷体_GB2312" w:hAnsi="楷体_GB2312" w:eastAsia="楷体_GB2312" w:cs="楷体_GB2312"/>
          <w:color w:val="auto"/>
          <w:kern w:val="2"/>
          <w:sz w:val="28"/>
          <w:szCs w:val="28"/>
          <w:highlight w:val="none"/>
          <w:lang w:val="en-US" w:eastAsia="zh-CN" w:bidi="ar-SA"/>
        </w:rPr>
      </w:pPr>
      <w:r>
        <w:rPr>
          <w:rFonts w:hint="eastAsia" w:ascii="楷体_GB2312" w:hAnsi="楷体_GB2312" w:eastAsia="楷体_GB2312" w:cs="楷体_GB2312"/>
          <w:color w:val="auto"/>
          <w:kern w:val="2"/>
          <w:sz w:val="28"/>
          <w:szCs w:val="28"/>
          <w:highlight w:val="none"/>
          <w:lang w:val="en-US" w:eastAsia="zh-CN" w:bidi="ar-SA"/>
        </w:rPr>
        <w:t>（二）本项目的特定资格要求</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1.参与本项目投标前三年内，在经营活动中没有重大违法记录（须按本项目投标文件格式要求提供《投标及履约承诺函》加盖投标人公章）；</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2.参与本项目政府采购活动时不存在被有关部门禁止参与政府采购活动且在有效期内的情况（须按本项目投标文件格式要求提供《投标及履约承诺函》加盖投标人公章）；</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3.单位负责人为同一人或者存在直接控股、管理关系的不同供应商，不得参加同一合同项下的政府采购活动（须按本项目投标文件格式要求提供《投标及履约承诺函》加盖投标人公章）；</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4.除单一来源采购项目外，为采购项目提供整体设计、规范编制或者项目管理、监理、检测等服务的供应商，不得再参加该采购项目的其他采购活动（须按本项目投标文件格式要求提供《投标及履约承诺函》加盖投标人公章）；</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5.参与本项目不存在《深圳市财政局政府采购供应商信用信息管理办法》列明的严重违法失信行为（须按本项目投标文件格式要求提供《投标及履约承诺函》加盖投标人公章）；</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6.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7.投标人未被列入失信被执行人、重大税收违法案件当事人名单及政府采购严重违法失信行为记录名单（“信用中国”“信用服务”栏的“重大税收违法失信主体”“失信被执行人”，“中国政府采购网”“政府采购严重违法失信行为记录名单”以及“深圳市政府采购监管网”为投标人信用信息查询渠道，相关信息以开标当日的查询结果为准；</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8.投标人须提供国家企业信用信息公示系统或机关赋码和事业单位登记管理网或全国社会组织信用信息公示平台网站截图，作为不同供应商之间不存在单位负责人为同一人或者直接控股、管理关系的补充证明；</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9.本项目不接受联合体投标，不允许分包或转包；</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10.本项目不接受进口产品投标（进口产品是指通过中国海关报关验放进入中国境内且产自关境外的产品）；</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11.投标人若为生产企业：所投产品为第二、三类医疗器械的，提供药品监督管理部门颁发的涵盖所投医疗器械的《医疗器械生产许可证》（有效期内）扫描件，原件备查；</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投标人若为经营企业，所投产品为第二类医疗器械的，提供药品监督管理部门颁发的涵盖所投医疗器械的《医疗器械经营备案凭证》（有效期内）扫描件，原件备查；所投产品为第三类医疗器械的，提供药品监督管理部门颁发的涵盖所投医疗器械的《医疗器械经营许可证》（有效期内）扫描件，原件备查；</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12.产品具备相关主管部门要求的认证资料：所投产品为第一类医疗器械的，提供药品监督管理部门签发的有效的《医疗器械备案凭证》或《医疗器械备案编号告知书》扫描件，原件备查；所投产品为第二、三类医疗器械的，提供药品监督管理部门签发的涵盖所投产品的《医疗器械注册证》（有效期内）扫描件，原件备查。</w:t>
      </w:r>
    </w:p>
    <w:p>
      <w:pPr>
        <w:keepLines w:val="0"/>
        <w:pageBreakBefore w:val="0"/>
        <w:kinsoku/>
        <w:wordWrap/>
        <w:overflowPunct/>
        <w:topLinePunct w:val="0"/>
        <w:bidi w:val="0"/>
        <w:spacing w:line="560" w:lineRule="exact"/>
        <w:ind w:firstLine="560" w:firstLineChars="200"/>
        <w:rPr>
          <w:rFonts w:hint="default" w:ascii="黑体" w:hAnsi="黑体" w:eastAsia="黑体" w:cs="黑体"/>
          <w:b w:val="0"/>
          <w:bCs w:val="0"/>
          <w:color w:val="auto"/>
          <w:kern w:val="0"/>
          <w:sz w:val="28"/>
          <w:szCs w:val="28"/>
          <w:highlight w:val="none"/>
          <w:lang w:val="en-US" w:eastAsia="zh-CN" w:bidi="ar-SA"/>
        </w:rPr>
      </w:pPr>
      <w:r>
        <w:rPr>
          <w:rFonts w:hint="eastAsia" w:ascii="黑体" w:hAnsi="黑体" w:eastAsia="黑体" w:cs="黑体"/>
          <w:b w:val="0"/>
          <w:bCs w:val="0"/>
          <w:color w:val="auto"/>
          <w:kern w:val="0"/>
          <w:sz w:val="28"/>
          <w:szCs w:val="28"/>
          <w:highlight w:val="none"/>
          <w:lang w:val="en-US" w:eastAsia="zh-CN" w:bidi="ar-SA"/>
        </w:rPr>
        <w:t>六、采购内容及要求</w:t>
      </w:r>
    </w:p>
    <w:p>
      <w:pPr>
        <w:keepLines w:val="0"/>
        <w:pageBreakBefore w:val="0"/>
        <w:widowControl/>
        <w:numPr>
          <w:ilvl w:val="-1"/>
          <w:numId w:val="0"/>
        </w:numPr>
        <w:kinsoku/>
        <w:wordWrap/>
        <w:overflowPunct/>
        <w:topLinePunct w:val="0"/>
        <w:bidi w:val="0"/>
        <w:spacing w:line="560" w:lineRule="exact"/>
        <w:ind w:leftChars="0" w:firstLine="560" w:firstLineChars="200"/>
        <w:rPr>
          <w:rFonts w:hint="eastAsia" w:ascii="楷体_GB2312" w:hAnsi="楷体_GB2312" w:eastAsia="楷体_GB2312" w:cs="楷体_GB2312"/>
          <w:b w:val="0"/>
          <w:bCs w:val="0"/>
          <w:color w:val="auto"/>
          <w:sz w:val="28"/>
          <w:szCs w:val="28"/>
          <w:highlight w:val="none"/>
          <w:lang w:val="en-US" w:eastAsia="zh-CN"/>
        </w:rPr>
      </w:pPr>
      <w:r>
        <w:rPr>
          <w:rFonts w:hint="eastAsia" w:ascii="楷体_GB2312" w:hAnsi="楷体_GB2312" w:eastAsia="楷体_GB2312" w:cs="楷体_GB2312"/>
          <w:b w:val="0"/>
          <w:bCs w:val="0"/>
          <w:color w:val="auto"/>
          <w:sz w:val="28"/>
          <w:szCs w:val="28"/>
          <w:highlight w:val="none"/>
          <w:lang w:eastAsia="zh-CN"/>
        </w:rPr>
        <w:t>（</w:t>
      </w:r>
      <w:r>
        <w:rPr>
          <w:rFonts w:hint="eastAsia" w:ascii="楷体_GB2312" w:hAnsi="楷体_GB2312" w:eastAsia="楷体_GB2312" w:cs="楷体_GB2312"/>
          <w:b w:val="0"/>
          <w:bCs w:val="0"/>
          <w:color w:val="auto"/>
          <w:sz w:val="28"/>
          <w:szCs w:val="28"/>
          <w:highlight w:val="none"/>
          <w:lang w:val="en-US" w:eastAsia="zh-CN"/>
        </w:rPr>
        <w:t>一</w:t>
      </w:r>
      <w:r>
        <w:rPr>
          <w:rFonts w:hint="eastAsia" w:ascii="楷体_GB2312" w:hAnsi="楷体_GB2312" w:eastAsia="楷体_GB2312" w:cs="楷体_GB2312"/>
          <w:b w:val="0"/>
          <w:bCs w:val="0"/>
          <w:color w:val="auto"/>
          <w:sz w:val="28"/>
          <w:szCs w:val="28"/>
          <w:highlight w:val="none"/>
          <w:lang w:eastAsia="zh-CN"/>
        </w:rPr>
        <w:t>）</w:t>
      </w:r>
      <w:r>
        <w:rPr>
          <w:rFonts w:hint="eastAsia" w:ascii="楷体_GB2312" w:hAnsi="楷体_GB2312" w:eastAsia="楷体_GB2312" w:cs="楷体_GB2312"/>
          <w:b w:val="0"/>
          <w:bCs w:val="0"/>
          <w:color w:val="auto"/>
          <w:sz w:val="28"/>
          <w:szCs w:val="28"/>
          <w:highlight w:val="none"/>
          <w:lang w:val="en-US" w:eastAsia="zh-CN"/>
        </w:rPr>
        <w:t>采购总清单</w:t>
      </w:r>
    </w:p>
    <w:tbl>
      <w:tblPr>
        <w:tblStyle w:val="19"/>
        <w:tblW w:w="91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
        <w:gridCol w:w="2342"/>
        <w:gridCol w:w="420"/>
        <w:gridCol w:w="825"/>
        <w:gridCol w:w="1500"/>
        <w:gridCol w:w="1305"/>
        <w:gridCol w:w="1200"/>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524"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kern w:val="0"/>
                <w:sz w:val="22"/>
                <w:szCs w:val="22"/>
                <w:highlight w:val="none"/>
                <w:lang w:bidi="ar"/>
              </w:rPr>
              <w:t>序号</w:t>
            </w:r>
          </w:p>
        </w:tc>
        <w:tc>
          <w:tcPr>
            <w:tcW w:w="2342"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color w:val="auto"/>
                <w:kern w:val="0"/>
                <w:sz w:val="22"/>
                <w:szCs w:val="22"/>
                <w:highlight w:val="none"/>
                <w:lang w:bidi="ar"/>
              </w:rPr>
            </w:pPr>
            <w:r>
              <w:rPr>
                <w:rFonts w:hint="default" w:ascii="Times New Roman" w:hAnsi="Times New Roman" w:eastAsia="宋体" w:cs="Times New Roman"/>
                <w:b/>
                <w:bCs/>
                <w:color w:val="auto"/>
                <w:kern w:val="0"/>
                <w:sz w:val="22"/>
                <w:szCs w:val="22"/>
                <w:highlight w:val="none"/>
                <w:lang w:bidi="ar"/>
              </w:rPr>
              <w:t>货物名称</w:t>
            </w:r>
          </w:p>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kern w:val="0"/>
                <w:sz w:val="22"/>
                <w:szCs w:val="22"/>
                <w:highlight w:val="none"/>
                <w:lang w:bidi="ar"/>
              </w:rPr>
              <w:t>（标的名称）</w:t>
            </w:r>
          </w:p>
        </w:tc>
        <w:tc>
          <w:tcPr>
            <w:tcW w:w="4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kern w:val="0"/>
                <w:sz w:val="22"/>
                <w:szCs w:val="22"/>
                <w:highlight w:val="none"/>
                <w:lang w:bidi="ar"/>
              </w:rPr>
              <w:t>数量</w:t>
            </w:r>
          </w:p>
        </w:tc>
        <w:tc>
          <w:tcPr>
            <w:tcW w:w="8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color w:val="auto"/>
                <w:kern w:val="0"/>
                <w:sz w:val="22"/>
                <w:szCs w:val="22"/>
                <w:highlight w:val="none"/>
                <w:lang w:bidi="ar"/>
              </w:rPr>
            </w:pPr>
            <w:r>
              <w:rPr>
                <w:rFonts w:hint="default" w:ascii="Times New Roman" w:hAnsi="Times New Roman" w:eastAsia="宋体" w:cs="Times New Roman"/>
                <w:b/>
                <w:bCs/>
                <w:color w:val="auto"/>
                <w:kern w:val="0"/>
                <w:sz w:val="22"/>
                <w:szCs w:val="22"/>
                <w:highlight w:val="none"/>
                <w:lang w:bidi="ar"/>
              </w:rPr>
              <w:t>单位</w:t>
            </w:r>
          </w:p>
        </w:tc>
        <w:tc>
          <w:tcPr>
            <w:tcW w:w="150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单项限价</w:t>
            </w:r>
          </w:p>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color w:val="auto"/>
                <w:kern w:val="0"/>
                <w:sz w:val="22"/>
                <w:szCs w:val="22"/>
                <w:highlight w:val="none"/>
                <w:lang w:bidi="ar"/>
              </w:rPr>
            </w:pPr>
            <w:r>
              <w:rPr>
                <w:rFonts w:hint="default" w:ascii="Times New Roman" w:hAnsi="Times New Roman" w:eastAsia="宋体" w:cs="Times New Roman"/>
                <w:b/>
                <w:color w:val="auto"/>
                <w:sz w:val="22"/>
                <w:szCs w:val="22"/>
                <w:highlight w:val="none"/>
              </w:rPr>
              <w:t>（</w:t>
            </w:r>
            <w:r>
              <w:rPr>
                <w:rFonts w:hint="eastAsia" w:ascii="Times New Roman" w:hAnsi="Times New Roman" w:eastAsia="宋体" w:cs="Times New Roman"/>
                <w:b/>
                <w:color w:val="auto"/>
                <w:sz w:val="22"/>
                <w:szCs w:val="22"/>
                <w:highlight w:val="none"/>
                <w:lang w:val="en-US" w:eastAsia="zh-CN"/>
              </w:rPr>
              <w:t>万</w:t>
            </w:r>
            <w:r>
              <w:rPr>
                <w:rFonts w:hint="default" w:ascii="Times New Roman" w:hAnsi="Times New Roman" w:eastAsia="宋体" w:cs="Times New Roman"/>
                <w:b/>
                <w:color w:val="auto"/>
                <w:sz w:val="22"/>
                <w:szCs w:val="22"/>
                <w:highlight w:val="none"/>
              </w:rPr>
              <w:t>元）</w:t>
            </w:r>
          </w:p>
        </w:tc>
        <w:tc>
          <w:tcPr>
            <w:tcW w:w="130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color w:val="auto"/>
                <w:kern w:val="0"/>
                <w:sz w:val="22"/>
                <w:szCs w:val="22"/>
                <w:highlight w:val="none"/>
                <w:lang w:bidi="ar"/>
              </w:rPr>
            </w:pPr>
            <w:r>
              <w:rPr>
                <w:rFonts w:hint="eastAsia" w:ascii="Times New Roman" w:hAnsi="Times New Roman" w:eastAsia="宋体" w:cs="Times New Roman"/>
                <w:b/>
                <w:bCs/>
                <w:color w:val="auto"/>
                <w:sz w:val="22"/>
                <w:szCs w:val="22"/>
                <w:highlight w:val="none"/>
                <w:lang w:val="en-US" w:eastAsia="zh-CN"/>
              </w:rPr>
              <w:t>总</w:t>
            </w:r>
            <w:r>
              <w:rPr>
                <w:rFonts w:hint="default" w:ascii="Times New Roman" w:hAnsi="Times New Roman" w:eastAsia="宋体" w:cs="Times New Roman"/>
                <w:b/>
                <w:bCs/>
                <w:color w:val="auto"/>
                <w:sz w:val="22"/>
                <w:szCs w:val="22"/>
                <w:highlight w:val="none"/>
              </w:rPr>
              <w:t>预算</w:t>
            </w:r>
            <w:r>
              <w:rPr>
                <w:rFonts w:hint="eastAsia" w:ascii="Times New Roman" w:hAnsi="Times New Roman" w:eastAsia="宋体" w:cs="Times New Roman"/>
                <w:b/>
                <w:bCs/>
                <w:color w:val="auto"/>
                <w:sz w:val="22"/>
                <w:szCs w:val="22"/>
                <w:highlight w:val="none"/>
                <w:lang w:val="en-US" w:eastAsia="zh-CN"/>
              </w:rPr>
              <w:t>限价</w:t>
            </w:r>
            <w:r>
              <w:rPr>
                <w:rFonts w:hint="default" w:ascii="Times New Roman" w:hAnsi="Times New Roman" w:eastAsia="宋体" w:cs="Times New Roman"/>
                <w:b/>
                <w:bCs/>
                <w:color w:val="auto"/>
                <w:sz w:val="22"/>
                <w:szCs w:val="22"/>
                <w:highlight w:val="none"/>
              </w:rPr>
              <w:t>（</w:t>
            </w:r>
            <w:r>
              <w:rPr>
                <w:rFonts w:hint="eastAsia" w:ascii="Times New Roman" w:hAnsi="Times New Roman" w:eastAsia="宋体" w:cs="Times New Roman"/>
                <w:b/>
                <w:color w:val="auto"/>
                <w:sz w:val="22"/>
                <w:szCs w:val="22"/>
                <w:highlight w:val="none"/>
                <w:lang w:val="en-US" w:eastAsia="zh-CN"/>
              </w:rPr>
              <w:t>万</w:t>
            </w:r>
            <w:r>
              <w:rPr>
                <w:rFonts w:hint="default" w:ascii="Times New Roman" w:hAnsi="Times New Roman" w:eastAsia="宋体" w:cs="Times New Roman"/>
                <w:b/>
                <w:bCs/>
                <w:color w:val="auto"/>
                <w:sz w:val="22"/>
                <w:szCs w:val="22"/>
                <w:highlight w:val="none"/>
              </w:rPr>
              <w:t>元）</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color w:val="auto"/>
                <w:sz w:val="22"/>
                <w:szCs w:val="22"/>
                <w:highlight w:val="none"/>
                <w:lang w:val="en-US" w:eastAsia="zh-CN"/>
              </w:rPr>
            </w:pPr>
            <w:r>
              <w:rPr>
                <w:rFonts w:hint="eastAsia" w:ascii="Times New Roman" w:hAnsi="Times New Roman" w:eastAsia="宋体" w:cs="Times New Roman"/>
                <w:b/>
                <w:bCs/>
                <w:color w:val="auto"/>
                <w:sz w:val="22"/>
                <w:szCs w:val="22"/>
                <w:highlight w:val="none"/>
                <w:lang w:val="en-US" w:eastAsia="zh-CN"/>
              </w:rPr>
              <w:t>进口/国产</w:t>
            </w:r>
          </w:p>
        </w:tc>
        <w:tc>
          <w:tcPr>
            <w:tcW w:w="1035" w:type="dxa"/>
            <w:vAlign w:val="center"/>
          </w:tcPr>
          <w:p>
            <w:pPr>
              <w:widowControl/>
              <w:snapToGrid w:val="0"/>
              <w:ind w:left="0" w:leftChars="0" w:right="0" w:rightChars="0" w:firstLine="0" w:firstLineChars="0"/>
              <w:jc w:val="center"/>
              <w:rPr>
                <w:rFonts w:hint="default" w:ascii="Times New Roman" w:hAnsi="Times New Roman" w:eastAsia="宋体" w:cs="Times New Roman"/>
                <w:b/>
                <w:bCs/>
                <w:color w:val="auto"/>
                <w:kern w:val="0"/>
                <w:sz w:val="22"/>
                <w:szCs w:val="22"/>
                <w:highlight w:val="none"/>
                <w:lang w:bidi="ar"/>
              </w:rPr>
            </w:pPr>
            <w:r>
              <w:rPr>
                <w:rFonts w:hint="eastAsia" w:ascii="宋体" w:hAnsi="宋体" w:cs="宋体"/>
                <w:b/>
                <w:color w:val="auto"/>
                <w:kern w:val="0"/>
                <w:szCs w:val="21"/>
                <w:highlight w:val="none"/>
              </w:rPr>
              <w:t>证件要求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524" w:type="dxa"/>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Cs/>
                <w:color w:val="auto"/>
                <w:sz w:val="22"/>
                <w:szCs w:val="22"/>
                <w:highlight w:val="none"/>
              </w:rPr>
            </w:pPr>
            <w:r>
              <w:rPr>
                <w:rFonts w:hint="default" w:ascii="Times New Roman" w:hAnsi="Times New Roman" w:eastAsia="宋体" w:cs="Times New Roman"/>
                <w:bCs/>
                <w:color w:val="auto"/>
                <w:sz w:val="22"/>
                <w:szCs w:val="22"/>
                <w:highlight w:val="none"/>
              </w:rPr>
              <w:t>1</w:t>
            </w:r>
          </w:p>
        </w:tc>
        <w:tc>
          <w:tcPr>
            <w:tcW w:w="2342" w:type="dxa"/>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Cs/>
                <w:color w:val="auto"/>
                <w:sz w:val="22"/>
                <w:szCs w:val="22"/>
                <w:highlight w:val="none"/>
                <w:lang w:val="en-US" w:eastAsia="zh-CN"/>
              </w:rPr>
            </w:pPr>
            <w:r>
              <w:rPr>
                <w:rFonts w:hint="default" w:ascii="Times New Roman" w:hAnsi="Times New Roman" w:eastAsia="宋体" w:cs="Times New Roman"/>
                <w:bCs/>
                <w:color w:val="auto"/>
                <w:sz w:val="22"/>
                <w:szCs w:val="22"/>
                <w:highlight w:val="none"/>
                <w:lang w:val="en-US" w:eastAsia="zh-CN"/>
              </w:rPr>
              <w:t>消化内镜能量平台</w:t>
            </w:r>
          </w:p>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Cs/>
                <w:color w:val="auto"/>
                <w:sz w:val="22"/>
                <w:szCs w:val="22"/>
                <w:highlight w:val="none"/>
                <w:lang w:val="en-US" w:eastAsia="zh-CN"/>
              </w:rPr>
            </w:pPr>
            <w:r>
              <w:rPr>
                <w:rFonts w:hint="default" w:ascii="Times New Roman" w:hAnsi="Times New Roman" w:eastAsia="宋体" w:cs="Times New Roman"/>
                <w:bCs/>
                <w:color w:val="auto"/>
                <w:sz w:val="22"/>
                <w:szCs w:val="22"/>
                <w:highlight w:val="none"/>
                <w:lang w:val="en-US" w:eastAsia="zh-CN"/>
              </w:rPr>
              <w:t>（氩气高频电刀）</w:t>
            </w:r>
          </w:p>
        </w:tc>
        <w:tc>
          <w:tcPr>
            <w:tcW w:w="420" w:type="dxa"/>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Cs/>
                <w:color w:val="auto"/>
                <w:sz w:val="22"/>
                <w:szCs w:val="22"/>
                <w:highlight w:val="none"/>
              </w:rPr>
            </w:pPr>
            <w:r>
              <w:rPr>
                <w:rFonts w:hint="default" w:ascii="Times New Roman" w:hAnsi="Times New Roman" w:eastAsia="宋体" w:cs="Times New Roman"/>
                <w:bCs/>
                <w:color w:val="auto"/>
                <w:sz w:val="22"/>
                <w:szCs w:val="22"/>
                <w:highlight w:val="none"/>
              </w:rPr>
              <w:t>1</w:t>
            </w:r>
          </w:p>
        </w:tc>
        <w:tc>
          <w:tcPr>
            <w:tcW w:w="825" w:type="dxa"/>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Cs/>
                <w:color w:val="auto"/>
                <w:sz w:val="22"/>
                <w:szCs w:val="22"/>
                <w:highlight w:val="none"/>
              </w:rPr>
            </w:pPr>
            <w:r>
              <w:rPr>
                <w:rFonts w:hint="default" w:ascii="Times New Roman" w:hAnsi="Times New Roman" w:eastAsia="宋体" w:cs="Times New Roman"/>
                <w:bCs/>
                <w:color w:val="auto"/>
                <w:sz w:val="22"/>
                <w:szCs w:val="22"/>
                <w:highlight w:val="none"/>
              </w:rPr>
              <w:t>套</w:t>
            </w:r>
          </w:p>
        </w:tc>
        <w:tc>
          <w:tcPr>
            <w:tcW w:w="1500" w:type="dxa"/>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Cs/>
                <w:color w:val="auto"/>
                <w:sz w:val="22"/>
                <w:szCs w:val="22"/>
                <w:highlight w:val="none"/>
                <w:lang w:val="en-US"/>
              </w:rPr>
            </w:pPr>
            <w:r>
              <w:rPr>
                <w:rFonts w:hint="eastAsia" w:cs="Times New Roman"/>
                <w:bCs/>
                <w:color w:val="auto"/>
                <w:sz w:val="22"/>
                <w:szCs w:val="22"/>
                <w:highlight w:val="none"/>
                <w:lang w:val="en-US" w:eastAsia="zh-CN"/>
              </w:rPr>
              <w:t>15</w:t>
            </w:r>
          </w:p>
        </w:tc>
        <w:tc>
          <w:tcPr>
            <w:tcW w:w="1305" w:type="dxa"/>
            <w:vMerge w:val="restart"/>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Cs/>
                <w:color w:val="auto"/>
                <w:sz w:val="22"/>
                <w:szCs w:val="22"/>
                <w:highlight w:val="none"/>
                <w:lang w:val="en-US"/>
              </w:rPr>
            </w:pPr>
            <w:r>
              <w:rPr>
                <w:rFonts w:hint="eastAsia" w:cs="Times New Roman"/>
                <w:bCs/>
                <w:color w:val="auto"/>
                <w:sz w:val="22"/>
                <w:szCs w:val="22"/>
                <w:highlight w:val="none"/>
                <w:lang w:val="en-US" w:eastAsia="zh-CN"/>
              </w:rPr>
              <w:t>15.98</w:t>
            </w:r>
          </w:p>
        </w:tc>
        <w:tc>
          <w:tcPr>
            <w:tcW w:w="1200" w:type="dxa"/>
            <w:vMerge w:val="restart"/>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Cs/>
                <w:color w:val="auto"/>
                <w:sz w:val="22"/>
                <w:szCs w:val="22"/>
                <w:highlight w:val="none"/>
              </w:rPr>
            </w:pPr>
            <w:r>
              <w:rPr>
                <w:rFonts w:hint="default" w:ascii="Times New Roman" w:hAnsi="Times New Roman" w:eastAsia="宋体" w:cs="Times New Roman"/>
                <w:bCs/>
                <w:color w:val="auto"/>
                <w:sz w:val="22"/>
                <w:szCs w:val="22"/>
                <w:highlight w:val="none"/>
              </w:rPr>
              <w:t>拒绝进口</w:t>
            </w:r>
          </w:p>
        </w:tc>
        <w:tc>
          <w:tcPr>
            <w:tcW w:w="1035" w:type="dxa"/>
            <w:vMerge w:val="restart"/>
            <w:shd w:val="clear" w:color="000000" w:fill="FFFFFF"/>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Cs/>
                <w:color w:val="auto"/>
                <w:sz w:val="22"/>
                <w:szCs w:val="22"/>
                <w:highlight w:val="none"/>
              </w:rPr>
            </w:pPr>
            <w:r>
              <w:rPr>
                <w:rFonts w:hint="eastAsia" w:ascii="宋体" w:hAnsi="宋体" w:eastAsia="宋体" w:cs="宋体"/>
                <w:color w:val="auto"/>
                <w:kern w:val="0"/>
                <w:sz w:val="21"/>
                <w:szCs w:val="21"/>
                <w:highlight w:val="none"/>
                <w:lang w:val="en-US" w:eastAsia="zh-CN"/>
              </w:rPr>
              <w:t>医疗器械注册证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524" w:type="dxa"/>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Cs/>
                <w:color w:val="auto"/>
                <w:sz w:val="22"/>
                <w:szCs w:val="22"/>
                <w:highlight w:val="none"/>
              </w:rPr>
            </w:pPr>
            <w:r>
              <w:rPr>
                <w:rFonts w:hint="eastAsia" w:cs="Times New Roman"/>
                <w:bCs/>
                <w:color w:val="auto"/>
                <w:sz w:val="22"/>
                <w:szCs w:val="22"/>
                <w:highlight w:val="none"/>
                <w:lang w:val="en-US" w:eastAsia="zh-CN"/>
              </w:rPr>
              <w:t>2</w:t>
            </w:r>
          </w:p>
        </w:tc>
        <w:tc>
          <w:tcPr>
            <w:tcW w:w="2342" w:type="dxa"/>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Cs/>
                <w:color w:val="auto"/>
                <w:sz w:val="22"/>
                <w:szCs w:val="22"/>
                <w:highlight w:val="none"/>
                <w:lang w:val="en-US" w:eastAsia="zh-CN"/>
              </w:rPr>
            </w:pPr>
            <w:r>
              <w:rPr>
                <w:rFonts w:hint="default" w:ascii="Times New Roman" w:hAnsi="Times New Roman" w:eastAsia="宋体" w:cs="Times New Roman"/>
                <w:bCs/>
                <w:color w:val="auto"/>
                <w:sz w:val="22"/>
                <w:szCs w:val="22"/>
                <w:highlight w:val="none"/>
                <w:lang w:val="en-US" w:eastAsia="zh-CN"/>
              </w:rPr>
              <w:t>内镜注水泵</w:t>
            </w:r>
          </w:p>
        </w:tc>
        <w:tc>
          <w:tcPr>
            <w:tcW w:w="420" w:type="dxa"/>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Cs/>
                <w:color w:val="auto"/>
                <w:sz w:val="22"/>
                <w:szCs w:val="22"/>
                <w:highlight w:val="none"/>
              </w:rPr>
            </w:pPr>
            <w:r>
              <w:rPr>
                <w:rFonts w:hint="eastAsia" w:cs="Times New Roman"/>
                <w:bCs/>
                <w:color w:val="auto"/>
                <w:sz w:val="22"/>
                <w:szCs w:val="22"/>
                <w:highlight w:val="none"/>
                <w:lang w:val="en-US" w:eastAsia="zh-CN"/>
              </w:rPr>
              <w:t>1</w:t>
            </w:r>
          </w:p>
        </w:tc>
        <w:tc>
          <w:tcPr>
            <w:tcW w:w="825" w:type="dxa"/>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Cs/>
                <w:color w:val="auto"/>
                <w:sz w:val="22"/>
                <w:szCs w:val="22"/>
                <w:highlight w:val="none"/>
              </w:rPr>
            </w:pPr>
            <w:r>
              <w:rPr>
                <w:rFonts w:hint="default" w:ascii="Times New Roman" w:hAnsi="Times New Roman" w:eastAsia="宋体" w:cs="Times New Roman"/>
                <w:bCs/>
                <w:color w:val="auto"/>
                <w:sz w:val="22"/>
                <w:szCs w:val="22"/>
                <w:highlight w:val="none"/>
              </w:rPr>
              <w:t>台</w:t>
            </w:r>
          </w:p>
        </w:tc>
        <w:tc>
          <w:tcPr>
            <w:tcW w:w="1500" w:type="dxa"/>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cs="Times New Roman"/>
                <w:bCs/>
                <w:color w:val="auto"/>
                <w:sz w:val="22"/>
                <w:szCs w:val="22"/>
                <w:highlight w:val="none"/>
                <w:lang w:val="en-US" w:eastAsia="zh-CN"/>
              </w:rPr>
            </w:pPr>
            <w:r>
              <w:rPr>
                <w:rFonts w:hint="eastAsia" w:cs="Times New Roman"/>
                <w:bCs/>
                <w:color w:val="auto"/>
                <w:sz w:val="22"/>
                <w:szCs w:val="22"/>
                <w:highlight w:val="none"/>
                <w:lang w:val="en-US" w:eastAsia="zh-CN"/>
              </w:rPr>
              <w:t>0.98</w:t>
            </w:r>
          </w:p>
        </w:tc>
        <w:tc>
          <w:tcPr>
            <w:tcW w:w="1305" w:type="dxa"/>
            <w:vMerge w:val="continue"/>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cs="Times New Roman"/>
                <w:bCs/>
                <w:color w:val="auto"/>
                <w:sz w:val="22"/>
                <w:szCs w:val="22"/>
                <w:highlight w:val="none"/>
                <w:lang w:val="en-US" w:eastAsia="zh-CN"/>
              </w:rPr>
            </w:pPr>
          </w:p>
        </w:tc>
        <w:tc>
          <w:tcPr>
            <w:tcW w:w="1200" w:type="dxa"/>
            <w:vMerge w:val="continue"/>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Cs/>
                <w:color w:val="auto"/>
                <w:sz w:val="22"/>
                <w:szCs w:val="22"/>
                <w:highlight w:val="none"/>
              </w:rPr>
            </w:pPr>
          </w:p>
        </w:tc>
        <w:tc>
          <w:tcPr>
            <w:tcW w:w="1035" w:type="dxa"/>
            <w:vMerge w:val="continue"/>
            <w:shd w:val="clear" w:color="000000" w:fill="FFFFFF"/>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kern w:val="0"/>
                <w:sz w:val="21"/>
                <w:szCs w:val="21"/>
                <w:highlight w:val="none"/>
                <w:lang w:val="en-US" w:eastAsia="zh-CN"/>
              </w:rPr>
            </w:pPr>
          </w:p>
        </w:tc>
      </w:tr>
    </w:tbl>
    <w:p>
      <w:pPr>
        <w:keepNext w:val="0"/>
        <w:keepLines w:val="0"/>
        <w:pageBreakBefore w:val="0"/>
        <w:widowControl/>
        <w:numPr>
          <w:ilvl w:val="-1"/>
          <w:numId w:val="0"/>
        </w:numPr>
        <w:kinsoku/>
        <w:wordWrap/>
        <w:overflowPunct/>
        <w:topLinePunct w:val="0"/>
        <w:autoSpaceDE/>
        <w:autoSpaceDN/>
        <w:bidi w:val="0"/>
        <w:adjustRightInd/>
        <w:snapToGrid/>
        <w:spacing w:line="540" w:lineRule="exact"/>
        <w:ind w:leftChars="0" w:firstLine="560" w:firstLineChars="200"/>
        <w:textAlignment w:val="auto"/>
        <w:rPr>
          <w:rFonts w:hint="eastAsia" w:ascii="仿宋_GB2312" w:hAnsi="仿宋_GB2312" w:eastAsia="仿宋_GB2312" w:cs="仿宋_GB2312"/>
          <w:b/>
          <w:bCs/>
          <w:color w:val="auto"/>
          <w:kern w:val="2"/>
          <w:sz w:val="28"/>
          <w:szCs w:val="28"/>
          <w:highlight w:val="none"/>
          <w:lang w:val="en-US" w:eastAsia="zh-CN" w:bidi="ar-SA"/>
        </w:rPr>
      </w:pPr>
      <w:r>
        <w:rPr>
          <w:rFonts w:hint="eastAsia" w:ascii="仿宋_GB2312" w:hAnsi="仿宋_GB2312" w:eastAsia="仿宋_GB2312" w:cs="仿宋_GB2312"/>
          <w:b w:val="0"/>
          <w:bCs w:val="0"/>
          <w:color w:val="auto"/>
          <w:sz w:val="28"/>
          <w:szCs w:val="28"/>
          <w:highlight w:val="none"/>
        </w:rPr>
        <w:t>★</w:t>
      </w:r>
      <w:r>
        <w:rPr>
          <w:rFonts w:hint="eastAsia" w:ascii="仿宋_GB2312" w:hAnsi="仿宋_GB2312" w:eastAsia="仿宋_GB2312" w:cs="仿宋_GB2312"/>
          <w:color w:val="auto"/>
          <w:kern w:val="2"/>
          <w:sz w:val="28"/>
          <w:szCs w:val="28"/>
          <w:highlight w:val="none"/>
          <w:lang w:val="en-US" w:eastAsia="zh-CN" w:bidi="ar-SA"/>
        </w:rPr>
        <w:t>所投产品</w:t>
      </w:r>
      <w:r>
        <w:rPr>
          <w:rFonts w:hint="default" w:ascii="仿宋_GB2312" w:hAnsi="仿宋_GB2312" w:eastAsia="仿宋_GB2312" w:cs="仿宋_GB2312"/>
          <w:color w:val="auto"/>
          <w:kern w:val="2"/>
          <w:sz w:val="28"/>
          <w:szCs w:val="28"/>
          <w:highlight w:val="none"/>
          <w:lang w:val="en-US" w:eastAsia="zh-CN" w:bidi="ar-SA"/>
        </w:rPr>
        <w:t>内镜注水泵</w:t>
      </w:r>
      <w:r>
        <w:rPr>
          <w:rFonts w:hint="eastAsia" w:ascii="仿宋_GB2312" w:hAnsi="仿宋_GB2312" w:eastAsia="仿宋_GB2312" w:cs="仿宋_GB2312"/>
          <w:color w:val="auto"/>
          <w:kern w:val="2"/>
          <w:sz w:val="28"/>
          <w:szCs w:val="28"/>
          <w:highlight w:val="none"/>
          <w:lang w:val="en-US" w:eastAsia="zh-CN" w:bidi="ar-SA"/>
        </w:rPr>
        <w:t>须无缝兼容设备为奥林巴斯规格型号:CV-260SL的内镜。</w:t>
      </w:r>
    </w:p>
    <w:p>
      <w:pPr>
        <w:keepNext w:val="0"/>
        <w:keepLines w:val="0"/>
        <w:pageBreakBefore w:val="0"/>
        <w:widowControl/>
        <w:numPr>
          <w:ilvl w:val="-1"/>
          <w:numId w:val="0"/>
        </w:numPr>
        <w:kinsoku/>
        <w:wordWrap/>
        <w:overflowPunct/>
        <w:topLinePunct w:val="0"/>
        <w:autoSpaceDE/>
        <w:autoSpaceDN/>
        <w:bidi w:val="0"/>
        <w:adjustRightInd/>
        <w:snapToGrid/>
        <w:spacing w:line="540" w:lineRule="exact"/>
        <w:ind w:leftChars="0" w:firstLine="562" w:firstLineChars="200"/>
        <w:textAlignment w:val="auto"/>
        <w:rPr>
          <w:rFonts w:hint="eastAsia" w:ascii="仿宋_GB2312" w:hAnsi="仿宋_GB2312" w:eastAsia="仿宋_GB2312" w:cs="仿宋_GB2312"/>
          <w:b/>
          <w:bCs/>
          <w:color w:val="auto"/>
          <w:kern w:val="2"/>
          <w:sz w:val="28"/>
          <w:szCs w:val="28"/>
          <w:highlight w:val="none"/>
          <w:lang w:val="en-US" w:eastAsia="zh-CN" w:bidi="ar-SA"/>
        </w:rPr>
      </w:pPr>
      <w:r>
        <w:rPr>
          <w:rFonts w:hint="eastAsia" w:ascii="仿宋_GB2312" w:hAnsi="仿宋_GB2312" w:eastAsia="仿宋_GB2312" w:cs="仿宋_GB2312"/>
          <w:b/>
          <w:bCs/>
          <w:color w:val="auto"/>
          <w:kern w:val="2"/>
          <w:sz w:val="28"/>
          <w:szCs w:val="28"/>
          <w:highlight w:val="none"/>
          <w:lang w:val="en-US" w:eastAsia="zh-CN" w:bidi="ar-SA"/>
        </w:rPr>
        <w:t>注：1.投标人的投标报价超出预算金额、单项限价及单项总限价的，将按照符合性审查要求作投标无效处理。</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2.备注栏注明“拒绝进口”的产品不接受投标人选用进口产品参与投标；注明“接受进口”的产品允许投标人选用进口产品参与投标，但不排斥国内产品。</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3.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号文和财办库〔2008〕248号文的相关规定为准。</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b/>
          <w:bCs/>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4.本项目核心产品为：</w:t>
      </w:r>
      <w:r>
        <w:rPr>
          <w:rFonts w:hint="eastAsia" w:ascii="仿宋_GB2312" w:hAnsi="仿宋_GB2312" w:eastAsia="仿宋_GB2312" w:cs="仿宋_GB2312"/>
          <w:b/>
          <w:bCs/>
          <w:color w:val="auto"/>
          <w:kern w:val="2"/>
          <w:sz w:val="28"/>
          <w:szCs w:val="28"/>
          <w:highlight w:val="none"/>
          <w:lang w:val="en-US" w:eastAsia="zh-CN" w:bidi="ar-SA"/>
        </w:rPr>
        <w:t>（序号1、</w:t>
      </w:r>
      <w:r>
        <w:rPr>
          <w:rFonts w:hint="default" w:ascii="仿宋_GB2312" w:hAnsi="仿宋_GB2312" w:eastAsia="仿宋_GB2312" w:cs="仿宋_GB2312"/>
          <w:b/>
          <w:bCs/>
          <w:color w:val="auto"/>
          <w:kern w:val="2"/>
          <w:sz w:val="28"/>
          <w:szCs w:val="28"/>
          <w:highlight w:val="none"/>
          <w:lang w:val="en-US" w:eastAsia="zh-CN" w:bidi="ar-SA"/>
        </w:rPr>
        <w:t>消化内镜能量平台（氩气高频电刀）</w:t>
      </w:r>
      <w:r>
        <w:rPr>
          <w:rFonts w:hint="eastAsia" w:ascii="仿宋_GB2312" w:hAnsi="仿宋_GB2312" w:eastAsia="仿宋_GB2312" w:cs="仿宋_GB2312"/>
          <w:b/>
          <w:bCs/>
          <w:color w:val="auto"/>
          <w:kern w:val="2"/>
          <w:sz w:val="28"/>
          <w:szCs w:val="28"/>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5.本项目</w:t>
      </w:r>
      <w:r>
        <w:rPr>
          <w:rFonts w:hint="default" w:ascii="仿宋_GB2312" w:hAnsi="仿宋_GB2312" w:eastAsia="仿宋_GB2312" w:cs="仿宋_GB2312"/>
          <w:color w:val="auto"/>
          <w:kern w:val="2"/>
          <w:sz w:val="28"/>
          <w:szCs w:val="28"/>
          <w:highlight w:val="none"/>
          <w:lang w:val="en-US" w:eastAsia="zh-CN" w:bidi="ar-SA"/>
        </w:rPr>
        <w:t>消化内镜能量平台（氩气高频电刀）</w:t>
      </w:r>
      <w:r>
        <w:rPr>
          <w:rFonts w:hint="eastAsia" w:ascii="仿宋_GB2312" w:hAnsi="仿宋_GB2312" w:eastAsia="仿宋_GB2312" w:cs="仿宋_GB2312"/>
          <w:color w:val="auto"/>
          <w:kern w:val="2"/>
          <w:sz w:val="28"/>
          <w:szCs w:val="28"/>
          <w:highlight w:val="none"/>
          <w:lang w:val="en-US" w:eastAsia="zh-CN" w:bidi="ar-SA"/>
        </w:rPr>
        <w:t>是第三类医疗器械，</w:t>
      </w:r>
      <w:r>
        <w:rPr>
          <w:rFonts w:hint="default" w:ascii="仿宋_GB2312" w:hAnsi="仿宋_GB2312" w:eastAsia="仿宋_GB2312" w:cs="仿宋_GB2312"/>
          <w:color w:val="auto"/>
          <w:kern w:val="2"/>
          <w:sz w:val="28"/>
          <w:szCs w:val="28"/>
          <w:highlight w:val="none"/>
          <w:lang w:val="en-US" w:eastAsia="zh-CN" w:bidi="ar-SA"/>
        </w:rPr>
        <w:t>内镜注水泵</w:t>
      </w:r>
      <w:r>
        <w:rPr>
          <w:rFonts w:hint="eastAsia" w:ascii="仿宋_GB2312" w:hAnsi="仿宋_GB2312" w:eastAsia="仿宋_GB2312" w:cs="仿宋_GB2312"/>
          <w:color w:val="auto"/>
          <w:kern w:val="2"/>
          <w:sz w:val="28"/>
          <w:szCs w:val="28"/>
          <w:highlight w:val="none"/>
          <w:lang w:val="en-US" w:eastAsia="zh-CN" w:bidi="ar-SA"/>
        </w:rPr>
        <w:t>是第二类医疗器械。</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6.消化内镜能量平台（氩气高频电刀）、内镜注水泵为行业通用称谓，投标产品医疗器械注册证所载法定名称如与本文件称谓不一致的，投标人只需完整响应采购文件所列设备参数及配套配置清单，名称差异不影响投标评审。</w:t>
      </w:r>
    </w:p>
    <w:p>
      <w:pPr>
        <w:keepLines w:val="0"/>
        <w:pageBreakBefore w:val="0"/>
        <w:widowControl/>
        <w:numPr>
          <w:ilvl w:val="-1"/>
          <w:numId w:val="0"/>
        </w:numPr>
        <w:kinsoku/>
        <w:wordWrap/>
        <w:overflowPunct/>
        <w:topLinePunct w:val="0"/>
        <w:bidi w:val="0"/>
        <w:spacing w:line="560" w:lineRule="exact"/>
        <w:ind w:leftChars="0" w:firstLine="560" w:firstLineChars="200"/>
        <w:rPr>
          <w:rFonts w:hint="default" w:ascii="楷体_GB2312" w:hAnsi="楷体_GB2312" w:eastAsia="楷体_GB2312" w:cs="楷体_GB2312"/>
          <w:b w:val="0"/>
          <w:bCs w:val="0"/>
          <w:color w:val="auto"/>
          <w:sz w:val="28"/>
          <w:szCs w:val="28"/>
          <w:highlight w:val="none"/>
          <w:lang w:val="en-US" w:eastAsia="zh-CN"/>
        </w:rPr>
      </w:pPr>
      <w:r>
        <w:rPr>
          <w:rFonts w:hint="eastAsia" w:ascii="楷体_GB2312" w:hAnsi="楷体_GB2312" w:eastAsia="楷体_GB2312" w:cs="楷体_GB2312"/>
          <w:b w:val="0"/>
          <w:bCs w:val="0"/>
          <w:color w:val="auto"/>
          <w:sz w:val="28"/>
          <w:szCs w:val="28"/>
          <w:highlight w:val="none"/>
          <w:lang w:eastAsia="zh-CN"/>
        </w:rPr>
        <w:t>（</w:t>
      </w:r>
      <w:r>
        <w:rPr>
          <w:rFonts w:hint="eastAsia" w:ascii="楷体_GB2312" w:hAnsi="楷体_GB2312" w:eastAsia="楷体_GB2312" w:cs="楷体_GB2312"/>
          <w:b w:val="0"/>
          <w:bCs w:val="0"/>
          <w:color w:val="auto"/>
          <w:sz w:val="28"/>
          <w:szCs w:val="28"/>
          <w:highlight w:val="none"/>
          <w:lang w:val="en-US" w:eastAsia="zh-CN"/>
        </w:rPr>
        <w:t>二</w:t>
      </w:r>
      <w:r>
        <w:rPr>
          <w:rFonts w:hint="eastAsia" w:ascii="楷体_GB2312" w:hAnsi="楷体_GB2312" w:eastAsia="楷体_GB2312" w:cs="楷体_GB2312"/>
          <w:b w:val="0"/>
          <w:bCs w:val="0"/>
          <w:color w:val="auto"/>
          <w:sz w:val="28"/>
          <w:szCs w:val="28"/>
          <w:highlight w:val="none"/>
          <w:lang w:eastAsia="zh-CN"/>
        </w:rPr>
        <w:t>）</w:t>
      </w:r>
      <w:r>
        <w:rPr>
          <w:rFonts w:hint="eastAsia" w:ascii="楷体_GB2312" w:hAnsi="楷体_GB2312" w:eastAsia="楷体_GB2312" w:cs="楷体_GB2312"/>
          <w:b w:val="0"/>
          <w:bCs w:val="0"/>
          <w:color w:val="auto"/>
          <w:sz w:val="28"/>
          <w:szCs w:val="28"/>
          <w:highlight w:val="none"/>
          <w:lang w:val="en-US" w:eastAsia="zh-CN"/>
        </w:rPr>
        <w:t>采购配置清单</w:t>
      </w:r>
    </w:p>
    <w:tbl>
      <w:tblPr>
        <w:tblStyle w:val="20"/>
        <w:tblW w:w="8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2605"/>
        <w:gridCol w:w="4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149" w:type="dxa"/>
            <w:vAlign w:val="center"/>
          </w:tcPr>
          <w:p>
            <w:pPr>
              <w:keepNext w:val="0"/>
              <w:keepLines w:val="0"/>
              <w:pageBreakBefore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楷体_GB2312" w:hAnsi="楷体_GB2312" w:eastAsia="楷体_GB2312" w:cs="楷体_GB2312"/>
                <w:b/>
                <w:bCs w:val="0"/>
                <w:color w:val="auto"/>
                <w:kern w:val="0"/>
                <w:sz w:val="28"/>
                <w:szCs w:val="28"/>
                <w:highlight w:val="none"/>
                <w:vertAlign w:val="baseline"/>
                <w:lang w:val="en-US" w:eastAsia="zh-CN" w:bidi="ar-SA"/>
              </w:rPr>
            </w:pPr>
            <w:r>
              <w:rPr>
                <w:rFonts w:hint="eastAsia" w:ascii="楷体_GB2312" w:hAnsi="楷体_GB2312" w:eastAsia="楷体_GB2312" w:cs="楷体_GB2312"/>
                <w:b/>
                <w:bCs w:val="0"/>
                <w:color w:val="auto"/>
                <w:kern w:val="0"/>
                <w:sz w:val="28"/>
                <w:szCs w:val="28"/>
                <w:highlight w:val="none"/>
                <w:vertAlign w:val="baseline"/>
                <w:lang w:val="en-US" w:eastAsia="zh-CN" w:bidi="ar-SA"/>
              </w:rPr>
              <w:t>序列</w:t>
            </w:r>
          </w:p>
        </w:tc>
        <w:tc>
          <w:tcPr>
            <w:tcW w:w="2605" w:type="dxa"/>
            <w:vAlign w:val="center"/>
          </w:tcPr>
          <w:p>
            <w:pPr>
              <w:keepNext w:val="0"/>
              <w:keepLines w:val="0"/>
              <w:pageBreakBefore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楷体_GB2312" w:hAnsi="楷体_GB2312" w:eastAsia="楷体_GB2312" w:cs="楷体_GB2312"/>
                <w:b/>
                <w:bCs w:val="0"/>
                <w:color w:val="auto"/>
                <w:kern w:val="0"/>
                <w:sz w:val="28"/>
                <w:szCs w:val="28"/>
                <w:highlight w:val="none"/>
                <w:vertAlign w:val="baseline"/>
                <w:lang w:val="en-US" w:eastAsia="zh-CN" w:bidi="ar-SA"/>
              </w:rPr>
            </w:pPr>
            <w:r>
              <w:rPr>
                <w:rFonts w:hint="eastAsia" w:ascii="楷体_GB2312" w:hAnsi="楷体_GB2312" w:eastAsia="楷体_GB2312" w:cs="楷体_GB2312"/>
                <w:b/>
                <w:bCs w:val="0"/>
                <w:color w:val="auto"/>
                <w:kern w:val="0"/>
                <w:sz w:val="28"/>
                <w:szCs w:val="28"/>
                <w:highlight w:val="none"/>
                <w:vertAlign w:val="baseline"/>
                <w:lang w:val="en-US" w:eastAsia="zh-CN" w:bidi="ar-SA"/>
              </w:rPr>
              <w:t>设备名称</w:t>
            </w:r>
          </w:p>
        </w:tc>
        <w:tc>
          <w:tcPr>
            <w:tcW w:w="4385" w:type="dxa"/>
            <w:vAlign w:val="center"/>
          </w:tcPr>
          <w:p>
            <w:pPr>
              <w:keepNext w:val="0"/>
              <w:keepLines w:val="0"/>
              <w:pageBreakBefore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楷体_GB2312" w:hAnsi="楷体_GB2312" w:eastAsia="楷体_GB2312" w:cs="楷体_GB2312"/>
                <w:b/>
                <w:bCs w:val="0"/>
                <w:color w:val="auto"/>
                <w:kern w:val="0"/>
                <w:sz w:val="28"/>
                <w:szCs w:val="28"/>
                <w:highlight w:val="none"/>
                <w:vertAlign w:val="baseline"/>
                <w:lang w:val="en-US" w:eastAsia="zh-CN" w:bidi="ar-SA"/>
              </w:rPr>
            </w:pPr>
            <w:r>
              <w:rPr>
                <w:rFonts w:hint="eastAsia" w:ascii="楷体_GB2312" w:hAnsi="楷体_GB2312" w:eastAsia="楷体_GB2312" w:cs="楷体_GB2312"/>
                <w:b/>
                <w:bCs w:val="0"/>
                <w:color w:val="auto"/>
                <w:kern w:val="0"/>
                <w:sz w:val="28"/>
                <w:szCs w:val="28"/>
                <w:highlight w:val="none"/>
                <w:vertAlign w:val="baseline"/>
                <w:lang w:val="en-US" w:eastAsia="zh-CN" w:bidi="ar-SA"/>
              </w:rPr>
              <w:t>配置清单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9" w:type="dxa"/>
            <w:vAlign w:val="center"/>
          </w:tcPr>
          <w:p>
            <w:pPr>
              <w:keepNext w:val="0"/>
              <w:keepLines w:val="0"/>
              <w:pageBreakBefore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Times New Roman" w:eastAsia="仿宋" w:cs="Times New Roman"/>
                <w:bCs/>
                <w:color w:val="auto"/>
                <w:sz w:val="24"/>
                <w:szCs w:val="22"/>
                <w:highlight w:val="none"/>
                <w:lang w:val="en-US" w:eastAsia="zh-CN"/>
              </w:rPr>
            </w:pPr>
            <w:r>
              <w:rPr>
                <w:rFonts w:hint="eastAsia" w:ascii="仿宋" w:hAnsi="Times New Roman" w:eastAsia="仿宋" w:cs="Times New Roman"/>
                <w:bCs/>
                <w:color w:val="auto"/>
                <w:sz w:val="24"/>
                <w:szCs w:val="22"/>
                <w:highlight w:val="none"/>
                <w:lang w:val="en-US" w:eastAsia="zh-CN"/>
              </w:rPr>
              <w:t>1</w:t>
            </w:r>
          </w:p>
        </w:tc>
        <w:tc>
          <w:tcPr>
            <w:tcW w:w="2605" w:type="dxa"/>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Cs/>
                <w:color w:val="auto"/>
                <w:sz w:val="22"/>
                <w:szCs w:val="22"/>
                <w:highlight w:val="none"/>
                <w:lang w:val="en-US" w:eastAsia="zh-CN"/>
              </w:rPr>
            </w:pPr>
            <w:r>
              <w:rPr>
                <w:rFonts w:hint="default" w:ascii="Times New Roman" w:hAnsi="Times New Roman" w:eastAsia="宋体" w:cs="Times New Roman"/>
                <w:bCs/>
                <w:color w:val="auto"/>
                <w:sz w:val="22"/>
                <w:szCs w:val="22"/>
                <w:highlight w:val="none"/>
                <w:lang w:val="en-US" w:eastAsia="zh-CN"/>
              </w:rPr>
              <w:t>消化内镜能量平台</w:t>
            </w:r>
          </w:p>
          <w:p>
            <w:pPr>
              <w:keepNext w:val="0"/>
              <w:keepLines w:val="0"/>
              <w:pageBreakBefore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default" w:ascii="Times New Roman" w:hAnsi="Times New Roman" w:eastAsia="宋体" w:cs="Times New Roman"/>
                <w:bCs/>
                <w:color w:val="auto"/>
                <w:sz w:val="22"/>
                <w:szCs w:val="22"/>
                <w:highlight w:val="none"/>
                <w:lang w:val="en-US" w:eastAsia="zh-CN"/>
              </w:rPr>
              <w:t>（氩气高频电刀）</w:t>
            </w:r>
          </w:p>
        </w:tc>
        <w:tc>
          <w:tcPr>
            <w:tcW w:w="43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1.氩气高频电刀主机系统 1台</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2.智能内镜切割软件(内置) 1套</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3.仪器车固定件 1套</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4.负极片连线 1条</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5.减压阀 1个</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6.APC消化软管(直喷) 1条</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7.单极脚踏开关 1个</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8.仪器车 1台</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9.杂物筐 1个</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10.氩气瓶 1个</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11.高频连接线 1条</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12.负极片 10片</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13.台车1台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9" w:type="dxa"/>
            <w:vAlign w:val="center"/>
          </w:tcPr>
          <w:p>
            <w:pPr>
              <w:keepNext w:val="0"/>
              <w:keepLines w:val="0"/>
              <w:pageBreakBefore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2</w:t>
            </w:r>
          </w:p>
        </w:tc>
        <w:tc>
          <w:tcPr>
            <w:tcW w:w="2605" w:type="dxa"/>
            <w:vAlign w:val="center"/>
          </w:tcPr>
          <w:p>
            <w:pPr>
              <w:keepNext w:val="0"/>
              <w:keepLines w:val="0"/>
              <w:pageBreakBefore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default" w:ascii="Times New Roman" w:hAnsi="Times New Roman" w:eastAsia="宋体" w:cs="Times New Roman"/>
                <w:bCs/>
                <w:color w:val="auto"/>
                <w:sz w:val="22"/>
                <w:szCs w:val="22"/>
                <w:highlight w:val="none"/>
                <w:lang w:val="en-US" w:eastAsia="zh-CN"/>
              </w:rPr>
              <w:t>内镜注水泵</w:t>
            </w:r>
          </w:p>
        </w:tc>
        <w:tc>
          <w:tcPr>
            <w:tcW w:w="43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1.内镜用送水装置主机 1台</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2.两相三芯电线组件 1根</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3.脚踏气囊 1个</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4.内镜用送水装置说明书 1本</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5.内镜用送水装置快速操作指南 1张</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6.奥林巴斯副送水管组件 1根</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7.富士能副送水管组件 11根</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8.快速熔断保险管 1只</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9.水瓶组件 1个</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10.水瓶挂架 1个</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11.产品保修卡 1张</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12.合格证 1张</w:t>
            </w:r>
          </w:p>
        </w:tc>
      </w:tr>
    </w:tbl>
    <w:p>
      <w:pPr>
        <w:keepLines w:val="0"/>
        <w:pageBreakBefore w:val="0"/>
        <w:widowControl/>
        <w:numPr>
          <w:ilvl w:val="-1"/>
          <w:numId w:val="0"/>
        </w:numPr>
        <w:kinsoku/>
        <w:wordWrap/>
        <w:overflowPunct/>
        <w:topLinePunct w:val="0"/>
        <w:bidi w:val="0"/>
        <w:spacing w:line="560" w:lineRule="exact"/>
        <w:ind w:leftChars="0" w:firstLine="560" w:firstLineChars="200"/>
        <w:rPr>
          <w:rFonts w:hint="eastAsia" w:ascii="楷体_GB2312" w:hAnsi="楷体_GB2312" w:eastAsia="楷体_GB2312" w:cs="楷体_GB2312"/>
          <w:b w:val="0"/>
          <w:bCs w:val="0"/>
          <w:color w:val="auto"/>
          <w:sz w:val="28"/>
          <w:szCs w:val="28"/>
          <w:highlight w:val="none"/>
          <w:lang w:val="en-US" w:eastAsia="zh-CN"/>
        </w:rPr>
      </w:pPr>
      <w:r>
        <w:rPr>
          <w:rFonts w:hint="eastAsia" w:ascii="楷体_GB2312" w:hAnsi="楷体_GB2312" w:eastAsia="楷体_GB2312" w:cs="楷体_GB2312"/>
          <w:b w:val="0"/>
          <w:bCs w:val="0"/>
          <w:color w:val="auto"/>
          <w:sz w:val="28"/>
          <w:szCs w:val="28"/>
          <w:highlight w:val="none"/>
          <w:lang w:val="en-US" w:eastAsia="zh-CN"/>
        </w:rPr>
        <w:t>（三）技术要求</w:t>
      </w:r>
    </w:p>
    <w:tbl>
      <w:tblPr>
        <w:tblStyle w:val="19"/>
        <w:tblpPr w:leftFromText="180" w:rightFromText="180" w:vertAnchor="text" w:tblpXSpec="center" w:tblpY="1"/>
        <w:tblOverlap w:val="never"/>
        <w:tblW w:w="4666" w:type="pct"/>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7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3" w:type="pct"/>
            <w:shd w:val="clear" w:color="auto" w:fill="F2F2F2"/>
            <w:noWrap w:val="0"/>
            <w:vAlign w:val="top"/>
          </w:tcPr>
          <w:p>
            <w:pPr>
              <w:keepNext w:val="0"/>
              <w:keepLines w:val="0"/>
              <w:pageBreakBefore w:val="0"/>
              <w:widowControl/>
              <w:kinsoku/>
              <w:overflowPunct/>
              <w:topLinePunct w:val="0"/>
              <w:autoSpaceDE/>
              <w:autoSpaceDN/>
              <w:bidi w:val="0"/>
              <w:spacing w:line="560" w:lineRule="exact"/>
              <w:jc w:val="center"/>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名称</w:t>
            </w:r>
          </w:p>
        </w:tc>
        <w:tc>
          <w:tcPr>
            <w:tcW w:w="4186" w:type="pct"/>
            <w:shd w:val="clear" w:color="auto" w:fill="F2F2F2"/>
            <w:noWrap w:val="0"/>
            <w:vAlign w:val="center"/>
          </w:tcPr>
          <w:p>
            <w:pPr>
              <w:keepNext w:val="0"/>
              <w:keepLines w:val="0"/>
              <w:pageBreakBefore w:val="0"/>
              <w:widowControl/>
              <w:kinsoku/>
              <w:overflowPunct/>
              <w:topLinePunct w:val="0"/>
              <w:autoSpaceDE/>
              <w:autoSpaceDN/>
              <w:bidi w:val="0"/>
              <w:spacing w:line="56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技术规格及具体参数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0" w:hRule="atLeast"/>
        </w:trPr>
        <w:tc>
          <w:tcPr>
            <w:tcW w:w="813" w:type="pct"/>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
                <w:bCs w:val="0"/>
                <w:color w:val="auto"/>
                <w:sz w:val="22"/>
                <w:szCs w:val="22"/>
                <w:highlight w:val="none"/>
                <w:lang w:val="en-US" w:eastAsia="zh-CN"/>
              </w:rPr>
            </w:pPr>
            <w:r>
              <w:rPr>
                <w:rFonts w:hint="default" w:ascii="Times New Roman" w:hAnsi="Times New Roman" w:eastAsia="宋体" w:cs="Times New Roman"/>
                <w:b/>
                <w:bCs w:val="0"/>
                <w:color w:val="auto"/>
                <w:sz w:val="22"/>
                <w:szCs w:val="22"/>
                <w:highlight w:val="none"/>
                <w:lang w:val="en-US" w:eastAsia="zh-CN"/>
              </w:rPr>
              <w:t>消化内镜能量平台</w:t>
            </w:r>
          </w:p>
          <w:p>
            <w:pPr>
              <w:snapToGrid w:val="0"/>
              <w:spacing w:line="560" w:lineRule="exact"/>
              <w:ind w:left="0" w:leftChars="0" w:right="0" w:rightChars="0" w:firstLine="0" w:firstLineChars="0"/>
              <w:jc w:val="center"/>
              <w:rPr>
                <w:rFonts w:hint="eastAsia" w:ascii="宋体" w:hAnsi="宋体" w:eastAsia="宋体" w:cs="宋体"/>
                <w:color w:val="auto"/>
                <w:kern w:val="2"/>
                <w:sz w:val="24"/>
                <w:szCs w:val="24"/>
                <w:highlight w:val="none"/>
                <w:lang w:val="en-US" w:eastAsia="zh-CN" w:bidi="ar-SA"/>
              </w:rPr>
            </w:pPr>
            <w:r>
              <w:rPr>
                <w:rFonts w:hint="default" w:ascii="Times New Roman" w:hAnsi="Times New Roman" w:eastAsia="宋体" w:cs="Times New Roman"/>
                <w:b/>
                <w:bCs w:val="0"/>
                <w:color w:val="auto"/>
                <w:sz w:val="22"/>
                <w:szCs w:val="22"/>
                <w:highlight w:val="none"/>
                <w:lang w:val="en-US" w:eastAsia="zh-CN"/>
              </w:rPr>
              <w:t>（氩气高频电刀）</w:t>
            </w:r>
          </w:p>
        </w:tc>
        <w:tc>
          <w:tcPr>
            <w:tcW w:w="4186" w:type="pct"/>
            <w:noWrap w:val="0"/>
            <w:vAlign w:val="center"/>
          </w:tcPr>
          <w:p>
            <w:pPr>
              <w:spacing w:line="360" w:lineRule="auto"/>
              <w:rPr>
                <w:rFonts w:hint="default" w:ascii="宋体" w:hAnsi="宋体" w:eastAsia="宋体" w:cs="宋体"/>
                <w:b w:val="0"/>
                <w:bCs w:val="0"/>
                <w:color w:val="auto"/>
                <w:kern w:val="2"/>
                <w:sz w:val="22"/>
                <w:szCs w:val="22"/>
                <w:highlight w:val="none"/>
                <w:lang w:val="en-US" w:eastAsia="zh-CN" w:bidi="ar-SA"/>
              </w:rPr>
            </w:pPr>
            <w:r>
              <w:rPr>
                <w:rFonts w:hint="default" w:ascii="宋体" w:hAnsi="宋体" w:eastAsia="宋体" w:cs="宋体"/>
                <w:b w:val="0"/>
                <w:bCs w:val="0"/>
                <w:color w:val="auto"/>
                <w:kern w:val="2"/>
                <w:sz w:val="22"/>
                <w:szCs w:val="22"/>
                <w:highlight w:val="none"/>
                <w:lang w:val="en-US" w:eastAsia="zh-CN" w:bidi="ar-SA"/>
              </w:rPr>
              <w:t>功能要求</w:t>
            </w:r>
          </w:p>
          <w:p>
            <w:pPr>
              <w:spacing w:line="360" w:lineRule="auto"/>
              <w:rPr>
                <w:rFonts w:hint="default" w:ascii="宋体" w:hAnsi="宋体" w:eastAsia="宋体" w:cs="宋体"/>
                <w:b w:val="0"/>
                <w:bCs w:val="0"/>
                <w:color w:val="auto"/>
                <w:kern w:val="2"/>
                <w:sz w:val="22"/>
                <w:szCs w:val="22"/>
                <w:highlight w:val="none"/>
                <w:lang w:val="en-US" w:eastAsia="zh-CN" w:bidi="ar-SA"/>
              </w:rPr>
            </w:pPr>
            <w:r>
              <w:rPr>
                <w:rFonts w:hint="default" w:ascii="宋体" w:hAnsi="宋体" w:eastAsia="宋体" w:cs="宋体"/>
                <w:b w:val="0"/>
                <w:bCs w:val="0"/>
                <w:color w:val="auto"/>
                <w:kern w:val="2"/>
                <w:sz w:val="22"/>
                <w:szCs w:val="22"/>
                <w:highlight w:val="none"/>
                <w:lang w:val="en-US" w:eastAsia="zh-CN" w:bidi="ar-SA"/>
              </w:rPr>
              <w:t>具有多种单双极电切电凝模式、氩气刀功能，用于内镜下息肉切除，各种出血止血，灭活等介入治疗。</w:t>
            </w:r>
          </w:p>
          <w:p>
            <w:pPr>
              <w:spacing w:line="360" w:lineRule="auto"/>
              <w:rPr>
                <w:rFonts w:hint="default" w:ascii="宋体" w:hAnsi="宋体" w:eastAsia="宋体" w:cs="宋体"/>
                <w:b w:val="0"/>
                <w:bCs w:val="0"/>
                <w:color w:val="auto"/>
                <w:kern w:val="2"/>
                <w:sz w:val="22"/>
                <w:szCs w:val="22"/>
                <w:highlight w:val="none"/>
                <w:lang w:val="en-US" w:eastAsia="zh-CN" w:bidi="ar-SA"/>
              </w:rPr>
            </w:pPr>
            <w:r>
              <w:rPr>
                <w:rFonts w:hint="default" w:ascii="宋体" w:hAnsi="宋体" w:eastAsia="宋体" w:cs="宋体"/>
                <w:b w:val="0"/>
                <w:bCs w:val="0"/>
                <w:color w:val="auto"/>
                <w:kern w:val="2"/>
                <w:sz w:val="22"/>
                <w:szCs w:val="22"/>
                <w:highlight w:val="none"/>
                <w:lang w:val="en-US" w:eastAsia="zh-CN" w:bidi="ar-SA"/>
              </w:rPr>
              <w:t>1</w:t>
            </w:r>
            <w:r>
              <w:rPr>
                <w:rFonts w:hint="eastAsia" w:ascii="宋体" w:hAnsi="宋体" w:eastAsia="宋体" w:cs="宋体"/>
                <w:b w:val="0"/>
                <w:bCs w:val="0"/>
                <w:color w:val="auto"/>
                <w:kern w:val="2"/>
                <w:sz w:val="22"/>
                <w:szCs w:val="22"/>
                <w:highlight w:val="none"/>
                <w:lang w:val="en-US" w:eastAsia="zh-CN" w:bidi="ar-SA"/>
              </w:rPr>
              <w:t>.</w:t>
            </w:r>
            <w:r>
              <w:rPr>
                <w:rFonts w:hint="default" w:ascii="宋体" w:hAnsi="宋体" w:eastAsia="宋体" w:cs="宋体"/>
                <w:b w:val="0"/>
                <w:bCs w:val="0"/>
                <w:color w:val="auto"/>
                <w:kern w:val="2"/>
                <w:sz w:val="22"/>
                <w:szCs w:val="22"/>
                <w:highlight w:val="none"/>
                <w:lang w:val="en-US" w:eastAsia="zh-CN" w:bidi="ar-SA"/>
              </w:rPr>
              <w:t>额定电压：220V，电源频率：50Hz，最大输入功率：880VA，工作频率：381KHz。</w:t>
            </w:r>
          </w:p>
          <w:p>
            <w:pPr>
              <w:spacing w:line="360" w:lineRule="auto"/>
              <w:rPr>
                <w:rFonts w:hint="default" w:ascii="宋体" w:hAnsi="宋体" w:eastAsia="宋体" w:cs="宋体"/>
                <w:b w:val="0"/>
                <w:bCs w:val="0"/>
                <w:color w:val="auto"/>
                <w:kern w:val="2"/>
                <w:sz w:val="22"/>
                <w:szCs w:val="22"/>
                <w:highlight w:val="none"/>
                <w:lang w:val="en-US" w:eastAsia="zh-CN" w:bidi="ar-SA"/>
              </w:rPr>
            </w:pPr>
            <w:r>
              <w:rPr>
                <w:rFonts w:hint="default" w:ascii="宋体" w:hAnsi="宋体" w:eastAsia="宋体" w:cs="宋体"/>
                <w:b w:val="0"/>
                <w:bCs w:val="0"/>
                <w:color w:val="auto"/>
                <w:kern w:val="2"/>
                <w:sz w:val="22"/>
                <w:szCs w:val="22"/>
                <w:highlight w:val="none"/>
                <w:lang w:val="en-US" w:eastAsia="zh-CN" w:bidi="ar-SA"/>
              </w:rPr>
              <w:t>2.整机一体化设计，具有氩离子电凝止血术（氩气刀）：用于术中止血和组织的失活。</w:t>
            </w:r>
          </w:p>
          <w:p>
            <w:pPr>
              <w:spacing w:line="360" w:lineRule="auto"/>
              <w:rPr>
                <w:rFonts w:hint="default" w:ascii="宋体" w:hAnsi="宋体" w:eastAsia="宋体" w:cs="宋体"/>
                <w:b w:val="0"/>
                <w:bCs w:val="0"/>
                <w:color w:val="auto"/>
                <w:kern w:val="2"/>
                <w:sz w:val="22"/>
                <w:szCs w:val="22"/>
                <w:highlight w:val="none"/>
                <w:lang w:val="en-US" w:eastAsia="zh-CN" w:bidi="ar-SA"/>
              </w:rPr>
            </w:pPr>
            <w:r>
              <w:rPr>
                <w:rFonts w:hint="default" w:ascii="宋体" w:hAnsi="宋体" w:eastAsia="宋体" w:cs="宋体"/>
                <w:b w:val="0"/>
                <w:bCs w:val="0"/>
                <w:color w:val="auto"/>
                <w:kern w:val="2"/>
                <w:sz w:val="22"/>
                <w:szCs w:val="22"/>
                <w:highlight w:val="none"/>
                <w:lang w:val="en-US" w:eastAsia="zh-CN" w:bidi="ar-SA"/>
              </w:rPr>
              <w:t>3.支持普通单极、氩气单极输出，匹配各类镜下手术。</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default" w:ascii="宋体" w:hAnsi="宋体" w:eastAsia="宋体" w:cs="宋体"/>
                <w:b w:val="0"/>
                <w:bCs w:val="0"/>
                <w:color w:val="auto"/>
                <w:kern w:val="2"/>
                <w:sz w:val="22"/>
                <w:szCs w:val="22"/>
                <w:highlight w:val="none"/>
                <w:lang w:val="en-US" w:eastAsia="zh-CN" w:bidi="ar-SA"/>
              </w:rPr>
              <w:t>4.采用7寸大屏幕液晶彩色显示、集中显示功能，灵活的操作界面，功率和参数可通过按键方便调节，可存储≥10组临床经验设置。</w:t>
            </w:r>
          </w:p>
          <w:p>
            <w:pPr>
              <w:spacing w:line="360" w:lineRule="auto"/>
              <w:rPr>
                <w:rFonts w:hint="eastAsia" w:ascii="宋体" w:hAnsi="宋体" w:eastAsia="宋体" w:cs="宋体"/>
                <w:b w:val="0"/>
                <w:bCs w:val="0"/>
                <w:color w:val="auto"/>
                <w:kern w:val="2"/>
                <w:sz w:val="22"/>
                <w:szCs w:val="22"/>
                <w:highlight w:val="none"/>
                <w:lang w:val="zh-CN" w:eastAsia="zh-CN" w:bidi="ar-SA"/>
              </w:rPr>
            </w:pPr>
            <w:r>
              <w:rPr>
                <w:rFonts w:hint="eastAsia" w:ascii="宋体" w:hAnsi="宋体" w:eastAsia="宋体" w:cs="宋体"/>
                <w:color w:val="auto"/>
                <w:sz w:val="22"/>
                <w:highlight w:val="none"/>
              </w:rPr>
              <w:t>▲</w:t>
            </w:r>
            <w:r>
              <w:rPr>
                <w:rFonts w:hint="default" w:ascii="宋体" w:hAnsi="宋体" w:eastAsia="宋体" w:cs="宋体"/>
                <w:b w:val="0"/>
                <w:bCs w:val="0"/>
                <w:color w:val="auto"/>
                <w:kern w:val="2"/>
                <w:sz w:val="22"/>
                <w:szCs w:val="22"/>
                <w:highlight w:val="none"/>
                <w:lang w:val="en-US" w:eastAsia="zh-CN" w:bidi="ar-SA"/>
              </w:rPr>
              <w:t>5.具有纯切、混切、内镜电切I、内镜电切Q、柔和电凝、强力电凝、喷凝、喷射电凝I、喷射电凝II 9种工作模式。</w:t>
            </w:r>
            <w:r>
              <w:rPr>
                <w:rFonts w:hint="eastAsia" w:ascii="宋体" w:hAnsi="宋体" w:eastAsia="宋体" w:cs="宋体"/>
                <w:b w:val="0"/>
                <w:bCs w:val="0"/>
                <w:color w:val="auto"/>
                <w:kern w:val="2"/>
                <w:sz w:val="22"/>
                <w:szCs w:val="22"/>
                <w:highlight w:val="none"/>
                <w:lang w:val="zh-CN" w:eastAsia="zh-CN" w:bidi="ar-SA"/>
              </w:rPr>
              <w:t>（</w:t>
            </w:r>
            <w:r>
              <w:rPr>
                <w:rFonts w:hint="eastAsia" w:ascii="宋体" w:hAnsi="宋体" w:eastAsia="宋体" w:cs="宋体"/>
                <w:b/>
                <w:bCs/>
                <w:color w:val="auto"/>
                <w:kern w:val="2"/>
                <w:sz w:val="22"/>
                <w:szCs w:val="22"/>
                <w:highlight w:val="none"/>
                <w:lang w:val="zh-CN" w:eastAsia="zh-CN" w:bidi="ar-SA"/>
              </w:rPr>
              <w:t>投标时需提供产品技术白皮书或说明书扫描件或产品彩页，注：对应参数在证明材料中进行标注，</w:t>
            </w:r>
            <w:r>
              <w:rPr>
                <w:rFonts w:hint="eastAsia" w:ascii="宋体" w:hAnsi="宋体" w:eastAsia="宋体" w:cs="宋体"/>
                <w:b/>
                <w:bCs/>
                <w:color w:val="auto"/>
                <w:kern w:val="2"/>
                <w:sz w:val="22"/>
                <w:szCs w:val="22"/>
                <w:highlight w:val="none"/>
                <w:lang w:val="en-US" w:eastAsia="zh-CN" w:bidi="ar-SA"/>
              </w:rPr>
              <w:t>中标后</w:t>
            </w:r>
            <w:r>
              <w:rPr>
                <w:rFonts w:hint="eastAsia" w:ascii="宋体" w:hAnsi="宋体" w:eastAsia="宋体" w:cs="宋体"/>
                <w:b/>
                <w:bCs/>
                <w:color w:val="auto"/>
                <w:kern w:val="2"/>
                <w:sz w:val="22"/>
                <w:szCs w:val="22"/>
                <w:highlight w:val="none"/>
                <w:lang w:val="zh-CN" w:eastAsia="zh-CN" w:bidi="ar-SA"/>
              </w:rPr>
              <w:t>原件备查。</w:t>
            </w:r>
            <w:r>
              <w:rPr>
                <w:rFonts w:hint="eastAsia" w:ascii="宋体" w:hAnsi="宋体" w:eastAsia="宋体" w:cs="宋体"/>
                <w:b w:val="0"/>
                <w:bCs w:val="0"/>
                <w:color w:val="auto"/>
                <w:kern w:val="2"/>
                <w:sz w:val="22"/>
                <w:szCs w:val="22"/>
                <w:highlight w:val="none"/>
                <w:lang w:val="zh-CN" w:eastAsia="zh-CN" w:bidi="ar-SA"/>
              </w:rPr>
              <w:t>）</w:t>
            </w:r>
          </w:p>
          <w:p>
            <w:pPr>
              <w:spacing w:line="360" w:lineRule="auto"/>
              <w:rPr>
                <w:rFonts w:hint="eastAsia" w:ascii="宋体" w:hAnsi="宋体" w:eastAsia="宋体" w:cs="宋体"/>
                <w:b w:val="0"/>
                <w:bCs w:val="0"/>
                <w:color w:val="auto"/>
                <w:kern w:val="2"/>
                <w:sz w:val="22"/>
                <w:szCs w:val="22"/>
                <w:highlight w:val="none"/>
                <w:lang w:val="zh-CN" w:eastAsia="zh-CN" w:bidi="ar-SA"/>
              </w:rPr>
            </w:pPr>
            <w:r>
              <w:rPr>
                <w:rFonts w:hint="eastAsia" w:ascii="宋体" w:hAnsi="宋体" w:eastAsia="宋体" w:cs="宋体"/>
                <w:color w:val="auto"/>
                <w:sz w:val="22"/>
                <w:highlight w:val="none"/>
              </w:rPr>
              <w:t>▲</w:t>
            </w:r>
            <w:r>
              <w:rPr>
                <w:rFonts w:hint="default" w:ascii="宋体" w:hAnsi="宋体" w:eastAsia="宋体" w:cs="宋体"/>
                <w:b w:val="0"/>
                <w:bCs w:val="0"/>
                <w:color w:val="auto"/>
                <w:kern w:val="2"/>
                <w:sz w:val="22"/>
                <w:szCs w:val="22"/>
                <w:highlight w:val="none"/>
                <w:lang w:val="en-US" w:eastAsia="zh-CN" w:bidi="ar-SA"/>
              </w:rPr>
              <w:t>6.每种工作模式支持4-6种输出效果。</w:t>
            </w:r>
            <w:r>
              <w:rPr>
                <w:rFonts w:hint="eastAsia" w:ascii="宋体" w:hAnsi="宋体" w:eastAsia="宋体" w:cs="宋体"/>
                <w:b w:val="0"/>
                <w:bCs w:val="0"/>
                <w:color w:val="auto"/>
                <w:kern w:val="2"/>
                <w:sz w:val="22"/>
                <w:szCs w:val="22"/>
                <w:highlight w:val="none"/>
                <w:lang w:val="zh-CN" w:eastAsia="zh-CN" w:bidi="ar-SA"/>
              </w:rPr>
              <w:t>（</w:t>
            </w:r>
            <w:r>
              <w:rPr>
                <w:rFonts w:hint="eastAsia" w:ascii="宋体" w:hAnsi="宋体" w:eastAsia="宋体" w:cs="宋体"/>
                <w:b/>
                <w:bCs/>
                <w:color w:val="auto"/>
                <w:kern w:val="2"/>
                <w:sz w:val="22"/>
                <w:szCs w:val="22"/>
                <w:highlight w:val="none"/>
                <w:lang w:val="zh-CN" w:eastAsia="zh-CN" w:bidi="ar-SA"/>
              </w:rPr>
              <w:t>投标时需提供产品技术白皮书或说明书扫描件或产品彩页，注：对应参数在证明材料中进行标注，</w:t>
            </w:r>
            <w:r>
              <w:rPr>
                <w:rFonts w:hint="eastAsia" w:ascii="宋体" w:hAnsi="宋体" w:eastAsia="宋体" w:cs="宋体"/>
                <w:b/>
                <w:bCs/>
                <w:color w:val="auto"/>
                <w:kern w:val="2"/>
                <w:sz w:val="22"/>
                <w:szCs w:val="22"/>
                <w:highlight w:val="none"/>
                <w:lang w:val="en-US" w:eastAsia="zh-CN" w:bidi="ar-SA"/>
              </w:rPr>
              <w:t>中标后</w:t>
            </w:r>
            <w:r>
              <w:rPr>
                <w:rFonts w:hint="eastAsia" w:ascii="宋体" w:hAnsi="宋体" w:eastAsia="宋体" w:cs="宋体"/>
                <w:b/>
                <w:bCs/>
                <w:color w:val="auto"/>
                <w:kern w:val="2"/>
                <w:sz w:val="22"/>
                <w:szCs w:val="22"/>
                <w:highlight w:val="none"/>
                <w:lang w:val="zh-CN" w:eastAsia="zh-CN" w:bidi="ar-SA"/>
              </w:rPr>
              <w:t>原件备查。</w:t>
            </w:r>
            <w:r>
              <w:rPr>
                <w:rFonts w:hint="eastAsia" w:ascii="宋体" w:hAnsi="宋体" w:eastAsia="宋体" w:cs="宋体"/>
                <w:b w:val="0"/>
                <w:bCs w:val="0"/>
                <w:color w:val="auto"/>
                <w:kern w:val="2"/>
                <w:sz w:val="22"/>
                <w:szCs w:val="22"/>
                <w:highlight w:val="none"/>
                <w:lang w:val="zh-CN" w:eastAsia="zh-CN" w:bidi="ar-SA"/>
              </w:rPr>
              <w:t>）</w:t>
            </w:r>
          </w:p>
          <w:p>
            <w:pPr>
              <w:spacing w:line="360" w:lineRule="auto"/>
              <w:rPr>
                <w:rFonts w:hint="eastAsia" w:ascii="宋体" w:hAnsi="宋体" w:eastAsia="宋体" w:cs="宋体"/>
                <w:b w:val="0"/>
                <w:bCs w:val="0"/>
                <w:color w:val="auto"/>
                <w:kern w:val="2"/>
                <w:sz w:val="22"/>
                <w:szCs w:val="22"/>
                <w:highlight w:val="none"/>
                <w:lang w:val="zh-CN" w:eastAsia="zh-CN" w:bidi="ar-SA"/>
              </w:rPr>
            </w:pPr>
            <w:r>
              <w:rPr>
                <w:rFonts w:hint="default" w:ascii="宋体" w:hAnsi="宋体" w:eastAsia="宋体" w:cs="宋体"/>
                <w:b w:val="0"/>
                <w:bCs w:val="0"/>
                <w:color w:val="auto"/>
                <w:kern w:val="2"/>
                <w:sz w:val="22"/>
                <w:szCs w:val="22"/>
                <w:highlight w:val="none"/>
                <w:lang w:val="en-US" w:eastAsia="zh-CN" w:bidi="ar-SA"/>
              </w:rPr>
              <w:t>7.最大电切功率≤300W，电凝功能≤150W，输出功率偏差率：≤±20%（额定负载）。</w:t>
            </w:r>
          </w:p>
          <w:p>
            <w:pPr>
              <w:spacing w:line="360" w:lineRule="auto"/>
              <w:rPr>
                <w:rFonts w:hint="eastAsia" w:ascii="宋体" w:hAnsi="宋体" w:eastAsia="宋体" w:cs="宋体"/>
                <w:b w:val="0"/>
                <w:bCs w:val="0"/>
                <w:color w:val="auto"/>
                <w:kern w:val="2"/>
                <w:sz w:val="22"/>
                <w:szCs w:val="22"/>
                <w:highlight w:val="none"/>
                <w:lang w:val="zh-CN" w:eastAsia="zh-CN" w:bidi="ar-SA"/>
              </w:rPr>
            </w:pPr>
            <w:r>
              <w:rPr>
                <w:rFonts w:hint="default" w:ascii="宋体" w:hAnsi="宋体" w:eastAsia="宋体" w:cs="宋体"/>
                <w:b w:val="0"/>
                <w:bCs w:val="0"/>
                <w:color w:val="auto"/>
                <w:kern w:val="2"/>
                <w:sz w:val="22"/>
                <w:szCs w:val="22"/>
                <w:highlight w:val="none"/>
                <w:lang w:val="en-US" w:eastAsia="zh-CN" w:bidi="ar-SA"/>
              </w:rPr>
              <w:t>8.具有PPS功率峰值补偿系统，可通过探测组织阻抗，自动调节输出能量，达到切割顺畅。</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color w:val="auto"/>
                <w:sz w:val="22"/>
                <w:highlight w:val="none"/>
              </w:rPr>
              <w:t>▲</w:t>
            </w:r>
            <w:r>
              <w:rPr>
                <w:rFonts w:hint="default" w:ascii="宋体" w:hAnsi="宋体" w:eastAsia="宋体" w:cs="宋体"/>
                <w:b w:val="0"/>
                <w:bCs w:val="0"/>
                <w:color w:val="auto"/>
                <w:kern w:val="2"/>
                <w:sz w:val="22"/>
                <w:szCs w:val="22"/>
                <w:highlight w:val="none"/>
                <w:lang w:val="en-US" w:eastAsia="zh-CN" w:bidi="ar-SA"/>
              </w:rPr>
              <w:t>9.具有阻抗即时反馈技术。</w:t>
            </w:r>
            <w:r>
              <w:rPr>
                <w:rFonts w:hint="eastAsia" w:ascii="宋体" w:hAnsi="宋体" w:eastAsia="宋体" w:cs="宋体"/>
                <w:b w:val="0"/>
                <w:bCs w:val="0"/>
                <w:color w:val="auto"/>
                <w:kern w:val="2"/>
                <w:sz w:val="22"/>
                <w:szCs w:val="22"/>
                <w:highlight w:val="none"/>
                <w:lang w:val="zh-CN" w:eastAsia="zh-CN" w:bidi="ar-SA"/>
              </w:rPr>
              <w:t>（</w:t>
            </w:r>
            <w:r>
              <w:rPr>
                <w:rFonts w:hint="eastAsia" w:ascii="宋体" w:hAnsi="宋体" w:eastAsia="宋体" w:cs="宋体"/>
                <w:b/>
                <w:bCs/>
                <w:color w:val="auto"/>
                <w:kern w:val="2"/>
                <w:sz w:val="22"/>
                <w:szCs w:val="22"/>
                <w:highlight w:val="none"/>
                <w:lang w:val="zh-CN" w:eastAsia="zh-CN" w:bidi="ar-SA"/>
              </w:rPr>
              <w:t>投标时需提供产品技术白皮书或说明书扫描件或产品彩页，注：对应参数在证明材料中进行标注，</w:t>
            </w:r>
            <w:r>
              <w:rPr>
                <w:rFonts w:hint="eastAsia" w:ascii="宋体" w:hAnsi="宋体" w:eastAsia="宋体" w:cs="宋体"/>
                <w:b/>
                <w:bCs/>
                <w:color w:val="auto"/>
                <w:kern w:val="2"/>
                <w:sz w:val="22"/>
                <w:szCs w:val="22"/>
                <w:highlight w:val="none"/>
                <w:lang w:val="en-US" w:eastAsia="zh-CN" w:bidi="ar-SA"/>
              </w:rPr>
              <w:t>中标后</w:t>
            </w:r>
            <w:r>
              <w:rPr>
                <w:rFonts w:hint="eastAsia" w:ascii="宋体" w:hAnsi="宋体" w:eastAsia="宋体" w:cs="宋体"/>
                <w:b/>
                <w:bCs/>
                <w:color w:val="auto"/>
                <w:kern w:val="2"/>
                <w:sz w:val="22"/>
                <w:szCs w:val="22"/>
                <w:highlight w:val="none"/>
                <w:lang w:val="zh-CN" w:eastAsia="zh-CN" w:bidi="ar-SA"/>
              </w:rPr>
              <w:t>原件备查。</w:t>
            </w:r>
            <w:r>
              <w:rPr>
                <w:rFonts w:hint="eastAsia" w:ascii="宋体" w:hAnsi="宋体" w:eastAsia="宋体" w:cs="宋体"/>
                <w:b w:val="0"/>
                <w:bCs w:val="0"/>
                <w:color w:val="auto"/>
                <w:kern w:val="2"/>
                <w:sz w:val="22"/>
                <w:szCs w:val="22"/>
                <w:highlight w:val="none"/>
                <w:lang w:val="zh-CN" w:eastAsia="zh-CN" w:bidi="ar-SA"/>
              </w:rPr>
              <w:t>）</w:t>
            </w:r>
          </w:p>
          <w:p>
            <w:pPr>
              <w:spacing w:line="360" w:lineRule="auto"/>
              <w:rPr>
                <w:rFonts w:hint="default" w:ascii="宋体" w:hAnsi="宋体" w:eastAsia="宋体" w:cs="宋体"/>
                <w:b w:val="0"/>
                <w:bCs w:val="0"/>
                <w:color w:val="auto"/>
                <w:kern w:val="2"/>
                <w:sz w:val="22"/>
                <w:szCs w:val="22"/>
                <w:highlight w:val="none"/>
                <w:lang w:val="en-US" w:eastAsia="zh-CN" w:bidi="ar-SA"/>
              </w:rPr>
            </w:pPr>
            <w:r>
              <w:rPr>
                <w:rFonts w:hint="eastAsia" w:ascii="宋体" w:hAnsi="宋体" w:eastAsia="宋体" w:cs="宋体"/>
                <w:color w:val="auto"/>
                <w:sz w:val="22"/>
                <w:highlight w:val="none"/>
              </w:rPr>
              <w:t>▲</w:t>
            </w:r>
            <w:r>
              <w:rPr>
                <w:rFonts w:hint="default" w:ascii="宋体" w:hAnsi="宋体" w:eastAsia="宋体" w:cs="宋体"/>
                <w:b w:val="0"/>
                <w:bCs w:val="0"/>
                <w:color w:val="auto"/>
                <w:kern w:val="2"/>
                <w:sz w:val="22"/>
                <w:szCs w:val="22"/>
                <w:highlight w:val="none"/>
                <w:lang w:val="en-US" w:eastAsia="zh-CN" w:bidi="ar-SA"/>
              </w:rPr>
              <w:t>10.具有专用内镜手术，内镜切I、内镜切Q，可根据阻抗变化自动调节功率。</w:t>
            </w:r>
            <w:r>
              <w:rPr>
                <w:rFonts w:hint="eastAsia" w:ascii="宋体" w:hAnsi="宋体" w:eastAsia="宋体" w:cs="宋体"/>
                <w:b w:val="0"/>
                <w:bCs w:val="0"/>
                <w:color w:val="auto"/>
                <w:kern w:val="2"/>
                <w:sz w:val="22"/>
                <w:szCs w:val="22"/>
                <w:highlight w:val="none"/>
                <w:lang w:val="zh-CN" w:eastAsia="zh-CN" w:bidi="ar-SA"/>
              </w:rPr>
              <w:t>（</w:t>
            </w:r>
            <w:r>
              <w:rPr>
                <w:rFonts w:hint="eastAsia" w:ascii="宋体" w:hAnsi="宋体" w:eastAsia="宋体" w:cs="宋体"/>
                <w:b/>
                <w:bCs/>
                <w:color w:val="auto"/>
                <w:kern w:val="2"/>
                <w:sz w:val="22"/>
                <w:szCs w:val="22"/>
                <w:highlight w:val="none"/>
                <w:lang w:val="zh-CN" w:eastAsia="zh-CN" w:bidi="ar-SA"/>
              </w:rPr>
              <w:t>投标时需提供产品技术白皮书或说明书扫描件或产品彩页，注：对应参数在证明材料中进行标注，</w:t>
            </w:r>
            <w:r>
              <w:rPr>
                <w:rFonts w:hint="eastAsia" w:ascii="宋体" w:hAnsi="宋体" w:eastAsia="宋体" w:cs="宋体"/>
                <w:b/>
                <w:bCs/>
                <w:color w:val="auto"/>
                <w:kern w:val="2"/>
                <w:sz w:val="22"/>
                <w:szCs w:val="22"/>
                <w:highlight w:val="none"/>
                <w:lang w:val="en-US" w:eastAsia="zh-CN" w:bidi="ar-SA"/>
              </w:rPr>
              <w:t>中标后</w:t>
            </w:r>
            <w:r>
              <w:rPr>
                <w:rFonts w:hint="eastAsia" w:ascii="宋体" w:hAnsi="宋体" w:eastAsia="宋体" w:cs="宋体"/>
                <w:b/>
                <w:bCs/>
                <w:color w:val="auto"/>
                <w:kern w:val="2"/>
                <w:sz w:val="22"/>
                <w:szCs w:val="22"/>
                <w:highlight w:val="none"/>
                <w:lang w:val="zh-CN" w:eastAsia="zh-CN" w:bidi="ar-SA"/>
              </w:rPr>
              <w:t>原件备查。</w:t>
            </w:r>
            <w:r>
              <w:rPr>
                <w:rFonts w:hint="eastAsia" w:ascii="宋体" w:hAnsi="宋体" w:eastAsia="宋体" w:cs="宋体"/>
                <w:b w:val="0"/>
                <w:bCs w:val="0"/>
                <w:color w:val="auto"/>
                <w:kern w:val="2"/>
                <w:sz w:val="22"/>
                <w:szCs w:val="22"/>
                <w:highlight w:val="none"/>
                <w:lang w:val="zh-CN" w:eastAsia="zh-CN" w:bidi="ar-SA"/>
              </w:rPr>
              <w:t>）</w:t>
            </w:r>
          </w:p>
          <w:p>
            <w:pPr>
              <w:spacing w:line="360" w:lineRule="auto"/>
              <w:rPr>
                <w:rFonts w:hint="default" w:ascii="宋体" w:hAnsi="宋体" w:eastAsia="宋体" w:cs="宋体"/>
                <w:b w:val="0"/>
                <w:bCs w:val="0"/>
                <w:color w:val="auto"/>
                <w:kern w:val="2"/>
                <w:sz w:val="22"/>
                <w:szCs w:val="22"/>
                <w:highlight w:val="none"/>
                <w:lang w:val="en-US" w:eastAsia="zh-CN" w:bidi="ar-SA"/>
              </w:rPr>
            </w:pPr>
            <w:r>
              <w:rPr>
                <w:rFonts w:hint="default" w:ascii="宋体" w:hAnsi="宋体" w:eastAsia="宋体" w:cs="宋体"/>
                <w:b w:val="0"/>
                <w:bCs w:val="0"/>
                <w:color w:val="auto"/>
                <w:kern w:val="2"/>
                <w:sz w:val="22"/>
                <w:szCs w:val="22"/>
                <w:highlight w:val="none"/>
                <w:lang w:val="en-US" w:eastAsia="zh-CN" w:bidi="ar-SA"/>
              </w:rPr>
              <w:t>11.内置风扇，防止灰尘进入。</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color w:val="auto"/>
                <w:sz w:val="22"/>
                <w:highlight w:val="none"/>
              </w:rPr>
              <w:t>▲</w:t>
            </w:r>
            <w:r>
              <w:rPr>
                <w:rFonts w:hint="default" w:ascii="宋体" w:hAnsi="宋体" w:eastAsia="宋体" w:cs="宋体"/>
                <w:b w:val="0"/>
                <w:bCs w:val="0"/>
                <w:color w:val="auto"/>
                <w:kern w:val="2"/>
                <w:sz w:val="22"/>
                <w:szCs w:val="22"/>
                <w:highlight w:val="none"/>
                <w:lang w:val="en-US" w:eastAsia="zh-CN" w:bidi="ar-SA"/>
              </w:rPr>
              <w:t>12.具有电极板接触质量数字化显示检测系统。</w:t>
            </w:r>
            <w:r>
              <w:rPr>
                <w:rFonts w:hint="eastAsia" w:ascii="宋体" w:hAnsi="宋体" w:eastAsia="宋体" w:cs="宋体"/>
                <w:b w:val="0"/>
                <w:bCs w:val="0"/>
                <w:color w:val="auto"/>
                <w:kern w:val="2"/>
                <w:sz w:val="22"/>
                <w:szCs w:val="22"/>
                <w:highlight w:val="none"/>
                <w:lang w:val="zh-CN" w:eastAsia="zh-CN" w:bidi="ar-SA"/>
              </w:rPr>
              <w:t>（</w:t>
            </w:r>
            <w:r>
              <w:rPr>
                <w:rFonts w:hint="eastAsia" w:ascii="宋体" w:hAnsi="宋体" w:eastAsia="宋体" w:cs="宋体"/>
                <w:b/>
                <w:bCs/>
                <w:color w:val="auto"/>
                <w:kern w:val="2"/>
                <w:sz w:val="22"/>
                <w:szCs w:val="22"/>
                <w:highlight w:val="none"/>
                <w:lang w:val="zh-CN" w:eastAsia="zh-CN" w:bidi="ar-SA"/>
              </w:rPr>
              <w:t>投标时需提供产品技术白皮书或说明书扫描件或产品彩页，注：对应参数在证明材料中进行标注，</w:t>
            </w:r>
            <w:r>
              <w:rPr>
                <w:rFonts w:hint="eastAsia" w:ascii="宋体" w:hAnsi="宋体" w:eastAsia="宋体" w:cs="宋体"/>
                <w:b/>
                <w:bCs/>
                <w:color w:val="auto"/>
                <w:kern w:val="2"/>
                <w:sz w:val="22"/>
                <w:szCs w:val="22"/>
                <w:highlight w:val="none"/>
                <w:lang w:val="en-US" w:eastAsia="zh-CN" w:bidi="ar-SA"/>
              </w:rPr>
              <w:t>中标后</w:t>
            </w:r>
            <w:r>
              <w:rPr>
                <w:rFonts w:hint="eastAsia" w:ascii="宋体" w:hAnsi="宋体" w:eastAsia="宋体" w:cs="宋体"/>
                <w:b/>
                <w:bCs/>
                <w:color w:val="auto"/>
                <w:kern w:val="2"/>
                <w:sz w:val="22"/>
                <w:szCs w:val="22"/>
                <w:highlight w:val="none"/>
                <w:lang w:val="zh-CN" w:eastAsia="zh-CN" w:bidi="ar-SA"/>
              </w:rPr>
              <w:t>原件备查。</w:t>
            </w:r>
            <w:r>
              <w:rPr>
                <w:rFonts w:hint="eastAsia" w:ascii="宋体" w:hAnsi="宋体" w:eastAsia="宋体" w:cs="宋体"/>
                <w:b w:val="0"/>
                <w:bCs w:val="0"/>
                <w:color w:val="auto"/>
                <w:kern w:val="2"/>
                <w:sz w:val="22"/>
                <w:szCs w:val="22"/>
                <w:highlight w:val="none"/>
                <w:lang w:val="zh-CN" w:eastAsia="zh-CN" w:bidi="ar-SA"/>
              </w:rPr>
              <w:t>）</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color w:val="auto"/>
                <w:sz w:val="22"/>
                <w:highlight w:val="none"/>
              </w:rPr>
              <w:t>▲</w:t>
            </w:r>
            <w:r>
              <w:rPr>
                <w:rFonts w:hint="default" w:ascii="宋体" w:hAnsi="宋体" w:eastAsia="宋体" w:cs="宋体"/>
                <w:b w:val="0"/>
                <w:bCs w:val="0"/>
                <w:color w:val="auto"/>
                <w:kern w:val="2"/>
                <w:sz w:val="22"/>
                <w:szCs w:val="22"/>
                <w:highlight w:val="none"/>
                <w:lang w:val="en-US" w:eastAsia="zh-CN" w:bidi="ar-SA"/>
              </w:rPr>
              <w:t>13.采用多CPU设计，专用的CPU进行设备故障管理，任意故障，可以第一时间切断输出，安全更可靠。</w:t>
            </w:r>
            <w:r>
              <w:rPr>
                <w:rFonts w:hint="eastAsia" w:ascii="宋体" w:hAnsi="宋体" w:eastAsia="宋体" w:cs="宋体"/>
                <w:b w:val="0"/>
                <w:bCs w:val="0"/>
                <w:color w:val="auto"/>
                <w:kern w:val="2"/>
                <w:sz w:val="22"/>
                <w:szCs w:val="22"/>
                <w:highlight w:val="none"/>
                <w:lang w:val="zh-CN" w:eastAsia="zh-CN" w:bidi="ar-SA"/>
              </w:rPr>
              <w:t>（</w:t>
            </w:r>
            <w:r>
              <w:rPr>
                <w:rFonts w:hint="eastAsia" w:ascii="宋体" w:hAnsi="宋体" w:eastAsia="宋体" w:cs="宋体"/>
                <w:b/>
                <w:bCs/>
                <w:color w:val="auto"/>
                <w:kern w:val="2"/>
                <w:sz w:val="22"/>
                <w:szCs w:val="22"/>
                <w:highlight w:val="none"/>
                <w:lang w:val="zh-CN" w:eastAsia="zh-CN" w:bidi="ar-SA"/>
              </w:rPr>
              <w:t>投标时需提供产品技术白皮书或说明书扫描件或产品彩页，注：对应参数在证明材料中进行标注，</w:t>
            </w:r>
            <w:r>
              <w:rPr>
                <w:rFonts w:hint="eastAsia" w:ascii="宋体" w:hAnsi="宋体" w:eastAsia="宋体" w:cs="宋体"/>
                <w:b/>
                <w:bCs/>
                <w:color w:val="auto"/>
                <w:kern w:val="2"/>
                <w:sz w:val="22"/>
                <w:szCs w:val="22"/>
                <w:highlight w:val="none"/>
                <w:lang w:val="en-US" w:eastAsia="zh-CN" w:bidi="ar-SA"/>
              </w:rPr>
              <w:t>中标后</w:t>
            </w:r>
            <w:r>
              <w:rPr>
                <w:rFonts w:hint="eastAsia" w:ascii="宋体" w:hAnsi="宋体" w:eastAsia="宋体" w:cs="宋体"/>
                <w:b/>
                <w:bCs/>
                <w:color w:val="auto"/>
                <w:kern w:val="2"/>
                <w:sz w:val="22"/>
                <w:szCs w:val="22"/>
                <w:highlight w:val="none"/>
                <w:lang w:val="zh-CN" w:eastAsia="zh-CN" w:bidi="ar-SA"/>
              </w:rPr>
              <w:t>原件备查。</w:t>
            </w:r>
            <w:r>
              <w:rPr>
                <w:rFonts w:hint="eastAsia" w:ascii="宋体" w:hAnsi="宋体" w:eastAsia="宋体" w:cs="宋体"/>
                <w:b w:val="0"/>
                <w:bCs w:val="0"/>
                <w:color w:val="auto"/>
                <w:kern w:val="2"/>
                <w:sz w:val="22"/>
                <w:szCs w:val="22"/>
                <w:highlight w:val="none"/>
                <w:lang w:val="zh-CN" w:eastAsia="zh-CN" w:bidi="ar-SA"/>
              </w:rPr>
              <w:t>）</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default" w:ascii="宋体" w:hAnsi="宋体" w:eastAsia="宋体" w:cs="宋体"/>
                <w:b w:val="0"/>
                <w:bCs w:val="0"/>
                <w:color w:val="auto"/>
                <w:kern w:val="2"/>
                <w:sz w:val="22"/>
                <w:szCs w:val="22"/>
                <w:highlight w:val="none"/>
                <w:lang w:val="en-US" w:eastAsia="zh-CN" w:bidi="ar-SA"/>
              </w:rPr>
              <w:t>14.具有氩气流量恒定输出监测系统及末端压力自动监测系统。</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default" w:ascii="宋体" w:hAnsi="宋体" w:eastAsia="宋体" w:cs="宋体"/>
                <w:b w:val="0"/>
                <w:bCs w:val="0"/>
                <w:color w:val="auto"/>
                <w:kern w:val="2"/>
                <w:sz w:val="22"/>
                <w:szCs w:val="22"/>
                <w:highlight w:val="none"/>
                <w:lang w:val="en-US" w:eastAsia="zh-CN" w:bidi="ar-SA"/>
              </w:rPr>
              <w:t>15.具有开机自检，漏电检测功能。</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default" w:ascii="宋体" w:hAnsi="宋体" w:eastAsia="宋体" w:cs="宋体"/>
                <w:b w:val="0"/>
                <w:bCs w:val="0"/>
                <w:color w:val="auto"/>
                <w:kern w:val="2"/>
                <w:sz w:val="22"/>
                <w:szCs w:val="22"/>
                <w:highlight w:val="none"/>
                <w:lang w:val="en-US" w:eastAsia="zh-CN" w:bidi="ar-SA"/>
              </w:rPr>
              <w:t>16.氩离子喷射电凝模式,功率调节范围：1-100W，凝血深度≤3mm。</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default" w:ascii="宋体" w:hAnsi="宋体" w:eastAsia="宋体" w:cs="宋体"/>
                <w:b w:val="0"/>
                <w:bCs w:val="0"/>
                <w:color w:val="auto"/>
                <w:kern w:val="2"/>
                <w:sz w:val="22"/>
                <w:szCs w:val="22"/>
                <w:highlight w:val="none"/>
                <w:lang w:val="en-US" w:eastAsia="zh-CN" w:bidi="ar-SA"/>
              </w:rPr>
              <w:t>17.氩气输入压力：0.15～0.90Mpa；氩气输出流量范围：0.1 L/min ～ 9.0 L/min（ 步幅0.1L/min）。</w:t>
            </w:r>
          </w:p>
          <w:p>
            <w:pPr>
              <w:spacing w:line="360" w:lineRule="auto"/>
              <w:rPr>
                <w:rFonts w:hint="eastAsia" w:ascii="宋体" w:hAnsi="宋体" w:eastAsia="宋体" w:cs="宋体"/>
                <w:b w:val="0"/>
                <w:bCs w:val="0"/>
                <w:color w:val="auto"/>
                <w:sz w:val="24"/>
                <w:szCs w:val="24"/>
                <w:highlight w:val="none"/>
              </w:rPr>
            </w:pPr>
            <w:r>
              <w:rPr>
                <w:rFonts w:hint="default" w:ascii="宋体" w:hAnsi="宋体" w:eastAsia="宋体" w:cs="宋体"/>
                <w:b w:val="0"/>
                <w:bCs w:val="0"/>
                <w:color w:val="auto"/>
                <w:kern w:val="2"/>
                <w:sz w:val="22"/>
                <w:szCs w:val="22"/>
                <w:highlight w:val="none"/>
                <w:lang w:val="en-US" w:eastAsia="zh-CN" w:bidi="ar-SA"/>
              </w:rPr>
              <w:t>18.氩气电极具有色环标记，并有多种喷口方向的软管可供选择。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813" w:type="pct"/>
            <w:shd w:val="clear" w:color="auto" w:fill="auto"/>
            <w:noWrap w:val="0"/>
            <w:vAlign w:val="center"/>
          </w:tcPr>
          <w:p>
            <w:pPr>
              <w:snapToGrid w:val="0"/>
              <w:spacing w:line="560" w:lineRule="exact"/>
              <w:ind w:left="0" w:leftChars="0" w:right="0" w:rightChars="0" w:firstLine="0" w:firstLineChars="0"/>
              <w:jc w:val="center"/>
              <w:rPr>
                <w:rFonts w:hint="eastAsia" w:ascii="宋体" w:hAnsi="宋体" w:eastAsia="宋体" w:cs="宋体"/>
                <w:color w:val="auto"/>
                <w:kern w:val="2"/>
                <w:sz w:val="24"/>
                <w:szCs w:val="24"/>
                <w:highlight w:val="none"/>
                <w:lang w:val="en-US" w:eastAsia="zh-CN" w:bidi="ar-SA"/>
              </w:rPr>
            </w:pPr>
            <w:r>
              <w:rPr>
                <w:rFonts w:hint="default" w:ascii="Times New Roman" w:hAnsi="Times New Roman" w:eastAsia="宋体" w:cs="Times New Roman"/>
                <w:b/>
                <w:bCs w:val="0"/>
                <w:color w:val="auto"/>
                <w:sz w:val="22"/>
                <w:szCs w:val="22"/>
                <w:highlight w:val="none"/>
                <w:lang w:val="en-US" w:eastAsia="zh-CN"/>
              </w:rPr>
              <w:t>内镜注水泵</w:t>
            </w:r>
          </w:p>
        </w:tc>
        <w:tc>
          <w:tcPr>
            <w:tcW w:w="4186" w:type="pct"/>
            <w:noWrap w:val="0"/>
            <w:vAlign w:val="center"/>
          </w:tcPr>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一、技术指标</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1.基本参数</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1.1主机尺寸：约140mm×220mm×385mm（宽×高×深），不含脚踏开关</w:t>
            </w:r>
            <w:r>
              <w:rPr>
                <w:rFonts w:hint="eastAsia" w:ascii="宋体" w:hAnsi="宋体" w:eastAsia="宋体" w:cs="宋体"/>
                <w:color w:val="auto"/>
                <w:spacing w:val="-10"/>
                <w:sz w:val="21"/>
                <w:szCs w:val="21"/>
                <w:highlight w:val="none"/>
              </w:rPr>
              <w:t>。</w:t>
            </w:r>
          </w:p>
          <w:p>
            <w:pPr>
              <w:keepNext w:val="0"/>
              <w:keepLines w:val="0"/>
              <w:widowControl/>
              <w:suppressLineNumbers w:val="0"/>
              <w:jc w:val="left"/>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1.2主机重量：≤6kg，</w:t>
            </w:r>
            <w:r>
              <w:rPr>
                <w:rFonts w:hint="eastAsia" w:ascii="宋体" w:hAnsi="宋体" w:eastAsia="宋体" w:cs="宋体"/>
                <w:color w:val="auto"/>
                <w:kern w:val="0"/>
                <w:sz w:val="22"/>
                <w:szCs w:val="22"/>
                <w:highlight w:val="none"/>
                <w:lang w:val="en-US" w:eastAsia="zh-CN" w:bidi="ar"/>
              </w:rPr>
              <w:t>机身轻便，便于设备搬运、移位及现场布置。</w:t>
            </w:r>
          </w:p>
          <w:p>
            <w:pPr>
              <w:keepNext w:val="0"/>
              <w:keepLines w:val="0"/>
              <w:widowControl/>
              <w:suppressLineNumbers w:val="0"/>
              <w:jc w:val="left"/>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1.3送水袋挂件的安全工作载荷：≥2kg，</w:t>
            </w:r>
            <w:r>
              <w:rPr>
                <w:rFonts w:hint="eastAsia" w:ascii="宋体" w:hAnsi="宋体" w:eastAsia="宋体" w:cs="宋体"/>
                <w:color w:val="auto"/>
                <w:kern w:val="0"/>
                <w:sz w:val="22"/>
                <w:szCs w:val="22"/>
                <w:highlight w:val="none"/>
                <w:lang w:val="en-US" w:eastAsia="zh-CN" w:bidi="ar"/>
              </w:rPr>
              <w:t>承载稳定、安全可靠。</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1.4送水管尺寸：</w:t>
            </w:r>
            <w:r>
              <w:rPr>
                <w:rFonts w:hint="eastAsia" w:ascii="宋体" w:hAnsi="宋体" w:eastAsia="宋体" w:cs="宋体"/>
                <w:color w:val="auto"/>
                <w:sz w:val="22"/>
                <w:szCs w:val="22"/>
                <w:highlight w:val="none"/>
              </w:rPr>
              <w:t>管径可适配常规管路对接要求</w:t>
            </w:r>
            <w:r>
              <w:rPr>
                <w:rFonts w:hint="eastAsia" w:ascii="宋体" w:hAnsi="宋体" w:eastAsia="宋体" w:cs="宋体"/>
                <w:color w:val="auto"/>
                <w:sz w:val="22"/>
                <w:szCs w:val="22"/>
                <w:highlight w:val="none"/>
                <w:lang w:eastAsia="zh-CN"/>
              </w:rPr>
              <w:t>。</w:t>
            </w:r>
            <w:r>
              <w:rPr>
                <w:rFonts w:hint="eastAsia" w:ascii="宋体" w:hAnsi="宋体" w:eastAsia="宋体" w:cs="宋体"/>
                <w:b w:val="0"/>
                <w:bCs w:val="0"/>
                <w:color w:val="auto"/>
                <w:kern w:val="2"/>
                <w:sz w:val="22"/>
                <w:szCs w:val="22"/>
                <w:highlight w:val="none"/>
                <w:lang w:val="en-US" w:eastAsia="zh-CN" w:bidi="ar-SA"/>
              </w:rPr>
              <w:t>内径约￠5.20mm，外径约￠7.60mm。</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2.性能参数</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2.1送水量可调范围：0ml/min～600ml/min</w:t>
            </w:r>
            <w:r>
              <w:rPr>
                <w:rFonts w:hint="eastAsia" w:ascii="宋体" w:hAnsi="宋体" w:eastAsia="宋体" w:cs="宋体"/>
                <w:color w:val="auto"/>
                <w:spacing w:val="-10"/>
                <w:sz w:val="21"/>
                <w:szCs w:val="21"/>
                <w:highlight w:val="none"/>
              </w:rPr>
              <w:t>。</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2.2最大送水量：600 ml/min±50ml/min。</w:t>
            </w:r>
          </w:p>
          <w:p>
            <w:pPr>
              <w:keepNext w:val="0"/>
              <w:keepLines w:val="0"/>
              <w:widowControl/>
              <w:suppressLineNumbers w:val="0"/>
              <w:jc w:val="left"/>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2.3默认单次最长输出时间：20s±2s，</w:t>
            </w:r>
            <w:r>
              <w:rPr>
                <w:rFonts w:hint="eastAsia" w:ascii="宋体" w:hAnsi="宋体" w:eastAsia="宋体" w:cs="宋体"/>
                <w:color w:val="auto"/>
                <w:kern w:val="0"/>
                <w:sz w:val="22"/>
                <w:szCs w:val="22"/>
                <w:highlight w:val="none"/>
                <w:lang w:val="en-US" w:eastAsia="zh-CN" w:bidi="ar"/>
              </w:rPr>
              <w:t>具备标准化时长管控能力。</w:t>
            </w:r>
          </w:p>
          <w:p>
            <w:pPr>
              <w:keepNext w:val="0"/>
              <w:keepLines w:val="0"/>
              <w:widowControl/>
              <w:suppressLineNumbers w:val="0"/>
              <w:jc w:val="left"/>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2.4最大传输压强：≤400kPa，</w:t>
            </w:r>
            <w:r>
              <w:rPr>
                <w:rFonts w:hint="eastAsia" w:ascii="宋体" w:hAnsi="宋体" w:eastAsia="宋体" w:cs="宋体"/>
                <w:color w:val="auto"/>
                <w:kern w:val="0"/>
                <w:sz w:val="22"/>
                <w:szCs w:val="22"/>
                <w:highlight w:val="none"/>
                <w:lang w:val="en-US" w:eastAsia="zh-CN" w:bidi="ar"/>
              </w:rPr>
              <w:t>压力输出平稳，满足常规作业压强要求。</w:t>
            </w:r>
          </w:p>
          <w:p>
            <w:pPr>
              <w:keepNext w:val="0"/>
              <w:keepLines w:val="0"/>
              <w:widowControl/>
              <w:suppressLineNumbers w:val="0"/>
              <w:jc w:val="left"/>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2.5工作噪声：≤60dB(A)，</w:t>
            </w:r>
            <w:r>
              <w:rPr>
                <w:rFonts w:hint="eastAsia" w:ascii="宋体" w:hAnsi="宋体" w:eastAsia="宋体" w:cs="宋体"/>
                <w:color w:val="auto"/>
                <w:kern w:val="0"/>
                <w:sz w:val="22"/>
                <w:szCs w:val="22"/>
                <w:highlight w:val="none"/>
                <w:lang w:val="en-US" w:eastAsia="zh-CN" w:bidi="ar"/>
              </w:rPr>
              <w:t>运行低噪，符合室内作业环境噪音标准。</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3.送水装置电源输入</w:t>
            </w:r>
            <w:r>
              <w:rPr>
                <w:rFonts w:hint="eastAsia" w:ascii="宋体" w:hAnsi="宋体" w:cs="宋体"/>
                <w:b w:val="0"/>
                <w:bCs w:val="0"/>
                <w:color w:val="auto"/>
                <w:kern w:val="2"/>
                <w:sz w:val="22"/>
                <w:szCs w:val="22"/>
                <w:highlight w:val="none"/>
                <w:lang w:val="en-US" w:eastAsia="zh-CN" w:bidi="ar-SA"/>
              </w:rPr>
              <w:t>。</w:t>
            </w:r>
          </w:p>
          <w:p>
            <w:pPr>
              <w:keepNext w:val="0"/>
              <w:keepLines w:val="0"/>
              <w:widowControl/>
              <w:suppressLineNumbers w:val="0"/>
              <w:jc w:val="left"/>
              <w:rPr>
                <w:rFonts w:hint="eastAsia" w:ascii="宋体" w:hAnsi="宋体" w:eastAsia="宋体" w:cs="宋体"/>
                <w:color w:val="auto"/>
                <w:sz w:val="22"/>
                <w:szCs w:val="22"/>
                <w:highlight w:val="none"/>
              </w:rPr>
            </w:pPr>
            <w:r>
              <w:rPr>
                <w:rFonts w:hint="eastAsia" w:ascii="宋体" w:hAnsi="宋体" w:eastAsia="宋体" w:cs="宋体"/>
                <w:b w:val="0"/>
                <w:bCs w:val="0"/>
                <w:color w:val="auto"/>
                <w:kern w:val="2"/>
                <w:sz w:val="22"/>
                <w:szCs w:val="22"/>
                <w:highlight w:val="none"/>
                <w:lang w:val="en-US" w:eastAsia="zh-CN" w:bidi="ar-SA"/>
              </w:rPr>
              <w:t>3.1额定电压：</w:t>
            </w:r>
            <w:r>
              <w:rPr>
                <w:rFonts w:hint="eastAsia" w:ascii="宋体" w:hAnsi="宋体" w:eastAsia="宋体" w:cs="宋体"/>
                <w:color w:val="auto"/>
                <w:kern w:val="0"/>
                <w:sz w:val="22"/>
                <w:szCs w:val="22"/>
                <w:highlight w:val="none"/>
                <w:lang w:val="en-US" w:eastAsia="zh-CN" w:bidi="ar"/>
              </w:rPr>
              <w:t>适配标准交流220V民用及医用供电电压。</w:t>
            </w:r>
          </w:p>
          <w:p>
            <w:pPr>
              <w:keepNext w:val="0"/>
              <w:keepLines w:val="0"/>
              <w:widowControl/>
              <w:suppressLineNumbers w:val="0"/>
              <w:jc w:val="left"/>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3.2电源频率：</w:t>
            </w:r>
            <w:r>
              <w:rPr>
                <w:rFonts w:hint="eastAsia" w:ascii="宋体" w:hAnsi="宋体" w:eastAsia="宋体" w:cs="宋体"/>
                <w:color w:val="auto"/>
                <w:kern w:val="0"/>
                <w:sz w:val="22"/>
                <w:szCs w:val="22"/>
                <w:highlight w:val="none"/>
                <w:lang w:val="en-US" w:eastAsia="zh-CN" w:bidi="ar"/>
              </w:rPr>
              <w:t>适配50Hz标准工频电源</w:t>
            </w:r>
            <w:r>
              <w:rPr>
                <w:rFonts w:hint="eastAsia" w:ascii="宋体" w:hAnsi="宋体" w:eastAsia="宋体" w:cs="宋体"/>
                <w:color w:val="auto"/>
                <w:spacing w:val="-10"/>
                <w:sz w:val="21"/>
                <w:szCs w:val="21"/>
                <w:highlight w:val="none"/>
              </w:rPr>
              <w:t>。</w:t>
            </w:r>
          </w:p>
          <w:p>
            <w:pPr>
              <w:keepNext w:val="0"/>
              <w:keepLines w:val="0"/>
              <w:widowControl/>
              <w:suppressLineNumbers w:val="0"/>
              <w:jc w:val="left"/>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3.3最大功率：</w:t>
            </w:r>
            <w:r>
              <w:rPr>
                <w:rFonts w:hint="eastAsia" w:ascii="宋体" w:hAnsi="宋体" w:eastAsia="宋体" w:cs="宋体"/>
                <w:color w:val="auto"/>
                <w:kern w:val="0"/>
                <w:sz w:val="22"/>
                <w:szCs w:val="22"/>
                <w:highlight w:val="none"/>
                <w:lang w:val="en-US" w:eastAsia="zh-CN" w:bidi="ar"/>
              </w:rPr>
              <w:t>≤</w:t>
            </w:r>
            <w:r>
              <w:rPr>
                <w:rFonts w:hint="eastAsia" w:ascii="宋体" w:hAnsi="宋体" w:eastAsia="宋体" w:cs="宋体"/>
                <w:b w:val="0"/>
                <w:bCs w:val="0"/>
                <w:color w:val="auto"/>
                <w:kern w:val="2"/>
                <w:sz w:val="22"/>
                <w:szCs w:val="22"/>
                <w:highlight w:val="none"/>
                <w:lang w:val="en-US" w:eastAsia="zh-CN" w:bidi="ar-SA"/>
              </w:rPr>
              <w:t>120VA，</w:t>
            </w:r>
            <w:r>
              <w:rPr>
                <w:rFonts w:hint="eastAsia" w:ascii="宋体" w:hAnsi="宋体" w:eastAsia="宋体" w:cs="宋体"/>
                <w:color w:val="auto"/>
                <w:kern w:val="0"/>
                <w:sz w:val="22"/>
                <w:szCs w:val="22"/>
                <w:highlight w:val="none"/>
                <w:lang w:val="en-US" w:eastAsia="zh-CN" w:bidi="ar"/>
              </w:rPr>
              <w:t>能耗低、节能环保。</w:t>
            </w:r>
          </w:p>
          <w:p>
            <w:pPr>
              <w:keepNext w:val="0"/>
              <w:keepLines w:val="0"/>
              <w:widowControl/>
              <w:suppressLineNumbers w:val="0"/>
              <w:jc w:val="left"/>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3.4熔断器：F4AH250V（2只），</w:t>
            </w:r>
            <w:r>
              <w:rPr>
                <w:rFonts w:hint="eastAsia" w:ascii="宋体" w:hAnsi="宋体" w:eastAsia="宋体" w:cs="宋体"/>
                <w:color w:val="auto"/>
                <w:kern w:val="0"/>
                <w:sz w:val="22"/>
                <w:szCs w:val="22"/>
                <w:highlight w:val="none"/>
                <w:lang w:val="en-US" w:eastAsia="zh-CN" w:bidi="ar"/>
              </w:rPr>
              <w:t>具备过载、短路保护功能，保障设备用电安全。</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4.脚踏开关</w:t>
            </w:r>
          </w:p>
          <w:p>
            <w:pPr>
              <w:keepNext w:val="0"/>
              <w:keepLines w:val="0"/>
              <w:widowControl/>
              <w:suppressLineNumbers w:val="0"/>
              <w:jc w:val="left"/>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4.1启动力：10N～50N，</w:t>
            </w:r>
            <w:r>
              <w:rPr>
                <w:rFonts w:hint="eastAsia" w:ascii="宋体" w:hAnsi="宋体" w:eastAsia="宋体" w:cs="宋体"/>
                <w:color w:val="auto"/>
                <w:kern w:val="0"/>
                <w:sz w:val="22"/>
                <w:szCs w:val="22"/>
                <w:highlight w:val="none"/>
                <w:lang w:val="en-US" w:eastAsia="zh-CN" w:bidi="ar"/>
              </w:rPr>
              <w:t>踩踏力度适中，操作舒适便捷。</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4.2机械部分承受力：1350 N，历时1 min，无明显弯曲和破裂损伤</w:t>
            </w:r>
            <w:r>
              <w:rPr>
                <w:rFonts w:hint="eastAsia" w:ascii="宋体" w:hAnsi="宋体" w:eastAsia="宋体" w:cs="宋体"/>
                <w:color w:val="auto"/>
                <w:spacing w:val="-10"/>
                <w:sz w:val="21"/>
                <w:szCs w:val="21"/>
                <w:highlight w:val="none"/>
              </w:rPr>
              <w:t>。</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4.3寿命：≥25000次</w:t>
            </w:r>
            <w:r>
              <w:rPr>
                <w:rFonts w:hint="eastAsia" w:ascii="宋体" w:hAnsi="宋体" w:eastAsia="宋体" w:cs="宋体"/>
                <w:color w:val="auto"/>
                <w:spacing w:val="-10"/>
                <w:sz w:val="21"/>
                <w:szCs w:val="21"/>
                <w:highlight w:val="none"/>
              </w:rPr>
              <w:t>。</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4.4动作灵活：无卡位、阻塞现象，结构牢固</w:t>
            </w:r>
            <w:r>
              <w:rPr>
                <w:rFonts w:hint="eastAsia" w:ascii="宋体" w:hAnsi="宋体" w:eastAsia="宋体" w:cs="宋体"/>
                <w:color w:val="auto"/>
                <w:spacing w:val="-10"/>
                <w:sz w:val="21"/>
                <w:szCs w:val="21"/>
                <w:highlight w:val="none"/>
              </w:rPr>
              <w:t>。</w:t>
            </w:r>
          </w:p>
          <w:p>
            <w:pPr>
              <w:keepNext w:val="0"/>
              <w:keepLines w:val="0"/>
              <w:widowControl/>
              <w:suppressLineNumbers w:val="0"/>
              <w:jc w:val="left"/>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4.5坠落安全：从高度1m处自由坠落不少于3次需可正常使用。</w:t>
            </w:r>
            <w:r>
              <w:rPr>
                <w:rFonts w:hint="eastAsia" w:ascii="宋体" w:hAnsi="宋体" w:eastAsia="宋体" w:cs="宋体"/>
                <w:color w:val="auto"/>
                <w:kern w:val="0"/>
                <w:sz w:val="22"/>
                <w:szCs w:val="22"/>
                <w:highlight w:val="none"/>
                <w:lang w:val="en-US" w:eastAsia="zh-CN" w:bidi="ar"/>
              </w:rPr>
              <w:t>抗损性能优异。</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4.6电气安全：无任何带电部件变成可触及的，并能通过耐压试验</w:t>
            </w:r>
            <w:r>
              <w:rPr>
                <w:rFonts w:hint="eastAsia" w:ascii="宋体" w:hAnsi="宋体" w:eastAsia="宋体" w:cs="宋体"/>
                <w:color w:val="auto"/>
                <w:spacing w:val="-10"/>
                <w:sz w:val="21"/>
                <w:szCs w:val="21"/>
                <w:highlight w:val="none"/>
              </w:rPr>
              <w:t>。</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4.7能平稳放置在平坦地面上</w:t>
            </w:r>
            <w:r>
              <w:rPr>
                <w:rFonts w:hint="eastAsia" w:ascii="宋体" w:hAnsi="宋体" w:eastAsia="宋体" w:cs="宋体"/>
                <w:color w:val="auto"/>
                <w:spacing w:val="-10"/>
                <w:sz w:val="21"/>
                <w:szCs w:val="21"/>
                <w:highlight w:val="none"/>
              </w:rPr>
              <w:t>。</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5.正常工作条件</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5.1工作温度：＋10℃～＋40℃</w:t>
            </w:r>
            <w:r>
              <w:rPr>
                <w:rFonts w:hint="eastAsia" w:ascii="宋体" w:hAnsi="宋体" w:eastAsia="宋体" w:cs="宋体"/>
                <w:color w:val="auto"/>
                <w:spacing w:val="-10"/>
                <w:sz w:val="21"/>
                <w:szCs w:val="21"/>
                <w:highlight w:val="none"/>
              </w:rPr>
              <w:t>。</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5.2工作湿度：30%～75%</w:t>
            </w:r>
            <w:r>
              <w:rPr>
                <w:rFonts w:hint="eastAsia" w:ascii="宋体" w:hAnsi="宋体" w:eastAsia="宋体" w:cs="宋体"/>
                <w:color w:val="auto"/>
                <w:spacing w:val="-10"/>
                <w:sz w:val="21"/>
                <w:szCs w:val="21"/>
                <w:highlight w:val="none"/>
              </w:rPr>
              <w:t>。</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5.3工作电压：～220V，50Hz</w:t>
            </w:r>
            <w:r>
              <w:rPr>
                <w:rFonts w:hint="eastAsia" w:ascii="宋体" w:hAnsi="宋体" w:eastAsia="宋体" w:cs="宋体"/>
                <w:color w:val="auto"/>
                <w:spacing w:val="-10"/>
                <w:sz w:val="21"/>
                <w:szCs w:val="21"/>
                <w:highlight w:val="none"/>
              </w:rPr>
              <w:t>。</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5.4大气压强：700hPa～1060hPa</w:t>
            </w:r>
            <w:r>
              <w:rPr>
                <w:rFonts w:hint="eastAsia" w:ascii="宋体" w:hAnsi="宋体" w:eastAsia="宋体" w:cs="宋体"/>
                <w:color w:val="auto"/>
                <w:spacing w:val="-10"/>
                <w:sz w:val="21"/>
                <w:szCs w:val="21"/>
                <w:highlight w:val="none"/>
              </w:rPr>
              <w:t>。</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6.运输和存储条件</w:t>
            </w:r>
          </w:p>
          <w:p>
            <w:pPr>
              <w:keepNext w:val="0"/>
              <w:keepLines w:val="0"/>
              <w:widowControl/>
              <w:suppressLineNumbers w:val="0"/>
              <w:jc w:val="left"/>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6.1温度：－20℃～＋50℃，</w:t>
            </w:r>
            <w:r>
              <w:rPr>
                <w:rFonts w:hint="eastAsia" w:ascii="宋体" w:hAnsi="宋体" w:eastAsia="宋体" w:cs="宋体"/>
                <w:color w:val="auto"/>
                <w:kern w:val="0"/>
                <w:sz w:val="22"/>
                <w:szCs w:val="22"/>
                <w:highlight w:val="none"/>
                <w:lang w:val="en-US" w:eastAsia="zh-CN" w:bidi="ar"/>
              </w:rPr>
              <w:t>耐高低温环境，储运适应性强。</w:t>
            </w:r>
          </w:p>
          <w:p>
            <w:pPr>
              <w:keepNext w:val="0"/>
              <w:keepLines w:val="0"/>
              <w:widowControl/>
              <w:suppressLineNumbers w:val="0"/>
              <w:jc w:val="left"/>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6.2湿度：≤95％，</w:t>
            </w:r>
            <w:r>
              <w:rPr>
                <w:rFonts w:hint="eastAsia" w:ascii="宋体" w:hAnsi="宋体" w:eastAsia="宋体" w:cs="宋体"/>
                <w:color w:val="auto"/>
                <w:kern w:val="0"/>
                <w:sz w:val="22"/>
                <w:szCs w:val="22"/>
                <w:highlight w:val="none"/>
                <w:lang w:val="en-US" w:eastAsia="zh-CN" w:bidi="ar"/>
              </w:rPr>
              <w:t>可有效避免设备受潮损坏。</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6.3大气压强：700hPa～1060hPa</w:t>
            </w:r>
            <w:r>
              <w:rPr>
                <w:rFonts w:hint="eastAsia" w:ascii="宋体" w:hAnsi="宋体" w:eastAsia="宋体" w:cs="宋体"/>
                <w:color w:val="auto"/>
                <w:spacing w:val="-10"/>
                <w:sz w:val="21"/>
                <w:szCs w:val="21"/>
                <w:highlight w:val="none"/>
              </w:rPr>
              <w:t>。</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6.4无腐蚀性气体和通风良好的清洁室内</w:t>
            </w:r>
            <w:r>
              <w:rPr>
                <w:rFonts w:hint="eastAsia" w:ascii="宋体" w:hAnsi="宋体" w:eastAsia="宋体" w:cs="宋体"/>
                <w:color w:val="auto"/>
                <w:spacing w:val="-10"/>
                <w:sz w:val="21"/>
                <w:szCs w:val="21"/>
                <w:highlight w:val="none"/>
              </w:rPr>
              <w:t>。</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7.设备功能</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7.1无缝兼容Olympus、Pentax、Fujifilm品牌内镜</w:t>
            </w:r>
            <w:r>
              <w:rPr>
                <w:rFonts w:hint="eastAsia" w:ascii="宋体" w:hAnsi="宋体" w:eastAsia="宋体" w:cs="宋体"/>
                <w:color w:val="auto"/>
                <w:spacing w:val="-10"/>
                <w:sz w:val="21"/>
                <w:szCs w:val="21"/>
                <w:highlight w:val="none"/>
              </w:rPr>
              <w:t>。</w:t>
            </w:r>
          </w:p>
          <w:p>
            <w:pPr>
              <w:spacing w:line="360" w:lineRule="auto"/>
              <w:rPr>
                <w:rFonts w:hint="eastAsia" w:ascii="宋体" w:hAnsi="宋体" w:eastAsia="宋体" w:cs="宋体"/>
                <w:b/>
                <w:bCs/>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▲7.2流量可调：具有十段流量指示和灵活的流量调节，可轻松进行输出流量的选择，流量调节范围：0-600ml/min</w:t>
            </w:r>
            <w:r>
              <w:rPr>
                <w:rFonts w:hint="eastAsia" w:ascii="宋体" w:hAnsi="宋体" w:eastAsia="宋体" w:cs="宋体"/>
                <w:color w:val="auto"/>
                <w:spacing w:val="-10"/>
                <w:sz w:val="21"/>
                <w:szCs w:val="21"/>
                <w:highlight w:val="none"/>
              </w:rPr>
              <w:t>。</w:t>
            </w:r>
            <w:r>
              <w:rPr>
                <w:rFonts w:hint="eastAsia" w:ascii="宋体" w:hAnsi="宋体" w:eastAsia="宋体" w:cs="宋体"/>
                <w:b/>
                <w:bCs/>
                <w:color w:val="auto"/>
                <w:kern w:val="2"/>
                <w:sz w:val="22"/>
                <w:szCs w:val="22"/>
                <w:highlight w:val="none"/>
                <w:lang w:val="zh-CN" w:eastAsia="zh-CN" w:bidi="ar-SA"/>
              </w:rPr>
              <w:t>（投标时需提供产品技术白皮书或说明书扫描件或产品彩页，注：对应参数在证明材料中进行标注，</w:t>
            </w:r>
            <w:r>
              <w:rPr>
                <w:rFonts w:hint="eastAsia" w:ascii="宋体" w:hAnsi="宋体" w:eastAsia="宋体" w:cs="宋体"/>
                <w:b/>
                <w:bCs/>
                <w:color w:val="auto"/>
                <w:kern w:val="2"/>
                <w:sz w:val="22"/>
                <w:szCs w:val="22"/>
                <w:highlight w:val="none"/>
                <w:lang w:val="en-US" w:eastAsia="zh-CN" w:bidi="ar-SA"/>
              </w:rPr>
              <w:t>中标后</w:t>
            </w:r>
            <w:r>
              <w:rPr>
                <w:rFonts w:hint="eastAsia" w:ascii="宋体" w:hAnsi="宋体" w:eastAsia="宋体" w:cs="宋体"/>
                <w:b/>
                <w:bCs/>
                <w:color w:val="auto"/>
                <w:kern w:val="2"/>
                <w:sz w:val="22"/>
                <w:szCs w:val="22"/>
                <w:highlight w:val="none"/>
                <w:lang w:val="zh-CN" w:eastAsia="zh-CN" w:bidi="ar-SA"/>
              </w:rPr>
              <w:t>原件备查。）</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7.3安全提示：具有泵头松脱监测，确保输出流量准确和产品安全；具有产品故障监测，确保产品及使用安全</w:t>
            </w:r>
            <w:r>
              <w:rPr>
                <w:rFonts w:hint="eastAsia" w:ascii="宋体" w:hAnsi="宋体" w:eastAsia="宋体" w:cs="宋体"/>
                <w:color w:val="auto"/>
                <w:spacing w:val="-10"/>
                <w:sz w:val="21"/>
                <w:szCs w:val="21"/>
                <w:highlight w:val="none"/>
              </w:rPr>
              <w:t>。</w:t>
            </w:r>
            <w:r>
              <w:rPr>
                <w:rFonts w:hint="eastAsia" w:ascii="宋体" w:hAnsi="宋体" w:eastAsia="宋体" w:cs="宋体"/>
                <w:b w:val="0"/>
                <w:bCs w:val="0"/>
                <w:color w:val="auto"/>
                <w:kern w:val="2"/>
                <w:sz w:val="22"/>
                <w:szCs w:val="22"/>
                <w:highlight w:val="none"/>
                <w:lang w:val="zh-CN" w:eastAsia="zh-CN" w:bidi="ar-SA"/>
              </w:rPr>
              <w:t>（</w:t>
            </w:r>
            <w:r>
              <w:rPr>
                <w:rFonts w:hint="eastAsia" w:ascii="宋体" w:hAnsi="宋体" w:eastAsia="宋体" w:cs="宋体"/>
                <w:b/>
                <w:bCs/>
                <w:color w:val="auto"/>
                <w:kern w:val="2"/>
                <w:sz w:val="22"/>
                <w:szCs w:val="22"/>
                <w:highlight w:val="none"/>
                <w:lang w:val="zh-CN" w:eastAsia="zh-CN" w:bidi="ar-SA"/>
              </w:rPr>
              <w:t>投标时需提供产品技术白皮书或说明书扫描件或产品彩页，注：对应参数在证明材料中进行标注，</w:t>
            </w:r>
            <w:r>
              <w:rPr>
                <w:rFonts w:hint="eastAsia" w:ascii="宋体" w:hAnsi="宋体" w:eastAsia="宋体" w:cs="宋体"/>
                <w:b/>
                <w:bCs/>
                <w:color w:val="auto"/>
                <w:kern w:val="2"/>
                <w:sz w:val="22"/>
                <w:szCs w:val="22"/>
                <w:highlight w:val="none"/>
                <w:lang w:val="en-US" w:eastAsia="zh-CN" w:bidi="ar-SA"/>
              </w:rPr>
              <w:t>中标后</w:t>
            </w:r>
            <w:r>
              <w:rPr>
                <w:rFonts w:hint="eastAsia" w:ascii="宋体" w:hAnsi="宋体" w:eastAsia="宋体" w:cs="宋体"/>
                <w:b/>
                <w:bCs/>
                <w:color w:val="auto"/>
                <w:kern w:val="2"/>
                <w:sz w:val="22"/>
                <w:szCs w:val="22"/>
                <w:highlight w:val="none"/>
                <w:lang w:val="zh-CN" w:eastAsia="zh-CN" w:bidi="ar-SA"/>
              </w:rPr>
              <w:t>原件备查。</w:t>
            </w:r>
            <w:r>
              <w:rPr>
                <w:rFonts w:hint="eastAsia" w:ascii="宋体" w:hAnsi="宋体" w:eastAsia="宋体" w:cs="宋体"/>
                <w:b w:val="0"/>
                <w:bCs w:val="0"/>
                <w:color w:val="auto"/>
                <w:kern w:val="2"/>
                <w:sz w:val="22"/>
                <w:szCs w:val="22"/>
                <w:highlight w:val="none"/>
                <w:lang w:val="zh-CN" w:eastAsia="zh-CN" w:bidi="ar-SA"/>
              </w:rPr>
              <w:t>）</w:t>
            </w:r>
          </w:p>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▲7.4智能控制：开启最长送水时间：20±2s。具有输出定时保护，避免忘记关闭输出的浪费或安全保护。</w:t>
            </w:r>
            <w:r>
              <w:rPr>
                <w:rFonts w:hint="eastAsia" w:ascii="宋体" w:hAnsi="宋体" w:eastAsia="宋体" w:cs="宋体"/>
                <w:b w:val="0"/>
                <w:bCs w:val="0"/>
                <w:color w:val="auto"/>
                <w:kern w:val="2"/>
                <w:sz w:val="22"/>
                <w:szCs w:val="22"/>
                <w:highlight w:val="none"/>
                <w:lang w:val="zh-CN" w:eastAsia="zh-CN" w:bidi="ar-SA"/>
              </w:rPr>
              <w:t>（</w:t>
            </w:r>
            <w:r>
              <w:rPr>
                <w:rFonts w:hint="eastAsia" w:ascii="宋体" w:hAnsi="宋体" w:eastAsia="宋体" w:cs="宋体"/>
                <w:b/>
                <w:bCs/>
                <w:color w:val="auto"/>
                <w:kern w:val="2"/>
                <w:sz w:val="22"/>
                <w:szCs w:val="22"/>
                <w:highlight w:val="none"/>
                <w:lang w:val="zh-CN" w:eastAsia="zh-CN" w:bidi="ar-SA"/>
              </w:rPr>
              <w:t>投标时需提供产品技术白皮书或说明书扫描件或产品彩页，注：对应参数在证明材料中进行标注，</w:t>
            </w:r>
            <w:r>
              <w:rPr>
                <w:rFonts w:hint="eastAsia" w:ascii="宋体" w:hAnsi="宋体" w:eastAsia="宋体" w:cs="宋体"/>
                <w:b/>
                <w:bCs/>
                <w:color w:val="auto"/>
                <w:kern w:val="2"/>
                <w:sz w:val="22"/>
                <w:szCs w:val="22"/>
                <w:highlight w:val="none"/>
                <w:lang w:val="en-US" w:eastAsia="zh-CN" w:bidi="ar-SA"/>
              </w:rPr>
              <w:t>中标后</w:t>
            </w:r>
            <w:r>
              <w:rPr>
                <w:rFonts w:hint="eastAsia" w:ascii="宋体" w:hAnsi="宋体" w:eastAsia="宋体" w:cs="宋体"/>
                <w:b/>
                <w:bCs/>
                <w:color w:val="auto"/>
                <w:kern w:val="2"/>
                <w:sz w:val="22"/>
                <w:szCs w:val="22"/>
                <w:highlight w:val="none"/>
                <w:lang w:val="zh-CN" w:eastAsia="zh-CN" w:bidi="ar-SA"/>
              </w:rPr>
              <w:t>原件备查。</w:t>
            </w:r>
            <w:r>
              <w:rPr>
                <w:rFonts w:hint="eastAsia" w:ascii="宋体" w:hAnsi="宋体" w:eastAsia="宋体" w:cs="宋体"/>
                <w:b w:val="0"/>
                <w:bCs w:val="0"/>
                <w:color w:val="auto"/>
                <w:kern w:val="2"/>
                <w:sz w:val="22"/>
                <w:szCs w:val="22"/>
                <w:highlight w:val="none"/>
                <w:lang w:val="zh-CN" w:eastAsia="zh-CN" w:bidi="ar-SA"/>
              </w:rPr>
              <w:t>）</w:t>
            </w:r>
          </w:p>
          <w:p>
            <w:pPr>
              <w:keepNext w:val="0"/>
              <w:keepLines w:val="0"/>
              <w:widowControl/>
              <w:suppressLineNumbers w:val="0"/>
              <w:jc w:val="left"/>
              <w:rPr>
                <w:rFonts w:hint="eastAsia" w:ascii="宋体" w:hAnsi="宋体" w:eastAsia="宋体" w:cs="宋体"/>
                <w:color w:val="auto"/>
                <w:sz w:val="22"/>
                <w:szCs w:val="22"/>
                <w:highlight w:val="none"/>
              </w:rPr>
            </w:pPr>
            <w:r>
              <w:rPr>
                <w:rFonts w:hint="eastAsia" w:ascii="宋体" w:hAnsi="宋体" w:eastAsia="宋体" w:cs="宋体"/>
                <w:b w:val="0"/>
                <w:bCs w:val="0"/>
                <w:color w:val="auto"/>
                <w:kern w:val="2"/>
                <w:sz w:val="22"/>
                <w:szCs w:val="22"/>
                <w:highlight w:val="none"/>
                <w:lang w:val="en-US" w:eastAsia="zh-CN" w:bidi="ar-SA"/>
              </w:rPr>
              <w:t>7.5</w:t>
            </w:r>
            <w:r>
              <w:rPr>
                <w:rFonts w:hint="eastAsia" w:ascii="宋体" w:hAnsi="宋体" w:eastAsia="宋体" w:cs="宋体"/>
                <w:color w:val="auto"/>
                <w:kern w:val="0"/>
                <w:sz w:val="22"/>
                <w:szCs w:val="22"/>
                <w:highlight w:val="none"/>
                <w:lang w:val="en-US" w:eastAsia="zh-CN" w:bidi="ar"/>
              </w:rPr>
              <w:t>设备最大传输压强可达400kPa，压力输出稳定均匀，保障作业流程平稳顺畅。</w:t>
            </w:r>
          </w:p>
          <w:p>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2"/>
                <w:sz w:val="22"/>
                <w:szCs w:val="22"/>
                <w:highlight w:val="none"/>
                <w:lang w:val="en-US" w:eastAsia="zh-CN" w:bidi="ar-SA"/>
              </w:rPr>
              <w:t>7.6操作简易；可通过气囊式脚踏开关或按键启动安全控制液体输送的启动、停止。</w:t>
            </w:r>
          </w:p>
        </w:tc>
      </w:tr>
    </w:tbl>
    <w:p>
      <w:pPr>
        <w:keepNext w:val="0"/>
        <w:keepLines w:val="0"/>
        <w:pageBreakBefore w:val="0"/>
        <w:numPr>
          <w:ilvl w:val="0"/>
          <w:numId w:val="0"/>
        </w:numPr>
        <w:kinsoku/>
        <w:wordWrap/>
        <w:overflowPunct/>
        <w:topLinePunct w:val="0"/>
        <w:autoSpaceDE/>
        <w:autoSpaceDN/>
        <w:bidi w:val="0"/>
        <w:adjustRightInd/>
        <w:snapToGrid/>
        <w:spacing w:line="520" w:lineRule="exact"/>
        <w:ind w:firstLine="560" w:firstLineChars="200"/>
        <w:jc w:val="left"/>
        <w:textAlignment w:val="auto"/>
        <w:rPr>
          <w:rFonts w:hint="eastAsia" w:ascii="黑体" w:hAnsi="黑体" w:eastAsia="黑体" w:cs="黑体"/>
          <w:b w:val="0"/>
          <w:bCs w:val="0"/>
          <w:color w:val="auto"/>
          <w:sz w:val="28"/>
          <w:szCs w:val="28"/>
          <w:highlight w:val="none"/>
          <w:lang w:val="en-US" w:eastAsia="zh-CN"/>
        </w:rPr>
      </w:pPr>
      <w:r>
        <w:rPr>
          <w:rFonts w:hint="eastAsia" w:ascii="楷体_GB2312" w:hAnsi="楷体_GB2312" w:eastAsia="楷体_GB2312" w:cs="楷体_GB2312"/>
          <w:b w:val="0"/>
          <w:bCs w:val="0"/>
          <w:color w:val="auto"/>
          <w:kern w:val="0"/>
          <w:sz w:val="28"/>
          <w:szCs w:val="28"/>
          <w:highlight w:val="none"/>
          <w:lang w:val="en-US" w:eastAsia="zh-CN" w:bidi="ar-SA"/>
        </w:rPr>
        <w:t>（四）商务要求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w:t>
      </w:r>
      <w:r>
        <w:rPr>
          <w:rFonts w:hint="eastAsia" w:ascii="仿宋_GB2312" w:hAnsi="仿宋_GB2312" w:eastAsia="仿宋_GB2312" w:cs="仿宋_GB2312"/>
          <w:b w:val="0"/>
          <w:bCs w:val="0"/>
          <w:color w:val="auto"/>
          <w:sz w:val="28"/>
          <w:szCs w:val="28"/>
          <w:highlight w:val="none"/>
          <w:lang w:val="en-US" w:eastAsia="zh-CN"/>
        </w:rPr>
        <w:t>1.</w:t>
      </w:r>
      <w:r>
        <w:rPr>
          <w:rFonts w:hint="eastAsia" w:ascii="仿宋_GB2312" w:hAnsi="仿宋_GB2312" w:eastAsia="仿宋_GB2312" w:cs="仿宋_GB2312"/>
          <w:b w:val="0"/>
          <w:bCs w:val="0"/>
          <w:color w:val="auto"/>
          <w:sz w:val="28"/>
          <w:szCs w:val="28"/>
          <w:highlight w:val="none"/>
          <w:lang w:eastAsia="zh-CN"/>
        </w:rPr>
        <w:t>交货期：自合同签订之日起</w:t>
      </w:r>
      <w:r>
        <w:rPr>
          <w:rFonts w:hint="eastAsia" w:ascii="仿宋_GB2312" w:hAnsi="仿宋_GB2312" w:eastAsia="仿宋_GB2312" w:cs="仿宋_GB2312"/>
          <w:b w:val="0"/>
          <w:bCs w:val="0"/>
          <w:color w:val="auto"/>
          <w:sz w:val="28"/>
          <w:szCs w:val="28"/>
          <w:highlight w:val="none"/>
        </w:rPr>
        <w:t>15</w:t>
      </w:r>
      <w:r>
        <w:rPr>
          <w:rFonts w:hint="eastAsia" w:ascii="仿宋_GB2312" w:hAnsi="仿宋_GB2312" w:eastAsia="仿宋_GB2312" w:cs="仿宋_GB2312"/>
          <w:b w:val="0"/>
          <w:bCs w:val="0"/>
          <w:color w:val="auto"/>
          <w:sz w:val="28"/>
          <w:szCs w:val="28"/>
          <w:highlight w:val="none"/>
          <w:lang w:eastAsia="zh-CN"/>
        </w:rPr>
        <w:t>日（</w:t>
      </w:r>
      <w:r>
        <w:rPr>
          <w:rFonts w:hint="eastAsia" w:ascii="仿宋_GB2312" w:hAnsi="仿宋_GB2312" w:eastAsia="仿宋_GB2312" w:cs="仿宋_GB2312"/>
          <w:b w:val="0"/>
          <w:bCs w:val="0"/>
          <w:color w:val="auto"/>
          <w:sz w:val="28"/>
          <w:szCs w:val="28"/>
          <w:highlight w:val="none"/>
        </w:rPr>
        <w:t>日历日</w:t>
      </w:r>
      <w:r>
        <w:rPr>
          <w:rFonts w:hint="eastAsia" w:ascii="仿宋_GB2312" w:hAnsi="仿宋_GB2312" w:eastAsia="仿宋_GB2312" w:cs="仿宋_GB2312"/>
          <w:b w:val="0"/>
          <w:bCs w:val="0"/>
          <w:color w:val="auto"/>
          <w:sz w:val="28"/>
          <w:szCs w:val="28"/>
          <w:highlight w:val="none"/>
          <w:lang w:eastAsia="zh-CN"/>
        </w:rPr>
        <w:t>）</w:t>
      </w:r>
      <w:r>
        <w:rPr>
          <w:rFonts w:hint="eastAsia" w:ascii="仿宋_GB2312" w:hAnsi="仿宋_GB2312" w:eastAsia="仿宋_GB2312" w:cs="仿宋_GB2312"/>
          <w:b w:val="0"/>
          <w:bCs w:val="0"/>
          <w:color w:val="auto"/>
          <w:sz w:val="28"/>
          <w:szCs w:val="28"/>
          <w:highlight w:val="none"/>
        </w:rPr>
        <w:t>内完成交货</w:t>
      </w:r>
      <w:r>
        <w:rPr>
          <w:rFonts w:hint="eastAsia" w:ascii="仿宋_GB2312" w:hAnsi="仿宋_GB2312" w:eastAsia="仿宋_GB2312" w:cs="仿宋_GB2312"/>
          <w:b w:val="0"/>
          <w:bCs w:val="0"/>
          <w:color w:val="auto"/>
          <w:sz w:val="28"/>
          <w:szCs w:val="28"/>
          <w:highlight w:val="none"/>
          <w:lang w:eastAsia="zh-CN"/>
        </w:rPr>
        <w:t>，并安装调试完成。（</w:t>
      </w:r>
      <w:r>
        <w:rPr>
          <w:rFonts w:hint="eastAsia" w:ascii="仿宋_GB2312" w:hAnsi="仿宋_GB2312" w:eastAsia="仿宋_GB2312" w:cs="仿宋_GB2312"/>
          <w:b w:val="0"/>
          <w:bCs w:val="0"/>
          <w:color w:val="auto"/>
          <w:sz w:val="28"/>
          <w:szCs w:val="28"/>
          <w:highlight w:val="none"/>
        </w:rPr>
        <w:t>日历日为自然天，包括双休日及法定节假日，不等同于工作日；投标文件中的交货期条款为不可负偏离条款，若投标文件中响应的交货期超过招标文件规定期限时，其投标文件按投标无效处理。）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lang w:val="en-US" w:eastAsia="zh-CN"/>
        </w:rPr>
        <w:t>2.</w:t>
      </w:r>
      <w:r>
        <w:rPr>
          <w:rFonts w:hint="eastAsia" w:ascii="仿宋_GB2312" w:hAnsi="仿宋_GB2312" w:eastAsia="仿宋_GB2312" w:cs="仿宋_GB2312"/>
          <w:b w:val="0"/>
          <w:bCs w:val="0"/>
          <w:color w:val="auto"/>
          <w:sz w:val="28"/>
          <w:szCs w:val="28"/>
          <w:highlight w:val="none"/>
        </w:rPr>
        <w:t>交货地点：深圳</w:t>
      </w:r>
      <w:r>
        <w:rPr>
          <w:rFonts w:hint="eastAsia" w:ascii="仿宋_GB2312" w:hAnsi="仿宋_GB2312" w:eastAsia="仿宋_GB2312" w:cs="仿宋_GB2312"/>
          <w:b w:val="0"/>
          <w:bCs w:val="0"/>
          <w:color w:val="auto"/>
          <w:sz w:val="28"/>
          <w:szCs w:val="28"/>
          <w:highlight w:val="none"/>
          <w:lang w:val="en-US" w:eastAsia="zh-CN"/>
        </w:rPr>
        <w:t>市</w:t>
      </w:r>
      <w:r>
        <w:rPr>
          <w:rFonts w:hint="eastAsia" w:ascii="仿宋_GB2312" w:hAnsi="仿宋_GB2312" w:eastAsia="仿宋_GB2312" w:cs="仿宋_GB2312"/>
          <w:b w:val="0"/>
          <w:bCs w:val="0"/>
          <w:color w:val="auto"/>
          <w:sz w:val="28"/>
          <w:szCs w:val="28"/>
          <w:highlight w:val="none"/>
        </w:rPr>
        <w:t>龙岗区</w:t>
      </w:r>
      <w:r>
        <w:rPr>
          <w:rFonts w:hint="eastAsia" w:ascii="仿宋_GB2312" w:hAnsi="仿宋_GB2312" w:eastAsia="仿宋_GB2312" w:cs="仿宋_GB2312"/>
          <w:b w:val="0"/>
          <w:bCs w:val="0"/>
          <w:color w:val="auto"/>
          <w:sz w:val="28"/>
          <w:szCs w:val="28"/>
          <w:highlight w:val="none"/>
          <w:lang w:val="en-US" w:eastAsia="zh-CN"/>
        </w:rPr>
        <w:t>第七</w:t>
      </w:r>
      <w:r>
        <w:rPr>
          <w:rFonts w:hint="eastAsia" w:ascii="仿宋_GB2312" w:hAnsi="仿宋_GB2312" w:eastAsia="仿宋_GB2312" w:cs="仿宋_GB2312"/>
          <w:b w:val="0"/>
          <w:bCs w:val="0"/>
          <w:color w:val="auto"/>
          <w:sz w:val="28"/>
          <w:szCs w:val="28"/>
          <w:highlight w:val="none"/>
        </w:rPr>
        <w:t>人民医院。</w:t>
      </w:r>
    </w:p>
    <w:p>
      <w:pPr>
        <w:snapToGrid w:val="0"/>
        <w:spacing w:line="560" w:lineRule="exact"/>
        <w:ind w:firstLine="560" w:firstLineChars="200"/>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lang w:val="en-US" w:eastAsia="zh-CN"/>
        </w:rPr>
        <w:t>3.</w:t>
      </w:r>
      <w:r>
        <w:rPr>
          <w:rFonts w:hint="eastAsia" w:ascii="仿宋_GB2312" w:hAnsi="仿宋_GB2312" w:eastAsia="仿宋_GB2312" w:cs="仿宋_GB2312"/>
          <w:b w:val="0"/>
          <w:bCs w:val="0"/>
          <w:color w:val="auto"/>
          <w:sz w:val="28"/>
          <w:szCs w:val="28"/>
          <w:highlight w:val="none"/>
        </w:rPr>
        <w:t>付款方式：</w:t>
      </w:r>
      <w:r>
        <w:rPr>
          <w:rFonts w:hint="eastAsia" w:ascii="仿宋_GB2312" w:hAnsi="仿宋_GB2312" w:eastAsia="仿宋_GB2312" w:cs="仿宋_GB2312"/>
          <w:b w:val="0"/>
          <w:bCs w:val="0"/>
          <w:color w:val="auto"/>
          <w:sz w:val="28"/>
          <w:szCs w:val="28"/>
          <w:highlight w:val="none"/>
          <w:lang w:eastAsia="zh-CN"/>
        </w:rPr>
        <w:t>货物经采购人</w:t>
      </w:r>
      <w:r>
        <w:rPr>
          <w:rFonts w:hint="eastAsia" w:ascii="仿宋_GB2312" w:hAnsi="仿宋_GB2312" w:eastAsia="仿宋_GB2312" w:cs="仿宋_GB2312"/>
          <w:b w:val="0"/>
          <w:bCs w:val="0"/>
          <w:color w:val="auto"/>
          <w:sz w:val="28"/>
          <w:szCs w:val="28"/>
          <w:highlight w:val="none"/>
        </w:rPr>
        <w:t>验收合格并收到</w:t>
      </w:r>
      <w:r>
        <w:rPr>
          <w:rFonts w:hint="eastAsia" w:ascii="仿宋_GB2312" w:hAnsi="仿宋_GB2312" w:eastAsia="仿宋_GB2312" w:cs="仿宋_GB2312"/>
          <w:b w:val="0"/>
          <w:bCs w:val="0"/>
          <w:color w:val="auto"/>
          <w:sz w:val="28"/>
          <w:szCs w:val="28"/>
          <w:highlight w:val="none"/>
          <w:lang w:eastAsia="zh-CN"/>
        </w:rPr>
        <w:t>中标人</w:t>
      </w:r>
      <w:r>
        <w:rPr>
          <w:rFonts w:hint="eastAsia" w:ascii="仿宋_GB2312" w:hAnsi="仿宋_GB2312" w:eastAsia="仿宋_GB2312" w:cs="仿宋_GB2312"/>
          <w:b w:val="0"/>
          <w:bCs w:val="0"/>
          <w:color w:val="auto"/>
          <w:sz w:val="28"/>
          <w:szCs w:val="28"/>
          <w:highlight w:val="none"/>
          <w:lang w:val="en-US" w:eastAsia="zh-CN"/>
        </w:rPr>
        <w:t>合规的</w:t>
      </w:r>
      <w:r>
        <w:rPr>
          <w:rFonts w:hint="eastAsia" w:ascii="仿宋_GB2312" w:hAnsi="仿宋_GB2312" w:eastAsia="仿宋_GB2312" w:cs="仿宋_GB2312"/>
          <w:b w:val="0"/>
          <w:bCs w:val="0"/>
          <w:color w:val="auto"/>
          <w:sz w:val="28"/>
          <w:szCs w:val="28"/>
          <w:highlight w:val="none"/>
        </w:rPr>
        <w:t>发票10</w:t>
      </w:r>
      <w:r>
        <w:rPr>
          <w:rFonts w:hint="eastAsia" w:ascii="仿宋_GB2312" w:hAnsi="仿宋_GB2312" w:eastAsia="仿宋_GB2312" w:cs="仿宋_GB2312"/>
          <w:b w:val="0"/>
          <w:bCs w:val="0"/>
          <w:color w:val="auto"/>
          <w:sz w:val="28"/>
          <w:szCs w:val="28"/>
          <w:highlight w:val="none"/>
          <w:lang w:eastAsia="zh-CN"/>
        </w:rPr>
        <w:t>个工作日</w:t>
      </w:r>
      <w:r>
        <w:rPr>
          <w:rFonts w:hint="eastAsia" w:ascii="仿宋_GB2312" w:hAnsi="仿宋_GB2312" w:eastAsia="仿宋_GB2312" w:cs="仿宋_GB2312"/>
          <w:b w:val="0"/>
          <w:bCs w:val="0"/>
          <w:color w:val="auto"/>
          <w:sz w:val="28"/>
          <w:szCs w:val="28"/>
          <w:highlight w:val="none"/>
        </w:rPr>
        <w:t>内</w:t>
      </w:r>
      <w:r>
        <w:rPr>
          <w:rFonts w:hint="eastAsia" w:ascii="仿宋_GB2312" w:hAnsi="仿宋_GB2312" w:eastAsia="仿宋_GB2312" w:cs="仿宋_GB2312"/>
          <w:b w:val="0"/>
          <w:bCs w:val="0"/>
          <w:color w:val="auto"/>
          <w:sz w:val="28"/>
          <w:szCs w:val="28"/>
          <w:highlight w:val="none"/>
          <w:lang w:eastAsia="zh-CN"/>
        </w:rPr>
        <w:t>支付</w:t>
      </w:r>
      <w:r>
        <w:rPr>
          <w:rFonts w:hint="eastAsia" w:ascii="仿宋_GB2312" w:hAnsi="仿宋_GB2312" w:eastAsia="仿宋_GB2312" w:cs="仿宋_GB2312"/>
          <w:b w:val="0"/>
          <w:bCs w:val="0"/>
          <w:color w:val="auto"/>
          <w:sz w:val="28"/>
          <w:szCs w:val="28"/>
          <w:highlight w:val="none"/>
          <w:lang w:val="en-US" w:eastAsia="zh-CN"/>
        </w:rPr>
        <w:t>100%款项</w:t>
      </w:r>
      <w:r>
        <w:rPr>
          <w:rFonts w:hint="eastAsia" w:ascii="仿宋_GB2312" w:hAnsi="仿宋_GB2312" w:eastAsia="仿宋_GB2312" w:cs="仿宋_GB2312"/>
          <w:b w:val="0"/>
          <w:bCs w:val="0"/>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lang w:val="en-US" w:eastAsia="zh-CN"/>
        </w:rPr>
        <w:t>4.</w:t>
      </w:r>
      <w:r>
        <w:rPr>
          <w:rFonts w:hint="eastAsia" w:ascii="仿宋_GB2312" w:hAnsi="仿宋_GB2312" w:eastAsia="仿宋_GB2312" w:cs="仿宋_GB2312"/>
          <w:b w:val="0"/>
          <w:bCs w:val="0"/>
          <w:color w:val="auto"/>
          <w:sz w:val="28"/>
          <w:szCs w:val="28"/>
          <w:highlight w:val="none"/>
        </w:rPr>
        <w:t>包装运输：除合同另有规定外，中标供应商提供的全部设备均应按标准保护措施进行包装。该包装应适应于远距离运输、防潮、防震、防锈和防野蛮装卸，以确保设备安全无损运抵指定地点。由于包装不善所引起的设备损失均由中标供应商承担。中标供应商负责货物运输，运输费由中标供应商负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val="0"/>
          <w:bCs w:val="0"/>
          <w:color w:val="auto"/>
          <w:sz w:val="28"/>
          <w:szCs w:val="28"/>
          <w:highlight w:val="none"/>
        </w:rPr>
        <w:t>★</w:t>
      </w:r>
      <w:r>
        <w:rPr>
          <w:rFonts w:hint="eastAsia" w:ascii="仿宋_GB2312" w:hAnsi="仿宋_GB2312" w:eastAsia="仿宋_GB2312" w:cs="仿宋_GB2312"/>
          <w:b w:val="0"/>
          <w:bCs w:val="0"/>
          <w:color w:val="auto"/>
          <w:sz w:val="28"/>
          <w:szCs w:val="28"/>
          <w:highlight w:val="none"/>
          <w:lang w:val="en-US" w:eastAsia="zh-CN"/>
        </w:rPr>
        <w:t>5.</w:t>
      </w:r>
      <w:r>
        <w:rPr>
          <w:rFonts w:hint="eastAsia" w:ascii="仿宋_GB2312" w:hAnsi="仿宋_GB2312" w:eastAsia="仿宋_GB2312" w:cs="仿宋_GB2312"/>
          <w:color w:val="auto"/>
          <w:sz w:val="28"/>
          <w:szCs w:val="28"/>
          <w:highlight w:val="none"/>
        </w:rPr>
        <w:t>报价要求：人民币报价。投标报价包括了运至用户指定安装地点的货物及其附件的出厂价（设备费、软件费等）、税费（含进口关税、增值税等）、包装、运输、装卸、安装、调试、技术服务（包括技术资料）、培训、咨询、服务、保险、检测、验收合格交付使用之前及技术和售后服务等其他各项有关费用（如文件移交、考察等费用），以及一切不可预见费等，项目结算时不做任何单价或费用的调整</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因数量变更除外</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黑体" w:hAnsi="黑体" w:eastAsia="黑体" w:cs="黑体"/>
          <w:b w:val="0"/>
          <w:bCs w:val="0"/>
          <w:color w:val="auto"/>
          <w:sz w:val="28"/>
          <w:szCs w:val="28"/>
          <w:highlight w:val="none"/>
          <w:lang w:eastAsia="zh-CN"/>
        </w:rPr>
      </w:pPr>
      <w:r>
        <w:rPr>
          <w:rFonts w:hint="eastAsia" w:ascii="黑体" w:hAnsi="黑体" w:eastAsia="黑体" w:cs="黑体"/>
          <w:b w:val="0"/>
          <w:bCs w:val="0"/>
          <w:color w:val="auto"/>
          <w:sz w:val="28"/>
          <w:szCs w:val="28"/>
          <w:highlight w:val="none"/>
          <w:lang w:val="en-US" w:eastAsia="zh-CN"/>
        </w:rPr>
        <w:t>6.</w:t>
      </w:r>
      <w:r>
        <w:rPr>
          <w:rFonts w:hint="eastAsia" w:ascii="黑体" w:hAnsi="黑体" w:eastAsia="黑体" w:cs="黑体"/>
          <w:b w:val="0"/>
          <w:bCs w:val="0"/>
          <w:color w:val="auto"/>
          <w:sz w:val="28"/>
          <w:szCs w:val="28"/>
          <w:highlight w:val="none"/>
          <w:lang w:eastAsia="zh-CN"/>
        </w:rPr>
        <w:t>验收</w:t>
      </w:r>
      <w:r>
        <w:rPr>
          <w:rFonts w:hint="eastAsia" w:ascii="黑体" w:hAnsi="黑体" w:eastAsia="黑体" w:cs="黑体"/>
          <w:b w:val="0"/>
          <w:bCs w:val="0"/>
          <w:color w:val="auto"/>
          <w:sz w:val="28"/>
          <w:szCs w:val="28"/>
          <w:highlight w:val="none"/>
          <w:lang w:val="en-US" w:eastAsia="zh-CN"/>
        </w:rPr>
        <w:t>工作</w:t>
      </w:r>
    </w:p>
    <w:p>
      <w:pPr>
        <w:pStyle w:val="25"/>
        <w:keepNext w:val="0"/>
        <w:keepLines w:val="0"/>
        <w:pageBreakBefore w:val="0"/>
        <w:numPr>
          <w:ilvl w:val="-1"/>
          <w:numId w:val="0"/>
        </w:numPr>
        <w:kinsoku/>
        <w:wordWrap/>
        <w:overflowPunct/>
        <w:topLinePunct w:val="0"/>
        <w:autoSpaceDE/>
        <w:autoSpaceDN/>
        <w:bidi w:val="0"/>
        <w:snapToGrid/>
        <w:spacing w:line="56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中标人交付的货物应当完全符合招投标文件所规定、订单约定的货物、数量、质量和规格要求。中标人提供的货物不符合招投标文件和订单规定的，采购人有权拒收货物，由此引起的损失及责任，由中标人承担。</w:t>
      </w:r>
    </w:p>
    <w:p>
      <w:pPr>
        <w:pStyle w:val="25"/>
        <w:keepNext w:val="0"/>
        <w:keepLines w:val="0"/>
        <w:pageBreakBefore w:val="0"/>
        <w:numPr>
          <w:ilvl w:val="-1"/>
          <w:numId w:val="0"/>
        </w:numPr>
        <w:kinsoku/>
        <w:wordWrap/>
        <w:overflowPunct/>
        <w:topLinePunct w:val="0"/>
        <w:autoSpaceDE/>
        <w:autoSpaceDN/>
        <w:bidi w:val="0"/>
        <w:snapToGrid/>
        <w:spacing w:line="56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（2）必须是达到国家标准或行业标准，具备出厂合格证的无表面划损、无任何缺陷的全新原装产品且无任何侵权行为。提供的产品是否完整无损，是否符合要求。如有损坏、缺件等情况，中标人自行负责。</w:t>
      </w:r>
    </w:p>
    <w:p>
      <w:pPr>
        <w:pStyle w:val="25"/>
        <w:keepNext w:val="0"/>
        <w:keepLines w:val="0"/>
        <w:pageBreakBefore w:val="0"/>
        <w:numPr>
          <w:ilvl w:val="-1"/>
          <w:numId w:val="0"/>
        </w:numPr>
        <w:kinsoku/>
        <w:wordWrap/>
        <w:overflowPunct/>
        <w:topLinePunct w:val="0"/>
        <w:autoSpaceDE/>
        <w:autoSpaceDN/>
        <w:bidi w:val="0"/>
        <w:snapToGrid/>
        <w:spacing w:line="56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（3）采购人在中国使用该货物或货物的任何一部分时，免受第三方提出的侵犯其专利权、商标权或工业设计权等知识产权的起诉或司法干预。如果发生上诉起诉或干预，则其法律责任均由中标人负责。</w:t>
      </w:r>
    </w:p>
    <w:p>
      <w:pPr>
        <w:pStyle w:val="25"/>
        <w:keepNext w:val="0"/>
        <w:keepLines w:val="0"/>
        <w:pageBreakBefore w:val="0"/>
        <w:numPr>
          <w:ilvl w:val="-1"/>
          <w:numId w:val="0"/>
        </w:numPr>
        <w:kinsoku/>
        <w:wordWrap/>
        <w:overflowPunct/>
        <w:topLinePunct w:val="0"/>
        <w:autoSpaceDE/>
        <w:autoSpaceDN/>
        <w:bidi w:val="0"/>
        <w:snapToGrid/>
        <w:spacing w:line="56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（4）货到安装。中标人应派有经验的技术人员到现场进行安装、调试，直到设备正常使用。设备安装调试正常使用后30个工作日内进行验收，由使用科室、设备科、中标人等代表在场进行验收。</w:t>
      </w:r>
    </w:p>
    <w:p>
      <w:pPr>
        <w:pStyle w:val="25"/>
        <w:keepNext w:val="0"/>
        <w:keepLines w:val="0"/>
        <w:pageBreakBefore w:val="0"/>
        <w:numPr>
          <w:ilvl w:val="-1"/>
          <w:numId w:val="0"/>
        </w:numPr>
        <w:kinsoku/>
        <w:wordWrap/>
        <w:overflowPunct/>
        <w:topLinePunct w:val="0"/>
        <w:autoSpaceDE/>
        <w:autoSpaceDN/>
        <w:bidi w:val="0"/>
        <w:snapToGrid/>
        <w:spacing w:line="56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5）产品质量和安装调试检验标准遵照国家相关规定和最新标准执行。提供的货物必须为全新、经检验合格的产品。确保产品投入使用前，按照国家规定办理好产品所有启用所需的资质证件。验收中如发现有质量不合格或型号规格、数量等与送货清单不符等情况，中标人应更换或补齐，并承担因此发生的违约责任。中标人货物经过双方检验认可后，签署验收报告。以上费用均已包含在投标报价中。</w:t>
      </w:r>
    </w:p>
    <w:p>
      <w:pPr>
        <w:pStyle w:val="25"/>
        <w:keepNext w:val="0"/>
        <w:keepLines w:val="0"/>
        <w:pageBreakBefore w:val="0"/>
        <w:numPr>
          <w:ilvl w:val="-1"/>
          <w:numId w:val="0"/>
        </w:numPr>
        <w:kinsoku/>
        <w:wordWrap/>
        <w:overflowPunct/>
        <w:topLinePunct w:val="0"/>
        <w:autoSpaceDE/>
        <w:autoSpaceDN/>
        <w:bidi w:val="0"/>
        <w:snapToGrid/>
        <w:spacing w:line="56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（6）当满足以下条件时，采购人才向中标人签发货物验收报告：</w:t>
      </w:r>
    </w:p>
    <w:p>
      <w:pPr>
        <w:pStyle w:val="25"/>
        <w:keepNext w:val="0"/>
        <w:keepLines w:val="0"/>
        <w:pageBreakBefore w:val="0"/>
        <w:numPr>
          <w:ilvl w:val="-1"/>
          <w:numId w:val="0"/>
        </w:numPr>
        <w:kinsoku/>
        <w:wordWrap/>
        <w:overflowPunct/>
        <w:topLinePunct w:val="0"/>
        <w:autoSpaceDE/>
        <w:autoSpaceDN/>
        <w:bidi w:val="0"/>
        <w:snapToGrid/>
        <w:spacing w:line="56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a.中标人已按照合同规定提供了全部产品及完整的技术资料。</w:t>
      </w:r>
    </w:p>
    <w:p>
      <w:pPr>
        <w:pStyle w:val="25"/>
        <w:keepNext w:val="0"/>
        <w:keepLines w:val="0"/>
        <w:pageBreakBefore w:val="0"/>
        <w:numPr>
          <w:ilvl w:val="-1"/>
          <w:numId w:val="0"/>
        </w:numPr>
        <w:kinsoku/>
        <w:wordWrap/>
        <w:overflowPunct/>
        <w:topLinePunct w:val="0"/>
        <w:autoSpaceDE/>
        <w:autoSpaceDN/>
        <w:bidi w:val="0"/>
        <w:snapToGrid/>
        <w:spacing w:line="56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b.货物符合招标文件的要求，性能满足要求。</w:t>
      </w:r>
    </w:p>
    <w:p>
      <w:pPr>
        <w:pStyle w:val="25"/>
        <w:keepNext w:val="0"/>
        <w:keepLines w:val="0"/>
        <w:pageBreakBefore w:val="0"/>
        <w:numPr>
          <w:ilvl w:val="-1"/>
          <w:numId w:val="0"/>
        </w:numPr>
        <w:kinsoku/>
        <w:wordWrap/>
        <w:overflowPunct/>
        <w:topLinePunct w:val="0"/>
        <w:autoSpaceDE/>
        <w:autoSpaceDN/>
        <w:bidi w:val="0"/>
        <w:snapToGrid/>
        <w:spacing w:line="56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c.货物具备产品合格证。</w:t>
      </w:r>
    </w:p>
    <w:p>
      <w:pPr>
        <w:pStyle w:val="25"/>
        <w:keepNext w:val="0"/>
        <w:keepLines w:val="0"/>
        <w:pageBreakBefore w:val="0"/>
        <w:numPr>
          <w:ilvl w:val="-1"/>
          <w:numId w:val="0"/>
        </w:numPr>
        <w:kinsoku/>
        <w:wordWrap/>
        <w:overflowPunct/>
        <w:topLinePunct w:val="0"/>
        <w:autoSpaceDE/>
        <w:autoSpaceDN/>
        <w:bidi w:val="0"/>
        <w:snapToGrid/>
        <w:spacing w:line="56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d.提供维修手册、售后服务承诺书、中文操作手册。</w:t>
      </w:r>
    </w:p>
    <w:p>
      <w:pPr>
        <w:pStyle w:val="25"/>
        <w:keepNext w:val="0"/>
        <w:keepLines w:val="0"/>
        <w:pageBreakBefore w:val="0"/>
        <w:numPr>
          <w:ilvl w:val="-1"/>
          <w:numId w:val="0"/>
        </w:numPr>
        <w:kinsoku/>
        <w:wordWrap/>
        <w:overflowPunct/>
        <w:topLinePunct w:val="0"/>
        <w:autoSpaceDE/>
        <w:autoSpaceDN/>
        <w:bidi w:val="0"/>
        <w:snapToGrid/>
        <w:spacing w:line="56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7）若采购人对中标人所供设备有质疑，中标人需无条件配合采购人委托第三方质量检测部门按照招投标文件进行验收确认，所需费用由中标人负责支付。出具合格的检测验收报告，采购人将履行采购合同；若检测验收报告不合格，采购人有权取消采购合同，因此造成的经济损失由中标人承担。</w:t>
      </w:r>
    </w:p>
    <w:p>
      <w:pPr>
        <w:pStyle w:val="25"/>
        <w:keepNext w:val="0"/>
        <w:keepLines w:val="0"/>
        <w:pageBreakBefore w:val="0"/>
        <w:numPr>
          <w:ilvl w:val="-1"/>
          <w:numId w:val="0"/>
        </w:numPr>
        <w:kinsoku/>
        <w:wordWrap/>
        <w:overflowPunct/>
        <w:topLinePunct w:val="0"/>
        <w:autoSpaceDE/>
        <w:autoSpaceDN/>
        <w:bidi w:val="0"/>
        <w:snapToGrid/>
        <w:spacing w:line="56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kern w:val="2"/>
          <w:sz w:val="28"/>
          <w:szCs w:val="28"/>
          <w:highlight w:val="none"/>
          <w:lang w:val="en-US" w:eastAsia="zh-CN" w:bidi="ar-SA"/>
        </w:rPr>
        <w:t>（8）产品应符合货物采购合同的技术要求，如没有提及适用标准，则应符合中华人民共和国国家标准或行业标准，如果中华人民共和国没有相关标准的，则采用货物来源国适用的官方标准。这些标准必须是有关机构发布的最新版本的标准。</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7.售后服务要求</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7</w:t>
      </w:r>
      <w:r>
        <w:rPr>
          <w:rFonts w:hint="eastAsia" w:ascii="仿宋_GB2312" w:hAnsi="仿宋_GB2312" w:eastAsia="仿宋_GB2312" w:cs="仿宋_GB2312"/>
          <w:color w:val="auto"/>
          <w:sz w:val="28"/>
          <w:szCs w:val="28"/>
          <w:highlight w:val="none"/>
          <w:lang w:eastAsia="zh-CN"/>
        </w:rPr>
        <w:t>.1验收时提供产品中文说明书、操作手册、维修手册、设备操作流程卡及一切和本项目有关的资料及说明。</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7</w:t>
      </w:r>
      <w:r>
        <w:rPr>
          <w:rFonts w:hint="eastAsia" w:ascii="仿宋_GB2312" w:hAnsi="仿宋_GB2312" w:eastAsia="仿宋_GB2312" w:cs="仿宋_GB2312"/>
          <w:color w:val="auto"/>
          <w:sz w:val="28"/>
          <w:szCs w:val="28"/>
          <w:highlight w:val="none"/>
          <w:lang w:eastAsia="zh-CN"/>
        </w:rPr>
        <w:t>.2对所提供的设备整机免费质保期：</w:t>
      </w:r>
      <w:r>
        <w:rPr>
          <w:rFonts w:hint="eastAsia" w:ascii="仿宋_GB2312" w:hAnsi="仿宋_GB2312" w:eastAsia="仿宋_GB2312" w:cs="仿宋_GB2312"/>
          <w:b/>
          <w:bCs/>
          <w:color w:val="auto"/>
          <w:sz w:val="28"/>
          <w:szCs w:val="28"/>
          <w:highlight w:val="none"/>
          <w:lang w:eastAsia="zh-CN"/>
        </w:rPr>
        <w:t>至少3年</w:t>
      </w:r>
      <w:r>
        <w:rPr>
          <w:rFonts w:hint="eastAsia" w:ascii="仿宋_GB2312" w:hAnsi="仿宋_GB2312" w:eastAsia="仿宋_GB2312" w:cs="仿宋_GB2312"/>
          <w:color w:val="auto"/>
          <w:sz w:val="28"/>
          <w:szCs w:val="28"/>
          <w:highlight w:val="none"/>
          <w:lang w:eastAsia="zh-CN"/>
        </w:rPr>
        <w:t>（以验收合格之日起计算）。质保期内，所有服务及配件全部免费。</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7.3</w:t>
      </w:r>
      <w:r>
        <w:rPr>
          <w:rFonts w:hint="eastAsia" w:ascii="仿宋_GB2312" w:hAnsi="仿宋_GB2312" w:eastAsia="仿宋_GB2312" w:cs="仿宋_GB2312"/>
          <w:color w:val="auto"/>
          <w:sz w:val="28"/>
          <w:szCs w:val="28"/>
          <w:highlight w:val="none"/>
          <w:lang w:eastAsia="zh-CN"/>
        </w:rPr>
        <w:t>保修期：免费质保期结束后，中标人</w:t>
      </w:r>
      <w:r>
        <w:rPr>
          <w:rFonts w:hint="eastAsia" w:ascii="仿宋_GB2312" w:hAnsi="仿宋_GB2312" w:eastAsia="仿宋_GB2312" w:cs="仿宋_GB2312"/>
          <w:color w:val="auto"/>
          <w:sz w:val="28"/>
          <w:szCs w:val="28"/>
          <w:highlight w:val="none"/>
          <w:lang w:val="en-US" w:eastAsia="zh-CN"/>
        </w:rPr>
        <w:t>提供</w:t>
      </w:r>
      <w:r>
        <w:rPr>
          <w:rFonts w:hint="eastAsia" w:ascii="仿宋_GB2312" w:hAnsi="仿宋_GB2312" w:eastAsia="仿宋_GB2312" w:cs="仿宋_GB2312"/>
          <w:b/>
          <w:bCs/>
          <w:color w:val="auto"/>
          <w:sz w:val="28"/>
          <w:szCs w:val="28"/>
          <w:highlight w:val="none"/>
          <w:lang w:val="en-US" w:eastAsia="zh-CN"/>
        </w:rPr>
        <w:t>不少于3年</w:t>
      </w:r>
      <w:r>
        <w:rPr>
          <w:rFonts w:hint="eastAsia" w:ascii="仿宋_GB2312" w:hAnsi="仿宋_GB2312" w:eastAsia="仿宋_GB2312" w:cs="仿宋_GB2312"/>
          <w:color w:val="auto"/>
          <w:sz w:val="28"/>
          <w:szCs w:val="28"/>
          <w:highlight w:val="none"/>
          <w:lang w:val="en-US" w:eastAsia="zh-CN"/>
        </w:rPr>
        <w:t>的保修期，</w:t>
      </w:r>
      <w:r>
        <w:rPr>
          <w:rFonts w:hint="eastAsia" w:ascii="仿宋_GB2312" w:hAnsi="仿宋_GB2312" w:eastAsia="仿宋_GB2312" w:cs="仿宋_GB2312"/>
          <w:color w:val="auto"/>
          <w:sz w:val="28"/>
          <w:szCs w:val="28"/>
          <w:highlight w:val="none"/>
          <w:lang w:eastAsia="zh-CN"/>
        </w:rPr>
        <w:t>提供持续的技术支持与售后服务。维护、升级、备份均不额外收费。若设备在</w:t>
      </w:r>
      <w:r>
        <w:rPr>
          <w:rFonts w:hint="eastAsia" w:ascii="仿宋_GB2312" w:hAnsi="仿宋_GB2312" w:eastAsia="仿宋_GB2312" w:cs="仿宋_GB2312"/>
          <w:color w:val="auto"/>
          <w:sz w:val="28"/>
          <w:szCs w:val="28"/>
          <w:highlight w:val="none"/>
          <w:lang w:val="en-US" w:eastAsia="zh-CN"/>
        </w:rPr>
        <w:t>保修期内</w:t>
      </w:r>
      <w:r>
        <w:rPr>
          <w:rFonts w:hint="eastAsia" w:ascii="仿宋_GB2312" w:hAnsi="仿宋_GB2312" w:eastAsia="仿宋_GB2312" w:cs="仿宋_GB2312"/>
          <w:color w:val="auto"/>
          <w:sz w:val="28"/>
          <w:szCs w:val="28"/>
          <w:highlight w:val="none"/>
          <w:lang w:eastAsia="zh-CN"/>
        </w:rPr>
        <w:t>出现故障，中标人应按照采购人的需求提供维修或更换服务，相关费用仅按维修材料成本及合理人工费用收取，不得附加额外利润，且中标人应确保备品备件的长期供应。（由投标人提供承诺书，格式自拟）</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560" w:firstLineChars="200"/>
        <w:textAlignment w:val="auto"/>
        <w:rPr>
          <w:rFonts w:hint="eastAsia" w:eastAsia="宋体"/>
          <w:color w:val="auto"/>
          <w:highlight w:val="none"/>
          <w:lang w:eastAsia="zh-CN"/>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7.4在质保期和保修期内，若发生质量问题，投标人承诺在接到通知后1小时内响应，24小时内维修到位，并于48小时内消除故障（不可抗力情况除外）。消耗品及零配件供应及时，特殊情况下可提供备用机。质保期内，若非因用户人为原因导致质量问题，由投标人负责包修、包换或包退，并承担修理、调换或退换的实际费用。若投标人无法修理或调换，将按不能交货处理。</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7</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5</w:t>
      </w:r>
      <w:r>
        <w:rPr>
          <w:rFonts w:hint="eastAsia" w:ascii="仿宋_GB2312" w:hAnsi="仿宋_GB2312" w:eastAsia="仿宋_GB2312" w:cs="仿宋_GB2312"/>
          <w:color w:val="auto"/>
          <w:sz w:val="28"/>
          <w:szCs w:val="28"/>
          <w:highlight w:val="none"/>
          <w:lang w:eastAsia="zh-CN"/>
        </w:rPr>
        <w:t>提供备品备件清单，提供消耗品优惠价格，提供零配件优惠价格。</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7</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6</w:t>
      </w:r>
      <w:r>
        <w:rPr>
          <w:rFonts w:hint="eastAsia" w:ascii="仿宋_GB2312" w:hAnsi="仿宋_GB2312" w:eastAsia="仿宋_GB2312" w:cs="仿宋_GB2312"/>
          <w:color w:val="auto"/>
          <w:sz w:val="28"/>
          <w:szCs w:val="28"/>
          <w:highlight w:val="none"/>
          <w:lang w:eastAsia="zh-CN"/>
        </w:rPr>
        <w:t>安排专业人员在现场对采购单位临床操作人员进行专业的培训，并对维修工程师进行维护、维修培训。保证使用人员能够熟练掌握各种设备和软件等常规使用方法，以及小故障的判断与解决。</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7</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7</w:t>
      </w:r>
      <w:r>
        <w:rPr>
          <w:rFonts w:hint="eastAsia" w:ascii="仿宋_GB2312" w:hAnsi="仿宋_GB2312" w:eastAsia="仿宋_GB2312" w:cs="仿宋_GB2312"/>
          <w:color w:val="auto"/>
          <w:sz w:val="28"/>
          <w:szCs w:val="28"/>
          <w:highlight w:val="none"/>
          <w:lang w:eastAsia="zh-CN"/>
        </w:rPr>
        <w:t>质保期内保证每年有</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lang w:eastAsia="zh-CN"/>
        </w:rPr>
        <w:t>次或以上预防性维护保养。</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7</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8</w:t>
      </w:r>
      <w:r>
        <w:rPr>
          <w:rFonts w:hint="eastAsia" w:ascii="仿宋_GB2312" w:hAnsi="仿宋_GB2312" w:eastAsia="仿宋_GB2312" w:cs="仿宋_GB2312"/>
          <w:color w:val="auto"/>
          <w:sz w:val="28"/>
          <w:szCs w:val="28"/>
          <w:highlight w:val="none"/>
          <w:lang w:eastAsia="zh-CN"/>
        </w:rPr>
        <w:t>投标时，供应商承诺保修期外，能及时为用户提供备品备件、专用试剂及耗材。</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7</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9</w:t>
      </w:r>
      <w:r>
        <w:rPr>
          <w:rFonts w:hint="eastAsia" w:ascii="仿宋_GB2312" w:hAnsi="仿宋_GB2312" w:eastAsia="仿宋_GB2312" w:cs="仿宋_GB2312"/>
          <w:color w:val="auto"/>
          <w:sz w:val="28"/>
          <w:szCs w:val="28"/>
          <w:highlight w:val="none"/>
          <w:lang w:eastAsia="zh-CN"/>
        </w:rPr>
        <w:t>签订合同时，为保证设备正常运行由生产厂家或中国总代理出具承诺书，保证该设备购置后至少5年供应的备品备件、专用试剂及耗材是在注册证有效期内生产的，并加盖生产厂家或中国总代理公章。（作为备品备件供应的考核项。）</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7</w:t>
      </w:r>
      <w:r>
        <w:rPr>
          <w:rFonts w:hint="eastAsia" w:ascii="仿宋_GB2312" w:hAnsi="仿宋_GB2312" w:eastAsia="仿宋_GB2312" w:cs="仿宋_GB2312"/>
          <w:color w:val="auto"/>
          <w:sz w:val="28"/>
          <w:szCs w:val="28"/>
          <w:highlight w:val="none"/>
          <w:lang w:eastAsia="zh-CN"/>
        </w:rPr>
        <w:t>.1</w:t>
      </w:r>
      <w:r>
        <w:rPr>
          <w:rFonts w:hint="eastAsia" w:ascii="仿宋_GB2312" w:hAnsi="仿宋_GB2312" w:eastAsia="仿宋_GB2312" w:cs="仿宋_GB2312"/>
          <w:color w:val="auto"/>
          <w:sz w:val="28"/>
          <w:szCs w:val="28"/>
          <w:highlight w:val="none"/>
          <w:lang w:val="en-US" w:eastAsia="zh-CN"/>
        </w:rPr>
        <w:t>0</w:t>
      </w:r>
      <w:r>
        <w:rPr>
          <w:rFonts w:hint="eastAsia" w:ascii="仿宋_GB2312" w:hAnsi="仿宋_GB2312" w:eastAsia="仿宋_GB2312" w:cs="仿宋_GB2312"/>
          <w:color w:val="auto"/>
          <w:sz w:val="28"/>
          <w:szCs w:val="28"/>
          <w:highlight w:val="none"/>
          <w:lang w:eastAsia="zh-CN"/>
        </w:rPr>
        <w:t>投标人在投标文件所承诺的仪器功能，所需的硬件和软件必须配置齐全。</w:t>
      </w:r>
    </w:p>
    <w:p>
      <w:pPr>
        <w:pStyle w:val="36"/>
        <w:keepNext w:val="0"/>
        <w:keepLines w:val="0"/>
        <w:pageBreakBefore w:val="0"/>
        <w:kinsoku/>
        <w:wordWrap/>
        <w:overflowPunct/>
        <w:topLinePunct w:val="0"/>
        <w:autoSpaceDE/>
        <w:autoSpaceDN/>
        <w:bidi w:val="0"/>
        <w:adjustRightInd/>
        <w:snapToGrid/>
        <w:spacing w:line="540" w:lineRule="exact"/>
        <w:ind w:firstLine="560" w:firstLineChars="200"/>
        <w:jc w:val="left"/>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7.11本项目设备如需办理计量检定或计量校准，投标人中标后须向采购人提供设备有效期内、真实有效的计量检定证书或校准证书完整资料，并加盖投标单位公章交付采购人存档留存。采购人有权随时核查证书原件，中标人须无条件配合。</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8.知识产权</w:t>
      </w:r>
    </w:p>
    <w:p>
      <w:pPr>
        <w:pStyle w:val="37"/>
        <w:spacing w:line="360" w:lineRule="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8.1.投标人应保证采购人在使用该货物或其任何一部分时，免受第三方提出的侵犯其专利权、商标权、著作权或其它知识产权的起诉。投标人保证所提供软件的合法性，所发生的任何知识产权纠纷与采购人无关。若因为知识产权纠纷造成的一切损害赔偿及损失由投标人承担，包括但不限于实际损失、预期损失和对方要求赔偿损失及支出的律师费、交通费和差旅费等。</w:t>
      </w:r>
    </w:p>
    <w:p>
      <w:pPr>
        <w:pStyle w:val="37"/>
        <w:spacing w:line="360" w:lineRule="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8.2采购人购买产品后，有权对该产品与其他设备进行配套、整合或适当改进，而免受侵犯专利权的起诉。若因为知识产权纠纷造成的一切损害赔偿及损失由投标人承担，包括但不限于实际损失、预期损失和对方要求赔偿损失及支出的律师费、交通费和差旅费等。</w:t>
      </w:r>
    </w:p>
    <w:p>
      <w:pPr>
        <w:pStyle w:val="37"/>
        <w:spacing w:line="360" w:lineRule="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9.违约责任</w:t>
      </w:r>
    </w:p>
    <w:p>
      <w:pPr>
        <w:pStyle w:val="37"/>
        <w:spacing w:line="360" w:lineRule="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未按照约定时间交付货物的，每逾期一天，采购人有权要求中标人延长两天的维保服务期限；逾期超过90日历日的，采购人有权单方解除合同并要求中标人承担合同总金额20%的违约金。如违约金不足以赔偿因交货延迟给采购人造成的损失，中标人还应继续承担相应的赔偿责任。</w:t>
      </w:r>
    </w:p>
    <w:p>
      <w:pPr>
        <w:pStyle w:val="37"/>
        <w:numPr>
          <w:ilvl w:val="0"/>
          <w:numId w:val="0"/>
        </w:numPr>
        <w:spacing w:line="360" w:lineRule="auto"/>
        <w:ind w:firstLine="560" w:firstLineChars="200"/>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10.培训</w:t>
      </w:r>
    </w:p>
    <w:p>
      <w:pPr>
        <w:pStyle w:val="37"/>
        <w:spacing w:line="360" w:lineRule="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10.1投标人应派专业技术人员免费对采购单位指定人员进行定期培训及指导，直至其完全掌握设备的基本故障处理技术。</w:t>
      </w:r>
    </w:p>
    <w:p>
      <w:pPr>
        <w:pStyle w:val="37"/>
        <w:spacing w:line="360" w:lineRule="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10.2现场培训：投标人应提供现场技术培训，保证使用人员正常操作设备的各种功能。</w:t>
      </w:r>
    </w:p>
    <w:p>
      <w:pPr>
        <w:pStyle w:val="37"/>
        <w:spacing w:line="360" w:lineRule="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10.3集中培训：根据设备技术要求，可向投标人提供使用和维修技术人员培训。</w:t>
      </w:r>
    </w:p>
    <w:p>
      <w:pPr>
        <w:pStyle w:val="37"/>
        <w:spacing w:line="360" w:lineRule="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10.4计算机辅助培训：针对该机型的多媒体互动操作教学软件，方便学习掌握基本操作和各项高级功能。</w:t>
      </w:r>
    </w:p>
    <w:p>
      <w:pPr>
        <w:pStyle w:val="37"/>
        <w:spacing w:line="360" w:lineRule="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11.其他要求</w:t>
      </w:r>
    </w:p>
    <w:p>
      <w:pPr>
        <w:pStyle w:val="37"/>
        <w:spacing w:line="360" w:lineRule="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11.1交货时，设备出厂时间≤1年。</w:t>
      </w:r>
    </w:p>
    <w:p>
      <w:pPr>
        <w:pStyle w:val="37"/>
        <w:spacing w:line="360" w:lineRule="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 xml:space="preserve">★11.2免费开放预留与院内信息系统及集成平台（如PACS系统、HIS系统等）医疗设备数据实现互联互通的端口。 </w:t>
      </w:r>
    </w:p>
    <w:p>
      <w:pPr>
        <w:pStyle w:val="37"/>
        <w:spacing w:line="360" w:lineRule="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11.3签订合同时，提供厂家售后服务承诺书，含免费保修期。</w:t>
      </w:r>
    </w:p>
    <w:p>
      <w:pPr>
        <w:pStyle w:val="37"/>
        <w:spacing w:line="360" w:lineRule="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11.4设备使用期间，发生产品召回事件，供应商提供替代或赔偿方案。</w:t>
      </w:r>
    </w:p>
    <w:p>
      <w:pPr>
        <w:pStyle w:val="37"/>
        <w:spacing w:line="360" w:lineRule="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12.签订合同</w:t>
      </w:r>
    </w:p>
    <w:p>
      <w:pPr>
        <w:pStyle w:val="37"/>
        <w:spacing w:line="360" w:lineRule="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采购人和中标人应当自中标通知书发出之日起十个工作日内，按照招标文件和中标人的投标文件订立书面合同。</w:t>
      </w:r>
    </w:p>
    <w:p>
      <w:pPr>
        <w:pStyle w:val="25"/>
        <w:keepNext w:val="0"/>
        <w:keepLines w:val="0"/>
        <w:pageBreakBefore w:val="0"/>
        <w:numPr>
          <w:ilvl w:val="-1"/>
          <w:numId w:val="0"/>
        </w:numPr>
        <w:kinsoku/>
        <w:wordWrap/>
        <w:overflowPunct/>
        <w:topLinePunct w:val="0"/>
        <w:autoSpaceDE/>
        <w:autoSpaceDN/>
        <w:bidi w:val="0"/>
        <w:snapToGrid/>
        <w:spacing w:line="560" w:lineRule="exact"/>
        <w:textAlignment w:val="auto"/>
        <w:rPr>
          <w:rFonts w:hint="eastAsia" w:ascii="仿宋_GB2312" w:hAnsi="仿宋_GB2312" w:eastAsia="仿宋_GB2312" w:cs="仿宋_GB2312"/>
          <w:color w:val="auto"/>
          <w:kern w:val="2"/>
          <w:sz w:val="28"/>
          <w:szCs w:val="28"/>
          <w:highlight w:val="none"/>
          <w:lang w:val="en-US" w:eastAsia="zh-CN" w:bidi="ar-SA"/>
        </w:rPr>
      </w:pPr>
    </w:p>
    <w:p>
      <w:pPr>
        <w:keepLines w:val="0"/>
        <w:pageBreakBefore w:val="0"/>
        <w:kinsoku/>
        <w:wordWrap/>
        <w:overflowPunct/>
        <w:topLinePunct w:val="0"/>
        <w:bidi w:val="0"/>
        <w:ind w:firstLineChars="200"/>
        <w:rPr>
          <w:rFonts w:hint="default" w:ascii="仿宋_GB2312" w:hAnsi="仿宋_GB2312" w:eastAsia="仿宋_GB2312" w:cs="仿宋_GB2312"/>
          <w:color w:val="auto"/>
          <w:kern w:val="2"/>
          <w:sz w:val="28"/>
          <w:szCs w:val="28"/>
          <w:highlight w:val="none"/>
          <w:lang w:val="en-US" w:eastAsia="zh-CN" w:bidi="ar-SA"/>
        </w:rPr>
      </w:pPr>
      <w:r>
        <w:rPr>
          <w:rFonts w:hint="default" w:ascii="仿宋_GB2312" w:hAnsi="仿宋_GB2312" w:eastAsia="仿宋_GB2312" w:cs="仿宋_GB2312"/>
          <w:color w:val="auto"/>
          <w:kern w:val="2"/>
          <w:sz w:val="28"/>
          <w:szCs w:val="28"/>
          <w:highlight w:val="none"/>
          <w:lang w:val="en-US" w:eastAsia="zh-CN" w:bidi="ar-SA"/>
        </w:rPr>
        <w:br w:type="page"/>
      </w:r>
    </w:p>
    <w:p>
      <w:pPr>
        <w:keepLines w:val="0"/>
        <w:pageBreakBefore w:val="0"/>
        <w:numPr>
          <w:ilvl w:val="0"/>
          <w:numId w:val="0"/>
        </w:numPr>
        <w:kinsoku/>
        <w:wordWrap/>
        <w:overflowPunct/>
        <w:topLinePunct w:val="0"/>
        <w:bidi w:val="0"/>
        <w:spacing w:line="560" w:lineRule="exact"/>
        <w:jc w:val="center"/>
        <w:rPr>
          <w:rFonts w:ascii="仿宋_GB2312" w:hAnsi="仿宋_GB2312" w:eastAsia="仿宋_GB2312" w:cs="仿宋_GB2312"/>
          <w:b/>
          <w:bCs/>
          <w:color w:val="auto"/>
          <w:sz w:val="36"/>
          <w:szCs w:val="36"/>
          <w:highlight w:val="none"/>
        </w:rPr>
      </w:pPr>
      <w:r>
        <w:rPr>
          <w:rFonts w:ascii="仿宋_GB2312" w:hAnsi="仿宋_GB2312" w:eastAsia="仿宋_GB2312" w:cs="仿宋_GB2312"/>
          <w:b/>
          <w:bCs/>
          <w:color w:val="auto"/>
          <w:kern w:val="2"/>
          <w:sz w:val="36"/>
          <w:szCs w:val="36"/>
          <w:highlight w:val="none"/>
          <w:lang w:val="en-US" w:eastAsia="zh-CN" w:bidi="ar-SA"/>
        </w:rPr>
        <w:t>第</w:t>
      </w:r>
      <w:r>
        <w:rPr>
          <w:rFonts w:hint="eastAsia" w:ascii="仿宋_GB2312" w:hAnsi="仿宋_GB2312" w:eastAsia="仿宋_GB2312" w:cs="仿宋_GB2312"/>
          <w:b/>
          <w:bCs/>
          <w:color w:val="auto"/>
          <w:kern w:val="2"/>
          <w:sz w:val="36"/>
          <w:szCs w:val="36"/>
          <w:highlight w:val="none"/>
          <w:lang w:val="en-US" w:eastAsia="zh-CN" w:bidi="ar-SA"/>
        </w:rPr>
        <w:t>三章 评标标准</w:t>
      </w:r>
    </w:p>
    <w:p>
      <w:pPr>
        <w:keepLines w:val="0"/>
        <w:pageBreakBefore w:val="0"/>
        <w:kinsoku/>
        <w:wordWrap/>
        <w:overflowPunct/>
        <w:topLinePunct w:val="0"/>
        <w:bidi w:val="0"/>
        <w:spacing w:line="560" w:lineRule="exact"/>
        <w:rPr>
          <w:rFonts w:hint="eastAsia" w:ascii="仿宋_GB2312" w:hAnsi="仿宋_GB2312" w:eastAsia="仿宋_GB2312" w:cs="仿宋_GB2312"/>
          <w:b/>
          <w:bCs/>
          <w:color w:val="auto"/>
          <w:kern w:val="0"/>
          <w:sz w:val="28"/>
          <w:szCs w:val="28"/>
          <w:highlight w:val="none"/>
        </w:rPr>
      </w:pPr>
    </w:p>
    <w:p>
      <w:pPr>
        <w:keepLines w:val="0"/>
        <w:pageBreakBefore w:val="0"/>
        <w:kinsoku/>
        <w:wordWrap/>
        <w:overflowPunct/>
        <w:topLinePunct w:val="0"/>
        <w:bidi w:val="0"/>
        <w:spacing w:line="560" w:lineRule="exact"/>
        <w:ind w:firstLine="560" w:firstLineChars="200"/>
        <w:rPr>
          <w:rFonts w:hint="eastAsia" w:ascii="黑体" w:hAnsi="黑体" w:eastAsia="黑体" w:cs="黑体"/>
          <w:b w:val="0"/>
          <w:bCs w:val="0"/>
          <w:color w:val="auto"/>
          <w:kern w:val="0"/>
          <w:sz w:val="28"/>
          <w:szCs w:val="28"/>
          <w:highlight w:val="none"/>
          <w:lang w:val="en-US" w:eastAsia="zh-CN" w:bidi="ar-SA"/>
        </w:rPr>
      </w:pPr>
      <w:r>
        <w:rPr>
          <w:rFonts w:hint="eastAsia" w:ascii="黑体" w:hAnsi="黑体" w:eastAsia="黑体" w:cs="黑体"/>
          <w:b w:val="0"/>
          <w:bCs w:val="0"/>
          <w:color w:val="auto"/>
          <w:kern w:val="0"/>
          <w:sz w:val="28"/>
          <w:szCs w:val="28"/>
          <w:highlight w:val="none"/>
          <w:lang w:val="en-US" w:eastAsia="zh-CN" w:bidi="ar-SA"/>
        </w:rPr>
        <w:t>一、评标方法说明</w:t>
      </w:r>
    </w:p>
    <w:p>
      <w:pPr>
        <w:spacing w:line="360" w:lineRule="exact"/>
        <w:ind w:firstLine="442" w:firstLineChars="200"/>
        <w:rPr>
          <w:rFonts w:hint="eastAsia" w:ascii="宋体" w:hAnsi="宋体" w:cs="宋体"/>
          <w:b/>
          <w:bCs/>
          <w:color w:val="auto"/>
          <w:sz w:val="22"/>
          <w:highlight w:val="none"/>
        </w:rPr>
      </w:pPr>
      <w:r>
        <w:rPr>
          <w:rFonts w:hint="eastAsia" w:ascii="宋体" w:hAnsi="宋体" w:cs="宋体"/>
          <w:b/>
          <w:bCs/>
          <w:color w:val="auto"/>
          <w:sz w:val="22"/>
          <w:highlight w:val="none"/>
          <w:lang w:val="en-US" w:eastAsia="zh-CN"/>
        </w:rPr>
        <w:t>一、</w:t>
      </w:r>
      <w:r>
        <w:rPr>
          <w:rFonts w:hint="eastAsia" w:ascii="宋体" w:hAnsi="宋体" w:cs="宋体"/>
          <w:b/>
          <w:bCs/>
          <w:color w:val="auto"/>
          <w:sz w:val="22"/>
          <w:highlight w:val="none"/>
        </w:rPr>
        <w:t>评标方法：综合评分法。按照招标文件中规定的各项因素进行量化打分，以评标总得分的平均分最高的投标人为中标候选供应商；采购人根据评标委员会评审结果确定中标候选供应商为中标人。</w:t>
      </w:r>
    </w:p>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cs="宋体"/>
          <w:b/>
          <w:bCs/>
          <w:color w:val="auto"/>
          <w:sz w:val="22"/>
          <w:highlight w:val="none"/>
        </w:rPr>
        <w:t>综合评分法中的价格分统一采用低价优先法计算,即满足采购文件要求且投标价格最低的投标报价为评标基准价,其价格分为满分。其他投标人的价格分统一按照下列公式计算：投标报价得分=(评标基准价/投标报价</w:t>
      </w:r>
      <w:r>
        <w:rPr>
          <w:rFonts w:hint="eastAsia" w:ascii="宋体" w:hAnsi="宋体" w:eastAsia="宋体" w:cs="宋体"/>
          <w:b/>
          <w:bCs/>
          <w:color w:val="auto"/>
          <w:sz w:val="22"/>
          <w:highlight w:val="none"/>
        </w:rPr>
        <w:t>)×权重</w:t>
      </w:r>
    </w:p>
    <w:p>
      <w:pPr>
        <w:keepLines w:val="0"/>
        <w:pageBreakBefore w:val="0"/>
        <w:numPr>
          <w:ilvl w:val="0"/>
          <w:numId w:val="2"/>
        </w:numPr>
        <w:kinsoku/>
        <w:wordWrap/>
        <w:overflowPunct/>
        <w:topLinePunct w:val="0"/>
        <w:bidi w:val="0"/>
        <w:spacing w:line="560" w:lineRule="exact"/>
        <w:ind w:firstLine="560" w:firstLineChars="200"/>
        <w:rPr>
          <w:rFonts w:hint="eastAsia" w:ascii="黑体" w:hAnsi="黑体" w:eastAsia="黑体" w:cs="黑体"/>
          <w:b w:val="0"/>
          <w:bCs w:val="0"/>
          <w:color w:val="auto"/>
          <w:kern w:val="0"/>
          <w:sz w:val="28"/>
          <w:szCs w:val="28"/>
          <w:highlight w:val="none"/>
          <w:lang w:val="en-US" w:eastAsia="zh-CN" w:bidi="ar-SA"/>
        </w:rPr>
      </w:pPr>
      <w:r>
        <w:rPr>
          <w:rFonts w:hint="eastAsia" w:ascii="黑体" w:hAnsi="黑体" w:eastAsia="黑体" w:cs="黑体"/>
          <w:b w:val="0"/>
          <w:bCs w:val="0"/>
          <w:color w:val="auto"/>
          <w:kern w:val="0"/>
          <w:sz w:val="28"/>
          <w:szCs w:val="28"/>
          <w:highlight w:val="none"/>
          <w:lang w:val="en-US" w:eastAsia="zh-CN" w:bidi="ar-SA"/>
        </w:rPr>
        <w:t>评分标准</w:t>
      </w:r>
    </w:p>
    <w:tbl>
      <w:tblPr>
        <w:tblStyle w:val="19"/>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935"/>
        <w:gridCol w:w="930"/>
        <w:gridCol w:w="5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22"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b/>
                <w:bCs/>
                <w:color w:val="auto"/>
                <w:sz w:val="22"/>
                <w:highlight w:val="none"/>
              </w:rPr>
            </w:pPr>
            <w:r>
              <w:rPr>
                <w:b/>
                <w:bCs/>
                <w:color w:val="auto"/>
                <w:sz w:val="22"/>
                <w:highlight w:val="none"/>
              </w:rPr>
              <w:t>评分项</w:t>
            </w:r>
          </w:p>
        </w:tc>
        <w:tc>
          <w:tcPr>
            <w:tcW w:w="509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bCs/>
                <w:color w:val="auto"/>
                <w:sz w:val="22"/>
                <w:highlight w:val="none"/>
              </w:rPr>
            </w:pPr>
            <w:r>
              <w:rPr>
                <w:b/>
                <w:bCs/>
                <w:color w:val="auto"/>
                <w:sz w:val="22"/>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22"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b/>
                <w:bCs/>
                <w:color w:val="auto"/>
                <w:sz w:val="22"/>
                <w:highlight w:val="none"/>
              </w:rPr>
            </w:pPr>
            <w:r>
              <w:rPr>
                <w:b/>
                <w:bCs/>
                <w:color w:val="auto"/>
                <w:sz w:val="22"/>
                <w:highlight w:val="none"/>
              </w:rPr>
              <w:t>价格</w:t>
            </w:r>
          </w:p>
        </w:tc>
        <w:tc>
          <w:tcPr>
            <w:tcW w:w="509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bCs/>
                <w:color w:val="auto"/>
                <w:sz w:val="22"/>
                <w:highlight w:val="none"/>
              </w:rPr>
            </w:pPr>
            <w:r>
              <w:rPr>
                <w:b/>
                <w:bCs/>
                <w:color w:val="auto"/>
                <w:sz w:val="22"/>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22"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b/>
                <w:bCs/>
                <w:color w:val="auto"/>
                <w:sz w:val="22"/>
                <w:highlight w:val="none"/>
              </w:rPr>
            </w:pPr>
            <w:r>
              <w:rPr>
                <w:b/>
                <w:bCs/>
                <w:color w:val="auto"/>
                <w:sz w:val="22"/>
                <w:highlight w:val="none"/>
              </w:rPr>
              <w:t>技术部分</w:t>
            </w:r>
          </w:p>
        </w:tc>
        <w:tc>
          <w:tcPr>
            <w:tcW w:w="5097" w:type="dxa"/>
            <w:tcBorders>
              <w:top w:val="single" w:color="auto" w:sz="4" w:space="0"/>
              <w:left w:val="single" w:color="auto" w:sz="4" w:space="0"/>
              <w:bottom w:val="single" w:color="auto" w:sz="4" w:space="0"/>
              <w:right w:val="single" w:color="auto" w:sz="4" w:space="0"/>
            </w:tcBorders>
            <w:vAlign w:val="center"/>
          </w:tcPr>
          <w:p>
            <w:pPr>
              <w:pStyle w:val="10"/>
              <w:spacing w:line="360" w:lineRule="exact"/>
              <w:jc w:val="center"/>
              <w:rPr>
                <w:rFonts w:hint="default" w:hAnsi="Times New Roman" w:eastAsia="宋体"/>
                <w:color w:val="auto"/>
                <w:sz w:val="22"/>
                <w:szCs w:val="22"/>
                <w:highlight w:val="none"/>
                <w:lang w:val="en-US" w:eastAsia="zh-CN"/>
              </w:rPr>
            </w:pPr>
            <w:r>
              <w:rPr>
                <w:rFonts w:hint="eastAsia" w:hAnsi="Times New Roman"/>
                <w:b/>
                <w:bCs/>
                <w:color w:val="auto"/>
                <w:sz w:val="22"/>
                <w:szCs w:val="22"/>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7" w:type="dxa"/>
            <w:tcBorders>
              <w:top w:val="single" w:color="auto" w:sz="4" w:space="0"/>
              <w:left w:val="single" w:color="auto" w:sz="4" w:space="0"/>
              <w:bottom w:val="single" w:color="auto" w:sz="4" w:space="0"/>
              <w:right w:val="single" w:color="auto" w:sz="4" w:space="0"/>
            </w:tcBorders>
            <w:shd w:val="clear" w:color="auto" w:fill="C7DAF1"/>
            <w:vAlign w:val="center"/>
          </w:tcPr>
          <w:p>
            <w:pPr>
              <w:spacing w:line="360" w:lineRule="exact"/>
              <w:jc w:val="center"/>
              <w:rPr>
                <w:color w:val="auto"/>
                <w:sz w:val="22"/>
                <w:highlight w:val="none"/>
              </w:rPr>
            </w:pPr>
            <w:r>
              <w:rPr>
                <w:color w:val="auto"/>
                <w:sz w:val="22"/>
                <w:highlight w:val="none"/>
              </w:rPr>
              <w:t>序号</w:t>
            </w:r>
          </w:p>
        </w:tc>
        <w:tc>
          <w:tcPr>
            <w:tcW w:w="1935" w:type="dxa"/>
            <w:tcBorders>
              <w:top w:val="single" w:color="auto" w:sz="4" w:space="0"/>
              <w:left w:val="single" w:color="auto" w:sz="4" w:space="0"/>
              <w:bottom w:val="single" w:color="auto" w:sz="4" w:space="0"/>
              <w:right w:val="single" w:color="auto" w:sz="4" w:space="0"/>
            </w:tcBorders>
            <w:shd w:val="clear" w:color="auto" w:fill="C7DAF1"/>
            <w:vAlign w:val="center"/>
          </w:tcPr>
          <w:p>
            <w:pPr>
              <w:spacing w:line="360" w:lineRule="exact"/>
              <w:jc w:val="center"/>
              <w:rPr>
                <w:color w:val="auto"/>
                <w:sz w:val="22"/>
                <w:highlight w:val="none"/>
              </w:rPr>
            </w:pPr>
            <w:r>
              <w:rPr>
                <w:color w:val="auto"/>
                <w:sz w:val="22"/>
                <w:highlight w:val="none"/>
              </w:rPr>
              <w:t>评分因素</w:t>
            </w:r>
          </w:p>
        </w:tc>
        <w:tc>
          <w:tcPr>
            <w:tcW w:w="930" w:type="dxa"/>
            <w:tcBorders>
              <w:top w:val="single" w:color="auto" w:sz="4" w:space="0"/>
              <w:left w:val="single" w:color="auto" w:sz="4" w:space="0"/>
              <w:bottom w:val="single" w:color="auto" w:sz="4" w:space="0"/>
              <w:right w:val="single" w:color="auto" w:sz="4" w:space="0"/>
            </w:tcBorders>
            <w:shd w:val="clear" w:color="auto" w:fill="C7DAF1"/>
            <w:vAlign w:val="center"/>
          </w:tcPr>
          <w:p>
            <w:pPr>
              <w:spacing w:line="360" w:lineRule="exact"/>
              <w:jc w:val="center"/>
              <w:rPr>
                <w:color w:val="auto"/>
                <w:sz w:val="22"/>
                <w:highlight w:val="none"/>
              </w:rPr>
            </w:pPr>
            <w:r>
              <w:rPr>
                <w:color w:val="auto"/>
                <w:sz w:val="22"/>
                <w:highlight w:val="none"/>
              </w:rPr>
              <w:t>分值</w:t>
            </w:r>
          </w:p>
        </w:tc>
        <w:tc>
          <w:tcPr>
            <w:tcW w:w="5097" w:type="dxa"/>
            <w:tcBorders>
              <w:top w:val="single" w:color="auto" w:sz="4" w:space="0"/>
              <w:left w:val="single" w:color="auto" w:sz="4" w:space="0"/>
              <w:bottom w:val="single" w:color="auto" w:sz="4" w:space="0"/>
              <w:right w:val="single" w:color="auto" w:sz="4" w:space="0"/>
            </w:tcBorders>
            <w:shd w:val="clear" w:color="auto" w:fill="C7DAF1"/>
            <w:vAlign w:val="center"/>
          </w:tcPr>
          <w:p>
            <w:pPr>
              <w:spacing w:line="360" w:lineRule="exact"/>
              <w:jc w:val="center"/>
              <w:rPr>
                <w:color w:val="auto"/>
                <w:sz w:val="22"/>
                <w:highlight w:val="none"/>
              </w:rPr>
            </w:pPr>
            <w:r>
              <w:rPr>
                <w:color w:val="auto"/>
                <w:sz w:val="22"/>
                <w:highlight w:val="none"/>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auto"/>
                <w:sz w:val="22"/>
                <w:highlight w:val="none"/>
              </w:rPr>
            </w:pPr>
            <w:r>
              <w:rPr>
                <w:color w:val="auto"/>
                <w:sz w:val="22"/>
                <w:highlight w:val="none"/>
              </w:rPr>
              <w:t>1</w:t>
            </w:r>
          </w:p>
        </w:tc>
        <w:tc>
          <w:tcPr>
            <w:tcW w:w="193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auto"/>
                <w:sz w:val="22"/>
                <w:highlight w:val="none"/>
              </w:rPr>
            </w:pPr>
            <w:r>
              <w:rPr>
                <w:color w:val="auto"/>
                <w:sz w:val="22"/>
                <w:highlight w:val="none"/>
              </w:rPr>
              <w:t>技术条款偏离情况</w:t>
            </w: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eastAsia="宋体"/>
                <w:color w:val="auto"/>
                <w:sz w:val="22"/>
                <w:highlight w:val="none"/>
                <w:lang w:val="en-US" w:eastAsia="zh-CN"/>
              </w:rPr>
            </w:pPr>
            <w:r>
              <w:rPr>
                <w:rFonts w:hint="eastAsia"/>
                <w:color w:val="auto"/>
                <w:sz w:val="22"/>
                <w:highlight w:val="none"/>
                <w:lang w:val="en-US" w:eastAsia="zh-CN"/>
              </w:rPr>
              <w:t>40</w:t>
            </w:r>
          </w:p>
        </w:tc>
        <w:tc>
          <w:tcPr>
            <w:tcW w:w="5097" w:type="dxa"/>
            <w:tcBorders>
              <w:top w:val="single" w:color="auto" w:sz="4" w:space="0"/>
              <w:left w:val="single" w:color="auto" w:sz="4" w:space="0"/>
              <w:bottom w:val="single" w:color="auto" w:sz="4" w:space="0"/>
              <w:right w:val="single" w:color="auto" w:sz="4" w:space="0"/>
            </w:tcBorders>
            <w:vAlign w:val="center"/>
          </w:tcPr>
          <w:p>
            <w:pPr>
              <w:spacing w:line="360" w:lineRule="exact"/>
              <w:rPr>
                <w:b/>
                <w:bCs/>
                <w:color w:val="auto"/>
                <w:sz w:val="22"/>
                <w:highlight w:val="none"/>
              </w:rPr>
            </w:pPr>
            <w:r>
              <w:rPr>
                <w:b/>
                <w:bCs/>
                <w:color w:val="auto"/>
                <w:sz w:val="22"/>
                <w:highlight w:val="none"/>
              </w:rPr>
              <w:t>评分内容：</w:t>
            </w:r>
          </w:p>
          <w:p>
            <w:pPr>
              <w:spacing w:line="360" w:lineRule="exact"/>
              <w:rPr>
                <w:color w:val="auto"/>
                <w:sz w:val="22"/>
                <w:highlight w:val="none"/>
              </w:rPr>
            </w:pPr>
            <w:r>
              <w:rPr>
                <w:color w:val="auto"/>
                <w:sz w:val="22"/>
                <w:highlight w:val="none"/>
              </w:rPr>
              <w:t>投标人应如实填写《技术规格偏离表》，评审委员会根据技术需求参数响应情况进行打分；各项技术参数指标及要求全部满足的得满分，所有标注“▲”的重要参数</w:t>
            </w:r>
            <w:r>
              <w:rPr>
                <w:rFonts w:hint="eastAsia"/>
                <w:color w:val="auto"/>
                <w:sz w:val="22"/>
                <w:highlight w:val="none"/>
                <w:lang w:val="en-US" w:eastAsia="zh-CN"/>
              </w:rPr>
              <w:t>8个，</w:t>
            </w:r>
            <w:r>
              <w:rPr>
                <w:color w:val="auto"/>
                <w:sz w:val="22"/>
                <w:highlight w:val="none"/>
              </w:rPr>
              <w:t>每负偏离一项扣</w:t>
            </w:r>
            <w:r>
              <w:rPr>
                <w:rFonts w:hint="eastAsia"/>
                <w:color w:val="auto"/>
                <w:sz w:val="22"/>
                <w:highlight w:val="none"/>
                <w:lang w:val="en-US" w:eastAsia="zh-CN"/>
              </w:rPr>
              <w:t>2</w:t>
            </w:r>
            <w:r>
              <w:rPr>
                <w:color w:val="auto"/>
                <w:sz w:val="22"/>
                <w:highlight w:val="none"/>
              </w:rPr>
              <w:t>分</w:t>
            </w:r>
            <w:r>
              <w:rPr>
                <w:rFonts w:hint="eastAsia"/>
                <w:color w:val="auto"/>
                <w:sz w:val="22"/>
                <w:highlight w:val="none"/>
                <w:lang w:eastAsia="zh-CN"/>
              </w:rPr>
              <w:t>；</w:t>
            </w:r>
            <w:r>
              <w:rPr>
                <w:color w:val="auto"/>
                <w:sz w:val="22"/>
                <w:highlight w:val="none"/>
              </w:rPr>
              <w:t>一般参数</w:t>
            </w:r>
            <w:r>
              <w:rPr>
                <w:rFonts w:hint="eastAsia"/>
                <w:color w:val="auto"/>
                <w:sz w:val="22"/>
                <w:highlight w:val="none"/>
                <w:lang w:val="en-US" w:eastAsia="zh-CN"/>
              </w:rPr>
              <w:t>44个，</w:t>
            </w:r>
            <w:r>
              <w:rPr>
                <w:color w:val="auto"/>
                <w:sz w:val="22"/>
                <w:highlight w:val="none"/>
              </w:rPr>
              <w:t>每负偏离一项扣</w:t>
            </w:r>
            <w:r>
              <w:rPr>
                <w:rFonts w:hint="eastAsia"/>
                <w:color w:val="auto"/>
                <w:sz w:val="22"/>
                <w:highlight w:val="none"/>
                <w:lang w:val="en-US" w:eastAsia="zh-CN"/>
              </w:rPr>
              <w:t>0.55</w:t>
            </w:r>
            <w:r>
              <w:rPr>
                <w:color w:val="auto"/>
                <w:sz w:val="22"/>
                <w:highlight w:val="none"/>
              </w:rPr>
              <w:t>分，扣完为止。</w:t>
            </w:r>
          </w:p>
          <w:p>
            <w:pPr>
              <w:spacing w:line="360" w:lineRule="exact"/>
              <w:rPr>
                <w:color w:val="auto"/>
                <w:sz w:val="22"/>
                <w:highlight w:val="none"/>
              </w:rPr>
            </w:pPr>
            <w:r>
              <w:rPr>
                <w:b/>
                <w:bCs/>
                <w:color w:val="auto"/>
                <w:sz w:val="22"/>
                <w:highlight w:val="none"/>
              </w:rPr>
              <w:t>评分依据：</w:t>
            </w:r>
          </w:p>
          <w:p>
            <w:pPr>
              <w:pStyle w:val="18"/>
              <w:spacing w:after="0" w:line="360" w:lineRule="exact"/>
              <w:ind w:left="0" w:leftChars="0" w:firstLine="0" w:firstLineChars="0"/>
              <w:rPr>
                <w:rFonts w:ascii="Times New Roman" w:hAnsi="Times New Roman"/>
                <w:color w:val="auto"/>
                <w:sz w:val="22"/>
                <w:szCs w:val="22"/>
                <w:highlight w:val="none"/>
              </w:rPr>
            </w:pPr>
            <w:r>
              <w:rPr>
                <w:rFonts w:ascii="Times New Roman" w:hAnsi="Times New Roman"/>
                <w:color w:val="auto"/>
                <w:sz w:val="22"/>
                <w:szCs w:val="22"/>
                <w:highlight w:val="none"/>
              </w:rPr>
              <w:t>1.技术参数中如有参数写明需要提供检测报告、证书、截图等相关证明材料的，须提供相关证明材料并在投标文件中注明证明材料在投标文件中的具体位置，未按要求提供或提供不清晰导致专家无法判断的视为负偏离。</w:t>
            </w:r>
          </w:p>
          <w:p>
            <w:pPr>
              <w:pStyle w:val="18"/>
              <w:spacing w:after="0" w:line="360" w:lineRule="exact"/>
              <w:ind w:left="0" w:leftChars="0" w:firstLine="0" w:firstLineChars="0"/>
              <w:rPr>
                <w:rFonts w:ascii="Times New Roman" w:hAnsi="Times New Roman"/>
                <w:color w:val="auto"/>
                <w:sz w:val="22"/>
                <w:szCs w:val="22"/>
                <w:highlight w:val="none"/>
              </w:rPr>
            </w:pPr>
            <w:r>
              <w:rPr>
                <w:rFonts w:ascii="Times New Roman" w:hAnsi="Times New Roman"/>
                <w:b/>
                <w:bCs/>
                <w:color w:val="auto"/>
                <w:sz w:val="22"/>
                <w:szCs w:val="22"/>
                <w:highlight w:val="none"/>
              </w:rPr>
              <w:t>2.投标人提供的《技术规格偏离表》必须与客观实际保持一致，响应不实且情节严重的，经查实，将依法记入供应商诚信档案或受到行政处罚。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auto"/>
                <w:sz w:val="22"/>
                <w:highlight w:val="none"/>
              </w:rPr>
            </w:pPr>
            <w:r>
              <w:rPr>
                <w:color w:val="auto"/>
                <w:sz w:val="22"/>
                <w:highlight w:val="none"/>
              </w:rPr>
              <w:t>2</w:t>
            </w:r>
          </w:p>
        </w:tc>
        <w:tc>
          <w:tcPr>
            <w:tcW w:w="193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 w:val="22"/>
                <w:highlight w:val="none"/>
              </w:rPr>
            </w:pPr>
            <w:r>
              <w:rPr>
                <w:color w:val="auto"/>
                <w:sz w:val="22"/>
                <w:highlight w:val="none"/>
              </w:rPr>
              <w:t>质量保障措施及应急响应方案</w:t>
            </w: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eastAsia="宋体"/>
                <w:color w:val="auto"/>
                <w:sz w:val="22"/>
                <w:highlight w:val="none"/>
                <w:lang w:val="en-US" w:eastAsia="zh-CN"/>
              </w:rPr>
            </w:pPr>
            <w:r>
              <w:rPr>
                <w:rFonts w:hint="eastAsia"/>
                <w:color w:val="auto"/>
                <w:sz w:val="22"/>
                <w:highlight w:val="none"/>
                <w:lang w:val="en-US" w:eastAsia="zh-CN"/>
              </w:rPr>
              <w:t>8</w:t>
            </w:r>
          </w:p>
        </w:tc>
        <w:tc>
          <w:tcPr>
            <w:tcW w:w="5097" w:type="dxa"/>
            <w:tcBorders>
              <w:top w:val="single" w:color="auto" w:sz="4" w:space="0"/>
              <w:left w:val="single" w:color="auto" w:sz="4" w:space="0"/>
              <w:bottom w:val="single" w:color="auto" w:sz="4" w:space="0"/>
              <w:right w:val="single" w:color="auto" w:sz="4" w:space="0"/>
            </w:tcBorders>
            <w:vAlign w:val="center"/>
          </w:tcPr>
          <w:p>
            <w:pPr>
              <w:spacing w:line="360" w:lineRule="exact"/>
              <w:rPr>
                <w:b/>
                <w:bCs/>
                <w:color w:val="auto"/>
                <w:sz w:val="22"/>
                <w:highlight w:val="none"/>
              </w:rPr>
            </w:pPr>
            <w:r>
              <w:rPr>
                <w:b/>
                <w:bCs/>
                <w:color w:val="auto"/>
                <w:sz w:val="22"/>
                <w:highlight w:val="none"/>
              </w:rPr>
              <w:t>评分内容：</w:t>
            </w:r>
          </w:p>
          <w:p>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left"/>
              <w:rPr>
                <w:color w:val="auto"/>
                <w:sz w:val="22"/>
                <w:highlight w:val="none"/>
              </w:rPr>
            </w:pPr>
            <w:r>
              <w:rPr>
                <w:color w:val="auto"/>
                <w:sz w:val="22"/>
                <w:highlight w:val="none"/>
              </w:rPr>
              <w:t>考察投标人提供的质量保障措施及应急响应方案，内容需包含：</w:t>
            </w:r>
          </w:p>
          <w:p>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left"/>
              <w:rPr>
                <w:color w:val="auto"/>
                <w:sz w:val="22"/>
                <w:highlight w:val="none"/>
              </w:rPr>
            </w:pPr>
            <w:r>
              <w:rPr>
                <w:color w:val="auto"/>
                <w:sz w:val="22"/>
                <w:highlight w:val="none"/>
              </w:rPr>
              <w:t>①质量保障措施；</w:t>
            </w:r>
          </w:p>
          <w:p>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left"/>
              <w:rPr>
                <w:color w:val="auto"/>
                <w:sz w:val="22"/>
                <w:highlight w:val="none"/>
              </w:rPr>
            </w:pPr>
            <w:r>
              <w:rPr>
                <w:color w:val="auto"/>
                <w:sz w:val="22"/>
                <w:highlight w:val="none"/>
              </w:rPr>
              <w:t>②应急保障方案；</w:t>
            </w:r>
          </w:p>
          <w:p>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left"/>
              <w:rPr>
                <w:color w:val="auto"/>
                <w:sz w:val="22"/>
                <w:highlight w:val="none"/>
              </w:rPr>
            </w:pPr>
            <w:r>
              <w:rPr>
                <w:color w:val="auto"/>
                <w:sz w:val="22"/>
                <w:highlight w:val="none"/>
              </w:rPr>
              <w:t>③响应时间。</w:t>
            </w:r>
          </w:p>
          <w:p>
            <w:pPr>
              <w:keepLines/>
              <w:widowControl/>
              <w:wordWrap w:val="0"/>
              <w:spacing w:line="360" w:lineRule="exact"/>
              <w:jc w:val="left"/>
              <w:textAlignment w:val="top"/>
              <w:rPr>
                <w:b/>
                <w:bCs/>
                <w:color w:val="auto"/>
                <w:sz w:val="22"/>
                <w:highlight w:val="none"/>
              </w:rPr>
            </w:pPr>
            <w:r>
              <w:rPr>
                <w:b/>
                <w:bCs/>
                <w:color w:val="auto"/>
                <w:sz w:val="22"/>
                <w:highlight w:val="none"/>
              </w:rPr>
              <w:t>评分依据：</w:t>
            </w:r>
          </w:p>
          <w:p>
            <w:pPr>
              <w:tabs>
                <w:tab w:val="left" w:pos="426"/>
              </w:tabs>
              <w:spacing w:line="360" w:lineRule="exact"/>
              <w:rPr>
                <w:color w:val="auto"/>
                <w:sz w:val="22"/>
                <w:highlight w:val="none"/>
                <w:lang w:bidi="ar"/>
              </w:rPr>
            </w:pPr>
            <w:r>
              <w:rPr>
                <w:color w:val="auto"/>
                <w:sz w:val="22"/>
                <w:highlight w:val="none"/>
                <w:lang w:bidi="ar"/>
              </w:rPr>
              <w:t>以上内容每提供一项得</w:t>
            </w:r>
            <w:r>
              <w:rPr>
                <w:rFonts w:hint="eastAsia"/>
                <w:color w:val="auto"/>
                <w:sz w:val="22"/>
                <w:highlight w:val="none"/>
                <w:lang w:val="en-US" w:eastAsia="zh-CN" w:bidi="ar"/>
              </w:rPr>
              <w:t>1</w:t>
            </w:r>
            <w:r>
              <w:rPr>
                <w:color w:val="auto"/>
                <w:sz w:val="22"/>
                <w:highlight w:val="none"/>
                <w:lang w:bidi="ar"/>
              </w:rPr>
              <w:t>分，最高得</w:t>
            </w:r>
            <w:r>
              <w:rPr>
                <w:rFonts w:hint="eastAsia"/>
                <w:color w:val="auto"/>
                <w:sz w:val="22"/>
                <w:highlight w:val="none"/>
                <w:lang w:val="en-US" w:eastAsia="zh-CN" w:bidi="ar"/>
              </w:rPr>
              <w:t>3</w:t>
            </w:r>
            <w:r>
              <w:rPr>
                <w:color w:val="auto"/>
                <w:sz w:val="22"/>
                <w:highlight w:val="none"/>
                <w:lang w:bidi="ar"/>
              </w:rPr>
              <w:t>分，其它情况不得分。</w:t>
            </w:r>
          </w:p>
          <w:p>
            <w:pPr>
              <w:tabs>
                <w:tab w:val="left" w:pos="426"/>
              </w:tabs>
              <w:spacing w:line="360" w:lineRule="exact"/>
              <w:rPr>
                <w:color w:val="auto"/>
                <w:sz w:val="22"/>
                <w:highlight w:val="none"/>
              </w:rPr>
            </w:pPr>
            <w:r>
              <w:rPr>
                <w:color w:val="auto"/>
                <w:sz w:val="22"/>
                <w:highlight w:val="none"/>
                <w:lang w:bidi="ar"/>
              </w:rPr>
              <w:t>在此基础上，根据各供应商的具体响应内容按照量化的评审因素指标进一步评审：</w:t>
            </w:r>
          </w:p>
          <w:p>
            <w:pPr>
              <w:tabs>
                <w:tab w:val="left" w:pos="426"/>
              </w:tabs>
              <w:spacing w:line="360" w:lineRule="exact"/>
              <w:rPr>
                <w:color w:val="auto"/>
                <w:sz w:val="22"/>
                <w:highlight w:val="none"/>
              </w:rPr>
            </w:pPr>
            <w:r>
              <w:rPr>
                <w:color w:val="auto"/>
                <w:sz w:val="22"/>
                <w:highlight w:val="none"/>
                <w:lang w:bidi="ar"/>
              </w:rPr>
              <w:t>优评分标准：方案符合实际、完整、规范、思路清晰，内容合理性强，加</w:t>
            </w:r>
            <w:r>
              <w:rPr>
                <w:rFonts w:hint="eastAsia"/>
                <w:color w:val="auto"/>
                <w:sz w:val="22"/>
                <w:highlight w:val="none"/>
                <w:lang w:val="en-US" w:eastAsia="zh-CN" w:bidi="ar"/>
              </w:rPr>
              <w:t>5</w:t>
            </w:r>
            <w:r>
              <w:rPr>
                <w:color w:val="auto"/>
                <w:sz w:val="22"/>
                <w:highlight w:val="none"/>
                <w:lang w:bidi="ar"/>
              </w:rPr>
              <w:t xml:space="preserve">分。 </w:t>
            </w:r>
          </w:p>
          <w:p>
            <w:pPr>
              <w:tabs>
                <w:tab w:val="left" w:pos="426"/>
              </w:tabs>
              <w:spacing w:line="360" w:lineRule="exact"/>
              <w:rPr>
                <w:color w:val="auto"/>
                <w:sz w:val="22"/>
                <w:highlight w:val="none"/>
              </w:rPr>
            </w:pPr>
            <w:r>
              <w:rPr>
                <w:color w:val="auto"/>
                <w:sz w:val="22"/>
                <w:highlight w:val="none"/>
                <w:lang w:bidi="ar"/>
              </w:rPr>
              <w:t>良评分标准：方案较符合实际、较完整规范、思路较清晰，内容合理性较强，加</w:t>
            </w:r>
            <w:r>
              <w:rPr>
                <w:rFonts w:hint="eastAsia"/>
                <w:color w:val="auto"/>
                <w:sz w:val="22"/>
                <w:highlight w:val="none"/>
                <w:lang w:val="en-US" w:eastAsia="zh-CN" w:bidi="ar"/>
              </w:rPr>
              <w:t>3</w:t>
            </w:r>
            <w:r>
              <w:rPr>
                <w:color w:val="auto"/>
                <w:sz w:val="22"/>
                <w:highlight w:val="none"/>
                <w:lang w:bidi="ar"/>
              </w:rPr>
              <w:t xml:space="preserve">分。 </w:t>
            </w:r>
          </w:p>
          <w:p>
            <w:pPr>
              <w:tabs>
                <w:tab w:val="left" w:pos="426"/>
              </w:tabs>
              <w:spacing w:line="360" w:lineRule="exact"/>
              <w:rPr>
                <w:color w:val="auto"/>
                <w:sz w:val="22"/>
                <w:highlight w:val="none"/>
              </w:rPr>
            </w:pPr>
            <w:r>
              <w:rPr>
                <w:color w:val="auto"/>
                <w:sz w:val="22"/>
                <w:highlight w:val="none"/>
                <w:lang w:bidi="ar"/>
              </w:rPr>
              <w:t>中评分标准：方案较普通、完整性、规范性一般，思路不够清晰，内容合理性一般，加</w:t>
            </w:r>
            <w:r>
              <w:rPr>
                <w:rFonts w:hint="eastAsia"/>
                <w:color w:val="auto"/>
                <w:sz w:val="22"/>
                <w:highlight w:val="none"/>
                <w:lang w:val="en-US" w:eastAsia="zh-CN" w:bidi="ar"/>
              </w:rPr>
              <w:t>2</w:t>
            </w:r>
            <w:r>
              <w:rPr>
                <w:color w:val="auto"/>
                <w:sz w:val="22"/>
                <w:highlight w:val="none"/>
                <w:lang w:bidi="ar"/>
              </w:rPr>
              <w:t xml:space="preserve">分。 </w:t>
            </w:r>
          </w:p>
          <w:p>
            <w:pPr>
              <w:spacing w:line="360" w:lineRule="exact"/>
              <w:rPr>
                <w:color w:val="auto"/>
                <w:sz w:val="22"/>
                <w:highlight w:val="none"/>
              </w:rPr>
            </w:pPr>
            <w:r>
              <w:rPr>
                <w:color w:val="auto"/>
                <w:sz w:val="22"/>
                <w:highlight w:val="none"/>
                <w:lang w:bidi="ar"/>
              </w:rPr>
              <w:t>差评分标准：方案不完整、不规范，思路不清晰，内容合理性较差或未提供，评价为差不加分。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auto"/>
                <w:sz w:val="22"/>
                <w:highlight w:val="none"/>
              </w:rPr>
            </w:pPr>
            <w:r>
              <w:rPr>
                <w:color w:val="auto"/>
                <w:sz w:val="22"/>
                <w:highlight w:val="none"/>
              </w:rPr>
              <w:t>3</w:t>
            </w:r>
          </w:p>
        </w:tc>
        <w:tc>
          <w:tcPr>
            <w:tcW w:w="193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 w:val="22"/>
                <w:highlight w:val="none"/>
              </w:rPr>
            </w:pPr>
            <w:r>
              <w:rPr>
                <w:color w:val="auto"/>
                <w:sz w:val="22"/>
                <w:highlight w:val="none"/>
              </w:rPr>
              <w:t>售后服务方案</w:t>
            </w: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eastAsia="宋体"/>
                <w:color w:val="auto"/>
                <w:sz w:val="22"/>
                <w:highlight w:val="none"/>
                <w:lang w:val="en-US" w:eastAsia="zh-CN"/>
              </w:rPr>
            </w:pPr>
            <w:r>
              <w:rPr>
                <w:rFonts w:hint="eastAsia"/>
                <w:color w:val="auto"/>
                <w:sz w:val="22"/>
                <w:highlight w:val="none"/>
                <w:lang w:val="en-US" w:eastAsia="zh-CN"/>
              </w:rPr>
              <w:t>12</w:t>
            </w:r>
          </w:p>
        </w:tc>
        <w:tc>
          <w:tcPr>
            <w:tcW w:w="5097" w:type="dxa"/>
            <w:tcBorders>
              <w:top w:val="single" w:color="auto" w:sz="4" w:space="0"/>
              <w:left w:val="single" w:color="auto" w:sz="4" w:space="0"/>
              <w:bottom w:val="single" w:color="auto" w:sz="4" w:space="0"/>
              <w:right w:val="single" w:color="auto" w:sz="4" w:space="0"/>
            </w:tcBorders>
            <w:vAlign w:val="center"/>
          </w:tcPr>
          <w:p>
            <w:pPr>
              <w:spacing w:line="360" w:lineRule="exact"/>
              <w:rPr>
                <w:b/>
                <w:bCs/>
                <w:color w:val="auto"/>
                <w:sz w:val="22"/>
                <w:highlight w:val="none"/>
              </w:rPr>
            </w:pPr>
            <w:r>
              <w:rPr>
                <w:b/>
                <w:bCs/>
                <w:color w:val="auto"/>
                <w:sz w:val="22"/>
                <w:highlight w:val="none"/>
              </w:rPr>
              <w:t>评分内容：</w:t>
            </w:r>
          </w:p>
          <w:p>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left"/>
              <w:rPr>
                <w:color w:val="auto"/>
                <w:sz w:val="22"/>
                <w:highlight w:val="none"/>
              </w:rPr>
            </w:pPr>
            <w:r>
              <w:rPr>
                <w:color w:val="auto"/>
                <w:sz w:val="22"/>
                <w:highlight w:val="none"/>
              </w:rPr>
              <w:t>考察投标人提供的售后服务方案，内容需包含：</w:t>
            </w:r>
          </w:p>
          <w:p>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left"/>
              <w:rPr>
                <w:color w:val="auto"/>
                <w:sz w:val="22"/>
                <w:highlight w:val="none"/>
              </w:rPr>
            </w:pPr>
            <w:r>
              <w:rPr>
                <w:color w:val="auto"/>
                <w:sz w:val="22"/>
                <w:highlight w:val="none"/>
              </w:rPr>
              <w:t>①售后服务团队成员情况（包括资质、售后服务团队所在地）；</w:t>
            </w:r>
          </w:p>
          <w:p>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left"/>
              <w:rPr>
                <w:color w:val="auto"/>
                <w:sz w:val="22"/>
                <w:highlight w:val="none"/>
              </w:rPr>
            </w:pPr>
            <w:r>
              <w:rPr>
                <w:color w:val="auto"/>
                <w:sz w:val="22"/>
                <w:highlight w:val="none"/>
              </w:rPr>
              <w:t>②响应时间；</w:t>
            </w:r>
          </w:p>
          <w:p>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left"/>
              <w:rPr>
                <w:color w:val="auto"/>
                <w:sz w:val="22"/>
                <w:highlight w:val="none"/>
              </w:rPr>
            </w:pPr>
            <w:r>
              <w:rPr>
                <w:color w:val="auto"/>
                <w:sz w:val="22"/>
                <w:highlight w:val="none"/>
              </w:rPr>
              <w:t>③服务方案。</w:t>
            </w:r>
          </w:p>
          <w:p>
            <w:pPr>
              <w:keepLines/>
              <w:widowControl/>
              <w:wordWrap w:val="0"/>
              <w:spacing w:line="360" w:lineRule="exact"/>
              <w:jc w:val="left"/>
              <w:textAlignment w:val="top"/>
              <w:rPr>
                <w:b/>
                <w:bCs/>
                <w:color w:val="auto"/>
                <w:sz w:val="22"/>
                <w:highlight w:val="none"/>
              </w:rPr>
            </w:pPr>
            <w:r>
              <w:rPr>
                <w:b/>
                <w:bCs/>
                <w:color w:val="auto"/>
                <w:sz w:val="22"/>
                <w:highlight w:val="none"/>
              </w:rPr>
              <w:t>评分依据：</w:t>
            </w:r>
          </w:p>
          <w:p>
            <w:pPr>
              <w:tabs>
                <w:tab w:val="left" w:pos="426"/>
              </w:tabs>
              <w:spacing w:line="360" w:lineRule="exact"/>
              <w:rPr>
                <w:color w:val="auto"/>
                <w:sz w:val="22"/>
                <w:highlight w:val="none"/>
                <w:lang w:bidi="ar"/>
              </w:rPr>
            </w:pPr>
            <w:r>
              <w:rPr>
                <w:color w:val="auto"/>
                <w:sz w:val="22"/>
                <w:highlight w:val="none"/>
                <w:lang w:bidi="ar"/>
              </w:rPr>
              <w:t>以上内容每提供一项得</w:t>
            </w:r>
            <w:r>
              <w:rPr>
                <w:rFonts w:hint="eastAsia"/>
                <w:color w:val="auto"/>
                <w:sz w:val="22"/>
                <w:highlight w:val="none"/>
                <w:lang w:val="en-US" w:eastAsia="zh-CN" w:bidi="ar"/>
              </w:rPr>
              <w:t>2</w:t>
            </w:r>
            <w:r>
              <w:rPr>
                <w:color w:val="auto"/>
                <w:sz w:val="22"/>
                <w:highlight w:val="none"/>
                <w:lang w:bidi="ar"/>
              </w:rPr>
              <w:t>分，最高得</w:t>
            </w:r>
            <w:r>
              <w:rPr>
                <w:rFonts w:hint="eastAsia"/>
                <w:color w:val="auto"/>
                <w:sz w:val="22"/>
                <w:highlight w:val="none"/>
                <w:lang w:val="en-US" w:eastAsia="zh-CN" w:bidi="ar"/>
              </w:rPr>
              <w:t>6</w:t>
            </w:r>
            <w:r>
              <w:rPr>
                <w:color w:val="auto"/>
                <w:sz w:val="22"/>
                <w:highlight w:val="none"/>
                <w:lang w:bidi="ar"/>
              </w:rPr>
              <w:t>分，其它情况不得分。</w:t>
            </w:r>
          </w:p>
          <w:p>
            <w:pPr>
              <w:tabs>
                <w:tab w:val="left" w:pos="426"/>
              </w:tabs>
              <w:spacing w:line="360" w:lineRule="exact"/>
              <w:rPr>
                <w:color w:val="auto"/>
                <w:sz w:val="22"/>
                <w:highlight w:val="none"/>
              </w:rPr>
            </w:pPr>
            <w:r>
              <w:rPr>
                <w:color w:val="auto"/>
                <w:sz w:val="22"/>
                <w:highlight w:val="none"/>
                <w:lang w:bidi="ar"/>
              </w:rPr>
              <w:t>在此基础上，根据各供应商的具体响应内容按照量化的评审因素指标进一步评审：</w:t>
            </w:r>
          </w:p>
          <w:p>
            <w:pPr>
              <w:tabs>
                <w:tab w:val="left" w:pos="426"/>
              </w:tabs>
              <w:spacing w:line="360" w:lineRule="exact"/>
              <w:rPr>
                <w:color w:val="auto"/>
                <w:sz w:val="22"/>
                <w:highlight w:val="none"/>
              </w:rPr>
            </w:pPr>
            <w:r>
              <w:rPr>
                <w:color w:val="auto"/>
                <w:sz w:val="22"/>
                <w:highlight w:val="none"/>
                <w:lang w:bidi="ar"/>
              </w:rPr>
              <w:t>优评分标准：方案符合实际、完整、规范、思路清晰，内容合理性强，加</w:t>
            </w:r>
            <w:r>
              <w:rPr>
                <w:rFonts w:hint="eastAsia"/>
                <w:color w:val="auto"/>
                <w:sz w:val="22"/>
                <w:highlight w:val="none"/>
                <w:lang w:val="en-US" w:eastAsia="zh-CN" w:bidi="ar"/>
              </w:rPr>
              <w:t>6</w:t>
            </w:r>
            <w:r>
              <w:rPr>
                <w:color w:val="auto"/>
                <w:sz w:val="22"/>
                <w:highlight w:val="none"/>
                <w:lang w:bidi="ar"/>
              </w:rPr>
              <w:t xml:space="preserve">分。 </w:t>
            </w:r>
          </w:p>
          <w:p>
            <w:pPr>
              <w:tabs>
                <w:tab w:val="left" w:pos="426"/>
              </w:tabs>
              <w:spacing w:line="360" w:lineRule="exact"/>
              <w:rPr>
                <w:color w:val="auto"/>
                <w:sz w:val="22"/>
                <w:highlight w:val="none"/>
              </w:rPr>
            </w:pPr>
            <w:r>
              <w:rPr>
                <w:color w:val="auto"/>
                <w:sz w:val="22"/>
                <w:highlight w:val="none"/>
                <w:lang w:bidi="ar"/>
              </w:rPr>
              <w:t>良评分标准：方案较符合实际、较完整规范、思路较清晰，内容合理性较强，加</w:t>
            </w:r>
            <w:r>
              <w:rPr>
                <w:rFonts w:hint="eastAsia"/>
                <w:color w:val="auto"/>
                <w:sz w:val="22"/>
                <w:highlight w:val="none"/>
                <w:lang w:val="en-US" w:eastAsia="zh-CN" w:bidi="ar"/>
              </w:rPr>
              <w:t>4</w:t>
            </w:r>
            <w:r>
              <w:rPr>
                <w:color w:val="auto"/>
                <w:sz w:val="22"/>
                <w:highlight w:val="none"/>
                <w:lang w:bidi="ar"/>
              </w:rPr>
              <w:t xml:space="preserve">分。 </w:t>
            </w:r>
          </w:p>
          <w:p>
            <w:pPr>
              <w:tabs>
                <w:tab w:val="left" w:pos="426"/>
              </w:tabs>
              <w:spacing w:line="360" w:lineRule="exact"/>
              <w:rPr>
                <w:color w:val="auto"/>
                <w:sz w:val="22"/>
                <w:highlight w:val="none"/>
              </w:rPr>
            </w:pPr>
            <w:r>
              <w:rPr>
                <w:color w:val="auto"/>
                <w:sz w:val="22"/>
                <w:highlight w:val="none"/>
                <w:lang w:bidi="ar"/>
              </w:rPr>
              <w:t>中评分标准：方案较普通、完整性、规范性一般，思路不够清晰，内容合理性一般，加</w:t>
            </w:r>
            <w:r>
              <w:rPr>
                <w:rFonts w:hint="eastAsia"/>
                <w:color w:val="auto"/>
                <w:sz w:val="22"/>
                <w:highlight w:val="none"/>
                <w:lang w:val="en-US" w:eastAsia="zh-CN" w:bidi="ar"/>
              </w:rPr>
              <w:t>2</w:t>
            </w:r>
            <w:r>
              <w:rPr>
                <w:color w:val="auto"/>
                <w:sz w:val="22"/>
                <w:highlight w:val="none"/>
                <w:lang w:bidi="ar"/>
              </w:rPr>
              <w:t xml:space="preserve">分。 </w:t>
            </w:r>
          </w:p>
          <w:p>
            <w:pPr>
              <w:spacing w:line="360" w:lineRule="exact"/>
              <w:rPr>
                <w:color w:val="auto"/>
                <w:sz w:val="22"/>
                <w:highlight w:val="none"/>
                <w:lang w:bidi="ar"/>
              </w:rPr>
            </w:pPr>
            <w:r>
              <w:rPr>
                <w:color w:val="auto"/>
                <w:sz w:val="22"/>
                <w:highlight w:val="none"/>
                <w:lang w:bidi="ar"/>
              </w:rPr>
              <w:t>差评分标准：方案不完整、不规范，思路不清晰，内容合理性较差或未提供，评价为差不加分。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22"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b/>
                <w:bCs/>
                <w:color w:val="auto"/>
                <w:sz w:val="22"/>
                <w:highlight w:val="none"/>
              </w:rPr>
            </w:pPr>
            <w:r>
              <w:rPr>
                <w:b/>
                <w:bCs/>
                <w:color w:val="auto"/>
                <w:sz w:val="22"/>
                <w:highlight w:val="none"/>
              </w:rPr>
              <w:t>商务部分</w:t>
            </w:r>
          </w:p>
        </w:tc>
        <w:tc>
          <w:tcPr>
            <w:tcW w:w="509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eastAsia="宋体"/>
                <w:b/>
                <w:bCs/>
                <w:color w:val="auto"/>
                <w:sz w:val="22"/>
                <w:highlight w:val="none"/>
                <w:lang w:val="en-US" w:eastAsia="zh-CN"/>
              </w:rPr>
            </w:pPr>
            <w:r>
              <w:rPr>
                <w:rFonts w:hint="eastAsia"/>
                <w:b/>
                <w:bCs/>
                <w:color w:val="auto"/>
                <w:sz w:val="22"/>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7" w:type="dxa"/>
            <w:tcBorders>
              <w:top w:val="single" w:color="auto" w:sz="4" w:space="0"/>
              <w:left w:val="single" w:color="auto" w:sz="4" w:space="0"/>
              <w:bottom w:val="single" w:color="auto" w:sz="4" w:space="0"/>
              <w:right w:val="single" w:color="auto" w:sz="4" w:space="0"/>
            </w:tcBorders>
            <w:shd w:val="clear" w:color="auto" w:fill="C7DAF1"/>
            <w:vAlign w:val="center"/>
          </w:tcPr>
          <w:p>
            <w:pPr>
              <w:spacing w:line="360" w:lineRule="exact"/>
              <w:jc w:val="center"/>
              <w:rPr>
                <w:color w:val="auto"/>
                <w:sz w:val="22"/>
                <w:highlight w:val="none"/>
              </w:rPr>
            </w:pPr>
            <w:r>
              <w:rPr>
                <w:color w:val="auto"/>
                <w:sz w:val="22"/>
                <w:highlight w:val="none"/>
              </w:rPr>
              <w:t>序号</w:t>
            </w:r>
          </w:p>
        </w:tc>
        <w:tc>
          <w:tcPr>
            <w:tcW w:w="1935" w:type="dxa"/>
            <w:tcBorders>
              <w:top w:val="single" w:color="auto" w:sz="4" w:space="0"/>
              <w:left w:val="single" w:color="auto" w:sz="4" w:space="0"/>
              <w:bottom w:val="single" w:color="auto" w:sz="4" w:space="0"/>
              <w:right w:val="single" w:color="auto" w:sz="4" w:space="0"/>
            </w:tcBorders>
            <w:shd w:val="clear" w:color="auto" w:fill="C7DAF1"/>
            <w:vAlign w:val="center"/>
          </w:tcPr>
          <w:p>
            <w:pPr>
              <w:spacing w:line="360" w:lineRule="exact"/>
              <w:jc w:val="center"/>
              <w:rPr>
                <w:color w:val="auto"/>
                <w:sz w:val="22"/>
                <w:highlight w:val="none"/>
              </w:rPr>
            </w:pPr>
            <w:r>
              <w:rPr>
                <w:color w:val="auto"/>
                <w:sz w:val="22"/>
                <w:highlight w:val="none"/>
              </w:rPr>
              <w:t>评分因素</w:t>
            </w:r>
          </w:p>
        </w:tc>
        <w:tc>
          <w:tcPr>
            <w:tcW w:w="930" w:type="dxa"/>
            <w:tcBorders>
              <w:top w:val="single" w:color="auto" w:sz="4" w:space="0"/>
              <w:left w:val="single" w:color="auto" w:sz="4" w:space="0"/>
              <w:bottom w:val="single" w:color="auto" w:sz="4" w:space="0"/>
              <w:right w:val="single" w:color="auto" w:sz="4" w:space="0"/>
            </w:tcBorders>
            <w:shd w:val="clear" w:color="auto" w:fill="C7DAF1"/>
            <w:vAlign w:val="center"/>
          </w:tcPr>
          <w:p>
            <w:pPr>
              <w:spacing w:line="360" w:lineRule="exact"/>
              <w:jc w:val="center"/>
              <w:rPr>
                <w:color w:val="auto"/>
                <w:sz w:val="22"/>
                <w:highlight w:val="none"/>
              </w:rPr>
            </w:pPr>
            <w:r>
              <w:rPr>
                <w:color w:val="auto"/>
                <w:sz w:val="22"/>
                <w:highlight w:val="none"/>
              </w:rPr>
              <w:t>分值</w:t>
            </w:r>
          </w:p>
        </w:tc>
        <w:tc>
          <w:tcPr>
            <w:tcW w:w="5097" w:type="dxa"/>
            <w:tcBorders>
              <w:top w:val="single" w:color="auto" w:sz="4" w:space="0"/>
              <w:left w:val="single" w:color="auto" w:sz="4" w:space="0"/>
              <w:bottom w:val="single" w:color="auto" w:sz="4" w:space="0"/>
              <w:right w:val="single" w:color="auto" w:sz="4" w:space="0"/>
            </w:tcBorders>
            <w:shd w:val="clear" w:color="auto" w:fill="C7DAF1"/>
            <w:vAlign w:val="center"/>
          </w:tcPr>
          <w:p>
            <w:pPr>
              <w:spacing w:line="360" w:lineRule="exact"/>
              <w:jc w:val="center"/>
              <w:rPr>
                <w:color w:val="auto"/>
                <w:sz w:val="22"/>
                <w:highlight w:val="none"/>
              </w:rPr>
            </w:pPr>
            <w:r>
              <w:rPr>
                <w:color w:val="auto"/>
                <w:sz w:val="22"/>
                <w:highlight w:val="none"/>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auto"/>
                <w:sz w:val="22"/>
                <w:highlight w:val="none"/>
              </w:rPr>
            </w:pPr>
            <w:r>
              <w:rPr>
                <w:color w:val="auto"/>
                <w:sz w:val="22"/>
                <w:highlight w:val="none"/>
              </w:rPr>
              <w:t>1</w:t>
            </w:r>
          </w:p>
        </w:tc>
        <w:tc>
          <w:tcPr>
            <w:tcW w:w="193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auto"/>
                <w:sz w:val="22"/>
                <w:highlight w:val="none"/>
              </w:rPr>
            </w:pPr>
            <w:r>
              <w:rPr>
                <w:color w:val="auto"/>
                <w:sz w:val="22"/>
                <w:highlight w:val="none"/>
              </w:rPr>
              <w:t>同类业绩</w:t>
            </w: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auto"/>
                <w:sz w:val="22"/>
                <w:highlight w:val="none"/>
              </w:rPr>
            </w:pPr>
            <w:r>
              <w:rPr>
                <w:color w:val="auto"/>
                <w:sz w:val="22"/>
                <w:highlight w:val="none"/>
              </w:rPr>
              <w:t>5</w:t>
            </w:r>
          </w:p>
        </w:tc>
        <w:tc>
          <w:tcPr>
            <w:tcW w:w="5097" w:type="dxa"/>
            <w:tcBorders>
              <w:top w:val="single" w:color="auto" w:sz="4" w:space="0"/>
              <w:left w:val="single" w:color="auto" w:sz="4" w:space="0"/>
              <w:bottom w:val="single" w:color="auto" w:sz="4" w:space="0"/>
              <w:right w:val="single" w:color="auto" w:sz="4" w:space="0"/>
            </w:tcBorders>
          </w:tcPr>
          <w:p>
            <w:pPr>
              <w:spacing w:line="360" w:lineRule="exact"/>
              <w:rPr>
                <w:b/>
                <w:bCs/>
                <w:color w:val="auto"/>
                <w:sz w:val="22"/>
                <w:highlight w:val="none"/>
              </w:rPr>
            </w:pPr>
            <w:r>
              <w:rPr>
                <w:b/>
                <w:bCs/>
                <w:color w:val="auto"/>
                <w:sz w:val="22"/>
                <w:highlight w:val="none"/>
              </w:rPr>
              <w:t>评分内容：</w:t>
            </w:r>
          </w:p>
          <w:p>
            <w:pPr>
              <w:wordWrap w:val="0"/>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投标人提供自2023年</w:t>
            </w:r>
            <w:r>
              <w:rPr>
                <w:rFonts w:hint="eastAsia" w:ascii="宋体" w:hAnsi="宋体" w:cs="宋体"/>
                <w:color w:val="auto"/>
                <w:sz w:val="22"/>
                <w:highlight w:val="none"/>
                <w:lang w:val="en-US" w:eastAsia="zh-CN"/>
              </w:rPr>
              <w:t>6</w:t>
            </w:r>
            <w:r>
              <w:rPr>
                <w:rFonts w:hint="eastAsia" w:ascii="宋体" w:hAnsi="宋体" w:eastAsia="宋体" w:cs="宋体"/>
                <w:color w:val="auto"/>
                <w:sz w:val="22"/>
                <w:highlight w:val="none"/>
              </w:rPr>
              <w:t>月1日至本项目截标之日（以合同签订日期为准），</w:t>
            </w:r>
            <w:r>
              <w:rPr>
                <w:rFonts w:hint="eastAsia" w:ascii="宋体" w:hAnsi="宋体" w:eastAsia="宋体" w:cs="宋体"/>
                <w:color w:val="auto"/>
                <w:sz w:val="22"/>
                <w:highlight w:val="none"/>
                <w:lang w:val="en-US" w:eastAsia="zh-CN"/>
              </w:rPr>
              <w:t>需包含</w:t>
            </w:r>
            <w:r>
              <w:rPr>
                <w:rFonts w:hint="eastAsia" w:ascii="宋体" w:hAnsi="宋体" w:eastAsia="宋体" w:cs="宋体"/>
                <w:color w:val="auto"/>
                <w:sz w:val="22"/>
                <w:highlight w:val="none"/>
              </w:rPr>
              <w:t>所投产品（核心产品）的销售业绩，每提供1份得1分，最高得5分。</w:t>
            </w:r>
          </w:p>
          <w:p>
            <w:pPr>
              <w:keepLines/>
              <w:widowControl/>
              <w:wordWrap w:val="0"/>
              <w:spacing w:line="360" w:lineRule="exact"/>
              <w:jc w:val="left"/>
              <w:textAlignment w:val="top"/>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评分依据：</w:t>
            </w:r>
          </w:p>
          <w:p>
            <w:pPr>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1.提供所投产品（需</w:t>
            </w:r>
            <w:r>
              <w:rPr>
                <w:rFonts w:hint="eastAsia" w:ascii="宋体" w:hAnsi="宋体" w:eastAsia="宋体" w:cs="宋体"/>
                <w:color w:val="auto"/>
                <w:sz w:val="22"/>
                <w:highlight w:val="none"/>
                <w:lang w:val="en-US" w:eastAsia="zh-CN"/>
              </w:rPr>
              <w:t>包含</w:t>
            </w:r>
            <w:r>
              <w:rPr>
                <w:rFonts w:hint="eastAsia" w:ascii="宋体" w:hAnsi="宋体" w:eastAsia="宋体" w:cs="宋体"/>
                <w:color w:val="auto"/>
                <w:sz w:val="22"/>
                <w:highlight w:val="none"/>
              </w:rPr>
              <w:t>与投标产品（核心产品）同品牌规格型号）的销售合同关键页（包括但不限于合同双方的单位名称、合同项目名称、项目内容、合同双方的签字盖章页、签订日期等）或发票复印件（需体现品牌规格型号，否则不得分）；</w:t>
            </w:r>
          </w:p>
          <w:p>
            <w:pPr>
              <w:pStyle w:val="7"/>
              <w:spacing w:line="360" w:lineRule="exact"/>
              <w:rPr>
                <w:color w:val="auto"/>
                <w:sz w:val="22"/>
                <w:szCs w:val="22"/>
                <w:highlight w:val="none"/>
              </w:rPr>
            </w:pPr>
            <w:r>
              <w:rPr>
                <w:rFonts w:hint="eastAsia" w:ascii="宋体" w:hAnsi="宋体" w:eastAsia="宋体" w:cs="宋体"/>
                <w:color w:val="auto"/>
                <w:sz w:val="22"/>
                <w:szCs w:val="22"/>
                <w:highlight w:val="none"/>
              </w:rPr>
              <w:t>2.未按要求提供或提供不清晰导致专家无法判断的不得分。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eastAsia="宋体"/>
                <w:color w:val="auto"/>
                <w:sz w:val="22"/>
                <w:highlight w:val="none"/>
                <w:lang w:eastAsia="zh-CN"/>
              </w:rPr>
            </w:pPr>
            <w:r>
              <w:rPr>
                <w:rFonts w:hint="eastAsia"/>
                <w:color w:val="auto"/>
                <w:sz w:val="22"/>
                <w:highlight w:val="none"/>
                <w:lang w:val="en-US" w:eastAsia="zh-CN"/>
              </w:rPr>
              <w:t>2</w:t>
            </w:r>
          </w:p>
        </w:tc>
        <w:tc>
          <w:tcPr>
            <w:tcW w:w="193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auto"/>
                <w:sz w:val="22"/>
                <w:highlight w:val="none"/>
              </w:rPr>
            </w:pPr>
            <w:r>
              <w:rPr>
                <w:color w:val="auto"/>
                <w:sz w:val="22"/>
                <w:highlight w:val="none"/>
              </w:rPr>
              <w:t>诚信</w:t>
            </w: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eastAsia="宋体"/>
                <w:color w:val="auto"/>
                <w:sz w:val="22"/>
                <w:highlight w:val="none"/>
                <w:lang w:eastAsia="zh-CN"/>
              </w:rPr>
            </w:pPr>
            <w:r>
              <w:rPr>
                <w:rFonts w:hint="eastAsia"/>
                <w:color w:val="auto"/>
                <w:sz w:val="22"/>
                <w:highlight w:val="none"/>
                <w:lang w:val="en-US" w:eastAsia="zh-CN"/>
              </w:rPr>
              <w:t>5</w:t>
            </w:r>
          </w:p>
        </w:tc>
        <w:tc>
          <w:tcPr>
            <w:tcW w:w="5097" w:type="dxa"/>
            <w:tcBorders>
              <w:top w:val="single" w:color="auto" w:sz="4" w:space="0"/>
              <w:left w:val="single" w:color="auto" w:sz="4" w:space="0"/>
              <w:bottom w:val="single" w:color="auto" w:sz="4" w:space="0"/>
              <w:right w:val="single" w:color="auto" w:sz="4" w:space="0"/>
            </w:tcBorders>
          </w:tcPr>
          <w:p>
            <w:pPr>
              <w:pStyle w:val="7"/>
              <w:spacing w:line="360" w:lineRule="exact"/>
              <w:rPr>
                <w:color w:val="auto"/>
                <w:sz w:val="22"/>
                <w:szCs w:val="22"/>
                <w:highlight w:val="none"/>
              </w:rPr>
            </w:pPr>
            <w:r>
              <w:rPr>
                <w:color w:val="auto"/>
                <w:sz w:val="22"/>
                <w:szCs w:val="22"/>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w:t>
            </w:r>
            <w:r>
              <w:rPr>
                <w:rFonts w:hint="eastAsia"/>
                <w:color w:val="auto"/>
                <w:sz w:val="22"/>
                <w:szCs w:val="22"/>
                <w:highlight w:val="none"/>
                <w:lang w:val="en-US" w:eastAsia="zh-CN"/>
              </w:rPr>
              <w:t>5</w:t>
            </w:r>
            <w:r>
              <w:rPr>
                <w:color w:val="auto"/>
                <w:sz w:val="22"/>
                <w:szCs w:val="22"/>
                <w:highlight w:val="none"/>
              </w:rPr>
              <w:t>分。（采购代理机构通过“信用中国”、“中国政府采购网”、“深圳市政府采购监管网”以及市、区财政部门认定的其他渠道查询供应商信用信息，投标人无需提供证明材料。）</w:t>
            </w:r>
          </w:p>
        </w:tc>
      </w:tr>
    </w:tbl>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Cs/>
          <w:color w:val="auto"/>
          <w:kern w:val="0"/>
          <w:sz w:val="28"/>
          <w:szCs w:val="28"/>
          <w:highlight w:val="none"/>
        </w:rPr>
      </w:pPr>
      <w:r>
        <w:rPr>
          <w:rFonts w:hint="eastAsia" w:ascii="仿宋_GB2312" w:hAnsi="仿宋_GB2312" w:eastAsia="仿宋_GB2312" w:cs="仿宋_GB2312"/>
          <w:bCs/>
          <w:color w:val="auto"/>
          <w:kern w:val="0"/>
          <w:sz w:val="28"/>
          <w:szCs w:val="28"/>
          <w:highlight w:val="none"/>
        </w:rPr>
        <w:t>备注：1.价格、技术、商务部分累加分为100分。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Cs/>
          <w:color w:val="auto"/>
          <w:kern w:val="0"/>
          <w:sz w:val="28"/>
          <w:szCs w:val="28"/>
          <w:highlight w:val="none"/>
          <w:lang w:val="en-US" w:eastAsia="zh-CN"/>
        </w:rPr>
      </w:pPr>
      <w:r>
        <w:rPr>
          <w:rFonts w:hint="eastAsia" w:ascii="仿宋_GB2312" w:hAnsi="仿宋_GB2312" w:eastAsia="仿宋_GB2312" w:cs="仿宋_GB2312"/>
          <w:bCs/>
          <w:color w:val="auto"/>
          <w:kern w:val="0"/>
          <w:sz w:val="28"/>
          <w:szCs w:val="28"/>
          <w:highlight w:val="none"/>
        </w:rPr>
        <w:t>2.各投标人得分精确到小数点后两位。</w:t>
      </w:r>
    </w:p>
    <w:p>
      <w:pPr>
        <w:pStyle w:val="25"/>
        <w:keepLines w:val="0"/>
        <w:pageBreakBefore w:val="0"/>
        <w:kinsoku/>
        <w:wordWrap/>
        <w:overflowPunct/>
        <w:topLinePunct w:val="0"/>
        <w:bidi w:val="0"/>
        <w:spacing w:line="560" w:lineRule="exact"/>
        <w:ind w:firstLine="560" w:firstLineChars="200"/>
        <w:rPr>
          <w:rFonts w:hint="eastAsia" w:ascii="黑体" w:hAnsi="黑体" w:eastAsia="黑体" w:cs="黑体"/>
          <w:b w:val="0"/>
          <w:bCs w:val="0"/>
          <w:color w:val="auto"/>
          <w:kern w:val="0"/>
          <w:sz w:val="28"/>
          <w:szCs w:val="28"/>
          <w:highlight w:val="none"/>
          <w:lang w:val="en-US" w:eastAsia="zh-CN" w:bidi="ar-SA"/>
        </w:rPr>
      </w:pPr>
      <w:r>
        <w:rPr>
          <w:rFonts w:hint="eastAsia" w:ascii="黑体" w:hAnsi="黑体" w:eastAsia="黑体" w:cs="黑体"/>
          <w:b w:val="0"/>
          <w:bCs w:val="0"/>
          <w:color w:val="auto"/>
          <w:kern w:val="0"/>
          <w:sz w:val="28"/>
          <w:szCs w:val="28"/>
          <w:highlight w:val="none"/>
          <w:lang w:val="en-US" w:eastAsia="zh-CN" w:bidi="ar-SA"/>
        </w:rPr>
        <w:t>三、政策导向</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Cs/>
          <w:color w:val="auto"/>
          <w:kern w:val="0"/>
          <w:sz w:val="28"/>
          <w:szCs w:val="28"/>
          <w:highlight w:val="none"/>
        </w:rPr>
      </w:pPr>
      <w:r>
        <w:rPr>
          <w:rFonts w:hint="eastAsia" w:ascii="仿宋_GB2312" w:hAnsi="仿宋_GB2312" w:eastAsia="仿宋_GB2312" w:cs="仿宋_GB2312"/>
          <w:bCs/>
          <w:color w:val="auto"/>
          <w:kern w:val="0"/>
          <w:sz w:val="28"/>
          <w:szCs w:val="28"/>
          <w:highlight w:val="none"/>
        </w:rPr>
        <w:t>（1）投标人提供的服务</w:t>
      </w:r>
      <w:r>
        <w:rPr>
          <w:rFonts w:hint="eastAsia" w:ascii="仿宋_GB2312" w:hAnsi="仿宋_GB2312" w:eastAsia="仿宋_GB2312" w:cs="仿宋_GB2312"/>
          <w:bCs/>
          <w:color w:val="auto"/>
          <w:kern w:val="0"/>
          <w:sz w:val="28"/>
          <w:szCs w:val="28"/>
          <w:highlight w:val="none"/>
          <w:lang w:eastAsia="zh-CN"/>
        </w:rPr>
        <w:t>全部</w:t>
      </w:r>
      <w:r>
        <w:rPr>
          <w:rFonts w:hint="eastAsia" w:ascii="仿宋_GB2312" w:hAnsi="仿宋_GB2312" w:eastAsia="仿宋_GB2312" w:cs="仿宋_GB2312"/>
          <w:bCs/>
          <w:color w:val="auto"/>
          <w:kern w:val="0"/>
          <w:sz w:val="28"/>
          <w:szCs w:val="28"/>
          <w:highlight w:val="none"/>
        </w:rPr>
        <w:t>由优惠主体承接，则对其投标总价给予</w:t>
      </w:r>
      <w:r>
        <w:rPr>
          <w:rFonts w:hint="eastAsia" w:ascii="仿宋_GB2312" w:hAnsi="仿宋_GB2312" w:eastAsia="仿宋_GB2312" w:cs="仿宋_GB2312"/>
          <w:b/>
          <w:bCs w:val="0"/>
          <w:color w:val="auto"/>
          <w:kern w:val="0"/>
          <w:sz w:val="28"/>
          <w:szCs w:val="28"/>
          <w:highlight w:val="none"/>
          <w:u w:val="single"/>
        </w:rPr>
        <w:t>10%</w:t>
      </w:r>
      <w:r>
        <w:rPr>
          <w:rFonts w:hint="eastAsia" w:ascii="仿宋_GB2312" w:hAnsi="仿宋_GB2312" w:eastAsia="仿宋_GB2312" w:cs="仿宋_GB2312"/>
          <w:bCs/>
          <w:color w:val="auto"/>
          <w:kern w:val="0"/>
          <w:sz w:val="28"/>
          <w:szCs w:val="28"/>
          <w:highlight w:val="none"/>
        </w:rPr>
        <w:t>的扣除，用扣除后的价格参与评审。满足多项优惠政策的企业，不重复享受多项价格扣除政策。</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Cs/>
          <w:color w:val="auto"/>
          <w:kern w:val="0"/>
          <w:sz w:val="28"/>
          <w:szCs w:val="28"/>
          <w:highlight w:val="none"/>
        </w:rPr>
      </w:pPr>
      <w:r>
        <w:rPr>
          <w:rFonts w:hint="eastAsia" w:ascii="仿宋_GB2312" w:hAnsi="仿宋_GB2312" w:eastAsia="仿宋_GB2312" w:cs="仿宋_GB2312"/>
          <w:bCs/>
          <w:color w:val="auto"/>
          <w:kern w:val="0"/>
          <w:sz w:val="28"/>
          <w:szCs w:val="28"/>
          <w:highlight w:val="none"/>
        </w:rPr>
        <w:t>备注：（a）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w:t>
      </w:r>
      <w:r>
        <w:rPr>
          <w:rFonts w:hint="eastAsia" w:ascii="仿宋_GB2312" w:hAnsi="仿宋_GB2312" w:eastAsia="仿宋_GB2312" w:cs="仿宋_GB2312"/>
          <w:bCs/>
          <w:color w:val="auto"/>
          <w:kern w:val="0"/>
          <w:sz w:val="28"/>
          <w:szCs w:val="28"/>
          <w:highlight w:val="none"/>
          <w:lang w:eastAsia="zh-CN"/>
        </w:rPr>
        <w:t>（</w:t>
      </w:r>
      <w:r>
        <w:rPr>
          <w:rFonts w:hint="eastAsia" w:ascii="仿宋_GB2312" w:hAnsi="仿宋_GB2312" w:eastAsia="仿宋_GB2312" w:cs="仿宋_GB2312"/>
          <w:bCs/>
          <w:color w:val="auto"/>
          <w:kern w:val="0"/>
          <w:sz w:val="28"/>
          <w:szCs w:val="28"/>
          <w:highlight w:val="none"/>
        </w:rPr>
        <w:t>b</w:t>
      </w:r>
      <w:r>
        <w:rPr>
          <w:rFonts w:hint="eastAsia" w:ascii="仿宋_GB2312" w:hAnsi="仿宋_GB2312" w:eastAsia="仿宋_GB2312" w:cs="仿宋_GB2312"/>
          <w:bCs/>
          <w:color w:val="auto"/>
          <w:kern w:val="0"/>
          <w:sz w:val="28"/>
          <w:szCs w:val="28"/>
          <w:highlight w:val="none"/>
          <w:lang w:eastAsia="zh-CN"/>
        </w:rPr>
        <w:t>）</w:t>
      </w:r>
      <w:r>
        <w:rPr>
          <w:rFonts w:hint="eastAsia" w:ascii="仿宋_GB2312" w:hAnsi="仿宋_GB2312" w:eastAsia="仿宋_GB2312" w:cs="仿宋_GB2312"/>
          <w:bCs/>
          <w:color w:val="auto"/>
          <w:kern w:val="0"/>
          <w:sz w:val="28"/>
          <w:szCs w:val="28"/>
          <w:highlight w:val="none"/>
        </w:rPr>
        <w:t>优惠主体承接是指提供服务的人员为中小企业依照《中华人民共和国劳动合同法》订立劳动合同的从业人员。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Cs/>
          <w:color w:val="auto"/>
          <w:kern w:val="0"/>
          <w:sz w:val="28"/>
          <w:szCs w:val="28"/>
          <w:highlight w:val="none"/>
        </w:rPr>
      </w:pPr>
      <w:r>
        <w:rPr>
          <w:rFonts w:hint="eastAsia" w:ascii="仿宋_GB2312" w:hAnsi="仿宋_GB2312" w:eastAsia="仿宋_GB2312" w:cs="仿宋_GB2312"/>
          <w:bCs/>
          <w:color w:val="auto"/>
          <w:kern w:val="0"/>
          <w:sz w:val="28"/>
          <w:szCs w:val="28"/>
          <w:highlight w:val="none"/>
        </w:rPr>
        <w:t>（2）根据《工业和信息化部、国家统计局、国家发展和改革委员会、财政部关于印发中小企业划型标准规定的通知》（工信部联企业〔2011〕300号），本项目采购标的（项目需求）对应的中小企业划分标准所属行业为</w:t>
      </w:r>
      <w:r>
        <w:rPr>
          <w:rFonts w:hint="eastAsia" w:ascii="仿宋_GB2312" w:hAnsi="仿宋_GB2312" w:eastAsia="仿宋_GB2312" w:cs="仿宋_GB2312"/>
          <w:b/>
          <w:bCs w:val="0"/>
          <w:color w:val="auto"/>
          <w:kern w:val="0"/>
          <w:sz w:val="28"/>
          <w:szCs w:val="28"/>
          <w:highlight w:val="none"/>
          <w:u w:val="single"/>
          <w:lang w:val="en-US" w:eastAsia="zh-CN"/>
        </w:rPr>
        <w:t>工业</w:t>
      </w:r>
      <w:r>
        <w:rPr>
          <w:rFonts w:hint="eastAsia" w:ascii="仿宋_GB2312" w:hAnsi="仿宋_GB2312" w:eastAsia="仿宋_GB2312" w:cs="仿宋_GB2312"/>
          <w:bCs/>
          <w:color w:val="auto"/>
          <w:kern w:val="0"/>
          <w:sz w:val="28"/>
          <w:szCs w:val="28"/>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Cs/>
          <w:color w:val="auto"/>
          <w:kern w:val="0"/>
          <w:sz w:val="28"/>
          <w:szCs w:val="28"/>
          <w:highlight w:val="none"/>
        </w:rPr>
      </w:pPr>
      <w:r>
        <w:rPr>
          <w:rFonts w:hint="eastAsia" w:ascii="仿宋_GB2312" w:hAnsi="仿宋_GB2312" w:eastAsia="仿宋_GB2312" w:cs="仿宋_GB2312"/>
          <w:bCs/>
          <w:color w:val="auto"/>
          <w:kern w:val="0"/>
          <w:sz w:val="28"/>
          <w:szCs w:val="28"/>
          <w:highlight w:val="none"/>
        </w:rPr>
        <w:t>（3）小型企业、微型企业、残疾人福利性单位作为优惠主体的认定资料为《中小企业声明函</w:t>
      </w:r>
      <w:r>
        <w:rPr>
          <w:rFonts w:hint="eastAsia" w:ascii="仿宋_GB2312" w:hAnsi="仿宋_GB2312" w:eastAsia="仿宋_GB2312" w:cs="仿宋_GB2312"/>
          <w:bCs/>
          <w:color w:val="auto"/>
          <w:kern w:val="0"/>
          <w:sz w:val="28"/>
          <w:szCs w:val="28"/>
          <w:highlight w:val="none"/>
          <w:lang w:eastAsia="zh-CN"/>
        </w:rPr>
        <w:t>》《</w:t>
      </w:r>
      <w:r>
        <w:rPr>
          <w:rFonts w:hint="eastAsia" w:ascii="仿宋_GB2312" w:hAnsi="仿宋_GB2312" w:eastAsia="仿宋_GB2312" w:cs="仿宋_GB2312"/>
          <w:bCs/>
          <w:color w:val="auto"/>
          <w:kern w:val="0"/>
          <w:sz w:val="28"/>
          <w:szCs w:val="28"/>
          <w:highlight w:val="none"/>
        </w:rPr>
        <w:t>残疾人福利性单位声明函》；监狱企业作为优惠主体的认定资料为省级以上监狱管理局、戒毒管理局出具的监狱企业证明文件。监狱企业或者代理提供监狱企业货物的供应商如须享受优惠政策，除上述资料外，还须提供省级以上监狱管理局、戒毒管理局出具的监狱企业证明文件。</w:t>
      </w:r>
    </w:p>
    <w:p>
      <w:pPr>
        <w:keepLines w:val="0"/>
        <w:pageBreakBefore w:val="0"/>
        <w:kinsoku/>
        <w:wordWrap/>
        <w:overflowPunct/>
        <w:topLinePunct w:val="0"/>
        <w:bidi w:val="0"/>
        <w:spacing w:line="560" w:lineRule="exact"/>
        <w:ind w:firstLine="560" w:firstLineChars="200"/>
        <w:rPr>
          <w:rFonts w:hint="eastAsia" w:ascii="仿宋_GB2312" w:hAnsi="仿宋_GB2312" w:eastAsia="仿宋_GB2312" w:cs="仿宋_GB2312"/>
          <w:bCs/>
          <w:color w:val="auto"/>
          <w:kern w:val="0"/>
          <w:sz w:val="28"/>
          <w:szCs w:val="28"/>
          <w:highlight w:val="none"/>
        </w:rPr>
      </w:pPr>
      <w:r>
        <w:rPr>
          <w:rFonts w:hint="eastAsia" w:ascii="仿宋_GB2312" w:hAnsi="仿宋_GB2312" w:eastAsia="仿宋_GB2312" w:cs="仿宋_GB2312"/>
          <w:bCs/>
          <w:color w:val="auto"/>
          <w:kern w:val="0"/>
          <w:sz w:val="28"/>
          <w:szCs w:val="28"/>
          <w:highlight w:val="none"/>
        </w:rPr>
        <w:t>（4）享受价格扣除获得政府采购合同的，小微企业不得将合同分包给大中型企业。</w:t>
      </w:r>
    </w:p>
    <w:p>
      <w:pPr>
        <w:keepNext w:val="0"/>
        <w:keepLines w:val="0"/>
        <w:pageBreakBefore w:val="0"/>
        <w:widowControl/>
        <w:numPr>
          <w:ilvl w:val="-1"/>
          <w:numId w:val="0"/>
        </w:numPr>
        <w:kinsoku/>
        <w:wordWrap/>
        <w:overflowPunct/>
        <w:topLinePunct w:val="0"/>
        <w:autoSpaceDE/>
        <w:autoSpaceDN/>
        <w:bidi w:val="0"/>
        <w:adjustRightInd/>
        <w:spacing w:line="240" w:lineRule="auto"/>
        <w:jc w:val="left"/>
        <w:textAlignment w:val="auto"/>
        <w:rPr>
          <w:rFonts w:ascii="仿宋_GB2312" w:hAnsi="仿宋_GB2312" w:eastAsia="仿宋_GB2312" w:cs="仿宋_GB2312"/>
          <w:b/>
          <w:bCs/>
          <w:color w:val="auto"/>
          <w:kern w:val="2"/>
          <w:sz w:val="36"/>
          <w:szCs w:val="36"/>
          <w:highlight w:val="none"/>
          <w:lang w:val="en-US" w:eastAsia="zh-CN" w:bidi="ar-SA"/>
        </w:rPr>
      </w:pPr>
      <w:r>
        <w:rPr>
          <w:rFonts w:ascii="仿宋_GB2312" w:hAnsi="仿宋_GB2312" w:eastAsia="仿宋_GB2312" w:cs="仿宋_GB2312"/>
          <w:b/>
          <w:bCs/>
          <w:color w:val="auto"/>
          <w:kern w:val="2"/>
          <w:sz w:val="36"/>
          <w:szCs w:val="36"/>
          <w:highlight w:val="none"/>
          <w:lang w:val="en-US" w:eastAsia="zh-CN" w:bidi="ar-SA"/>
        </w:rPr>
        <w:br w:type="page"/>
      </w:r>
    </w:p>
    <w:p>
      <w:pPr>
        <w:keepNext w:val="0"/>
        <w:keepLines w:val="0"/>
        <w:pageBreakBefore w:val="0"/>
        <w:widowControl w:val="0"/>
        <w:numPr>
          <w:ilvl w:val="0"/>
          <w:numId w:val="0"/>
        </w:numPr>
        <w:kinsoku/>
        <w:wordWrap/>
        <w:overflowPunct/>
        <w:topLinePunct w:val="0"/>
        <w:autoSpaceDE/>
        <w:autoSpaceDN/>
        <w:bidi w:val="0"/>
        <w:adjustRightInd/>
        <w:spacing w:line="560" w:lineRule="exact"/>
        <w:jc w:val="center"/>
        <w:textAlignment w:val="auto"/>
        <w:rPr>
          <w:rFonts w:ascii="仿宋_GB2312" w:hAnsi="仿宋_GB2312" w:eastAsia="仿宋_GB2312" w:cs="仿宋_GB2312"/>
          <w:b/>
          <w:bCs/>
          <w:color w:val="auto"/>
          <w:sz w:val="36"/>
          <w:szCs w:val="36"/>
          <w:highlight w:val="none"/>
        </w:rPr>
      </w:pPr>
      <w:r>
        <w:rPr>
          <w:rFonts w:ascii="仿宋_GB2312" w:hAnsi="仿宋_GB2312" w:eastAsia="仿宋_GB2312" w:cs="仿宋_GB2312"/>
          <w:b/>
          <w:bCs/>
          <w:color w:val="auto"/>
          <w:kern w:val="2"/>
          <w:sz w:val="36"/>
          <w:szCs w:val="36"/>
          <w:highlight w:val="none"/>
          <w:lang w:val="en-US" w:eastAsia="zh-CN" w:bidi="ar-SA"/>
        </w:rPr>
        <w:t>第</w:t>
      </w:r>
      <w:r>
        <w:rPr>
          <w:rFonts w:hint="eastAsia" w:ascii="仿宋_GB2312" w:hAnsi="仿宋_GB2312" w:eastAsia="仿宋_GB2312" w:cs="仿宋_GB2312"/>
          <w:b/>
          <w:bCs/>
          <w:color w:val="auto"/>
          <w:kern w:val="2"/>
          <w:sz w:val="36"/>
          <w:szCs w:val="36"/>
          <w:highlight w:val="none"/>
          <w:lang w:val="en-US" w:eastAsia="zh-CN" w:bidi="ar-SA"/>
        </w:rPr>
        <w:t>四</w:t>
      </w:r>
      <w:r>
        <w:rPr>
          <w:rFonts w:ascii="仿宋_GB2312" w:hAnsi="仿宋_GB2312" w:eastAsia="仿宋_GB2312" w:cs="仿宋_GB2312"/>
          <w:b/>
          <w:bCs/>
          <w:color w:val="auto"/>
          <w:kern w:val="2"/>
          <w:sz w:val="36"/>
          <w:szCs w:val="36"/>
          <w:highlight w:val="none"/>
          <w:lang w:val="en-US" w:eastAsia="zh-CN" w:bidi="ar-SA"/>
        </w:rPr>
        <w:t>章</w:t>
      </w:r>
      <w:r>
        <w:rPr>
          <w:rFonts w:hint="eastAsia" w:ascii="仿宋_GB2312" w:hAnsi="仿宋_GB2312" w:eastAsia="仿宋_GB2312" w:cs="仿宋_GB2312"/>
          <w:b/>
          <w:bCs/>
          <w:color w:val="auto"/>
          <w:kern w:val="2"/>
          <w:sz w:val="36"/>
          <w:szCs w:val="36"/>
          <w:highlight w:val="none"/>
          <w:lang w:val="en-US" w:eastAsia="zh-CN" w:bidi="ar-SA"/>
        </w:rPr>
        <w:t xml:space="preserve"> </w:t>
      </w:r>
      <w:r>
        <w:rPr>
          <w:rFonts w:hint="eastAsia" w:ascii="仿宋_GB2312" w:hAnsi="仿宋_GB2312" w:eastAsia="仿宋_GB2312" w:cs="仿宋_GB2312"/>
          <w:b/>
          <w:bCs/>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snapToGrid w:val="0"/>
        <w:spacing w:line="540" w:lineRule="exact"/>
        <w:ind w:firstLine="562" w:firstLineChars="200"/>
        <w:textAlignment w:val="auto"/>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一、为充分体现公平、公正、公开原则，择优选择供应商，参加投标的单位必须满足本项目投标供应商的资质要求。</w:t>
      </w:r>
    </w:p>
    <w:p>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一</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本项目的潜在供应商应在递交投标文件截止日之前到医院招采办报名投标。</w:t>
      </w:r>
    </w:p>
    <w:p>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ascii="仿宋" w:hAnsi="仿宋" w:eastAsia="仿宋" w:cs="仿宋"/>
          <w:b/>
          <w:bCs/>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符合条件的供应商严格按照采购单位提供的招标文件，认真填写投标资料，并在规定时间</w:t>
      </w:r>
      <w:r>
        <w:rPr>
          <w:rFonts w:hint="eastAsia" w:ascii="仿宋" w:hAnsi="仿宋" w:eastAsia="仿宋" w:cs="仿宋"/>
          <w:color w:val="auto"/>
          <w:sz w:val="28"/>
          <w:szCs w:val="28"/>
          <w:highlight w:val="none"/>
          <w:lang w:val="en-US" w:eastAsia="zh-CN"/>
        </w:rPr>
        <w:t>内</w:t>
      </w:r>
      <w:r>
        <w:rPr>
          <w:rFonts w:hint="eastAsia" w:ascii="仿宋" w:hAnsi="仿宋" w:eastAsia="仿宋" w:cs="仿宋"/>
          <w:color w:val="auto"/>
          <w:sz w:val="28"/>
          <w:szCs w:val="28"/>
          <w:highlight w:val="none"/>
        </w:rPr>
        <w:t>将</w:t>
      </w:r>
      <w:r>
        <w:rPr>
          <w:rFonts w:hint="eastAsia" w:ascii="仿宋" w:hAnsi="仿宋" w:eastAsia="仿宋" w:cs="仿宋"/>
          <w:b/>
          <w:bCs/>
          <w:color w:val="auto"/>
          <w:sz w:val="28"/>
          <w:szCs w:val="28"/>
          <w:highlight w:val="none"/>
        </w:rPr>
        <w:t>投标文件密封</w:t>
      </w:r>
      <w:r>
        <w:rPr>
          <w:rFonts w:hint="eastAsia" w:ascii="仿宋" w:hAnsi="仿宋" w:eastAsia="仿宋" w:cs="仿宋"/>
          <w:color w:val="auto"/>
          <w:sz w:val="28"/>
          <w:szCs w:val="28"/>
          <w:highlight w:val="none"/>
        </w:rPr>
        <w:t>送达指定地点。投标单位法定代表人或授权代</w:t>
      </w:r>
      <w:r>
        <w:rPr>
          <w:rFonts w:hint="eastAsia" w:ascii="仿宋" w:hAnsi="仿宋" w:eastAsia="仿宋" w:cs="仿宋"/>
          <w:color w:val="auto"/>
          <w:sz w:val="28"/>
          <w:szCs w:val="28"/>
          <w:highlight w:val="none"/>
          <w:lang w:eastAsia="zh-CN"/>
        </w:rPr>
        <w:t>表人</w:t>
      </w:r>
      <w:r>
        <w:rPr>
          <w:rFonts w:hint="eastAsia" w:ascii="仿宋" w:hAnsi="仿宋" w:eastAsia="仿宋" w:cs="仿宋"/>
          <w:color w:val="auto"/>
          <w:sz w:val="28"/>
          <w:szCs w:val="28"/>
          <w:highlight w:val="none"/>
        </w:rPr>
        <w:t>在规定的时间内未递交投标资料的，视为自动放弃。</w:t>
      </w:r>
    </w:p>
    <w:p>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三</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院内公开招标有效投标的供应商不足三家，不得开标。</w:t>
      </w:r>
    </w:p>
    <w:p>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存在下列情形的，应予废标：</w:t>
      </w:r>
    </w:p>
    <w:p>
      <w:pPr>
        <w:keepNext w:val="0"/>
        <w:keepLines w:val="0"/>
        <w:pageBreakBefore w:val="0"/>
        <w:widowControl w:val="0"/>
        <w:kinsoku/>
        <w:wordWrap/>
        <w:overflowPunct/>
        <w:topLinePunct w:val="0"/>
        <w:autoSpaceDE/>
        <w:autoSpaceDN/>
        <w:bidi w:val="0"/>
        <w:adjustRightInd/>
        <w:snapToGrid w:val="0"/>
        <w:spacing w:line="540" w:lineRule="exact"/>
        <w:ind w:firstLine="638" w:firstLineChars="228"/>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符合专业条件的供应商或者对招标文件作实质性响应的供应商不足三家的；</w:t>
      </w:r>
    </w:p>
    <w:p>
      <w:pPr>
        <w:keepNext w:val="0"/>
        <w:keepLines w:val="0"/>
        <w:pageBreakBefore w:val="0"/>
        <w:widowControl w:val="0"/>
        <w:kinsoku/>
        <w:wordWrap/>
        <w:overflowPunct/>
        <w:topLinePunct w:val="0"/>
        <w:autoSpaceDE/>
        <w:autoSpaceDN/>
        <w:bidi w:val="0"/>
        <w:adjustRightInd/>
        <w:snapToGrid w:val="0"/>
        <w:spacing w:line="540" w:lineRule="exact"/>
        <w:ind w:firstLine="638" w:firstLineChars="228"/>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出现影响采购公正的违法、违规行为的；</w:t>
      </w:r>
    </w:p>
    <w:p>
      <w:pPr>
        <w:keepNext w:val="0"/>
        <w:keepLines w:val="0"/>
        <w:pageBreakBefore w:val="0"/>
        <w:widowControl w:val="0"/>
        <w:kinsoku/>
        <w:wordWrap/>
        <w:overflowPunct/>
        <w:topLinePunct w:val="0"/>
        <w:autoSpaceDE/>
        <w:autoSpaceDN/>
        <w:bidi w:val="0"/>
        <w:adjustRightInd/>
        <w:snapToGrid w:val="0"/>
        <w:spacing w:line="540" w:lineRule="exact"/>
        <w:ind w:firstLine="638" w:firstLineChars="228"/>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投标人的报价均超过采购预算或最高限价，采购人不能支付的；</w:t>
      </w:r>
    </w:p>
    <w:p>
      <w:pPr>
        <w:keepNext w:val="0"/>
        <w:keepLines w:val="0"/>
        <w:pageBreakBefore w:val="0"/>
        <w:widowControl w:val="0"/>
        <w:kinsoku/>
        <w:wordWrap/>
        <w:overflowPunct/>
        <w:topLinePunct w:val="0"/>
        <w:autoSpaceDE/>
        <w:autoSpaceDN/>
        <w:bidi w:val="0"/>
        <w:adjustRightInd/>
        <w:snapToGrid w:val="0"/>
        <w:spacing w:line="540" w:lineRule="exact"/>
        <w:ind w:firstLine="638" w:firstLineChars="228"/>
        <w:textAlignment w:val="auto"/>
        <w:rPr>
          <w:rFonts w:ascii="仿宋" w:hAnsi="仿宋" w:eastAsia="仿宋" w:cs="仿宋"/>
          <w:color w:val="auto"/>
          <w:kern w:val="0"/>
          <w:sz w:val="28"/>
          <w:szCs w:val="28"/>
          <w:highlight w:val="none"/>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因重大变故，采购任务取消的。</w:t>
      </w:r>
    </w:p>
    <w:p>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投标文件有效期</w:t>
      </w:r>
    </w:p>
    <w:p>
      <w:pPr>
        <w:keepNext w:val="0"/>
        <w:keepLines w:val="0"/>
        <w:pageBreakBefore w:val="0"/>
        <w:widowControl w:val="0"/>
        <w:kinsoku/>
        <w:wordWrap/>
        <w:overflowPunct/>
        <w:topLinePunct w:val="0"/>
        <w:autoSpaceDE/>
        <w:autoSpaceDN/>
        <w:bidi w:val="0"/>
        <w:adjustRightInd/>
        <w:snapToGrid w:val="0"/>
        <w:spacing w:line="540" w:lineRule="exact"/>
        <w:ind w:firstLine="638" w:firstLineChars="228"/>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在递交投标文件截止日期之后的60天内有效</w:t>
      </w:r>
      <w:r>
        <w:rPr>
          <w:rFonts w:hint="eastAsia" w:ascii="仿宋" w:hAnsi="仿宋" w:eastAsia="仿宋" w:cs="仿宋"/>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540" w:lineRule="exact"/>
        <w:ind w:firstLine="638" w:firstLineChars="228"/>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在原定投标文件有效期满之前，如果出现特殊情况，招采办可以书面形式向供应商提出延长投标文件有效期的要求。</w:t>
      </w:r>
    </w:p>
    <w:p>
      <w:pPr>
        <w:keepNext w:val="0"/>
        <w:keepLines w:val="0"/>
        <w:pageBreakBefore w:val="0"/>
        <w:widowControl w:val="0"/>
        <w:kinsoku/>
        <w:wordWrap/>
        <w:overflowPunct/>
        <w:topLinePunct w:val="0"/>
        <w:autoSpaceDE/>
        <w:autoSpaceDN/>
        <w:bidi w:val="0"/>
        <w:adjustRightInd/>
        <w:snapToGrid w:val="0"/>
        <w:spacing w:line="540" w:lineRule="exact"/>
        <w:ind w:firstLine="562" w:firstLineChars="200"/>
        <w:textAlignment w:val="auto"/>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二、需提供资料及标准</w:t>
      </w:r>
    </w:p>
    <w:p>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color w:val="auto"/>
          <w:sz w:val="28"/>
          <w:szCs w:val="36"/>
          <w:highlight w:val="none"/>
        </w:rPr>
        <w:t>（一）投标文件的规定。投标文件</w:t>
      </w:r>
      <w:r>
        <w:rPr>
          <w:rFonts w:hint="eastAsia" w:ascii="仿宋_GB2312" w:hAnsi="仿宋_GB2312" w:eastAsia="仿宋_GB2312" w:cs="仿宋_GB2312"/>
          <w:b/>
          <w:bCs/>
          <w:color w:val="auto"/>
          <w:sz w:val="28"/>
          <w:szCs w:val="36"/>
          <w:highlight w:val="none"/>
        </w:rPr>
        <w:t>须密封装袋</w:t>
      </w:r>
      <w:r>
        <w:rPr>
          <w:rFonts w:hint="eastAsia" w:ascii="仿宋_GB2312" w:hAnsi="仿宋_GB2312" w:eastAsia="仿宋_GB2312" w:cs="仿宋_GB2312"/>
          <w:color w:val="auto"/>
          <w:sz w:val="28"/>
          <w:szCs w:val="36"/>
          <w:highlight w:val="none"/>
        </w:rPr>
        <w:t>，制作</w:t>
      </w:r>
      <w:r>
        <w:rPr>
          <w:rFonts w:hint="eastAsia" w:ascii="仿宋_GB2312" w:hAnsi="仿宋_GB2312" w:eastAsia="仿宋_GB2312" w:cs="仿宋_GB2312"/>
          <w:b/>
          <w:bCs/>
          <w:color w:val="auto"/>
          <w:sz w:val="28"/>
          <w:szCs w:val="36"/>
          <w:highlight w:val="none"/>
        </w:rPr>
        <w:t>一本正本，2本副本（另：提交一本电子投标文件，用U盘拷贝，U盘不退还，并标明项目名称和公司名称）</w:t>
      </w:r>
      <w:r>
        <w:rPr>
          <w:rFonts w:hint="eastAsia" w:ascii="仿宋_GB2312" w:hAnsi="仿宋_GB2312" w:eastAsia="仿宋_GB2312" w:cs="仿宋_GB2312"/>
          <w:color w:val="auto"/>
          <w:sz w:val="28"/>
          <w:szCs w:val="36"/>
          <w:highlight w:val="none"/>
        </w:rPr>
        <w:t>，每份投标文件必须装订且须在封面上清楚标明“</w:t>
      </w:r>
      <w:r>
        <w:rPr>
          <w:rFonts w:hint="eastAsia" w:ascii="仿宋_GB2312" w:hAnsi="仿宋_GB2312" w:eastAsia="仿宋_GB2312" w:cs="仿宋_GB2312"/>
          <w:b/>
          <w:bCs/>
          <w:color w:val="auto"/>
          <w:sz w:val="28"/>
          <w:szCs w:val="36"/>
          <w:highlight w:val="none"/>
        </w:rPr>
        <w:t>正本</w:t>
      </w:r>
      <w:r>
        <w:rPr>
          <w:rFonts w:hint="eastAsia" w:ascii="仿宋_GB2312" w:hAnsi="仿宋_GB2312" w:eastAsia="仿宋_GB2312" w:cs="仿宋_GB2312"/>
          <w:color w:val="auto"/>
          <w:sz w:val="28"/>
          <w:szCs w:val="36"/>
          <w:highlight w:val="none"/>
        </w:rPr>
        <w:t>”或“</w:t>
      </w:r>
      <w:r>
        <w:rPr>
          <w:rFonts w:hint="eastAsia" w:ascii="仿宋_GB2312" w:hAnsi="仿宋_GB2312" w:eastAsia="仿宋_GB2312" w:cs="仿宋_GB2312"/>
          <w:b/>
          <w:bCs/>
          <w:color w:val="auto"/>
          <w:sz w:val="28"/>
          <w:szCs w:val="36"/>
          <w:highlight w:val="none"/>
        </w:rPr>
        <w:t>副本</w:t>
      </w:r>
      <w:r>
        <w:rPr>
          <w:rFonts w:hint="eastAsia" w:ascii="仿宋_GB2312" w:hAnsi="仿宋_GB2312" w:eastAsia="仿宋_GB2312" w:cs="仿宋_GB2312"/>
          <w:color w:val="auto"/>
          <w:sz w:val="28"/>
          <w:szCs w:val="36"/>
          <w:highlight w:val="none"/>
        </w:rPr>
        <w:t>”字样。一旦正本与副本不符，以正本为准。 投标文件不得涂改和增删，如要修改错漏处，必须由同一签署人</w:t>
      </w:r>
      <w:r>
        <w:rPr>
          <w:rFonts w:hint="eastAsia" w:ascii="仿宋_GB2312" w:hAnsi="仿宋_GB2312" w:eastAsia="仿宋_GB2312" w:cs="仿宋_GB2312"/>
          <w:b/>
          <w:bCs/>
          <w:color w:val="auto"/>
          <w:sz w:val="28"/>
          <w:szCs w:val="36"/>
          <w:highlight w:val="none"/>
        </w:rPr>
        <w:t>在修改处签字或盖章</w:t>
      </w:r>
      <w:r>
        <w:rPr>
          <w:rFonts w:hint="eastAsia" w:ascii="仿宋_GB2312" w:hAnsi="仿宋_GB2312" w:eastAsia="仿宋_GB2312" w:cs="仿宋_GB2312"/>
          <w:color w:val="auto"/>
          <w:sz w:val="28"/>
          <w:szCs w:val="36"/>
          <w:highlight w:val="none"/>
        </w:rPr>
        <w:t>。</w:t>
      </w:r>
    </w:p>
    <w:p>
      <w:pPr>
        <w:keepNext w:val="0"/>
        <w:keepLines w:val="0"/>
        <w:pageBreakBefore w:val="0"/>
        <w:widowControl w:val="0"/>
        <w:kinsoku/>
        <w:wordWrap/>
        <w:overflowPunct/>
        <w:topLinePunct w:val="0"/>
        <w:autoSpaceDE/>
        <w:autoSpaceDN/>
        <w:bidi w:val="0"/>
        <w:adjustRightInd/>
        <w:spacing w:line="540" w:lineRule="exact"/>
        <w:ind w:firstLine="562" w:firstLineChars="200"/>
        <w:textAlignment w:val="auto"/>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（二）提供本项目开标一览表一份，开标一览表须加盖公章并单独密封，供应商须在开标一览表上签名确认。</w:t>
      </w:r>
    </w:p>
    <w:p>
      <w:pPr>
        <w:keepNext w:val="0"/>
        <w:keepLines w:val="0"/>
        <w:pageBreakBefore w:val="0"/>
        <w:widowControl w:val="0"/>
        <w:kinsoku/>
        <w:wordWrap/>
        <w:overflowPunct/>
        <w:topLinePunct w:val="0"/>
        <w:autoSpaceDE/>
        <w:autoSpaceDN/>
        <w:bidi w:val="0"/>
        <w:adjustRightInd/>
        <w:spacing w:line="540" w:lineRule="exact"/>
        <w:ind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（三）资料封面注有公司名称、地址、联系人、手机号码、办公电话和邮箱地址。</w:t>
      </w:r>
    </w:p>
    <w:p>
      <w:pPr>
        <w:keepNext w:val="0"/>
        <w:keepLines w:val="0"/>
        <w:pageBreakBefore w:val="0"/>
        <w:widowControl w:val="0"/>
        <w:numPr>
          <w:ilvl w:val="-1"/>
          <w:numId w:val="0"/>
        </w:numPr>
        <w:kinsoku/>
        <w:wordWrap/>
        <w:overflowPunct/>
        <w:topLinePunct w:val="0"/>
        <w:autoSpaceDE/>
        <w:autoSpaceDN/>
        <w:bidi w:val="0"/>
        <w:adjustRightInd/>
        <w:snapToGrid w:val="0"/>
        <w:spacing w:line="540" w:lineRule="exact"/>
        <w:ind w:left="-5" w:firstLine="560" w:firstLineChars="200"/>
        <w:jc w:val="left"/>
        <w:textAlignment w:val="auto"/>
        <w:rPr>
          <w:rFonts w:ascii="仿宋_GB2312" w:hAnsi="仿宋_GB2312" w:eastAsia="仿宋_GB2312" w:cs="仿宋_GB2312"/>
          <w:snapToGrid w:val="0"/>
          <w:color w:val="auto"/>
          <w:kern w:val="144"/>
          <w:sz w:val="28"/>
          <w:szCs w:val="28"/>
          <w:highlight w:val="none"/>
        </w:rPr>
      </w:pPr>
      <w:r>
        <w:rPr>
          <w:rFonts w:hint="eastAsia" w:ascii="仿宋_GB2312" w:hAnsi="仿宋_GB2312" w:eastAsia="仿宋_GB2312" w:cs="仿宋_GB2312"/>
          <w:snapToGrid w:val="0"/>
          <w:color w:val="auto"/>
          <w:kern w:val="144"/>
          <w:sz w:val="28"/>
          <w:szCs w:val="28"/>
          <w:highlight w:val="none"/>
          <w:lang w:val="en-US" w:eastAsia="zh-CN"/>
        </w:rPr>
        <w:t>1.</w:t>
      </w:r>
      <w:r>
        <w:rPr>
          <w:rFonts w:hint="eastAsia" w:ascii="仿宋_GB2312" w:hAnsi="仿宋_GB2312" w:eastAsia="仿宋_GB2312" w:cs="仿宋_GB2312"/>
          <w:snapToGrid w:val="0"/>
          <w:color w:val="auto"/>
          <w:kern w:val="144"/>
          <w:sz w:val="28"/>
          <w:szCs w:val="28"/>
          <w:highlight w:val="none"/>
        </w:rPr>
        <w:t>所有资料要有封面、目录、页码、装订成册。</w:t>
      </w:r>
    </w:p>
    <w:p>
      <w:pPr>
        <w:keepNext w:val="0"/>
        <w:keepLines w:val="0"/>
        <w:pageBreakBefore w:val="0"/>
        <w:widowControl w:val="0"/>
        <w:numPr>
          <w:ilvl w:val="-1"/>
          <w:numId w:val="0"/>
        </w:numPr>
        <w:kinsoku/>
        <w:wordWrap/>
        <w:overflowPunct/>
        <w:topLinePunct w:val="0"/>
        <w:autoSpaceDE/>
        <w:autoSpaceDN/>
        <w:bidi w:val="0"/>
        <w:adjustRightInd/>
        <w:snapToGrid w:val="0"/>
        <w:spacing w:line="540" w:lineRule="exact"/>
        <w:ind w:left="-5" w:firstLine="560" w:firstLineChars="200"/>
        <w:jc w:val="left"/>
        <w:textAlignment w:val="auto"/>
        <w:rPr>
          <w:rFonts w:ascii="仿宋_GB2312" w:hAnsi="仿宋_GB2312" w:eastAsia="仿宋_GB2312" w:cs="仿宋_GB2312"/>
          <w:snapToGrid w:val="0"/>
          <w:color w:val="auto"/>
          <w:kern w:val="144"/>
          <w:sz w:val="28"/>
          <w:szCs w:val="28"/>
          <w:highlight w:val="none"/>
        </w:rPr>
      </w:pPr>
      <w:r>
        <w:rPr>
          <w:rFonts w:hint="eastAsia" w:ascii="仿宋_GB2312" w:hAnsi="仿宋_GB2312" w:eastAsia="仿宋_GB2312" w:cs="仿宋_GB2312"/>
          <w:snapToGrid w:val="0"/>
          <w:color w:val="auto"/>
          <w:kern w:val="144"/>
          <w:sz w:val="28"/>
          <w:szCs w:val="28"/>
          <w:highlight w:val="none"/>
          <w:lang w:val="en-US" w:eastAsia="zh-CN"/>
        </w:rPr>
        <w:t>2.</w:t>
      </w:r>
      <w:r>
        <w:rPr>
          <w:rFonts w:hint="eastAsia" w:ascii="仿宋_GB2312" w:hAnsi="仿宋_GB2312" w:eastAsia="仿宋_GB2312" w:cs="仿宋_GB2312"/>
          <w:snapToGrid w:val="0"/>
          <w:color w:val="auto"/>
          <w:kern w:val="144"/>
          <w:sz w:val="28"/>
          <w:szCs w:val="28"/>
          <w:highlight w:val="none"/>
        </w:rPr>
        <w:t>所有资料</w:t>
      </w:r>
      <w:r>
        <w:rPr>
          <w:rFonts w:hint="eastAsia" w:ascii="仿宋_GB2312" w:hAnsi="仿宋_GB2312" w:eastAsia="仿宋_GB2312" w:cs="仿宋_GB2312"/>
          <w:b/>
          <w:bCs/>
          <w:snapToGrid w:val="0"/>
          <w:color w:val="auto"/>
          <w:kern w:val="144"/>
          <w:sz w:val="28"/>
          <w:szCs w:val="28"/>
          <w:highlight w:val="none"/>
        </w:rPr>
        <w:t>每页须加盖公章</w:t>
      </w:r>
      <w:r>
        <w:rPr>
          <w:rFonts w:hint="eastAsia" w:ascii="仿宋_GB2312" w:hAnsi="仿宋_GB2312" w:eastAsia="仿宋_GB2312" w:cs="仿宋_GB2312"/>
          <w:snapToGrid w:val="0"/>
          <w:color w:val="auto"/>
          <w:kern w:val="144"/>
          <w:sz w:val="28"/>
          <w:szCs w:val="28"/>
          <w:highlight w:val="none"/>
        </w:rPr>
        <w:t>。</w:t>
      </w:r>
    </w:p>
    <w:p>
      <w:pPr>
        <w:keepNext w:val="0"/>
        <w:keepLines w:val="0"/>
        <w:pageBreakBefore w:val="0"/>
        <w:widowControl w:val="0"/>
        <w:numPr>
          <w:ilvl w:val="-1"/>
          <w:numId w:val="0"/>
        </w:numPr>
        <w:kinsoku/>
        <w:wordWrap/>
        <w:overflowPunct/>
        <w:topLinePunct w:val="0"/>
        <w:autoSpaceDE/>
        <w:autoSpaceDN/>
        <w:bidi w:val="0"/>
        <w:adjustRightInd/>
        <w:snapToGrid w:val="0"/>
        <w:spacing w:line="540" w:lineRule="exact"/>
        <w:ind w:left="-5" w:firstLine="560" w:firstLineChars="200"/>
        <w:jc w:val="left"/>
        <w:textAlignment w:val="auto"/>
        <w:rPr>
          <w:rFonts w:ascii="仿宋_GB2312" w:hAnsi="仿宋_GB2312" w:eastAsia="仿宋_GB2312" w:cs="仿宋_GB2312"/>
          <w:snapToGrid w:val="0"/>
          <w:color w:val="auto"/>
          <w:kern w:val="144"/>
          <w:sz w:val="28"/>
          <w:szCs w:val="28"/>
          <w:highlight w:val="none"/>
        </w:rPr>
      </w:pPr>
      <w:r>
        <w:rPr>
          <w:rFonts w:hint="eastAsia" w:ascii="仿宋_GB2312" w:hAnsi="仿宋_GB2312" w:eastAsia="仿宋_GB2312" w:cs="仿宋_GB2312"/>
          <w:snapToGrid w:val="0"/>
          <w:color w:val="auto"/>
          <w:kern w:val="144"/>
          <w:sz w:val="28"/>
          <w:szCs w:val="28"/>
          <w:highlight w:val="none"/>
          <w:lang w:val="en-US" w:eastAsia="zh-CN"/>
        </w:rPr>
        <w:t>3.</w:t>
      </w:r>
      <w:r>
        <w:rPr>
          <w:rFonts w:hint="eastAsia" w:ascii="仿宋_GB2312" w:hAnsi="仿宋_GB2312" w:eastAsia="仿宋_GB2312" w:cs="仿宋_GB2312"/>
          <w:snapToGrid w:val="0"/>
          <w:color w:val="auto"/>
          <w:kern w:val="144"/>
          <w:sz w:val="28"/>
          <w:szCs w:val="28"/>
          <w:highlight w:val="none"/>
        </w:rPr>
        <w:t>所有资料须</w:t>
      </w:r>
      <w:r>
        <w:rPr>
          <w:rFonts w:hint="eastAsia" w:ascii="仿宋_GB2312" w:hAnsi="仿宋_GB2312" w:eastAsia="仿宋_GB2312" w:cs="仿宋_GB2312"/>
          <w:b/>
          <w:bCs/>
          <w:snapToGrid w:val="0"/>
          <w:color w:val="auto"/>
          <w:kern w:val="144"/>
          <w:sz w:val="28"/>
          <w:szCs w:val="28"/>
          <w:highlight w:val="none"/>
        </w:rPr>
        <w:t>密封并加盖公章</w:t>
      </w:r>
      <w:r>
        <w:rPr>
          <w:rFonts w:hint="eastAsia" w:ascii="仿宋_GB2312" w:hAnsi="仿宋_GB2312" w:eastAsia="仿宋_GB2312" w:cs="仿宋_GB2312"/>
          <w:snapToGrid w:val="0"/>
          <w:color w:val="auto"/>
          <w:kern w:val="144"/>
          <w:sz w:val="28"/>
          <w:szCs w:val="28"/>
          <w:highlight w:val="none"/>
        </w:rPr>
        <w:t>。</w:t>
      </w:r>
    </w:p>
    <w:p>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ascii="仿宋_GB2312" w:hAnsi="仿宋_GB2312" w:eastAsia="仿宋_GB2312" w:cs="仿宋_GB2312"/>
          <w:snapToGrid w:val="0"/>
          <w:color w:val="auto"/>
          <w:kern w:val="144"/>
          <w:sz w:val="28"/>
          <w:szCs w:val="28"/>
          <w:highlight w:val="none"/>
        </w:rPr>
      </w:pPr>
      <w:r>
        <w:rPr>
          <w:rFonts w:hint="eastAsia" w:ascii="仿宋_GB2312" w:hAnsi="仿宋_GB2312" w:eastAsia="仿宋_GB2312" w:cs="仿宋_GB2312"/>
          <w:snapToGrid w:val="0"/>
          <w:color w:val="auto"/>
          <w:kern w:val="144"/>
          <w:sz w:val="28"/>
          <w:szCs w:val="28"/>
          <w:highlight w:val="none"/>
        </w:rPr>
        <w:t>（四）携带完整资料到招采办报名登记好公司名称、业务代表姓名、联系电话及提供的产品项目。</w:t>
      </w:r>
    </w:p>
    <w:p>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ascii="仿宋_GB2312" w:hAnsi="仿宋_GB2312" w:eastAsia="仿宋_GB2312" w:cs="仿宋_GB2312"/>
          <w:snapToGrid w:val="0"/>
          <w:color w:val="auto"/>
          <w:kern w:val="144"/>
          <w:sz w:val="28"/>
          <w:szCs w:val="28"/>
          <w:highlight w:val="none"/>
        </w:rPr>
      </w:pPr>
      <w:r>
        <w:rPr>
          <w:rFonts w:hint="eastAsia" w:ascii="仿宋_GB2312" w:hAnsi="仿宋_GB2312" w:eastAsia="仿宋_GB2312" w:cs="仿宋_GB2312"/>
          <w:snapToGrid w:val="0"/>
          <w:color w:val="auto"/>
          <w:kern w:val="144"/>
          <w:sz w:val="28"/>
          <w:szCs w:val="28"/>
          <w:highlight w:val="none"/>
        </w:rPr>
        <w:t>（五）经取得院内公开采购的项目在验收时，其实际质量与其参加院内公开采购时提供的条件不符或在规定时间内拒签合同以及不按合同条款执行合同者均视为不履行合约，我院将其供应商列入我院黑名单及上报有关部门，在一年内不允许该公司参加我院内公开采购活动。</w:t>
      </w:r>
    </w:p>
    <w:p>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ascii="仿宋_GB2312" w:hAnsi="仿宋_GB2312" w:eastAsia="仿宋_GB2312" w:cs="仿宋_GB2312"/>
          <w:color w:val="auto"/>
          <w:sz w:val="28"/>
          <w:szCs w:val="36"/>
          <w:highlight w:val="none"/>
        </w:rPr>
      </w:pPr>
      <w:r>
        <w:rPr>
          <w:rFonts w:hint="eastAsia" w:ascii="仿宋_GB2312" w:hAnsi="仿宋_GB2312" w:eastAsia="仿宋_GB2312" w:cs="仿宋_GB2312"/>
          <w:color w:val="auto"/>
          <w:sz w:val="28"/>
          <w:szCs w:val="36"/>
          <w:highlight w:val="none"/>
        </w:rPr>
        <w:t>（六）投标人的产品质量及服务承诺书不能严重低于招标文件中的服务要求标准</w:t>
      </w:r>
      <w:r>
        <w:rPr>
          <w:rFonts w:hint="eastAsia" w:ascii="仿宋_GB2312" w:hAnsi="仿宋_GB2312" w:eastAsia="仿宋_GB2312" w:cs="仿宋_GB2312"/>
          <w:color w:val="auto"/>
          <w:sz w:val="28"/>
          <w:szCs w:val="36"/>
          <w:highlight w:val="none"/>
          <w:lang w:val="en-US" w:eastAsia="zh-CN"/>
        </w:rPr>
        <w:t>作</w:t>
      </w:r>
      <w:r>
        <w:rPr>
          <w:rFonts w:hint="eastAsia" w:ascii="仿宋_GB2312" w:hAnsi="仿宋_GB2312" w:eastAsia="仿宋_GB2312" w:cs="仿宋_GB2312"/>
          <w:color w:val="auto"/>
          <w:sz w:val="28"/>
          <w:szCs w:val="36"/>
          <w:highlight w:val="none"/>
        </w:rPr>
        <w:t>出响应，允许出现负偏差，但不得出现严重负偏差。</w:t>
      </w:r>
    </w:p>
    <w:p>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color w:val="auto"/>
          <w:sz w:val="28"/>
          <w:szCs w:val="36"/>
          <w:highlight w:val="none"/>
        </w:rPr>
        <w:t>（七）评审结束，中标结果公示</w:t>
      </w:r>
      <w:r>
        <w:rPr>
          <w:rFonts w:hint="eastAsia" w:ascii="仿宋_GB2312" w:hAnsi="仿宋_GB2312" w:eastAsia="仿宋_GB2312" w:cs="仿宋_GB2312"/>
          <w:b w:val="0"/>
          <w:bCs w:val="0"/>
          <w:color w:val="auto"/>
          <w:sz w:val="28"/>
          <w:szCs w:val="36"/>
          <w:highlight w:val="none"/>
        </w:rPr>
        <w:t>3天</w:t>
      </w:r>
      <w:r>
        <w:rPr>
          <w:rFonts w:hint="eastAsia" w:ascii="仿宋_GB2312" w:hAnsi="仿宋_GB2312" w:eastAsia="仿宋_GB2312" w:cs="仿宋_GB2312"/>
          <w:color w:val="auto"/>
          <w:sz w:val="28"/>
          <w:szCs w:val="36"/>
          <w:highlight w:val="none"/>
        </w:rPr>
        <w:t>，中标供应商须在收到我院中标通知书后</w:t>
      </w:r>
      <w:r>
        <w:rPr>
          <w:rFonts w:hint="eastAsia" w:ascii="仿宋_GB2312" w:hAnsi="仿宋_GB2312" w:eastAsia="仿宋_GB2312" w:cs="仿宋_GB2312"/>
          <w:b/>
          <w:bCs/>
          <w:color w:val="auto"/>
          <w:sz w:val="28"/>
          <w:szCs w:val="36"/>
          <w:highlight w:val="none"/>
        </w:rPr>
        <w:t>10个工作日内</w:t>
      </w:r>
      <w:r>
        <w:rPr>
          <w:rFonts w:hint="eastAsia" w:ascii="仿宋_GB2312" w:hAnsi="仿宋_GB2312" w:eastAsia="仿宋_GB2312" w:cs="仿宋_GB2312"/>
          <w:color w:val="auto"/>
          <w:sz w:val="28"/>
          <w:szCs w:val="36"/>
          <w:highlight w:val="none"/>
        </w:rPr>
        <w:t>到我院签署合同，超过</w:t>
      </w:r>
      <w:r>
        <w:rPr>
          <w:rFonts w:hint="eastAsia" w:ascii="仿宋_GB2312" w:hAnsi="仿宋_GB2312" w:eastAsia="仿宋_GB2312" w:cs="仿宋_GB2312"/>
          <w:b/>
          <w:bCs/>
          <w:color w:val="auto"/>
          <w:sz w:val="28"/>
          <w:szCs w:val="36"/>
          <w:highlight w:val="none"/>
        </w:rPr>
        <w:t>10个工作日</w:t>
      </w:r>
      <w:r>
        <w:rPr>
          <w:rFonts w:hint="eastAsia" w:ascii="仿宋_GB2312" w:hAnsi="仿宋_GB2312" w:eastAsia="仿宋_GB2312" w:cs="仿宋_GB2312"/>
          <w:color w:val="auto"/>
          <w:sz w:val="28"/>
          <w:szCs w:val="36"/>
          <w:highlight w:val="none"/>
        </w:rPr>
        <w:t>未前来</w:t>
      </w:r>
      <w:r>
        <w:rPr>
          <w:rFonts w:hint="eastAsia" w:ascii="仿宋_GB2312" w:hAnsi="仿宋_GB2312" w:eastAsia="仿宋_GB2312" w:cs="仿宋_GB2312"/>
          <w:color w:val="auto"/>
          <w:sz w:val="28"/>
          <w:szCs w:val="36"/>
          <w:highlight w:val="none"/>
          <w:lang w:eastAsia="zh-CN"/>
        </w:rPr>
        <w:t>签订</w:t>
      </w:r>
      <w:r>
        <w:rPr>
          <w:rFonts w:hint="eastAsia" w:ascii="仿宋_GB2312" w:hAnsi="仿宋_GB2312" w:eastAsia="仿宋_GB2312" w:cs="仿宋_GB2312"/>
          <w:color w:val="auto"/>
          <w:sz w:val="28"/>
          <w:szCs w:val="36"/>
          <w:highlight w:val="none"/>
        </w:rPr>
        <w:t>合同的，我院有权宣布本次采购结果作废，重新确定供应商。</w:t>
      </w:r>
    </w:p>
    <w:p>
      <w:pPr>
        <w:keepNext w:val="0"/>
        <w:keepLines w:val="0"/>
        <w:pageBreakBefore w:val="0"/>
        <w:widowControl w:val="0"/>
        <w:kinsoku/>
        <w:wordWrap/>
        <w:overflowPunct/>
        <w:topLinePunct w:val="0"/>
        <w:autoSpaceDE/>
        <w:autoSpaceDN/>
        <w:bidi w:val="0"/>
        <w:adjustRightInd/>
        <w:snapToGrid w:val="0"/>
        <w:spacing w:line="540" w:lineRule="exact"/>
        <w:ind w:firstLine="562" w:firstLineChars="200"/>
        <w:textAlignment w:val="auto"/>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三、招标文件的澄清</w:t>
      </w:r>
    </w:p>
    <w:p>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1.投标人在收到招标文件后，可以对已发出的招标文件进行必要的澄清或者修改。澄清或者修改应当在原公告发布媒体上发布澄清（更正/变更）公告。</w:t>
      </w:r>
    </w:p>
    <w:p>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无论出于何种原因，采购人可以主动地或在解答投标人提出的疑问时对已发出的招标文件进行必要的澄清或修改（更正）的，于投标截止时间前在指定媒体上发布公告，并通知所有报名及购买招标文件的投标人，报名招标文件的投标人在收到澄清或修改（更正）通知后应按要求以书面形式（传真有效）予以确认，如在24小时之内无书面回函则视为同意修改内容，并有责任履行相应的义务。</w:t>
      </w:r>
    </w:p>
    <w:p>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3.采购人发出的澄清或修改（更正/变更）的内容为招标文件的组成部分，并对供应商具有约束力。</w:t>
      </w:r>
    </w:p>
    <w:p>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对招标文件中描述有歧义或前后不一致的地方，评标委员会有权进行评判，但对同一条款的评判应适用于每个投标人。</w:t>
      </w:r>
    </w:p>
    <w:p>
      <w:pPr>
        <w:keepNext w:val="0"/>
        <w:keepLines w:val="0"/>
        <w:pageBreakBefore w:val="0"/>
        <w:widowControl w:val="0"/>
        <w:kinsoku/>
        <w:wordWrap/>
        <w:overflowPunct/>
        <w:topLinePunct w:val="0"/>
        <w:autoSpaceDE/>
        <w:autoSpaceDN/>
        <w:bidi w:val="0"/>
        <w:adjustRightInd/>
        <w:snapToGrid w:val="0"/>
        <w:spacing w:line="540" w:lineRule="exact"/>
        <w:ind w:firstLine="562" w:firstLineChars="200"/>
        <w:textAlignment w:val="auto"/>
        <w:rPr>
          <w:rFonts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四、招标文件的补充和修正</w:t>
      </w:r>
    </w:p>
    <w:p>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1.</w:t>
      </w:r>
      <w:r>
        <w:rPr>
          <w:rFonts w:hint="eastAsia" w:ascii="仿宋" w:hAnsi="仿宋" w:eastAsia="仿宋" w:cs="仿宋"/>
          <w:color w:val="auto"/>
          <w:sz w:val="28"/>
          <w:szCs w:val="28"/>
          <w:highlight w:val="none"/>
        </w:rPr>
        <w:t>采购人可以对已发出的招标文件进行必要的澄清或者修改。澄清或者修改应当在原公告发布媒体上发布澄清（更正/变更）公告。</w:t>
      </w:r>
    </w:p>
    <w:p>
      <w:pPr>
        <w:pStyle w:val="3"/>
        <w:keepNext w:val="0"/>
        <w:keepLines w:val="0"/>
        <w:pageBreakBefore w:val="0"/>
        <w:widowControl w:val="0"/>
        <w:kinsoku/>
        <w:wordWrap/>
        <w:overflowPunct/>
        <w:topLinePunct w:val="0"/>
        <w:autoSpaceDE/>
        <w:autoSpaceDN/>
        <w:bidi w:val="0"/>
        <w:adjustRightInd/>
        <w:spacing w:line="540" w:lineRule="exact"/>
        <w:ind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2.</w:t>
      </w:r>
      <w:r>
        <w:rPr>
          <w:rFonts w:ascii="仿宋" w:hAnsi="仿宋" w:eastAsia="仿宋" w:cs="仿宋"/>
          <w:color w:val="auto"/>
          <w:sz w:val="28"/>
          <w:szCs w:val="28"/>
          <w:highlight w:val="none"/>
        </w:rPr>
        <w:t>采购人对招标文件的补充和修正，将以电子文件等方式发给所有获得招标文件的供应商，补充通知作为招标文件的组成部分，对同意参与招标单位起约束作用。</w:t>
      </w:r>
    </w:p>
    <w:p>
      <w:pPr>
        <w:keepNext w:val="0"/>
        <w:keepLines w:val="0"/>
        <w:pageBreakBefore w:val="0"/>
        <w:widowControl w:val="0"/>
        <w:kinsoku/>
        <w:wordWrap/>
        <w:overflowPunct/>
        <w:topLinePunct w:val="0"/>
        <w:autoSpaceDE/>
        <w:autoSpaceDN/>
        <w:bidi w:val="0"/>
        <w:adjustRightInd/>
        <w:snapToGrid w:val="0"/>
        <w:spacing w:line="540" w:lineRule="exact"/>
        <w:ind w:firstLine="562" w:firstLineChars="200"/>
        <w:textAlignment w:val="auto"/>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五、投标文件有效期</w:t>
      </w:r>
    </w:p>
    <w:p>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left="0" w:leftChars="0"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kern w:val="2"/>
          <w:sz w:val="28"/>
          <w:szCs w:val="28"/>
          <w:highlight w:val="none"/>
          <w:lang w:val="en-US" w:eastAsia="zh-CN" w:bidi="ar-SA"/>
        </w:rPr>
        <w:t>1.</w:t>
      </w:r>
      <w:r>
        <w:rPr>
          <w:rFonts w:hint="eastAsia" w:ascii="仿宋" w:hAnsi="仿宋" w:eastAsia="仿宋" w:cs="仿宋"/>
          <w:color w:val="auto"/>
          <w:sz w:val="28"/>
          <w:szCs w:val="28"/>
          <w:highlight w:val="none"/>
        </w:rPr>
        <w:t>在递交投标文件截止日期之后的60天内有效。</w:t>
      </w:r>
    </w:p>
    <w:p>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left="0" w:leftChars="0"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kern w:val="2"/>
          <w:sz w:val="28"/>
          <w:szCs w:val="28"/>
          <w:highlight w:val="none"/>
          <w:lang w:val="en-US" w:eastAsia="zh-CN" w:bidi="ar-SA"/>
        </w:rPr>
        <w:t>2.</w:t>
      </w:r>
      <w:r>
        <w:rPr>
          <w:rFonts w:hint="eastAsia" w:ascii="仿宋" w:hAnsi="仿宋" w:eastAsia="仿宋" w:cs="仿宋"/>
          <w:color w:val="auto"/>
          <w:sz w:val="28"/>
          <w:szCs w:val="28"/>
          <w:highlight w:val="none"/>
        </w:rPr>
        <w:t>在原定投标文件有效期满之前，如果出现特殊情况，招采办可以书面形式向投标人提出延长投标文件有效期的要求。</w:t>
      </w:r>
    </w:p>
    <w:p>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left="0" w:leftChars="0"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kern w:val="2"/>
          <w:sz w:val="28"/>
          <w:szCs w:val="28"/>
          <w:highlight w:val="none"/>
          <w:lang w:val="en-US" w:eastAsia="zh-CN" w:bidi="ar-SA"/>
        </w:rPr>
        <w:t>3.</w:t>
      </w:r>
      <w:r>
        <w:rPr>
          <w:rFonts w:hint="eastAsia" w:ascii="仿宋" w:hAnsi="仿宋" w:eastAsia="仿宋" w:cs="仿宋"/>
          <w:color w:val="auto"/>
          <w:sz w:val="28"/>
          <w:szCs w:val="28"/>
          <w:highlight w:val="none"/>
        </w:rPr>
        <w:t>质疑期限：凡对招标文件有任何质疑的（包括认为招标文件的技术指标或参数存在排他性或歧视性条款），请于开标之日前提出疑问，逾期不予处理。</w:t>
      </w:r>
    </w:p>
    <w:p>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left="0" w:leftChars="0" w:firstLine="420" w:firstLineChars="200"/>
        <w:textAlignment w:val="auto"/>
        <w:rPr>
          <w:rFonts w:hint="eastAsia" w:ascii="仿宋" w:hAnsi="仿宋" w:eastAsia="仿宋" w:cs="仿宋"/>
          <w:color w:val="auto"/>
          <w:sz w:val="28"/>
          <w:szCs w:val="28"/>
          <w:highlight w:val="none"/>
        </w:rPr>
      </w:pPr>
      <w:r>
        <w:rPr>
          <w:rFonts w:hint="eastAsia" w:cs="黑体"/>
          <w:color w:val="auto"/>
          <w:kern w:val="2"/>
          <w:sz w:val="21"/>
          <w:szCs w:val="24"/>
          <w:highlight w:val="none"/>
          <w:lang w:val="en-US" w:eastAsia="zh-CN" w:bidi="ar-SA"/>
        </w:rPr>
        <w:t>4.</w:t>
      </w:r>
      <w:r>
        <w:rPr>
          <w:rFonts w:hint="eastAsia" w:ascii="仿宋" w:hAnsi="仿宋" w:eastAsia="仿宋" w:cs="仿宋"/>
          <w:color w:val="auto"/>
          <w:sz w:val="28"/>
          <w:szCs w:val="28"/>
          <w:highlight w:val="none"/>
        </w:rPr>
        <w:t>招采办将</w:t>
      </w:r>
      <w:r>
        <w:rPr>
          <w:rFonts w:hint="eastAsia" w:ascii="仿宋" w:hAnsi="仿宋" w:eastAsia="仿宋" w:cs="仿宋"/>
          <w:color w:val="auto"/>
          <w:sz w:val="28"/>
          <w:szCs w:val="28"/>
          <w:highlight w:val="none"/>
          <w:lang w:val="en-US" w:eastAsia="zh-CN"/>
        </w:rPr>
        <w:t>作</w:t>
      </w:r>
      <w:r>
        <w:rPr>
          <w:rFonts w:hint="eastAsia" w:ascii="仿宋" w:hAnsi="仿宋" w:eastAsia="仿宋" w:cs="仿宋"/>
          <w:color w:val="auto"/>
          <w:sz w:val="28"/>
          <w:szCs w:val="28"/>
          <w:highlight w:val="none"/>
        </w:rPr>
        <w:t>出澄清和解答，逾期未提交质疑文件的视同无问题。</w:t>
      </w:r>
    </w:p>
    <w:p>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left="0" w:leftChars="0" w:firstLine="560" w:firstLineChars="200"/>
        <w:textAlignment w:val="auto"/>
        <w:rPr>
          <w:rFonts w:hint="eastAsia" w:ascii="仿宋" w:hAnsi="仿宋" w:eastAsia="仿宋" w:cs="仿宋"/>
          <w:color w:val="auto"/>
          <w:sz w:val="28"/>
          <w:szCs w:val="28"/>
          <w:highlight w:val="none"/>
        </w:rPr>
      </w:pPr>
    </w:p>
    <w:p>
      <w:pPr>
        <w:keepNext w:val="0"/>
        <w:keepLines w:val="0"/>
        <w:pageBreakBefore w:val="0"/>
        <w:widowControl w:val="0"/>
        <w:kinsoku/>
        <w:wordWrap/>
        <w:overflowPunct/>
        <w:topLinePunct w:val="0"/>
        <w:bidi w:val="0"/>
        <w:adjustRightInd/>
        <w:spacing w:line="500" w:lineRule="exact"/>
        <w:jc w:val="center"/>
        <w:textAlignment w:val="auto"/>
        <w:outlineLvl w:val="0"/>
        <w:rPr>
          <w:rFonts w:hint="eastAsia" w:ascii="宋体" w:hAnsi="宋体"/>
          <w:color w:val="auto"/>
          <w:sz w:val="24"/>
          <w:highlight w:val="none"/>
        </w:rPr>
      </w:pPr>
      <w:bookmarkStart w:id="1" w:name="_Toc20472"/>
      <w:r>
        <w:rPr>
          <w:rFonts w:hint="eastAsia" w:asciiTheme="minorEastAsia" w:hAnsiTheme="minorEastAsia" w:eastAsiaTheme="minorEastAsia"/>
          <w:b/>
          <w:bCs/>
          <w:color w:val="auto"/>
          <w:sz w:val="44"/>
          <w:szCs w:val="44"/>
          <w:highlight w:val="none"/>
        </w:rPr>
        <w:t>特别警示条款</w:t>
      </w:r>
      <w:bookmarkEnd w:id="1"/>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bookmarkStart w:id="2" w:name="_Toc16742"/>
      <w:bookmarkStart w:id="3" w:name="_Toc28128"/>
      <w:bookmarkStart w:id="4" w:name="_Toc4719"/>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一、《深圳经济特区政府采购条例》</w:t>
      </w:r>
      <w:bookmarkEnd w:id="2"/>
      <w:bookmarkEnd w:id="3"/>
      <w:bookmarkEnd w:id="4"/>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（一）在采购活动中应当回避而未回避的；</w:t>
      </w:r>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（二）未按本条例规定签订、履行采购合同，造成严重后果的；</w:t>
      </w:r>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（三）隐瞒真实情况，提供虚假资料的；</w:t>
      </w:r>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（四）以非法手段排斥其他供应商参与竞争的；</w:t>
      </w:r>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（五）与其他采购参加人串通投标的；</w:t>
      </w:r>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（六）恶意投诉的；</w:t>
      </w:r>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（七）向采购项目相关人行贿或者提供其他不当利益的；</w:t>
      </w:r>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（八）阻碍、抗拒主管部门监督检查的；</w:t>
      </w:r>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olor w:val="auto"/>
          <w:sz w:val="28"/>
          <w:szCs w:val="28"/>
          <w:highlight w:val="none"/>
        </w:rPr>
      </w:pPr>
      <w:r>
        <w:rPr>
          <w:rFonts w:hint="eastAsia" w:ascii="仿宋" w:hAnsi="仿宋" w:eastAsia="仿宋" w:cs="仿宋"/>
          <w:color w:val="auto"/>
          <w:sz w:val="28"/>
          <w:szCs w:val="28"/>
          <w:highlight w:val="none"/>
        </w:rPr>
        <w:t>（九）其他违反本条例规定的行为。</w:t>
      </w:r>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bookmarkStart w:id="5" w:name="_Toc4026"/>
      <w:bookmarkStart w:id="6" w:name="_Toc6288"/>
      <w:bookmarkStart w:id="7" w:name="_Toc17680"/>
      <w:r>
        <w:rPr>
          <w:rFonts w:hint="eastAsia" w:ascii="仿宋" w:hAnsi="仿宋" w:eastAsia="仿宋" w:cs="仿宋"/>
          <w:color w:val="auto"/>
          <w:sz w:val="28"/>
          <w:szCs w:val="28"/>
          <w:highlight w:val="none"/>
        </w:rPr>
        <w:t>二、《深圳经济特区政府采购条例实施细则》</w:t>
      </w:r>
      <w:bookmarkEnd w:id="5"/>
      <w:bookmarkEnd w:id="6"/>
      <w:bookmarkEnd w:id="7"/>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第七十五条  供应商有下列情形的，属于采购条例所称的串通投标行为，按照采购条例第五十七条有关规定处理：</w:t>
      </w:r>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（一）投标供应商之间相互约定给予未中标的供应商利益补偿；</w:t>
      </w:r>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（二）不同投标供应商的法定代表人、主要经营负责人、项目投标授权代表人、项目负责人、主要技术人员为同一人、属于同一单位或者在同一单位缴纳社会保险；</w:t>
      </w:r>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（三）不同投标供应商的投标文件由同一单位或者同一人编制，或者由同一人分阶段参与编制的；</w:t>
      </w:r>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（四）不同投标供应商的投标文件或部分投标文件相互混装；</w:t>
      </w:r>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（五）不同投标供应商的投标文件内容存在非正常一致；</w:t>
      </w:r>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（六）由同一单位工作人员为两家以上（含两家）供应商进行同一项投标活动的；</w:t>
      </w:r>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（七）主管部门依照法律法规认定的其他情形。</w:t>
      </w:r>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第七十七条  供应商有下列情形之一的，属于隐瞒真实情况，提供虚假资料，按照采购条例第五十七条的有关规定处理：</w:t>
      </w:r>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（一）通过转让或者租借等方式从其他单位获取资格或者资质证书投标的；</w:t>
      </w:r>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（二）由其他单位或者其他单位负责人在投标供应商编制的投标文件上加盖印章或者签字的；</w:t>
      </w:r>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（三）项目负责人或者主要技术人员不是本单位人员的；</w:t>
      </w:r>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（四）投标保证金不是从投标供应商基本账户转出的；</w:t>
      </w:r>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（五）其他隐瞒真实情况、提供虚假资料的行为。</w:t>
      </w:r>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投标供应商不能提供项目负责人或者主要技术人员的劳动合同、社会保险等劳动关系证明材料的，视为存在前款第（三）项规定的情形。</w:t>
      </w:r>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bookmarkStart w:id="8" w:name="_Toc12769"/>
      <w:bookmarkStart w:id="9" w:name="_Toc5544"/>
      <w:bookmarkStart w:id="10" w:name="_Toc13409"/>
      <w:r>
        <w:rPr>
          <w:rFonts w:hint="eastAsia" w:ascii="仿宋" w:hAnsi="仿宋" w:eastAsia="仿宋" w:cs="仿宋"/>
          <w:color w:val="auto"/>
          <w:sz w:val="28"/>
          <w:szCs w:val="28"/>
          <w:highlight w:val="none"/>
        </w:rPr>
        <w:t>三、《中华人民共和国政府采购法实施条例》</w:t>
      </w:r>
      <w:bookmarkEnd w:id="8"/>
      <w:bookmarkEnd w:id="9"/>
      <w:bookmarkEnd w:id="10"/>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第十八条  单位负责人为同一人或者存在直接控股、管理关系的不同供应商，不得参加同一合同项下的政府采购活动。</w:t>
      </w:r>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除单一来源采购项目外，为采购项目提供整体设计、规范编制或者项目管理、监理、检测等服务的供应商，不得再参加该采购项目的其他采购活动。</w:t>
      </w:r>
    </w:p>
    <w:p>
      <w:pPr>
        <w:keepNext w:val="0"/>
        <w:keepLines w:val="0"/>
        <w:pageBreakBefore w:val="0"/>
        <w:widowControl w:val="0"/>
        <w:kinsoku/>
        <w:wordWrap/>
        <w:overflowPunct/>
        <w:topLinePunct w:val="0"/>
        <w:autoSpaceDE w:val="0"/>
        <w:autoSpaceDN w:val="0"/>
        <w:bidi w:val="0"/>
        <w:adjustRightInd/>
        <w:spacing w:line="500" w:lineRule="exact"/>
        <w:ind w:firstLine="498" w:firstLineChars="177"/>
        <w:textAlignment w:val="auto"/>
        <w:rPr>
          <w:rFonts w:hint="eastAsia" w:ascii="仿宋_GB2312" w:eastAsia="仿宋_GB2312" w:hAnsiTheme="minorEastAsia"/>
          <w:b/>
          <w:color w:val="auto"/>
          <w:sz w:val="28"/>
          <w:highlight w:val="none"/>
        </w:rPr>
      </w:pPr>
      <w:r>
        <w:rPr>
          <w:rFonts w:hint="eastAsia" w:ascii="仿宋_GB2312" w:eastAsia="仿宋_GB2312" w:hAnsiTheme="minorEastAsia"/>
          <w:b/>
          <w:color w:val="auto"/>
          <w:sz w:val="28"/>
          <w:szCs w:val="28"/>
          <w:highlight w:val="none"/>
        </w:rPr>
        <w:t>投标供应商涉嫌存在串通投标等违法行为的，将书面报告财政主管部门依法处理。</w:t>
      </w:r>
    </w:p>
    <w:p>
      <w:pPr>
        <w:keepNext w:val="0"/>
        <w:keepLines w:val="0"/>
        <w:pageBreakBefore w:val="0"/>
        <w:widowControl w:val="0"/>
        <w:kinsoku/>
        <w:wordWrap/>
        <w:overflowPunct/>
        <w:topLinePunct w:val="0"/>
        <w:bidi w:val="0"/>
        <w:spacing w:line="560" w:lineRule="exact"/>
        <w:jc w:val="center"/>
        <w:textAlignment w:val="auto"/>
        <w:rPr>
          <w:rFonts w:hint="eastAsia" w:ascii="仿宋_GB2312" w:hAnsi="仿宋_GB2312" w:eastAsia="仿宋_GB2312" w:cs="仿宋_GB2312"/>
          <w:b/>
          <w:bCs/>
          <w:color w:val="auto"/>
          <w:sz w:val="36"/>
          <w:szCs w:val="36"/>
          <w:highlight w:val="none"/>
        </w:rPr>
      </w:pPr>
    </w:p>
    <w:p>
      <w:pPr>
        <w:keepNext w:val="0"/>
        <w:keepLines w:val="0"/>
        <w:pageBreakBefore w:val="0"/>
        <w:widowControl w:val="0"/>
        <w:kinsoku/>
        <w:wordWrap/>
        <w:overflowPunct/>
        <w:topLinePunct w:val="0"/>
        <w:bidi w:val="0"/>
        <w:spacing w:line="560" w:lineRule="exact"/>
        <w:jc w:val="center"/>
        <w:textAlignment w:val="auto"/>
        <w:rPr>
          <w:rFonts w:ascii="仿宋_GB2312" w:hAnsi="仿宋_GB2312" w:eastAsia="仿宋_GB2312" w:cs="仿宋_GB2312"/>
          <w:b/>
          <w:bCs/>
          <w:color w:val="auto"/>
          <w:sz w:val="36"/>
          <w:szCs w:val="36"/>
          <w:highlight w:val="none"/>
        </w:rPr>
      </w:pPr>
      <w:r>
        <w:rPr>
          <w:rFonts w:hint="eastAsia" w:ascii="仿宋_GB2312" w:hAnsi="仿宋_GB2312" w:eastAsia="仿宋_GB2312" w:cs="仿宋_GB2312"/>
          <w:b/>
          <w:bCs/>
          <w:color w:val="auto"/>
          <w:sz w:val="36"/>
          <w:szCs w:val="36"/>
          <w:highlight w:val="none"/>
        </w:rPr>
        <w:t>投标文件初审表</w:t>
      </w:r>
    </w:p>
    <w:p>
      <w:pPr>
        <w:keepNext w:val="0"/>
        <w:keepLines w:val="0"/>
        <w:pageBreakBefore w:val="0"/>
        <w:widowControl w:val="0"/>
        <w:kinsoku/>
        <w:wordWrap/>
        <w:overflowPunct/>
        <w:topLinePunct w:val="0"/>
        <w:bidi w:val="0"/>
        <w:spacing w:line="560" w:lineRule="exact"/>
        <w:jc w:val="center"/>
        <w:textAlignment w:val="auto"/>
        <w:rPr>
          <w:rFonts w:asciiTheme="majorEastAsia" w:hAnsiTheme="majorEastAsia" w:eastAsiaTheme="majorEastAsia"/>
          <w:color w:val="auto"/>
          <w:sz w:val="30"/>
          <w:szCs w:val="30"/>
          <w:highlight w:val="none"/>
        </w:rPr>
      </w:pPr>
      <w:r>
        <w:rPr>
          <w:rFonts w:hint="eastAsia" w:ascii="仿宋" w:hAnsi="仿宋" w:eastAsia="仿宋" w:cs="仿宋"/>
          <w:b/>
          <w:color w:val="auto"/>
          <w:sz w:val="22"/>
          <w:szCs w:val="28"/>
          <w:highlight w:val="none"/>
        </w:rPr>
        <w:t>（凡未满足下列情形的，投标文件无效，投标作废标处理）</w:t>
      </w:r>
    </w:p>
    <w:p>
      <w:pPr>
        <w:pStyle w:val="3"/>
        <w:keepNext w:val="0"/>
        <w:keepLines w:val="0"/>
        <w:pageBreakBefore w:val="0"/>
        <w:widowControl w:val="0"/>
        <w:kinsoku/>
        <w:wordWrap/>
        <w:overflowPunct/>
        <w:topLinePunct w:val="0"/>
        <w:bidi w:val="0"/>
        <w:spacing w:line="560" w:lineRule="exact"/>
        <w:jc w:val="center"/>
        <w:textAlignment w:val="auto"/>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lang w:eastAsia="zh-CN"/>
        </w:rPr>
        <w:t>（一）资格性审查表</w:t>
      </w:r>
    </w:p>
    <w:tbl>
      <w:tblPr>
        <w:tblStyle w:val="19"/>
        <w:tblW w:w="10090" w:type="dxa"/>
        <w:tblInd w:w="-5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7634"/>
        <w:gridCol w:w="1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883"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宋体" w:cs="宋体"/>
                <w:b/>
                <w:color w:val="auto"/>
                <w:highlight w:val="none"/>
              </w:rPr>
            </w:pPr>
            <w:r>
              <w:rPr>
                <w:rFonts w:hint="eastAsia" w:ascii="宋体" w:cs="宋体"/>
                <w:b/>
                <w:color w:val="auto"/>
                <w:highlight w:val="none"/>
              </w:rPr>
              <w:t>序号</w:t>
            </w:r>
          </w:p>
        </w:tc>
        <w:tc>
          <w:tcPr>
            <w:tcW w:w="7634"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宋体" w:cs="宋体"/>
                <w:b/>
                <w:color w:val="auto"/>
                <w:highlight w:val="none"/>
              </w:rPr>
            </w:pPr>
            <w:r>
              <w:rPr>
                <w:rFonts w:hint="eastAsia" w:ascii="宋体" w:hAnsi="宋体" w:cs="宋体"/>
                <w:b/>
                <w:color w:val="auto"/>
                <w:highlight w:val="none"/>
              </w:rPr>
              <w:t>评 审 内 容</w:t>
            </w:r>
          </w:p>
        </w:tc>
        <w:tc>
          <w:tcPr>
            <w:tcW w:w="1573"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自查情况</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cs="宋体"/>
                <w:b/>
                <w:color w:val="auto"/>
                <w:highlight w:val="none"/>
              </w:rPr>
            </w:pPr>
            <w:r>
              <w:rPr>
                <w:rFonts w:hint="eastAsia" w:ascii="宋体" w:hAnsi="宋体"/>
                <w:color w:val="auto"/>
                <w:szCs w:val="21"/>
                <w:highlight w:val="none"/>
                <w:lang w:eastAsia="zh-CN"/>
              </w:rPr>
              <w:t>（填写“</w:t>
            </w:r>
            <w:r>
              <w:rPr>
                <w:rFonts w:hint="eastAsia" w:ascii="宋体" w:hAnsi="宋体"/>
                <w:color w:val="auto"/>
                <w:szCs w:val="21"/>
                <w:highlight w:val="none"/>
                <w:lang w:val="en-US" w:eastAsia="zh-CN"/>
              </w:rPr>
              <w:t>满足</w:t>
            </w:r>
            <w:r>
              <w:rPr>
                <w:rFonts w:hint="eastAsia" w:ascii="宋体" w:hAnsi="宋体"/>
                <w:color w:val="auto"/>
                <w:szCs w:val="21"/>
                <w:highlight w:val="none"/>
                <w:lang w:eastAsia="zh-CN"/>
              </w:rPr>
              <w:t>”或“</w:t>
            </w:r>
            <w:r>
              <w:rPr>
                <w:rFonts w:hint="eastAsia" w:ascii="宋体" w:hAnsi="宋体"/>
                <w:color w:val="auto"/>
                <w:szCs w:val="21"/>
                <w:highlight w:val="none"/>
                <w:lang w:val="en-US" w:eastAsia="zh-CN"/>
              </w:rPr>
              <w:t>不满足</w:t>
            </w:r>
            <w:r>
              <w:rPr>
                <w:rFonts w:hint="eastAsia" w:ascii="宋体" w:hAnsi="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883" w:type="dxa"/>
            <w:vAlign w:val="center"/>
          </w:tcPr>
          <w:p>
            <w:pPr>
              <w:keepNext w:val="0"/>
              <w:keepLines w:val="0"/>
              <w:pageBreakBefore w:val="0"/>
              <w:widowControl w:val="0"/>
              <w:numPr>
                <w:ilvl w:val="0"/>
                <w:numId w:val="3"/>
              </w:numPr>
              <w:tabs>
                <w:tab w:val="left" w:pos="176"/>
                <w:tab w:val="left" w:pos="612"/>
              </w:tabs>
              <w:kinsoku/>
              <w:wordWrap/>
              <w:overflowPunct/>
              <w:topLinePunct w:val="0"/>
              <w:autoSpaceDE/>
              <w:autoSpaceDN/>
              <w:bidi w:val="0"/>
              <w:adjustRightInd/>
              <w:snapToGrid/>
              <w:spacing w:line="240" w:lineRule="atLeast"/>
              <w:ind w:left="342"/>
              <w:jc w:val="center"/>
              <w:textAlignment w:val="auto"/>
              <w:rPr>
                <w:rFonts w:ascii="宋体" w:hAnsi="宋体" w:cs="宋体"/>
                <w:color w:val="auto"/>
                <w:highlight w:val="none"/>
              </w:rPr>
            </w:pPr>
          </w:p>
        </w:tc>
        <w:tc>
          <w:tcPr>
            <w:tcW w:w="7634" w:type="dxa"/>
            <w:vAlign w:val="center"/>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具备招标文件中规定要求的资格，且资格证明文件齐全</w:t>
            </w:r>
            <w:r>
              <w:rPr>
                <w:rFonts w:hint="eastAsia" w:ascii="宋体" w:hAnsi="宋体" w:cs="宋体"/>
                <w:color w:val="auto"/>
                <w:sz w:val="22"/>
                <w:szCs w:val="22"/>
                <w:highlight w:val="none"/>
                <w:lang w:eastAsia="zh-CN"/>
              </w:rPr>
              <w:t>。</w:t>
            </w:r>
          </w:p>
        </w:tc>
        <w:tc>
          <w:tcPr>
            <w:tcW w:w="1573" w:type="dxa"/>
            <w:vAlign w:val="center"/>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883" w:type="dxa"/>
            <w:vAlign w:val="center"/>
          </w:tcPr>
          <w:p>
            <w:pPr>
              <w:keepNext w:val="0"/>
              <w:keepLines w:val="0"/>
              <w:pageBreakBefore w:val="0"/>
              <w:widowControl w:val="0"/>
              <w:numPr>
                <w:ilvl w:val="0"/>
                <w:numId w:val="3"/>
              </w:numPr>
              <w:tabs>
                <w:tab w:val="left" w:pos="176"/>
                <w:tab w:val="left" w:pos="612"/>
              </w:tabs>
              <w:kinsoku/>
              <w:wordWrap/>
              <w:overflowPunct/>
              <w:topLinePunct w:val="0"/>
              <w:autoSpaceDE/>
              <w:autoSpaceDN/>
              <w:bidi w:val="0"/>
              <w:adjustRightInd/>
              <w:snapToGrid/>
              <w:spacing w:line="240" w:lineRule="atLeast"/>
              <w:ind w:left="342"/>
              <w:jc w:val="center"/>
              <w:textAlignment w:val="auto"/>
              <w:rPr>
                <w:rFonts w:ascii="宋体" w:hAnsi="宋体" w:cs="宋体"/>
                <w:color w:val="auto"/>
                <w:highlight w:val="none"/>
              </w:rPr>
            </w:pPr>
          </w:p>
        </w:tc>
        <w:tc>
          <w:tcPr>
            <w:tcW w:w="7634" w:type="dxa"/>
            <w:vAlign w:val="center"/>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投标及履约承诺函已提交并符合招标文件要求的</w:t>
            </w:r>
            <w:r>
              <w:rPr>
                <w:rFonts w:hint="eastAsia" w:ascii="宋体" w:hAnsi="宋体" w:cs="宋体"/>
                <w:color w:val="auto"/>
                <w:sz w:val="22"/>
                <w:szCs w:val="22"/>
                <w:highlight w:val="none"/>
                <w:lang w:eastAsia="zh-CN"/>
              </w:rPr>
              <w:t>。</w:t>
            </w:r>
          </w:p>
        </w:tc>
        <w:tc>
          <w:tcPr>
            <w:tcW w:w="1573" w:type="dxa"/>
            <w:vAlign w:val="center"/>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883" w:type="dxa"/>
            <w:vAlign w:val="center"/>
          </w:tcPr>
          <w:p>
            <w:pPr>
              <w:keepNext w:val="0"/>
              <w:keepLines w:val="0"/>
              <w:pageBreakBefore w:val="0"/>
              <w:widowControl w:val="0"/>
              <w:numPr>
                <w:ilvl w:val="0"/>
                <w:numId w:val="3"/>
              </w:numPr>
              <w:tabs>
                <w:tab w:val="left" w:pos="176"/>
                <w:tab w:val="left" w:pos="612"/>
              </w:tabs>
              <w:kinsoku/>
              <w:wordWrap/>
              <w:overflowPunct/>
              <w:topLinePunct w:val="0"/>
              <w:autoSpaceDE/>
              <w:autoSpaceDN/>
              <w:bidi w:val="0"/>
              <w:adjustRightInd/>
              <w:snapToGrid/>
              <w:spacing w:line="240" w:lineRule="atLeast"/>
              <w:ind w:left="342"/>
              <w:jc w:val="center"/>
              <w:textAlignment w:val="auto"/>
              <w:rPr>
                <w:rFonts w:ascii="宋体" w:hAnsi="宋体" w:cs="宋体"/>
                <w:color w:val="auto"/>
                <w:highlight w:val="none"/>
              </w:rPr>
            </w:pPr>
            <w:bookmarkStart w:id="11" w:name="_Toc15975"/>
          </w:p>
        </w:tc>
        <w:tc>
          <w:tcPr>
            <w:tcW w:w="7634" w:type="dxa"/>
            <w:vAlign w:val="center"/>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ascii="宋体" w:hAnsi="宋体" w:cs="宋体"/>
                <w:color w:val="auto"/>
                <w:sz w:val="22"/>
                <w:szCs w:val="22"/>
                <w:highlight w:val="none"/>
              </w:rPr>
            </w:pPr>
            <w:r>
              <w:rPr>
                <w:rFonts w:hint="eastAsia" w:ascii="宋体" w:hAnsi="宋体" w:cs="宋体"/>
                <w:color w:val="auto"/>
                <w:sz w:val="22"/>
                <w:szCs w:val="22"/>
                <w:highlight w:val="none"/>
              </w:rPr>
              <w:t>供应商基本情况表已提交，提供法定代表人、主要经营负责人、项目投标授权代表人、项目负责人</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如有</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、主要技术人员</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如有</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最近一个月的社会保险证明。</w:t>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ascii="宋体" w:hAnsi="宋体" w:cs="宋体"/>
                <w:color w:val="auto"/>
                <w:sz w:val="22"/>
                <w:szCs w:val="22"/>
                <w:highlight w:val="none"/>
              </w:rPr>
            </w:pPr>
            <w:r>
              <w:rPr>
                <w:rFonts w:hint="eastAsia" w:ascii="宋体" w:hAnsi="宋体" w:cs="宋体"/>
                <w:color w:val="auto"/>
                <w:sz w:val="22"/>
                <w:szCs w:val="22"/>
                <w:highlight w:val="none"/>
              </w:rPr>
              <w:t>备注：</w:t>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ascii="宋体" w:hAnsi="宋体" w:cs="宋体"/>
                <w:color w:val="auto"/>
                <w:sz w:val="22"/>
                <w:szCs w:val="22"/>
                <w:highlight w:val="none"/>
              </w:rPr>
            </w:pPr>
            <w:r>
              <w:rPr>
                <w:rFonts w:hint="eastAsia" w:ascii="宋体" w:hAnsi="宋体" w:cs="宋体"/>
                <w:color w:val="auto"/>
                <w:sz w:val="22"/>
                <w:szCs w:val="22"/>
                <w:highlight w:val="none"/>
              </w:rPr>
              <w:t>1.法定代表人、主要经营负责人、项目投标授权代表人的社会保险未由投标人单位缴纳，亦须提供相应单位为其缴纳的社会保险证明。</w:t>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ascii="宋体" w:hAnsi="宋体" w:cs="宋体"/>
                <w:color w:val="auto"/>
                <w:sz w:val="22"/>
                <w:szCs w:val="22"/>
                <w:highlight w:val="none"/>
              </w:rPr>
            </w:pPr>
            <w:r>
              <w:rPr>
                <w:rFonts w:hint="eastAsia" w:ascii="宋体" w:hAnsi="宋体" w:cs="宋体"/>
                <w:color w:val="auto"/>
                <w:sz w:val="22"/>
                <w:szCs w:val="22"/>
                <w:highlight w:val="none"/>
              </w:rPr>
              <w:t>2.项目负责人和主要技术人员的社会保险须由投标人单位缴纳。</w:t>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ascii="宋体" w:hAnsi="宋体" w:cs="宋体"/>
                <w:color w:val="auto"/>
                <w:sz w:val="22"/>
                <w:szCs w:val="22"/>
                <w:highlight w:val="none"/>
              </w:rPr>
            </w:pPr>
            <w:r>
              <w:rPr>
                <w:rFonts w:hint="eastAsia" w:ascii="宋体" w:hAnsi="宋体" w:cs="宋体"/>
                <w:color w:val="auto"/>
                <w:sz w:val="22"/>
                <w:szCs w:val="22"/>
                <w:highlight w:val="none"/>
              </w:rPr>
              <w:t>3.投标人为新成立企业且成立时间不足一个月可提供加盖投标人公章的情况说明或者证明材料亦视为符合。</w:t>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ascii="宋体" w:hAnsi="宋体" w:cs="宋体"/>
                <w:color w:val="auto"/>
                <w:sz w:val="22"/>
                <w:szCs w:val="22"/>
                <w:highlight w:val="none"/>
              </w:rPr>
            </w:pPr>
            <w:r>
              <w:rPr>
                <w:rFonts w:hint="eastAsia" w:ascii="宋体" w:hAnsi="宋体" w:cs="宋体"/>
                <w:color w:val="auto"/>
                <w:sz w:val="22"/>
                <w:szCs w:val="22"/>
                <w:highlight w:val="none"/>
              </w:rPr>
              <w:t>4.若为退休人员，提供退休证明。如依法不需要缴纳社会保险的，应提供相应文件证明。</w:t>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ascii="宋体" w:hAnsi="宋体" w:cs="宋体"/>
                <w:color w:val="auto"/>
                <w:sz w:val="22"/>
                <w:szCs w:val="22"/>
                <w:highlight w:val="none"/>
              </w:rPr>
            </w:pPr>
            <w:r>
              <w:rPr>
                <w:rFonts w:hint="eastAsia" w:ascii="宋体" w:hAnsi="宋体" w:cs="宋体"/>
                <w:color w:val="auto"/>
                <w:sz w:val="22"/>
                <w:szCs w:val="22"/>
                <w:highlight w:val="none"/>
              </w:rPr>
              <w:t>5.若因社保部门原因无法提供的，需提供劳动合同及社保部门官方通知证明</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或官网公告截图</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w:t>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ascii="宋体" w:hAnsi="宋体" w:cs="宋体"/>
                <w:color w:val="auto"/>
                <w:sz w:val="22"/>
                <w:szCs w:val="22"/>
                <w:highlight w:val="none"/>
              </w:rPr>
            </w:pPr>
            <w:r>
              <w:rPr>
                <w:rFonts w:hint="eastAsia" w:ascii="宋体" w:hAnsi="宋体" w:cs="宋体"/>
                <w:color w:val="auto"/>
                <w:sz w:val="22"/>
                <w:szCs w:val="22"/>
                <w:highlight w:val="none"/>
              </w:rPr>
              <w:t>6.如本项目未安排项目负责人、主要技术人员的，无需提供项目负责人、主要技术人员的社保。</w:t>
            </w:r>
          </w:p>
        </w:tc>
        <w:tc>
          <w:tcPr>
            <w:tcW w:w="1573" w:type="dxa"/>
            <w:vAlign w:val="center"/>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883" w:type="dxa"/>
            <w:vAlign w:val="center"/>
          </w:tcPr>
          <w:p>
            <w:pPr>
              <w:keepNext w:val="0"/>
              <w:keepLines w:val="0"/>
              <w:pageBreakBefore w:val="0"/>
              <w:widowControl w:val="0"/>
              <w:numPr>
                <w:ilvl w:val="0"/>
                <w:numId w:val="3"/>
              </w:numPr>
              <w:tabs>
                <w:tab w:val="left" w:pos="176"/>
                <w:tab w:val="left" w:pos="612"/>
              </w:tabs>
              <w:kinsoku/>
              <w:wordWrap/>
              <w:overflowPunct/>
              <w:topLinePunct w:val="0"/>
              <w:autoSpaceDE/>
              <w:autoSpaceDN/>
              <w:bidi w:val="0"/>
              <w:adjustRightInd/>
              <w:snapToGrid/>
              <w:spacing w:line="240" w:lineRule="atLeast"/>
              <w:ind w:left="342"/>
              <w:jc w:val="center"/>
              <w:textAlignment w:val="auto"/>
              <w:rPr>
                <w:rFonts w:ascii="宋体" w:hAnsi="宋体" w:cs="宋体"/>
                <w:color w:val="auto"/>
                <w:highlight w:val="none"/>
              </w:rPr>
            </w:pPr>
          </w:p>
        </w:tc>
        <w:tc>
          <w:tcPr>
            <w:tcW w:w="7634" w:type="dxa"/>
            <w:vAlign w:val="center"/>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ascii="宋体" w:hAnsi="宋体" w:cs="宋体"/>
                <w:color w:val="auto"/>
                <w:sz w:val="22"/>
                <w:szCs w:val="22"/>
                <w:highlight w:val="none"/>
              </w:rPr>
            </w:pPr>
            <w:r>
              <w:rPr>
                <w:rFonts w:hint="eastAsia" w:ascii="宋体" w:hAnsi="宋体" w:cs="宋体"/>
                <w:color w:val="auto"/>
                <w:sz w:val="22"/>
                <w:szCs w:val="22"/>
                <w:highlight w:val="none"/>
              </w:rPr>
              <w:t>不同供应商的法定代表人、主要经营负责人、项目投标授权代表人、项目负责人</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如有</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、主要技术人员</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如有</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不存在为同一人或在同一单位缴纳社会保险；或者不存在直接控股、管理关系；不存在因违法行为而被禁止参加政府采购活动等情形。</w:t>
            </w:r>
          </w:p>
        </w:tc>
        <w:tc>
          <w:tcPr>
            <w:tcW w:w="1573" w:type="dxa"/>
            <w:vAlign w:val="center"/>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cs="宋体"/>
                <w:color w:val="auto"/>
                <w:sz w:val="22"/>
                <w:szCs w:val="22"/>
                <w:highlight w:val="none"/>
              </w:rPr>
            </w:pPr>
          </w:p>
        </w:tc>
      </w:tr>
      <w:bookmarkEnd w:id="11"/>
    </w:tbl>
    <w:p>
      <w:pPr>
        <w:pStyle w:val="3"/>
        <w:spacing w:line="240" w:lineRule="atLeast"/>
        <w:rPr>
          <w:color w:val="auto"/>
          <w:highlight w:val="none"/>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投标人（公章）：</w:t>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法定代表人或其授权代表签名：</w:t>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日期：      年    月    日</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3"/>
        <w:keepNext w:val="0"/>
        <w:keepLines w:val="0"/>
        <w:pageBreakBefore w:val="0"/>
        <w:widowControl w:val="0"/>
        <w:kinsoku/>
        <w:wordWrap/>
        <w:overflowPunct/>
        <w:topLinePunct w:val="0"/>
        <w:bidi w:val="0"/>
        <w:spacing w:line="560" w:lineRule="exact"/>
        <w:jc w:val="center"/>
        <w:textAlignment w:val="auto"/>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lang w:eastAsia="zh-CN"/>
        </w:rPr>
        <w:t>（二）符合性检查表</w:t>
      </w:r>
    </w:p>
    <w:tbl>
      <w:tblPr>
        <w:tblStyle w:val="19"/>
        <w:tblW w:w="10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7650"/>
        <w:gridCol w:w="1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10" w:type="dxa"/>
            <w:noWrap/>
            <w:vAlign w:val="center"/>
          </w:tcPr>
          <w:p>
            <w:pPr>
              <w:keepNext w:val="0"/>
              <w:keepLines w:val="0"/>
              <w:pageBreakBefore w:val="0"/>
              <w:widowControl w:val="0"/>
              <w:kinsoku/>
              <w:wordWrap/>
              <w:overflowPunct/>
              <w:topLinePunct w:val="0"/>
              <w:bidi w:val="0"/>
              <w:spacing w:line="240" w:lineRule="atLeast"/>
              <w:jc w:val="left"/>
              <w:textAlignment w:val="auto"/>
              <w:rPr>
                <w:rFonts w:ascii="宋体" w:hAnsi="宋体" w:cs="宋体"/>
                <w:b/>
                <w:color w:val="auto"/>
                <w:highlight w:val="none"/>
              </w:rPr>
            </w:pPr>
            <w:r>
              <w:rPr>
                <w:rFonts w:hint="eastAsia" w:ascii="宋体" w:hAnsi="宋体" w:cs="宋体"/>
                <w:b/>
                <w:color w:val="auto"/>
                <w:highlight w:val="none"/>
              </w:rPr>
              <w:t>序号</w:t>
            </w:r>
          </w:p>
        </w:tc>
        <w:tc>
          <w:tcPr>
            <w:tcW w:w="7650" w:type="dxa"/>
            <w:noWrap/>
            <w:vAlign w:val="center"/>
          </w:tcPr>
          <w:p>
            <w:pPr>
              <w:keepNext w:val="0"/>
              <w:keepLines w:val="0"/>
              <w:pageBreakBefore w:val="0"/>
              <w:widowControl w:val="0"/>
              <w:kinsoku/>
              <w:wordWrap/>
              <w:overflowPunct/>
              <w:topLinePunct w:val="0"/>
              <w:bidi w:val="0"/>
              <w:spacing w:line="240" w:lineRule="atLeast"/>
              <w:jc w:val="left"/>
              <w:textAlignment w:val="auto"/>
              <w:rPr>
                <w:rFonts w:ascii="宋体" w:hAnsi="宋体" w:cs="宋体"/>
                <w:b/>
                <w:color w:val="auto"/>
                <w:highlight w:val="none"/>
              </w:rPr>
            </w:pPr>
            <w:r>
              <w:rPr>
                <w:rFonts w:hint="eastAsia" w:ascii="宋体" w:hAnsi="宋体" w:cs="宋体"/>
                <w:b/>
                <w:color w:val="auto"/>
                <w:highlight w:val="none"/>
              </w:rPr>
              <w:t>评审内容</w:t>
            </w:r>
          </w:p>
        </w:tc>
        <w:tc>
          <w:tcPr>
            <w:tcW w:w="1613" w:type="dxa"/>
            <w:noWrap/>
            <w:vAlign w:val="center"/>
          </w:tcPr>
          <w:p>
            <w:pPr>
              <w:keepNext w:val="0"/>
              <w:keepLines w:val="0"/>
              <w:pageBreakBefore w:val="0"/>
              <w:widowControl w:val="0"/>
              <w:kinsoku/>
              <w:wordWrap/>
              <w:overflowPunct/>
              <w:topLinePunct w:val="0"/>
              <w:bidi w:val="0"/>
              <w:spacing w:line="240" w:lineRule="atLeast"/>
              <w:jc w:val="left"/>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自查情况</w:t>
            </w:r>
          </w:p>
          <w:p>
            <w:pPr>
              <w:keepNext w:val="0"/>
              <w:keepLines w:val="0"/>
              <w:pageBreakBefore w:val="0"/>
              <w:widowControl w:val="0"/>
              <w:kinsoku/>
              <w:wordWrap/>
              <w:overflowPunct/>
              <w:topLinePunct w:val="0"/>
              <w:bidi w:val="0"/>
              <w:spacing w:line="240" w:lineRule="atLeast"/>
              <w:jc w:val="left"/>
              <w:textAlignment w:val="auto"/>
              <w:rPr>
                <w:rFonts w:hint="eastAsia" w:ascii="宋体" w:hAnsi="宋体" w:cs="宋体"/>
                <w:b/>
                <w:color w:val="auto"/>
                <w:highlight w:val="none"/>
              </w:rPr>
            </w:pPr>
            <w:r>
              <w:rPr>
                <w:rFonts w:hint="eastAsia" w:ascii="宋体" w:hAnsi="宋体"/>
                <w:color w:val="auto"/>
                <w:szCs w:val="21"/>
                <w:highlight w:val="none"/>
                <w:lang w:eastAsia="zh-CN"/>
              </w:rPr>
              <w:t>（填写“</w:t>
            </w:r>
            <w:r>
              <w:rPr>
                <w:rFonts w:hint="eastAsia" w:ascii="宋体" w:hAnsi="宋体"/>
                <w:color w:val="auto"/>
                <w:szCs w:val="21"/>
                <w:highlight w:val="none"/>
                <w:lang w:val="en-US" w:eastAsia="zh-CN"/>
              </w:rPr>
              <w:t>满足</w:t>
            </w:r>
            <w:r>
              <w:rPr>
                <w:rFonts w:hint="eastAsia" w:ascii="宋体" w:hAnsi="宋体"/>
                <w:color w:val="auto"/>
                <w:szCs w:val="21"/>
                <w:highlight w:val="none"/>
                <w:lang w:eastAsia="zh-CN"/>
              </w:rPr>
              <w:t>”或“</w:t>
            </w:r>
            <w:r>
              <w:rPr>
                <w:rFonts w:hint="eastAsia" w:ascii="宋体" w:hAnsi="宋体"/>
                <w:color w:val="auto"/>
                <w:szCs w:val="21"/>
                <w:highlight w:val="none"/>
                <w:lang w:val="en-US" w:eastAsia="zh-CN"/>
              </w:rPr>
              <w:t>不满足</w:t>
            </w:r>
            <w:r>
              <w:rPr>
                <w:rFonts w:hint="eastAsia" w:ascii="宋体" w:hAnsi="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10" w:type="dxa"/>
            <w:noWrap/>
            <w:vAlign w:val="center"/>
          </w:tcPr>
          <w:p>
            <w:pPr>
              <w:keepNext w:val="0"/>
              <w:keepLines w:val="0"/>
              <w:pageBreakBefore w:val="0"/>
              <w:widowControl w:val="0"/>
              <w:kinsoku/>
              <w:wordWrap/>
              <w:overflowPunct/>
              <w:topLinePunct w:val="0"/>
              <w:bidi w:val="0"/>
              <w:spacing w:line="240" w:lineRule="atLeast"/>
              <w:jc w:val="left"/>
              <w:textAlignment w:val="auto"/>
              <w:rPr>
                <w:rFonts w:ascii="宋体" w:hAnsi="宋体" w:cs="宋体"/>
                <w:color w:val="auto"/>
                <w:sz w:val="20"/>
                <w:szCs w:val="20"/>
                <w:highlight w:val="none"/>
              </w:rPr>
            </w:pPr>
            <w:r>
              <w:rPr>
                <w:rFonts w:hint="eastAsia" w:ascii="宋体" w:hAnsi="宋体" w:cs="宋体"/>
                <w:color w:val="auto"/>
                <w:sz w:val="20"/>
                <w:szCs w:val="20"/>
                <w:highlight w:val="none"/>
              </w:rPr>
              <w:t>1</w:t>
            </w:r>
          </w:p>
        </w:tc>
        <w:tc>
          <w:tcPr>
            <w:tcW w:w="7650" w:type="dxa"/>
            <w:noWrap/>
            <w:vAlign w:val="center"/>
          </w:tcPr>
          <w:p>
            <w:pPr>
              <w:keepNext w:val="0"/>
              <w:keepLines w:val="0"/>
              <w:pageBreakBefore w:val="0"/>
              <w:widowControl w:val="0"/>
              <w:kinsoku/>
              <w:wordWrap/>
              <w:overflowPunct/>
              <w:topLinePunct w:val="0"/>
              <w:bidi w:val="0"/>
              <w:spacing w:line="240" w:lineRule="atLeast"/>
              <w:jc w:val="left"/>
              <w:textAlignment w:val="auto"/>
              <w:rPr>
                <w:rFonts w:ascii="宋体" w:hAnsi="宋体" w:cs="宋体"/>
                <w:bCs/>
                <w:color w:val="auto"/>
                <w:sz w:val="22"/>
                <w:szCs w:val="22"/>
                <w:highlight w:val="none"/>
              </w:rPr>
            </w:pPr>
            <w:r>
              <w:rPr>
                <w:rFonts w:hint="eastAsia"/>
                <w:color w:val="auto"/>
                <w:highlight w:val="none"/>
              </w:rPr>
              <w:t>未</w:t>
            </w:r>
            <w:r>
              <w:rPr>
                <w:rFonts w:hint="eastAsia" w:ascii="宋体" w:hAnsi="宋体" w:cs="宋体"/>
                <w:bCs/>
                <w:color w:val="auto"/>
                <w:sz w:val="22"/>
                <w:szCs w:val="22"/>
                <w:highlight w:val="none"/>
              </w:rPr>
              <w:t>将一个包中的内容拆开投标。</w:t>
            </w:r>
          </w:p>
        </w:tc>
        <w:tc>
          <w:tcPr>
            <w:tcW w:w="1613" w:type="dxa"/>
            <w:noWrap/>
            <w:vAlign w:val="center"/>
          </w:tcPr>
          <w:p>
            <w:pPr>
              <w:keepNext w:val="0"/>
              <w:keepLines w:val="0"/>
              <w:pageBreakBefore w:val="0"/>
              <w:widowControl w:val="0"/>
              <w:kinsoku/>
              <w:wordWrap/>
              <w:overflowPunct/>
              <w:topLinePunct w:val="0"/>
              <w:bidi w:val="0"/>
              <w:spacing w:line="240" w:lineRule="atLeast"/>
              <w:jc w:val="lef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910" w:type="dxa"/>
            <w:noWrap/>
            <w:vAlign w:val="center"/>
          </w:tcPr>
          <w:p>
            <w:pPr>
              <w:keepNext w:val="0"/>
              <w:keepLines w:val="0"/>
              <w:pageBreakBefore w:val="0"/>
              <w:widowControl w:val="0"/>
              <w:kinsoku/>
              <w:wordWrap/>
              <w:overflowPunct/>
              <w:topLinePunct w:val="0"/>
              <w:bidi w:val="0"/>
              <w:spacing w:line="240" w:lineRule="atLeast"/>
              <w:jc w:val="left"/>
              <w:textAlignment w:val="auto"/>
              <w:rPr>
                <w:rFonts w:ascii="宋体" w:hAnsi="宋体" w:cs="宋体"/>
                <w:color w:val="auto"/>
                <w:sz w:val="20"/>
                <w:szCs w:val="20"/>
                <w:highlight w:val="none"/>
              </w:rPr>
            </w:pPr>
            <w:r>
              <w:rPr>
                <w:rFonts w:hint="eastAsia" w:ascii="宋体" w:hAnsi="宋体" w:cs="宋体"/>
                <w:color w:val="auto"/>
                <w:sz w:val="20"/>
                <w:szCs w:val="20"/>
                <w:highlight w:val="none"/>
              </w:rPr>
              <w:t>2</w:t>
            </w:r>
          </w:p>
        </w:tc>
        <w:tc>
          <w:tcPr>
            <w:tcW w:w="7650" w:type="dxa"/>
            <w:noWrap/>
            <w:vAlign w:val="center"/>
          </w:tcPr>
          <w:p>
            <w:pPr>
              <w:keepNext w:val="0"/>
              <w:keepLines w:val="0"/>
              <w:pageBreakBefore w:val="0"/>
              <w:widowControl w:val="0"/>
              <w:kinsoku/>
              <w:wordWrap/>
              <w:overflowPunct/>
              <w:topLinePunct w:val="0"/>
              <w:bidi w:val="0"/>
              <w:spacing w:line="240" w:lineRule="atLeast"/>
              <w:jc w:val="left"/>
              <w:textAlignment w:val="auto"/>
              <w:rPr>
                <w:rFonts w:ascii="宋体" w:hAnsi="宋体" w:cs="宋体"/>
                <w:bCs/>
                <w:color w:val="auto"/>
                <w:sz w:val="22"/>
                <w:szCs w:val="22"/>
                <w:highlight w:val="none"/>
              </w:rPr>
            </w:pPr>
            <w:r>
              <w:rPr>
                <w:rFonts w:hint="eastAsia" w:ascii="宋体" w:hAnsi="宋体" w:cs="宋体"/>
                <w:bCs/>
                <w:color w:val="auto"/>
                <w:sz w:val="22"/>
                <w:szCs w:val="22"/>
                <w:highlight w:val="none"/>
              </w:rPr>
              <w:t>招标文件未规定允许有替代方案时，对同一货物投标时，</w:t>
            </w:r>
            <w:r>
              <w:rPr>
                <w:rFonts w:hint="eastAsia"/>
                <w:color w:val="auto"/>
                <w:highlight w:val="none"/>
              </w:rPr>
              <w:t>未</w:t>
            </w:r>
            <w:r>
              <w:rPr>
                <w:rFonts w:hint="eastAsia" w:ascii="宋体" w:hAnsi="宋体" w:cs="宋体"/>
                <w:bCs/>
                <w:color w:val="auto"/>
                <w:sz w:val="22"/>
                <w:szCs w:val="22"/>
                <w:highlight w:val="none"/>
              </w:rPr>
              <w:t>同时提供两套或两套以上的投标方案。</w:t>
            </w:r>
          </w:p>
        </w:tc>
        <w:tc>
          <w:tcPr>
            <w:tcW w:w="1613" w:type="dxa"/>
            <w:noWrap/>
            <w:vAlign w:val="center"/>
          </w:tcPr>
          <w:p>
            <w:pPr>
              <w:keepNext w:val="0"/>
              <w:keepLines w:val="0"/>
              <w:pageBreakBefore w:val="0"/>
              <w:widowControl w:val="0"/>
              <w:kinsoku/>
              <w:wordWrap/>
              <w:overflowPunct/>
              <w:topLinePunct w:val="0"/>
              <w:bidi w:val="0"/>
              <w:spacing w:line="240" w:lineRule="atLeast"/>
              <w:jc w:val="left"/>
              <w:textAlignment w:val="auto"/>
              <w:rPr>
                <w:rFonts w:hint="eastAsia" w:ascii="宋体" w:hAnsi="宋体" w:cs="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10" w:type="dxa"/>
            <w:noWrap/>
            <w:vAlign w:val="center"/>
          </w:tcPr>
          <w:p>
            <w:pPr>
              <w:keepNext w:val="0"/>
              <w:keepLines w:val="0"/>
              <w:pageBreakBefore w:val="0"/>
              <w:widowControl w:val="0"/>
              <w:kinsoku/>
              <w:wordWrap/>
              <w:overflowPunct/>
              <w:topLinePunct w:val="0"/>
              <w:bidi w:val="0"/>
              <w:spacing w:line="240" w:lineRule="atLeast"/>
              <w:jc w:val="left"/>
              <w:textAlignment w:val="auto"/>
              <w:rPr>
                <w:rFonts w:ascii="宋体" w:hAnsi="宋体" w:cs="宋体"/>
                <w:color w:val="auto"/>
                <w:sz w:val="20"/>
                <w:szCs w:val="20"/>
                <w:highlight w:val="none"/>
              </w:rPr>
            </w:pPr>
            <w:r>
              <w:rPr>
                <w:rFonts w:hint="eastAsia" w:ascii="宋体" w:hAnsi="宋体" w:cs="宋体"/>
                <w:color w:val="auto"/>
                <w:sz w:val="20"/>
                <w:szCs w:val="20"/>
                <w:highlight w:val="none"/>
              </w:rPr>
              <w:t>3</w:t>
            </w:r>
          </w:p>
        </w:tc>
        <w:tc>
          <w:tcPr>
            <w:tcW w:w="7650" w:type="dxa"/>
            <w:noWrap/>
            <w:vAlign w:val="center"/>
          </w:tcPr>
          <w:p>
            <w:pPr>
              <w:keepNext w:val="0"/>
              <w:keepLines w:val="0"/>
              <w:pageBreakBefore w:val="0"/>
              <w:widowControl w:val="0"/>
              <w:kinsoku/>
              <w:wordWrap/>
              <w:overflowPunct/>
              <w:topLinePunct w:val="0"/>
              <w:bidi w:val="0"/>
              <w:spacing w:line="240" w:lineRule="atLeast"/>
              <w:jc w:val="left"/>
              <w:textAlignment w:val="auto"/>
              <w:rPr>
                <w:rFonts w:ascii="宋体" w:hAnsi="宋体" w:cs="宋体"/>
                <w:bCs/>
                <w:color w:val="auto"/>
                <w:sz w:val="22"/>
                <w:szCs w:val="22"/>
                <w:highlight w:val="none"/>
              </w:rPr>
            </w:pPr>
            <w:r>
              <w:rPr>
                <w:rFonts w:hint="eastAsia" w:ascii="宋体" w:hAnsi="宋体" w:cs="宋体"/>
                <w:color w:val="auto"/>
                <w:szCs w:val="21"/>
                <w:highlight w:val="none"/>
              </w:rPr>
              <w:t>投标报价按照招标文件要求进行报价，</w:t>
            </w:r>
            <w:r>
              <w:rPr>
                <w:rFonts w:hint="eastAsia" w:ascii="宋体" w:hAnsi="宋体" w:cs="宋体"/>
                <w:bCs/>
                <w:color w:val="auto"/>
                <w:sz w:val="22"/>
                <w:szCs w:val="22"/>
                <w:highlight w:val="none"/>
              </w:rPr>
              <w:t>投标总价或分项报价</w:t>
            </w:r>
            <w:r>
              <w:rPr>
                <w:rFonts w:hint="eastAsia"/>
                <w:color w:val="auto"/>
                <w:highlight w:val="none"/>
              </w:rPr>
              <w:t>未</w:t>
            </w:r>
            <w:r>
              <w:rPr>
                <w:rFonts w:hint="eastAsia" w:ascii="宋体" w:hAnsi="宋体" w:cs="宋体"/>
                <w:bCs/>
                <w:color w:val="auto"/>
                <w:sz w:val="22"/>
                <w:szCs w:val="22"/>
                <w:highlight w:val="none"/>
              </w:rPr>
              <w:t>高于项目预算限额。</w:t>
            </w:r>
          </w:p>
        </w:tc>
        <w:tc>
          <w:tcPr>
            <w:tcW w:w="1613" w:type="dxa"/>
            <w:noWrap/>
            <w:vAlign w:val="center"/>
          </w:tcPr>
          <w:p>
            <w:pPr>
              <w:keepNext w:val="0"/>
              <w:keepLines w:val="0"/>
              <w:pageBreakBefore w:val="0"/>
              <w:widowControl w:val="0"/>
              <w:kinsoku/>
              <w:wordWrap/>
              <w:overflowPunct/>
              <w:topLinePunct w:val="0"/>
              <w:bidi w:val="0"/>
              <w:spacing w:line="240" w:lineRule="atLeast"/>
              <w:jc w:val="left"/>
              <w:textAlignment w:val="auto"/>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910" w:type="dxa"/>
            <w:noWrap/>
            <w:vAlign w:val="center"/>
          </w:tcPr>
          <w:p>
            <w:pPr>
              <w:keepNext w:val="0"/>
              <w:keepLines w:val="0"/>
              <w:pageBreakBefore w:val="0"/>
              <w:widowControl w:val="0"/>
              <w:kinsoku/>
              <w:wordWrap/>
              <w:overflowPunct/>
              <w:topLinePunct w:val="0"/>
              <w:bidi w:val="0"/>
              <w:spacing w:line="240" w:lineRule="atLeast"/>
              <w:jc w:val="left"/>
              <w:textAlignment w:val="auto"/>
              <w:rPr>
                <w:rFonts w:ascii="宋体" w:hAnsi="宋体" w:cs="宋体"/>
                <w:color w:val="auto"/>
                <w:sz w:val="20"/>
                <w:szCs w:val="20"/>
                <w:highlight w:val="none"/>
              </w:rPr>
            </w:pPr>
            <w:r>
              <w:rPr>
                <w:rFonts w:hint="eastAsia" w:ascii="宋体" w:hAnsi="宋体" w:cs="宋体"/>
                <w:color w:val="auto"/>
                <w:sz w:val="20"/>
                <w:szCs w:val="20"/>
                <w:highlight w:val="none"/>
              </w:rPr>
              <w:t>4</w:t>
            </w:r>
          </w:p>
        </w:tc>
        <w:tc>
          <w:tcPr>
            <w:tcW w:w="7650" w:type="dxa"/>
            <w:noWrap/>
            <w:vAlign w:val="center"/>
          </w:tcPr>
          <w:p>
            <w:pPr>
              <w:keepNext w:val="0"/>
              <w:keepLines w:val="0"/>
              <w:pageBreakBefore w:val="0"/>
              <w:widowControl w:val="0"/>
              <w:kinsoku/>
              <w:wordWrap/>
              <w:overflowPunct/>
              <w:topLinePunct w:val="0"/>
              <w:bidi w:val="0"/>
              <w:spacing w:line="240" w:lineRule="atLeast"/>
              <w:jc w:val="left"/>
              <w:textAlignment w:val="auto"/>
              <w:rPr>
                <w:rFonts w:hint="eastAsia" w:ascii="宋体" w:hAnsi="宋体" w:eastAsia="宋体" w:cs="宋体"/>
                <w:bCs/>
                <w:color w:val="auto"/>
                <w:sz w:val="22"/>
                <w:szCs w:val="22"/>
                <w:highlight w:val="none"/>
                <w:lang w:eastAsia="zh-CN"/>
              </w:rPr>
            </w:pPr>
            <w:r>
              <w:rPr>
                <w:rFonts w:hint="eastAsia" w:ascii="宋体" w:hAnsi="宋体" w:eastAsia="宋体" w:cs="宋体"/>
                <w:color w:val="auto"/>
                <w:szCs w:val="21"/>
                <w:highlight w:val="none"/>
              </w:rPr>
              <w:t>本项目评审中出现下列情形之一的，评审委员会应当启动异常低价投标(响应)审查程序：（1）投标（响应）报价低于全部通过符合性审查供应商投标（响应）报价平均值50%的，即投标（响应）报价&lt;全部通过符合性审查供应商投标（响应）报价平均值×50%；（2）投标（响应）报价低于通过符合性审查且报价次低供应商投标（响应）报价50%的，即投标（响应）报价&lt;通过符合性审查且报价次低供应商投标（响应）报价×50%；（3）投标（响应）报价低于采购项目最高限价45%的，即投标（响应）报价&lt;采购项目最高限价×45%；（4）评审委员会基于专业判断，认为供应商报价过低，有可能影响产品质量或者不能诚信履约的其他情形</w:t>
            </w:r>
            <w:r>
              <w:rPr>
                <w:rFonts w:hint="eastAsia" w:ascii="宋体" w:hAnsi="宋体" w:eastAsia="宋体" w:cs="宋体"/>
                <w:color w:val="auto"/>
                <w:szCs w:val="21"/>
                <w:highlight w:val="none"/>
                <w:lang w:eastAsia="zh-CN"/>
              </w:rPr>
              <w:t>。</w:t>
            </w:r>
          </w:p>
        </w:tc>
        <w:tc>
          <w:tcPr>
            <w:tcW w:w="1613" w:type="dxa"/>
            <w:noWrap/>
            <w:vAlign w:val="center"/>
          </w:tcPr>
          <w:p>
            <w:pPr>
              <w:keepNext w:val="0"/>
              <w:keepLines w:val="0"/>
              <w:pageBreakBefore w:val="0"/>
              <w:widowControl w:val="0"/>
              <w:kinsoku/>
              <w:wordWrap/>
              <w:overflowPunct/>
              <w:topLinePunct w:val="0"/>
              <w:bidi w:val="0"/>
              <w:spacing w:line="240" w:lineRule="atLeast"/>
              <w:jc w:val="left"/>
              <w:textAlignment w:val="auto"/>
              <w:rPr>
                <w:rFonts w:hint="eastAsia" w:ascii="宋体" w:hAnsi="宋体" w:cs="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10" w:type="dxa"/>
            <w:noWrap/>
            <w:vAlign w:val="center"/>
          </w:tcPr>
          <w:p>
            <w:pPr>
              <w:keepNext w:val="0"/>
              <w:keepLines w:val="0"/>
              <w:pageBreakBefore w:val="0"/>
              <w:widowControl w:val="0"/>
              <w:kinsoku/>
              <w:wordWrap/>
              <w:overflowPunct/>
              <w:topLinePunct w:val="0"/>
              <w:bidi w:val="0"/>
              <w:spacing w:line="240" w:lineRule="atLeast"/>
              <w:jc w:val="left"/>
              <w:textAlignment w:val="auto"/>
              <w:rPr>
                <w:rFonts w:ascii="宋体" w:hAnsi="宋体" w:cs="宋体"/>
                <w:color w:val="auto"/>
                <w:sz w:val="20"/>
                <w:szCs w:val="20"/>
                <w:highlight w:val="none"/>
              </w:rPr>
            </w:pPr>
            <w:r>
              <w:rPr>
                <w:rFonts w:hint="eastAsia" w:ascii="宋体" w:hAnsi="宋体" w:cs="宋体"/>
                <w:color w:val="auto"/>
                <w:sz w:val="20"/>
                <w:szCs w:val="20"/>
                <w:highlight w:val="none"/>
              </w:rPr>
              <w:t>5</w:t>
            </w:r>
          </w:p>
        </w:tc>
        <w:tc>
          <w:tcPr>
            <w:tcW w:w="7650" w:type="dxa"/>
            <w:noWrap/>
            <w:vAlign w:val="center"/>
          </w:tcPr>
          <w:p>
            <w:pPr>
              <w:keepNext w:val="0"/>
              <w:keepLines w:val="0"/>
              <w:pageBreakBefore w:val="0"/>
              <w:widowControl w:val="0"/>
              <w:kinsoku/>
              <w:wordWrap/>
              <w:overflowPunct/>
              <w:topLinePunct w:val="0"/>
              <w:bidi w:val="0"/>
              <w:spacing w:line="240" w:lineRule="atLeast"/>
              <w:jc w:val="left"/>
              <w:textAlignment w:val="auto"/>
              <w:rPr>
                <w:rFonts w:ascii="宋体" w:hAnsi="宋体" w:cs="宋体"/>
                <w:bCs/>
                <w:color w:val="auto"/>
                <w:sz w:val="22"/>
                <w:szCs w:val="22"/>
                <w:highlight w:val="none"/>
              </w:rPr>
            </w:pPr>
            <w:r>
              <w:rPr>
                <w:rFonts w:hint="eastAsia" w:ascii="宋体" w:hAnsi="宋体" w:cs="宋体"/>
                <w:bCs/>
                <w:color w:val="auto"/>
                <w:sz w:val="22"/>
                <w:szCs w:val="22"/>
                <w:highlight w:val="none"/>
              </w:rPr>
              <w:t>同一项目未出现两个或以上报价、单价汇总与总价不符的情况。评委会有权要求投标供应商在规定时间内进行书面澄清说明，投标供应商不能及时进行澄清说明的，评标委员会应当将其作为无效投标处理。</w:t>
            </w:r>
          </w:p>
        </w:tc>
        <w:tc>
          <w:tcPr>
            <w:tcW w:w="1613" w:type="dxa"/>
            <w:noWrap/>
            <w:vAlign w:val="center"/>
          </w:tcPr>
          <w:p>
            <w:pPr>
              <w:keepNext w:val="0"/>
              <w:keepLines w:val="0"/>
              <w:pageBreakBefore w:val="0"/>
              <w:widowControl w:val="0"/>
              <w:kinsoku/>
              <w:wordWrap/>
              <w:overflowPunct/>
              <w:topLinePunct w:val="0"/>
              <w:bidi w:val="0"/>
              <w:spacing w:line="240" w:lineRule="atLeast"/>
              <w:jc w:val="left"/>
              <w:textAlignment w:val="auto"/>
              <w:rPr>
                <w:rFonts w:hint="eastAsia" w:ascii="宋体" w:hAnsi="宋体" w:cs="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10" w:type="dxa"/>
            <w:noWrap/>
            <w:vAlign w:val="center"/>
          </w:tcPr>
          <w:p>
            <w:pPr>
              <w:keepNext w:val="0"/>
              <w:keepLines w:val="0"/>
              <w:pageBreakBefore w:val="0"/>
              <w:widowControl w:val="0"/>
              <w:kinsoku/>
              <w:wordWrap/>
              <w:overflowPunct/>
              <w:topLinePunct w:val="0"/>
              <w:bidi w:val="0"/>
              <w:spacing w:line="240" w:lineRule="atLeast"/>
              <w:jc w:val="left"/>
              <w:textAlignment w:val="auto"/>
              <w:rPr>
                <w:rFonts w:ascii="宋体" w:hAnsi="宋体" w:cs="宋体"/>
                <w:color w:val="auto"/>
                <w:sz w:val="20"/>
                <w:szCs w:val="20"/>
                <w:highlight w:val="none"/>
              </w:rPr>
            </w:pPr>
            <w:r>
              <w:rPr>
                <w:rFonts w:hint="eastAsia" w:ascii="宋体" w:hAnsi="宋体" w:cs="宋体"/>
                <w:color w:val="auto"/>
                <w:sz w:val="20"/>
                <w:szCs w:val="20"/>
                <w:highlight w:val="none"/>
              </w:rPr>
              <w:t>6</w:t>
            </w:r>
          </w:p>
        </w:tc>
        <w:tc>
          <w:tcPr>
            <w:tcW w:w="7650" w:type="dxa"/>
            <w:noWrap/>
            <w:vAlign w:val="center"/>
          </w:tcPr>
          <w:p>
            <w:pPr>
              <w:keepNext w:val="0"/>
              <w:keepLines w:val="0"/>
              <w:pageBreakBefore w:val="0"/>
              <w:widowControl w:val="0"/>
              <w:kinsoku/>
              <w:wordWrap/>
              <w:overflowPunct/>
              <w:topLinePunct w:val="0"/>
              <w:bidi w:val="0"/>
              <w:spacing w:line="240" w:lineRule="atLeast"/>
              <w:jc w:val="left"/>
              <w:textAlignment w:val="auto"/>
              <w:rPr>
                <w:rFonts w:ascii="宋体" w:hAnsi="宋体" w:cs="宋体"/>
                <w:bCs/>
                <w:color w:val="auto"/>
                <w:sz w:val="22"/>
                <w:szCs w:val="22"/>
                <w:highlight w:val="none"/>
              </w:rPr>
            </w:pPr>
            <w:r>
              <w:rPr>
                <w:rFonts w:hint="eastAsia" w:ascii="宋体" w:hAnsi="宋体" w:cs="宋体"/>
                <w:bCs/>
                <w:color w:val="auto"/>
                <w:sz w:val="22"/>
                <w:szCs w:val="22"/>
                <w:highlight w:val="none"/>
              </w:rPr>
              <w:t>投标报价无缺漏项目或未对采购文件规定的服务清单项目及数量进行修改。</w:t>
            </w:r>
          </w:p>
        </w:tc>
        <w:tc>
          <w:tcPr>
            <w:tcW w:w="1613" w:type="dxa"/>
            <w:noWrap/>
            <w:vAlign w:val="center"/>
          </w:tcPr>
          <w:p>
            <w:pPr>
              <w:keepNext w:val="0"/>
              <w:keepLines w:val="0"/>
              <w:pageBreakBefore w:val="0"/>
              <w:widowControl w:val="0"/>
              <w:kinsoku/>
              <w:wordWrap/>
              <w:overflowPunct/>
              <w:topLinePunct w:val="0"/>
              <w:bidi w:val="0"/>
              <w:spacing w:line="240" w:lineRule="atLeast"/>
              <w:jc w:val="left"/>
              <w:textAlignment w:val="auto"/>
              <w:rPr>
                <w:rFonts w:hint="eastAsia" w:ascii="宋体" w:hAnsi="宋体" w:cs="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910" w:type="dxa"/>
            <w:noWrap/>
            <w:vAlign w:val="center"/>
          </w:tcPr>
          <w:p>
            <w:pPr>
              <w:keepNext w:val="0"/>
              <w:keepLines w:val="0"/>
              <w:pageBreakBefore w:val="0"/>
              <w:widowControl w:val="0"/>
              <w:kinsoku/>
              <w:wordWrap/>
              <w:overflowPunct/>
              <w:topLinePunct w:val="0"/>
              <w:bidi w:val="0"/>
              <w:spacing w:line="240" w:lineRule="atLeast"/>
              <w:jc w:val="left"/>
              <w:textAlignment w:val="auto"/>
              <w:rPr>
                <w:rFonts w:ascii="宋体" w:hAnsi="宋体" w:cs="宋体"/>
                <w:color w:val="auto"/>
                <w:sz w:val="20"/>
                <w:szCs w:val="20"/>
                <w:highlight w:val="none"/>
              </w:rPr>
            </w:pPr>
            <w:r>
              <w:rPr>
                <w:rFonts w:hint="eastAsia" w:ascii="宋体" w:hAnsi="宋体" w:cs="宋体"/>
                <w:color w:val="auto"/>
                <w:sz w:val="20"/>
                <w:szCs w:val="20"/>
                <w:highlight w:val="none"/>
              </w:rPr>
              <w:t>7</w:t>
            </w:r>
          </w:p>
        </w:tc>
        <w:tc>
          <w:tcPr>
            <w:tcW w:w="7650" w:type="dxa"/>
            <w:noWrap/>
            <w:vAlign w:val="center"/>
          </w:tcPr>
          <w:p>
            <w:pPr>
              <w:keepNext w:val="0"/>
              <w:keepLines w:val="0"/>
              <w:pageBreakBefore w:val="0"/>
              <w:widowControl w:val="0"/>
              <w:kinsoku/>
              <w:wordWrap/>
              <w:overflowPunct/>
              <w:topLinePunct w:val="0"/>
              <w:bidi w:val="0"/>
              <w:spacing w:line="240" w:lineRule="atLeast"/>
              <w:jc w:val="left"/>
              <w:textAlignment w:val="auto"/>
              <w:rPr>
                <w:rFonts w:ascii="宋体" w:hAnsi="宋体" w:cs="宋体"/>
                <w:bCs/>
                <w:color w:val="auto"/>
                <w:sz w:val="22"/>
                <w:szCs w:val="22"/>
                <w:highlight w:val="none"/>
              </w:rPr>
            </w:pPr>
            <w:r>
              <w:rPr>
                <w:rFonts w:hint="eastAsia" w:ascii="宋体" w:hAnsi="宋体" w:cs="宋体"/>
                <w:bCs/>
                <w:color w:val="auto"/>
                <w:sz w:val="22"/>
                <w:szCs w:val="22"/>
                <w:highlight w:val="none"/>
              </w:rPr>
              <w:t>所投产品、工程、服务在质量、技术、方案等方面实质性满足采购文件要求，本项目实质性条款以标注“★”条款为准（是否实质性满足招标文件要求，由评审委员会根据《实质性条款响应情况表》作出评判）。</w:t>
            </w:r>
          </w:p>
        </w:tc>
        <w:tc>
          <w:tcPr>
            <w:tcW w:w="1613" w:type="dxa"/>
            <w:noWrap/>
            <w:vAlign w:val="center"/>
          </w:tcPr>
          <w:p>
            <w:pPr>
              <w:keepNext w:val="0"/>
              <w:keepLines w:val="0"/>
              <w:pageBreakBefore w:val="0"/>
              <w:widowControl w:val="0"/>
              <w:kinsoku/>
              <w:wordWrap/>
              <w:overflowPunct/>
              <w:topLinePunct w:val="0"/>
              <w:bidi w:val="0"/>
              <w:spacing w:line="240" w:lineRule="atLeast"/>
              <w:jc w:val="left"/>
              <w:textAlignment w:val="auto"/>
              <w:rPr>
                <w:rFonts w:hint="eastAsia" w:ascii="宋体" w:hAnsi="宋体" w:cs="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10" w:type="dxa"/>
            <w:noWrap/>
            <w:vAlign w:val="center"/>
          </w:tcPr>
          <w:p>
            <w:pPr>
              <w:keepNext w:val="0"/>
              <w:keepLines w:val="0"/>
              <w:pageBreakBefore w:val="0"/>
              <w:widowControl w:val="0"/>
              <w:kinsoku/>
              <w:wordWrap/>
              <w:overflowPunct/>
              <w:topLinePunct w:val="0"/>
              <w:bidi w:val="0"/>
              <w:spacing w:line="240" w:lineRule="atLeast"/>
              <w:jc w:val="left"/>
              <w:textAlignment w:val="auto"/>
              <w:rPr>
                <w:rFonts w:ascii="宋体" w:hAnsi="宋体" w:cs="宋体"/>
                <w:color w:val="auto"/>
                <w:sz w:val="20"/>
                <w:szCs w:val="20"/>
                <w:highlight w:val="none"/>
              </w:rPr>
            </w:pPr>
            <w:r>
              <w:rPr>
                <w:rFonts w:hint="eastAsia" w:ascii="宋体" w:hAnsi="宋体" w:cs="宋体"/>
                <w:color w:val="auto"/>
                <w:sz w:val="20"/>
                <w:szCs w:val="20"/>
                <w:highlight w:val="none"/>
              </w:rPr>
              <w:t>8</w:t>
            </w:r>
          </w:p>
        </w:tc>
        <w:tc>
          <w:tcPr>
            <w:tcW w:w="7650" w:type="dxa"/>
            <w:noWrap/>
            <w:vAlign w:val="center"/>
          </w:tcPr>
          <w:p>
            <w:pPr>
              <w:keepNext w:val="0"/>
              <w:keepLines w:val="0"/>
              <w:pageBreakBefore w:val="0"/>
              <w:widowControl w:val="0"/>
              <w:kinsoku/>
              <w:wordWrap/>
              <w:overflowPunct/>
              <w:topLinePunct w:val="0"/>
              <w:bidi w:val="0"/>
              <w:spacing w:line="240" w:lineRule="atLeast"/>
              <w:jc w:val="left"/>
              <w:textAlignment w:val="auto"/>
              <w:rPr>
                <w:rFonts w:ascii="宋体" w:hAnsi="宋体" w:cs="宋体"/>
                <w:bCs/>
                <w:color w:val="auto"/>
                <w:sz w:val="22"/>
                <w:szCs w:val="22"/>
                <w:highlight w:val="none"/>
              </w:rPr>
            </w:pPr>
            <w:r>
              <w:rPr>
                <w:rFonts w:hint="eastAsia" w:ascii="宋体" w:hAnsi="宋体" w:cs="宋体"/>
                <w:bCs/>
                <w:color w:val="auto"/>
                <w:sz w:val="22"/>
                <w:szCs w:val="22"/>
                <w:highlight w:val="none"/>
              </w:rPr>
              <w:t>《开标一览表》《投标及履约承诺函》按采购文件规定的格式和内容响应；按采购文件对投标文件组成的要求提供投标文件的（投标文件组成完整）；按照招标文件要求提供密封投标文件；投标文件的数量、密封、签字盖章符合采购文件要求，提供投标文件电子文档；按照采购文件规定的样式及要求填写“法定代表人资格证明书”或“</w:t>
            </w:r>
            <w:r>
              <w:rPr>
                <w:rFonts w:hint="eastAsia" w:ascii="宋体" w:hAnsi="宋体" w:cs="宋体"/>
                <w:bCs/>
                <w:color w:val="auto"/>
                <w:sz w:val="22"/>
                <w:szCs w:val="22"/>
                <w:highlight w:val="none"/>
                <w:lang w:bidi="ar"/>
              </w:rPr>
              <w:t>法定代表人授权书</w:t>
            </w:r>
            <w:r>
              <w:rPr>
                <w:rFonts w:hint="eastAsia" w:ascii="宋体" w:hAnsi="宋体" w:cs="宋体"/>
                <w:bCs/>
                <w:color w:val="auto"/>
                <w:sz w:val="22"/>
                <w:szCs w:val="22"/>
                <w:highlight w:val="none"/>
              </w:rPr>
              <w:t>”或“分项报价表”。</w:t>
            </w:r>
          </w:p>
        </w:tc>
        <w:tc>
          <w:tcPr>
            <w:tcW w:w="1613" w:type="dxa"/>
            <w:noWrap/>
            <w:vAlign w:val="center"/>
          </w:tcPr>
          <w:p>
            <w:pPr>
              <w:keepNext w:val="0"/>
              <w:keepLines w:val="0"/>
              <w:pageBreakBefore w:val="0"/>
              <w:widowControl w:val="0"/>
              <w:kinsoku/>
              <w:wordWrap/>
              <w:overflowPunct/>
              <w:topLinePunct w:val="0"/>
              <w:bidi w:val="0"/>
              <w:spacing w:line="240" w:lineRule="atLeast"/>
              <w:jc w:val="left"/>
              <w:textAlignment w:val="auto"/>
              <w:rPr>
                <w:rFonts w:hint="eastAsia" w:ascii="宋体" w:hAnsi="宋体" w:cs="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910" w:type="dxa"/>
            <w:noWrap/>
            <w:vAlign w:val="center"/>
          </w:tcPr>
          <w:p>
            <w:pPr>
              <w:keepNext w:val="0"/>
              <w:keepLines w:val="0"/>
              <w:pageBreakBefore w:val="0"/>
              <w:widowControl w:val="0"/>
              <w:kinsoku/>
              <w:wordWrap/>
              <w:overflowPunct/>
              <w:topLinePunct w:val="0"/>
              <w:bidi w:val="0"/>
              <w:spacing w:line="240" w:lineRule="atLeast"/>
              <w:jc w:val="left"/>
              <w:textAlignment w:val="auto"/>
              <w:rPr>
                <w:rFonts w:ascii="宋体" w:hAnsi="宋体" w:cs="宋体"/>
                <w:color w:val="auto"/>
                <w:sz w:val="20"/>
                <w:szCs w:val="20"/>
                <w:highlight w:val="none"/>
              </w:rPr>
            </w:pPr>
            <w:r>
              <w:rPr>
                <w:rFonts w:hint="eastAsia" w:ascii="宋体" w:hAnsi="宋体" w:cs="宋体"/>
                <w:color w:val="auto"/>
                <w:sz w:val="20"/>
                <w:szCs w:val="20"/>
                <w:highlight w:val="none"/>
              </w:rPr>
              <w:t>9</w:t>
            </w:r>
          </w:p>
        </w:tc>
        <w:tc>
          <w:tcPr>
            <w:tcW w:w="7650" w:type="dxa"/>
            <w:noWrap/>
            <w:vAlign w:val="center"/>
          </w:tcPr>
          <w:p>
            <w:pPr>
              <w:keepNext w:val="0"/>
              <w:keepLines w:val="0"/>
              <w:pageBreakBefore w:val="0"/>
              <w:widowControl w:val="0"/>
              <w:kinsoku/>
              <w:wordWrap/>
              <w:overflowPunct/>
              <w:topLinePunct w:val="0"/>
              <w:bidi w:val="0"/>
              <w:spacing w:line="240" w:lineRule="atLeast"/>
              <w:jc w:val="left"/>
              <w:textAlignment w:val="auto"/>
              <w:rPr>
                <w:rFonts w:ascii="宋体" w:hAnsi="宋体" w:cs="宋体"/>
                <w:bCs/>
                <w:color w:val="auto"/>
                <w:sz w:val="22"/>
                <w:szCs w:val="22"/>
                <w:highlight w:val="none"/>
              </w:rPr>
            </w:pPr>
            <w:r>
              <w:rPr>
                <w:rFonts w:hint="eastAsia" w:ascii="宋体" w:hAnsi="宋体" w:cs="宋体"/>
                <w:bCs/>
                <w:color w:val="auto"/>
                <w:sz w:val="22"/>
                <w:szCs w:val="22"/>
                <w:highlight w:val="none"/>
              </w:rPr>
              <w:t>与其他投标供应商的投标文件未存在异常雷同现象的。</w:t>
            </w:r>
          </w:p>
        </w:tc>
        <w:tc>
          <w:tcPr>
            <w:tcW w:w="1613" w:type="dxa"/>
            <w:noWrap/>
            <w:vAlign w:val="center"/>
          </w:tcPr>
          <w:p>
            <w:pPr>
              <w:keepNext w:val="0"/>
              <w:keepLines w:val="0"/>
              <w:pageBreakBefore w:val="0"/>
              <w:widowControl w:val="0"/>
              <w:kinsoku/>
              <w:wordWrap/>
              <w:overflowPunct/>
              <w:topLinePunct w:val="0"/>
              <w:bidi w:val="0"/>
              <w:spacing w:line="240" w:lineRule="atLeast"/>
              <w:jc w:val="left"/>
              <w:textAlignment w:val="auto"/>
              <w:rPr>
                <w:rFonts w:hint="eastAsia" w:ascii="宋体" w:hAnsi="宋体" w:cs="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10" w:type="dxa"/>
            <w:noWrap/>
            <w:vAlign w:val="center"/>
          </w:tcPr>
          <w:p>
            <w:pPr>
              <w:keepNext w:val="0"/>
              <w:keepLines w:val="0"/>
              <w:pageBreakBefore w:val="0"/>
              <w:widowControl w:val="0"/>
              <w:kinsoku/>
              <w:wordWrap/>
              <w:overflowPunct/>
              <w:topLinePunct w:val="0"/>
              <w:bidi w:val="0"/>
              <w:spacing w:line="240" w:lineRule="atLeast"/>
              <w:jc w:val="left"/>
              <w:textAlignment w:val="auto"/>
              <w:rPr>
                <w:rFonts w:ascii="宋体" w:hAnsi="宋体" w:cs="宋体"/>
                <w:color w:val="auto"/>
                <w:sz w:val="20"/>
                <w:szCs w:val="20"/>
                <w:highlight w:val="none"/>
              </w:rPr>
            </w:pPr>
            <w:r>
              <w:rPr>
                <w:rFonts w:hint="eastAsia" w:ascii="宋体" w:hAnsi="宋体" w:cs="宋体"/>
                <w:color w:val="auto"/>
                <w:sz w:val="20"/>
                <w:szCs w:val="20"/>
                <w:highlight w:val="none"/>
              </w:rPr>
              <w:t>10</w:t>
            </w:r>
          </w:p>
        </w:tc>
        <w:tc>
          <w:tcPr>
            <w:tcW w:w="7650" w:type="dxa"/>
            <w:noWrap/>
            <w:vAlign w:val="center"/>
          </w:tcPr>
          <w:p>
            <w:pPr>
              <w:keepNext w:val="0"/>
              <w:keepLines w:val="0"/>
              <w:pageBreakBefore w:val="0"/>
              <w:widowControl w:val="0"/>
              <w:kinsoku/>
              <w:wordWrap/>
              <w:overflowPunct/>
              <w:topLinePunct w:val="0"/>
              <w:bidi w:val="0"/>
              <w:spacing w:line="240" w:lineRule="atLeast"/>
              <w:jc w:val="left"/>
              <w:textAlignment w:val="auto"/>
              <w:rPr>
                <w:rFonts w:ascii="宋体" w:hAnsi="宋体" w:cs="宋体"/>
                <w:bCs/>
                <w:color w:val="auto"/>
                <w:sz w:val="22"/>
                <w:szCs w:val="22"/>
                <w:highlight w:val="none"/>
              </w:rPr>
            </w:pPr>
            <w:r>
              <w:rPr>
                <w:rFonts w:hint="eastAsia" w:ascii="宋体" w:hAnsi="宋体" w:cs="宋体"/>
                <w:bCs/>
                <w:color w:val="auto"/>
                <w:sz w:val="22"/>
                <w:szCs w:val="22"/>
                <w:highlight w:val="none"/>
              </w:rPr>
              <w:t>未存在招标文件规定的其他投标无效情形。</w:t>
            </w:r>
          </w:p>
        </w:tc>
        <w:tc>
          <w:tcPr>
            <w:tcW w:w="1613" w:type="dxa"/>
            <w:noWrap/>
            <w:vAlign w:val="center"/>
          </w:tcPr>
          <w:p>
            <w:pPr>
              <w:keepNext w:val="0"/>
              <w:keepLines w:val="0"/>
              <w:pageBreakBefore w:val="0"/>
              <w:widowControl w:val="0"/>
              <w:kinsoku/>
              <w:wordWrap/>
              <w:overflowPunct/>
              <w:topLinePunct w:val="0"/>
              <w:bidi w:val="0"/>
              <w:spacing w:line="240" w:lineRule="atLeast"/>
              <w:jc w:val="left"/>
              <w:textAlignment w:val="auto"/>
              <w:rPr>
                <w:rFonts w:hint="eastAsia" w:ascii="宋体" w:hAnsi="宋体" w:cs="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10" w:type="dxa"/>
            <w:noWrap/>
            <w:vAlign w:val="center"/>
          </w:tcPr>
          <w:p>
            <w:pPr>
              <w:keepNext w:val="0"/>
              <w:keepLines w:val="0"/>
              <w:pageBreakBefore w:val="0"/>
              <w:widowControl w:val="0"/>
              <w:kinsoku/>
              <w:wordWrap/>
              <w:overflowPunct/>
              <w:topLinePunct w:val="0"/>
              <w:bidi w:val="0"/>
              <w:spacing w:line="240" w:lineRule="atLeast"/>
              <w:jc w:val="left"/>
              <w:textAlignment w:val="auto"/>
              <w:rPr>
                <w:rFonts w:ascii="宋体" w:hAnsi="宋体" w:cs="宋体"/>
                <w:color w:val="auto"/>
                <w:sz w:val="20"/>
                <w:szCs w:val="20"/>
                <w:highlight w:val="none"/>
              </w:rPr>
            </w:pPr>
            <w:r>
              <w:rPr>
                <w:rFonts w:hint="eastAsia" w:ascii="宋体" w:hAnsi="宋体" w:cs="宋体"/>
                <w:color w:val="auto"/>
                <w:sz w:val="20"/>
                <w:szCs w:val="20"/>
                <w:highlight w:val="none"/>
              </w:rPr>
              <w:t>11</w:t>
            </w:r>
          </w:p>
        </w:tc>
        <w:tc>
          <w:tcPr>
            <w:tcW w:w="7650" w:type="dxa"/>
            <w:noWrap/>
            <w:vAlign w:val="center"/>
          </w:tcPr>
          <w:p>
            <w:pPr>
              <w:keepNext w:val="0"/>
              <w:keepLines w:val="0"/>
              <w:pageBreakBefore w:val="0"/>
              <w:widowControl w:val="0"/>
              <w:kinsoku/>
              <w:wordWrap/>
              <w:overflowPunct/>
              <w:topLinePunct w:val="0"/>
              <w:bidi w:val="0"/>
              <w:spacing w:line="240" w:lineRule="atLeast"/>
              <w:jc w:val="left"/>
              <w:textAlignment w:val="auto"/>
              <w:rPr>
                <w:rFonts w:ascii="宋体" w:hAnsi="宋体" w:cs="宋体"/>
                <w:bCs/>
                <w:color w:val="auto"/>
                <w:sz w:val="22"/>
                <w:szCs w:val="22"/>
                <w:highlight w:val="none"/>
              </w:rPr>
            </w:pPr>
            <w:r>
              <w:rPr>
                <w:rFonts w:hint="eastAsia" w:ascii="宋体" w:hAnsi="宋体" w:cs="宋体"/>
                <w:bCs/>
                <w:color w:val="auto"/>
                <w:sz w:val="22"/>
                <w:szCs w:val="22"/>
                <w:highlight w:val="none"/>
              </w:rPr>
              <w:t>法律、法规规定的其他情形。</w:t>
            </w:r>
          </w:p>
        </w:tc>
        <w:tc>
          <w:tcPr>
            <w:tcW w:w="1613" w:type="dxa"/>
            <w:noWrap/>
            <w:vAlign w:val="center"/>
          </w:tcPr>
          <w:p>
            <w:pPr>
              <w:keepNext w:val="0"/>
              <w:keepLines w:val="0"/>
              <w:pageBreakBefore w:val="0"/>
              <w:widowControl w:val="0"/>
              <w:kinsoku/>
              <w:wordWrap/>
              <w:overflowPunct/>
              <w:topLinePunct w:val="0"/>
              <w:bidi w:val="0"/>
              <w:spacing w:line="240" w:lineRule="atLeast"/>
              <w:jc w:val="left"/>
              <w:textAlignment w:val="auto"/>
              <w:rPr>
                <w:rFonts w:hint="eastAsia" w:ascii="宋体" w:hAnsi="宋体" w:cs="宋体"/>
                <w:bCs/>
                <w:color w:val="auto"/>
                <w:sz w:val="22"/>
                <w:szCs w:val="22"/>
                <w:highlight w:val="none"/>
              </w:rPr>
            </w:pPr>
          </w:p>
        </w:tc>
      </w:tr>
    </w:tbl>
    <w:p>
      <w:pPr>
        <w:keepNext w:val="0"/>
        <w:keepLines w:val="0"/>
        <w:pageBreakBefore w:val="0"/>
        <w:widowControl w:val="0"/>
        <w:kinsoku/>
        <w:wordWrap/>
        <w:overflowPunct/>
        <w:topLinePunct w:val="0"/>
        <w:bidi w:val="0"/>
        <w:spacing w:line="240" w:lineRule="atLeast"/>
        <w:jc w:val="both"/>
        <w:textAlignment w:val="auto"/>
        <w:rPr>
          <w:rFonts w:hint="eastAsia" w:ascii="宋体" w:hAnsi="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投标人（公章）：</w:t>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法定代表人或其授权代表签名：</w:t>
      </w:r>
    </w:p>
    <w:p>
      <w:pPr>
        <w:keepNext w:val="0"/>
        <w:keepLines w:val="0"/>
        <w:pageBreakBefore w:val="0"/>
        <w:widowControl w:val="0"/>
        <w:kinsoku/>
        <w:wordWrap/>
        <w:overflowPunct/>
        <w:topLinePunct w:val="0"/>
        <w:bidi w:val="0"/>
        <w:spacing w:line="240" w:lineRule="atLeast"/>
        <w:jc w:val="both"/>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日期：      年    月    日</w:t>
      </w:r>
    </w:p>
    <w:p>
      <w:pPr>
        <w:keepNext w:val="0"/>
        <w:keepLines w:val="0"/>
        <w:pageBreakBefore w:val="0"/>
        <w:widowControl w:val="0"/>
        <w:kinsoku/>
        <w:wordWrap/>
        <w:overflowPunct/>
        <w:topLinePunct w:val="0"/>
        <w:bidi w:val="0"/>
        <w:spacing w:line="240" w:lineRule="atLeast"/>
        <w:jc w:val="both"/>
        <w:textAlignment w:val="auto"/>
        <w:rPr>
          <w:rFonts w:hint="eastAsia" w:ascii="宋体" w:hAnsi="宋体" w:cs="宋体"/>
          <w:color w:val="auto"/>
          <w:sz w:val="22"/>
          <w:szCs w:val="22"/>
          <w:highlight w:val="none"/>
        </w:rPr>
      </w:pPr>
    </w:p>
    <w:p>
      <w:pPr>
        <w:keepNext w:val="0"/>
        <w:keepLines w:val="0"/>
        <w:pageBreakBefore w:val="0"/>
        <w:widowControl w:val="0"/>
        <w:kinsoku/>
        <w:wordWrap/>
        <w:overflowPunct/>
        <w:topLinePunct w:val="0"/>
        <w:bidi w:val="0"/>
        <w:spacing w:line="240" w:lineRule="atLeast"/>
        <w:jc w:val="both"/>
        <w:textAlignment w:val="auto"/>
        <w:rPr>
          <w:rFonts w:hint="eastAsia" w:ascii="宋体" w:hAnsi="宋体" w:eastAsia="宋体" w:cs="宋体"/>
          <w:b/>
          <w:bCs/>
          <w:color w:val="auto"/>
          <w:sz w:val="40"/>
          <w:szCs w:val="40"/>
          <w:highlight w:val="none"/>
          <w:lang w:eastAsia="zh-CN"/>
        </w:rPr>
      </w:pPr>
      <w:r>
        <w:rPr>
          <w:rFonts w:hint="eastAsia" w:ascii="宋体" w:hAnsi="宋体" w:cs="宋体"/>
          <w:color w:val="auto"/>
          <w:highlight w:val="none"/>
        </w:rPr>
        <w:t>说明：</w:t>
      </w:r>
      <w:r>
        <w:rPr>
          <w:rFonts w:hint="eastAsia" w:ascii="宋体" w:hAnsi="宋体"/>
          <w:color w:val="auto"/>
          <w:highlight w:val="none"/>
        </w:rPr>
        <w:t>投标人必须严格按照《资格性审查表》《符合性检查表》的评审内容的要求如实提供材料</w:t>
      </w:r>
      <w:r>
        <w:rPr>
          <w:rFonts w:hint="eastAsia" w:ascii="宋体" w:hAnsi="宋体"/>
          <w:bCs/>
          <w:color w:val="auto"/>
          <w:highlight w:val="none"/>
        </w:rPr>
        <w:t>并应加盖投标人公章</w:t>
      </w:r>
      <w:r>
        <w:rPr>
          <w:rFonts w:hint="eastAsia" w:ascii="宋体" w:hAnsi="宋体"/>
          <w:bCs/>
          <w:color w:val="auto"/>
          <w:highlight w:val="none"/>
          <w:lang w:eastAsia="zh-CN"/>
        </w:rPr>
        <w:t>，</w:t>
      </w:r>
      <w:r>
        <w:rPr>
          <w:rFonts w:hint="eastAsia" w:ascii="宋体" w:hAnsi="宋体"/>
          <w:color w:val="auto"/>
          <w:highlight w:val="none"/>
        </w:rPr>
        <w:t>对缺漏或不符合项将直接导致无效投标</w:t>
      </w:r>
      <w:r>
        <w:rPr>
          <w:rFonts w:hint="eastAsia" w:ascii="宋体" w:cs="宋体"/>
          <w:color w:val="auto"/>
          <w:szCs w:val="21"/>
          <w:highlight w:val="none"/>
        </w:rPr>
        <w:t>。</w:t>
      </w:r>
    </w:p>
    <w:p>
      <w:pPr>
        <w:pStyle w:val="3"/>
        <w:spacing w:line="400" w:lineRule="exact"/>
        <w:jc w:val="center"/>
        <w:rPr>
          <w:rFonts w:ascii="宋体" w:hAnsi="宋体" w:cs="宋体"/>
          <w:b/>
          <w:bCs/>
          <w:color w:val="auto"/>
          <w:sz w:val="32"/>
          <w:szCs w:val="32"/>
          <w:highlight w:val="none"/>
        </w:rPr>
      </w:pPr>
      <w:bookmarkStart w:id="12" w:name="_Toc24877"/>
      <w:bookmarkStart w:id="13" w:name="_Toc417"/>
      <w:bookmarkStart w:id="14" w:name="_Toc20190"/>
      <w:r>
        <w:rPr>
          <w:rFonts w:hint="eastAsia" w:ascii="宋体" w:hAnsi="宋体" w:cs="宋体"/>
          <w:b/>
          <w:bCs/>
          <w:color w:val="auto"/>
          <w:sz w:val="28"/>
          <w:szCs w:val="28"/>
          <w:highlight w:val="none"/>
        </w:rPr>
        <w:t>（三）供应商自查表</w:t>
      </w:r>
      <w:bookmarkEnd w:id="12"/>
      <w:bookmarkEnd w:id="13"/>
      <w:bookmarkEnd w:id="14"/>
    </w:p>
    <w:p>
      <w:pPr>
        <w:spacing w:before="157" w:line="198" w:lineRule="auto"/>
        <w:ind w:left="126" w:right="-21" w:rightChars="-10"/>
        <w:jc w:val="center"/>
        <w:rPr>
          <w:color w:val="auto"/>
          <w:highlight w:val="none"/>
        </w:rPr>
      </w:pPr>
      <w:r>
        <w:rPr>
          <w:rFonts w:hint="eastAsia" w:ascii="宋体" w:hAnsi="宋体" w:cs="宋体"/>
          <w:color w:val="auto"/>
          <w:szCs w:val="21"/>
          <w:highlight w:val="none"/>
        </w:rPr>
        <w:t xml:space="preserve">填表单位：（加盖单位公章）       </w:t>
      </w:r>
      <w:r>
        <w:rPr>
          <w:rFonts w:hint="eastAsia" w:ascii="宋体" w:hAnsi="宋体" w:cs="宋体"/>
          <w:color w:val="auto"/>
          <w:spacing w:val="4"/>
          <w:szCs w:val="21"/>
          <w:highlight w:val="none"/>
        </w:rPr>
        <w:t xml:space="preserve">             </w:t>
      </w:r>
      <w:r>
        <w:rPr>
          <w:rFonts w:hint="eastAsia" w:ascii="宋体" w:hAnsi="宋体" w:cs="宋体"/>
          <w:color w:val="auto"/>
          <w:szCs w:val="21"/>
          <w:highlight w:val="none"/>
        </w:rPr>
        <w:t>填表日期：</w:t>
      </w:r>
      <w:r>
        <w:rPr>
          <w:rFonts w:hint="eastAsia" w:ascii="宋体" w:hAnsi="宋体" w:cs="宋体"/>
          <w:color w:val="auto"/>
          <w:spacing w:val="13"/>
          <w:szCs w:val="21"/>
          <w:highlight w:val="none"/>
        </w:rPr>
        <w:t xml:space="preserve">   </w:t>
      </w:r>
      <w:r>
        <w:rPr>
          <w:rFonts w:hint="eastAsia" w:ascii="宋体" w:hAnsi="宋体" w:cs="宋体"/>
          <w:color w:val="auto"/>
          <w:szCs w:val="21"/>
          <w:highlight w:val="none"/>
        </w:rPr>
        <w:t>年   月   日</w:t>
      </w:r>
    </w:p>
    <w:tbl>
      <w:tblPr>
        <w:tblStyle w:val="19"/>
        <w:tblW w:w="10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5985"/>
        <w:gridCol w:w="2820"/>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61" w:type="dxa"/>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序号</w:t>
            </w:r>
          </w:p>
        </w:tc>
        <w:tc>
          <w:tcPr>
            <w:tcW w:w="5985" w:type="dxa"/>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是否存在以下投标违规行为</w:t>
            </w:r>
          </w:p>
        </w:tc>
        <w:tc>
          <w:tcPr>
            <w:tcW w:w="2820" w:type="dxa"/>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自查情况</w:t>
            </w:r>
          </w:p>
          <w:p>
            <w:pPr>
              <w:spacing w:line="360" w:lineRule="exact"/>
              <w:jc w:val="center"/>
              <w:rPr>
                <w:rFonts w:ascii="宋体" w:hAnsi="宋体"/>
                <w:color w:val="auto"/>
                <w:szCs w:val="21"/>
                <w:highlight w:val="none"/>
              </w:rPr>
            </w:pPr>
            <w:r>
              <w:rPr>
                <w:rFonts w:hint="eastAsia" w:ascii="宋体" w:hAnsi="宋体"/>
                <w:color w:val="auto"/>
                <w:szCs w:val="21"/>
                <w:highlight w:val="none"/>
              </w:rPr>
              <w:t>（填写“不存在”或“存在”）</w:t>
            </w:r>
          </w:p>
        </w:tc>
        <w:tc>
          <w:tcPr>
            <w:tcW w:w="780" w:type="dxa"/>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1" w:type="dxa"/>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1</w:t>
            </w:r>
          </w:p>
        </w:tc>
        <w:tc>
          <w:tcPr>
            <w:tcW w:w="5985" w:type="dxa"/>
            <w:vAlign w:val="center"/>
          </w:tcPr>
          <w:p>
            <w:pPr>
              <w:jc w:val="left"/>
              <w:rPr>
                <w:rFonts w:ascii="宋体" w:hAnsi="宋体" w:cs="宋体"/>
                <w:color w:val="auto"/>
                <w:highlight w:val="none"/>
              </w:rPr>
            </w:pPr>
            <w:r>
              <w:rPr>
                <w:rFonts w:hint="eastAsia" w:ascii="宋体" w:hAnsi="宋体" w:cs="宋体"/>
                <w:bCs/>
                <w:color w:val="auto"/>
                <w:szCs w:val="21"/>
                <w:highlight w:val="none"/>
              </w:rPr>
              <w:t>投标供应商之间相互约定给予未中标的供应商利益补偿。</w:t>
            </w:r>
          </w:p>
        </w:tc>
        <w:tc>
          <w:tcPr>
            <w:tcW w:w="2820" w:type="dxa"/>
            <w:vAlign w:val="center"/>
          </w:tcPr>
          <w:p>
            <w:pPr>
              <w:spacing w:line="360" w:lineRule="exact"/>
              <w:jc w:val="center"/>
              <w:rPr>
                <w:rFonts w:ascii="宋体" w:hAnsi="宋体"/>
                <w:b/>
                <w:color w:val="auto"/>
                <w:szCs w:val="21"/>
                <w:highlight w:val="none"/>
              </w:rPr>
            </w:pPr>
          </w:p>
        </w:tc>
        <w:tc>
          <w:tcPr>
            <w:tcW w:w="780" w:type="dxa"/>
            <w:vAlign w:val="center"/>
          </w:tcPr>
          <w:p>
            <w:pPr>
              <w:spacing w:line="360" w:lineRule="exact"/>
              <w:jc w:val="center"/>
              <w:rPr>
                <w:rFonts w:ascii="宋体" w:hAnsi="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661" w:type="dxa"/>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2</w:t>
            </w:r>
          </w:p>
        </w:tc>
        <w:tc>
          <w:tcPr>
            <w:tcW w:w="5985" w:type="dxa"/>
            <w:vAlign w:val="center"/>
          </w:tcPr>
          <w:p>
            <w:pPr>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不同投标供应商的法定代表人、主要经营负责人、项目投标授权代表人、项目负责人、主要技术人员为同一人、属于同一单位或者在同一单位缴纳社会保险。</w:t>
            </w:r>
          </w:p>
        </w:tc>
        <w:tc>
          <w:tcPr>
            <w:tcW w:w="2820" w:type="dxa"/>
            <w:vAlign w:val="center"/>
          </w:tcPr>
          <w:p>
            <w:pPr>
              <w:spacing w:line="360" w:lineRule="exact"/>
              <w:jc w:val="center"/>
              <w:rPr>
                <w:rFonts w:ascii="宋体" w:hAnsi="宋体"/>
                <w:b/>
                <w:color w:val="auto"/>
                <w:szCs w:val="21"/>
                <w:highlight w:val="none"/>
              </w:rPr>
            </w:pPr>
          </w:p>
        </w:tc>
        <w:tc>
          <w:tcPr>
            <w:tcW w:w="780" w:type="dxa"/>
            <w:vAlign w:val="center"/>
          </w:tcPr>
          <w:p>
            <w:pPr>
              <w:spacing w:line="360" w:lineRule="exact"/>
              <w:jc w:val="center"/>
              <w:rPr>
                <w:rFonts w:ascii="宋体" w:hAnsi="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61" w:type="dxa"/>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3</w:t>
            </w:r>
          </w:p>
        </w:tc>
        <w:tc>
          <w:tcPr>
            <w:tcW w:w="5985" w:type="dxa"/>
            <w:vAlign w:val="center"/>
          </w:tcPr>
          <w:p>
            <w:pPr>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不同投标供应商的投标文件由同一单位或者同一人编制，或者由同一人分阶段参与编制的。</w:t>
            </w:r>
          </w:p>
        </w:tc>
        <w:tc>
          <w:tcPr>
            <w:tcW w:w="2820" w:type="dxa"/>
            <w:vAlign w:val="center"/>
          </w:tcPr>
          <w:p>
            <w:pPr>
              <w:spacing w:line="360" w:lineRule="exact"/>
              <w:jc w:val="center"/>
              <w:rPr>
                <w:rFonts w:ascii="宋体" w:hAnsi="宋体"/>
                <w:b/>
                <w:color w:val="auto"/>
                <w:szCs w:val="21"/>
                <w:highlight w:val="none"/>
              </w:rPr>
            </w:pPr>
          </w:p>
        </w:tc>
        <w:tc>
          <w:tcPr>
            <w:tcW w:w="780" w:type="dxa"/>
            <w:vAlign w:val="center"/>
          </w:tcPr>
          <w:p>
            <w:pPr>
              <w:spacing w:line="360" w:lineRule="exact"/>
              <w:jc w:val="center"/>
              <w:rPr>
                <w:rFonts w:ascii="宋体" w:hAnsi="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61" w:type="dxa"/>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4</w:t>
            </w:r>
          </w:p>
        </w:tc>
        <w:tc>
          <w:tcPr>
            <w:tcW w:w="5985" w:type="dxa"/>
            <w:vAlign w:val="center"/>
          </w:tcPr>
          <w:p>
            <w:pPr>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不同投标供应商的投标文件或部分投标文件相互混装。</w:t>
            </w:r>
          </w:p>
        </w:tc>
        <w:tc>
          <w:tcPr>
            <w:tcW w:w="2820" w:type="dxa"/>
            <w:vAlign w:val="center"/>
          </w:tcPr>
          <w:p>
            <w:pPr>
              <w:spacing w:line="360" w:lineRule="exact"/>
              <w:jc w:val="center"/>
              <w:rPr>
                <w:rFonts w:ascii="宋体" w:hAnsi="宋体"/>
                <w:b/>
                <w:color w:val="auto"/>
                <w:szCs w:val="21"/>
                <w:highlight w:val="none"/>
              </w:rPr>
            </w:pPr>
          </w:p>
        </w:tc>
        <w:tc>
          <w:tcPr>
            <w:tcW w:w="780" w:type="dxa"/>
            <w:vAlign w:val="center"/>
          </w:tcPr>
          <w:p>
            <w:pPr>
              <w:spacing w:line="360" w:lineRule="exact"/>
              <w:jc w:val="center"/>
              <w:rPr>
                <w:rFonts w:ascii="宋体" w:hAnsi="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dxa"/>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5</w:t>
            </w:r>
          </w:p>
        </w:tc>
        <w:tc>
          <w:tcPr>
            <w:tcW w:w="5985" w:type="dxa"/>
            <w:vAlign w:val="center"/>
          </w:tcPr>
          <w:p>
            <w:pPr>
              <w:jc w:val="left"/>
              <w:rPr>
                <w:rFonts w:ascii="宋体" w:hAnsi="宋体" w:cs="宋体"/>
                <w:snapToGrid w:val="0"/>
                <w:color w:val="auto"/>
                <w:kern w:val="0"/>
                <w:szCs w:val="21"/>
                <w:highlight w:val="none"/>
              </w:rPr>
            </w:pPr>
            <w:r>
              <w:rPr>
                <w:color w:val="auto"/>
                <w:szCs w:val="21"/>
                <w:highlight w:val="none"/>
              </w:rPr>
              <w:t>不同投标供应商的投标文件内容存在非正常一致。</w:t>
            </w:r>
          </w:p>
        </w:tc>
        <w:tc>
          <w:tcPr>
            <w:tcW w:w="2820" w:type="dxa"/>
            <w:vAlign w:val="center"/>
          </w:tcPr>
          <w:p>
            <w:pPr>
              <w:spacing w:line="360" w:lineRule="exact"/>
              <w:jc w:val="center"/>
              <w:rPr>
                <w:rFonts w:ascii="宋体" w:hAnsi="宋体"/>
                <w:b/>
                <w:color w:val="auto"/>
                <w:szCs w:val="21"/>
                <w:highlight w:val="none"/>
              </w:rPr>
            </w:pPr>
          </w:p>
        </w:tc>
        <w:tc>
          <w:tcPr>
            <w:tcW w:w="780" w:type="dxa"/>
            <w:vAlign w:val="center"/>
          </w:tcPr>
          <w:p>
            <w:pPr>
              <w:spacing w:line="360" w:lineRule="exact"/>
              <w:jc w:val="center"/>
              <w:rPr>
                <w:rFonts w:ascii="宋体" w:hAnsi="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dxa"/>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6</w:t>
            </w:r>
          </w:p>
        </w:tc>
        <w:tc>
          <w:tcPr>
            <w:tcW w:w="5985" w:type="dxa"/>
            <w:vAlign w:val="center"/>
          </w:tcPr>
          <w:p>
            <w:pPr>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由同一单位工作人员为两家以上（含两家）供应商进行同一项投标活动。</w:t>
            </w:r>
          </w:p>
        </w:tc>
        <w:tc>
          <w:tcPr>
            <w:tcW w:w="2820" w:type="dxa"/>
            <w:vAlign w:val="center"/>
          </w:tcPr>
          <w:p>
            <w:pPr>
              <w:spacing w:line="360" w:lineRule="exact"/>
              <w:jc w:val="center"/>
              <w:rPr>
                <w:rFonts w:ascii="宋体" w:hAnsi="宋体"/>
                <w:b/>
                <w:color w:val="auto"/>
                <w:szCs w:val="21"/>
                <w:highlight w:val="none"/>
              </w:rPr>
            </w:pPr>
          </w:p>
        </w:tc>
        <w:tc>
          <w:tcPr>
            <w:tcW w:w="780" w:type="dxa"/>
            <w:vAlign w:val="center"/>
          </w:tcPr>
          <w:p>
            <w:pPr>
              <w:spacing w:line="360" w:lineRule="exact"/>
              <w:jc w:val="center"/>
              <w:rPr>
                <w:rFonts w:ascii="宋体" w:hAnsi="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61" w:type="dxa"/>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7</w:t>
            </w:r>
          </w:p>
        </w:tc>
        <w:tc>
          <w:tcPr>
            <w:tcW w:w="5985" w:type="dxa"/>
            <w:vAlign w:val="center"/>
          </w:tcPr>
          <w:p>
            <w:pPr>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不同投标人的投标文件载明的项目管理成员或者联系人员为同一人。</w:t>
            </w:r>
          </w:p>
        </w:tc>
        <w:tc>
          <w:tcPr>
            <w:tcW w:w="2820" w:type="dxa"/>
            <w:vAlign w:val="center"/>
          </w:tcPr>
          <w:p>
            <w:pPr>
              <w:spacing w:line="360" w:lineRule="exact"/>
              <w:jc w:val="center"/>
              <w:rPr>
                <w:rFonts w:ascii="宋体" w:hAnsi="宋体"/>
                <w:b/>
                <w:color w:val="auto"/>
                <w:szCs w:val="21"/>
                <w:highlight w:val="none"/>
              </w:rPr>
            </w:pPr>
          </w:p>
        </w:tc>
        <w:tc>
          <w:tcPr>
            <w:tcW w:w="780" w:type="dxa"/>
            <w:vAlign w:val="center"/>
          </w:tcPr>
          <w:p>
            <w:pPr>
              <w:spacing w:line="360" w:lineRule="exact"/>
              <w:jc w:val="center"/>
              <w:rPr>
                <w:rFonts w:ascii="宋体" w:hAnsi="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61" w:type="dxa"/>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8</w:t>
            </w:r>
          </w:p>
        </w:tc>
        <w:tc>
          <w:tcPr>
            <w:tcW w:w="5985" w:type="dxa"/>
            <w:vAlign w:val="center"/>
          </w:tcPr>
          <w:p>
            <w:pPr>
              <w:jc w:val="left"/>
              <w:rPr>
                <w:rFonts w:ascii="宋体" w:hAnsi="宋体" w:cs="宋体"/>
                <w:snapToGrid w:val="0"/>
                <w:color w:val="auto"/>
                <w:kern w:val="0"/>
                <w:szCs w:val="21"/>
                <w:highlight w:val="none"/>
              </w:rPr>
            </w:pPr>
            <w:r>
              <w:rPr>
                <w:rFonts w:hint="eastAsia" w:ascii="宋体" w:hAnsi="宋体" w:cs="宋体"/>
                <w:color w:val="auto"/>
                <w:highlight w:val="none"/>
              </w:rPr>
              <w:t>不同投标人的投标报价呈规律性差异。</w:t>
            </w:r>
          </w:p>
        </w:tc>
        <w:tc>
          <w:tcPr>
            <w:tcW w:w="2820" w:type="dxa"/>
            <w:vAlign w:val="center"/>
          </w:tcPr>
          <w:p>
            <w:pPr>
              <w:spacing w:line="360" w:lineRule="exact"/>
              <w:jc w:val="center"/>
              <w:rPr>
                <w:rFonts w:ascii="宋体" w:hAnsi="宋体"/>
                <w:b/>
                <w:color w:val="auto"/>
                <w:szCs w:val="21"/>
                <w:highlight w:val="none"/>
              </w:rPr>
            </w:pPr>
          </w:p>
        </w:tc>
        <w:tc>
          <w:tcPr>
            <w:tcW w:w="780" w:type="dxa"/>
            <w:vAlign w:val="center"/>
          </w:tcPr>
          <w:p>
            <w:pPr>
              <w:spacing w:line="360" w:lineRule="exact"/>
              <w:jc w:val="center"/>
              <w:rPr>
                <w:rFonts w:ascii="宋体" w:hAnsi="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61" w:type="dxa"/>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9</w:t>
            </w:r>
          </w:p>
        </w:tc>
        <w:tc>
          <w:tcPr>
            <w:tcW w:w="5985" w:type="dxa"/>
            <w:vAlign w:val="center"/>
          </w:tcPr>
          <w:p>
            <w:pPr>
              <w:jc w:val="left"/>
              <w:rPr>
                <w:rFonts w:ascii="宋体" w:hAnsi="宋体" w:cs="宋体"/>
                <w:snapToGrid w:val="0"/>
                <w:color w:val="auto"/>
                <w:kern w:val="0"/>
                <w:szCs w:val="21"/>
                <w:highlight w:val="none"/>
              </w:rPr>
            </w:pPr>
            <w:r>
              <w:rPr>
                <w:rFonts w:hint="eastAsia" w:ascii="宋体" w:hAnsi="宋体" w:cs="宋体"/>
                <w:color w:val="auto"/>
                <w:highlight w:val="none"/>
              </w:rPr>
              <w:t>不同投标人的投标保证金从同一单位或者个人的账户转出。</w:t>
            </w:r>
          </w:p>
        </w:tc>
        <w:tc>
          <w:tcPr>
            <w:tcW w:w="2820" w:type="dxa"/>
            <w:vAlign w:val="center"/>
          </w:tcPr>
          <w:p>
            <w:pPr>
              <w:spacing w:line="360" w:lineRule="exact"/>
              <w:jc w:val="center"/>
              <w:rPr>
                <w:rFonts w:ascii="宋体" w:hAnsi="宋体"/>
                <w:b/>
                <w:color w:val="auto"/>
                <w:szCs w:val="21"/>
                <w:highlight w:val="none"/>
              </w:rPr>
            </w:pPr>
          </w:p>
        </w:tc>
        <w:tc>
          <w:tcPr>
            <w:tcW w:w="780" w:type="dxa"/>
            <w:vAlign w:val="center"/>
          </w:tcPr>
          <w:p>
            <w:pPr>
              <w:spacing w:line="360" w:lineRule="exact"/>
              <w:jc w:val="center"/>
              <w:rPr>
                <w:rFonts w:ascii="宋体" w:hAnsi="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61" w:type="dxa"/>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10</w:t>
            </w:r>
          </w:p>
        </w:tc>
        <w:tc>
          <w:tcPr>
            <w:tcW w:w="5985" w:type="dxa"/>
            <w:vAlign w:val="center"/>
          </w:tcPr>
          <w:p>
            <w:pPr>
              <w:jc w:val="left"/>
              <w:rPr>
                <w:rFonts w:ascii="宋体" w:hAnsi="宋体" w:cs="宋体"/>
                <w:color w:val="auto"/>
                <w:szCs w:val="21"/>
                <w:highlight w:val="none"/>
              </w:rPr>
            </w:pPr>
            <w:r>
              <w:rPr>
                <w:rFonts w:hint="eastAsia" w:ascii="宋体" w:hAnsi="宋体"/>
                <w:color w:val="auto"/>
                <w:szCs w:val="21"/>
                <w:highlight w:val="none"/>
              </w:rPr>
              <w:t>投标人之间协商投标报价等投标文件的实质性内容。</w:t>
            </w:r>
          </w:p>
        </w:tc>
        <w:tc>
          <w:tcPr>
            <w:tcW w:w="2820" w:type="dxa"/>
            <w:vAlign w:val="center"/>
          </w:tcPr>
          <w:p>
            <w:pPr>
              <w:spacing w:line="360" w:lineRule="exact"/>
              <w:jc w:val="center"/>
              <w:rPr>
                <w:rFonts w:ascii="宋体" w:hAnsi="宋体"/>
                <w:b/>
                <w:color w:val="auto"/>
                <w:szCs w:val="21"/>
                <w:highlight w:val="none"/>
              </w:rPr>
            </w:pPr>
          </w:p>
        </w:tc>
        <w:tc>
          <w:tcPr>
            <w:tcW w:w="780" w:type="dxa"/>
            <w:vAlign w:val="center"/>
          </w:tcPr>
          <w:p>
            <w:pPr>
              <w:spacing w:line="360" w:lineRule="exact"/>
              <w:jc w:val="center"/>
              <w:rPr>
                <w:rFonts w:ascii="宋体" w:hAnsi="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61" w:type="dxa"/>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11</w:t>
            </w:r>
          </w:p>
        </w:tc>
        <w:tc>
          <w:tcPr>
            <w:tcW w:w="5985" w:type="dxa"/>
            <w:vAlign w:val="center"/>
          </w:tcPr>
          <w:p>
            <w:pPr>
              <w:jc w:val="left"/>
              <w:rPr>
                <w:rFonts w:ascii="宋体" w:hAnsi="宋体" w:cs="宋体"/>
                <w:color w:val="auto"/>
                <w:szCs w:val="21"/>
                <w:highlight w:val="none"/>
              </w:rPr>
            </w:pPr>
            <w:r>
              <w:rPr>
                <w:rFonts w:hint="eastAsia" w:ascii="宋体" w:hAnsi="宋体"/>
                <w:color w:val="auto"/>
                <w:szCs w:val="21"/>
                <w:highlight w:val="none"/>
              </w:rPr>
              <w:t>投标人之间约定中标人。</w:t>
            </w:r>
          </w:p>
        </w:tc>
        <w:tc>
          <w:tcPr>
            <w:tcW w:w="2820" w:type="dxa"/>
            <w:vAlign w:val="center"/>
          </w:tcPr>
          <w:p>
            <w:pPr>
              <w:spacing w:line="360" w:lineRule="exact"/>
              <w:jc w:val="center"/>
              <w:rPr>
                <w:rFonts w:ascii="宋体" w:hAnsi="宋体"/>
                <w:b/>
                <w:color w:val="auto"/>
                <w:szCs w:val="21"/>
                <w:highlight w:val="none"/>
              </w:rPr>
            </w:pPr>
          </w:p>
        </w:tc>
        <w:tc>
          <w:tcPr>
            <w:tcW w:w="780" w:type="dxa"/>
            <w:vAlign w:val="center"/>
          </w:tcPr>
          <w:p>
            <w:pPr>
              <w:spacing w:line="360" w:lineRule="exact"/>
              <w:jc w:val="center"/>
              <w:rPr>
                <w:rFonts w:ascii="宋体" w:hAnsi="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61" w:type="dxa"/>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12</w:t>
            </w:r>
          </w:p>
        </w:tc>
        <w:tc>
          <w:tcPr>
            <w:tcW w:w="5985" w:type="dxa"/>
            <w:vAlign w:val="center"/>
          </w:tcPr>
          <w:p>
            <w:pPr>
              <w:jc w:val="left"/>
              <w:rPr>
                <w:rFonts w:ascii="宋体" w:hAnsi="宋体" w:cs="宋体"/>
                <w:color w:val="auto"/>
                <w:szCs w:val="21"/>
                <w:highlight w:val="none"/>
              </w:rPr>
            </w:pPr>
            <w:r>
              <w:rPr>
                <w:rFonts w:hint="eastAsia" w:ascii="宋体" w:hAnsi="宋体"/>
                <w:color w:val="auto"/>
                <w:szCs w:val="21"/>
                <w:highlight w:val="none"/>
              </w:rPr>
              <w:t>投标人之间约定部分投标人放弃投标或者中标。</w:t>
            </w:r>
          </w:p>
        </w:tc>
        <w:tc>
          <w:tcPr>
            <w:tcW w:w="2820" w:type="dxa"/>
            <w:vAlign w:val="center"/>
          </w:tcPr>
          <w:p>
            <w:pPr>
              <w:spacing w:line="360" w:lineRule="exact"/>
              <w:jc w:val="center"/>
              <w:rPr>
                <w:rFonts w:ascii="宋体" w:hAnsi="宋体"/>
                <w:b/>
                <w:color w:val="auto"/>
                <w:szCs w:val="21"/>
                <w:highlight w:val="none"/>
              </w:rPr>
            </w:pPr>
          </w:p>
        </w:tc>
        <w:tc>
          <w:tcPr>
            <w:tcW w:w="780" w:type="dxa"/>
            <w:vAlign w:val="center"/>
          </w:tcPr>
          <w:p>
            <w:pPr>
              <w:spacing w:line="360" w:lineRule="exact"/>
              <w:jc w:val="center"/>
              <w:rPr>
                <w:rFonts w:ascii="宋体" w:hAnsi="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61" w:type="dxa"/>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13</w:t>
            </w:r>
          </w:p>
        </w:tc>
        <w:tc>
          <w:tcPr>
            <w:tcW w:w="5985" w:type="dxa"/>
            <w:vAlign w:val="center"/>
          </w:tcPr>
          <w:p>
            <w:pPr>
              <w:jc w:val="left"/>
              <w:rPr>
                <w:rFonts w:ascii="宋体" w:hAnsi="宋体" w:cs="宋体"/>
                <w:color w:val="auto"/>
                <w:szCs w:val="21"/>
                <w:highlight w:val="none"/>
              </w:rPr>
            </w:pPr>
            <w:r>
              <w:rPr>
                <w:rFonts w:hint="eastAsia" w:ascii="宋体" w:hAnsi="宋体"/>
                <w:color w:val="auto"/>
                <w:szCs w:val="21"/>
                <w:highlight w:val="none"/>
              </w:rPr>
              <w:t>属于同一集团、协会、商会等组织成员的投标人按照该组织要求协同投标。</w:t>
            </w:r>
          </w:p>
        </w:tc>
        <w:tc>
          <w:tcPr>
            <w:tcW w:w="2820" w:type="dxa"/>
            <w:vAlign w:val="center"/>
          </w:tcPr>
          <w:p>
            <w:pPr>
              <w:spacing w:line="360" w:lineRule="exact"/>
              <w:jc w:val="center"/>
              <w:rPr>
                <w:rFonts w:ascii="宋体" w:hAnsi="宋体"/>
                <w:b/>
                <w:color w:val="auto"/>
                <w:szCs w:val="21"/>
                <w:highlight w:val="none"/>
              </w:rPr>
            </w:pPr>
          </w:p>
        </w:tc>
        <w:tc>
          <w:tcPr>
            <w:tcW w:w="780" w:type="dxa"/>
            <w:vAlign w:val="center"/>
          </w:tcPr>
          <w:p>
            <w:pPr>
              <w:spacing w:line="360" w:lineRule="exact"/>
              <w:jc w:val="center"/>
              <w:rPr>
                <w:rFonts w:ascii="宋体" w:hAnsi="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61" w:type="dxa"/>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14</w:t>
            </w:r>
          </w:p>
        </w:tc>
        <w:tc>
          <w:tcPr>
            <w:tcW w:w="5985" w:type="dxa"/>
            <w:vAlign w:val="center"/>
          </w:tcPr>
          <w:p>
            <w:pPr>
              <w:jc w:val="left"/>
              <w:rPr>
                <w:rFonts w:ascii="宋体" w:hAnsi="宋体" w:cs="宋体"/>
                <w:color w:val="auto"/>
                <w:szCs w:val="21"/>
                <w:highlight w:val="none"/>
              </w:rPr>
            </w:pPr>
            <w:r>
              <w:rPr>
                <w:rFonts w:hint="eastAsia" w:ascii="宋体" w:hAnsi="宋体"/>
                <w:color w:val="auto"/>
                <w:szCs w:val="21"/>
                <w:highlight w:val="none"/>
              </w:rPr>
              <w:t>投标人之间为谋取中标或者排斥特定投标人而采取的其他联合行动。</w:t>
            </w:r>
          </w:p>
        </w:tc>
        <w:tc>
          <w:tcPr>
            <w:tcW w:w="2820" w:type="dxa"/>
            <w:vAlign w:val="center"/>
          </w:tcPr>
          <w:p>
            <w:pPr>
              <w:spacing w:line="360" w:lineRule="exact"/>
              <w:jc w:val="center"/>
              <w:rPr>
                <w:rFonts w:ascii="宋体" w:hAnsi="宋体"/>
                <w:b/>
                <w:color w:val="auto"/>
                <w:szCs w:val="21"/>
                <w:highlight w:val="none"/>
              </w:rPr>
            </w:pPr>
          </w:p>
        </w:tc>
        <w:tc>
          <w:tcPr>
            <w:tcW w:w="780" w:type="dxa"/>
            <w:vAlign w:val="center"/>
          </w:tcPr>
          <w:p>
            <w:pPr>
              <w:spacing w:line="360" w:lineRule="exact"/>
              <w:jc w:val="center"/>
              <w:rPr>
                <w:rFonts w:ascii="宋体" w:hAnsi="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61" w:type="dxa"/>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15</w:t>
            </w:r>
          </w:p>
        </w:tc>
        <w:tc>
          <w:tcPr>
            <w:tcW w:w="5985" w:type="dxa"/>
            <w:vAlign w:val="center"/>
          </w:tcPr>
          <w:p>
            <w:pPr>
              <w:jc w:val="left"/>
              <w:rPr>
                <w:rFonts w:ascii="宋体" w:hAnsi="宋体" w:cs="宋体"/>
                <w:color w:val="auto"/>
                <w:szCs w:val="21"/>
                <w:highlight w:val="none"/>
              </w:rPr>
            </w:pPr>
            <w:r>
              <w:rPr>
                <w:rFonts w:hint="eastAsia" w:ascii="宋体" w:hAnsi="宋体"/>
                <w:snapToGrid w:val="0"/>
                <w:color w:val="auto"/>
                <w:highlight w:val="none"/>
              </w:rPr>
              <w:t>其他与政府采购活动参加人串通投标的</w:t>
            </w:r>
            <w:r>
              <w:rPr>
                <w:rFonts w:hint="eastAsia" w:ascii="宋体" w:hAnsi="宋体" w:cs="宋体"/>
                <w:color w:val="auto"/>
                <w:szCs w:val="21"/>
                <w:highlight w:val="none"/>
              </w:rPr>
              <w:t>行为。</w:t>
            </w:r>
          </w:p>
        </w:tc>
        <w:tc>
          <w:tcPr>
            <w:tcW w:w="2820" w:type="dxa"/>
            <w:vAlign w:val="center"/>
          </w:tcPr>
          <w:p>
            <w:pPr>
              <w:spacing w:line="360" w:lineRule="exact"/>
              <w:jc w:val="center"/>
              <w:rPr>
                <w:rFonts w:ascii="宋体" w:hAnsi="宋体"/>
                <w:b/>
                <w:color w:val="auto"/>
                <w:szCs w:val="21"/>
                <w:highlight w:val="none"/>
              </w:rPr>
            </w:pPr>
          </w:p>
        </w:tc>
        <w:tc>
          <w:tcPr>
            <w:tcW w:w="780" w:type="dxa"/>
            <w:vAlign w:val="center"/>
          </w:tcPr>
          <w:p>
            <w:pPr>
              <w:spacing w:line="360" w:lineRule="exact"/>
              <w:jc w:val="center"/>
              <w:rPr>
                <w:rFonts w:ascii="宋体" w:hAnsi="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61" w:type="dxa"/>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16</w:t>
            </w:r>
          </w:p>
        </w:tc>
        <w:tc>
          <w:tcPr>
            <w:tcW w:w="5985" w:type="dxa"/>
            <w:vAlign w:val="center"/>
          </w:tcPr>
          <w:p>
            <w:pPr>
              <w:jc w:val="left"/>
              <w:rPr>
                <w:rFonts w:ascii="宋体" w:hAnsi="宋体" w:cs="宋体"/>
                <w:snapToGrid w:val="0"/>
                <w:color w:val="auto"/>
                <w:kern w:val="0"/>
                <w:szCs w:val="21"/>
                <w:highlight w:val="none"/>
              </w:rPr>
            </w:pPr>
            <w:r>
              <w:rPr>
                <w:rFonts w:hint="eastAsia" w:ascii="宋体" w:hAnsi="宋体" w:cs="宋体"/>
                <w:color w:val="auto"/>
                <w:szCs w:val="21"/>
                <w:highlight w:val="none"/>
              </w:rPr>
              <w:t>通过转让或者租借等方式从其他单位获取资格或者资质证书投标。</w:t>
            </w:r>
          </w:p>
        </w:tc>
        <w:tc>
          <w:tcPr>
            <w:tcW w:w="2820" w:type="dxa"/>
            <w:vAlign w:val="center"/>
          </w:tcPr>
          <w:p>
            <w:pPr>
              <w:spacing w:line="360" w:lineRule="exact"/>
              <w:jc w:val="center"/>
              <w:rPr>
                <w:rFonts w:ascii="宋体" w:hAnsi="宋体"/>
                <w:b/>
                <w:color w:val="auto"/>
                <w:szCs w:val="21"/>
                <w:highlight w:val="none"/>
              </w:rPr>
            </w:pPr>
          </w:p>
        </w:tc>
        <w:tc>
          <w:tcPr>
            <w:tcW w:w="780" w:type="dxa"/>
            <w:vAlign w:val="center"/>
          </w:tcPr>
          <w:p>
            <w:pPr>
              <w:spacing w:line="360" w:lineRule="exact"/>
              <w:jc w:val="center"/>
              <w:rPr>
                <w:rFonts w:ascii="宋体" w:hAnsi="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661" w:type="dxa"/>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17</w:t>
            </w:r>
          </w:p>
        </w:tc>
        <w:tc>
          <w:tcPr>
            <w:tcW w:w="5985" w:type="dxa"/>
            <w:vAlign w:val="center"/>
          </w:tcPr>
          <w:p>
            <w:pPr>
              <w:jc w:val="left"/>
              <w:rPr>
                <w:rFonts w:ascii="宋体" w:hAnsi="宋体" w:cs="宋体"/>
                <w:snapToGrid w:val="0"/>
                <w:color w:val="auto"/>
                <w:kern w:val="0"/>
                <w:szCs w:val="21"/>
                <w:highlight w:val="none"/>
              </w:rPr>
            </w:pPr>
            <w:r>
              <w:rPr>
                <w:rFonts w:hint="eastAsia" w:ascii="宋体" w:hAnsi="宋体" w:cs="宋体"/>
                <w:color w:val="auto"/>
                <w:szCs w:val="21"/>
                <w:highlight w:val="none"/>
              </w:rPr>
              <w:t>由其他单位或者其他单位负责人在投标供应商编制的投标文件上加盖印章或者签字。</w:t>
            </w:r>
          </w:p>
        </w:tc>
        <w:tc>
          <w:tcPr>
            <w:tcW w:w="2820" w:type="dxa"/>
            <w:vAlign w:val="center"/>
          </w:tcPr>
          <w:p>
            <w:pPr>
              <w:spacing w:line="360" w:lineRule="exact"/>
              <w:jc w:val="center"/>
              <w:rPr>
                <w:rFonts w:ascii="宋体" w:hAnsi="宋体"/>
                <w:b/>
                <w:color w:val="auto"/>
                <w:szCs w:val="21"/>
                <w:highlight w:val="none"/>
              </w:rPr>
            </w:pPr>
          </w:p>
        </w:tc>
        <w:tc>
          <w:tcPr>
            <w:tcW w:w="780" w:type="dxa"/>
            <w:vAlign w:val="center"/>
          </w:tcPr>
          <w:p>
            <w:pPr>
              <w:spacing w:line="360" w:lineRule="exact"/>
              <w:jc w:val="center"/>
              <w:rPr>
                <w:rFonts w:ascii="宋体" w:hAnsi="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661" w:type="dxa"/>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18</w:t>
            </w:r>
          </w:p>
        </w:tc>
        <w:tc>
          <w:tcPr>
            <w:tcW w:w="5985" w:type="dxa"/>
            <w:vAlign w:val="center"/>
          </w:tcPr>
          <w:p>
            <w:pPr>
              <w:jc w:val="left"/>
              <w:rPr>
                <w:rFonts w:ascii="宋体" w:hAnsi="宋体" w:cs="宋体"/>
                <w:snapToGrid w:val="0"/>
                <w:color w:val="auto"/>
                <w:kern w:val="0"/>
                <w:szCs w:val="21"/>
                <w:highlight w:val="none"/>
              </w:rPr>
            </w:pPr>
            <w:r>
              <w:rPr>
                <w:rFonts w:hint="eastAsia" w:ascii="宋体" w:hAnsi="宋体" w:cs="宋体"/>
                <w:color w:val="auto"/>
                <w:szCs w:val="21"/>
                <w:highlight w:val="none"/>
              </w:rPr>
              <w:t>项目负责人或者主要技术人员不是本单位人员，不能提供项目负责人或者主要技术人员的劳动合同、社会保险等劳动关系证明材料。</w:t>
            </w:r>
          </w:p>
        </w:tc>
        <w:tc>
          <w:tcPr>
            <w:tcW w:w="2820" w:type="dxa"/>
            <w:vAlign w:val="center"/>
          </w:tcPr>
          <w:p>
            <w:pPr>
              <w:spacing w:line="360" w:lineRule="exact"/>
              <w:jc w:val="center"/>
              <w:rPr>
                <w:rFonts w:ascii="宋体" w:hAnsi="宋体"/>
                <w:b/>
                <w:color w:val="auto"/>
                <w:szCs w:val="21"/>
                <w:highlight w:val="none"/>
              </w:rPr>
            </w:pPr>
          </w:p>
        </w:tc>
        <w:tc>
          <w:tcPr>
            <w:tcW w:w="780" w:type="dxa"/>
            <w:vAlign w:val="center"/>
          </w:tcPr>
          <w:p>
            <w:pPr>
              <w:spacing w:line="360" w:lineRule="exact"/>
              <w:jc w:val="center"/>
              <w:rPr>
                <w:rFonts w:ascii="宋体" w:hAnsi="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661" w:type="dxa"/>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19</w:t>
            </w:r>
          </w:p>
        </w:tc>
        <w:tc>
          <w:tcPr>
            <w:tcW w:w="5985" w:type="dxa"/>
            <w:vAlign w:val="center"/>
          </w:tcPr>
          <w:p>
            <w:pPr>
              <w:jc w:val="left"/>
              <w:rPr>
                <w:rFonts w:ascii="宋体" w:hAnsi="宋体" w:cs="宋体"/>
                <w:snapToGrid w:val="0"/>
                <w:color w:val="auto"/>
                <w:kern w:val="0"/>
                <w:szCs w:val="21"/>
                <w:highlight w:val="none"/>
              </w:rPr>
            </w:pPr>
            <w:r>
              <w:rPr>
                <w:rFonts w:hint="eastAsia" w:ascii="宋体" w:hAnsi="宋体" w:cs="宋体"/>
                <w:color w:val="auto"/>
                <w:szCs w:val="21"/>
                <w:highlight w:val="none"/>
              </w:rPr>
              <w:t>投标保证金不是从投标供应商基本账户转出。</w:t>
            </w:r>
          </w:p>
        </w:tc>
        <w:tc>
          <w:tcPr>
            <w:tcW w:w="2820" w:type="dxa"/>
            <w:vAlign w:val="center"/>
          </w:tcPr>
          <w:p>
            <w:pPr>
              <w:spacing w:line="360" w:lineRule="exact"/>
              <w:jc w:val="center"/>
              <w:rPr>
                <w:rFonts w:ascii="宋体" w:hAnsi="宋体"/>
                <w:b/>
                <w:color w:val="auto"/>
                <w:szCs w:val="21"/>
                <w:highlight w:val="none"/>
              </w:rPr>
            </w:pPr>
          </w:p>
        </w:tc>
        <w:tc>
          <w:tcPr>
            <w:tcW w:w="780" w:type="dxa"/>
            <w:vAlign w:val="center"/>
          </w:tcPr>
          <w:p>
            <w:pPr>
              <w:spacing w:line="360" w:lineRule="exact"/>
              <w:jc w:val="center"/>
              <w:rPr>
                <w:rFonts w:ascii="宋体" w:hAnsi="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61" w:type="dxa"/>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20</w:t>
            </w:r>
          </w:p>
        </w:tc>
        <w:tc>
          <w:tcPr>
            <w:tcW w:w="5985" w:type="dxa"/>
            <w:vAlign w:val="center"/>
          </w:tcPr>
          <w:p>
            <w:pPr>
              <w:jc w:val="left"/>
              <w:rPr>
                <w:rFonts w:ascii="宋体" w:hAnsi="宋体" w:cs="宋体"/>
                <w:snapToGrid w:val="0"/>
                <w:color w:val="auto"/>
                <w:kern w:val="0"/>
                <w:szCs w:val="21"/>
                <w:highlight w:val="none"/>
              </w:rPr>
            </w:pPr>
            <w:r>
              <w:rPr>
                <w:color w:val="auto"/>
                <w:szCs w:val="21"/>
                <w:highlight w:val="none"/>
              </w:rPr>
              <w:t>其他隐瞒真实情况、提供虚假资料的行为。</w:t>
            </w:r>
          </w:p>
        </w:tc>
        <w:tc>
          <w:tcPr>
            <w:tcW w:w="2820" w:type="dxa"/>
            <w:vAlign w:val="center"/>
          </w:tcPr>
          <w:p>
            <w:pPr>
              <w:spacing w:line="360" w:lineRule="exact"/>
              <w:jc w:val="center"/>
              <w:rPr>
                <w:rFonts w:ascii="宋体" w:hAnsi="宋体"/>
                <w:b/>
                <w:color w:val="auto"/>
                <w:szCs w:val="21"/>
                <w:highlight w:val="none"/>
              </w:rPr>
            </w:pPr>
          </w:p>
        </w:tc>
        <w:tc>
          <w:tcPr>
            <w:tcW w:w="780" w:type="dxa"/>
            <w:vAlign w:val="center"/>
          </w:tcPr>
          <w:p>
            <w:pPr>
              <w:spacing w:line="360" w:lineRule="exact"/>
              <w:jc w:val="center"/>
              <w:rPr>
                <w:rFonts w:ascii="宋体" w:hAnsi="宋体"/>
                <w:b/>
                <w:color w:val="auto"/>
                <w:szCs w:val="21"/>
                <w:highlight w:val="none"/>
              </w:rPr>
            </w:pPr>
          </w:p>
        </w:tc>
      </w:tr>
    </w:tbl>
    <w:p>
      <w:pPr>
        <w:keepNext w:val="0"/>
        <w:keepLines w:val="0"/>
        <w:pageBreakBefore w:val="0"/>
        <w:widowControl w:val="0"/>
        <w:numPr>
          <w:ilvl w:val="0"/>
          <w:numId w:val="0"/>
        </w:numPr>
        <w:kinsoku/>
        <w:wordWrap/>
        <w:overflowPunct/>
        <w:topLinePunct w:val="0"/>
        <w:bidi w:val="0"/>
        <w:snapToGrid w:val="0"/>
        <w:spacing w:line="560" w:lineRule="exact"/>
        <w:ind w:left="0" w:leftChars="0" w:firstLine="420" w:firstLineChars="200"/>
        <w:textAlignment w:val="auto"/>
        <w:rPr>
          <w:rFonts w:hint="eastAsia" w:ascii="仿宋" w:hAnsi="仿宋" w:eastAsia="仿宋" w:cs="仿宋"/>
          <w:color w:val="auto"/>
          <w:sz w:val="28"/>
          <w:szCs w:val="28"/>
          <w:highlight w:val="none"/>
        </w:rPr>
      </w:pPr>
      <w:r>
        <w:rPr>
          <w:rFonts w:hint="eastAsia" w:ascii="宋体" w:hAnsi="宋体" w:cs="宋体"/>
          <w:color w:val="auto"/>
          <w:szCs w:val="21"/>
          <w:highlight w:val="none"/>
        </w:rPr>
        <w:t>注：投标供应商出现上述与其他采购参加人串通投标、隐瞒真实情况</w:t>
      </w:r>
      <w:r>
        <w:rPr>
          <w:rFonts w:hint="eastAsia" w:cs="宋体"/>
          <w:color w:val="auto"/>
          <w:szCs w:val="21"/>
          <w:highlight w:val="none"/>
        </w:rPr>
        <w:t>或者</w:t>
      </w:r>
      <w:r>
        <w:rPr>
          <w:rFonts w:hint="eastAsia" w:ascii="宋体" w:hAnsi="宋体" w:cs="宋体"/>
          <w:color w:val="auto"/>
          <w:szCs w:val="21"/>
          <w:highlight w:val="none"/>
        </w:rPr>
        <w:t>提供虚假资料行为的，将依法承担法律责任。</w:t>
      </w:r>
    </w:p>
    <w:p>
      <w:pPr>
        <w:keepLines w:val="0"/>
        <w:pageBreakBefore w:val="0"/>
        <w:numPr>
          <w:ilvl w:val="0"/>
          <w:numId w:val="0"/>
        </w:numPr>
        <w:kinsoku/>
        <w:wordWrap/>
        <w:overflowPunct/>
        <w:topLinePunct w:val="0"/>
        <w:bidi w:val="0"/>
        <w:snapToGrid w:val="0"/>
        <w:spacing w:line="56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44"/>
          <w:szCs w:val="44"/>
          <w:highlight w:val="none"/>
        </w:rPr>
        <w:t>第五章  供应商标书</w:t>
      </w:r>
    </w:p>
    <w:tbl>
      <w:tblPr>
        <w:tblStyle w:val="19"/>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5" w:hRule="atLeast"/>
          <w:jc w:val="center"/>
        </w:trPr>
        <w:tc>
          <w:tcPr>
            <w:tcW w:w="9061" w:type="dxa"/>
            <w:noWrap/>
            <w:vAlign w:val="center"/>
          </w:tcPr>
          <w:p>
            <w:pPr>
              <w:keepLines w:val="0"/>
              <w:pageBreakBefore w:val="0"/>
              <w:kinsoku/>
              <w:wordWrap/>
              <w:overflowPunct/>
              <w:topLinePunct w:val="0"/>
              <w:bidi w:val="0"/>
              <w:snapToGrid w:val="0"/>
              <w:spacing w:line="560" w:lineRule="exact"/>
              <w:jc w:val="center"/>
              <w:rPr>
                <w:rFonts w:hint="eastAsia" w:ascii="仿宋" w:hAnsi="仿宋" w:eastAsia="仿宋" w:cs="仿宋"/>
                <w:b/>
                <w:bCs/>
                <w:color w:val="auto"/>
                <w:sz w:val="96"/>
                <w:szCs w:val="96"/>
                <w:highlight w:val="none"/>
              </w:rPr>
            </w:pPr>
          </w:p>
          <w:p>
            <w:pPr>
              <w:keepLines w:val="0"/>
              <w:pageBreakBefore w:val="0"/>
              <w:kinsoku/>
              <w:wordWrap/>
              <w:overflowPunct/>
              <w:topLinePunct w:val="0"/>
              <w:bidi w:val="0"/>
              <w:snapToGrid w:val="0"/>
              <w:spacing w:line="560" w:lineRule="exact"/>
              <w:jc w:val="center"/>
              <w:rPr>
                <w:rFonts w:hint="eastAsia" w:ascii="仿宋" w:hAnsi="仿宋" w:eastAsia="仿宋" w:cs="仿宋"/>
                <w:color w:val="auto"/>
                <w:sz w:val="72"/>
                <w:szCs w:val="72"/>
                <w:highlight w:val="none"/>
                <w:lang w:eastAsia="zh-CN"/>
              </w:rPr>
            </w:pPr>
            <w:r>
              <w:rPr>
                <w:rFonts w:hint="eastAsia" w:ascii="仿宋" w:hAnsi="仿宋" w:eastAsia="仿宋" w:cs="仿宋"/>
                <w:b/>
                <w:bCs/>
                <w:color w:val="auto"/>
                <w:sz w:val="56"/>
                <w:szCs w:val="56"/>
                <w:highlight w:val="none"/>
                <w:lang w:val="en-US" w:eastAsia="zh-CN"/>
              </w:rPr>
              <w:t>投标书</w:t>
            </w:r>
          </w:p>
          <w:p>
            <w:pPr>
              <w:keepLines w:val="0"/>
              <w:pageBreakBefore w:val="0"/>
              <w:kinsoku/>
              <w:wordWrap/>
              <w:overflowPunct/>
              <w:topLinePunct w:val="0"/>
              <w:bidi w:val="0"/>
              <w:snapToGrid w:val="0"/>
              <w:spacing w:line="560" w:lineRule="exact"/>
              <w:rPr>
                <w:rFonts w:ascii="仿宋" w:hAnsi="仿宋" w:eastAsia="仿宋" w:cs="仿宋"/>
                <w:color w:val="auto"/>
                <w:sz w:val="72"/>
                <w:szCs w:val="72"/>
                <w:highlight w:val="none"/>
              </w:rPr>
            </w:pPr>
          </w:p>
          <w:p>
            <w:pPr>
              <w:pStyle w:val="25"/>
              <w:keepLines w:val="0"/>
              <w:pageBreakBefore w:val="0"/>
              <w:numPr>
                <w:ilvl w:val="0"/>
                <w:numId w:val="0"/>
              </w:numPr>
              <w:kinsoku/>
              <w:wordWrap/>
              <w:overflowPunct/>
              <w:topLinePunct w:val="0"/>
              <w:bidi w:val="0"/>
              <w:snapToGrid w:val="0"/>
              <w:spacing w:line="560" w:lineRule="exact"/>
              <w:jc w:val="center"/>
              <w:rPr>
                <w:rFonts w:hint="eastAsia" w:ascii="仿宋_GB2312" w:hAnsi="仿宋_GB2312" w:eastAsia="仿宋_GB2312" w:cs="仿宋_GB2312"/>
                <w:b w:val="0"/>
                <w:bCs w:val="0"/>
                <w:color w:val="auto"/>
                <w:sz w:val="44"/>
                <w:szCs w:val="44"/>
                <w:highlight w:val="none"/>
                <w:lang w:val="en-US" w:eastAsia="zh-CN"/>
              </w:rPr>
            </w:pPr>
            <w:r>
              <w:rPr>
                <w:rFonts w:hint="eastAsia" w:ascii="仿宋_GB2312" w:hAnsi="仿宋_GB2312" w:eastAsia="仿宋_GB2312" w:cs="仿宋_GB2312"/>
                <w:color w:val="auto"/>
                <w:sz w:val="44"/>
                <w:szCs w:val="44"/>
                <w:highlight w:val="none"/>
              </w:rPr>
              <w:t>项目名称</w:t>
            </w:r>
            <w:r>
              <w:rPr>
                <w:rFonts w:hint="eastAsia" w:ascii="仿宋_GB2312" w:hAnsi="仿宋_GB2312" w:eastAsia="仿宋_GB2312" w:cs="仿宋_GB2312"/>
                <w:color w:val="auto"/>
                <w:sz w:val="44"/>
                <w:szCs w:val="44"/>
                <w:highlight w:val="none"/>
                <w:lang w:eastAsia="zh-CN"/>
              </w:rPr>
              <w:t>：</w:t>
            </w:r>
            <w:r>
              <w:rPr>
                <w:rFonts w:hint="eastAsia" w:ascii="仿宋_GB2312" w:hAnsi="仿宋_GB2312" w:eastAsia="仿宋_GB2312" w:cs="仿宋_GB2312"/>
                <w:color w:val="auto"/>
                <w:sz w:val="44"/>
                <w:szCs w:val="44"/>
                <w:highlight w:val="none"/>
                <w:lang w:val="en-US" w:eastAsia="zh-CN"/>
              </w:rPr>
              <w:t>深圳市龙岗区第七人民医院消化内镜能量平台（氩气高频电刀）及内镜注水泵采购项目</w:t>
            </w:r>
          </w:p>
          <w:p>
            <w:pPr>
              <w:keepLines w:val="0"/>
              <w:pageBreakBefore w:val="0"/>
              <w:kinsoku/>
              <w:wordWrap/>
              <w:overflowPunct/>
              <w:topLinePunct w:val="0"/>
              <w:bidi w:val="0"/>
              <w:snapToGrid w:val="0"/>
              <w:spacing w:line="560" w:lineRule="exact"/>
              <w:ind w:left="0" w:firstLine="0" w:firstLineChars="0"/>
              <w:rPr>
                <w:rFonts w:ascii="仿宋_GB2312" w:hAnsi="仿宋_GB2312" w:eastAsia="仿宋_GB2312" w:cs="仿宋_GB2312"/>
                <w:color w:val="auto"/>
                <w:sz w:val="44"/>
                <w:szCs w:val="44"/>
                <w:highlight w:val="none"/>
              </w:rPr>
            </w:pPr>
          </w:p>
          <w:p>
            <w:pPr>
              <w:pStyle w:val="30"/>
              <w:keepLines w:val="0"/>
              <w:pageBreakBefore w:val="0"/>
              <w:kinsoku/>
              <w:wordWrap/>
              <w:overflowPunct/>
              <w:topLinePunct w:val="0"/>
              <w:bidi w:val="0"/>
              <w:snapToGrid w:val="0"/>
              <w:spacing w:line="560" w:lineRule="exact"/>
              <w:ind w:firstLine="0" w:firstLineChars="0"/>
              <w:jc w:val="center"/>
              <w:rPr>
                <w:rFonts w:ascii="仿宋_GB2312" w:hAnsi="仿宋_GB2312" w:eastAsia="仿宋_GB2312" w:cs="仿宋_GB2312"/>
                <w:color w:val="auto"/>
                <w:sz w:val="44"/>
                <w:szCs w:val="44"/>
                <w:highlight w:val="none"/>
              </w:rPr>
            </w:pPr>
            <w:r>
              <w:rPr>
                <w:rFonts w:hint="eastAsia" w:ascii="仿宋_GB2312" w:hAnsi="仿宋_GB2312" w:eastAsia="仿宋_GB2312" w:cs="仿宋_GB2312"/>
                <w:color w:val="auto"/>
                <w:sz w:val="44"/>
                <w:szCs w:val="44"/>
                <w:highlight w:val="none"/>
              </w:rPr>
              <w:t>（</w:t>
            </w:r>
            <w:r>
              <w:rPr>
                <w:rFonts w:hint="eastAsia" w:ascii="仿宋_GB2312" w:hAnsi="仿宋_GB2312" w:eastAsia="仿宋_GB2312" w:cs="仿宋_GB2312"/>
                <w:color w:val="auto"/>
                <w:kern w:val="2"/>
                <w:sz w:val="36"/>
                <w:szCs w:val="36"/>
                <w:highlight w:val="none"/>
                <w:lang w:val="en-US" w:eastAsia="zh-CN" w:bidi="ar-SA"/>
              </w:rPr>
              <w:t>深龙七医采[LGQY2026SB006]</w:t>
            </w:r>
            <w:r>
              <w:rPr>
                <w:rFonts w:hint="eastAsia" w:ascii="仿宋_GB2312" w:hAnsi="仿宋_GB2312" w:eastAsia="仿宋_GB2312" w:cs="仿宋_GB2312"/>
                <w:color w:val="auto"/>
                <w:sz w:val="44"/>
                <w:szCs w:val="44"/>
                <w:highlight w:val="none"/>
              </w:rPr>
              <w:t>）</w:t>
            </w:r>
          </w:p>
          <w:p>
            <w:pPr>
              <w:pStyle w:val="30"/>
              <w:keepLines w:val="0"/>
              <w:pageBreakBefore w:val="0"/>
              <w:kinsoku/>
              <w:wordWrap/>
              <w:overflowPunct/>
              <w:topLinePunct w:val="0"/>
              <w:bidi w:val="0"/>
              <w:snapToGrid w:val="0"/>
              <w:spacing w:line="560" w:lineRule="exact"/>
              <w:ind w:firstLine="0" w:firstLineChars="0"/>
              <w:jc w:val="center"/>
              <w:rPr>
                <w:rFonts w:ascii="仿宋_GB2312" w:hAnsi="仿宋_GB2312" w:eastAsia="仿宋_GB2312" w:cs="仿宋_GB2312"/>
                <w:color w:val="auto"/>
                <w:sz w:val="44"/>
                <w:szCs w:val="44"/>
                <w:highlight w:val="none"/>
              </w:rPr>
            </w:pPr>
          </w:p>
          <w:p>
            <w:pPr>
              <w:keepLines w:val="0"/>
              <w:pageBreakBefore w:val="0"/>
              <w:kinsoku/>
              <w:wordWrap/>
              <w:overflowPunct/>
              <w:topLinePunct w:val="0"/>
              <w:bidi w:val="0"/>
              <w:snapToGrid w:val="0"/>
              <w:spacing w:line="560" w:lineRule="exact"/>
              <w:jc w:val="center"/>
              <w:rPr>
                <w:rFonts w:ascii="仿宋_GB2312" w:hAnsi="仿宋_GB2312" w:eastAsia="仿宋_GB2312" w:cs="仿宋_GB2312"/>
                <w:color w:val="auto"/>
                <w:sz w:val="44"/>
                <w:szCs w:val="44"/>
                <w:highlight w:val="none"/>
              </w:rPr>
            </w:pPr>
            <w:r>
              <w:rPr>
                <w:rFonts w:hint="eastAsia" w:ascii="仿宋_GB2312" w:hAnsi="仿宋_GB2312" w:eastAsia="仿宋_GB2312" w:cs="仿宋_GB2312"/>
                <w:color w:val="auto"/>
                <w:sz w:val="44"/>
                <w:szCs w:val="44"/>
                <w:highlight w:val="none"/>
              </w:rPr>
              <w:t>采购单位：深圳市龙岗区第七人民医院</w:t>
            </w:r>
          </w:p>
          <w:p>
            <w:pPr>
              <w:keepLines w:val="0"/>
              <w:pageBreakBefore w:val="0"/>
              <w:kinsoku/>
              <w:wordWrap/>
              <w:overflowPunct/>
              <w:topLinePunct w:val="0"/>
              <w:bidi w:val="0"/>
              <w:snapToGrid w:val="0"/>
              <w:spacing w:line="560" w:lineRule="exact"/>
              <w:jc w:val="center"/>
              <w:rPr>
                <w:rFonts w:ascii="仿宋_GB2312" w:hAnsi="仿宋_GB2312" w:eastAsia="仿宋_GB2312" w:cs="仿宋_GB2312"/>
                <w:b/>
                <w:color w:val="auto"/>
                <w:sz w:val="44"/>
                <w:szCs w:val="44"/>
                <w:highlight w:val="none"/>
              </w:rPr>
            </w:pPr>
            <w:r>
              <w:rPr>
                <w:rFonts w:hint="eastAsia" w:ascii="仿宋_GB2312" w:hAnsi="仿宋_GB2312" w:eastAsia="仿宋_GB2312" w:cs="仿宋_GB2312"/>
                <w:b/>
                <w:color w:val="auto"/>
                <w:sz w:val="44"/>
                <w:szCs w:val="44"/>
                <w:highlight w:val="none"/>
              </w:rPr>
              <w:t>（</w:t>
            </w:r>
            <w:r>
              <w:rPr>
                <w:rFonts w:hint="eastAsia" w:ascii="仿宋_GB2312" w:hAnsi="仿宋_GB2312" w:eastAsia="仿宋_GB2312" w:cs="仿宋_GB2312"/>
                <w:color w:val="auto"/>
                <w:sz w:val="44"/>
                <w:szCs w:val="44"/>
                <w:highlight w:val="none"/>
              </w:rPr>
              <w:t>202</w:t>
            </w:r>
            <w:r>
              <w:rPr>
                <w:rFonts w:hint="eastAsia" w:ascii="仿宋_GB2312" w:hAnsi="仿宋_GB2312" w:eastAsia="仿宋_GB2312" w:cs="仿宋_GB2312"/>
                <w:color w:val="auto"/>
                <w:sz w:val="44"/>
                <w:szCs w:val="44"/>
                <w:highlight w:val="none"/>
                <w:lang w:val="en-US" w:eastAsia="zh-CN"/>
              </w:rPr>
              <w:t>6</w:t>
            </w:r>
            <w:r>
              <w:rPr>
                <w:rFonts w:hint="eastAsia" w:ascii="仿宋_GB2312" w:hAnsi="仿宋_GB2312" w:eastAsia="仿宋_GB2312" w:cs="仿宋_GB2312"/>
                <w:color w:val="auto"/>
                <w:sz w:val="44"/>
                <w:szCs w:val="44"/>
                <w:highlight w:val="none"/>
              </w:rPr>
              <w:t>年</w:t>
            </w:r>
            <w:r>
              <w:rPr>
                <w:rFonts w:hint="eastAsia" w:ascii="仿宋_GB2312" w:hAnsi="仿宋_GB2312" w:eastAsia="仿宋_GB2312" w:cs="仿宋_GB2312"/>
                <w:b/>
                <w:color w:val="auto"/>
                <w:sz w:val="44"/>
                <w:szCs w:val="44"/>
                <w:highlight w:val="none"/>
              </w:rPr>
              <w:t>）</w:t>
            </w:r>
          </w:p>
          <w:p>
            <w:pPr>
              <w:keepLines w:val="0"/>
              <w:pageBreakBefore w:val="0"/>
              <w:kinsoku/>
              <w:wordWrap/>
              <w:overflowPunct/>
              <w:topLinePunct w:val="0"/>
              <w:bidi w:val="0"/>
              <w:snapToGrid w:val="0"/>
              <w:spacing w:line="560" w:lineRule="exact"/>
              <w:rPr>
                <w:rFonts w:ascii="仿宋" w:hAnsi="仿宋" w:eastAsia="仿宋" w:cs="仿宋"/>
                <w:b/>
                <w:color w:val="auto"/>
                <w:sz w:val="36"/>
                <w:szCs w:val="36"/>
                <w:highlight w:val="none"/>
              </w:rPr>
            </w:pPr>
          </w:p>
          <w:p>
            <w:pPr>
              <w:keepLines w:val="0"/>
              <w:pageBreakBefore w:val="0"/>
              <w:kinsoku/>
              <w:wordWrap/>
              <w:overflowPunct/>
              <w:topLinePunct w:val="0"/>
              <w:bidi w:val="0"/>
              <w:snapToGrid w:val="0"/>
              <w:spacing w:line="560" w:lineRule="exact"/>
              <w:jc w:val="left"/>
              <w:rPr>
                <w:rFonts w:ascii="仿宋" w:hAnsi="仿宋" w:eastAsia="仿宋" w:cs="仿宋"/>
                <w:b/>
                <w:color w:val="auto"/>
                <w:sz w:val="40"/>
                <w:szCs w:val="40"/>
                <w:highlight w:val="none"/>
              </w:rPr>
            </w:pPr>
            <w:r>
              <w:rPr>
                <w:rFonts w:hint="eastAsia" w:ascii="仿宋" w:hAnsi="仿宋" w:eastAsia="仿宋" w:cs="仿宋"/>
                <w:b/>
                <w:color w:val="auto"/>
                <w:sz w:val="40"/>
                <w:szCs w:val="40"/>
                <w:highlight w:val="none"/>
              </w:rPr>
              <w:t>投标人：</w:t>
            </w:r>
          </w:p>
          <w:p>
            <w:pPr>
              <w:keepLines w:val="0"/>
              <w:pageBreakBefore w:val="0"/>
              <w:kinsoku/>
              <w:wordWrap/>
              <w:overflowPunct/>
              <w:topLinePunct w:val="0"/>
              <w:bidi w:val="0"/>
              <w:snapToGrid w:val="0"/>
              <w:spacing w:line="560" w:lineRule="exact"/>
              <w:jc w:val="left"/>
              <w:rPr>
                <w:rFonts w:ascii="仿宋" w:hAnsi="仿宋" w:eastAsia="仿宋" w:cs="仿宋"/>
                <w:b/>
                <w:color w:val="auto"/>
                <w:sz w:val="40"/>
                <w:szCs w:val="40"/>
                <w:highlight w:val="none"/>
              </w:rPr>
            </w:pPr>
            <w:r>
              <w:rPr>
                <w:rFonts w:hint="eastAsia" w:ascii="仿宋" w:hAnsi="仿宋" w:eastAsia="仿宋" w:cs="仿宋"/>
                <w:b/>
                <w:color w:val="auto"/>
                <w:sz w:val="40"/>
                <w:szCs w:val="40"/>
                <w:highlight w:val="none"/>
              </w:rPr>
              <w:t>地  址：</w:t>
            </w:r>
          </w:p>
          <w:p>
            <w:pPr>
              <w:keepLines w:val="0"/>
              <w:pageBreakBefore w:val="0"/>
              <w:kinsoku/>
              <w:wordWrap/>
              <w:overflowPunct/>
              <w:topLinePunct w:val="0"/>
              <w:bidi w:val="0"/>
              <w:snapToGrid w:val="0"/>
              <w:spacing w:line="560" w:lineRule="exact"/>
              <w:jc w:val="left"/>
              <w:rPr>
                <w:rFonts w:ascii="仿宋" w:hAnsi="仿宋" w:eastAsia="仿宋" w:cs="仿宋"/>
                <w:b/>
                <w:color w:val="auto"/>
                <w:sz w:val="40"/>
                <w:szCs w:val="40"/>
                <w:highlight w:val="none"/>
              </w:rPr>
            </w:pPr>
            <w:r>
              <w:rPr>
                <w:rFonts w:hint="eastAsia" w:ascii="仿宋" w:hAnsi="仿宋" w:eastAsia="仿宋" w:cs="仿宋"/>
                <w:b/>
                <w:color w:val="auto"/>
                <w:sz w:val="40"/>
                <w:szCs w:val="40"/>
                <w:highlight w:val="none"/>
              </w:rPr>
              <w:t>联系人：</w:t>
            </w:r>
          </w:p>
          <w:p>
            <w:pPr>
              <w:keepLines w:val="0"/>
              <w:pageBreakBefore w:val="0"/>
              <w:kinsoku/>
              <w:wordWrap/>
              <w:overflowPunct/>
              <w:topLinePunct w:val="0"/>
              <w:bidi w:val="0"/>
              <w:snapToGrid w:val="0"/>
              <w:spacing w:line="560" w:lineRule="exact"/>
              <w:jc w:val="left"/>
              <w:rPr>
                <w:rFonts w:ascii="仿宋" w:hAnsi="仿宋" w:eastAsia="仿宋" w:cs="仿宋"/>
                <w:b/>
                <w:color w:val="auto"/>
                <w:sz w:val="40"/>
                <w:szCs w:val="40"/>
                <w:highlight w:val="none"/>
              </w:rPr>
            </w:pPr>
            <w:r>
              <w:rPr>
                <w:rFonts w:hint="eastAsia" w:ascii="仿宋" w:hAnsi="仿宋" w:eastAsia="仿宋" w:cs="仿宋"/>
                <w:b/>
                <w:color w:val="auto"/>
                <w:sz w:val="40"/>
                <w:szCs w:val="40"/>
                <w:highlight w:val="none"/>
              </w:rPr>
              <w:t>电  话：</w:t>
            </w:r>
          </w:p>
          <w:p>
            <w:pPr>
              <w:keepLines w:val="0"/>
              <w:pageBreakBefore w:val="0"/>
              <w:kinsoku/>
              <w:wordWrap/>
              <w:overflowPunct/>
              <w:topLinePunct w:val="0"/>
              <w:bidi w:val="0"/>
              <w:snapToGrid w:val="0"/>
              <w:spacing w:line="560" w:lineRule="exact"/>
              <w:jc w:val="left"/>
              <w:rPr>
                <w:rFonts w:ascii="仿宋" w:hAnsi="仿宋" w:eastAsia="仿宋" w:cs="仿宋"/>
                <w:color w:val="auto"/>
                <w:sz w:val="28"/>
                <w:highlight w:val="none"/>
              </w:rPr>
            </w:pPr>
            <w:r>
              <w:rPr>
                <w:rFonts w:hint="eastAsia" w:ascii="仿宋" w:hAnsi="仿宋" w:eastAsia="仿宋" w:cs="仿宋"/>
                <w:b/>
                <w:color w:val="auto"/>
                <w:sz w:val="40"/>
                <w:szCs w:val="40"/>
                <w:highlight w:val="none"/>
              </w:rPr>
              <w:t>邮  箱：</w:t>
            </w:r>
          </w:p>
        </w:tc>
      </w:tr>
    </w:tbl>
    <w:p>
      <w:pPr>
        <w:keepLines w:val="0"/>
        <w:pageBreakBefore w:val="0"/>
        <w:kinsoku/>
        <w:wordWrap/>
        <w:overflowPunct/>
        <w:topLinePunct w:val="0"/>
        <w:bidi w:val="0"/>
        <w:spacing w:line="560" w:lineRule="exact"/>
        <w:jc w:val="center"/>
        <w:rPr>
          <w:rFonts w:hint="eastAsia" w:ascii="仿宋_GB2312" w:hAnsi="仿宋_GB2312" w:eastAsia="仿宋_GB2312" w:cs="仿宋_GB2312"/>
          <w:color w:val="auto"/>
          <w:sz w:val="28"/>
          <w:szCs w:val="28"/>
          <w:highlight w:val="none"/>
        </w:rPr>
      </w:pPr>
      <w:r>
        <w:rPr>
          <w:rFonts w:hint="eastAsia" w:ascii="宋体" w:hAnsi="宋体" w:cs="宋体"/>
          <w:b/>
          <w:bCs/>
          <w:color w:val="auto"/>
          <w:sz w:val="44"/>
          <w:szCs w:val="44"/>
          <w:highlight w:val="none"/>
        </w:rPr>
        <w:t>目录</w:t>
      </w:r>
      <w:r>
        <w:rPr>
          <w:rFonts w:hint="eastAsia" w:ascii="宋体" w:hAnsi="宋体" w:cs="宋体"/>
          <w:b/>
          <w:bCs/>
          <w:color w:val="auto"/>
          <w:sz w:val="28"/>
          <w:szCs w:val="28"/>
          <w:highlight w:val="none"/>
        </w:rPr>
        <w:t>（附页码）</w:t>
      </w:r>
    </w:p>
    <w:p>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1.封面</w:t>
      </w:r>
    </w:p>
    <w:p>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2.目录</w:t>
      </w:r>
    </w:p>
    <w:p>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3.法定代表人资格证明书及身份证复印件</w:t>
      </w:r>
    </w:p>
    <w:p>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w:t>
      </w:r>
      <w:r>
        <w:rPr>
          <w:rFonts w:hint="eastAsia" w:ascii="仿宋_GB2312" w:hAnsi="仿宋_GB2312" w:eastAsia="仿宋_GB2312" w:cs="仿宋_GB2312"/>
          <w:color w:val="auto"/>
          <w:sz w:val="28"/>
          <w:szCs w:val="28"/>
          <w:highlight w:val="none"/>
          <w:lang w:bidi="ar"/>
        </w:rPr>
        <w:t>法定代表人授权书</w:t>
      </w:r>
      <w:r>
        <w:rPr>
          <w:rFonts w:hint="eastAsia" w:ascii="仿宋_GB2312" w:hAnsi="仿宋_GB2312" w:eastAsia="仿宋_GB2312" w:cs="仿宋_GB2312"/>
          <w:color w:val="auto"/>
          <w:sz w:val="28"/>
          <w:szCs w:val="28"/>
          <w:highlight w:val="none"/>
        </w:rPr>
        <w:t>及授权代表人身份证复印件（如有）</w:t>
      </w:r>
    </w:p>
    <w:p>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5.独立承担民事责任能力的法人或其他组织或个体工商户的营业执照或法人证书等证明材料复印件</w:t>
      </w:r>
      <w:r>
        <w:rPr>
          <w:rFonts w:hint="eastAsia" w:ascii="仿宋_GB2312" w:hAnsi="仿宋_GB2312" w:eastAsia="仿宋_GB2312" w:cs="仿宋_GB2312"/>
          <w:color w:val="auto"/>
          <w:sz w:val="28"/>
          <w:szCs w:val="28"/>
          <w:highlight w:val="none"/>
          <w:lang w:val="en-US" w:eastAsia="zh-CN"/>
        </w:rPr>
        <w:t>或扫描件</w:t>
      </w:r>
    </w:p>
    <w:p>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6.投标人若为生产企业：所投产品为第二、三类医疗器械的，提供药品监督管理部门签发的涵盖所投报医疗器械的《医疗器械生产许可证》（有效期内）</w:t>
      </w:r>
      <w:r>
        <w:rPr>
          <w:rFonts w:hint="eastAsia" w:ascii="仿宋_GB2312" w:hAnsi="仿宋_GB2312" w:eastAsia="仿宋_GB2312" w:cs="仿宋_GB2312"/>
          <w:color w:val="auto"/>
          <w:sz w:val="28"/>
          <w:szCs w:val="28"/>
          <w:highlight w:val="none"/>
        </w:rPr>
        <w:t>复印件</w:t>
      </w:r>
      <w:r>
        <w:rPr>
          <w:rFonts w:hint="eastAsia" w:ascii="仿宋_GB2312" w:hAnsi="仿宋_GB2312" w:eastAsia="仿宋_GB2312" w:cs="仿宋_GB2312"/>
          <w:color w:val="auto"/>
          <w:sz w:val="28"/>
          <w:szCs w:val="28"/>
          <w:highlight w:val="none"/>
          <w:lang w:val="en-US" w:eastAsia="zh-CN"/>
        </w:rPr>
        <w:t>或扫描件；投标人若为经营企业：所投产品为第二类医疗器械的，提供药品监督管理部门签发的涵盖所投报医疗器械的《医疗器械经营备案凭证》（有效期内）</w:t>
      </w:r>
      <w:r>
        <w:rPr>
          <w:rFonts w:hint="eastAsia" w:ascii="仿宋_GB2312" w:hAnsi="仿宋_GB2312" w:eastAsia="仿宋_GB2312" w:cs="仿宋_GB2312"/>
          <w:color w:val="auto"/>
          <w:sz w:val="28"/>
          <w:szCs w:val="28"/>
          <w:highlight w:val="none"/>
        </w:rPr>
        <w:t>复印件</w:t>
      </w:r>
      <w:r>
        <w:rPr>
          <w:rFonts w:hint="eastAsia" w:ascii="仿宋_GB2312" w:hAnsi="仿宋_GB2312" w:eastAsia="仿宋_GB2312" w:cs="仿宋_GB2312"/>
          <w:color w:val="auto"/>
          <w:sz w:val="28"/>
          <w:szCs w:val="28"/>
          <w:highlight w:val="none"/>
          <w:lang w:val="en-US" w:eastAsia="zh-CN"/>
        </w:rPr>
        <w:t>或扫描件；所投产品为第三类医疗器械的，提供药品监督管理部门签发的涵盖所投报医疗器械的《医疗器械经营许可证》（有效期内）</w:t>
      </w:r>
      <w:r>
        <w:rPr>
          <w:rFonts w:hint="eastAsia" w:ascii="仿宋_GB2312" w:hAnsi="仿宋_GB2312" w:eastAsia="仿宋_GB2312" w:cs="仿宋_GB2312"/>
          <w:color w:val="auto"/>
          <w:sz w:val="28"/>
          <w:szCs w:val="28"/>
          <w:highlight w:val="none"/>
        </w:rPr>
        <w:t>复印件</w:t>
      </w:r>
      <w:r>
        <w:rPr>
          <w:rFonts w:hint="eastAsia" w:ascii="仿宋_GB2312" w:hAnsi="仿宋_GB2312" w:eastAsia="仿宋_GB2312" w:cs="仿宋_GB2312"/>
          <w:color w:val="auto"/>
          <w:sz w:val="28"/>
          <w:szCs w:val="28"/>
          <w:highlight w:val="none"/>
          <w:lang w:val="en-US" w:eastAsia="zh-CN"/>
        </w:rPr>
        <w:t>或扫描件</w:t>
      </w:r>
    </w:p>
    <w:p>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7.产品具备相关主管部门要求的认证资料：所投产品为第一类医疗器械的，提供药品监督管理部门签发的有效的《医疗器械备案凭证》或《医疗器械备案编号告知书》</w:t>
      </w:r>
      <w:r>
        <w:rPr>
          <w:rFonts w:hint="eastAsia" w:ascii="仿宋_GB2312" w:hAnsi="仿宋_GB2312" w:eastAsia="仿宋_GB2312" w:cs="仿宋_GB2312"/>
          <w:color w:val="auto"/>
          <w:sz w:val="28"/>
          <w:szCs w:val="28"/>
          <w:highlight w:val="none"/>
        </w:rPr>
        <w:t>复印件</w:t>
      </w:r>
      <w:r>
        <w:rPr>
          <w:rFonts w:hint="eastAsia" w:ascii="仿宋_GB2312" w:hAnsi="仿宋_GB2312" w:eastAsia="仿宋_GB2312" w:cs="仿宋_GB2312"/>
          <w:color w:val="auto"/>
          <w:sz w:val="28"/>
          <w:szCs w:val="28"/>
          <w:highlight w:val="none"/>
          <w:lang w:val="en-US" w:eastAsia="zh-CN"/>
        </w:rPr>
        <w:t>或扫描件；所投产品为第二、三类医疗器械的，提供药品监督管理部门签发的涵盖所投产品的《医疗器械注册证》（有效期内）</w:t>
      </w:r>
      <w:r>
        <w:rPr>
          <w:rFonts w:hint="eastAsia" w:ascii="仿宋_GB2312" w:hAnsi="仿宋_GB2312" w:eastAsia="仿宋_GB2312" w:cs="仿宋_GB2312"/>
          <w:color w:val="auto"/>
          <w:sz w:val="28"/>
          <w:szCs w:val="28"/>
          <w:highlight w:val="none"/>
        </w:rPr>
        <w:t>复印件</w:t>
      </w:r>
      <w:r>
        <w:rPr>
          <w:rFonts w:hint="eastAsia" w:ascii="仿宋_GB2312" w:hAnsi="仿宋_GB2312" w:eastAsia="仿宋_GB2312" w:cs="仿宋_GB2312"/>
          <w:color w:val="auto"/>
          <w:sz w:val="28"/>
          <w:szCs w:val="28"/>
          <w:highlight w:val="none"/>
          <w:lang w:val="en-US" w:eastAsia="zh-CN"/>
        </w:rPr>
        <w:t>或扫描件</w:t>
      </w:r>
    </w:p>
    <w:p>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8</w:t>
      </w:r>
      <w:r>
        <w:rPr>
          <w:rFonts w:hint="eastAsia" w:ascii="仿宋_GB2312" w:hAnsi="仿宋_GB2312" w:eastAsia="仿宋_GB2312" w:cs="仿宋_GB2312"/>
          <w:color w:val="auto"/>
          <w:sz w:val="28"/>
          <w:szCs w:val="28"/>
          <w:highlight w:val="none"/>
        </w:rPr>
        <w:t>.投标文件初审表</w:t>
      </w:r>
    </w:p>
    <w:p>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9</w:t>
      </w:r>
      <w:r>
        <w:rPr>
          <w:rFonts w:hint="eastAsia" w:ascii="仿宋_GB2312" w:hAnsi="仿宋_GB2312" w:eastAsia="仿宋_GB2312" w:cs="仿宋_GB2312"/>
          <w:color w:val="auto"/>
          <w:sz w:val="28"/>
          <w:szCs w:val="28"/>
          <w:highlight w:val="none"/>
        </w:rPr>
        <w:t>.供应商自查表</w:t>
      </w:r>
    </w:p>
    <w:p>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10</w:t>
      </w:r>
      <w:r>
        <w:rPr>
          <w:rFonts w:hint="eastAsia" w:ascii="仿宋_GB2312" w:hAnsi="仿宋_GB2312" w:eastAsia="仿宋_GB2312" w:cs="仿宋_GB2312"/>
          <w:color w:val="auto"/>
          <w:sz w:val="28"/>
          <w:szCs w:val="28"/>
          <w:highlight w:val="none"/>
        </w:rPr>
        <w:t>.投标函</w:t>
      </w:r>
    </w:p>
    <w:p>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11</w:t>
      </w:r>
      <w:r>
        <w:rPr>
          <w:rFonts w:hint="eastAsia" w:ascii="仿宋_GB2312" w:hAnsi="仿宋_GB2312" w:eastAsia="仿宋_GB2312" w:cs="仿宋_GB2312"/>
          <w:color w:val="auto"/>
          <w:sz w:val="28"/>
          <w:szCs w:val="28"/>
          <w:highlight w:val="none"/>
        </w:rPr>
        <w:t>.投标及履约承诺函</w:t>
      </w:r>
    </w:p>
    <w:p>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en-US" w:eastAsia="zh-CN"/>
        </w:rPr>
        <w:t>12</w:t>
      </w:r>
      <w:r>
        <w:rPr>
          <w:rFonts w:hint="eastAsia" w:ascii="仿宋_GB2312" w:hAnsi="仿宋_GB2312" w:eastAsia="仿宋_GB2312" w:cs="仿宋_GB2312"/>
          <w:color w:val="auto"/>
          <w:sz w:val="28"/>
          <w:szCs w:val="28"/>
          <w:highlight w:val="none"/>
          <w:lang w:val="zh-CN"/>
        </w:rPr>
        <w:t>.供应商基本情况表</w:t>
      </w:r>
    </w:p>
    <w:p>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1</w:t>
      </w: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lang w:val="zh-CN"/>
        </w:rPr>
        <w:t>.社会保险证明</w:t>
      </w:r>
    </w:p>
    <w:p>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1</w:t>
      </w: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lang w:val="zh-CN"/>
        </w:rPr>
        <w:t>.开标一览表</w:t>
      </w:r>
    </w:p>
    <w:p>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en-US" w:eastAsia="zh-CN"/>
        </w:rPr>
        <w:t>15.</w:t>
      </w:r>
      <w:r>
        <w:rPr>
          <w:rFonts w:hint="eastAsia" w:ascii="仿宋_GB2312" w:hAnsi="仿宋_GB2312" w:eastAsia="仿宋_GB2312" w:cs="仿宋_GB2312"/>
          <w:color w:val="auto"/>
          <w:sz w:val="28"/>
          <w:szCs w:val="28"/>
          <w:highlight w:val="none"/>
          <w:lang w:val="zh-CN"/>
        </w:rPr>
        <w:t>分</w:t>
      </w:r>
      <w:r>
        <w:rPr>
          <w:rFonts w:hint="eastAsia" w:ascii="仿宋_GB2312" w:hAnsi="仿宋_GB2312" w:eastAsia="仿宋_GB2312" w:cs="仿宋_GB2312"/>
          <w:color w:val="auto"/>
          <w:sz w:val="28"/>
          <w:szCs w:val="28"/>
          <w:highlight w:val="none"/>
          <w:lang w:val="en-US" w:eastAsia="zh-CN"/>
        </w:rPr>
        <w:t>项</w:t>
      </w:r>
      <w:r>
        <w:rPr>
          <w:rFonts w:hint="eastAsia" w:ascii="仿宋_GB2312" w:hAnsi="仿宋_GB2312" w:eastAsia="仿宋_GB2312" w:cs="仿宋_GB2312"/>
          <w:color w:val="auto"/>
          <w:sz w:val="28"/>
          <w:szCs w:val="28"/>
          <w:highlight w:val="none"/>
          <w:lang w:val="zh-CN"/>
        </w:rPr>
        <w:t>报价表</w:t>
      </w:r>
    </w:p>
    <w:p>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16.</w:t>
      </w:r>
      <w:r>
        <w:rPr>
          <w:rFonts w:hint="eastAsia" w:ascii="仿宋_GB2312" w:hAnsi="仿宋_GB2312" w:eastAsia="仿宋_GB2312" w:cs="仿宋_GB2312"/>
          <w:color w:val="auto"/>
          <w:sz w:val="28"/>
          <w:szCs w:val="28"/>
          <w:highlight w:val="none"/>
          <w:lang w:val="zh-CN"/>
        </w:rPr>
        <w:t>实质性条款响应情况表</w:t>
      </w:r>
    </w:p>
    <w:p>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1</w:t>
      </w:r>
      <w:r>
        <w:rPr>
          <w:rFonts w:hint="eastAsia" w:ascii="仿宋_GB2312" w:hAnsi="仿宋_GB2312" w:eastAsia="仿宋_GB2312" w:cs="仿宋_GB2312"/>
          <w:color w:val="auto"/>
          <w:sz w:val="28"/>
          <w:szCs w:val="28"/>
          <w:highlight w:val="none"/>
          <w:lang w:val="en-US" w:eastAsia="zh-CN"/>
        </w:rPr>
        <w:t>7</w:t>
      </w:r>
      <w:r>
        <w:rPr>
          <w:rFonts w:hint="eastAsia" w:ascii="仿宋_GB2312" w:hAnsi="仿宋_GB2312" w:eastAsia="仿宋_GB2312" w:cs="仿宋_GB2312"/>
          <w:color w:val="auto"/>
          <w:sz w:val="28"/>
          <w:szCs w:val="28"/>
          <w:highlight w:val="none"/>
          <w:lang w:val="zh-CN"/>
        </w:rPr>
        <w:t>.商务条款偏离表</w:t>
      </w:r>
    </w:p>
    <w:p>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1</w:t>
      </w:r>
      <w:r>
        <w:rPr>
          <w:rFonts w:hint="eastAsia" w:ascii="仿宋_GB2312" w:hAnsi="仿宋_GB2312" w:eastAsia="仿宋_GB2312" w:cs="仿宋_GB2312"/>
          <w:color w:val="auto"/>
          <w:sz w:val="28"/>
          <w:szCs w:val="28"/>
          <w:highlight w:val="none"/>
          <w:lang w:val="en-US" w:eastAsia="zh-CN"/>
        </w:rPr>
        <w:t>8</w:t>
      </w:r>
      <w:r>
        <w:rPr>
          <w:rFonts w:hint="eastAsia" w:ascii="仿宋_GB2312" w:hAnsi="仿宋_GB2312" w:eastAsia="仿宋_GB2312" w:cs="仿宋_GB2312"/>
          <w:color w:val="auto"/>
          <w:sz w:val="28"/>
          <w:szCs w:val="28"/>
          <w:highlight w:val="none"/>
          <w:lang w:val="zh-CN"/>
        </w:rPr>
        <w:t>.技术条款偏离情况</w:t>
      </w:r>
    </w:p>
    <w:p>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19.配置清单偏离情况</w:t>
      </w:r>
    </w:p>
    <w:p>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en-US" w:eastAsia="zh-CN"/>
        </w:rPr>
        <w:t>20</w:t>
      </w:r>
      <w:r>
        <w:rPr>
          <w:rFonts w:hint="eastAsia" w:ascii="仿宋_GB2312" w:hAnsi="仿宋_GB2312" w:eastAsia="仿宋_GB2312" w:cs="仿宋_GB2312"/>
          <w:color w:val="auto"/>
          <w:sz w:val="28"/>
          <w:szCs w:val="28"/>
          <w:highlight w:val="none"/>
          <w:lang w:val="zh-CN"/>
        </w:rPr>
        <w:t>.质量保障措施及应急响应方案</w:t>
      </w:r>
    </w:p>
    <w:p>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en-US" w:eastAsia="zh-CN"/>
        </w:rPr>
        <w:t>21</w:t>
      </w:r>
      <w:r>
        <w:rPr>
          <w:rFonts w:hint="eastAsia" w:ascii="仿宋_GB2312" w:hAnsi="仿宋_GB2312" w:eastAsia="仿宋_GB2312" w:cs="仿宋_GB2312"/>
          <w:color w:val="auto"/>
          <w:sz w:val="28"/>
          <w:szCs w:val="28"/>
          <w:highlight w:val="none"/>
          <w:lang w:val="zh-CN"/>
        </w:rPr>
        <w:t>.售后服务方案</w:t>
      </w:r>
    </w:p>
    <w:p>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en-US" w:eastAsia="zh-CN"/>
        </w:rPr>
        <w:t>22</w:t>
      </w:r>
      <w:r>
        <w:rPr>
          <w:rFonts w:hint="eastAsia" w:ascii="仿宋_GB2312" w:hAnsi="仿宋_GB2312" w:eastAsia="仿宋_GB2312" w:cs="仿宋_GB2312"/>
          <w:color w:val="auto"/>
          <w:sz w:val="28"/>
          <w:szCs w:val="28"/>
          <w:highlight w:val="none"/>
          <w:lang w:val="zh-CN"/>
        </w:rPr>
        <w:t>.同类业绩</w:t>
      </w:r>
    </w:p>
    <w:p>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2</w:t>
      </w: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lang w:val="zh-CN"/>
        </w:rPr>
        <w:t>.企业诚信</w:t>
      </w:r>
    </w:p>
    <w:p>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en-US" w:eastAsia="zh-CN"/>
        </w:rPr>
        <w:t>24.</w:t>
      </w:r>
      <w:r>
        <w:rPr>
          <w:rFonts w:hint="eastAsia" w:ascii="仿宋_GB2312" w:hAnsi="仿宋_GB2312" w:eastAsia="仿宋_GB2312" w:cs="仿宋_GB2312"/>
          <w:color w:val="auto"/>
          <w:sz w:val="28"/>
          <w:szCs w:val="28"/>
          <w:highlight w:val="none"/>
          <w:lang w:val="zh-CN"/>
        </w:rPr>
        <w:t>中小企业声明函</w:t>
      </w:r>
    </w:p>
    <w:p>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2</w:t>
      </w:r>
      <w:r>
        <w:rPr>
          <w:rFonts w:hint="eastAsia" w:ascii="仿宋_GB2312" w:hAnsi="仿宋_GB2312" w:eastAsia="仿宋_GB2312" w:cs="仿宋_GB2312"/>
          <w:color w:val="auto"/>
          <w:sz w:val="28"/>
          <w:szCs w:val="28"/>
          <w:highlight w:val="none"/>
          <w:lang w:val="en-US" w:eastAsia="zh-CN"/>
        </w:rPr>
        <w:t>5</w:t>
      </w:r>
      <w:r>
        <w:rPr>
          <w:rFonts w:hint="eastAsia" w:ascii="仿宋_GB2312" w:hAnsi="仿宋_GB2312" w:eastAsia="仿宋_GB2312" w:cs="仿宋_GB2312"/>
          <w:color w:val="auto"/>
          <w:sz w:val="28"/>
          <w:szCs w:val="28"/>
          <w:highlight w:val="none"/>
          <w:lang w:val="zh-CN"/>
        </w:rPr>
        <w:t>.其他证明材料</w:t>
      </w:r>
    </w:p>
    <w:p>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p>
    <w:p>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p>
    <w:p>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p>
    <w:p>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p>
    <w:p>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p>
    <w:p>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p>
    <w:p>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p>
    <w:p>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p>
    <w:p>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p>
    <w:p>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p>
    <w:p>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p>
    <w:p>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p>
    <w:p>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p>
    <w:p>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p>
    <w:p>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8"/>
          <w:szCs w:val="28"/>
          <w:highlight w:val="none"/>
          <w:lang w:bidi="ar"/>
        </w:rPr>
      </w:pPr>
    </w:p>
    <w:p>
      <w:pPr>
        <w:keepLines w:val="0"/>
        <w:pageBreakBefore w:val="0"/>
        <w:kinsoku/>
        <w:wordWrap/>
        <w:overflowPunct/>
        <w:topLinePunct w:val="0"/>
        <w:bidi w:val="0"/>
        <w:spacing w:line="500" w:lineRule="exact"/>
        <w:jc w:val="cente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投标函</w:t>
      </w:r>
    </w:p>
    <w:p>
      <w:pPr>
        <w:keepLines w:val="0"/>
        <w:pageBreakBefore w:val="0"/>
        <w:kinsoku/>
        <w:wordWrap/>
        <w:overflowPunct/>
        <w:topLinePunct w:val="0"/>
        <w:bidi w:val="0"/>
        <w:spacing w:line="500" w:lineRule="exact"/>
        <w:jc w:val="center"/>
        <w:rPr>
          <w:rFonts w:hint="eastAsia" w:ascii="仿宋" w:hAnsi="仿宋" w:eastAsia="仿宋" w:cs="仿宋"/>
          <w:b/>
          <w:bCs/>
          <w:color w:val="auto"/>
          <w:sz w:val="36"/>
          <w:szCs w:val="44"/>
          <w:highlight w:val="none"/>
        </w:rPr>
      </w:pPr>
    </w:p>
    <w:p>
      <w:pPr>
        <w:keepLines w:val="0"/>
        <w:pageBreakBefore w:val="0"/>
        <w:kinsoku/>
        <w:wordWrap/>
        <w:overflowPunct/>
        <w:topLinePunct w:val="0"/>
        <w:bidi w:val="0"/>
        <w:spacing w:line="50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深圳市龙岗区第七人民医院：</w:t>
      </w:r>
    </w:p>
    <w:p>
      <w:pPr>
        <w:keepLines w:val="0"/>
        <w:pageBreakBefore w:val="0"/>
        <w:kinsoku/>
        <w:wordWrap/>
        <w:overflowPunct/>
        <w:topLinePunct w:val="0"/>
        <w:bidi w:val="0"/>
        <w:spacing w:line="500" w:lineRule="exact"/>
        <w:ind w:firstLine="560" w:firstLineChars="200"/>
        <w:rPr>
          <w:rFonts w:hint="eastAsia"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rPr>
        <w:t>我司已经认真仔细阅读了贵单位关于</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p>
    <w:p>
      <w:pPr>
        <w:keepLines w:val="0"/>
        <w:pageBreakBefore w:val="0"/>
        <w:kinsoku/>
        <w:wordWrap/>
        <w:overflowPunct/>
        <w:topLinePunct w:val="0"/>
        <w:bidi w:val="0"/>
        <w:spacing w:line="50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项目的招标文件，完全同意招标文件中的所有条款，愿意按招标文件要求，决定以投标报价：</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元参与投标并按招标文件要求承包上述项目，并许以如下承诺：</w:t>
      </w:r>
    </w:p>
    <w:p>
      <w:pPr>
        <w:keepLines w:val="0"/>
        <w:pageBreakBefore w:val="0"/>
        <w:kinsoku/>
        <w:wordWrap/>
        <w:overflowPunct/>
        <w:topLinePunct w:val="0"/>
        <w:bidi w:val="0"/>
        <w:spacing w:line="50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1.我方愿意向招标人提供与本次招标的相关资料，并对其真实性、合法性、有效性负责。</w:t>
      </w:r>
    </w:p>
    <w:p>
      <w:pPr>
        <w:keepLines w:val="0"/>
        <w:pageBreakBefore w:val="0"/>
        <w:kinsoku/>
        <w:wordWrap/>
        <w:overflowPunct/>
        <w:topLinePunct w:val="0"/>
        <w:bidi w:val="0"/>
        <w:spacing w:line="50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2.我方将严格履行本投标文件中的全部承诺和责任，并遵守招标文件中对投标人的所有规定。</w:t>
      </w:r>
    </w:p>
    <w:p>
      <w:pPr>
        <w:keepLines w:val="0"/>
        <w:pageBreakBefore w:val="0"/>
        <w:kinsoku/>
        <w:wordWrap/>
        <w:overflowPunct/>
        <w:topLinePunct w:val="0"/>
        <w:bidi w:val="0"/>
        <w:spacing w:line="50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3.我方完全理解招标人有保留在授标之前，任何时候根据评标委员会的意见接受或拒绝任何投标的权利，并完全理解招标人对此无解释的义务。</w:t>
      </w:r>
    </w:p>
    <w:p>
      <w:pPr>
        <w:keepLines w:val="0"/>
        <w:pageBreakBefore w:val="0"/>
        <w:kinsoku/>
        <w:wordWrap/>
        <w:overflowPunct/>
        <w:topLinePunct w:val="0"/>
        <w:bidi w:val="0"/>
        <w:spacing w:line="50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4.我方完全理解招标人不保证投标价最低的投标人中标。</w:t>
      </w:r>
    </w:p>
    <w:p>
      <w:pPr>
        <w:keepLines w:val="0"/>
        <w:pageBreakBefore w:val="0"/>
        <w:kinsoku/>
        <w:wordWrap/>
        <w:overflowPunct/>
        <w:topLinePunct w:val="0"/>
        <w:bidi w:val="0"/>
        <w:spacing w:line="50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5.我方承诺在此次招标过程中涉及的一切应当保密的事项，不向任何第三方泄露，否则承担一切法律责任。</w:t>
      </w:r>
    </w:p>
    <w:p>
      <w:pPr>
        <w:keepLines w:val="0"/>
        <w:pageBreakBefore w:val="0"/>
        <w:kinsoku/>
        <w:wordWrap/>
        <w:overflowPunct/>
        <w:topLinePunct w:val="0"/>
        <w:bidi w:val="0"/>
        <w:spacing w:line="500" w:lineRule="exact"/>
        <w:ind w:firstLine="560" w:firstLineChars="200"/>
        <w:rPr>
          <w:color w:val="auto"/>
          <w:sz w:val="28"/>
          <w:szCs w:val="28"/>
          <w:highlight w:val="none"/>
        </w:rPr>
      </w:pPr>
      <w:r>
        <w:rPr>
          <w:rFonts w:hint="eastAsia" w:ascii="仿宋_GB2312" w:hAnsi="仿宋_GB2312" w:eastAsia="仿宋_GB2312" w:cs="仿宋_GB2312"/>
          <w:color w:val="auto"/>
          <w:sz w:val="28"/>
          <w:szCs w:val="28"/>
          <w:highlight w:val="none"/>
        </w:rPr>
        <w:t>6.我方如果中标，我方承诺中标后按照采购相关规定与采购人签订合同，将保证履行我方投标文件所响应的全部责任和义务，按质、按量、按期完成合同中的全部任务。如因我方原因未在规定时限内与采购人签订合同的，愿意接受相关部门作出的相应处理。除非另外达成协议并生效，贵方中标通知书和本投标文件将构成合同组成部分。</w:t>
      </w:r>
    </w:p>
    <w:p>
      <w:pPr>
        <w:keepLines w:val="0"/>
        <w:pageBreakBefore w:val="0"/>
        <w:kinsoku/>
        <w:wordWrap/>
        <w:overflowPunct/>
        <w:topLinePunct w:val="0"/>
        <w:bidi w:val="0"/>
        <w:spacing w:line="50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p>
    <w:p>
      <w:pPr>
        <w:keepLines w:val="0"/>
        <w:pageBreakBefore w:val="0"/>
        <w:kinsoku/>
        <w:wordWrap/>
        <w:overflowPunct/>
        <w:topLinePunct w:val="0"/>
        <w:bidi w:val="0"/>
        <w:spacing w:line="500" w:lineRule="exact"/>
        <w:rPr>
          <w:rFonts w:hint="eastAsia" w:ascii="仿宋_GB2312" w:hAnsi="仿宋_GB2312" w:eastAsia="仿宋_GB2312" w:cs="仿宋_GB2312"/>
          <w:color w:val="auto"/>
          <w:sz w:val="28"/>
          <w:szCs w:val="28"/>
          <w:highlight w:val="none"/>
        </w:rPr>
      </w:pPr>
    </w:p>
    <w:p>
      <w:pPr>
        <w:keepLines w:val="0"/>
        <w:pageBreakBefore w:val="0"/>
        <w:kinsoku/>
        <w:wordWrap/>
        <w:overflowPunct/>
        <w:topLinePunct w:val="0"/>
        <w:bidi w:val="0"/>
        <w:spacing w:line="500" w:lineRule="exact"/>
        <w:ind w:firstLine="3360" w:firstLineChars="1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法定代表人或其授权代表人（签字）：</w:t>
      </w:r>
    </w:p>
    <w:p>
      <w:pPr>
        <w:keepLines w:val="0"/>
        <w:pageBreakBefore w:val="0"/>
        <w:kinsoku/>
        <w:wordWrap/>
        <w:overflowPunct/>
        <w:topLinePunct w:val="0"/>
        <w:bidi w:val="0"/>
        <w:spacing w:line="50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投标单位全称（加盖公章）：</w:t>
      </w:r>
    </w:p>
    <w:p>
      <w:pPr>
        <w:keepLines w:val="0"/>
        <w:pageBreakBefore w:val="0"/>
        <w:kinsoku/>
        <w:wordWrap/>
        <w:overflowPunct/>
        <w:topLinePunct w:val="0"/>
        <w:bidi w:val="0"/>
        <w:spacing w:line="500" w:lineRule="exact"/>
        <w:ind w:firstLine="3640" w:firstLineChars="13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日期：</w:t>
      </w:r>
      <w:r>
        <w:rPr>
          <w:rFonts w:hint="eastAsia" w:ascii="仿宋_GB2312" w:hAnsi="仿宋_GB2312" w:eastAsia="仿宋_GB2312" w:cs="仿宋_GB2312"/>
          <w:color w:val="auto"/>
          <w:sz w:val="28"/>
          <w:szCs w:val="28"/>
          <w:highlight w:val="none"/>
        </w:rPr>
        <w:t xml:space="preserve">      年    月    日</w:t>
      </w:r>
    </w:p>
    <w:p>
      <w:pP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br w:type="page"/>
      </w:r>
    </w:p>
    <w:p>
      <w:pPr>
        <w:keepLines w:val="0"/>
        <w:pageBreakBefore w:val="0"/>
        <w:kinsoku/>
        <w:wordWrap/>
        <w:overflowPunct/>
        <w:topLinePunct w:val="0"/>
        <w:bidi w:val="0"/>
        <w:spacing w:line="560" w:lineRule="exact"/>
        <w:jc w:val="cente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投标及履约承诺函</w:t>
      </w:r>
    </w:p>
    <w:p>
      <w:pPr>
        <w:keepLines w:val="0"/>
        <w:pageBreakBefore w:val="0"/>
        <w:kinsoku/>
        <w:wordWrap/>
        <w:overflowPunct/>
        <w:topLinePunct w:val="0"/>
        <w:bidi w:val="0"/>
        <w:spacing w:line="560" w:lineRule="exact"/>
        <w:rPr>
          <w:rFonts w:hint="eastAsia" w:ascii="仿宋_GB2312" w:hAnsi="仿宋_GB2312" w:eastAsia="仿宋_GB2312" w:cs="仿宋_GB2312"/>
          <w:color w:val="auto"/>
          <w:sz w:val="32"/>
          <w:szCs w:val="32"/>
          <w:highlight w:val="none"/>
        </w:rPr>
      </w:pPr>
    </w:p>
    <w:p>
      <w:pPr>
        <w:keepLines w:val="0"/>
        <w:pageBreakBefore w:val="0"/>
        <w:kinsoku/>
        <w:wordWrap/>
        <w:overflowPunct/>
        <w:topLinePunct w:val="0"/>
        <w:bidi w:val="0"/>
        <w:spacing w:line="56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深圳市龙岗区第七人民医院：</w:t>
      </w:r>
    </w:p>
    <w:p>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我公司参与</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项目，编号：</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（以下简称“本项目”）院内采购活动，承诺：</w:t>
      </w:r>
    </w:p>
    <w:p>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1.我单位参与本项目所投标（响应）的货物、工程或服务，不存在侵犯知识产权的情况；已知悉并同意中标（成交）结果信息公示（公开）的内容。</w:t>
      </w:r>
    </w:p>
    <w:p>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2.我单位参与该项目投标，符合采购文件关于联合体及进口产品的相关资格要求。</w:t>
      </w:r>
    </w:p>
    <w:p>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3.我单位参与本项目投标前三年内，在经营活动中没有重大违法记录。</w:t>
      </w:r>
    </w:p>
    <w:p>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4.我单位参与本项目政府采购活动时不存在被有关部门禁止参与政府采购活动且在有效期内的情况。</w:t>
      </w:r>
    </w:p>
    <w:p>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5.我单位具备《中华人民共和国政府采购法》第二十二条的条件。</w:t>
      </w:r>
    </w:p>
    <w:p>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6.我单位未被列入失信被执行人、重大税收违法案件当事人名单（重大税收违法失信主体）、政府采购严重违法失信行为记录名单。</w:t>
      </w:r>
    </w:p>
    <w:p>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p>
    <w:p>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8.我单位如果中标，做到守信，不偷工减料，依照本项目采购文件需求内容、签署的采购合同及本单位在投标中所作的一切承诺履约。我单位对本项目的报价负责，中标后将严格按照本项目采购文件需求、签署的采购合同及我单位在投标中所作的全部承诺履行。</w:t>
      </w:r>
    </w:p>
    <w:p>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9.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10.我单位承诺中标后项目不转包，未经采购人同意不进行分包。</w:t>
      </w:r>
    </w:p>
    <w:p>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11.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12.我单位保证，若所投货物涉及《财政部生态环境部关于印发节能产品政府采购品目清单的通知》（财库〔2019〕19号）列明的政府采购强制产品，则所投该产品符合节能产品的认证要求。</w:t>
      </w:r>
    </w:p>
    <w:p>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13.我单位保证，不存在“单位负责人为同一人或者存在直接控股、管理关系的不同供应商，不得参加同一合同项下的政府采购活动；为采购项目提供整体设计、规范编制或者项目管理、监理、检测等服务的供应商，不得再参加该采购项目的其他采购活动”的情形。</w:t>
      </w:r>
    </w:p>
    <w:p>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14.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15.我单位清楚，如存在违反投标承诺行为情节严重的，将根据《深圳市财政局关于印发&lt;深圳市财政局政府采购供应商信用信息管理办法&gt;的通知》，依法被列入失信信息。</w:t>
      </w:r>
    </w:p>
    <w:p>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16.我单位保证，参与本项目不存在《深圳市财政局政府采购供应商信用信息管理办法》列明的严重违法失信行为。</w:t>
      </w:r>
    </w:p>
    <w:p>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p>
    <w:p>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以上承诺，如有违反，愿依照国家相关法律法规处理，并承担由此给采购人带来的损失。</w:t>
      </w:r>
    </w:p>
    <w:p>
      <w:pPr>
        <w:keepLines w:val="0"/>
        <w:pageBreakBefore w:val="0"/>
        <w:widowControl/>
        <w:kinsoku/>
        <w:wordWrap/>
        <w:overflowPunct/>
        <w:topLinePunct w:val="0"/>
        <w:bidi w:val="0"/>
        <w:spacing w:line="560" w:lineRule="exact"/>
        <w:ind w:firstLine="560" w:firstLineChars="200"/>
        <w:jc w:val="left"/>
        <w:rPr>
          <w:rFonts w:hint="eastAsia" w:ascii="仿宋_GB2312" w:hAnsi="仿宋_GB2312" w:eastAsia="仿宋_GB2312" w:cs="仿宋_GB2312"/>
          <w:color w:val="auto"/>
          <w:sz w:val="28"/>
          <w:szCs w:val="28"/>
          <w:highlight w:val="none"/>
        </w:rPr>
      </w:pPr>
    </w:p>
    <w:p>
      <w:pPr>
        <w:keepLines w:val="0"/>
        <w:pageBreakBefore w:val="0"/>
        <w:widowControl/>
        <w:kinsoku/>
        <w:wordWrap/>
        <w:overflowPunct/>
        <w:topLinePunct w:val="0"/>
        <w:bidi w:val="0"/>
        <w:spacing w:line="560" w:lineRule="exact"/>
        <w:ind w:firstLine="560" w:firstLineChars="200"/>
        <w:jc w:val="left"/>
        <w:rPr>
          <w:rFonts w:hint="eastAsia" w:ascii="仿宋_GB2312" w:hAnsi="仿宋_GB2312" w:eastAsia="仿宋_GB2312" w:cs="仿宋_GB2312"/>
          <w:color w:val="auto"/>
          <w:sz w:val="28"/>
          <w:szCs w:val="28"/>
          <w:highlight w:val="none"/>
        </w:rPr>
      </w:pPr>
    </w:p>
    <w:p>
      <w:pPr>
        <w:keepLines w:val="0"/>
        <w:pageBreakBefore w:val="0"/>
        <w:widowControl/>
        <w:kinsoku/>
        <w:wordWrap/>
        <w:overflowPunct/>
        <w:topLinePunct w:val="0"/>
        <w:bidi w:val="0"/>
        <w:spacing w:line="560" w:lineRule="exact"/>
        <w:ind w:firstLine="3080" w:firstLineChars="11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投标人（公章）：</w:t>
      </w:r>
    </w:p>
    <w:p>
      <w:pPr>
        <w:keepLines w:val="0"/>
        <w:pageBreakBefore w:val="0"/>
        <w:widowControl/>
        <w:kinsoku/>
        <w:wordWrap/>
        <w:overflowPunct/>
        <w:topLinePunct w:val="0"/>
        <w:bidi w:val="0"/>
        <w:spacing w:line="560" w:lineRule="exact"/>
        <w:ind w:firstLine="3080" w:firstLineChars="11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法定代表人或其授权代表签名：</w:t>
      </w:r>
    </w:p>
    <w:p>
      <w:pPr>
        <w:keepLines w:val="0"/>
        <w:pageBreakBefore w:val="0"/>
        <w:widowControl/>
        <w:kinsoku/>
        <w:wordWrap/>
        <w:overflowPunct/>
        <w:topLinePunct w:val="0"/>
        <w:bidi w:val="0"/>
        <w:spacing w:line="560" w:lineRule="exact"/>
        <w:ind w:firstLine="3080" w:firstLineChars="1100"/>
        <w:jc w:val="left"/>
        <w:rPr>
          <w:rFonts w:hint="eastAsia" w:ascii="宋体" w:hAnsi="宋体" w:cs="宋体"/>
          <w:color w:val="auto"/>
          <w:kern w:val="0"/>
          <w:sz w:val="44"/>
          <w:szCs w:val="44"/>
          <w:highlight w:val="none"/>
          <w:lang w:bidi="ar"/>
        </w:rPr>
      </w:pPr>
      <w:r>
        <w:rPr>
          <w:rFonts w:hint="eastAsia" w:ascii="仿宋_GB2312" w:hAnsi="仿宋_GB2312" w:eastAsia="仿宋_GB2312" w:cs="仿宋_GB2312"/>
          <w:color w:val="auto"/>
          <w:sz w:val="28"/>
          <w:szCs w:val="28"/>
          <w:highlight w:val="none"/>
        </w:rPr>
        <w:t>日期：      年    月    日</w:t>
      </w:r>
      <w:bookmarkStart w:id="15" w:name="_Toc24111"/>
    </w:p>
    <w:p>
      <w:pPr>
        <w:keepLines w:val="0"/>
        <w:pageBreakBefore w:val="0"/>
        <w:widowControl/>
        <w:kinsoku/>
        <w:wordWrap/>
        <w:overflowPunct/>
        <w:topLinePunct w:val="0"/>
        <w:bidi w:val="0"/>
        <w:spacing w:line="560" w:lineRule="exact"/>
        <w:jc w:val="center"/>
        <w:textAlignment w:val="center"/>
        <w:rPr>
          <w:rFonts w:hint="eastAsia" w:ascii="宋体" w:hAnsi="宋体" w:cs="宋体"/>
          <w:color w:val="auto"/>
          <w:kern w:val="0"/>
          <w:sz w:val="44"/>
          <w:szCs w:val="44"/>
          <w:highlight w:val="none"/>
          <w:lang w:bidi="ar"/>
        </w:rPr>
      </w:pPr>
    </w:p>
    <w:p>
      <w:pPr>
        <w:rPr>
          <w:rFonts w:hint="eastAsia" w:ascii="宋体" w:hAnsi="宋体" w:cs="宋体"/>
          <w:color w:val="auto"/>
          <w:kern w:val="0"/>
          <w:sz w:val="44"/>
          <w:szCs w:val="44"/>
          <w:highlight w:val="none"/>
          <w:lang w:bidi="ar"/>
        </w:rPr>
      </w:pPr>
      <w:r>
        <w:rPr>
          <w:rFonts w:hint="eastAsia" w:ascii="宋体" w:hAnsi="宋体" w:cs="宋体"/>
          <w:color w:val="auto"/>
          <w:kern w:val="0"/>
          <w:sz w:val="44"/>
          <w:szCs w:val="44"/>
          <w:highlight w:val="none"/>
          <w:lang w:bidi="ar"/>
        </w:rPr>
        <w:br w:type="page"/>
      </w:r>
    </w:p>
    <w:p>
      <w:pPr>
        <w:keepLines w:val="0"/>
        <w:pageBreakBefore w:val="0"/>
        <w:widowControl/>
        <w:kinsoku/>
        <w:wordWrap/>
        <w:overflowPunct/>
        <w:topLinePunct w:val="0"/>
        <w:bidi w:val="0"/>
        <w:spacing w:line="560" w:lineRule="exact"/>
        <w:jc w:val="both"/>
        <w:textAlignment w:val="center"/>
        <w:rPr>
          <w:rFonts w:hint="eastAsia" w:ascii="宋体" w:hAnsi="宋体" w:cs="宋体"/>
          <w:color w:val="auto"/>
          <w:kern w:val="0"/>
          <w:sz w:val="44"/>
          <w:szCs w:val="44"/>
          <w:highlight w:val="none"/>
          <w:lang w:bidi="ar"/>
        </w:rPr>
      </w:pPr>
    </w:p>
    <w:p>
      <w:pPr>
        <w:keepLines w:val="0"/>
        <w:pageBreakBefore w:val="0"/>
        <w:widowControl/>
        <w:kinsoku/>
        <w:wordWrap/>
        <w:overflowPunct/>
        <w:topLinePunct w:val="0"/>
        <w:bidi w:val="0"/>
        <w:spacing w:line="560" w:lineRule="exact"/>
        <w:jc w:val="center"/>
        <w:textAlignment w:val="center"/>
        <w:rPr>
          <w:rFonts w:hint="eastAsia" w:ascii="宋体" w:hAnsi="宋体" w:cs="宋体"/>
          <w:color w:val="auto"/>
          <w:kern w:val="0"/>
          <w:sz w:val="44"/>
          <w:szCs w:val="44"/>
          <w:highlight w:val="none"/>
          <w:lang w:bidi="ar"/>
        </w:rPr>
      </w:pPr>
      <w:r>
        <w:rPr>
          <w:rFonts w:hint="eastAsia" w:ascii="宋体" w:hAnsi="宋体" w:cs="宋体"/>
          <w:color w:val="auto"/>
          <w:kern w:val="0"/>
          <w:sz w:val="44"/>
          <w:szCs w:val="44"/>
          <w:highlight w:val="none"/>
          <w:lang w:bidi="ar"/>
        </w:rPr>
        <w:t>法定代表人证明书</w:t>
      </w:r>
    </w:p>
    <w:p>
      <w:pPr>
        <w:keepLines w:val="0"/>
        <w:pageBreakBefore w:val="0"/>
        <w:kinsoku/>
        <w:wordWrap/>
        <w:overflowPunct/>
        <w:topLinePunct w:val="0"/>
        <w:bidi w:val="0"/>
        <w:spacing w:line="560" w:lineRule="exact"/>
        <w:rPr>
          <w:rFonts w:hint="eastAsia" w:ascii="仿宋" w:hAnsi="仿宋" w:eastAsia="仿宋" w:cs="仿宋"/>
          <w:color w:val="auto"/>
          <w:sz w:val="28"/>
          <w:szCs w:val="28"/>
          <w:highlight w:val="none"/>
        </w:rPr>
      </w:pPr>
    </w:p>
    <w:p>
      <w:pPr>
        <w:keepLines w:val="0"/>
        <w:pageBreakBefore w:val="0"/>
        <w:kinsoku/>
        <w:wordWrap/>
        <w:overflowPunct/>
        <w:topLinePunct w:val="0"/>
        <w:bidi w:val="0"/>
        <w:spacing w:line="56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先生/小姐，现任我单位</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rPr>
        <w:t>职务，为法定代表人，特此证明。</w:t>
      </w:r>
    </w:p>
    <w:p>
      <w:pPr>
        <w:keepLines w:val="0"/>
        <w:pageBreakBefore w:val="0"/>
        <w:kinsoku/>
        <w:wordWrap/>
        <w:overflowPunct/>
        <w:topLinePunct w:val="0"/>
        <w:bidi w:val="0"/>
        <w:spacing w:line="560" w:lineRule="exact"/>
        <w:ind w:firstLine="560" w:firstLineChars="200"/>
        <w:rPr>
          <w:rFonts w:hint="eastAsia" w:ascii="仿宋" w:hAnsi="仿宋" w:eastAsia="仿宋" w:cs="仿宋"/>
          <w:color w:val="auto"/>
          <w:sz w:val="28"/>
          <w:szCs w:val="28"/>
          <w:highlight w:val="none"/>
        </w:rPr>
      </w:pPr>
    </w:p>
    <w:p>
      <w:pPr>
        <w:keepLines w:val="0"/>
        <w:pageBreakBefore w:val="0"/>
        <w:kinsoku/>
        <w:wordWrap/>
        <w:overflowPunct/>
        <w:topLinePunct w:val="0"/>
        <w:bidi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有效日期：               签发日期：  </w:t>
      </w:r>
    </w:p>
    <w:p>
      <w:pPr>
        <w:keepLines w:val="0"/>
        <w:pageBreakBefore w:val="0"/>
        <w:kinsoku/>
        <w:wordWrap/>
        <w:overflowPunct/>
        <w:topLinePunct w:val="0"/>
        <w:bidi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单位：                   （盖章）</w:t>
      </w:r>
    </w:p>
    <w:p>
      <w:pPr>
        <w:keepLines w:val="0"/>
        <w:pageBreakBefore w:val="0"/>
        <w:kinsoku/>
        <w:wordWrap/>
        <w:overflowPunct/>
        <w:topLinePunct w:val="0"/>
        <w:bidi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附：</w:t>
      </w:r>
    </w:p>
    <w:p>
      <w:pPr>
        <w:keepLines w:val="0"/>
        <w:pageBreakBefore w:val="0"/>
        <w:kinsoku/>
        <w:wordWrap/>
        <w:overflowPunct/>
        <w:topLinePunct w:val="0"/>
        <w:bidi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代表人性别：        年龄：       身份证号码：</w:t>
      </w:r>
    </w:p>
    <w:p>
      <w:pPr>
        <w:keepLines w:val="0"/>
        <w:pageBreakBefore w:val="0"/>
        <w:kinsoku/>
        <w:wordWrap/>
        <w:overflowPunct/>
        <w:topLinePunct w:val="0"/>
        <w:bidi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营业执照号码：                   经济性质：</w:t>
      </w:r>
    </w:p>
    <w:p>
      <w:pPr>
        <w:keepLines w:val="0"/>
        <w:pageBreakBefore w:val="0"/>
        <w:kinsoku/>
        <w:wordWrap/>
        <w:overflowPunct/>
        <w:topLinePunct w:val="0"/>
        <w:bidi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主营（产）：</w:t>
      </w:r>
    </w:p>
    <w:p>
      <w:pPr>
        <w:keepLines w:val="0"/>
        <w:pageBreakBefore w:val="0"/>
        <w:kinsoku/>
        <w:wordWrap/>
        <w:overflowPunct/>
        <w:topLinePunct w:val="0"/>
        <w:bidi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兼营（产）：</w:t>
      </w:r>
    </w:p>
    <w:p>
      <w:pPr>
        <w:keepLines w:val="0"/>
        <w:pageBreakBefore w:val="0"/>
        <w:kinsoku/>
        <w:wordWrap/>
        <w:overflowPunct/>
        <w:topLinePunct w:val="0"/>
        <w:bidi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进口物品经营许可证号码：</w:t>
      </w:r>
    </w:p>
    <w:p>
      <w:pPr>
        <w:keepLines w:val="0"/>
        <w:pageBreakBefore w:val="0"/>
        <w:kinsoku/>
        <w:wordWrap/>
        <w:overflowPunct/>
        <w:topLinePunct w:val="0"/>
        <w:bidi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主营（产）：</w:t>
      </w:r>
    </w:p>
    <w:p>
      <w:pPr>
        <w:keepLines w:val="0"/>
        <w:pageBreakBefore w:val="0"/>
        <w:kinsoku/>
        <w:wordWrap/>
        <w:overflowPunct/>
        <w:topLinePunct w:val="0"/>
        <w:bidi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兼营（产）：</w:t>
      </w:r>
    </w:p>
    <w:p>
      <w:pPr>
        <w:keepLines w:val="0"/>
        <w:pageBreakBefore w:val="0"/>
        <w:kinsoku/>
        <w:wordWrap/>
        <w:overflowPunct/>
        <w:topLinePunct w:val="0"/>
        <w:bidi w:val="0"/>
        <w:spacing w:line="560" w:lineRule="exact"/>
        <w:ind w:firstLine="560" w:firstLineChars="200"/>
        <w:rPr>
          <w:rFonts w:hint="eastAsia" w:ascii="仿宋" w:hAnsi="仿宋" w:eastAsia="仿宋" w:cs="仿宋"/>
          <w:color w:val="auto"/>
          <w:sz w:val="28"/>
          <w:szCs w:val="28"/>
          <w:highlight w:val="none"/>
        </w:rPr>
      </w:pPr>
    </w:p>
    <w:p>
      <w:pPr>
        <w:keepLines w:val="0"/>
        <w:pageBreakBefore w:val="0"/>
        <w:kinsoku/>
        <w:wordWrap/>
        <w:overflowPunct/>
        <w:topLinePunct w:val="0"/>
        <w:bidi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身份证复印件：</w:t>
      </w:r>
    </w:p>
    <w:tbl>
      <w:tblPr>
        <w:tblStyle w:val="19"/>
        <w:tblW w:w="0" w:type="auto"/>
        <w:tblInd w:w="19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1" w:hRule="atLeast"/>
        </w:trPr>
        <w:tc>
          <w:tcPr>
            <w:tcW w:w="5460" w:type="dxa"/>
            <w:noWrap/>
          </w:tcPr>
          <w:p>
            <w:pPr>
              <w:keepLines w:val="0"/>
              <w:pageBreakBefore w:val="0"/>
              <w:kinsoku/>
              <w:wordWrap/>
              <w:overflowPunct/>
              <w:topLinePunct w:val="0"/>
              <w:bidi w:val="0"/>
              <w:spacing w:line="560" w:lineRule="exact"/>
              <w:rPr>
                <w:color w:val="auto"/>
                <w:highlight w:val="none"/>
              </w:rPr>
            </w:pPr>
          </w:p>
          <w:p>
            <w:pPr>
              <w:keepLines w:val="0"/>
              <w:pageBreakBefore w:val="0"/>
              <w:kinsoku/>
              <w:wordWrap/>
              <w:overflowPunct/>
              <w:topLinePunct w:val="0"/>
              <w:bidi w:val="0"/>
              <w:spacing w:line="560" w:lineRule="exact"/>
              <w:rPr>
                <w:color w:val="auto"/>
                <w:highlight w:val="none"/>
              </w:rPr>
            </w:pPr>
          </w:p>
          <w:p>
            <w:pPr>
              <w:pStyle w:val="8"/>
              <w:keepLines w:val="0"/>
              <w:pageBreakBefore w:val="0"/>
              <w:kinsoku/>
              <w:wordWrap/>
              <w:overflowPunct/>
              <w:topLinePunct w:val="0"/>
              <w:bidi w:val="0"/>
              <w:spacing w:line="560" w:lineRule="exact"/>
              <w:rPr>
                <w:rFonts w:hint="eastAsia"/>
                <w:color w:val="auto"/>
                <w:highlight w:val="none"/>
              </w:rPr>
            </w:pPr>
          </w:p>
          <w:p>
            <w:pPr>
              <w:keepLines w:val="0"/>
              <w:pageBreakBefore w:val="0"/>
              <w:kinsoku/>
              <w:wordWrap/>
              <w:overflowPunct/>
              <w:topLinePunct w:val="0"/>
              <w:bidi w:val="0"/>
              <w:spacing w:line="560" w:lineRule="exact"/>
              <w:ind w:firstLine="2100" w:firstLineChars="1000"/>
              <w:rPr>
                <w:color w:val="auto"/>
                <w:highlight w:val="none"/>
              </w:rPr>
            </w:pPr>
            <w:r>
              <w:rPr>
                <w:rFonts w:hint="eastAsia"/>
                <w:color w:val="auto"/>
                <w:highlight w:val="none"/>
              </w:rPr>
              <w:t>正反面</w:t>
            </w:r>
          </w:p>
        </w:tc>
      </w:tr>
    </w:tbl>
    <w:p>
      <w:pPr>
        <w:rPr>
          <w:rFonts w:hint="eastAsia" w:ascii="宋体" w:hAnsi="宋体" w:cs="宋体"/>
          <w:color w:val="auto"/>
          <w:kern w:val="0"/>
          <w:sz w:val="44"/>
          <w:szCs w:val="44"/>
          <w:highlight w:val="none"/>
          <w:lang w:bidi="ar"/>
        </w:rPr>
      </w:pPr>
      <w:r>
        <w:rPr>
          <w:rFonts w:hint="eastAsia" w:ascii="宋体" w:hAnsi="宋体" w:cs="宋体"/>
          <w:color w:val="auto"/>
          <w:kern w:val="0"/>
          <w:sz w:val="44"/>
          <w:szCs w:val="44"/>
          <w:highlight w:val="none"/>
          <w:lang w:bidi="ar"/>
        </w:rPr>
        <w:br w:type="page"/>
      </w:r>
    </w:p>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宋体" w:hAnsi="宋体" w:cs="宋体"/>
          <w:color w:val="auto"/>
          <w:kern w:val="0"/>
          <w:sz w:val="44"/>
          <w:szCs w:val="44"/>
          <w:highlight w:val="none"/>
          <w:lang w:bidi="ar"/>
        </w:rPr>
      </w:pPr>
      <w:r>
        <w:rPr>
          <w:rFonts w:hint="eastAsia" w:ascii="宋体" w:hAnsi="宋体" w:cs="宋体"/>
          <w:color w:val="auto"/>
          <w:kern w:val="0"/>
          <w:sz w:val="44"/>
          <w:szCs w:val="44"/>
          <w:highlight w:val="none"/>
          <w:lang w:bidi="ar"/>
        </w:rPr>
        <w:t>法定代表人授权书</w:t>
      </w:r>
    </w:p>
    <w:p>
      <w:pPr>
        <w:keepNext w:val="0"/>
        <w:keepLines w:val="0"/>
        <w:pageBreakBefore w:val="0"/>
        <w:kinsoku/>
        <w:wordWrap/>
        <w:overflowPunct/>
        <w:topLinePunct w:val="0"/>
        <w:autoSpaceDE/>
        <w:autoSpaceDN/>
        <w:bidi w:val="0"/>
        <w:adjustRightInd/>
        <w:snapToGrid/>
        <w:spacing w:line="500" w:lineRule="exact"/>
        <w:rPr>
          <w:color w:val="auto"/>
          <w:highlight w:val="none"/>
        </w:rPr>
      </w:pPr>
    </w:p>
    <w:p>
      <w:pPr>
        <w:keepNext w:val="0"/>
        <w:keepLines w:val="0"/>
        <w:pageBreakBefore w:val="0"/>
        <w:kinsoku/>
        <w:wordWrap/>
        <w:overflowPunct/>
        <w:topLinePunct w:val="0"/>
        <w:autoSpaceDE/>
        <w:autoSpaceDN/>
        <w:bidi w:val="0"/>
        <w:adjustRightInd/>
        <w:snapToGrid/>
        <w:spacing w:line="50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授权书声明：注册于（国家或地区的名称）的（公司名称）的在下面签字的（法定代表人姓名、职务）代表本公司授权（单位名称）的在下面签字的（被授权人的姓名、职务）为本公司的合法代理人，就（项目名称）投标及参加项目谈判，以本公司名义处理一切与之有关的事务。</w:t>
      </w:r>
    </w:p>
    <w:p>
      <w:pPr>
        <w:keepNext w:val="0"/>
        <w:keepLines w:val="0"/>
        <w:pageBreakBefore w:val="0"/>
        <w:kinsoku/>
        <w:wordWrap/>
        <w:overflowPunct/>
        <w:topLinePunct w:val="0"/>
        <w:autoSpaceDE/>
        <w:autoSpaceDN/>
        <w:bidi w:val="0"/>
        <w:adjustRightInd/>
        <w:snapToGrid/>
        <w:spacing w:line="50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本授权书于</w:t>
      </w:r>
      <w:r>
        <w:rPr>
          <w:rFonts w:hint="eastAsia" w:ascii="仿宋" w:hAnsi="仿宋" w:eastAsia="仿宋" w:cs="仿宋"/>
          <w:color w:val="auto"/>
          <w:sz w:val="28"/>
          <w:szCs w:val="28"/>
          <w:highlight w:val="none"/>
          <w:u w:val="single"/>
        </w:rPr>
        <w:t>　　</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u w:val="single"/>
        </w:rPr>
        <w:t>　　</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u w:val="single"/>
        </w:rPr>
        <w:t>　　</w:t>
      </w:r>
      <w:r>
        <w:rPr>
          <w:rFonts w:hint="eastAsia" w:ascii="仿宋" w:hAnsi="仿宋" w:eastAsia="仿宋" w:cs="仿宋"/>
          <w:color w:val="auto"/>
          <w:sz w:val="28"/>
          <w:szCs w:val="28"/>
          <w:highlight w:val="none"/>
        </w:rPr>
        <w:t>日签字生效，有效期至</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特此声明。</w:t>
      </w:r>
    </w:p>
    <w:p>
      <w:pPr>
        <w:keepNext w:val="0"/>
        <w:keepLines w:val="0"/>
        <w:pageBreakBefore w:val="0"/>
        <w:kinsoku/>
        <w:wordWrap/>
        <w:overflowPunct/>
        <w:topLinePunct w:val="0"/>
        <w:autoSpaceDE/>
        <w:autoSpaceDN/>
        <w:bidi w:val="0"/>
        <w:adjustRightInd/>
        <w:snapToGrid/>
        <w:spacing w:line="500" w:lineRule="exact"/>
        <w:ind w:firstLine="560" w:firstLineChars="200"/>
        <w:rPr>
          <w:rFonts w:hint="eastAsia" w:ascii="仿宋" w:hAnsi="仿宋" w:eastAsia="仿宋" w:cs="仿宋"/>
          <w:color w:val="auto"/>
          <w:sz w:val="28"/>
          <w:szCs w:val="28"/>
          <w:highlight w:val="none"/>
        </w:rPr>
      </w:pPr>
    </w:p>
    <w:p>
      <w:pPr>
        <w:keepNext w:val="0"/>
        <w:keepLines w:val="0"/>
        <w:pageBreakBefore w:val="0"/>
        <w:kinsoku/>
        <w:wordWrap/>
        <w:overflowPunct/>
        <w:topLinePunct w:val="0"/>
        <w:autoSpaceDE/>
        <w:autoSpaceDN/>
        <w:bidi w:val="0"/>
        <w:adjustRightInd/>
        <w:snapToGrid/>
        <w:spacing w:line="5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法定代表人签字： </w:t>
      </w:r>
    </w:p>
    <w:p>
      <w:pPr>
        <w:keepNext w:val="0"/>
        <w:keepLines w:val="0"/>
        <w:pageBreakBefore w:val="0"/>
        <w:kinsoku/>
        <w:wordWrap/>
        <w:overflowPunct/>
        <w:topLinePunct w:val="0"/>
        <w:autoSpaceDE/>
        <w:autoSpaceDN/>
        <w:bidi w:val="0"/>
        <w:adjustRightInd/>
        <w:snapToGrid/>
        <w:spacing w:line="5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被授权人签字：　</w:t>
      </w:r>
    </w:p>
    <w:p>
      <w:pPr>
        <w:keepNext w:val="0"/>
        <w:keepLines w:val="0"/>
        <w:pageBreakBefore w:val="0"/>
        <w:kinsoku/>
        <w:wordWrap/>
        <w:overflowPunct/>
        <w:topLinePunct w:val="0"/>
        <w:autoSpaceDE/>
        <w:autoSpaceDN/>
        <w:bidi w:val="0"/>
        <w:adjustRightInd/>
        <w:snapToGrid/>
        <w:spacing w:line="5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单位盖章：　</w:t>
      </w:r>
    </w:p>
    <w:p>
      <w:pPr>
        <w:keepNext w:val="0"/>
        <w:keepLines w:val="0"/>
        <w:pageBreakBefore w:val="0"/>
        <w:kinsoku/>
        <w:wordWrap/>
        <w:overflowPunct/>
        <w:topLinePunct w:val="0"/>
        <w:autoSpaceDE/>
        <w:autoSpaceDN/>
        <w:bidi w:val="0"/>
        <w:adjustRightInd/>
        <w:snapToGrid/>
        <w:spacing w:line="5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附：</w:t>
      </w:r>
    </w:p>
    <w:p>
      <w:pPr>
        <w:keepNext w:val="0"/>
        <w:keepLines w:val="0"/>
        <w:pageBreakBefore w:val="0"/>
        <w:kinsoku/>
        <w:wordWrap/>
        <w:overflowPunct/>
        <w:topLinePunct w:val="0"/>
        <w:autoSpaceDE/>
        <w:autoSpaceDN/>
        <w:bidi w:val="0"/>
        <w:adjustRightInd/>
        <w:snapToGrid/>
        <w:spacing w:line="5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被授权人姓名：                       身份证号：</w:t>
      </w:r>
    </w:p>
    <w:p>
      <w:pPr>
        <w:keepNext w:val="0"/>
        <w:keepLines w:val="0"/>
        <w:pageBreakBefore w:val="0"/>
        <w:kinsoku/>
        <w:wordWrap/>
        <w:overflowPunct/>
        <w:topLinePunct w:val="0"/>
        <w:autoSpaceDE/>
        <w:autoSpaceDN/>
        <w:bidi w:val="0"/>
        <w:adjustRightInd/>
        <w:snapToGrid/>
        <w:spacing w:line="5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职务：</w:t>
      </w:r>
    </w:p>
    <w:p>
      <w:pPr>
        <w:keepNext w:val="0"/>
        <w:keepLines w:val="0"/>
        <w:pageBreakBefore w:val="0"/>
        <w:kinsoku/>
        <w:wordWrap/>
        <w:overflowPunct/>
        <w:topLinePunct w:val="0"/>
        <w:autoSpaceDE/>
        <w:autoSpaceDN/>
        <w:bidi w:val="0"/>
        <w:adjustRightInd/>
        <w:snapToGrid/>
        <w:spacing w:line="5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详细通信地址：</w:t>
      </w:r>
    </w:p>
    <w:p>
      <w:pPr>
        <w:keepNext w:val="0"/>
        <w:keepLines w:val="0"/>
        <w:pageBreakBefore w:val="0"/>
        <w:kinsoku/>
        <w:wordWrap/>
        <w:overflowPunct/>
        <w:topLinePunct w:val="0"/>
        <w:autoSpaceDE/>
        <w:autoSpaceDN/>
        <w:bidi w:val="0"/>
        <w:adjustRightInd/>
        <w:snapToGrid/>
        <w:spacing w:line="5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邮政编码：</w:t>
      </w:r>
    </w:p>
    <w:p>
      <w:pPr>
        <w:keepNext w:val="0"/>
        <w:keepLines w:val="0"/>
        <w:pageBreakBefore w:val="0"/>
        <w:kinsoku/>
        <w:wordWrap/>
        <w:overflowPunct/>
        <w:topLinePunct w:val="0"/>
        <w:autoSpaceDE/>
        <w:autoSpaceDN/>
        <w:bidi w:val="0"/>
        <w:adjustRightInd/>
        <w:snapToGrid/>
        <w:spacing w:line="5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联系电话：</w:t>
      </w:r>
    </w:p>
    <w:p>
      <w:pPr>
        <w:keepNext w:val="0"/>
        <w:keepLines w:val="0"/>
        <w:pageBreakBefore w:val="0"/>
        <w:kinsoku/>
        <w:wordWrap/>
        <w:overflowPunct/>
        <w:topLinePunct w:val="0"/>
        <w:autoSpaceDE/>
        <w:autoSpaceDN/>
        <w:bidi w:val="0"/>
        <w:adjustRightInd/>
        <w:snapToGrid/>
        <w:spacing w:line="5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移动电话：</w:t>
      </w:r>
    </w:p>
    <w:p>
      <w:pPr>
        <w:keepNext w:val="0"/>
        <w:keepLines w:val="0"/>
        <w:pageBreakBefore w:val="0"/>
        <w:kinsoku/>
        <w:wordWrap/>
        <w:overflowPunct/>
        <w:topLinePunct w:val="0"/>
        <w:autoSpaceDE/>
        <w:autoSpaceDN/>
        <w:bidi w:val="0"/>
        <w:adjustRightInd/>
        <w:snapToGrid/>
        <w:spacing w:line="5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传真：</w:t>
      </w:r>
    </w:p>
    <w:p>
      <w:pPr>
        <w:keepNext w:val="0"/>
        <w:keepLines w:val="0"/>
        <w:pageBreakBefore w:val="0"/>
        <w:kinsoku/>
        <w:wordWrap/>
        <w:overflowPunct/>
        <w:topLinePunct w:val="0"/>
        <w:autoSpaceDE/>
        <w:autoSpaceDN/>
        <w:bidi w:val="0"/>
        <w:adjustRightInd/>
        <w:snapToGrid/>
        <w:spacing w:line="5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身份证复印件：</w:t>
      </w:r>
    </w:p>
    <w:tbl>
      <w:tblPr>
        <w:tblStyle w:val="19"/>
        <w:tblW w:w="0" w:type="auto"/>
        <w:tblInd w:w="19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1" w:hRule="atLeast"/>
        </w:trPr>
        <w:tc>
          <w:tcPr>
            <w:tcW w:w="5580" w:type="dxa"/>
            <w:noWrap/>
          </w:tcPr>
          <w:p>
            <w:pPr>
              <w:keepNext w:val="0"/>
              <w:keepLines w:val="0"/>
              <w:pageBreakBefore w:val="0"/>
              <w:kinsoku/>
              <w:wordWrap/>
              <w:overflowPunct/>
              <w:topLinePunct w:val="0"/>
              <w:autoSpaceDE/>
              <w:autoSpaceDN/>
              <w:bidi w:val="0"/>
              <w:adjustRightInd/>
              <w:snapToGrid/>
              <w:spacing w:line="500" w:lineRule="exact"/>
              <w:rPr>
                <w:color w:val="auto"/>
                <w:highlight w:val="none"/>
              </w:rPr>
            </w:pPr>
          </w:p>
          <w:p>
            <w:pPr>
              <w:keepNext w:val="0"/>
              <w:keepLines w:val="0"/>
              <w:pageBreakBefore w:val="0"/>
              <w:kinsoku/>
              <w:wordWrap/>
              <w:overflowPunct/>
              <w:topLinePunct w:val="0"/>
              <w:autoSpaceDE/>
              <w:autoSpaceDN/>
              <w:bidi w:val="0"/>
              <w:adjustRightInd/>
              <w:snapToGrid/>
              <w:spacing w:line="500" w:lineRule="exact"/>
              <w:rPr>
                <w:color w:val="auto"/>
                <w:highlight w:val="none"/>
              </w:rPr>
            </w:pPr>
          </w:p>
          <w:p>
            <w:pPr>
              <w:keepNext w:val="0"/>
              <w:keepLines w:val="0"/>
              <w:pageBreakBefore w:val="0"/>
              <w:kinsoku/>
              <w:wordWrap/>
              <w:overflowPunct/>
              <w:topLinePunct w:val="0"/>
              <w:autoSpaceDE/>
              <w:autoSpaceDN/>
              <w:bidi w:val="0"/>
              <w:adjustRightInd/>
              <w:snapToGrid/>
              <w:spacing w:line="500" w:lineRule="exact"/>
              <w:ind w:firstLine="2310" w:firstLineChars="1100"/>
              <w:rPr>
                <w:color w:val="auto"/>
                <w:highlight w:val="none"/>
              </w:rPr>
            </w:pPr>
          </w:p>
          <w:p>
            <w:pPr>
              <w:keepNext w:val="0"/>
              <w:keepLines w:val="0"/>
              <w:pageBreakBefore w:val="0"/>
              <w:kinsoku/>
              <w:wordWrap/>
              <w:overflowPunct/>
              <w:topLinePunct w:val="0"/>
              <w:autoSpaceDE/>
              <w:autoSpaceDN/>
              <w:bidi w:val="0"/>
              <w:adjustRightInd/>
              <w:snapToGrid/>
              <w:spacing w:line="500" w:lineRule="exact"/>
              <w:ind w:firstLine="2310" w:firstLineChars="1100"/>
              <w:rPr>
                <w:color w:val="auto"/>
                <w:highlight w:val="none"/>
              </w:rPr>
            </w:pPr>
            <w:r>
              <w:rPr>
                <w:rFonts w:hint="eastAsia"/>
                <w:color w:val="auto"/>
                <w:highlight w:val="none"/>
              </w:rPr>
              <w:t>正反面</w:t>
            </w:r>
          </w:p>
        </w:tc>
      </w:tr>
    </w:tbl>
    <w:p>
      <w:pPr>
        <w:pStyle w:val="3"/>
        <w:keepLines w:val="0"/>
        <w:pageBreakBefore w:val="0"/>
        <w:kinsoku/>
        <w:wordWrap/>
        <w:overflowPunct/>
        <w:topLinePunct w:val="0"/>
        <w:bidi w:val="0"/>
        <w:spacing w:line="560" w:lineRule="exact"/>
        <w:ind w:left="420" w:hanging="420"/>
        <w:jc w:val="center"/>
        <w:rPr>
          <w:rFonts w:hint="eastAsia" w:ascii="宋体" w:hAnsi="宋体" w:cs="宋体"/>
          <w:b/>
          <w:bCs/>
          <w:color w:val="auto"/>
          <w:sz w:val="44"/>
          <w:szCs w:val="44"/>
          <w:highlight w:val="none"/>
        </w:rPr>
      </w:pPr>
    </w:p>
    <w:p>
      <w:pPr>
        <w:pStyle w:val="3"/>
        <w:keepLines w:val="0"/>
        <w:pageBreakBefore w:val="0"/>
        <w:kinsoku/>
        <w:wordWrap/>
        <w:overflowPunct/>
        <w:topLinePunct w:val="0"/>
        <w:bidi w:val="0"/>
        <w:spacing w:line="560" w:lineRule="exact"/>
        <w:ind w:left="420" w:hanging="420"/>
        <w:jc w:val="center"/>
        <w:rPr>
          <w:rFonts w:hint="eastAsia" w:ascii="宋体" w:hAnsi="宋体" w:cs="宋体"/>
          <w:color w:val="auto"/>
          <w:kern w:val="0"/>
          <w:sz w:val="44"/>
          <w:szCs w:val="44"/>
          <w:highlight w:val="none"/>
          <w:lang w:bidi="ar"/>
        </w:rPr>
      </w:pPr>
      <w:r>
        <w:rPr>
          <w:rFonts w:hint="eastAsia" w:ascii="宋体" w:hAnsi="宋体" w:cs="宋体"/>
          <w:color w:val="auto"/>
          <w:kern w:val="0"/>
          <w:sz w:val="44"/>
          <w:szCs w:val="44"/>
          <w:highlight w:val="none"/>
          <w:lang w:bidi="ar"/>
        </w:rPr>
        <w:t>供应商基本情况表</w:t>
      </w:r>
      <w:bookmarkEnd w:id="15"/>
    </w:p>
    <w:p>
      <w:pPr>
        <w:keepLines w:val="0"/>
        <w:pageBreakBefore w:val="0"/>
        <w:kinsoku/>
        <w:wordWrap/>
        <w:overflowPunct/>
        <w:topLinePunct w:val="0"/>
        <w:bidi w:val="0"/>
        <w:spacing w:line="560" w:lineRule="exact"/>
        <w:rPr>
          <w:color w:val="auto"/>
          <w:highlight w:val="none"/>
          <w:u w:val="single"/>
        </w:rPr>
      </w:pPr>
      <w:r>
        <w:rPr>
          <w:rFonts w:hint="eastAsia"/>
          <w:color w:val="auto"/>
          <w:highlight w:val="none"/>
        </w:rPr>
        <w:t>填表单位：</w:t>
      </w:r>
      <w:r>
        <w:rPr>
          <w:rFonts w:hint="eastAsia"/>
          <w:color w:val="auto"/>
          <w:highlight w:val="none"/>
          <w:u w:val="single"/>
        </w:rPr>
        <w:t xml:space="preserve">           </w:t>
      </w:r>
      <w:r>
        <w:rPr>
          <w:rFonts w:hint="eastAsia"/>
          <w:color w:val="auto"/>
          <w:highlight w:val="none"/>
        </w:rPr>
        <w:t xml:space="preserve"> （加盖单位公章）                       填表日期：      年  月  日</w:t>
      </w:r>
    </w:p>
    <w:tbl>
      <w:tblPr>
        <w:tblStyle w:val="20"/>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1957"/>
        <w:gridCol w:w="1429"/>
        <w:gridCol w:w="1583"/>
        <w:gridCol w:w="1583"/>
        <w:gridCol w:w="1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1362"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采购单位</w:t>
            </w:r>
          </w:p>
        </w:tc>
        <w:tc>
          <w:tcPr>
            <w:tcW w:w="3386" w:type="dxa"/>
            <w:gridSpan w:val="2"/>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3166" w:type="dxa"/>
            <w:gridSpan w:val="2"/>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项目名称</w:t>
            </w:r>
          </w:p>
        </w:tc>
        <w:tc>
          <w:tcPr>
            <w:tcW w:w="1583"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1362"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投标（响应）供应商</w:t>
            </w:r>
          </w:p>
        </w:tc>
        <w:tc>
          <w:tcPr>
            <w:tcW w:w="3386" w:type="dxa"/>
            <w:gridSpan w:val="2"/>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3166" w:type="dxa"/>
            <w:gridSpan w:val="2"/>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供应商统一社会信用代码</w:t>
            </w:r>
          </w:p>
        </w:tc>
        <w:tc>
          <w:tcPr>
            <w:tcW w:w="1583"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9497" w:type="dxa"/>
            <w:gridSpan w:val="6"/>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957"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职务</w:t>
            </w:r>
          </w:p>
        </w:tc>
        <w:tc>
          <w:tcPr>
            <w:tcW w:w="1429"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姓名</w:t>
            </w:r>
          </w:p>
        </w:tc>
        <w:tc>
          <w:tcPr>
            <w:tcW w:w="1583"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身份证号码</w:t>
            </w:r>
          </w:p>
        </w:tc>
        <w:tc>
          <w:tcPr>
            <w:tcW w:w="1583"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劳动合同</w:t>
            </w:r>
          </w:p>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关系单位</w:t>
            </w:r>
          </w:p>
        </w:tc>
        <w:tc>
          <w:tcPr>
            <w:tcW w:w="1583"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缴纳社会</w:t>
            </w:r>
          </w:p>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1362"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957"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法定代表人/单位负责人</w:t>
            </w:r>
          </w:p>
        </w:tc>
        <w:tc>
          <w:tcPr>
            <w:tcW w:w="1429"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1362"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1957"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主要经营负责人</w:t>
            </w:r>
          </w:p>
        </w:tc>
        <w:tc>
          <w:tcPr>
            <w:tcW w:w="1429"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1957"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项目投标授权代表人</w:t>
            </w:r>
          </w:p>
        </w:tc>
        <w:tc>
          <w:tcPr>
            <w:tcW w:w="1429"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4</w:t>
            </w:r>
          </w:p>
        </w:tc>
        <w:tc>
          <w:tcPr>
            <w:tcW w:w="1957"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项目负责人</w:t>
            </w:r>
          </w:p>
        </w:tc>
        <w:tc>
          <w:tcPr>
            <w:tcW w:w="1429"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362"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5</w:t>
            </w:r>
          </w:p>
        </w:tc>
        <w:tc>
          <w:tcPr>
            <w:tcW w:w="1957"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主要技术人员</w:t>
            </w:r>
          </w:p>
        </w:tc>
        <w:tc>
          <w:tcPr>
            <w:tcW w:w="1429"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6</w:t>
            </w:r>
          </w:p>
        </w:tc>
        <w:tc>
          <w:tcPr>
            <w:tcW w:w="1957"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投标文件编制人员</w:t>
            </w:r>
          </w:p>
        </w:tc>
        <w:tc>
          <w:tcPr>
            <w:tcW w:w="1429"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497" w:type="dxa"/>
            <w:gridSpan w:val="6"/>
            <w:vAlign w:val="center"/>
          </w:tcPr>
          <w:p>
            <w:pPr>
              <w:keepLines w:val="0"/>
              <w:pageBreakBefore w:val="0"/>
              <w:kinsoku/>
              <w:wordWrap/>
              <w:overflowPunct/>
              <w:topLinePunct w:val="0"/>
              <w:bidi w:val="0"/>
              <w:spacing w:line="560" w:lineRule="exact"/>
              <w:jc w:val="left"/>
              <w:rPr>
                <w:rFonts w:hint="eastAsia" w:ascii="宋体" w:hAnsi="宋体" w:cs="宋体"/>
                <w:color w:val="auto"/>
                <w:szCs w:val="21"/>
                <w:highlight w:val="none"/>
              </w:rPr>
            </w:pPr>
            <w:r>
              <w:rPr>
                <w:rFonts w:hint="eastAsia" w:ascii="宋体" w:hAnsi="宋体" w:cs="宋体"/>
                <w:b/>
                <w:bCs/>
                <w:color w:val="auto"/>
                <w:szCs w:val="21"/>
                <w:highlight w:val="none"/>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497" w:type="dxa"/>
            <w:gridSpan w:val="6"/>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b/>
                <w:bCs/>
                <w:color w:val="auto"/>
                <w:szCs w:val="21"/>
                <w:highlight w:val="none"/>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3386" w:type="dxa"/>
            <w:gridSpan w:val="2"/>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关联关系类型</w:t>
            </w:r>
          </w:p>
        </w:tc>
        <w:tc>
          <w:tcPr>
            <w:tcW w:w="1583"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关联主体名称</w:t>
            </w:r>
          </w:p>
        </w:tc>
        <w:tc>
          <w:tcPr>
            <w:tcW w:w="3166" w:type="dxa"/>
            <w:gridSpan w:val="2"/>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3386" w:type="dxa"/>
            <w:gridSpan w:val="2"/>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控股股东</w:t>
            </w:r>
          </w:p>
        </w:tc>
        <w:tc>
          <w:tcPr>
            <w:tcW w:w="1583"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3166" w:type="dxa"/>
            <w:gridSpan w:val="2"/>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 xml:space="preserve">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 </w:t>
            </w:r>
          </w:p>
          <w:p>
            <w:pPr>
              <w:keepLines w:val="0"/>
              <w:pageBreakBefore w:val="0"/>
              <w:kinsoku/>
              <w:wordWrap/>
              <w:overflowPunct/>
              <w:topLinePunct w:val="0"/>
              <w:bidi w:val="0"/>
              <w:spacing w:line="560" w:lineRule="exact"/>
              <w:rPr>
                <w:rFonts w:hint="eastAsia" w:ascii="宋体" w:hAnsi="宋体" w:cs="宋体"/>
                <w:color w:val="auto"/>
                <w:szCs w:val="21"/>
                <w:highlight w:val="none"/>
              </w:rPr>
            </w:pPr>
            <w:r>
              <w:rPr>
                <w:rFonts w:hint="eastAsia" w:ascii="宋体" w:hAnsi="宋体" w:cs="宋体"/>
                <w:color w:val="auto"/>
                <w:szCs w:val="21"/>
                <w:highlight w:val="none"/>
              </w:rPr>
              <w:t>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3386" w:type="dxa"/>
            <w:gridSpan w:val="2"/>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管理关系</w:t>
            </w:r>
          </w:p>
        </w:tc>
        <w:tc>
          <w:tcPr>
            <w:tcW w:w="1583" w:type="dxa"/>
            <w:vAlign w:val="center"/>
          </w:tcPr>
          <w:p>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3166" w:type="dxa"/>
            <w:gridSpan w:val="2"/>
            <w:vAlign w:val="center"/>
          </w:tcPr>
          <w:p>
            <w:pPr>
              <w:keepLines w:val="0"/>
              <w:pageBreakBefore w:val="0"/>
              <w:kinsoku/>
              <w:wordWrap/>
              <w:overflowPunct/>
              <w:topLinePunct w:val="0"/>
              <w:bidi w:val="0"/>
              <w:spacing w:line="560" w:lineRule="exact"/>
              <w:rPr>
                <w:rFonts w:hint="eastAsia" w:ascii="宋体" w:hAnsi="宋体" w:cs="宋体"/>
                <w:color w:val="auto"/>
                <w:szCs w:val="21"/>
                <w:highlight w:val="none"/>
              </w:rPr>
            </w:pPr>
            <w:r>
              <w:rPr>
                <w:rFonts w:hint="eastAsia" w:ascii="宋体" w:hAnsi="宋体" w:eastAsia="宋体" w:cs="宋体"/>
                <w:color w:val="auto"/>
                <w:sz w:val="21"/>
                <w:szCs w:val="21"/>
                <w:highlight w:val="none"/>
                <w:vertAlign w:val="baseline"/>
                <w:lang w:val="en-US" w:eastAsia="zh-CN"/>
              </w:rPr>
              <w:t>指对投标（响应）供应商不具有出资持股关系，但对其存在管理关系的主体。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497" w:type="dxa"/>
            <w:gridSpan w:val="6"/>
            <w:vAlign w:val="center"/>
          </w:tcPr>
          <w:p>
            <w:pPr>
              <w:keepLines w:val="0"/>
              <w:pageBreakBefore w:val="0"/>
              <w:kinsoku/>
              <w:wordWrap/>
              <w:overflowPunct/>
              <w:topLinePunct w:val="0"/>
              <w:bidi w:val="0"/>
              <w:spacing w:line="560" w:lineRule="exact"/>
              <w:jc w:val="left"/>
              <w:rPr>
                <w:rFonts w:hint="eastAsia" w:ascii="宋体" w:hAnsi="宋体" w:cs="宋体"/>
                <w:color w:val="auto"/>
                <w:szCs w:val="21"/>
                <w:highlight w:val="none"/>
              </w:rPr>
            </w:pPr>
            <w:r>
              <w:rPr>
                <w:rFonts w:hint="eastAsia" w:ascii="宋体" w:hAnsi="宋体" w:cs="宋体"/>
                <w:b/>
                <w:bCs/>
                <w:color w:val="auto"/>
                <w:szCs w:val="21"/>
                <w:highlight w:val="none"/>
              </w:rPr>
              <w:t>说明：同一关联关系类型有多个主体的，应分行填写。</w:t>
            </w:r>
          </w:p>
        </w:tc>
      </w:tr>
    </w:tbl>
    <w:p>
      <w:pPr>
        <w:keepLines w:val="0"/>
        <w:pageBreakBefore w:val="0"/>
        <w:kinsoku/>
        <w:wordWrap/>
        <w:overflowPunct/>
        <w:topLinePunct w:val="0"/>
        <w:bidi w:val="0"/>
        <w:spacing w:line="560" w:lineRule="exact"/>
        <w:rPr>
          <w:rFonts w:hint="eastAsia" w:ascii="宋体" w:hAnsi="宋体" w:cs="宋体"/>
          <w:b/>
          <w:bCs/>
          <w:color w:val="auto"/>
          <w:highlight w:val="none"/>
        </w:rPr>
      </w:pPr>
      <w:r>
        <w:rPr>
          <w:rFonts w:hint="eastAsia" w:ascii="宋体" w:hAnsi="宋体" w:cs="宋体"/>
          <w:b/>
          <w:bCs/>
          <w:color w:val="auto"/>
          <w:highlight w:val="none"/>
        </w:rPr>
        <w:t>备注：</w:t>
      </w:r>
    </w:p>
    <w:p>
      <w:pPr>
        <w:keepLines w:val="0"/>
        <w:pageBreakBefore w:val="0"/>
        <w:kinsoku/>
        <w:wordWrap/>
        <w:overflowPunct/>
        <w:topLinePunct w:val="0"/>
        <w:bidi w:val="0"/>
        <w:spacing w:line="560" w:lineRule="exact"/>
        <w:rPr>
          <w:rFonts w:hint="eastAsia" w:ascii="宋体" w:hAnsi="宋体" w:cs="宋体"/>
          <w:b/>
          <w:bCs/>
          <w:color w:val="auto"/>
          <w:highlight w:val="none"/>
        </w:rPr>
      </w:pPr>
      <w:r>
        <w:rPr>
          <w:rFonts w:hint="eastAsia" w:ascii="宋体" w:hAnsi="宋体" w:cs="宋体"/>
          <w:b/>
          <w:bCs/>
          <w:color w:val="auto"/>
          <w:highlight w:val="none"/>
        </w:rPr>
        <w:t>1.本表中填报的人员姓名、身份证号码、缴纳社会保险单位应与社保证明材料中显示的信息相同。</w:t>
      </w:r>
    </w:p>
    <w:p>
      <w:pPr>
        <w:keepLines w:val="0"/>
        <w:pageBreakBefore w:val="0"/>
        <w:kinsoku/>
        <w:wordWrap/>
        <w:overflowPunct/>
        <w:topLinePunct w:val="0"/>
        <w:bidi w:val="0"/>
        <w:spacing w:line="560" w:lineRule="exact"/>
        <w:rPr>
          <w:rFonts w:hint="eastAsia" w:ascii="宋体" w:hAnsi="宋体" w:cs="宋体"/>
          <w:b/>
          <w:bCs/>
          <w:color w:val="auto"/>
          <w:highlight w:val="none"/>
        </w:rPr>
      </w:pPr>
      <w:r>
        <w:rPr>
          <w:rFonts w:hint="eastAsia" w:ascii="宋体" w:hAnsi="宋体" w:cs="宋体"/>
          <w:b/>
          <w:bCs/>
          <w:color w:val="auto"/>
          <w:highlight w:val="none"/>
        </w:rPr>
        <w:t>2.投标（响应）供应商未按要求填报《供应商基本情况表》或未加盖公章或未按要求提供证明材料的，将按投标（响应）无效处理。</w:t>
      </w:r>
    </w:p>
    <w:p>
      <w:pPr>
        <w:keepLines w:val="0"/>
        <w:pageBreakBefore w:val="0"/>
        <w:kinsoku/>
        <w:wordWrap/>
        <w:overflowPunct/>
        <w:topLinePunct w:val="0"/>
        <w:bidi w:val="0"/>
        <w:spacing w:line="560" w:lineRule="exact"/>
        <w:rPr>
          <w:rFonts w:hint="eastAsia" w:ascii="宋体" w:hAnsi="宋体" w:cs="宋体"/>
          <w:color w:val="auto"/>
          <w:sz w:val="30"/>
          <w:szCs w:val="30"/>
          <w:highlight w:val="none"/>
        </w:rPr>
      </w:pPr>
      <w:r>
        <w:rPr>
          <w:rFonts w:hint="eastAsia" w:ascii="宋体" w:hAnsi="宋体" w:cs="宋体"/>
          <w:color w:val="auto"/>
          <w:sz w:val="30"/>
          <w:szCs w:val="30"/>
          <w:highlight w:val="none"/>
        </w:rPr>
        <w:br w:type="page"/>
      </w:r>
    </w:p>
    <w:p>
      <w:pPr>
        <w:pStyle w:val="3"/>
        <w:keepNext w:val="0"/>
        <w:keepLines w:val="0"/>
        <w:pageBreakBefore w:val="0"/>
        <w:widowControl w:val="0"/>
        <w:kinsoku/>
        <w:wordWrap/>
        <w:overflowPunct/>
        <w:topLinePunct w:val="0"/>
        <w:bidi w:val="0"/>
        <w:adjustRightInd/>
        <w:snapToGrid/>
        <w:spacing w:line="500" w:lineRule="exact"/>
        <w:ind w:left="420" w:hanging="420"/>
        <w:jc w:val="center"/>
        <w:textAlignment w:val="auto"/>
        <w:rPr>
          <w:rFonts w:hint="eastAsia" w:ascii="宋体" w:hAnsi="宋体" w:cs="宋体"/>
          <w:color w:val="auto"/>
          <w:kern w:val="0"/>
          <w:sz w:val="44"/>
          <w:szCs w:val="44"/>
          <w:highlight w:val="none"/>
          <w:lang w:bidi="ar"/>
        </w:rPr>
      </w:pPr>
      <w:bookmarkStart w:id="16" w:name="_Toc17532"/>
      <w:bookmarkStart w:id="17" w:name="_Toc14311"/>
      <w:r>
        <w:rPr>
          <w:rFonts w:hint="eastAsia" w:ascii="宋体" w:hAnsi="宋体" w:cs="宋体"/>
          <w:color w:val="auto"/>
          <w:kern w:val="0"/>
          <w:sz w:val="44"/>
          <w:szCs w:val="44"/>
          <w:highlight w:val="none"/>
          <w:lang w:bidi="ar"/>
        </w:rPr>
        <w:t>提供社会保险证明</w:t>
      </w:r>
      <w:bookmarkEnd w:id="16"/>
      <w:bookmarkEnd w:id="17"/>
    </w:p>
    <w:p>
      <w:pPr>
        <w:pStyle w:val="24"/>
        <w:keepNext w:val="0"/>
        <w:keepLines w:val="0"/>
        <w:pageBreakBefore w:val="0"/>
        <w:widowControl w:val="0"/>
        <w:kinsoku/>
        <w:wordWrap/>
        <w:overflowPunct/>
        <w:topLinePunct w:val="0"/>
        <w:bidi w:val="0"/>
        <w:adjustRightInd/>
        <w:snapToGrid/>
        <w:spacing w:line="500" w:lineRule="exact"/>
        <w:textAlignment w:val="auto"/>
        <w:rPr>
          <w:color w:val="auto"/>
          <w:highlight w:val="none"/>
        </w:rPr>
      </w:pPr>
    </w:p>
    <w:p>
      <w:pPr>
        <w:keepNext w:val="0"/>
        <w:keepLines w:val="0"/>
        <w:pageBreakBefore w:val="0"/>
        <w:widowControl w:val="0"/>
        <w:kinsoku/>
        <w:wordWrap/>
        <w:overflowPunct/>
        <w:topLinePunct w:val="0"/>
        <w:bidi w:val="0"/>
        <w:adjustRightInd/>
        <w:snapToGrid/>
        <w:spacing w:line="5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提供法定代表人最近一个月的社保证明：</w:t>
      </w:r>
    </w:p>
    <w:p>
      <w:pPr>
        <w:keepNext w:val="0"/>
        <w:keepLines w:val="0"/>
        <w:pageBreakBefore w:val="0"/>
        <w:widowControl w:val="0"/>
        <w:kinsoku/>
        <w:wordWrap/>
        <w:overflowPunct/>
        <w:topLinePunct w:val="0"/>
        <w:bidi w:val="0"/>
        <w:adjustRightInd/>
        <w:snapToGrid/>
        <w:spacing w:line="5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提供主要经营负责人最近一个月的社保证明：</w:t>
      </w:r>
    </w:p>
    <w:p>
      <w:pPr>
        <w:keepNext w:val="0"/>
        <w:keepLines w:val="0"/>
        <w:pageBreakBefore w:val="0"/>
        <w:widowControl w:val="0"/>
        <w:kinsoku/>
        <w:wordWrap/>
        <w:overflowPunct/>
        <w:topLinePunct w:val="0"/>
        <w:bidi w:val="0"/>
        <w:adjustRightInd/>
        <w:snapToGrid/>
        <w:spacing w:line="5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项目投标授权代表人最近一个月的社保证明：</w:t>
      </w:r>
    </w:p>
    <w:p>
      <w:pPr>
        <w:keepNext w:val="0"/>
        <w:keepLines w:val="0"/>
        <w:pageBreakBefore w:val="0"/>
        <w:widowControl w:val="0"/>
        <w:kinsoku/>
        <w:wordWrap/>
        <w:overflowPunct/>
        <w:topLinePunct w:val="0"/>
        <w:bidi w:val="0"/>
        <w:adjustRightInd/>
        <w:snapToGrid/>
        <w:spacing w:line="5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提供项目负责人最近一个月的社保证明（如有）：</w:t>
      </w:r>
    </w:p>
    <w:p>
      <w:pPr>
        <w:keepNext w:val="0"/>
        <w:keepLines w:val="0"/>
        <w:pageBreakBefore w:val="0"/>
        <w:widowControl w:val="0"/>
        <w:kinsoku/>
        <w:wordWrap/>
        <w:overflowPunct/>
        <w:topLinePunct w:val="0"/>
        <w:bidi w:val="0"/>
        <w:adjustRightInd/>
        <w:snapToGrid/>
        <w:spacing w:line="5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提供主要技术人员最近一个月的社保证明（如有）：</w:t>
      </w:r>
    </w:p>
    <w:p>
      <w:pPr>
        <w:keepNext w:val="0"/>
        <w:keepLines w:val="0"/>
        <w:pageBreakBefore w:val="0"/>
        <w:widowControl w:val="0"/>
        <w:kinsoku/>
        <w:wordWrap/>
        <w:overflowPunct/>
        <w:topLinePunct w:val="0"/>
        <w:bidi w:val="0"/>
        <w:adjustRightInd/>
        <w:snapToGrid/>
        <w:spacing w:line="500" w:lineRule="exact"/>
        <w:textAlignment w:val="auto"/>
        <w:rPr>
          <w:rFonts w:hint="eastAsia" w:ascii="宋体" w:hAnsi="宋体"/>
          <w:color w:val="auto"/>
          <w:sz w:val="28"/>
          <w:szCs w:val="28"/>
          <w:highlight w:val="none"/>
        </w:rPr>
      </w:pPr>
    </w:p>
    <w:p>
      <w:pPr>
        <w:pStyle w:val="8"/>
        <w:keepNext w:val="0"/>
        <w:keepLines w:val="0"/>
        <w:pageBreakBefore w:val="0"/>
        <w:widowControl w:val="0"/>
        <w:kinsoku/>
        <w:wordWrap/>
        <w:overflowPunct/>
        <w:topLinePunct w:val="0"/>
        <w:bidi w:val="0"/>
        <w:adjustRightInd/>
        <w:snapToGrid/>
        <w:spacing w:line="500" w:lineRule="exact"/>
        <w:ind w:firstLine="560" w:firstLineChars="200"/>
        <w:textAlignment w:val="auto"/>
        <w:rPr>
          <w:rFonts w:hint="eastAsia"/>
          <w:color w:val="auto"/>
          <w:sz w:val="28"/>
          <w:szCs w:val="28"/>
          <w:highlight w:val="none"/>
        </w:rPr>
      </w:pPr>
      <w:r>
        <w:rPr>
          <w:rFonts w:hint="eastAsia"/>
          <w:color w:val="auto"/>
          <w:sz w:val="28"/>
          <w:szCs w:val="28"/>
          <w:highlight w:val="none"/>
        </w:rPr>
        <w:t>注：</w:t>
      </w:r>
    </w:p>
    <w:p>
      <w:pPr>
        <w:keepNext w:val="0"/>
        <w:keepLines w:val="0"/>
        <w:pageBreakBefore w:val="0"/>
        <w:widowControl w:val="0"/>
        <w:kinsoku/>
        <w:wordWrap/>
        <w:overflowPunct/>
        <w:topLinePunct w:val="0"/>
        <w:bidi w:val="0"/>
        <w:adjustRightInd/>
        <w:snapToGrid/>
        <w:spacing w:line="5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1.法定代表人、主要经营负责人、项目投标授权代表人的社会保险未由投标人单位缴纳，亦须提供相应单位为其缴纳的社会保险证明（须体现投标人的单位信息）。</w:t>
      </w:r>
    </w:p>
    <w:p>
      <w:pPr>
        <w:keepNext w:val="0"/>
        <w:keepLines w:val="0"/>
        <w:pageBreakBefore w:val="0"/>
        <w:widowControl w:val="0"/>
        <w:kinsoku/>
        <w:wordWrap/>
        <w:overflowPunct/>
        <w:topLinePunct w:val="0"/>
        <w:bidi w:val="0"/>
        <w:adjustRightInd/>
        <w:snapToGrid/>
        <w:spacing w:line="5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2.项目负责人和主要技术人员的社会保险须由投标人单位缴纳（须体现投标人的单位信息）。</w:t>
      </w:r>
    </w:p>
    <w:p>
      <w:pPr>
        <w:keepNext w:val="0"/>
        <w:keepLines w:val="0"/>
        <w:pageBreakBefore w:val="0"/>
        <w:widowControl w:val="0"/>
        <w:kinsoku/>
        <w:wordWrap/>
        <w:overflowPunct/>
        <w:topLinePunct w:val="0"/>
        <w:bidi w:val="0"/>
        <w:adjustRightInd/>
        <w:snapToGrid/>
        <w:spacing w:line="5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3.投标人为新成立企业且成立时间不足一个月可提供加盖投标人公章的情况说明或者证明材料亦视为符合。</w:t>
      </w:r>
    </w:p>
    <w:p>
      <w:pPr>
        <w:keepNext w:val="0"/>
        <w:keepLines w:val="0"/>
        <w:pageBreakBefore w:val="0"/>
        <w:widowControl w:val="0"/>
        <w:kinsoku/>
        <w:wordWrap/>
        <w:overflowPunct/>
        <w:topLinePunct w:val="0"/>
        <w:bidi w:val="0"/>
        <w:adjustRightInd/>
        <w:snapToGrid/>
        <w:spacing w:line="5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4.由于社保部门或税务部门的原因最近一个月的社保证明无法提供的可往前顺延一个月。</w:t>
      </w:r>
    </w:p>
    <w:p>
      <w:pPr>
        <w:keepNext w:val="0"/>
        <w:keepLines w:val="0"/>
        <w:pageBreakBefore w:val="0"/>
        <w:widowControl w:val="0"/>
        <w:kinsoku/>
        <w:wordWrap/>
        <w:overflowPunct/>
        <w:topLinePunct w:val="0"/>
        <w:bidi w:val="0"/>
        <w:adjustRightInd/>
        <w:snapToGrid/>
        <w:spacing w:line="5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5.如依法不需要缴纳社会保险的，应提供相应文件证明；如为退休返聘人员提供退休证明和聘用合同。</w:t>
      </w:r>
    </w:p>
    <w:p>
      <w:pPr>
        <w:keepNext w:val="0"/>
        <w:keepLines w:val="0"/>
        <w:pageBreakBefore w:val="0"/>
        <w:widowControl w:val="0"/>
        <w:kinsoku/>
        <w:wordWrap/>
        <w:overflowPunct/>
        <w:topLinePunct w:val="0"/>
        <w:bidi w:val="0"/>
        <w:adjustRightInd/>
        <w:snapToGrid/>
        <w:spacing w:line="5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6.若因社保部门原因无法提供的，需提供劳动合同及社保部门官方通知证明（或官网公告截图）。</w:t>
      </w:r>
    </w:p>
    <w:p>
      <w:pPr>
        <w:keepNext w:val="0"/>
        <w:keepLines w:val="0"/>
        <w:pageBreakBefore w:val="0"/>
        <w:widowControl w:val="0"/>
        <w:kinsoku/>
        <w:wordWrap/>
        <w:overflowPunct/>
        <w:topLinePunct w:val="0"/>
        <w:bidi w:val="0"/>
        <w:adjustRightInd/>
        <w:snapToGrid/>
        <w:spacing w:line="5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7.如本项目未安排项目负责人、主要技术人员的，无需提供项目负责人、主要技术人员的社会保险证明。</w:t>
      </w:r>
    </w:p>
    <w:p>
      <w:pP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br w:type="page"/>
      </w:r>
    </w:p>
    <w:p>
      <w:pPr>
        <w:keepLines w:val="0"/>
        <w:pageBreakBefore w:val="0"/>
        <w:kinsoku/>
        <w:wordWrap/>
        <w:overflowPunct/>
        <w:topLinePunct w:val="0"/>
        <w:bidi w:val="0"/>
        <w:spacing w:line="560" w:lineRule="exact"/>
        <w:jc w:val="both"/>
        <w:rPr>
          <w:rFonts w:hint="eastAsia" w:ascii="宋体" w:hAnsi="宋体" w:cs="宋体"/>
          <w:b/>
          <w:bCs/>
          <w:color w:val="auto"/>
          <w:sz w:val="44"/>
          <w:szCs w:val="4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黑体"/>
          <w:color w:val="auto"/>
          <w:sz w:val="32"/>
          <w:szCs w:val="32"/>
          <w:highlight w:val="none"/>
        </w:rPr>
      </w:pPr>
      <w:r>
        <w:rPr>
          <w:rFonts w:hint="eastAsia" w:ascii="宋体" w:hAnsi="宋体" w:cs="宋体"/>
          <w:b/>
          <w:bCs/>
          <w:color w:val="auto"/>
          <w:sz w:val="44"/>
          <w:szCs w:val="44"/>
          <w:highlight w:val="none"/>
        </w:rPr>
        <w:t>政府采购优惠政策（根据实际情况提供）</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480" w:lineRule="exact"/>
        <w:ind w:firstLine="560" w:firstLineChars="200"/>
        <w:jc w:val="both"/>
        <w:textAlignment w:val="auto"/>
        <w:rPr>
          <w:rFonts w:ascii="黑体" w:hAnsi="黑体" w:eastAsia="黑体" w:cs="黑体"/>
          <w:bCs/>
          <w:color w:val="auto"/>
          <w:sz w:val="28"/>
          <w:szCs w:val="28"/>
          <w:highlight w:val="none"/>
        </w:rPr>
      </w:pPr>
      <w:r>
        <w:rPr>
          <w:rFonts w:ascii="黑体" w:hAnsi="黑体" w:eastAsia="黑体" w:cs="黑体"/>
          <w:color w:val="auto"/>
          <w:sz w:val="28"/>
          <w:szCs w:val="28"/>
          <w:highlight w:val="none"/>
        </w:rPr>
        <w:t>一、投标人情况及资格证明文件</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outlineLvl w:val="3"/>
        <w:rPr>
          <w:rFonts w:hint="eastAsia" w:ascii="楷体" w:hAnsi="楷体" w:eastAsia="楷体" w:cs="楷体"/>
          <w:bCs/>
          <w:color w:val="auto"/>
          <w:sz w:val="28"/>
          <w:szCs w:val="28"/>
          <w:highlight w:val="none"/>
        </w:rPr>
      </w:pPr>
      <w:r>
        <w:rPr>
          <w:rFonts w:hint="eastAsia" w:ascii="楷体" w:hAnsi="楷体" w:eastAsia="楷体" w:cs="楷体"/>
          <w:bCs/>
          <w:color w:val="auto"/>
          <w:sz w:val="28"/>
          <w:szCs w:val="28"/>
          <w:highlight w:val="none"/>
        </w:rPr>
        <w:t>（一）投标人资格证明文件</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eastAsia="仿宋_GB2312"/>
          <w:b/>
          <w:bCs/>
          <w:color w:val="auto"/>
          <w:sz w:val="28"/>
          <w:szCs w:val="28"/>
          <w:highlight w:val="none"/>
        </w:rPr>
      </w:pPr>
      <w:r>
        <w:rPr>
          <w:rFonts w:hint="eastAsia" w:ascii="仿宋_GB2312" w:hAnsi="仿宋_GB2312" w:eastAsia="仿宋_GB2312" w:cs="仿宋_GB2312"/>
          <w:color w:val="auto"/>
          <w:sz w:val="28"/>
          <w:szCs w:val="28"/>
          <w:highlight w:val="none"/>
        </w:rPr>
        <w:t>[特别提示：投标人须按本招标文件第一册第一章招标公告“申请人的资格要求”（即投标人资格要求）提供相关的资格证明资料，未提供或提供不完整、不符合要求的，将作投标无效处理]</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outlineLvl w:val="3"/>
        <w:rPr>
          <w:rFonts w:hint="eastAsia" w:ascii="楷体" w:hAnsi="楷体" w:eastAsia="楷体" w:cs="楷体"/>
          <w:bCs/>
          <w:color w:val="auto"/>
          <w:sz w:val="28"/>
          <w:szCs w:val="28"/>
          <w:highlight w:val="none"/>
        </w:rPr>
      </w:pPr>
      <w:r>
        <w:rPr>
          <w:rFonts w:hint="eastAsia" w:ascii="楷体" w:hAnsi="楷体" w:eastAsia="楷体" w:cs="楷体"/>
          <w:bCs/>
          <w:color w:val="auto"/>
          <w:sz w:val="28"/>
          <w:szCs w:val="28"/>
          <w:highlight w:val="none"/>
        </w:rPr>
        <w:t>（二）中小企业声明函、残疾人福利性单位声明函及监狱企业声明函</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填写指引：</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该部分内容由投标人根据自身实际情况填写，不符合要求的投标人可以不填写或直接删除相应的声明函。投标人提供的声明函不属实的，属于提供虚假资料谋取中标，依照《中华人民共和国政府采购法》等国家有关规定追究相应责任。</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2.该部分内容填写需要参考的相关文件：</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（1）财政部《政府采购促进中小企业发展管理办法》（财库〔2020〕46号）；</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（2）《工业和信息化部、国家统计局、国家发展和改革委员会、财政部关于印发中小企业划型标准规定的通知》（工信部联企业〔2011〕300号，以下简称300号文）；</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（3）《政府采购促进中小企业发展管理办法》（财库〔2020〕46号）；</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（4）《关于印发中小企业划型标准规定的通知》（工信部联企业〔2011〕300号）；</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color w:val="auto"/>
          <w:sz w:val="28"/>
          <w:szCs w:val="28"/>
          <w:highlight w:val="none"/>
        </w:rPr>
      </w:pPr>
      <w:r>
        <w:rPr>
          <w:rFonts w:hint="eastAsia" w:ascii="仿宋_GB2312" w:hAnsi="仿宋_GB2312" w:eastAsia="仿宋_GB2312" w:cs="仿宋_GB2312"/>
          <w:color w:val="auto"/>
          <w:sz w:val="28"/>
          <w:szCs w:val="28"/>
          <w:highlight w:val="none"/>
        </w:rPr>
        <w:t>（5）《统计上大中小微型企业划分办法（2017）》（国统字〔2017〕213号）；</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（6）《关于促进残疾人就业政府采购政策的通知》（财库〔2017〕141号）；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（7）《关于政府采购支持监狱企业发展有关问题的通知》（财库〔2014〕68号）。</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3.请依照提供的格式和内容填写声明函，不要随意变更格式；声明函不需要盖章或签字；满足多项优惠政策的投标人，不重复享受多项价格扣除政策。</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4.声明函具体填写要求：</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（1）声明是中小企业须填写《中小企业声明函》的以下内容：</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第一处，在“单位名称”下划线处如实填写采购人名称（深圳公共资源交易中心不是本项目的采购人，而是组织实施机构）；</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第二处，在“项目名称”下划线处如实填写采购项目名称；</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第三处，在“标的名称”下划线处填写所采购货物（标的）的具体名称；如果涉及多项货物（标的）为同一企业制造，“标的名称”下划线处可以如实填写多项货物；</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第四处，在“招标文件中明确的所属行业”下划线处填写采购标的对应的中小企业划分标准所属行业；</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第五处，在“企业名称”下划线处如实填写制造商名称；在“从业人员”“营业收入”“资产总额”下划线处如实填写从业人员、营业收入、资产总额；在“中型企业、小型企业、微型企业”下划线处如实依照300号文填写相应的企业类型；从业人员、营业收入、资产总额填报上一年度数据，无上一年度数据的新成立企业可以不填报。</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（2）声明：残疾人福利性单位须填写《残疾人福利性单位声明函》的相关内容，具体参照以上《中小企业声明函》填写要求执行。</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（3）声明：监狱企业须填写《监狱企业声明函》的三项内容（填写位置的字体已加粗），具体参照以上《中小企业声明函》填写要求执行。</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5.声明函的有效性最终由评审委员会判定；如评审委员会判定声明函无效，相关供应商不享受价格扣除（但不作投标无效处理）。</w:t>
      </w:r>
    </w:p>
    <w:p>
      <w:pPr>
        <w:pStyle w:val="4"/>
        <w:keepLines w:val="0"/>
        <w:pageBreakBefore w:val="0"/>
        <w:kinsoku/>
        <w:wordWrap/>
        <w:overflowPunct/>
        <w:topLinePunct w:val="0"/>
        <w:bidi w:val="0"/>
        <w:spacing w:beforeAutospacing="0" w:afterAutospacing="0" w:line="560" w:lineRule="exact"/>
        <w:ind w:firstLine="560" w:firstLineChars="200"/>
        <w:jc w:val="both"/>
        <w:rPr>
          <w:rFonts w:ascii="黑体" w:hAnsi="黑体" w:eastAsia="黑体" w:cs="黑体"/>
          <w:color w:val="auto"/>
          <w:sz w:val="28"/>
          <w:szCs w:val="28"/>
          <w:highlight w:val="none"/>
        </w:rPr>
      </w:pPr>
    </w:p>
    <w:p>
      <w:pPr>
        <w:pStyle w:val="4"/>
        <w:keepLines w:val="0"/>
        <w:pageBreakBefore w:val="0"/>
        <w:kinsoku/>
        <w:wordWrap/>
        <w:overflowPunct/>
        <w:topLinePunct w:val="0"/>
        <w:bidi w:val="0"/>
        <w:spacing w:beforeAutospacing="0" w:afterAutospacing="0" w:line="560" w:lineRule="exact"/>
        <w:jc w:val="both"/>
        <w:rPr>
          <w:rFonts w:hint="eastAsia"/>
          <w:b/>
          <w:color w:val="auto"/>
          <w:sz w:val="36"/>
          <w:szCs w:val="36"/>
          <w:highlight w:val="none"/>
        </w:rPr>
      </w:pPr>
      <w:r>
        <w:rPr>
          <w:rFonts w:ascii="黑体" w:hAnsi="黑体" w:eastAsia="黑体" w:cs="黑体"/>
          <w:color w:val="auto"/>
          <w:sz w:val="28"/>
          <w:szCs w:val="28"/>
          <w:highlight w:val="none"/>
        </w:rPr>
        <w:t>二、相关模板</w:t>
      </w:r>
    </w:p>
    <w:p>
      <w:pPr>
        <w:pStyle w:val="6"/>
        <w:keepLines w:val="0"/>
        <w:pageBreakBefore w:val="0"/>
        <w:kinsoku/>
        <w:wordWrap/>
        <w:overflowPunct/>
        <w:topLinePunct w:val="0"/>
        <w:bidi w:val="0"/>
        <w:adjustRightInd w:val="0"/>
        <w:snapToGrid w:val="0"/>
        <w:spacing w:line="560" w:lineRule="exact"/>
        <w:ind w:firstLine="0"/>
        <w:jc w:val="center"/>
        <w:outlineLvl w:val="3"/>
        <w:rPr>
          <w:rFonts w:hint="eastAsia" w:ascii="仿宋_GB2312" w:hAnsi="仿宋_GB2312" w:eastAsia="仿宋_GB2312" w:cs="仿宋_GB2312"/>
          <w:b/>
          <w:color w:val="auto"/>
          <w:kern w:val="2"/>
          <w:sz w:val="36"/>
          <w:szCs w:val="36"/>
          <w:highlight w:val="none"/>
          <w:lang w:val="en-US" w:eastAsia="zh-CN" w:bidi="ar-SA"/>
        </w:rPr>
      </w:pPr>
      <w:r>
        <w:rPr>
          <w:rFonts w:hint="eastAsia" w:ascii="仿宋_GB2312" w:hAnsi="仿宋_GB2312" w:eastAsia="仿宋_GB2312" w:cs="仿宋_GB2312"/>
          <w:b/>
          <w:color w:val="auto"/>
          <w:kern w:val="2"/>
          <w:sz w:val="36"/>
          <w:szCs w:val="36"/>
          <w:highlight w:val="none"/>
          <w:lang w:val="en-US" w:eastAsia="zh-CN" w:bidi="ar-SA"/>
        </w:rPr>
        <w:t>（一）中小企业声明函</w:t>
      </w:r>
    </w:p>
    <w:p>
      <w:pPr>
        <w:pStyle w:val="8"/>
        <w:keepLines w:val="0"/>
        <w:pageBreakBefore w:val="0"/>
        <w:kinsoku/>
        <w:wordWrap/>
        <w:overflowPunct/>
        <w:topLinePunct w:val="0"/>
        <w:bidi w:val="0"/>
        <w:spacing w:line="560" w:lineRule="exact"/>
        <w:ind w:firstLine="560" w:firstLineChars="200"/>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本公司（联合体）郑重声明，根据《政府采购促进中小企业发展管理办法》（财库﹝2020﹞46号）的规定，本公司（联合体）参加（单位名称）的（项目名称）采购活动，提供的货物全部由符合政策要求的中小企业制造。相关企业（含联合体中的中小企业、签订分包意向协议的中小企业）的具体情况如下：</w:t>
      </w:r>
    </w:p>
    <w:p>
      <w:pPr>
        <w:pStyle w:val="8"/>
        <w:keepLines w:val="0"/>
        <w:pageBreakBefore w:val="0"/>
        <w:kinsoku/>
        <w:wordWrap/>
        <w:overflowPunct/>
        <w:topLinePunct w:val="0"/>
        <w:bidi w:val="0"/>
        <w:spacing w:line="560" w:lineRule="exact"/>
        <w:ind w:firstLine="640"/>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 xml:space="preserve"> 1.</w:t>
      </w:r>
      <w:r>
        <w:rPr>
          <w:rFonts w:hint="eastAsia" w:ascii="仿宋_GB2312" w:hAnsi="仿宋_GB2312" w:eastAsia="仿宋_GB2312" w:cs="仿宋_GB2312"/>
          <w:color w:val="auto"/>
          <w:kern w:val="2"/>
          <w:sz w:val="28"/>
          <w:szCs w:val="28"/>
          <w:highlight w:val="none"/>
          <w:u w:val="single"/>
          <w:lang w:val="en-US" w:eastAsia="zh-CN" w:bidi="ar-SA"/>
        </w:rPr>
        <w:t xml:space="preserve"> （采购标的名称）</w:t>
      </w:r>
      <w:r>
        <w:rPr>
          <w:rFonts w:hint="eastAsia" w:ascii="仿宋_GB2312" w:hAnsi="仿宋_GB2312" w:eastAsia="仿宋_GB2312" w:cs="仿宋_GB2312"/>
          <w:color w:val="auto"/>
          <w:kern w:val="2"/>
          <w:sz w:val="28"/>
          <w:szCs w:val="28"/>
          <w:highlight w:val="none"/>
          <w:lang w:val="en-US" w:eastAsia="zh-CN" w:bidi="ar-SA"/>
        </w:rPr>
        <w:t>，属于</w:t>
      </w:r>
      <w:r>
        <w:rPr>
          <w:rFonts w:hint="eastAsia" w:ascii="仿宋_GB2312" w:hAnsi="仿宋_GB2312" w:eastAsia="仿宋_GB2312" w:cs="仿宋_GB2312"/>
          <w:color w:val="auto"/>
          <w:kern w:val="2"/>
          <w:sz w:val="28"/>
          <w:szCs w:val="28"/>
          <w:highlight w:val="none"/>
          <w:u w:val="single"/>
          <w:lang w:val="en-US" w:eastAsia="zh-CN" w:bidi="ar-SA"/>
        </w:rPr>
        <w:t xml:space="preserve"> 工业 </w:t>
      </w:r>
      <w:r>
        <w:rPr>
          <w:rFonts w:hint="eastAsia" w:ascii="仿宋_GB2312" w:hAnsi="仿宋_GB2312" w:eastAsia="仿宋_GB2312" w:cs="仿宋_GB2312"/>
          <w:color w:val="auto"/>
          <w:kern w:val="2"/>
          <w:sz w:val="28"/>
          <w:szCs w:val="28"/>
          <w:highlight w:val="none"/>
          <w:lang w:val="en-US" w:eastAsia="zh-CN" w:bidi="ar-SA"/>
        </w:rPr>
        <w:t>行业；制造商为</w:t>
      </w:r>
      <w:r>
        <w:rPr>
          <w:rFonts w:hint="eastAsia" w:ascii="仿宋_GB2312" w:hAnsi="仿宋_GB2312" w:eastAsia="仿宋_GB2312" w:cs="仿宋_GB2312"/>
          <w:color w:val="auto"/>
          <w:kern w:val="2"/>
          <w:sz w:val="28"/>
          <w:szCs w:val="28"/>
          <w:highlight w:val="none"/>
          <w:u w:val="single"/>
          <w:lang w:val="en-US" w:eastAsia="zh-CN" w:bidi="ar-SA"/>
        </w:rPr>
        <w:t>（企业名称）</w:t>
      </w:r>
      <w:r>
        <w:rPr>
          <w:rFonts w:hint="eastAsia" w:ascii="仿宋_GB2312" w:hAnsi="仿宋_GB2312" w:eastAsia="仿宋_GB2312" w:cs="仿宋_GB2312"/>
          <w:color w:val="auto"/>
          <w:kern w:val="2"/>
          <w:sz w:val="28"/>
          <w:szCs w:val="28"/>
          <w:highlight w:val="none"/>
          <w:lang w:val="en-US" w:eastAsia="zh-CN" w:bidi="ar-SA"/>
        </w:rPr>
        <w:t>，从业人员</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u w:val="single"/>
          <w:lang w:val="en-US" w:eastAsia="zh-CN" w:bidi="ar-SA"/>
        </w:rPr>
        <w:tab/>
      </w:r>
      <w:r>
        <w:rPr>
          <w:rFonts w:hint="eastAsia" w:ascii="仿宋_GB2312" w:hAnsi="仿宋_GB2312" w:eastAsia="仿宋_GB2312" w:cs="仿宋_GB2312"/>
          <w:color w:val="auto"/>
          <w:kern w:val="2"/>
          <w:sz w:val="28"/>
          <w:szCs w:val="28"/>
          <w:highlight w:val="none"/>
          <w:lang w:val="en-US" w:eastAsia="zh-CN" w:bidi="ar-SA"/>
        </w:rPr>
        <w:t>人，营业收入为</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u w:val="single"/>
          <w:lang w:val="en-US" w:eastAsia="zh-CN" w:bidi="ar-SA"/>
        </w:rPr>
        <w:tab/>
      </w:r>
      <w:r>
        <w:rPr>
          <w:rFonts w:hint="eastAsia" w:ascii="仿宋_GB2312" w:hAnsi="仿宋_GB2312" w:eastAsia="仿宋_GB2312" w:cs="仿宋_GB2312"/>
          <w:color w:val="auto"/>
          <w:kern w:val="2"/>
          <w:sz w:val="28"/>
          <w:szCs w:val="28"/>
          <w:highlight w:val="none"/>
          <w:lang w:val="en-US" w:eastAsia="zh-CN" w:bidi="ar-SA"/>
        </w:rPr>
        <w:t>万元，资产总额为</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u w:val="single"/>
          <w:lang w:val="en-US" w:eastAsia="zh-CN" w:bidi="ar-SA"/>
        </w:rPr>
        <w:tab/>
      </w:r>
      <w:r>
        <w:rPr>
          <w:rFonts w:hint="eastAsia" w:ascii="仿宋_GB2312" w:hAnsi="仿宋_GB2312" w:eastAsia="仿宋_GB2312" w:cs="仿宋_GB2312"/>
          <w:color w:val="auto"/>
          <w:kern w:val="2"/>
          <w:sz w:val="28"/>
          <w:szCs w:val="28"/>
          <w:highlight w:val="none"/>
          <w:lang w:val="en-US" w:eastAsia="zh-CN" w:bidi="ar-SA"/>
        </w:rPr>
        <w:t>万元，属于</w:t>
      </w:r>
      <w:r>
        <w:rPr>
          <w:rFonts w:hint="eastAsia" w:ascii="仿宋_GB2312" w:hAnsi="仿宋_GB2312" w:eastAsia="仿宋_GB2312" w:cs="仿宋_GB2312"/>
          <w:color w:val="auto"/>
          <w:kern w:val="2"/>
          <w:sz w:val="28"/>
          <w:szCs w:val="28"/>
          <w:highlight w:val="none"/>
          <w:u w:val="single"/>
          <w:lang w:val="en-US" w:eastAsia="zh-CN" w:bidi="ar-SA"/>
        </w:rPr>
        <w:t>（中型企业、小型企业、微型企业）</w:t>
      </w:r>
      <w:r>
        <w:rPr>
          <w:rFonts w:hint="eastAsia" w:ascii="仿宋_GB2312" w:hAnsi="仿宋_GB2312" w:eastAsia="仿宋_GB2312" w:cs="仿宋_GB2312"/>
          <w:color w:val="auto"/>
          <w:kern w:val="2"/>
          <w:sz w:val="28"/>
          <w:szCs w:val="28"/>
          <w:highlight w:val="none"/>
          <w:lang w:val="en-US" w:eastAsia="zh-CN" w:bidi="ar-SA"/>
        </w:rPr>
        <w:t>；</w:t>
      </w:r>
    </w:p>
    <w:p>
      <w:pPr>
        <w:pStyle w:val="8"/>
        <w:keepLines w:val="0"/>
        <w:pageBreakBefore w:val="0"/>
        <w:kinsoku/>
        <w:wordWrap/>
        <w:overflowPunct/>
        <w:topLinePunct w:val="0"/>
        <w:bidi w:val="0"/>
        <w:spacing w:line="560" w:lineRule="exact"/>
        <w:ind w:firstLine="645"/>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以上企业，不属于大企业的分支机构，不存在控股股东为大企业的情形，也不存在与大企业的负责人为同一人的情形。</w:t>
      </w:r>
    </w:p>
    <w:p>
      <w:pPr>
        <w:pStyle w:val="8"/>
        <w:keepLines w:val="0"/>
        <w:pageBreakBefore w:val="0"/>
        <w:kinsoku/>
        <w:wordWrap/>
        <w:overflowPunct/>
        <w:topLinePunct w:val="0"/>
        <w:bidi w:val="0"/>
        <w:spacing w:line="560" w:lineRule="exact"/>
        <w:ind w:firstLine="645"/>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本企业对上述声明内容的真实性负责。如有虚假，将依法承担相应责任。</w:t>
      </w:r>
    </w:p>
    <w:p>
      <w:pPr>
        <w:pStyle w:val="8"/>
        <w:keepLines w:val="0"/>
        <w:pageBreakBefore w:val="0"/>
        <w:kinsoku/>
        <w:wordWrap/>
        <w:overflowPunct/>
        <w:topLinePunct w:val="0"/>
        <w:bidi w:val="0"/>
        <w:spacing w:line="560" w:lineRule="exact"/>
        <w:ind w:firstLine="645"/>
        <w:jc w:val="center"/>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 xml:space="preserve">                                  </w:t>
      </w:r>
    </w:p>
    <w:p>
      <w:pPr>
        <w:pStyle w:val="8"/>
        <w:keepLines w:val="0"/>
        <w:pageBreakBefore w:val="0"/>
        <w:kinsoku/>
        <w:wordWrap/>
        <w:overflowPunct/>
        <w:topLinePunct w:val="0"/>
        <w:bidi w:val="0"/>
        <w:spacing w:line="560" w:lineRule="exact"/>
        <w:ind w:firstLine="645"/>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 xml:space="preserve">                                      企业名称（盖章）：</w:t>
      </w:r>
    </w:p>
    <w:p>
      <w:pPr>
        <w:pStyle w:val="8"/>
        <w:keepLines w:val="0"/>
        <w:pageBreakBefore w:val="0"/>
        <w:kinsoku/>
        <w:wordWrap/>
        <w:overflowPunct/>
        <w:topLinePunct w:val="0"/>
        <w:bidi w:val="0"/>
        <w:spacing w:line="560" w:lineRule="exact"/>
        <w:ind w:firstLine="645"/>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 xml:space="preserve">                                      日期：</w:t>
      </w:r>
    </w:p>
    <w:p>
      <w:pPr>
        <w:keepLines w:val="0"/>
        <w:pageBreakBefore w:val="0"/>
        <w:kinsoku/>
        <w:wordWrap/>
        <w:overflowPunct/>
        <w:topLinePunct w:val="0"/>
        <w:bidi w:val="0"/>
        <w:spacing w:line="560" w:lineRule="exact"/>
        <w:jc w:val="left"/>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从业人员、营业收入、资产总额填报上一年度数据，无上一年度数据的新成立企业可不填报。</w:t>
      </w:r>
    </w:p>
    <w:p>
      <w:pPr>
        <w:pStyle w:val="8"/>
        <w:keepLines w:val="0"/>
        <w:pageBreakBefore w:val="0"/>
        <w:kinsoku/>
        <w:wordWrap/>
        <w:overflowPunct/>
        <w:topLinePunct w:val="0"/>
        <w:bidi w:val="0"/>
        <w:spacing w:line="560" w:lineRule="exact"/>
        <w:rPr>
          <w:rFonts w:hint="eastAsia"/>
          <w:color w:val="auto"/>
          <w:highlight w:val="none"/>
        </w:rPr>
      </w:pPr>
    </w:p>
    <w:p>
      <w:pPr>
        <w:pStyle w:val="8"/>
        <w:keepLines w:val="0"/>
        <w:pageBreakBefore w:val="0"/>
        <w:kinsoku/>
        <w:wordWrap/>
        <w:overflowPunct/>
        <w:topLinePunct w:val="0"/>
        <w:bidi w:val="0"/>
        <w:spacing w:line="560" w:lineRule="exact"/>
        <w:rPr>
          <w:rFonts w:hint="eastAsia"/>
          <w:color w:val="auto"/>
          <w:highlight w:val="none"/>
        </w:rPr>
      </w:pPr>
    </w:p>
    <w:p>
      <w:pPr>
        <w:pStyle w:val="8"/>
        <w:keepLines w:val="0"/>
        <w:pageBreakBefore w:val="0"/>
        <w:kinsoku/>
        <w:wordWrap/>
        <w:overflowPunct/>
        <w:topLinePunct w:val="0"/>
        <w:bidi w:val="0"/>
        <w:spacing w:line="560" w:lineRule="exact"/>
        <w:rPr>
          <w:rFonts w:hint="eastAsia"/>
          <w:color w:val="auto"/>
          <w:highlight w:val="none"/>
        </w:rPr>
      </w:pPr>
    </w:p>
    <w:p>
      <w:pPr>
        <w:spacing w:line="560" w:lineRule="exact"/>
        <w:rPr>
          <w:rFonts w:hint="eastAsia"/>
          <w:color w:val="auto"/>
          <w:highlight w:val="none"/>
        </w:rPr>
      </w:pPr>
    </w:p>
    <w:p>
      <w:pPr>
        <w:keepLines w:val="0"/>
        <w:pageBreakBefore w:val="0"/>
        <w:kinsoku/>
        <w:wordWrap/>
        <w:overflowPunct/>
        <w:topLinePunct w:val="0"/>
        <w:bidi w:val="0"/>
        <w:spacing w:line="560" w:lineRule="exact"/>
        <w:jc w:val="center"/>
        <w:rPr>
          <w:b/>
          <w:color w:val="auto"/>
          <w:sz w:val="36"/>
          <w:szCs w:val="36"/>
          <w:highlight w:val="none"/>
        </w:rPr>
      </w:pPr>
      <w:r>
        <w:rPr>
          <w:rFonts w:hint="eastAsia"/>
          <w:b/>
          <w:color w:val="auto"/>
          <w:sz w:val="36"/>
          <w:szCs w:val="36"/>
          <w:highlight w:val="none"/>
        </w:rPr>
        <w:t>（二）残疾人福利性单位声明函</w:t>
      </w:r>
    </w:p>
    <w:p>
      <w:pPr>
        <w:keepLines w:val="0"/>
        <w:pageBreakBefore w:val="0"/>
        <w:kinsoku/>
        <w:wordWrap/>
        <w:overflowPunct/>
        <w:topLinePunct w:val="0"/>
        <w:bidi w:val="0"/>
        <w:spacing w:line="560" w:lineRule="exact"/>
        <w:ind w:firstLine="640" w:firstLineChars="200"/>
        <w:jc w:val="left"/>
        <w:rPr>
          <w:rFonts w:hint="eastAsia" w:ascii="仿宋_GB2312" w:hAnsi="仿宋_GB2312" w:eastAsia="仿宋_GB2312" w:cs="仿宋_GB2312"/>
          <w:color w:val="auto"/>
          <w:sz w:val="32"/>
          <w:szCs w:val="32"/>
          <w:highlight w:val="none"/>
        </w:rPr>
      </w:pPr>
    </w:p>
    <w:p>
      <w:pPr>
        <w:keepLines w:val="0"/>
        <w:pageBreakBefore w:val="0"/>
        <w:kinsoku/>
        <w:wordWrap/>
        <w:overflowPunct/>
        <w:topLinePunct w:val="0"/>
        <w:bidi w:val="0"/>
        <w:spacing w:line="560" w:lineRule="exact"/>
        <w:ind w:firstLine="560" w:firstLineChars="2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本单位知悉《促进残疾人就业政府采购政策的通知》（财库〔2017〕141号）的规定，承诺提供的声明函内容是真实的，如提供声明函内容不实，则依法追究相关法律责任。</w:t>
      </w:r>
    </w:p>
    <w:p>
      <w:pPr>
        <w:keepLines w:val="0"/>
        <w:pageBreakBefore w:val="0"/>
        <w:kinsoku/>
        <w:wordWrap/>
        <w:overflowPunct/>
        <w:topLinePunct w:val="0"/>
        <w:bidi w:val="0"/>
        <w:spacing w:line="560" w:lineRule="exact"/>
        <w:ind w:firstLine="560" w:firstLineChars="2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keepLines w:val="0"/>
        <w:pageBreakBefore w:val="0"/>
        <w:kinsoku/>
        <w:wordWrap/>
        <w:overflowPunct/>
        <w:topLinePunct w:val="0"/>
        <w:bidi w:val="0"/>
        <w:spacing w:line="560" w:lineRule="exact"/>
        <w:ind w:firstLine="560" w:firstLineChars="2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本单位对上述声明的真实性负责。如有虚假，将依法承担相应责任。</w:t>
      </w:r>
    </w:p>
    <w:p>
      <w:pPr>
        <w:pStyle w:val="8"/>
        <w:keepLines w:val="0"/>
        <w:pageBreakBefore w:val="0"/>
        <w:tabs>
          <w:tab w:val="left" w:pos="562"/>
          <w:tab w:val="left" w:pos="3372"/>
          <w:tab w:val="left" w:pos="3653"/>
        </w:tabs>
        <w:kinsoku/>
        <w:wordWrap/>
        <w:overflowPunct/>
        <w:topLinePunct w:val="0"/>
        <w:bidi w:val="0"/>
        <w:spacing w:line="560" w:lineRule="exact"/>
        <w:rPr>
          <w:rFonts w:hint="eastAsia" w:ascii="仿宋_GB2312" w:hAnsi="仿宋_GB2312" w:eastAsia="仿宋_GB2312" w:cs="仿宋_GB2312"/>
          <w:color w:val="auto"/>
          <w:sz w:val="28"/>
          <w:szCs w:val="28"/>
          <w:highlight w:val="none"/>
        </w:rPr>
      </w:pPr>
    </w:p>
    <w:p>
      <w:pPr>
        <w:keepLines w:val="0"/>
        <w:pageBreakBefore w:val="0"/>
        <w:kinsoku/>
        <w:wordWrap/>
        <w:overflowPunct/>
        <w:topLinePunct w:val="0"/>
        <w:bidi w:val="0"/>
        <w:spacing w:line="560" w:lineRule="exact"/>
        <w:rPr>
          <w:color w:val="auto"/>
          <w:sz w:val="28"/>
          <w:szCs w:val="28"/>
          <w:highlight w:val="none"/>
        </w:rPr>
      </w:pPr>
    </w:p>
    <w:p>
      <w:pPr>
        <w:keepLines w:val="0"/>
        <w:pageBreakBefore w:val="0"/>
        <w:kinsoku/>
        <w:wordWrap/>
        <w:overflowPunct/>
        <w:topLinePunct w:val="0"/>
        <w:bidi w:val="0"/>
        <w:spacing w:line="560" w:lineRule="exact"/>
        <w:ind w:firstLine="3920" w:firstLineChars="14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单位名称（盖章）：</w:t>
      </w:r>
    </w:p>
    <w:p>
      <w:pPr>
        <w:keepLines w:val="0"/>
        <w:pageBreakBefore w:val="0"/>
        <w:kinsoku/>
        <w:wordWrap/>
        <w:overflowPunct/>
        <w:topLinePunct w:val="0"/>
        <w:bidi w:val="0"/>
        <w:spacing w:line="560" w:lineRule="exact"/>
        <w:ind w:firstLine="3920" w:firstLineChars="14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日  期：</w:t>
      </w:r>
    </w:p>
    <w:p>
      <w:pPr>
        <w:keepLines w:val="0"/>
        <w:pageBreakBefore w:val="0"/>
        <w:kinsoku/>
        <w:wordWrap/>
        <w:overflowPunct/>
        <w:topLinePunct w:val="0"/>
        <w:bidi w:val="0"/>
        <w:spacing w:line="560" w:lineRule="exact"/>
        <w:rPr>
          <w:rFonts w:hint="eastAsia" w:ascii="仿宋_GB2312" w:hAnsi="仿宋_GB2312" w:eastAsia="仿宋_GB2312" w:cs="仿宋_GB2312"/>
          <w:color w:val="auto"/>
          <w:sz w:val="32"/>
          <w:szCs w:val="32"/>
          <w:highlight w:val="none"/>
        </w:rPr>
      </w:pPr>
    </w:p>
    <w:p>
      <w:pPr>
        <w:pStyle w:val="3"/>
        <w:spacing w:line="560" w:lineRule="exact"/>
        <w:rPr>
          <w:rFonts w:hint="eastAsia" w:ascii="仿宋_GB2312" w:hAnsi="仿宋_GB2312" w:eastAsia="仿宋_GB2312" w:cs="仿宋_GB2312"/>
          <w:color w:val="auto"/>
          <w:sz w:val="32"/>
          <w:szCs w:val="32"/>
          <w:highlight w:val="none"/>
        </w:rPr>
      </w:pPr>
    </w:p>
    <w:p>
      <w:pPr>
        <w:spacing w:line="560" w:lineRule="exact"/>
        <w:rPr>
          <w:rFonts w:hint="eastAsia" w:ascii="仿宋_GB2312" w:hAnsi="仿宋_GB2312" w:eastAsia="仿宋_GB2312" w:cs="仿宋_GB2312"/>
          <w:color w:val="auto"/>
          <w:sz w:val="32"/>
          <w:szCs w:val="32"/>
          <w:highlight w:val="none"/>
        </w:rPr>
      </w:pPr>
    </w:p>
    <w:p>
      <w:pPr>
        <w:spacing w:line="560" w:lineRule="exact"/>
        <w:rPr>
          <w:rFonts w:hint="eastAsia" w:ascii="仿宋_GB2312" w:hAnsi="仿宋_GB2312" w:eastAsia="仿宋_GB2312" w:cs="仿宋_GB2312"/>
          <w:color w:val="auto"/>
          <w:sz w:val="32"/>
          <w:szCs w:val="32"/>
          <w:highlight w:val="none"/>
        </w:rPr>
      </w:pPr>
    </w:p>
    <w:p>
      <w:pPr>
        <w:spacing w:line="560" w:lineRule="exact"/>
        <w:rPr>
          <w:rFonts w:hint="eastAsia" w:ascii="仿宋_GB2312" w:hAnsi="仿宋_GB2312" w:eastAsia="仿宋_GB2312" w:cs="仿宋_GB2312"/>
          <w:color w:val="auto"/>
          <w:sz w:val="32"/>
          <w:szCs w:val="32"/>
          <w:highlight w:val="none"/>
        </w:rPr>
      </w:pPr>
    </w:p>
    <w:p>
      <w:pPr>
        <w:spacing w:line="560" w:lineRule="exact"/>
        <w:rPr>
          <w:rFonts w:hint="eastAsia" w:ascii="仿宋_GB2312" w:hAnsi="仿宋_GB2312" w:eastAsia="仿宋_GB2312" w:cs="仿宋_GB2312"/>
          <w:color w:val="auto"/>
          <w:sz w:val="32"/>
          <w:szCs w:val="32"/>
          <w:highlight w:val="none"/>
        </w:rPr>
      </w:pPr>
    </w:p>
    <w:p>
      <w:pPr>
        <w:pStyle w:val="3"/>
        <w:spacing w:line="560" w:lineRule="exact"/>
        <w:rPr>
          <w:rFonts w:hint="eastAsia"/>
          <w:color w:val="auto"/>
          <w:highlight w:val="none"/>
        </w:rPr>
      </w:pPr>
    </w:p>
    <w:p>
      <w:pPr>
        <w:keepLines w:val="0"/>
        <w:pageBreakBefore w:val="0"/>
        <w:numPr>
          <w:ilvl w:val="0"/>
          <w:numId w:val="4"/>
        </w:numPr>
        <w:kinsoku/>
        <w:wordWrap/>
        <w:overflowPunct/>
        <w:topLinePunct w:val="0"/>
        <w:bidi w:val="0"/>
        <w:spacing w:line="560" w:lineRule="exact"/>
        <w:jc w:val="center"/>
        <w:rPr>
          <w:b/>
          <w:color w:val="auto"/>
          <w:sz w:val="36"/>
          <w:szCs w:val="36"/>
          <w:highlight w:val="none"/>
        </w:rPr>
      </w:pPr>
      <w:r>
        <w:rPr>
          <w:rFonts w:hint="eastAsia"/>
          <w:b/>
          <w:color w:val="auto"/>
          <w:sz w:val="36"/>
          <w:szCs w:val="36"/>
          <w:highlight w:val="none"/>
        </w:rPr>
        <w:t>监狱企业声明函</w:t>
      </w:r>
    </w:p>
    <w:p>
      <w:pPr>
        <w:pStyle w:val="8"/>
        <w:keepLines w:val="0"/>
        <w:pageBreakBefore w:val="0"/>
        <w:kinsoku/>
        <w:wordWrap/>
        <w:overflowPunct/>
        <w:topLinePunct w:val="0"/>
        <w:bidi w:val="0"/>
        <w:spacing w:line="560" w:lineRule="exact"/>
        <w:rPr>
          <w:rFonts w:hint="eastAsia"/>
          <w:color w:val="auto"/>
          <w:highlight w:val="none"/>
        </w:rPr>
      </w:pPr>
    </w:p>
    <w:p>
      <w:pPr>
        <w:keepLines w:val="0"/>
        <w:pageBreakBefore w:val="0"/>
        <w:kinsoku/>
        <w:wordWrap/>
        <w:overflowPunct/>
        <w:topLinePunct w:val="0"/>
        <w:bidi w:val="0"/>
        <w:spacing w:line="560" w:lineRule="exact"/>
        <w:ind w:firstLine="560" w:firstLineChars="2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本单位郑重声明，根据《财政部司法部关于政府采购支持监狱企业发展有关问题的通知》（财库〔2014〕68号）的规定，本单位为符合条件的监狱企业，且本单位参加（采购单位名称） 单位的（采购项目名称）项目采购活动，并提供：□本单位制造的货物；□由本单位承担的工程、提供服务；□提供其他监狱企业制造的货物（承诺人在□处打√）。本条所称货物是指单一产品采购项目中的货物，或者非单一产品采购项目中的核心产品（货物）。</w:t>
      </w:r>
    </w:p>
    <w:p>
      <w:pPr>
        <w:keepLines w:val="0"/>
        <w:pageBreakBefore w:val="0"/>
        <w:kinsoku/>
        <w:wordWrap/>
        <w:overflowPunct/>
        <w:topLinePunct w:val="0"/>
        <w:bidi w:val="0"/>
        <w:spacing w:line="560" w:lineRule="exact"/>
        <w:ind w:firstLine="560" w:firstLineChars="2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本单位对上述声明的真实性负责。如有虚假，将依法承担相应责任。</w:t>
      </w:r>
    </w:p>
    <w:p>
      <w:pPr>
        <w:keepLines w:val="0"/>
        <w:pageBreakBefore w:val="0"/>
        <w:kinsoku/>
        <w:wordWrap/>
        <w:overflowPunct/>
        <w:topLinePunct w:val="0"/>
        <w:bidi w:val="0"/>
        <w:spacing w:line="560" w:lineRule="exact"/>
        <w:ind w:firstLine="560" w:firstLineChars="2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附：省级以上监狱管理局、戒毒管理局（含新疆生产建设兵团）出具的监狱企业证明文件。</w:t>
      </w:r>
    </w:p>
    <w:p>
      <w:pPr>
        <w:keepLines w:val="0"/>
        <w:pageBreakBefore w:val="0"/>
        <w:kinsoku/>
        <w:wordWrap/>
        <w:overflowPunct/>
        <w:topLinePunct w:val="0"/>
        <w:bidi w:val="0"/>
        <w:spacing w:line="560" w:lineRule="exact"/>
        <w:ind w:firstLine="560" w:firstLineChars="200"/>
        <w:jc w:val="left"/>
        <w:rPr>
          <w:rFonts w:hint="eastAsia" w:ascii="仿宋_GB2312" w:hAnsi="仿宋_GB2312" w:eastAsia="仿宋_GB2312" w:cs="仿宋_GB2312"/>
          <w:color w:val="auto"/>
          <w:sz w:val="28"/>
          <w:szCs w:val="28"/>
          <w:highlight w:val="none"/>
        </w:rPr>
      </w:pPr>
    </w:p>
    <w:p>
      <w:pPr>
        <w:pStyle w:val="8"/>
        <w:keepLines w:val="0"/>
        <w:pageBreakBefore w:val="0"/>
        <w:kinsoku/>
        <w:wordWrap/>
        <w:overflowPunct/>
        <w:topLinePunct w:val="0"/>
        <w:bidi w:val="0"/>
        <w:spacing w:line="560" w:lineRule="exact"/>
        <w:rPr>
          <w:rFonts w:hint="eastAsia"/>
          <w:color w:val="auto"/>
          <w:sz w:val="28"/>
          <w:szCs w:val="28"/>
          <w:highlight w:val="none"/>
        </w:rPr>
      </w:pPr>
    </w:p>
    <w:p>
      <w:pPr>
        <w:keepLines w:val="0"/>
        <w:pageBreakBefore w:val="0"/>
        <w:kinsoku/>
        <w:wordWrap/>
        <w:overflowPunct/>
        <w:topLinePunct w:val="0"/>
        <w:bidi w:val="0"/>
        <w:spacing w:line="560" w:lineRule="exact"/>
        <w:ind w:firstLine="4480" w:firstLineChars="16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单位名称（盖章）：</w:t>
      </w:r>
    </w:p>
    <w:p>
      <w:pPr>
        <w:keepLines w:val="0"/>
        <w:pageBreakBefore w:val="0"/>
        <w:kinsoku/>
        <w:wordWrap/>
        <w:overflowPunct/>
        <w:topLinePunct w:val="0"/>
        <w:bidi w:val="0"/>
        <w:spacing w:line="560" w:lineRule="exact"/>
        <w:ind w:firstLine="4480" w:firstLineChars="1600"/>
        <w:jc w:val="left"/>
        <w:rPr>
          <w:b/>
          <w:color w:val="auto"/>
          <w:sz w:val="28"/>
          <w:szCs w:val="28"/>
          <w:highlight w:val="none"/>
        </w:rPr>
      </w:pPr>
      <w:r>
        <w:rPr>
          <w:rFonts w:hint="eastAsia" w:ascii="仿宋_GB2312" w:hAnsi="仿宋_GB2312" w:eastAsia="仿宋_GB2312" w:cs="仿宋_GB2312"/>
          <w:color w:val="auto"/>
          <w:sz w:val="28"/>
          <w:szCs w:val="28"/>
          <w:highlight w:val="none"/>
        </w:rPr>
        <w:t>日  期：</w:t>
      </w:r>
    </w:p>
    <w:p>
      <w:pPr>
        <w:pStyle w:val="4"/>
        <w:keepLines w:val="0"/>
        <w:pageBreakBefore w:val="0"/>
        <w:kinsoku/>
        <w:wordWrap/>
        <w:overflowPunct/>
        <w:topLinePunct w:val="0"/>
        <w:bidi w:val="0"/>
        <w:spacing w:beforeAutospacing="0" w:afterAutospacing="0" w:line="560" w:lineRule="exact"/>
        <w:ind w:firstLine="643" w:firstLineChars="200"/>
        <w:jc w:val="both"/>
        <w:rPr>
          <w:rFonts w:hint="default" w:ascii="Calibri" w:hAnsi="Calibri" w:cs="黑体"/>
          <w:b/>
          <w:color w:val="auto"/>
          <w:kern w:val="2"/>
          <w:sz w:val="32"/>
          <w:szCs w:val="32"/>
          <w:highlight w:val="none"/>
        </w:rPr>
      </w:pPr>
    </w:p>
    <w:p>
      <w:pPr>
        <w:pStyle w:val="4"/>
        <w:keepLines w:val="0"/>
        <w:pageBreakBefore w:val="0"/>
        <w:kinsoku/>
        <w:wordWrap/>
        <w:overflowPunct/>
        <w:topLinePunct w:val="0"/>
        <w:bidi w:val="0"/>
        <w:spacing w:beforeAutospacing="0" w:afterAutospacing="0" w:line="560" w:lineRule="exact"/>
        <w:ind w:firstLine="643" w:firstLineChars="200"/>
        <w:jc w:val="both"/>
        <w:rPr>
          <w:rFonts w:hint="default" w:ascii="Calibri" w:hAnsi="Calibri" w:cs="黑体"/>
          <w:b/>
          <w:color w:val="auto"/>
          <w:kern w:val="2"/>
          <w:sz w:val="32"/>
          <w:szCs w:val="32"/>
          <w:highlight w:val="none"/>
        </w:rPr>
      </w:pPr>
    </w:p>
    <w:p>
      <w:pPr>
        <w:keepLines w:val="0"/>
        <w:pageBreakBefore w:val="0"/>
        <w:kinsoku/>
        <w:wordWrap/>
        <w:overflowPunct/>
        <w:topLinePunct w:val="0"/>
        <w:bidi w:val="0"/>
        <w:spacing w:line="560" w:lineRule="exact"/>
        <w:rPr>
          <w:color w:val="auto"/>
          <w:highlight w:val="none"/>
        </w:rPr>
        <w:sectPr>
          <w:headerReference r:id="rId3" w:type="default"/>
          <w:footerReference r:id="rId4" w:type="default"/>
          <w:pgSz w:w="11906" w:h="16838"/>
          <w:pgMar w:top="1644" w:right="1474" w:bottom="1531" w:left="1474" w:header="31" w:footer="1587" w:gutter="0"/>
          <w:pgNumType w:fmt="numberInDash"/>
          <w:cols w:space="720" w:num="1"/>
          <w:docGrid w:type="lines" w:linePitch="312" w:charSpace="0"/>
        </w:sectPr>
      </w:pPr>
    </w:p>
    <w:tbl>
      <w:tblPr>
        <w:tblStyle w:val="19"/>
        <w:tblW w:w="13061" w:type="dxa"/>
        <w:tblInd w:w="0" w:type="dxa"/>
        <w:tblLayout w:type="fixed"/>
        <w:tblCellMar>
          <w:top w:w="15" w:type="dxa"/>
          <w:left w:w="15" w:type="dxa"/>
          <w:bottom w:w="15" w:type="dxa"/>
          <w:right w:w="15" w:type="dxa"/>
        </w:tblCellMar>
      </w:tblPr>
      <w:tblGrid>
        <w:gridCol w:w="7515"/>
        <w:gridCol w:w="5546"/>
      </w:tblGrid>
      <w:tr>
        <w:tblPrEx>
          <w:tblCellMar>
            <w:top w:w="15" w:type="dxa"/>
            <w:left w:w="15" w:type="dxa"/>
            <w:bottom w:w="15" w:type="dxa"/>
            <w:right w:w="15" w:type="dxa"/>
          </w:tblCellMar>
        </w:tblPrEx>
        <w:trPr>
          <w:trHeight w:val="705" w:hRule="atLeast"/>
        </w:trPr>
        <w:tc>
          <w:tcPr>
            <w:tcW w:w="13061" w:type="dxa"/>
            <w:gridSpan w:val="2"/>
            <w:noWrap/>
            <w:vAlign w:val="center"/>
          </w:tcPr>
          <w:p>
            <w:pPr>
              <w:keepLines w:val="0"/>
              <w:pageBreakBefore w:val="0"/>
              <w:widowControl/>
              <w:kinsoku/>
              <w:wordWrap/>
              <w:overflowPunct/>
              <w:topLinePunct w:val="0"/>
              <w:bidi w:val="0"/>
              <w:spacing w:line="560" w:lineRule="exact"/>
              <w:jc w:val="center"/>
              <w:textAlignment w:val="center"/>
              <w:rPr>
                <w:rFonts w:hint="eastAsia" w:ascii="仿宋" w:hAnsi="仿宋" w:eastAsia="仿宋" w:cs="仿宋"/>
                <w:b/>
                <w:color w:val="auto"/>
                <w:kern w:val="0"/>
                <w:sz w:val="44"/>
                <w:szCs w:val="44"/>
                <w:highlight w:val="none"/>
              </w:rPr>
            </w:pPr>
          </w:p>
          <w:p>
            <w:pPr>
              <w:keepLines w:val="0"/>
              <w:pageBreakBefore w:val="0"/>
              <w:widowControl/>
              <w:kinsoku/>
              <w:wordWrap/>
              <w:overflowPunct/>
              <w:topLinePunct w:val="0"/>
              <w:bidi w:val="0"/>
              <w:spacing w:line="560" w:lineRule="exact"/>
              <w:jc w:val="center"/>
              <w:textAlignment w:val="center"/>
              <w:rPr>
                <w:rFonts w:hint="eastAsia" w:ascii="仿宋" w:hAnsi="仿宋" w:eastAsia="仿宋" w:cs="仿宋"/>
                <w:b/>
                <w:color w:val="auto"/>
                <w:sz w:val="44"/>
                <w:szCs w:val="44"/>
                <w:highlight w:val="none"/>
              </w:rPr>
            </w:pPr>
            <w:r>
              <w:rPr>
                <w:rFonts w:hint="eastAsia" w:ascii="仿宋" w:hAnsi="仿宋" w:eastAsia="仿宋" w:cs="仿宋"/>
                <w:b/>
                <w:color w:val="auto"/>
                <w:kern w:val="0"/>
                <w:sz w:val="44"/>
                <w:szCs w:val="44"/>
                <w:highlight w:val="none"/>
              </w:rPr>
              <w:t>开标一览表</w:t>
            </w:r>
          </w:p>
        </w:tc>
      </w:tr>
      <w:tr>
        <w:tblPrEx>
          <w:tblCellMar>
            <w:top w:w="15" w:type="dxa"/>
            <w:left w:w="15" w:type="dxa"/>
            <w:bottom w:w="15" w:type="dxa"/>
            <w:right w:w="15" w:type="dxa"/>
          </w:tblCellMar>
        </w:tblPrEx>
        <w:trPr>
          <w:trHeight w:val="524" w:hRule="atLeast"/>
        </w:trPr>
        <w:tc>
          <w:tcPr>
            <w:tcW w:w="13061" w:type="dxa"/>
            <w:gridSpan w:val="2"/>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bidi w:val="0"/>
              <w:spacing w:line="560" w:lineRule="exact"/>
              <w:jc w:val="left"/>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kern w:val="0"/>
                <w:sz w:val="32"/>
                <w:szCs w:val="32"/>
                <w:highlight w:val="none"/>
              </w:rPr>
              <w:t>投标人名称：　</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32"/>
                <w:szCs w:val="32"/>
                <w:highlight w:val="none"/>
              </w:rPr>
              <w:t>采购项目编号：</w:t>
            </w:r>
            <w:r>
              <w:rPr>
                <w:rFonts w:hint="eastAsia" w:ascii="仿宋" w:hAnsi="仿宋" w:eastAsia="仿宋" w:cs="仿宋"/>
                <w:color w:val="auto"/>
                <w:kern w:val="0"/>
                <w:sz w:val="32"/>
                <w:szCs w:val="32"/>
                <w:highlight w:val="none"/>
                <w:lang w:val="en-US" w:eastAsia="zh-CN"/>
              </w:rPr>
              <w:t>深龙七医采[LGQY2026SB006]</w:t>
            </w:r>
          </w:p>
        </w:tc>
      </w:tr>
      <w:tr>
        <w:tblPrEx>
          <w:tblCellMar>
            <w:top w:w="15" w:type="dxa"/>
            <w:left w:w="15" w:type="dxa"/>
            <w:bottom w:w="15" w:type="dxa"/>
            <w:right w:w="15" w:type="dxa"/>
          </w:tblCellMar>
        </w:tblPrEx>
        <w:trPr>
          <w:trHeight w:val="509" w:hRule="atLeast"/>
        </w:trPr>
        <w:tc>
          <w:tcPr>
            <w:tcW w:w="7515"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bidi w:val="0"/>
              <w:spacing w:line="560" w:lineRule="exact"/>
              <w:jc w:val="center"/>
              <w:textAlignment w:val="center"/>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项目名称</w:t>
            </w:r>
          </w:p>
        </w:tc>
        <w:tc>
          <w:tcPr>
            <w:tcW w:w="5546"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bidi w:val="0"/>
              <w:spacing w:line="560" w:lineRule="exact"/>
              <w:jc w:val="center"/>
              <w:textAlignment w:val="center"/>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投标报价（元）</w:t>
            </w:r>
          </w:p>
        </w:tc>
      </w:tr>
      <w:tr>
        <w:tblPrEx>
          <w:tblCellMar>
            <w:top w:w="15" w:type="dxa"/>
            <w:left w:w="15" w:type="dxa"/>
            <w:bottom w:w="15" w:type="dxa"/>
            <w:right w:w="15" w:type="dxa"/>
          </w:tblCellMar>
        </w:tblPrEx>
        <w:trPr>
          <w:trHeight w:val="655" w:hRule="atLeast"/>
        </w:trPr>
        <w:tc>
          <w:tcPr>
            <w:tcW w:w="7515" w:type="dxa"/>
            <w:tcBorders>
              <w:top w:val="single" w:color="000000" w:sz="4" w:space="0"/>
              <w:left w:val="single" w:color="000000" w:sz="4" w:space="0"/>
              <w:bottom w:val="single" w:color="000000" w:sz="4" w:space="0"/>
              <w:right w:val="single" w:color="000000" w:sz="4" w:space="0"/>
            </w:tcBorders>
            <w:noWrap/>
            <w:vAlign w:val="center"/>
          </w:tcPr>
          <w:p>
            <w:pPr>
              <w:pStyle w:val="25"/>
              <w:keepNext w:val="0"/>
              <w:keepLines w:val="0"/>
              <w:pageBreakBefore w:val="0"/>
              <w:widowControl/>
              <w:numPr>
                <w:ilvl w:val="0"/>
                <w:numId w:val="0"/>
              </w:numPr>
              <w:kinsoku/>
              <w:wordWrap/>
              <w:overflowPunct/>
              <w:topLinePunct w:val="0"/>
              <w:autoSpaceDE/>
              <w:autoSpaceDN/>
              <w:bidi w:val="0"/>
              <w:adjustRightInd/>
              <w:snapToGrid w:val="0"/>
              <w:spacing w:line="560" w:lineRule="exact"/>
              <w:jc w:val="center"/>
              <w:textAlignment w:val="auto"/>
              <w:rPr>
                <w:rFonts w:hint="eastAsia" w:eastAsia="宋体"/>
                <w:color w:val="auto"/>
                <w:sz w:val="22"/>
                <w:szCs w:val="28"/>
                <w:highlight w:val="none"/>
                <w:lang w:val="en-US" w:eastAsia="zh-CN"/>
              </w:rPr>
            </w:pPr>
            <w:r>
              <w:rPr>
                <w:rFonts w:hint="eastAsia" w:ascii="仿宋" w:hAnsi="仿宋" w:eastAsia="仿宋" w:cs="仿宋"/>
                <w:color w:val="auto"/>
                <w:kern w:val="2"/>
                <w:sz w:val="32"/>
                <w:szCs w:val="32"/>
                <w:highlight w:val="none"/>
                <w:lang w:val="en-US" w:eastAsia="zh-CN" w:bidi="ar-SA"/>
              </w:rPr>
              <w:t>深圳市龙岗区第七人民医院消化内镜能量平台（氩气高频电刀）及内镜注水泵采购项目</w:t>
            </w:r>
          </w:p>
        </w:tc>
        <w:tc>
          <w:tcPr>
            <w:tcW w:w="5546" w:type="dxa"/>
            <w:tcBorders>
              <w:top w:val="single" w:color="000000" w:sz="4" w:space="0"/>
              <w:left w:val="single" w:color="000000" w:sz="4" w:space="0"/>
              <w:bottom w:val="single" w:color="000000" w:sz="4" w:space="0"/>
              <w:right w:val="single" w:color="000000" w:sz="4" w:space="0"/>
            </w:tcBorders>
            <w:noWrap/>
            <w:vAlign w:val="center"/>
          </w:tcPr>
          <w:p>
            <w:pPr>
              <w:spacing w:line="560" w:lineRule="exact"/>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大写：</w:t>
            </w:r>
          </w:p>
          <w:p>
            <w:pPr>
              <w:keepLines w:val="0"/>
              <w:pageBreakBefore w:val="0"/>
              <w:kinsoku/>
              <w:wordWrap/>
              <w:overflowPunct/>
              <w:topLinePunct w:val="0"/>
              <w:bidi w:val="0"/>
              <w:spacing w:line="560" w:lineRule="exact"/>
              <w:rPr>
                <w:rFonts w:hint="eastAsia" w:ascii="仿宋" w:hAnsi="仿宋" w:eastAsia="仿宋" w:cs="仿宋"/>
                <w:color w:val="auto"/>
                <w:sz w:val="24"/>
                <w:szCs w:val="24"/>
                <w:highlight w:val="none"/>
              </w:rPr>
            </w:pPr>
            <w:r>
              <w:rPr>
                <w:rFonts w:hint="eastAsia" w:ascii="仿宋" w:hAnsi="仿宋" w:eastAsia="仿宋" w:cs="仿宋"/>
                <w:color w:val="auto"/>
                <w:kern w:val="2"/>
                <w:sz w:val="32"/>
                <w:szCs w:val="32"/>
                <w:highlight w:val="none"/>
                <w:lang w:val="en-US" w:eastAsia="zh-CN" w:bidi="ar-SA"/>
              </w:rPr>
              <w:t>小写：</w:t>
            </w:r>
          </w:p>
        </w:tc>
      </w:tr>
    </w:tbl>
    <w:p>
      <w:pPr>
        <w:keepLines w:val="0"/>
        <w:pageBreakBefore w:val="0"/>
        <w:kinsoku/>
        <w:wordWrap/>
        <w:overflowPunct/>
        <w:topLinePunct w:val="0"/>
        <w:bidi w:val="0"/>
        <w:spacing w:line="560" w:lineRule="exact"/>
        <w:ind w:left="425" w:hanging="425"/>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注：</w:t>
      </w:r>
    </w:p>
    <w:p>
      <w:pPr>
        <w:keepLines w:val="0"/>
        <w:pageBreakBefore w:val="0"/>
        <w:kinsoku/>
        <w:wordWrap/>
        <w:overflowPunct/>
        <w:topLinePunct w:val="0"/>
        <w:bidi w:val="0"/>
        <w:spacing w:line="560" w:lineRule="exact"/>
        <w:ind w:left="425" w:hanging="425"/>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w:t>
      </w:r>
      <w:r>
        <w:rPr>
          <w:rFonts w:ascii="仿宋" w:hAnsi="仿宋" w:eastAsia="仿宋" w:cs="仿宋"/>
          <w:color w:val="auto"/>
          <w:sz w:val="28"/>
          <w:szCs w:val="28"/>
          <w:highlight w:val="none"/>
        </w:rPr>
        <w:t>.</w:t>
      </w:r>
      <w:r>
        <w:rPr>
          <w:rFonts w:hint="eastAsia" w:ascii="仿宋" w:hAnsi="仿宋" w:eastAsia="仿宋" w:cs="仿宋"/>
          <w:color w:val="auto"/>
          <w:sz w:val="28"/>
          <w:szCs w:val="28"/>
          <w:highlight w:val="none"/>
        </w:rPr>
        <w:t>开标一览表格式不得自行改动。</w:t>
      </w:r>
    </w:p>
    <w:p>
      <w:pPr>
        <w:keepLines w:val="0"/>
        <w:pageBreakBefore w:val="0"/>
        <w:kinsoku/>
        <w:wordWrap/>
        <w:overflowPunct/>
        <w:topLinePunct w:val="0"/>
        <w:bidi w:val="0"/>
        <w:spacing w:line="560" w:lineRule="exact"/>
        <w:ind w:left="425" w:hanging="425"/>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ascii="仿宋" w:hAnsi="仿宋" w:eastAsia="仿宋" w:cs="仿宋"/>
          <w:color w:val="auto"/>
          <w:sz w:val="28"/>
          <w:szCs w:val="28"/>
          <w:highlight w:val="none"/>
        </w:rPr>
        <w:t>.</w:t>
      </w:r>
      <w:r>
        <w:rPr>
          <w:rFonts w:hint="eastAsia" w:ascii="仿宋" w:hAnsi="仿宋" w:eastAsia="仿宋" w:cs="仿宋"/>
          <w:color w:val="auto"/>
          <w:sz w:val="28"/>
          <w:szCs w:val="28"/>
          <w:highlight w:val="none"/>
        </w:rPr>
        <w:t>价格条件为能否满足标书要求的投标报价。</w:t>
      </w:r>
    </w:p>
    <w:p>
      <w:pPr>
        <w:keepLines w:val="0"/>
        <w:pageBreakBefore w:val="0"/>
        <w:kinsoku/>
        <w:wordWrap/>
        <w:overflowPunct/>
        <w:topLinePunct w:val="0"/>
        <w:bidi w:val="0"/>
        <w:spacing w:line="560" w:lineRule="exact"/>
        <w:rPr>
          <w:rFonts w:hint="eastAsia" w:ascii="仿宋" w:hAnsi="仿宋" w:eastAsia="仿宋" w:cs="仿宋"/>
          <w:color w:val="auto"/>
          <w:sz w:val="28"/>
          <w:szCs w:val="28"/>
          <w:highlight w:val="none"/>
        </w:rPr>
      </w:pPr>
    </w:p>
    <w:p>
      <w:pPr>
        <w:keepLines w:val="0"/>
        <w:pageBreakBefore w:val="0"/>
        <w:kinsoku/>
        <w:wordWrap/>
        <w:overflowPunct/>
        <w:topLinePunct w:val="0"/>
        <w:bidi w:val="0"/>
        <w:spacing w:line="560" w:lineRule="exact"/>
        <w:ind w:firstLine="6160" w:firstLineChars="22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法定代表人或其授权代表人（签字）：</w:t>
      </w:r>
    </w:p>
    <w:p>
      <w:pPr>
        <w:keepLines w:val="0"/>
        <w:pageBreakBefore w:val="0"/>
        <w:kinsoku/>
        <w:wordWrap/>
        <w:overflowPunct/>
        <w:topLinePunct w:val="0"/>
        <w:bidi w:val="0"/>
        <w:spacing w:line="56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投标单位全称（加盖公章）：</w:t>
      </w:r>
    </w:p>
    <w:p>
      <w:pPr>
        <w:keepLines w:val="0"/>
        <w:pageBreakBefore w:val="0"/>
        <w:kinsoku/>
        <w:wordWrap/>
        <w:overflowPunct/>
        <w:topLinePunct w:val="0"/>
        <w:bidi w:val="0"/>
        <w:spacing w:line="56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日期：      年    月    日</w:t>
      </w:r>
    </w:p>
    <w:p>
      <w:pPr>
        <w:keepLines w:val="0"/>
        <w:pageBreakBefore w:val="0"/>
        <w:kinsoku/>
        <w:wordWrap/>
        <w:overflowPunct/>
        <w:topLinePunct w:val="0"/>
        <w:bidi w:val="0"/>
        <w:spacing w:line="560" w:lineRule="exact"/>
        <w:outlineLvl w:val="2"/>
        <w:rPr>
          <w:rFonts w:hint="eastAsia" w:ascii="宋体" w:cs="宋体"/>
          <w:b/>
          <w:color w:val="auto"/>
          <w:szCs w:val="21"/>
          <w:highlight w:val="none"/>
        </w:rPr>
      </w:pPr>
    </w:p>
    <w:p>
      <w:pPr>
        <w:keepLines w:val="0"/>
        <w:pageBreakBefore w:val="0"/>
        <w:widowControl/>
        <w:kinsoku/>
        <w:wordWrap/>
        <w:overflowPunct/>
        <w:topLinePunct w:val="0"/>
        <w:bidi w:val="0"/>
        <w:spacing w:line="560" w:lineRule="exact"/>
        <w:jc w:val="center"/>
        <w:textAlignment w:val="center"/>
        <w:rPr>
          <w:rFonts w:hint="eastAsia" w:ascii="仿宋" w:hAnsi="仿宋" w:eastAsia="仿宋" w:cs="仿宋"/>
          <w:b/>
          <w:color w:val="auto"/>
          <w:kern w:val="0"/>
          <w:sz w:val="44"/>
          <w:szCs w:val="44"/>
          <w:highlight w:val="none"/>
          <w:lang w:val="zh-CN"/>
        </w:rPr>
      </w:pPr>
    </w:p>
    <w:p>
      <w:pPr>
        <w:keepLines w:val="0"/>
        <w:pageBreakBefore w:val="0"/>
        <w:widowControl/>
        <w:kinsoku/>
        <w:wordWrap/>
        <w:overflowPunct/>
        <w:topLinePunct w:val="0"/>
        <w:bidi w:val="0"/>
        <w:spacing w:line="560" w:lineRule="exact"/>
        <w:jc w:val="center"/>
        <w:textAlignment w:val="center"/>
        <w:rPr>
          <w:rFonts w:hint="eastAsia" w:ascii="宋体" w:hAnsi="宋体" w:eastAsia="宋体" w:cs="宋体"/>
          <w:color w:val="auto"/>
          <w:sz w:val="21"/>
          <w:szCs w:val="21"/>
          <w:highlight w:val="none"/>
          <w:lang w:val="zh-CN"/>
        </w:rPr>
      </w:pPr>
      <w:r>
        <w:rPr>
          <w:rFonts w:hint="eastAsia" w:ascii="仿宋" w:hAnsi="仿宋" w:eastAsia="仿宋" w:cs="仿宋"/>
          <w:b/>
          <w:color w:val="auto"/>
          <w:kern w:val="0"/>
          <w:sz w:val="44"/>
          <w:szCs w:val="44"/>
          <w:highlight w:val="none"/>
          <w:lang w:val="zh-CN"/>
        </w:rPr>
        <w:t>分类报价明细表</w:t>
      </w:r>
    </w:p>
    <w:p>
      <w:pPr>
        <w:pStyle w:val="25"/>
        <w:keepNext w:val="0"/>
        <w:keepLines w:val="0"/>
        <w:pageBreakBefore w:val="0"/>
        <w:widowControl/>
        <w:numPr>
          <w:ilvl w:val="0"/>
          <w:numId w:val="0"/>
        </w:numPr>
        <w:kinsoku/>
        <w:wordWrap/>
        <w:overflowPunct/>
        <w:topLinePunct w:val="0"/>
        <w:autoSpaceDE/>
        <w:autoSpaceDN/>
        <w:bidi w:val="0"/>
        <w:adjustRightInd/>
        <w:snapToGrid w:val="0"/>
        <w:spacing w:line="240" w:lineRule="atLeast"/>
        <w:jc w:val="both"/>
        <w:textAlignment w:val="auto"/>
        <w:rPr>
          <w:rFonts w:hint="eastAsia" w:ascii="仿宋" w:hAnsi="仿宋" w:eastAsia="仿宋" w:cs="仿宋"/>
          <w:color w:val="auto"/>
          <w:kern w:val="2"/>
          <w:sz w:val="28"/>
          <w:szCs w:val="28"/>
          <w:highlight w:val="none"/>
          <w:lang w:val="zh-CN" w:eastAsia="zh-CN" w:bidi="ar-SA"/>
        </w:rPr>
      </w:pPr>
      <w:r>
        <w:rPr>
          <w:rFonts w:hint="eastAsia" w:ascii="仿宋" w:hAnsi="仿宋" w:eastAsia="仿宋" w:cs="仿宋"/>
          <w:color w:val="auto"/>
          <w:kern w:val="2"/>
          <w:sz w:val="28"/>
          <w:szCs w:val="28"/>
          <w:highlight w:val="none"/>
          <w:lang w:val="zh-CN" w:eastAsia="zh-CN" w:bidi="ar-SA"/>
        </w:rPr>
        <w:t>项目名称：</w:t>
      </w:r>
      <w:r>
        <w:rPr>
          <w:rFonts w:hint="eastAsia" w:ascii="仿宋" w:hAnsi="仿宋" w:eastAsia="仿宋" w:cs="仿宋"/>
          <w:color w:val="auto"/>
          <w:kern w:val="2"/>
          <w:sz w:val="28"/>
          <w:szCs w:val="28"/>
          <w:highlight w:val="none"/>
          <w:lang w:val="en-US" w:eastAsia="zh-CN" w:bidi="ar-SA"/>
        </w:rPr>
        <w:t>深圳市龙岗区第七人民医院消化内镜能量平台（氩气高频电刀）及内镜注水泵采购项目</w:t>
      </w:r>
    </w:p>
    <w:p>
      <w:pPr>
        <w:pStyle w:val="11"/>
        <w:keepNext w:val="0"/>
        <w:keepLines w:val="0"/>
        <w:pageBreakBefore w:val="0"/>
        <w:kinsoku/>
        <w:wordWrap/>
        <w:overflowPunct/>
        <w:topLinePunct w:val="0"/>
        <w:bidi w:val="0"/>
        <w:spacing w:line="240" w:lineRule="atLeast"/>
        <w:textAlignment w:val="auto"/>
        <w:rPr>
          <w:rFonts w:hint="default"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项目编号：深龙七医采[LGQY2026SB006]</w:t>
      </w:r>
    </w:p>
    <w:tbl>
      <w:tblPr>
        <w:tblStyle w:val="19"/>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4"/>
        <w:gridCol w:w="1892"/>
        <w:gridCol w:w="1334"/>
        <w:gridCol w:w="1285"/>
        <w:gridCol w:w="1988"/>
        <w:gridCol w:w="1214"/>
        <w:gridCol w:w="999"/>
        <w:gridCol w:w="1092"/>
        <w:gridCol w:w="20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45" w:type="pct"/>
            <w:vAlign w:val="center"/>
          </w:tcPr>
          <w:p>
            <w:pPr>
              <w:keepNext w:val="0"/>
              <w:keepLines w:val="0"/>
              <w:pageBreakBefore w:val="0"/>
              <w:kinsoku/>
              <w:wordWrap/>
              <w:overflowPunct/>
              <w:topLinePunct w:val="0"/>
              <w:bidi w:val="0"/>
              <w:spacing w:line="240" w:lineRule="atLeast"/>
              <w:jc w:val="center"/>
              <w:textAlignment w:val="auto"/>
              <w:rPr>
                <w:b w:val="0"/>
                <w:bCs w:val="0"/>
                <w:color w:val="auto"/>
                <w:sz w:val="22"/>
                <w:highlight w:val="none"/>
              </w:rPr>
            </w:pPr>
            <w:r>
              <w:rPr>
                <w:b w:val="0"/>
                <w:bCs w:val="0"/>
                <w:color w:val="auto"/>
                <w:sz w:val="22"/>
                <w:highlight w:val="none"/>
              </w:rPr>
              <w:t>序号</w:t>
            </w:r>
          </w:p>
        </w:tc>
        <w:tc>
          <w:tcPr>
            <w:tcW w:w="729" w:type="pct"/>
            <w:vAlign w:val="center"/>
          </w:tcPr>
          <w:p>
            <w:pPr>
              <w:keepNext w:val="0"/>
              <w:keepLines w:val="0"/>
              <w:pageBreakBefore w:val="0"/>
              <w:kinsoku/>
              <w:wordWrap/>
              <w:overflowPunct/>
              <w:topLinePunct w:val="0"/>
              <w:bidi w:val="0"/>
              <w:spacing w:line="240" w:lineRule="atLeast"/>
              <w:jc w:val="center"/>
              <w:textAlignment w:val="auto"/>
              <w:rPr>
                <w:b w:val="0"/>
                <w:bCs w:val="0"/>
                <w:color w:val="auto"/>
                <w:sz w:val="22"/>
                <w:highlight w:val="none"/>
              </w:rPr>
            </w:pPr>
            <w:r>
              <w:rPr>
                <w:b w:val="0"/>
                <w:bCs w:val="0"/>
                <w:color w:val="auto"/>
                <w:sz w:val="22"/>
                <w:highlight w:val="none"/>
              </w:rPr>
              <w:t>货物名称</w:t>
            </w:r>
          </w:p>
        </w:tc>
        <w:tc>
          <w:tcPr>
            <w:tcW w:w="514" w:type="pct"/>
            <w:vAlign w:val="center"/>
          </w:tcPr>
          <w:p>
            <w:pPr>
              <w:keepNext w:val="0"/>
              <w:keepLines w:val="0"/>
              <w:pageBreakBefore w:val="0"/>
              <w:kinsoku/>
              <w:wordWrap/>
              <w:overflowPunct/>
              <w:topLinePunct w:val="0"/>
              <w:bidi w:val="0"/>
              <w:spacing w:line="240" w:lineRule="atLeast"/>
              <w:jc w:val="center"/>
              <w:textAlignment w:val="auto"/>
              <w:rPr>
                <w:b w:val="0"/>
                <w:bCs w:val="0"/>
                <w:color w:val="auto"/>
                <w:sz w:val="22"/>
                <w:highlight w:val="none"/>
              </w:rPr>
            </w:pPr>
            <w:r>
              <w:rPr>
                <w:b w:val="0"/>
                <w:bCs w:val="0"/>
                <w:color w:val="auto"/>
                <w:sz w:val="22"/>
                <w:highlight w:val="none"/>
              </w:rPr>
              <w:t>规格及型号</w:t>
            </w:r>
          </w:p>
        </w:tc>
        <w:tc>
          <w:tcPr>
            <w:tcW w:w="495" w:type="pct"/>
            <w:vAlign w:val="center"/>
          </w:tcPr>
          <w:p>
            <w:pPr>
              <w:keepNext w:val="0"/>
              <w:keepLines w:val="0"/>
              <w:pageBreakBefore w:val="0"/>
              <w:kinsoku/>
              <w:wordWrap/>
              <w:overflowPunct/>
              <w:topLinePunct w:val="0"/>
              <w:bidi w:val="0"/>
              <w:spacing w:line="240" w:lineRule="atLeast"/>
              <w:jc w:val="center"/>
              <w:textAlignment w:val="auto"/>
              <w:rPr>
                <w:b w:val="0"/>
                <w:bCs w:val="0"/>
                <w:color w:val="auto"/>
                <w:sz w:val="22"/>
                <w:highlight w:val="none"/>
              </w:rPr>
            </w:pPr>
            <w:r>
              <w:rPr>
                <w:b w:val="0"/>
                <w:bCs w:val="0"/>
                <w:color w:val="auto"/>
                <w:sz w:val="22"/>
                <w:highlight w:val="none"/>
              </w:rPr>
              <w:t>原产地</w:t>
            </w:r>
          </w:p>
        </w:tc>
        <w:tc>
          <w:tcPr>
            <w:tcW w:w="766" w:type="pct"/>
            <w:vAlign w:val="center"/>
          </w:tcPr>
          <w:p>
            <w:pPr>
              <w:keepNext w:val="0"/>
              <w:keepLines w:val="0"/>
              <w:pageBreakBefore w:val="0"/>
              <w:kinsoku/>
              <w:wordWrap/>
              <w:overflowPunct/>
              <w:topLinePunct w:val="0"/>
              <w:bidi w:val="0"/>
              <w:spacing w:line="240" w:lineRule="atLeast"/>
              <w:jc w:val="center"/>
              <w:textAlignment w:val="auto"/>
              <w:rPr>
                <w:b w:val="0"/>
                <w:bCs w:val="0"/>
                <w:color w:val="auto"/>
                <w:sz w:val="22"/>
                <w:highlight w:val="none"/>
              </w:rPr>
            </w:pPr>
            <w:r>
              <w:rPr>
                <w:rFonts w:hint="eastAsia"/>
                <w:b w:val="0"/>
                <w:bCs w:val="0"/>
                <w:color w:val="auto"/>
                <w:sz w:val="22"/>
                <w:highlight w:val="none"/>
              </w:rPr>
              <w:t>制造商名称</w:t>
            </w:r>
          </w:p>
        </w:tc>
        <w:tc>
          <w:tcPr>
            <w:tcW w:w="468" w:type="pct"/>
            <w:vAlign w:val="center"/>
          </w:tcPr>
          <w:p>
            <w:pPr>
              <w:keepNext w:val="0"/>
              <w:keepLines w:val="0"/>
              <w:pageBreakBefore w:val="0"/>
              <w:kinsoku/>
              <w:wordWrap/>
              <w:overflowPunct/>
              <w:topLinePunct w:val="0"/>
              <w:bidi w:val="0"/>
              <w:spacing w:line="240" w:lineRule="atLeast"/>
              <w:jc w:val="center"/>
              <w:textAlignment w:val="auto"/>
              <w:rPr>
                <w:b w:val="0"/>
                <w:bCs w:val="0"/>
                <w:color w:val="auto"/>
                <w:sz w:val="22"/>
                <w:highlight w:val="none"/>
              </w:rPr>
            </w:pPr>
            <w:r>
              <w:rPr>
                <w:b w:val="0"/>
                <w:bCs w:val="0"/>
                <w:color w:val="auto"/>
                <w:sz w:val="22"/>
                <w:highlight w:val="none"/>
              </w:rPr>
              <w:t>品牌</w:t>
            </w:r>
          </w:p>
        </w:tc>
        <w:tc>
          <w:tcPr>
            <w:tcW w:w="385" w:type="pct"/>
            <w:vAlign w:val="center"/>
          </w:tcPr>
          <w:p>
            <w:pPr>
              <w:keepNext w:val="0"/>
              <w:keepLines w:val="0"/>
              <w:pageBreakBefore w:val="0"/>
              <w:kinsoku/>
              <w:wordWrap/>
              <w:overflowPunct/>
              <w:topLinePunct w:val="0"/>
              <w:bidi w:val="0"/>
              <w:spacing w:line="240" w:lineRule="atLeast"/>
              <w:jc w:val="center"/>
              <w:textAlignment w:val="auto"/>
              <w:rPr>
                <w:b w:val="0"/>
                <w:bCs w:val="0"/>
                <w:color w:val="auto"/>
                <w:sz w:val="22"/>
                <w:highlight w:val="none"/>
              </w:rPr>
            </w:pPr>
            <w:r>
              <w:rPr>
                <w:b w:val="0"/>
                <w:bCs w:val="0"/>
                <w:color w:val="auto"/>
                <w:sz w:val="22"/>
                <w:highlight w:val="none"/>
              </w:rPr>
              <w:t>数量</w:t>
            </w:r>
          </w:p>
        </w:tc>
        <w:tc>
          <w:tcPr>
            <w:tcW w:w="421" w:type="pct"/>
            <w:vAlign w:val="center"/>
          </w:tcPr>
          <w:p>
            <w:pPr>
              <w:keepNext w:val="0"/>
              <w:keepLines w:val="0"/>
              <w:pageBreakBefore w:val="0"/>
              <w:kinsoku/>
              <w:wordWrap/>
              <w:overflowPunct/>
              <w:topLinePunct w:val="0"/>
              <w:bidi w:val="0"/>
              <w:spacing w:line="240" w:lineRule="atLeast"/>
              <w:jc w:val="center"/>
              <w:textAlignment w:val="auto"/>
              <w:rPr>
                <w:b w:val="0"/>
                <w:bCs w:val="0"/>
                <w:color w:val="auto"/>
                <w:sz w:val="22"/>
                <w:highlight w:val="none"/>
              </w:rPr>
            </w:pPr>
            <w:r>
              <w:rPr>
                <w:b w:val="0"/>
                <w:bCs w:val="0"/>
                <w:color w:val="auto"/>
                <w:sz w:val="22"/>
                <w:highlight w:val="none"/>
              </w:rPr>
              <w:t>单位</w:t>
            </w:r>
          </w:p>
        </w:tc>
        <w:tc>
          <w:tcPr>
            <w:tcW w:w="774" w:type="pct"/>
            <w:vAlign w:val="center"/>
          </w:tcPr>
          <w:p>
            <w:pPr>
              <w:keepNext w:val="0"/>
              <w:keepLines w:val="0"/>
              <w:pageBreakBefore w:val="0"/>
              <w:kinsoku/>
              <w:wordWrap/>
              <w:overflowPunct/>
              <w:topLinePunct w:val="0"/>
              <w:bidi w:val="0"/>
              <w:spacing w:line="240" w:lineRule="atLeast"/>
              <w:jc w:val="center"/>
              <w:textAlignment w:val="auto"/>
              <w:rPr>
                <w:rFonts w:hint="eastAsia"/>
                <w:b w:val="0"/>
                <w:bCs w:val="0"/>
                <w:color w:val="auto"/>
                <w:sz w:val="22"/>
                <w:highlight w:val="none"/>
                <w:lang w:val="en-US" w:eastAsia="zh-CN"/>
              </w:rPr>
            </w:pPr>
            <w:r>
              <w:rPr>
                <w:rFonts w:hint="eastAsia"/>
                <w:b w:val="0"/>
                <w:bCs w:val="0"/>
                <w:color w:val="auto"/>
                <w:sz w:val="22"/>
                <w:highlight w:val="none"/>
                <w:lang w:eastAsia="zh-CN"/>
              </w:rPr>
              <w:t>投标</w:t>
            </w:r>
            <w:r>
              <w:rPr>
                <w:rFonts w:hint="eastAsia"/>
                <w:b w:val="0"/>
                <w:bCs w:val="0"/>
                <w:color w:val="auto"/>
                <w:sz w:val="22"/>
                <w:highlight w:val="none"/>
                <w:lang w:val="en-US" w:eastAsia="zh-CN"/>
              </w:rPr>
              <w:t>报</w:t>
            </w:r>
            <w:r>
              <w:rPr>
                <w:b w:val="0"/>
                <w:bCs w:val="0"/>
                <w:color w:val="auto"/>
                <w:sz w:val="22"/>
                <w:highlight w:val="none"/>
              </w:rPr>
              <w:t>价</w:t>
            </w:r>
            <w:r>
              <w:rPr>
                <w:rFonts w:hint="eastAsia"/>
                <w:b w:val="0"/>
                <w:bCs w:val="0"/>
                <w:color w:val="auto"/>
                <w:sz w:val="22"/>
                <w:highlight w:val="none"/>
                <w:lang w:eastAsia="zh-CN"/>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45" w:type="pct"/>
            <w:vAlign w:val="center"/>
          </w:tcPr>
          <w:p>
            <w:pPr>
              <w:keepNext w:val="0"/>
              <w:keepLines w:val="0"/>
              <w:pageBreakBefore w:val="0"/>
              <w:kinsoku/>
              <w:wordWrap/>
              <w:overflowPunct/>
              <w:topLinePunct w:val="0"/>
              <w:bidi w:val="0"/>
              <w:spacing w:line="240" w:lineRule="atLeast"/>
              <w:jc w:val="center"/>
              <w:textAlignment w:val="auto"/>
              <w:rPr>
                <w:b w:val="0"/>
                <w:bCs w:val="0"/>
                <w:color w:val="auto"/>
                <w:sz w:val="22"/>
                <w:highlight w:val="none"/>
              </w:rPr>
            </w:pPr>
          </w:p>
        </w:tc>
        <w:tc>
          <w:tcPr>
            <w:tcW w:w="729" w:type="pct"/>
            <w:vAlign w:val="top"/>
          </w:tcPr>
          <w:p>
            <w:pPr>
              <w:keepNext w:val="0"/>
              <w:keepLines w:val="0"/>
              <w:pageBreakBefore w:val="0"/>
              <w:kinsoku/>
              <w:wordWrap/>
              <w:overflowPunct/>
              <w:topLinePunct w:val="0"/>
              <w:bidi w:val="0"/>
              <w:spacing w:line="240" w:lineRule="atLeast"/>
              <w:jc w:val="center"/>
              <w:textAlignment w:val="auto"/>
              <w:rPr>
                <w:b w:val="0"/>
                <w:bCs w:val="0"/>
                <w:color w:val="auto"/>
                <w:sz w:val="22"/>
                <w:highlight w:val="none"/>
              </w:rPr>
            </w:pPr>
          </w:p>
        </w:tc>
        <w:tc>
          <w:tcPr>
            <w:tcW w:w="514" w:type="pct"/>
          </w:tcPr>
          <w:p>
            <w:pPr>
              <w:keepNext w:val="0"/>
              <w:keepLines w:val="0"/>
              <w:pageBreakBefore w:val="0"/>
              <w:kinsoku/>
              <w:wordWrap/>
              <w:overflowPunct/>
              <w:topLinePunct w:val="0"/>
              <w:bidi w:val="0"/>
              <w:spacing w:line="240" w:lineRule="atLeast"/>
              <w:jc w:val="center"/>
              <w:textAlignment w:val="auto"/>
              <w:rPr>
                <w:b w:val="0"/>
                <w:bCs w:val="0"/>
                <w:color w:val="auto"/>
                <w:sz w:val="22"/>
                <w:highlight w:val="none"/>
              </w:rPr>
            </w:pPr>
          </w:p>
        </w:tc>
        <w:tc>
          <w:tcPr>
            <w:tcW w:w="495" w:type="pct"/>
          </w:tcPr>
          <w:p>
            <w:pPr>
              <w:keepNext w:val="0"/>
              <w:keepLines w:val="0"/>
              <w:pageBreakBefore w:val="0"/>
              <w:kinsoku/>
              <w:wordWrap/>
              <w:overflowPunct/>
              <w:topLinePunct w:val="0"/>
              <w:bidi w:val="0"/>
              <w:spacing w:line="240" w:lineRule="atLeast"/>
              <w:jc w:val="center"/>
              <w:textAlignment w:val="auto"/>
              <w:rPr>
                <w:b w:val="0"/>
                <w:bCs w:val="0"/>
                <w:color w:val="auto"/>
                <w:sz w:val="22"/>
                <w:highlight w:val="none"/>
              </w:rPr>
            </w:pPr>
          </w:p>
        </w:tc>
        <w:tc>
          <w:tcPr>
            <w:tcW w:w="766" w:type="pct"/>
          </w:tcPr>
          <w:p>
            <w:pPr>
              <w:keepNext w:val="0"/>
              <w:keepLines w:val="0"/>
              <w:pageBreakBefore w:val="0"/>
              <w:kinsoku/>
              <w:wordWrap/>
              <w:overflowPunct/>
              <w:topLinePunct w:val="0"/>
              <w:bidi w:val="0"/>
              <w:spacing w:line="240" w:lineRule="atLeast"/>
              <w:jc w:val="center"/>
              <w:textAlignment w:val="auto"/>
              <w:rPr>
                <w:b w:val="0"/>
                <w:bCs w:val="0"/>
                <w:color w:val="auto"/>
                <w:sz w:val="22"/>
                <w:highlight w:val="none"/>
              </w:rPr>
            </w:pPr>
          </w:p>
        </w:tc>
        <w:tc>
          <w:tcPr>
            <w:tcW w:w="468" w:type="pct"/>
          </w:tcPr>
          <w:p>
            <w:pPr>
              <w:keepNext w:val="0"/>
              <w:keepLines w:val="0"/>
              <w:pageBreakBefore w:val="0"/>
              <w:kinsoku/>
              <w:wordWrap/>
              <w:overflowPunct/>
              <w:topLinePunct w:val="0"/>
              <w:bidi w:val="0"/>
              <w:spacing w:line="240" w:lineRule="atLeast"/>
              <w:jc w:val="center"/>
              <w:textAlignment w:val="auto"/>
              <w:rPr>
                <w:b w:val="0"/>
                <w:bCs w:val="0"/>
                <w:color w:val="auto"/>
                <w:sz w:val="22"/>
                <w:highlight w:val="none"/>
              </w:rPr>
            </w:pPr>
          </w:p>
        </w:tc>
        <w:tc>
          <w:tcPr>
            <w:tcW w:w="385" w:type="pct"/>
            <w:vAlign w:val="top"/>
          </w:tcPr>
          <w:p>
            <w:pPr>
              <w:keepNext w:val="0"/>
              <w:keepLines w:val="0"/>
              <w:pageBreakBefore w:val="0"/>
              <w:kinsoku/>
              <w:wordWrap/>
              <w:overflowPunct/>
              <w:topLinePunct w:val="0"/>
              <w:bidi w:val="0"/>
              <w:spacing w:line="240" w:lineRule="atLeast"/>
              <w:jc w:val="center"/>
              <w:textAlignment w:val="auto"/>
              <w:rPr>
                <w:b w:val="0"/>
                <w:bCs w:val="0"/>
                <w:color w:val="auto"/>
                <w:sz w:val="22"/>
                <w:highlight w:val="none"/>
              </w:rPr>
            </w:pPr>
          </w:p>
        </w:tc>
        <w:tc>
          <w:tcPr>
            <w:tcW w:w="421" w:type="pct"/>
            <w:vAlign w:val="top"/>
          </w:tcPr>
          <w:p>
            <w:pPr>
              <w:keepNext w:val="0"/>
              <w:keepLines w:val="0"/>
              <w:pageBreakBefore w:val="0"/>
              <w:kinsoku/>
              <w:wordWrap/>
              <w:overflowPunct/>
              <w:topLinePunct w:val="0"/>
              <w:bidi w:val="0"/>
              <w:spacing w:line="240" w:lineRule="atLeast"/>
              <w:jc w:val="center"/>
              <w:textAlignment w:val="auto"/>
              <w:rPr>
                <w:rFonts w:hint="eastAsia"/>
                <w:b w:val="0"/>
                <w:bCs w:val="0"/>
                <w:color w:val="auto"/>
                <w:sz w:val="22"/>
                <w:highlight w:val="none"/>
                <w:lang w:val="en-US" w:eastAsia="zh-CN"/>
              </w:rPr>
            </w:pPr>
          </w:p>
        </w:tc>
        <w:tc>
          <w:tcPr>
            <w:tcW w:w="774" w:type="pct"/>
            <w:vAlign w:val="top"/>
          </w:tcPr>
          <w:p>
            <w:pPr>
              <w:keepNext w:val="0"/>
              <w:keepLines w:val="0"/>
              <w:pageBreakBefore w:val="0"/>
              <w:kinsoku/>
              <w:wordWrap/>
              <w:overflowPunct/>
              <w:topLinePunct w:val="0"/>
              <w:bidi w:val="0"/>
              <w:spacing w:line="240" w:lineRule="atLeast"/>
              <w:jc w:val="center"/>
              <w:textAlignment w:val="auto"/>
              <w:rPr>
                <w:b w:val="0"/>
                <w:bCs w:val="0"/>
                <w:color w:val="auto"/>
                <w:sz w:val="22"/>
                <w:highlight w:val="none"/>
                <w:lang w:val="en-US" w:eastAsia="zh-CN"/>
              </w:rPr>
            </w:pPr>
          </w:p>
        </w:tc>
      </w:tr>
    </w:tbl>
    <w:p>
      <w:pPr>
        <w:pStyle w:val="18"/>
        <w:keepNext w:val="0"/>
        <w:keepLines w:val="0"/>
        <w:pageBreakBefore w:val="0"/>
        <w:widowControl w:val="0"/>
        <w:kinsoku/>
        <w:wordWrap/>
        <w:overflowPunct/>
        <w:topLinePunct w:val="0"/>
        <w:autoSpaceDE/>
        <w:autoSpaceDN/>
        <w:bidi w:val="0"/>
        <w:adjustRightInd/>
        <w:snapToGrid/>
        <w:spacing w:line="240" w:lineRule="atLeast"/>
        <w:ind w:left="0" w:leftChars="0" w:firstLine="440"/>
        <w:textAlignment w:val="auto"/>
        <w:rPr>
          <w:rFonts w:hint="default" w:ascii="Times New Roman" w:hAnsi="Times New Roman" w:eastAsia="宋体" w:cs="Times New Roman"/>
          <w:color w:val="auto"/>
          <w:sz w:val="22"/>
          <w:szCs w:val="22"/>
          <w:highlight w:val="none"/>
          <w:lang w:val="zh-CN"/>
        </w:rPr>
      </w:pPr>
      <w:r>
        <w:rPr>
          <w:rFonts w:hint="default" w:ascii="Times New Roman" w:hAnsi="Times New Roman" w:eastAsia="宋体" w:cs="Times New Roman"/>
          <w:color w:val="auto"/>
          <w:sz w:val="22"/>
          <w:szCs w:val="22"/>
          <w:highlight w:val="none"/>
          <w:lang w:val="zh-CN"/>
        </w:rPr>
        <w:t>注：1.本表可按同样格式扩展。</w:t>
      </w:r>
    </w:p>
    <w:p>
      <w:pPr>
        <w:pStyle w:val="18"/>
        <w:keepNext w:val="0"/>
        <w:keepLines w:val="0"/>
        <w:pageBreakBefore w:val="0"/>
        <w:widowControl w:val="0"/>
        <w:kinsoku/>
        <w:wordWrap/>
        <w:overflowPunct/>
        <w:topLinePunct w:val="0"/>
        <w:autoSpaceDE/>
        <w:autoSpaceDN/>
        <w:bidi w:val="0"/>
        <w:adjustRightInd/>
        <w:snapToGrid/>
        <w:spacing w:line="240" w:lineRule="atLeast"/>
        <w:ind w:left="0" w:leftChars="0" w:firstLine="440"/>
        <w:textAlignment w:val="auto"/>
        <w:rPr>
          <w:rFonts w:hint="default" w:ascii="Times New Roman" w:hAnsi="Times New Roman" w:eastAsia="宋体" w:cs="Times New Roman"/>
          <w:color w:val="auto"/>
          <w:sz w:val="22"/>
          <w:szCs w:val="22"/>
          <w:highlight w:val="none"/>
          <w:lang w:val="zh-CN"/>
        </w:rPr>
      </w:pPr>
      <w:r>
        <w:rPr>
          <w:rFonts w:hint="default" w:ascii="Times New Roman" w:hAnsi="Times New Roman" w:eastAsia="宋体" w:cs="Times New Roman"/>
          <w:color w:val="auto"/>
          <w:sz w:val="22"/>
          <w:szCs w:val="22"/>
          <w:highlight w:val="none"/>
          <w:lang w:val="zh-CN"/>
        </w:rPr>
        <w:t>2. “规格/品牌/型号”一栏填写全部或任一信息即可，若为定制类，应填写为“定制”。未填写或填写错误的，在技术要求偏离情</w:t>
      </w:r>
      <w:r>
        <w:rPr>
          <w:rFonts w:hint="eastAsia" w:ascii="Times New Roman" w:hAnsi="Times New Roman" w:cs="Times New Roman"/>
          <w:color w:val="auto"/>
          <w:sz w:val="22"/>
          <w:szCs w:val="22"/>
          <w:highlight w:val="none"/>
          <w:lang w:val="zh-CN"/>
        </w:rPr>
        <w:t>况下</w:t>
      </w:r>
      <w:r>
        <w:rPr>
          <w:rFonts w:hint="default" w:ascii="Times New Roman" w:hAnsi="Times New Roman" w:eastAsia="宋体" w:cs="Times New Roman"/>
          <w:color w:val="auto"/>
          <w:sz w:val="22"/>
          <w:szCs w:val="22"/>
          <w:highlight w:val="none"/>
          <w:lang w:val="zh-CN"/>
        </w:rPr>
        <w:t>按一般参数负偏离一项扣分处理。</w:t>
      </w:r>
    </w:p>
    <w:p>
      <w:pPr>
        <w:pStyle w:val="18"/>
        <w:keepNext w:val="0"/>
        <w:keepLines w:val="0"/>
        <w:pageBreakBefore w:val="0"/>
        <w:widowControl w:val="0"/>
        <w:kinsoku/>
        <w:wordWrap/>
        <w:overflowPunct/>
        <w:topLinePunct w:val="0"/>
        <w:autoSpaceDE/>
        <w:autoSpaceDN/>
        <w:bidi w:val="0"/>
        <w:adjustRightInd/>
        <w:snapToGrid/>
        <w:spacing w:line="240" w:lineRule="atLeast"/>
        <w:ind w:left="0" w:leftChars="0" w:firstLine="440"/>
        <w:textAlignment w:val="auto"/>
        <w:rPr>
          <w:rFonts w:hint="default" w:ascii="Times New Roman" w:hAnsi="Times New Roman" w:eastAsia="宋体" w:cs="Times New Roman"/>
          <w:color w:val="auto"/>
          <w:sz w:val="22"/>
          <w:szCs w:val="22"/>
          <w:highlight w:val="none"/>
          <w:lang w:val="zh-CN"/>
        </w:rPr>
      </w:pPr>
      <w:r>
        <w:rPr>
          <w:rFonts w:hint="default" w:ascii="Times New Roman" w:hAnsi="Times New Roman" w:eastAsia="宋体" w:cs="Times New Roman"/>
          <w:color w:val="auto"/>
          <w:sz w:val="22"/>
          <w:szCs w:val="22"/>
          <w:highlight w:val="none"/>
          <w:lang w:val="zh-CN"/>
        </w:rPr>
        <w:t>3.“原产地”是指该货物的实际生产加工地，而非品牌总公司所在地。</w:t>
      </w:r>
    </w:p>
    <w:p>
      <w:pPr>
        <w:pStyle w:val="18"/>
        <w:keepNext w:val="0"/>
        <w:keepLines w:val="0"/>
        <w:pageBreakBefore w:val="0"/>
        <w:widowControl w:val="0"/>
        <w:kinsoku/>
        <w:wordWrap/>
        <w:overflowPunct/>
        <w:topLinePunct w:val="0"/>
        <w:autoSpaceDE/>
        <w:autoSpaceDN/>
        <w:bidi w:val="0"/>
        <w:adjustRightInd/>
        <w:snapToGrid/>
        <w:spacing w:line="240" w:lineRule="atLeast"/>
        <w:ind w:left="0" w:leftChars="0" w:firstLine="440"/>
        <w:textAlignment w:val="auto"/>
        <w:rPr>
          <w:rFonts w:hint="default" w:ascii="Times New Roman" w:hAnsi="Times New Roman" w:eastAsia="宋体" w:cs="Times New Roman"/>
          <w:color w:val="auto"/>
          <w:sz w:val="22"/>
          <w:szCs w:val="22"/>
          <w:highlight w:val="none"/>
          <w:lang w:val="zh-CN"/>
        </w:rPr>
      </w:pPr>
      <w:r>
        <w:rPr>
          <w:rFonts w:hint="default" w:ascii="Times New Roman" w:hAnsi="Times New Roman" w:eastAsia="宋体" w:cs="Times New Roman"/>
          <w:color w:val="auto"/>
          <w:sz w:val="22"/>
          <w:szCs w:val="22"/>
          <w:highlight w:val="none"/>
          <w:lang w:val="zh-CN"/>
        </w:rPr>
        <w:t>4.所投货物均应填写制造商名称。</w:t>
      </w:r>
    </w:p>
    <w:p>
      <w:pPr>
        <w:pStyle w:val="18"/>
        <w:keepNext w:val="0"/>
        <w:keepLines w:val="0"/>
        <w:pageBreakBefore w:val="0"/>
        <w:widowControl w:val="0"/>
        <w:kinsoku/>
        <w:wordWrap/>
        <w:overflowPunct/>
        <w:topLinePunct w:val="0"/>
        <w:autoSpaceDE/>
        <w:autoSpaceDN/>
        <w:bidi w:val="0"/>
        <w:adjustRightInd/>
        <w:snapToGrid/>
        <w:spacing w:line="240" w:lineRule="atLeast"/>
        <w:ind w:left="0" w:leftChars="0" w:firstLine="440"/>
        <w:textAlignment w:val="auto"/>
        <w:rPr>
          <w:rFonts w:hint="default" w:ascii="Times New Roman" w:hAnsi="Times New Roman" w:eastAsia="宋体" w:cs="Times New Roman"/>
          <w:color w:val="auto"/>
          <w:sz w:val="22"/>
          <w:szCs w:val="22"/>
          <w:highlight w:val="none"/>
          <w:lang w:val="zh-CN"/>
        </w:rPr>
      </w:pPr>
      <w:r>
        <w:rPr>
          <w:rFonts w:hint="default" w:ascii="Times New Roman" w:hAnsi="Times New Roman" w:eastAsia="宋体" w:cs="Times New Roman"/>
          <w:color w:val="auto"/>
          <w:sz w:val="22"/>
          <w:szCs w:val="22"/>
          <w:highlight w:val="none"/>
          <w:lang w:val="zh-CN"/>
        </w:rPr>
        <w:t>5.以上分项报价表的投标总价应当与开标一览表的投标总价一致。</w:t>
      </w:r>
    </w:p>
    <w:p>
      <w:pPr>
        <w:pStyle w:val="18"/>
        <w:keepNext w:val="0"/>
        <w:keepLines w:val="0"/>
        <w:pageBreakBefore w:val="0"/>
        <w:widowControl w:val="0"/>
        <w:kinsoku/>
        <w:wordWrap/>
        <w:overflowPunct/>
        <w:topLinePunct w:val="0"/>
        <w:autoSpaceDE/>
        <w:autoSpaceDN/>
        <w:bidi w:val="0"/>
        <w:adjustRightInd/>
        <w:snapToGrid/>
        <w:spacing w:line="240" w:lineRule="atLeast"/>
        <w:ind w:left="0" w:leftChars="0" w:firstLine="440"/>
        <w:textAlignment w:val="auto"/>
        <w:rPr>
          <w:rFonts w:hint="default" w:ascii="Times New Roman" w:hAnsi="Times New Roman" w:eastAsia="宋体" w:cs="Times New Roman"/>
          <w:color w:val="auto"/>
          <w:sz w:val="22"/>
          <w:szCs w:val="22"/>
          <w:highlight w:val="none"/>
          <w:lang w:val="zh-CN"/>
        </w:rPr>
      </w:pPr>
      <w:r>
        <w:rPr>
          <w:rFonts w:hint="default" w:ascii="Times New Roman" w:hAnsi="Times New Roman" w:eastAsia="宋体" w:cs="Times New Roman"/>
          <w:color w:val="auto"/>
          <w:sz w:val="22"/>
          <w:szCs w:val="22"/>
          <w:highlight w:val="none"/>
          <w:lang w:val="zh-CN"/>
        </w:rPr>
        <w:t>6.单价、合价和投标总价为包干价，即三者均应包含货物的价款、包装、运输、装卸、安装、调试、技术指导、培训、咨询、服务、保险、税费、检测、验收合格交付使用之前以及技术和售后服务等其他各项有关费用。（若招标文件商务要求中对于报价有要求的以商务要求中的条款为准）</w:t>
      </w:r>
    </w:p>
    <w:p>
      <w:pPr>
        <w:pStyle w:val="18"/>
        <w:keepNext w:val="0"/>
        <w:keepLines w:val="0"/>
        <w:pageBreakBefore w:val="0"/>
        <w:widowControl w:val="0"/>
        <w:kinsoku/>
        <w:wordWrap/>
        <w:overflowPunct/>
        <w:topLinePunct w:val="0"/>
        <w:autoSpaceDE/>
        <w:autoSpaceDN/>
        <w:bidi w:val="0"/>
        <w:adjustRightInd/>
        <w:snapToGrid/>
        <w:spacing w:line="240" w:lineRule="atLeast"/>
        <w:ind w:left="0" w:leftChars="0" w:firstLine="440"/>
        <w:textAlignment w:val="auto"/>
        <w:rPr>
          <w:rFonts w:hint="eastAsia" w:ascii="Times New Roman" w:hAnsi="Times New Roman" w:cs="Times New Roman"/>
          <w:color w:val="auto"/>
          <w:sz w:val="22"/>
          <w:szCs w:val="22"/>
          <w:highlight w:val="none"/>
          <w:lang w:val="zh-CN"/>
        </w:rPr>
      </w:pPr>
      <w:r>
        <w:rPr>
          <w:rFonts w:hint="default" w:ascii="Times New Roman" w:hAnsi="Times New Roman" w:eastAsia="宋体" w:cs="Times New Roman"/>
          <w:color w:val="auto"/>
          <w:sz w:val="22"/>
          <w:szCs w:val="22"/>
          <w:highlight w:val="none"/>
          <w:lang w:val="zh-CN"/>
        </w:rPr>
        <w:t>7.所有价格应按“招标文件”中规定的货币单位填写；投标总价应为以上各分项价格之和</w:t>
      </w:r>
      <w:r>
        <w:rPr>
          <w:rFonts w:hint="eastAsia" w:ascii="Times New Roman" w:hAnsi="Times New Roman" w:cs="Times New Roman"/>
          <w:color w:val="auto"/>
          <w:sz w:val="22"/>
          <w:szCs w:val="22"/>
          <w:highlight w:val="none"/>
          <w:lang w:val="zh-CN"/>
        </w:rPr>
        <w:t>。</w:t>
      </w:r>
    </w:p>
    <w:p>
      <w:pPr>
        <w:pStyle w:val="18"/>
        <w:keepNext w:val="0"/>
        <w:keepLines w:val="0"/>
        <w:pageBreakBefore w:val="0"/>
        <w:widowControl w:val="0"/>
        <w:kinsoku/>
        <w:wordWrap/>
        <w:overflowPunct/>
        <w:topLinePunct w:val="0"/>
        <w:autoSpaceDE/>
        <w:autoSpaceDN/>
        <w:bidi w:val="0"/>
        <w:adjustRightInd/>
        <w:snapToGrid/>
        <w:spacing w:line="240" w:lineRule="atLeast"/>
        <w:ind w:left="0" w:leftChars="0" w:firstLine="440"/>
        <w:textAlignment w:val="auto"/>
        <w:rPr>
          <w:rFonts w:hint="default" w:ascii="Times New Roman" w:hAnsi="Times New Roman" w:eastAsia="宋体" w:cs="Times New Roman"/>
          <w:b/>
          <w:bCs/>
          <w:color w:val="auto"/>
          <w:sz w:val="22"/>
          <w:szCs w:val="22"/>
          <w:highlight w:val="none"/>
        </w:rPr>
      </w:pPr>
      <w:r>
        <w:rPr>
          <w:rFonts w:hint="eastAsia" w:ascii="Times New Roman" w:hAnsi="Times New Roman" w:cs="Times New Roman"/>
          <w:color w:val="auto"/>
          <w:sz w:val="22"/>
          <w:szCs w:val="22"/>
          <w:highlight w:val="none"/>
          <w:lang w:val="en-US" w:eastAsia="zh-CN"/>
        </w:rPr>
        <w:t>8.</w:t>
      </w:r>
      <w:r>
        <w:rPr>
          <w:rFonts w:hint="default" w:ascii="Times New Roman" w:hAnsi="Times New Roman" w:eastAsia="宋体" w:cs="Times New Roman"/>
          <w:b/>
          <w:bCs/>
          <w:color w:val="auto"/>
          <w:sz w:val="22"/>
          <w:szCs w:val="22"/>
          <w:highlight w:val="none"/>
        </w:rPr>
        <w:t>本项目预算金额为人民币</w:t>
      </w:r>
      <w:r>
        <w:rPr>
          <w:rFonts w:hint="eastAsia" w:ascii="Times New Roman" w:hAnsi="Times New Roman" w:cs="Times New Roman"/>
          <w:b/>
          <w:bCs/>
          <w:color w:val="auto"/>
          <w:sz w:val="22"/>
          <w:szCs w:val="22"/>
          <w:highlight w:val="none"/>
          <w:lang w:val="en-US" w:eastAsia="zh-CN"/>
        </w:rPr>
        <w:t>159800.</w:t>
      </w:r>
      <w:r>
        <w:rPr>
          <w:rFonts w:hint="default" w:ascii="Times New Roman" w:hAnsi="Times New Roman" w:eastAsia="宋体" w:cs="Times New Roman"/>
          <w:b/>
          <w:bCs/>
          <w:color w:val="auto"/>
          <w:sz w:val="22"/>
          <w:szCs w:val="22"/>
          <w:highlight w:val="none"/>
        </w:rPr>
        <w:t>00</w:t>
      </w:r>
      <w:r>
        <w:rPr>
          <w:rFonts w:hint="default" w:ascii="Times New Roman" w:hAnsi="Times New Roman" w:eastAsia="宋体" w:cs="Times New Roman"/>
          <w:b/>
          <w:bCs/>
          <w:color w:val="auto"/>
          <w:sz w:val="22"/>
          <w:szCs w:val="22"/>
          <w:highlight w:val="none"/>
          <w:lang w:eastAsia="zh-CN"/>
        </w:rPr>
        <w:t>元，最高限价为人民币</w:t>
      </w:r>
      <w:r>
        <w:rPr>
          <w:rFonts w:hint="eastAsia" w:ascii="Times New Roman" w:hAnsi="Times New Roman" w:cs="Times New Roman"/>
          <w:b/>
          <w:bCs/>
          <w:color w:val="auto"/>
          <w:sz w:val="22"/>
          <w:szCs w:val="22"/>
          <w:highlight w:val="none"/>
          <w:lang w:val="en-US" w:eastAsia="zh-CN"/>
        </w:rPr>
        <w:t>159800</w:t>
      </w:r>
      <w:r>
        <w:rPr>
          <w:rFonts w:hint="default" w:ascii="Times New Roman" w:hAnsi="Times New Roman" w:eastAsia="宋体" w:cs="Times New Roman"/>
          <w:b/>
          <w:bCs/>
          <w:color w:val="auto"/>
          <w:sz w:val="22"/>
          <w:szCs w:val="22"/>
          <w:highlight w:val="none"/>
        </w:rPr>
        <w:t>.00</w:t>
      </w:r>
      <w:r>
        <w:rPr>
          <w:rFonts w:hint="default" w:ascii="Times New Roman" w:hAnsi="Times New Roman" w:eastAsia="宋体" w:cs="Times New Roman"/>
          <w:b/>
          <w:bCs/>
          <w:color w:val="auto"/>
          <w:sz w:val="22"/>
          <w:szCs w:val="22"/>
          <w:highlight w:val="none"/>
          <w:lang w:eastAsia="zh-CN"/>
        </w:rPr>
        <w:t>元</w:t>
      </w:r>
      <w:r>
        <w:rPr>
          <w:rFonts w:hint="default" w:ascii="Times New Roman" w:hAnsi="Times New Roman" w:eastAsia="宋体" w:cs="Times New Roman"/>
          <w:b/>
          <w:bCs/>
          <w:color w:val="auto"/>
          <w:sz w:val="22"/>
          <w:szCs w:val="22"/>
          <w:highlight w:val="none"/>
        </w:rPr>
        <w:t>，超出最高限价</w:t>
      </w:r>
      <w:r>
        <w:rPr>
          <w:rFonts w:hint="default" w:ascii="Times New Roman" w:hAnsi="Times New Roman" w:eastAsia="宋体" w:cs="Times New Roman"/>
          <w:b/>
          <w:bCs/>
          <w:color w:val="auto"/>
          <w:sz w:val="22"/>
          <w:szCs w:val="22"/>
          <w:highlight w:val="none"/>
          <w:lang w:eastAsia="zh-CN"/>
        </w:rPr>
        <w:t>、单价限价</w:t>
      </w:r>
      <w:r>
        <w:rPr>
          <w:rFonts w:hint="default" w:ascii="Times New Roman" w:hAnsi="Times New Roman" w:eastAsia="宋体" w:cs="Times New Roman"/>
          <w:b/>
          <w:bCs/>
          <w:color w:val="auto"/>
          <w:sz w:val="22"/>
          <w:szCs w:val="22"/>
          <w:highlight w:val="none"/>
        </w:rPr>
        <w:t>的投标将导致投标无效。</w:t>
      </w:r>
    </w:p>
    <w:p>
      <w:pPr>
        <w:keepNext w:val="0"/>
        <w:keepLines w:val="0"/>
        <w:pageBreakBefore w:val="0"/>
        <w:widowControl w:val="0"/>
        <w:kinsoku/>
        <w:wordWrap/>
        <w:overflowPunct/>
        <w:topLinePunct w:val="0"/>
        <w:autoSpaceDE/>
        <w:autoSpaceDN/>
        <w:bidi w:val="0"/>
        <w:adjustRightInd/>
        <w:snapToGrid/>
        <w:spacing w:line="240" w:lineRule="atLeast"/>
        <w:ind w:right="2100" w:rightChars="1000"/>
        <w:jc w:val="left"/>
        <w:textAlignment w:val="auto"/>
        <w:rPr>
          <w:rFonts w:hint="default" w:ascii="Times New Roman" w:hAnsi="Times New Roman" w:eastAsia="宋体" w:cs="Times New Roman"/>
          <w:snapToGrid w:val="0"/>
          <w:color w:val="auto"/>
          <w:kern w:val="0"/>
          <w:sz w:val="22"/>
          <w:szCs w:val="22"/>
          <w:highlight w:val="none"/>
        </w:rPr>
      </w:pPr>
      <w:r>
        <w:rPr>
          <w:rFonts w:hint="default" w:ascii="Times New Roman" w:hAnsi="Times New Roman" w:eastAsia="宋体" w:cs="Times New Roman"/>
          <w:snapToGrid w:val="0"/>
          <w:color w:val="auto"/>
          <w:kern w:val="0"/>
          <w:sz w:val="22"/>
          <w:szCs w:val="22"/>
          <w:highlight w:val="none"/>
          <w:lang w:val="zh-CN"/>
        </w:rPr>
        <w:t>法定代表人（</w:t>
      </w:r>
      <w:r>
        <w:rPr>
          <w:rFonts w:hint="default" w:ascii="Times New Roman" w:hAnsi="Times New Roman" w:eastAsia="宋体" w:cs="Times New Roman"/>
          <w:snapToGrid w:val="0"/>
          <w:color w:val="auto"/>
          <w:kern w:val="0"/>
          <w:sz w:val="22"/>
          <w:szCs w:val="22"/>
          <w:highlight w:val="none"/>
        </w:rPr>
        <w:t>单位负责人</w:t>
      </w:r>
      <w:r>
        <w:rPr>
          <w:rFonts w:hint="default" w:ascii="Times New Roman" w:hAnsi="Times New Roman" w:eastAsia="宋体" w:cs="Times New Roman"/>
          <w:snapToGrid w:val="0"/>
          <w:color w:val="auto"/>
          <w:kern w:val="0"/>
          <w:sz w:val="22"/>
          <w:szCs w:val="22"/>
          <w:highlight w:val="none"/>
          <w:lang w:val="zh-CN"/>
        </w:rPr>
        <w:t>）或其授权代表（签字</w:t>
      </w:r>
      <w:r>
        <w:rPr>
          <w:rFonts w:hint="default" w:ascii="Times New Roman" w:hAnsi="Times New Roman" w:eastAsia="宋体" w:cs="Times New Roman"/>
          <w:snapToGrid w:val="0"/>
          <w:color w:val="auto"/>
          <w:kern w:val="0"/>
          <w:sz w:val="22"/>
          <w:szCs w:val="22"/>
          <w:highlight w:val="none"/>
        </w:rPr>
        <w:t>或盖章</w:t>
      </w:r>
      <w:r>
        <w:rPr>
          <w:rFonts w:hint="default" w:ascii="Times New Roman" w:hAnsi="Times New Roman" w:eastAsia="宋体" w:cs="Times New Roman"/>
          <w:snapToGrid w:val="0"/>
          <w:color w:val="auto"/>
          <w:kern w:val="0"/>
          <w:sz w:val="22"/>
          <w:szCs w:val="22"/>
          <w:highlight w:val="none"/>
          <w:lang w:val="zh-CN"/>
        </w:rPr>
        <w:t>）</w:t>
      </w:r>
      <w:r>
        <w:rPr>
          <w:rFonts w:hint="default" w:ascii="Times New Roman" w:hAnsi="Times New Roman" w:eastAsia="宋体" w:cs="Times New Roman"/>
          <w:snapToGrid w:val="0"/>
          <w:color w:val="auto"/>
          <w:kern w:val="0"/>
          <w:sz w:val="22"/>
          <w:szCs w:val="22"/>
          <w:highlight w:val="none"/>
        </w:rPr>
        <w:t xml:space="preserve">：                   </w:t>
      </w:r>
    </w:p>
    <w:p>
      <w:pPr>
        <w:keepNext w:val="0"/>
        <w:keepLines w:val="0"/>
        <w:pageBreakBefore w:val="0"/>
        <w:widowControl w:val="0"/>
        <w:kinsoku/>
        <w:wordWrap/>
        <w:overflowPunct/>
        <w:topLinePunct w:val="0"/>
        <w:autoSpaceDE/>
        <w:autoSpaceDN/>
        <w:bidi w:val="0"/>
        <w:adjustRightInd/>
        <w:snapToGrid/>
        <w:spacing w:line="240" w:lineRule="atLeast"/>
        <w:ind w:right="2100" w:rightChars="1000"/>
        <w:jc w:val="left"/>
        <w:textAlignment w:val="auto"/>
        <w:rPr>
          <w:rFonts w:hint="default" w:ascii="Times New Roman" w:hAnsi="Times New Roman" w:eastAsia="宋体" w:cs="Times New Roman"/>
          <w:snapToGrid w:val="0"/>
          <w:color w:val="auto"/>
          <w:kern w:val="0"/>
          <w:sz w:val="22"/>
          <w:szCs w:val="22"/>
          <w:highlight w:val="none"/>
        </w:rPr>
      </w:pPr>
      <w:r>
        <w:rPr>
          <w:rFonts w:hint="default" w:ascii="Times New Roman" w:hAnsi="Times New Roman" w:eastAsia="宋体" w:cs="Times New Roman"/>
          <w:snapToGrid w:val="0"/>
          <w:color w:val="auto"/>
          <w:kern w:val="0"/>
          <w:sz w:val="22"/>
          <w:szCs w:val="22"/>
          <w:highlight w:val="none"/>
        </w:rPr>
        <w:t xml:space="preserve">投标人名称（盖章）：                        </w:t>
      </w:r>
    </w:p>
    <w:p>
      <w:pPr>
        <w:keepNext w:val="0"/>
        <w:keepLines w:val="0"/>
        <w:pageBreakBefore w:val="0"/>
        <w:widowControl w:val="0"/>
        <w:kinsoku/>
        <w:wordWrap/>
        <w:overflowPunct/>
        <w:topLinePunct w:val="0"/>
        <w:autoSpaceDE/>
        <w:autoSpaceDN/>
        <w:bidi w:val="0"/>
        <w:adjustRightInd/>
        <w:snapToGrid/>
        <w:spacing w:line="240" w:lineRule="atLeast"/>
        <w:ind w:right="2100" w:rightChars="1000"/>
        <w:jc w:val="left"/>
        <w:textAlignment w:val="auto"/>
        <w:rPr>
          <w:rFonts w:ascii="Arial" w:hAnsi="Arial"/>
          <w:b/>
          <w:color w:val="auto"/>
          <w:kern w:val="0"/>
          <w:sz w:val="24"/>
          <w:szCs w:val="20"/>
          <w:highlight w:val="none"/>
        </w:rPr>
      </w:pPr>
      <w:r>
        <w:rPr>
          <w:rFonts w:hint="default" w:ascii="Times New Roman" w:hAnsi="Times New Roman" w:eastAsia="宋体" w:cs="Times New Roman"/>
          <w:snapToGrid w:val="0"/>
          <w:color w:val="auto"/>
          <w:kern w:val="0"/>
          <w:sz w:val="22"/>
          <w:szCs w:val="22"/>
          <w:highlight w:val="none"/>
        </w:rPr>
        <w:t>日期：   年   月   日</w:t>
      </w:r>
    </w:p>
    <w:p>
      <w:pPr>
        <w:keepNext w:val="0"/>
        <w:keepLines w:val="0"/>
        <w:pageBreakBefore w:val="0"/>
        <w:widowControl w:val="0"/>
        <w:kinsoku/>
        <w:wordWrap/>
        <w:overflowPunct/>
        <w:topLinePunct w:val="0"/>
        <w:autoSpaceDE/>
        <w:autoSpaceDN/>
        <w:bidi w:val="0"/>
        <w:adjustRightInd/>
        <w:snapToGrid/>
        <w:spacing w:line="560" w:lineRule="exact"/>
        <w:ind w:right="2100" w:rightChars="1000"/>
        <w:jc w:val="left"/>
        <w:textAlignment w:val="auto"/>
        <w:rPr>
          <w:rFonts w:ascii="Arial" w:hAnsi="Arial"/>
          <w:b/>
          <w:color w:val="auto"/>
          <w:kern w:val="0"/>
          <w:sz w:val="24"/>
          <w:szCs w:val="20"/>
          <w:highlight w:val="none"/>
        </w:rPr>
      </w:pPr>
    </w:p>
    <w:p>
      <w:pPr>
        <w:numPr>
          <w:ilvl w:val="0"/>
          <w:numId w:val="0"/>
        </w:numPr>
        <w:tabs>
          <w:tab w:val="left" w:pos="0"/>
        </w:tabs>
        <w:spacing w:line="560" w:lineRule="exact"/>
        <w:ind w:left="0" w:leftChars="0" w:firstLine="420" w:firstLineChars="0"/>
        <w:jc w:val="center"/>
        <w:outlineLvl w:val="2"/>
        <w:rPr>
          <w:rFonts w:ascii="Arial" w:hAnsi="Arial"/>
          <w:b/>
          <w:color w:val="auto"/>
          <w:kern w:val="0"/>
          <w:sz w:val="22"/>
          <w:highlight w:val="none"/>
        </w:rPr>
      </w:pPr>
      <w:r>
        <w:rPr>
          <w:rFonts w:hint="eastAsia" w:ascii="Arial" w:hAnsi="Arial" w:eastAsia="宋体" w:cs="黑体"/>
          <w:b/>
          <w:bCs/>
          <w:color w:val="auto"/>
          <w:kern w:val="0"/>
          <w:sz w:val="22"/>
          <w:szCs w:val="24"/>
          <w:highlight w:val="none"/>
          <w:lang w:val="en-US" w:eastAsia="zh-CN" w:bidi="ar-SA"/>
        </w:rPr>
        <w:t>（一）</w:t>
      </w:r>
      <w:r>
        <w:rPr>
          <w:rFonts w:hint="eastAsia" w:ascii="Arial" w:hAnsi="Arial"/>
          <w:b/>
          <w:color w:val="auto"/>
          <w:kern w:val="0"/>
          <w:sz w:val="22"/>
          <w:highlight w:val="none"/>
        </w:rPr>
        <w:t>核心产品的品牌情况</w:t>
      </w:r>
    </w:p>
    <w:p>
      <w:pPr>
        <w:spacing w:line="560" w:lineRule="exact"/>
        <w:ind w:firstLine="422" w:firstLineChars="200"/>
        <w:rPr>
          <w:rFonts w:ascii="宋体"/>
          <w:b/>
          <w:color w:val="auto"/>
          <w:highlight w:val="none"/>
        </w:rPr>
      </w:pPr>
    </w:p>
    <w:p>
      <w:pPr>
        <w:spacing w:line="560" w:lineRule="exact"/>
        <w:ind w:firstLine="663" w:firstLineChars="300"/>
        <w:rPr>
          <w:rFonts w:ascii="宋体"/>
          <w:b/>
          <w:color w:val="auto"/>
          <w:sz w:val="22"/>
          <w:highlight w:val="none"/>
        </w:rPr>
      </w:pPr>
      <w:r>
        <w:rPr>
          <w:rFonts w:hint="eastAsia"/>
          <w:b/>
          <w:color w:val="auto"/>
          <w:sz w:val="22"/>
          <w:highlight w:val="none"/>
        </w:rPr>
        <w:t>我公司所投核心产品的品牌为：</w:t>
      </w:r>
      <w:r>
        <w:rPr>
          <w:rFonts w:hint="eastAsia"/>
          <w:b/>
          <w:color w:val="auto"/>
          <w:sz w:val="22"/>
          <w:highlight w:val="none"/>
          <w:u w:val="single"/>
        </w:rPr>
        <w:t xml:space="preserve">    </w:t>
      </w:r>
      <w:r>
        <w:rPr>
          <w:rFonts w:hint="eastAsia"/>
          <w:b/>
          <w:color w:val="auto"/>
          <w:sz w:val="22"/>
          <w:highlight w:val="none"/>
          <w:u w:val="single"/>
          <w:lang w:val="en-US" w:eastAsia="zh-CN"/>
        </w:rPr>
        <w:t xml:space="preserve">   </w:t>
      </w:r>
      <w:r>
        <w:rPr>
          <w:rFonts w:hint="eastAsia"/>
          <w:b/>
          <w:color w:val="auto"/>
          <w:sz w:val="22"/>
          <w:highlight w:val="none"/>
          <w:u w:val="single"/>
        </w:rPr>
        <w:t xml:space="preserve">   </w:t>
      </w:r>
      <w:r>
        <w:rPr>
          <w:rFonts w:hint="eastAsia"/>
          <w:b/>
          <w:color w:val="auto"/>
          <w:sz w:val="22"/>
          <w:highlight w:val="none"/>
        </w:rPr>
        <w:t xml:space="preserve"> 。</w:t>
      </w:r>
    </w:p>
    <w:p>
      <w:pPr>
        <w:spacing w:line="560" w:lineRule="exact"/>
        <w:ind w:firstLine="663" w:firstLineChars="300"/>
        <w:rPr>
          <w:rFonts w:hint="default"/>
          <w:b/>
          <w:color w:val="auto"/>
          <w:sz w:val="22"/>
          <w:highlight w:val="none"/>
          <w:lang w:val="en-US"/>
        </w:rPr>
      </w:pPr>
      <w:r>
        <w:rPr>
          <w:rFonts w:hint="eastAsia"/>
          <w:b/>
          <w:color w:val="auto"/>
          <w:sz w:val="22"/>
          <w:highlight w:val="none"/>
        </w:rPr>
        <w:t>本项目核心</w:t>
      </w:r>
      <w:r>
        <w:rPr>
          <w:rFonts w:hint="eastAsia"/>
          <w:b/>
          <w:color w:val="auto"/>
          <w:sz w:val="22"/>
          <w:highlight w:val="none"/>
          <w:lang w:val="en-US" w:eastAsia="zh-CN"/>
        </w:rPr>
        <w:t>产品为：XXXXXXX</w:t>
      </w:r>
    </w:p>
    <w:p>
      <w:pPr>
        <w:spacing w:line="560" w:lineRule="exact"/>
        <w:ind w:firstLine="442" w:firstLineChars="200"/>
        <w:rPr>
          <w:rFonts w:ascii="宋体"/>
          <w:b/>
          <w:color w:val="auto"/>
          <w:sz w:val="22"/>
          <w:highlight w:val="none"/>
        </w:rPr>
      </w:pPr>
    </w:p>
    <w:p>
      <w:pPr>
        <w:spacing w:line="560" w:lineRule="exact"/>
        <w:ind w:firstLine="660" w:firstLineChars="300"/>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备注：招标文件未列明核心产品的，无需填写该项。</w:t>
      </w:r>
    </w:p>
    <w:p>
      <w:pPr>
        <w:numPr>
          <w:ilvl w:val="0"/>
          <w:numId w:val="0"/>
        </w:numPr>
        <w:tabs>
          <w:tab w:val="left" w:pos="0"/>
        </w:tabs>
        <w:spacing w:line="560" w:lineRule="exact"/>
        <w:ind w:left="0" w:leftChars="0" w:firstLine="420" w:firstLineChars="0"/>
        <w:jc w:val="center"/>
        <w:outlineLvl w:val="2"/>
        <w:rPr>
          <w:color w:val="auto"/>
          <w:highlight w:val="none"/>
        </w:rPr>
      </w:pPr>
      <w:r>
        <w:rPr>
          <w:rFonts w:hint="eastAsia" w:ascii="Calibri" w:hAnsi="Calibri" w:eastAsia="宋体" w:cs="黑体"/>
          <w:b/>
          <w:bCs/>
          <w:color w:val="auto"/>
          <w:kern w:val="2"/>
          <w:sz w:val="21"/>
          <w:szCs w:val="24"/>
          <w:highlight w:val="none"/>
          <w:lang w:val="en-US" w:eastAsia="zh-CN" w:bidi="ar-SA"/>
        </w:rPr>
        <w:t>（二）</w:t>
      </w:r>
      <w:r>
        <w:rPr>
          <w:rFonts w:hint="eastAsia" w:ascii="Arial" w:hAnsi="Arial"/>
          <w:b/>
          <w:color w:val="auto"/>
          <w:kern w:val="0"/>
          <w:sz w:val="22"/>
          <w:highlight w:val="none"/>
        </w:rPr>
        <w:t>可选配件报价清单（不包括在总报价内）</w:t>
      </w:r>
    </w:p>
    <w:p>
      <w:pPr>
        <w:pStyle w:val="11"/>
        <w:keepLines w:val="0"/>
        <w:pageBreakBefore w:val="0"/>
        <w:kinsoku/>
        <w:wordWrap/>
        <w:overflowPunct/>
        <w:topLinePunct w:val="0"/>
        <w:bidi w:val="0"/>
        <w:spacing w:line="560" w:lineRule="exact"/>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注：格式可以参照《分项报价表》表格，并提供相应的品牌/规格/型号、原产地、制造商信息（没有品牌、型号的，用“定制”描述即可）、单价等详细信息</w:t>
      </w:r>
    </w:p>
    <w:p>
      <w:pPr>
        <w:widowControl/>
        <w:spacing w:line="560" w:lineRule="exact"/>
        <w:jc w:val="center"/>
        <w:textAlignment w:val="center"/>
        <w:rPr>
          <w:rFonts w:hint="eastAsia" w:ascii="仿宋" w:hAnsi="仿宋" w:eastAsia="仿宋" w:cs="仿宋"/>
          <w:b/>
          <w:color w:val="auto"/>
          <w:kern w:val="0"/>
          <w:sz w:val="44"/>
          <w:szCs w:val="44"/>
          <w:highlight w:val="none"/>
        </w:rPr>
      </w:pPr>
    </w:p>
    <w:p>
      <w:pPr>
        <w:widowControl/>
        <w:spacing w:line="560" w:lineRule="exact"/>
        <w:jc w:val="center"/>
        <w:textAlignment w:val="center"/>
        <w:rPr>
          <w:rFonts w:hint="eastAsia" w:ascii="仿宋" w:hAnsi="仿宋" w:eastAsia="仿宋" w:cs="仿宋"/>
          <w:b/>
          <w:color w:val="auto"/>
          <w:kern w:val="0"/>
          <w:sz w:val="44"/>
          <w:szCs w:val="44"/>
          <w:highlight w:val="none"/>
        </w:rPr>
      </w:pPr>
    </w:p>
    <w:p>
      <w:pPr>
        <w:widowControl/>
        <w:spacing w:line="560" w:lineRule="exact"/>
        <w:jc w:val="center"/>
        <w:textAlignment w:val="center"/>
        <w:rPr>
          <w:rFonts w:hint="eastAsia" w:ascii="仿宋" w:hAnsi="仿宋" w:eastAsia="仿宋" w:cs="仿宋"/>
          <w:b/>
          <w:color w:val="auto"/>
          <w:kern w:val="0"/>
          <w:sz w:val="44"/>
          <w:szCs w:val="44"/>
          <w:highlight w:val="none"/>
        </w:rPr>
      </w:pPr>
    </w:p>
    <w:p>
      <w:pPr>
        <w:widowControl/>
        <w:spacing w:line="560" w:lineRule="exact"/>
        <w:jc w:val="center"/>
        <w:textAlignment w:val="center"/>
        <w:rPr>
          <w:rFonts w:hint="eastAsia" w:ascii="仿宋" w:hAnsi="仿宋" w:eastAsia="仿宋" w:cs="仿宋"/>
          <w:b/>
          <w:color w:val="auto"/>
          <w:kern w:val="0"/>
          <w:sz w:val="44"/>
          <w:szCs w:val="44"/>
          <w:highlight w:val="none"/>
        </w:rPr>
      </w:pPr>
    </w:p>
    <w:p>
      <w:pPr>
        <w:widowControl/>
        <w:spacing w:line="560" w:lineRule="exact"/>
        <w:jc w:val="center"/>
        <w:textAlignment w:val="center"/>
        <w:rPr>
          <w:rFonts w:hint="eastAsia" w:ascii="仿宋" w:hAnsi="仿宋" w:eastAsia="仿宋" w:cs="仿宋"/>
          <w:b/>
          <w:color w:val="auto"/>
          <w:kern w:val="0"/>
          <w:sz w:val="44"/>
          <w:szCs w:val="44"/>
          <w:highlight w:val="none"/>
        </w:rPr>
      </w:pPr>
    </w:p>
    <w:p>
      <w:pPr>
        <w:widowControl/>
        <w:spacing w:line="560" w:lineRule="exact"/>
        <w:jc w:val="center"/>
        <w:textAlignment w:val="center"/>
        <w:rPr>
          <w:rFonts w:hint="eastAsia" w:ascii="仿宋" w:hAnsi="仿宋" w:eastAsia="仿宋" w:cs="仿宋"/>
          <w:b/>
          <w:color w:val="auto"/>
          <w:kern w:val="0"/>
          <w:sz w:val="44"/>
          <w:szCs w:val="44"/>
          <w:highlight w:val="none"/>
        </w:rPr>
      </w:pPr>
    </w:p>
    <w:p>
      <w:pPr>
        <w:widowControl/>
        <w:spacing w:line="560" w:lineRule="exact"/>
        <w:jc w:val="center"/>
        <w:textAlignment w:val="center"/>
        <w:rPr>
          <w:rFonts w:hint="eastAsia" w:ascii="仿宋" w:hAnsi="仿宋" w:eastAsia="仿宋" w:cs="仿宋"/>
          <w:b/>
          <w:color w:val="auto"/>
          <w:kern w:val="0"/>
          <w:sz w:val="44"/>
          <w:szCs w:val="44"/>
          <w:highlight w:val="none"/>
        </w:rPr>
      </w:pPr>
    </w:p>
    <w:p>
      <w:pPr>
        <w:widowControl/>
        <w:spacing w:line="560" w:lineRule="exact"/>
        <w:jc w:val="center"/>
        <w:textAlignment w:val="center"/>
        <w:rPr>
          <w:rFonts w:hint="eastAsia" w:ascii="仿宋" w:hAnsi="仿宋" w:eastAsia="仿宋" w:cs="仿宋"/>
          <w:b/>
          <w:color w:val="auto"/>
          <w:kern w:val="0"/>
          <w:sz w:val="44"/>
          <w:szCs w:val="44"/>
          <w:highlight w:val="none"/>
        </w:rPr>
      </w:pPr>
      <w:r>
        <w:rPr>
          <w:rFonts w:hint="eastAsia" w:ascii="仿宋" w:hAnsi="仿宋" w:eastAsia="仿宋" w:cs="仿宋"/>
          <w:b/>
          <w:color w:val="auto"/>
          <w:kern w:val="0"/>
          <w:sz w:val="44"/>
          <w:szCs w:val="44"/>
          <w:highlight w:val="none"/>
        </w:rPr>
        <w:t>实质性条款响应情况表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6031"/>
        <w:gridCol w:w="2565"/>
        <w:gridCol w:w="2402"/>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91" w:type="pct"/>
            <w:vAlign w:val="center"/>
          </w:tcPr>
          <w:p>
            <w:pPr>
              <w:keepNext w:val="0"/>
              <w:keepLines w:val="0"/>
              <w:widowControl/>
              <w:suppressLineNumbers w:val="0"/>
              <w:shd w:val="clear"/>
              <w:snapToGrid w:val="0"/>
              <w:spacing w:line="560" w:lineRule="exact"/>
              <w:ind w:left="0" w:leftChars="0" w:right="0" w:rightChars="0" w:firstLine="0" w:firstLineChars="0"/>
              <w:jc w:val="center"/>
              <w:textAlignment w:val="center"/>
              <w:rPr>
                <w:rFonts w:hint="eastAsia" w:ascii="宋体" w:hAnsi="宋体" w:eastAsia="宋体" w:cs="宋体"/>
                <w:b/>
                <w:i w:val="0"/>
                <w:iCs w:val="0"/>
                <w:color w:val="auto"/>
                <w:kern w:val="0"/>
                <w:sz w:val="24"/>
                <w:szCs w:val="24"/>
                <w:highlight w:val="none"/>
                <w:u w:val="none"/>
                <w:lang w:val="en-US" w:eastAsia="zh-CN" w:bidi="ar"/>
              </w:rPr>
            </w:pPr>
            <w:r>
              <w:rPr>
                <w:rFonts w:hint="eastAsia" w:ascii="宋体" w:hAnsi="宋体" w:eastAsia="宋体" w:cs="宋体"/>
                <w:b/>
                <w:i w:val="0"/>
                <w:iCs w:val="0"/>
                <w:color w:val="auto"/>
                <w:kern w:val="0"/>
                <w:sz w:val="24"/>
                <w:szCs w:val="24"/>
                <w:highlight w:val="none"/>
                <w:u w:val="none"/>
                <w:lang w:val="en-US" w:eastAsia="zh-CN" w:bidi="ar"/>
              </w:rPr>
              <w:t>序号</w:t>
            </w:r>
          </w:p>
        </w:tc>
        <w:tc>
          <w:tcPr>
            <w:tcW w:w="2325" w:type="pct"/>
            <w:vAlign w:val="center"/>
          </w:tcPr>
          <w:p>
            <w:pPr>
              <w:keepNext w:val="0"/>
              <w:keepLines w:val="0"/>
              <w:widowControl/>
              <w:suppressLineNumbers w:val="0"/>
              <w:shd w:val="clear"/>
              <w:snapToGrid w:val="0"/>
              <w:spacing w:line="560" w:lineRule="exact"/>
              <w:ind w:left="0" w:leftChars="0" w:right="0" w:rightChars="0" w:firstLine="0" w:firstLineChars="0"/>
              <w:jc w:val="center"/>
              <w:textAlignment w:val="center"/>
              <w:rPr>
                <w:rFonts w:hint="eastAsia" w:ascii="宋体" w:hAnsi="宋体" w:eastAsia="宋体" w:cs="宋体"/>
                <w:b/>
                <w:i w:val="0"/>
                <w:iCs w:val="0"/>
                <w:color w:val="auto"/>
                <w:kern w:val="0"/>
                <w:sz w:val="24"/>
                <w:szCs w:val="24"/>
                <w:highlight w:val="none"/>
                <w:u w:val="none"/>
                <w:lang w:val="en-US" w:eastAsia="zh-CN" w:bidi="ar"/>
              </w:rPr>
            </w:pPr>
            <w:r>
              <w:rPr>
                <w:rFonts w:hint="eastAsia" w:ascii="宋体" w:hAnsi="宋体" w:eastAsia="宋体" w:cs="宋体"/>
                <w:b/>
                <w:i w:val="0"/>
                <w:iCs w:val="0"/>
                <w:color w:val="auto"/>
                <w:kern w:val="0"/>
                <w:sz w:val="24"/>
                <w:szCs w:val="24"/>
                <w:highlight w:val="none"/>
                <w:u w:val="none"/>
                <w:lang w:val="en-US" w:eastAsia="zh-CN" w:bidi="ar"/>
              </w:rPr>
              <w:t>实质性条款具体内容</w:t>
            </w:r>
          </w:p>
        </w:tc>
        <w:tc>
          <w:tcPr>
            <w:tcW w:w="989" w:type="pct"/>
            <w:vAlign w:val="center"/>
          </w:tcPr>
          <w:p>
            <w:pPr>
              <w:keepNext w:val="0"/>
              <w:keepLines w:val="0"/>
              <w:widowControl/>
              <w:suppressLineNumbers w:val="0"/>
              <w:shd w:val="clear"/>
              <w:snapToGrid w:val="0"/>
              <w:spacing w:line="560" w:lineRule="exact"/>
              <w:ind w:left="0" w:leftChars="0" w:right="0" w:rightChars="0" w:firstLine="0" w:firstLineChars="0"/>
              <w:jc w:val="center"/>
              <w:textAlignment w:val="center"/>
              <w:rPr>
                <w:rFonts w:hint="eastAsia" w:ascii="宋体" w:hAnsi="宋体" w:eastAsia="宋体" w:cs="宋体"/>
                <w:b/>
                <w:i w:val="0"/>
                <w:iCs w:val="0"/>
                <w:color w:val="auto"/>
                <w:kern w:val="0"/>
                <w:sz w:val="24"/>
                <w:szCs w:val="24"/>
                <w:highlight w:val="none"/>
                <w:u w:val="none"/>
                <w:lang w:val="en-US" w:eastAsia="zh-CN" w:bidi="ar"/>
              </w:rPr>
            </w:pPr>
            <w:r>
              <w:rPr>
                <w:rFonts w:hint="eastAsia" w:ascii="宋体" w:hAnsi="宋体" w:eastAsia="宋体" w:cs="宋体"/>
                <w:b/>
                <w:i w:val="0"/>
                <w:iCs w:val="0"/>
                <w:color w:val="auto"/>
                <w:kern w:val="0"/>
                <w:sz w:val="24"/>
                <w:szCs w:val="24"/>
                <w:highlight w:val="none"/>
                <w:u w:val="none"/>
                <w:lang w:val="en-US" w:eastAsia="zh-CN" w:bidi="ar"/>
              </w:rPr>
              <w:t>投标响应</w:t>
            </w:r>
          </w:p>
        </w:tc>
        <w:tc>
          <w:tcPr>
            <w:tcW w:w="926" w:type="pct"/>
            <w:vAlign w:val="center"/>
          </w:tcPr>
          <w:p>
            <w:pPr>
              <w:keepNext w:val="0"/>
              <w:keepLines w:val="0"/>
              <w:widowControl/>
              <w:suppressLineNumbers w:val="0"/>
              <w:shd w:val="clear"/>
              <w:snapToGrid w:val="0"/>
              <w:spacing w:line="560" w:lineRule="exact"/>
              <w:ind w:left="0" w:leftChars="0" w:right="0" w:rightChars="0" w:firstLine="0" w:firstLineChars="0"/>
              <w:jc w:val="center"/>
              <w:textAlignment w:val="center"/>
              <w:rPr>
                <w:rFonts w:hint="eastAsia" w:ascii="宋体" w:hAnsi="宋体" w:eastAsia="宋体" w:cs="宋体"/>
                <w:b/>
                <w:i w:val="0"/>
                <w:iCs w:val="0"/>
                <w:color w:val="auto"/>
                <w:kern w:val="0"/>
                <w:sz w:val="24"/>
                <w:szCs w:val="24"/>
                <w:highlight w:val="none"/>
                <w:u w:val="none"/>
                <w:lang w:val="en-US" w:eastAsia="zh-CN" w:bidi="ar"/>
              </w:rPr>
            </w:pPr>
            <w:r>
              <w:rPr>
                <w:rFonts w:hint="eastAsia" w:ascii="宋体" w:hAnsi="宋体" w:eastAsia="宋体" w:cs="宋体"/>
                <w:b/>
                <w:i w:val="0"/>
                <w:iCs w:val="0"/>
                <w:color w:val="auto"/>
                <w:kern w:val="0"/>
                <w:sz w:val="24"/>
                <w:szCs w:val="24"/>
                <w:highlight w:val="none"/>
                <w:u w:val="none"/>
                <w:lang w:val="en-US" w:eastAsia="zh-CN" w:bidi="ar"/>
              </w:rPr>
              <w:t>偏离情况</w:t>
            </w:r>
          </w:p>
        </w:tc>
        <w:tc>
          <w:tcPr>
            <w:tcW w:w="468" w:type="pct"/>
            <w:vAlign w:val="center"/>
          </w:tcPr>
          <w:p>
            <w:pPr>
              <w:keepNext w:val="0"/>
              <w:keepLines w:val="0"/>
              <w:widowControl/>
              <w:suppressLineNumbers w:val="0"/>
              <w:shd w:val="clear"/>
              <w:snapToGrid w:val="0"/>
              <w:spacing w:line="560" w:lineRule="exact"/>
              <w:ind w:left="0" w:leftChars="0" w:right="0" w:rightChars="0" w:firstLine="0" w:firstLineChars="0"/>
              <w:jc w:val="center"/>
              <w:textAlignment w:val="center"/>
              <w:rPr>
                <w:rFonts w:hint="eastAsia" w:ascii="宋体" w:hAnsi="宋体" w:eastAsia="宋体" w:cs="宋体"/>
                <w:b/>
                <w:i w:val="0"/>
                <w:iCs w:val="0"/>
                <w:color w:val="auto"/>
                <w:kern w:val="0"/>
                <w:sz w:val="24"/>
                <w:szCs w:val="24"/>
                <w:highlight w:val="none"/>
                <w:u w:val="none"/>
                <w:lang w:val="en-US" w:eastAsia="zh-CN" w:bidi="ar"/>
              </w:rPr>
            </w:pPr>
            <w:r>
              <w:rPr>
                <w:rFonts w:hint="eastAsia" w:ascii="宋体" w:hAnsi="宋体" w:eastAsia="宋体" w:cs="宋体"/>
                <w:b/>
                <w:i w:val="0"/>
                <w:iCs w:val="0"/>
                <w:color w:val="auto"/>
                <w:kern w:val="0"/>
                <w:sz w:val="24"/>
                <w:szCs w:val="24"/>
                <w:highlight w:val="none"/>
                <w:u w:val="none"/>
                <w:lang w:val="en-US" w:eastAsia="zh-CN" w:bidi="ar"/>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755" w:type="dxa"/>
            <w:vAlign w:val="center"/>
          </w:tcPr>
          <w:p>
            <w:pPr>
              <w:widowControl/>
              <w:spacing w:line="560" w:lineRule="exact"/>
              <w:jc w:val="center"/>
              <w:textAlignment w:val="center"/>
              <w:rPr>
                <w:rFonts w:hint="default" w:ascii="宋体" w:hAnsi="仿宋_GB2312" w:eastAsia="宋体" w:cs="仿宋_GB2312"/>
                <w:color w:val="auto"/>
                <w:kern w:val="2"/>
                <w:sz w:val="24"/>
                <w:szCs w:val="32"/>
                <w:highlight w:val="none"/>
                <w:vertAlign w:val="baseline"/>
                <w:lang w:val="en-US" w:eastAsia="zh-CN" w:bidi="ar-SA"/>
              </w:rPr>
            </w:pPr>
            <w:r>
              <w:rPr>
                <w:rFonts w:hint="eastAsia" w:ascii="宋体" w:hAnsi="仿宋_GB2312" w:eastAsia="宋体" w:cs="仿宋_GB2312"/>
                <w:color w:val="auto"/>
                <w:kern w:val="2"/>
                <w:sz w:val="24"/>
                <w:szCs w:val="32"/>
                <w:highlight w:val="none"/>
                <w:vertAlign w:val="baseline"/>
                <w:lang w:val="en-US" w:eastAsia="zh-CN" w:bidi="ar-SA"/>
              </w:rPr>
              <w:t>1</w:t>
            </w:r>
          </w:p>
        </w:tc>
        <w:tc>
          <w:tcPr>
            <w:tcW w:w="2325" w:type="pct"/>
            <w:vAlign w:val="center"/>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2"/>
                <w:highlight w:val="none"/>
                <w:lang w:eastAsia="zh-CN"/>
              </w:rPr>
              <w:t>★</w:t>
            </w:r>
            <w:r>
              <w:rPr>
                <w:rFonts w:hint="eastAsia"/>
                <w:color w:val="auto"/>
                <w:sz w:val="22"/>
                <w:highlight w:val="none"/>
                <w:lang w:val="en-US" w:eastAsia="zh-CN"/>
              </w:rPr>
              <w:t>所投产品</w:t>
            </w:r>
            <w:r>
              <w:rPr>
                <w:rFonts w:hint="default"/>
                <w:color w:val="auto"/>
                <w:sz w:val="22"/>
                <w:highlight w:val="none"/>
                <w:lang w:val="en-US" w:eastAsia="zh-CN"/>
              </w:rPr>
              <w:t>内镜注水泵</w:t>
            </w:r>
            <w:r>
              <w:rPr>
                <w:rFonts w:hint="eastAsia"/>
                <w:color w:val="auto"/>
                <w:sz w:val="22"/>
                <w:highlight w:val="none"/>
                <w:lang w:val="en-US" w:eastAsia="zh-CN"/>
              </w:rPr>
              <w:t>须无缝兼容设备为奥林巴斯规格型号:CV-260SL的内镜。</w:t>
            </w:r>
          </w:p>
        </w:tc>
        <w:tc>
          <w:tcPr>
            <w:tcW w:w="989" w:type="pct"/>
          </w:tcPr>
          <w:p>
            <w:pPr>
              <w:adjustRightInd w:val="0"/>
              <w:snapToGrid w:val="0"/>
              <w:spacing w:line="560" w:lineRule="exact"/>
              <w:rPr>
                <w:rFonts w:hint="eastAsia" w:ascii="宋体" w:hAnsi="仿宋_GB2312" w:eastAsia="宋体" w:cs="仿宋_GB2312"/>
                <w:color w:val="auto"/>
                <w:kern w:val="2"/>
                <w:sz w:val="24"/>
                <w:szCs w:val="32"/>
                <w:highlight w:val="none"/>
                <w:vertAlign w:val="baseline"/>
                <w:lang w:val="en-US" w:eastAsia="zh-CN" w:bidi="ar-SA"/>
              </w:rPr>
            </w:pPr>
          </w:p>
        </w:tc>
        <w:tc>
          <w:tcPr>
            <w:tcW w:w="926" w:type="pct"/>
          </w:tcPr>
          <w:p>
            <w:pPr>
              <w:adjustRightInd w:val="0"/>
              <w:snapToGrid w:val="0"/>
              <w:spacing w:line="560" w:lineRule="exact"/>
              <w:rPr>
                <w:rFonts w:hint="eastAsia" w:ascii="宋体" w:hAnsi="仿宋_GB2312" w:eastAsia="宋体" w:cs="仿宋_GB2312"/>
                <w:color w:val="auto"/>
                <w:kern w:val="2"/>
                <w:sz w:val="24"/>
                <w:szCs w:val="32"/>
                <w:highlight w:val="none"/>
                <w:vertAlign w:val="baseline"/>
                <w:lang w:val="en-US" w:eastAsia="zh-CN" w:bidi="ar-SA"/>
              </w:rPr>
            </w:pPr>
          </w:p>
        </w:tc>
        <w:tc>
          <w:tcPr>
            <w:tcW w:w="468" w:type="pct"/>
          </w:tcPr>
          <w:p>
            <w:pPr>
              <w:adjustRightInd w:val="0"/>
              <w:snapToGrid w:val="0"/>
              <w:spacing w:line="560" w:lineRule="exact"/>
              <w:rPr>
                <w:rFonts w:hint="eastAsia" w:ascii="宋体" w:hAnsi="仿宋_GB2312" w:eastAsia="宋体" w:cs="仿宋_GB2312"/>
                <w:color w:val="auto"/>
                <w:kern w:val="2"/>
                <w:sz w:val="24"/>
                <w:szCs w:val="32"/>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755" w:type="dxa"/>
            <w:vAlign w:val="center"/>
          </w:tcPr>
          <w:p>
            <w:pPr>
              <w:widowControl/>
              <w:spacing w:line="560" w:lineRule="exact"/>
              <w:jc w:val="center"/>
              <w:textAlignment w:val="center"/>
              <w:rPr>
                <w:rFonts w:hint="eastAsia" w:ascii="宋体" w:hAnsi="仿宋_GB2312" w:eastAsia="宋体" w:cs="仿宋_GB2312"/>
                <w:color w:val="auto"/>
                <w:kern w:val="2"/>
                <w:sz w:val="24"/>
                <w:szCs w:val="32"/>
                <w:highlight w:val="none"/>
                <w:vertAlign w:val="baseline"/>
                <w:lang w:val="en-US" w:eastAsia="zh-CN" w:bidi="ar-SA"/>
              </w:rPr>
            </w:pPr>
            <w:r>
              <w:rPr>
                <w:rFonts w:hint="eastAsia" w:ascii="宋体" w:hAnsi="仿宋_GB2312" w:cs="仿宋_GB2312"/>
                <w:color w:val="auto"/>
                <w:kern w:val="2"/>
                <w:sz w:val="24"/>
                <w:szCs w:val="32"/>
                <w:highlight w:val="none"/>
                <w:vertAlign w:val="baseline"/>
                <w:lang w:val="en-US" w:eastAsia="zh-CN" w:bidi="ar-SA"/>
              </w:rPr>
              <w:t>2</w:t>
            </w:r>
          </w:p>
        </w:tc>
        <w:tc>
          <w:tcPr>
            <w:tcW w:w="2325" w:type="pct"/>
            <w:vAlign w:val="center"/>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2"/>
                <w:highlight w:val="none"/>
              </w:rPr>
              <w:t>★</w:t>
            </w:r>
            <w:r>
              <w:rPr>
                <w:rFonts w:hint="eastAsia"/>
                <w:color w:val="auto"/>
                <w:sz w:val="22"/>
                <w:highlight w:val="none"/>
                <w:lang w:val="en-US" w:eastAsia="zh-CN"/>
              </w:rPr>
              <w:t>1.</w:t>
            </w:r>
            <w:r>
              <w:rPr>
                <w:rFonts w:hint="eastAsia"/>
                <w:color w:val="auto"/>
                <w:sz w:val="22"/>
                <w:highlight w:val="none"/>
                <w:lang w:eastAsia="zh-CN"/>
              </w:rPr>
              <w:t>交货期：自合同签订之日起</w:t>
            </w:r>
            <w:r>
              <w:rPr>
                <w:rFonts w:hint="eastAsia"/>
                <w:color w:val="auto"/>
                <w:sz w:val="22"/>
                <w:highlight w:val="none"/>
              </w:rPr>
              <w:t>15</w:t>
            </w:r>
            <w:r>
              <w:rPr>
                <w:rFonts w:hint="eastAsia"/>
                <w:color w:val="auto"/>
                <w:sz w:val="22"/>
                <w:highlight w:val="none"/>
                <w:lang w:eastAsia="zh-CN"/>
              </w:rPr>
              <w:t>日（</w:t>
            </w:r>
            <w:r>
              <w:rPr>
                <w:rFonts w:hint="eastAsia"/>
                <w:color w:val="auto"/>
                <w:sz w:val="22"/>
                <w:highlight w:val="none"/>
              </w:rPr>
              <w:t>日历日</w:t>
            </w:r>
            <w:r>
              <w:rPr>
                <w:rFonts w:hint="eastAsia"/>
                <w:color w:val="auto"/>
                <w:sz w:val="22"/>
                <w:highlight w:val="none"/>
                <w:lang w:eastAsia="zh-CN"/>
              </w:rPr>
              <w:t>）</w:t>
            </w:r>
            <w:r>
              <w:rPr>
                <w:rFonts w:hint="eastAsia"/>
                <w:color w:val="auto"/>
                <w:sz w:val="22"/>
                <w:highlight w:val="none"/>
              </w:rPr>
              <w:t>内完成交货</w:t>
            </w:r>
            <w:r>
              <w:rPr>
                <w:rFonts w:hint="eastAsia"/>
                <w:color w:val="auto"/>
                <w:sz w:val="22"/>
                <w:highlight w:val="none"/>
                <w:lang w:eastAsia="zh-CN"/>
              </w:rPr>
              <w:t>。</w:t>
            </w:r>
          </w:p>
        </w:tc>
        <w:tc>
          <w:tcPr>
            <w:tcW w:w="989" w:type="pct"/>
          </w:tcPr>
          <w:p>
            <w:pPr>
              <w:adjustRightInd w:val="0"/>
              <w:snapToGrid w:val="0"/>
              <w:spacing w:line="560" w:lineRule="exact"/>
              <w:rPr>
                <w:rFonts w:hint="eastAsia" w:ascii="宋体" w:hAnsi="仿宋_GB2312" w:eastAsia="宋体" w:cs="仿宋_GB2312"/>
                <w:color w:val="auto"/>
                <w:kern w:val="2"/>
                <w:sz w:val="24"/>
                <w:szCs w:val="32"/>
                <w:highlight w:val="none"/>
                <w:vertAlign w:val="baseline"/>
                <w:lang w:val="en-US" w:eastAsia="zh-CN" w:bidi="ar-SA"/>
              </w:rPr>
            </w:pPr>
          </w:p>
        </w:tc>
        <w:tc>
          <w:tcPr>
            <w:tcW w:w="926" w:type="pct"/>
          </w:tcPr>
          <w:p>
            <w:pPr>
              <w:adjustRightInd w:val="0"/>
              <w:snapToGrid w:val="0"/>
              <w:spacing w:line="560" w:lineRule="exact"/>
              <w:rPr>
                <w:rFonts w:hint="eastAsia" w:ascii="宋体" w:hAnsi="仿宋_GB2312" w:eastAsia="宋体" w:cs="仿宋_GB2312"/>
                <w:color w:val="auto"/>
                <w:kern w:val="2"/>
                <w:sz w:val="24"/>
                <w:szCs w:val="32"/>
                <w:highlight w:val="none"/>
                <w:vertAlign w:val="baseline"/>
                <w:lang w:val="en-US" w:eastAsia="zh-CN" w:bidi="ar-SA"/>
              </w:rPr>
            </w:pPr>
          </w:p>
        </w:tc>
        <w:tc>
          <w:tcPr>
            <w:tcW w:w="468" w:type="pct"/>
          </w:tcPr>
          <w:p>
            <w:pPr>
              <w:adjustRightInd w:val="0"/>
              <w:snapToGrid w:val="0"/>
              <w:spacing w:line="560" w:lineRule="exact"/>
              <w:rPr>
                <w:rFonts w:hint="eastAsia" w:ascii="宋体" w:hAnsi="仿宋_GB2312" w:eastAsia="宋体" w:cs="仿宋_GB2312"/>
                <w:color w:val="auto"/>
                <w:kern w:val="2"/>
                <w:sz w:val="24"/>
                <w:szCs w:val="32"/>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5" w:type="dxa"/>
            <w:vAlign w:val="center"/>
          </w:tcPr>
          <w:p>
            <w:pPr>
              <w:widowControl/>
              <w:spacing w:line="560" w:lineRule="exact"/>
              <w:jc w:val="center"/>
              <w:textAlignment w:val="center"/>
              <w:rPr>
                <w:rFonts w:hint="default" w:ascii="宋体" w:hAnsi="仿宋_GB2312" w:eastAsia="宋体" w:cs="仿宋_GB2312"/>
                <w:color w:val="auto"/>
                <w:kern w:val="2"/>
                <w:sz w:val="24"/>
                <w:szCs w:val="32"/>
                <w:highlight w:val="none"/>
                <w:vertAlign w:val="baseline"/>
                <w:lang w:val="en-US" w:eastAsia="zh-CN" w:bidi="ar-SA"/>
              </w:rPr>
            </w:pPr>
            <w:r>
              <w:rPr>
                <w:rFonts w:hint="eastAsia" w:ascii="宋体" w:hAnsi="仿宋_GB2312" w:cs="仿宋_GB2312"/>
                <w:color w:val="auto"/>
                <w:kern w:val="2"/>
                <w:sz w:val="24"/>
                <w:szCs w:val="32"/>
                <w:highlight w:val="none"/>
                <w:vertAlign w:val="baseline"/>
                <w:lang w:val="en-US" w:eastAsia="zh-CN" w:bidi="ar-SA"/>
              </w:rPr>
              <w:t>3</w:t>
            </w:r>
          </w:p>
        </w:tc>
        <w:tc>
          <w:tcPr>
            <w:tcW w:w="2325" w:type="pct"/>
            <w:vAlign w:val="center"/>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color w:val="auto"/>
                <w:sz w:val="22"/>
                <w:highlight w:val="none"/>
                <w:lang w:eastAsia="zh-CN"/>
              </w:rPr>
            </w:pPr>
            <w:r>
              <w:rPr>
                <w:rFonts w:hint="eastAsia" w:eastAsia="宋体"/>
                <w:color w:val="auto"/>
                <w:sz w:val="22"/>
                <w:highlight w:val="none"/>
                <w:lang w:val="en-US" w:eastAsia="zh-CN"/>
              </w:rPr>
              <w:t>★</w:t>
            </w:r>
            <w:r>
              <w:rPr>
                <w:rFonts w:hint="eastAsia"/>
                <w:color w:val="auto"/>
                <w:sz w:val="22"/>
                <w:highlight w:val="none"/>
                <w:lang w:val="en-US" w:eastAsia="zh-CN"/>
              </w:rPr>
              <w:t>5.报价要求：人民币报价。投标报价包括了运至用户指定安装地点的货物及其附件的出厂价（设备费、软件费等）、税费（含进口关税、增值税等）、包装、运输、装卸、安装、调试、技术服务（包括技术资料）、培训、咨询、服务、保险、检测、验收合格交付使用之前及技术和售后服务等其他各项有关费用（如文件移交、考察等费用），以及一切不可预见费等，项目结算时不做任何单价或费用的调整（因数量变更除外）。</w:t>
            </w:r>
          </w:p>
        </w:tc>
        <w:tc>
          <w:tcPr>
            <w:tcW w:w="989" w:type="pct"/>
          </w:tcPr>
          <w:p>
            <w:pPr>
              <w:adjustRightInd w:val="0"/>
              <w:snapToGrid w:val="0"/>
              <w:spacing w:line="560" w:lineRule="exact"/>
              <w:rPr>
                <w:rFonts w:hint="eastAsia" w:ascii="宋体" w:hAnsi="仿宋_GB2312" w:eastAsia="宋体" w:cs="仿宋_GB2312"/>
                <w:color w:val="auto"/>
                <w:kern w:val="2"/>
                <w:sz w:val="24"/>
                <w:szCs w:val="32"/>
                <w:highlight w:val="none"/>
                <w:vertAlign w:val="baseline"/>
                <w:lang w:val="en-US" w:eastAsia="zh-CN" w:bidi="ar-SA"/>
              </w:rPr>
            </w:pPr>
          </w:p>
        </w:tc>
        <w:tc>
          <w:tcPr>
            <w:tcW w:w="926" w:type="pct"/>
          </w:tcPr>
          <w:p>
            <w:pPr>
              <w:adjustRightInd w:val="0"/>
              <w:snapToGrid w:val="0"/>
              <w:spacing w:line="560" w:lineRule="exact"/>
              <w:rPr>
                <w:rFonts w:hint="eastAsia" w:ascii="宋体" w:hAnsi="仿宋_GB2312" w:eastAsia="宋体" w:cs="仿宋_GB2312"/>
                <w:color w:val="auto"/>
                <w:kern w:val="2"/>
                <w:sz w:val="24"/>
                <w:szCs w:val="32"/>
                <w:highlight w:val="none"/>
                <w:vertAlign w:val="baseline"/>
                <w:lang w:val="en-US" w:eastAsia="zh-CN" w:bidi="ar-SA"/>
              </w:rPr>
            </w:pPr>
          </w:p>
        </w:tc>
        <w:tc>
          <w:tcPr>
            <w:tcW w:w="468" w:type="pct"/>
          </w:tcPr>
          <w:p>
            <w:pPr>
              <w:adjustRightInd w:val="0"/>
              <w:snapToGrid w:val="0"/>
              <w:spacing w:line="560" w:lineRule="exact"/>
              <w:rPr>
                <w:rFonts w:hint="eastAsia" w:ascii="宋体" w:hAnsi="仿宋_GB2312" w:eastAsia="宋体" w:cs="仿宋_GB2312"/>
                <w:color w:val="auto"/>
                <w:kern w:val="2"/>
                <w:sz w:val="24"/>
                <w:szCs w:val="32"/>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5" w:type="dxa"/>
            <w:vAlign w:val="center"/>
          </w:tcPr>
          <w:p>
            <w:pPr>
              <w:widowControl/>
              <w:spacing w:line="560" w:lineRule="exact"/>
              <w:jc w:val="center"/>
              <w:textAlignment w:val="center"/>
              <w:rPr>
                <w:rFonts w:hint="default" w:ascii="宋体" w:hAnsi="仿宋_GB2312" w:eastAsia="宋体" w:cs="仿宋_GB2312"/>
                <w:color w:val="auto"/>
                <w:kern w:val="2"/>
                <w:sz w:val="24"/>
                <w:szCs w:val="32"/>
                <w:highlight w:val="none"/>
                <w:vertAlign w:val="baseline"/>
                <w:lang w:val="en-US" w:eastAsia="zh-CN" w:bidi="ar-SA"/>
              </w:rPr>
            </w:pPr>
            <w:r>
              <w:rPr>
                <w:rFonts w:hint="eastAsia" w:ascii="宋体" w:hAnsi="仿宋_GB2312" w:cs="仿宋_GB2312"/>
                <w:color w:val="auto"/>
                <w:kern w:val="2"/>
                <w:sz w:val="24"/>
                <w:szCs w:val="32"/>
                <w:highlight w:val="none"/>
                <w:vertAlign w:val="baseline"/>
                <w:lang w:val="en-US" w:eastAsia="zh-CN" w:bidi="ar-SA"/>
              </w:rPr>
              <w:t>4</w:t>
            </w:r>
          </w:p>
        </w:tc>
        <w:tc>
          <w:tcPr>
            <w:tcW w:w="2325" w:type="pct"/>
            <w:vAlign w:val="center"/>
          </w:tcPr>
          <w:p>
            <w:pPr>
              <w:keepLines w:val="0"/>
              <w:pageBreakBefore w:val="0"/>
              <w:kinsoku/>
              <w:wordWrap/>
              <w:overflowPunct/>
              <w:topLinePunct w:val="0"/>
              <w:bidi w:val="0"/>
              <w:spacing w:line="560" w:lineRule="exact"/>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2"/>
                <w:highlight w:val="none"/>
                <w:lang w:eastAsia="zh-CN"/>
              </w:rPr>
              <w:t>★</w:t>
            </w:r>
            <w:r>
              <w:rPr>
                <w:rFonts w:hint="eastAsia"/>
                <w:color w:val="auto"/>
                <w:sz w:val="22"/>
                <w:highlight w:val="none"/>
                <w:lang w:val="en-US" w:eastAsia="zh-CN"/>
              </w:rPr>
              <w:t>7</w:t>
            </w:r>
            <w:r>
              <w:rPr>
                <w:rFonts w:hint="eastAsia"/>
                <w:color w:val="auto"/>
                <w:sz w:val="22"/>
                <w:highlight w:val="none"/>
                <w:lang w:eastAsia="zh-CN"/>
              </w:rPr>
              <w:t>.2对所提供的设备整机免费质保期：至少3年（以验收合格之日起计算）。</w:t>
            </w:r>
          </w:p>
        </w:tc>
        <w:tc>
          <w:tcPr>
            <w:tcW w:w="989" w:type="pct"/>
          </w:tcPr>
          <w:p>
            <w:pPr>
              <w:adjustRightInd w:val="0"/>
              <w:snapToGrid w:val="0"/>
              <w:spacing w:line="560" w:lineRule="exact"/>
              <w:rPr>
                <w:rFonts w:hint="eastAsia" w:ascii="宋体" w:hAnsi="仿宋_GB2312" w:eastAsia="宋体" w:cs="仿宋_GB2312"/>
                <w:color w:val="auto"/>
                <w:kern w:val="2"/>
                <w:sz w:val="24"/>
                <w:szCs w:val="32"/>
                <w:highlight w:val="none"/>
                <w:vertAlign w:val="baseline"/>
                <w:lang w:val="en-US" w:eastAsia="zh-CN" w:bidi="ar-SA"/>
              </w:rPr>
            </w:pPr>
          </w:p>
        </w:tc>
        <w:tc>
          <w:tcPr>
            <w:tcW w:w="926" w:type="pct"/>
          </w:tcPr>
          <w:p>
            <w:pPr>
              <w:adjustRightInd w:val="0"/>
              <w:snapToGrid w:val="0"/>
              <w:spacing w:line="560" w:lineRule="exact"/>
              <w:rPr>
                <w:rFonts w:hint="eastAsia" w:ascii="宋体" w:hAnsi="仿宋_GB2312" w:eastAsia="宋体" w:cs="仿宋_GB2312"/>
                <w:color w:val="auto"/>
                <w:kern w:val="2"/>
                <w:sz w:val="24"/>
                <w:szCs w:val="32"/>
                <w:highlight w:val="none"/>
                <w:vertAlign w:val="baseline"/>
                <w:lang w:val="en-US" w:eastAsia="zh-CN" w:bidi="ar-SA"/>
              </w:rPr>
            </w:pPr>
          </w:p>
        </w:tc>
        <w:tc>
          <w:tcPr>
            <w:tcW w:w="468" w:type="pct"/>
          </w:tcPr>
          <w:p>
            <w:pPr>
              <w:adjustRightInd w:val="0"/>
              <w:snapToGrid w:val="0"/>
              <w:spacing w:line="560" w:lineRule="exact"/>
              <w:rPr>
                <w:rFonts w:hint="eastAsia" w:ascii="宋体" w:hAnsi="仿宋_GB2312" w:eastAsia="宋体" w:cs="仿宋_GB2312"/>
                <w:color w:val="auto"/>
                <w:kern w:val="2"/>
                <w:sz w:val="24"/>
                <w:szCs w:val="32"/>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5" w:type="dxa"/>
            <w:vAlign w:val="center"/>
          </w:tcPr>
          <w:p>
            <w:pPr>
              <w:widowControl/>
              <w:spacing w:line="560" w:lineRule="exact"/>
              <w:jc w:val="center"/>
              <w:textAlignment w:val="center"/>
              <w:rPr>
                <w:rFonts w:hint="default" w:ascii="宋体" w:hAnsi="仿宋_GB2312" w:eastAsia="宋体" w:cs="仿宋_GB2312"/>
                <w:color w:val="auto"/>
                <w:kern w:val="2"/>
                <w:sz w:val="24"/>
                <w:szCs w:val="32"/>
                <w:highlight w:val="none"/>
                <w:vertAlign w:val="baseline"/>
                <w:lang w:val="en-US" w:eastAsia="zh-CN" w:bidi="ar-SA"/>
              </w:rPr>
            </w:pPr>
            <w:r>
              <w:rPr>
                <w:rFonts w:hint="eastAsia" w:ascii="宋体" w:hAnsi="仿宋_GB2312" w:cs="仿宋_GB2312"/>
                <w:color w:val="auto"/>
                <w:kern w:val="2"/>
                <w:sz w:val="24"/>
                <w:szCs w:val="32"/>
                <w:highlight w:val="none"/>
                <w:vertAlign w:val="baseline"/>
                <w:lang w:val="en-US" w:eastAsia="zh-CN" w:bidi="ar-SA"/>
              </w:rPr>
              <w:t>5</w:t>
            </w:r>
          </w:p>
        </w:tc>
        <w:tc>
          <w:tcPr>
            <w:tcW w:w="2325"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color w:val="auto"/>
                <w:sz w:val="22"/>
                <w:highlight w:val="none"/>
                <w:lang w:eastAsia="zh-CN"/>
              </w:rPr>
            </w:pPr>
            <w:r>
              <w:rPr>
                <w:rFonts w:hint="eastAsia" w:eastAsia="宋体"/>
                <w:color w:val="auto"/>
                <w:sz w:val="22"/>
                <w:highlight w:val="none"/>
                <w:lang w:val="en-US" w:eastAsia="zh-CN"/>
              </w:rPr>
              <w:t>★</w:t>
            </w:r>
            <w:r>
              <w:rPr>
                <w:rFonts w:hint="eastAsia"/>
                <w:color w:val="auto"/>
                <w:sz w:val="22"/>
                <w:highlight w:val="none"/>
                <w:lang w:val="en-US" w:eastAsia="zh-CN"/>
              </w:rPr>
              <w:t>7.3保修期：免费质保期结束后，中标人提供不少于3年的保修期，提供持续的技术支持与售后服务。维护、升级、备份均不额外收费。若设备在保修期内出现故障，中标人应按照采购人的需求提供维修或更换服务，相关费用仅按维修材料成本及合理人工费用收取，不得附加额外利润，且中标人应确保备品备件的长期供应。（由投标人提供承诺书，格式自拟）</w:t>
            </w:r>
          </w:p>
        </w:tc>
        <w:tc>
          <w:tcPr>
            <w:tcW w:w="989" w:type="pct"/>
          </w:tcPr>
          <w:p>
            <w:pPr>
              <w:adjustRightInd w:val="0"/>
              <w:snapToGrid w:val="0"/>
              <w:spacing w:line="560" w:lineRule="exact"/>
              <w:rPr>
                <w:rFonts w:hint="eastAsia" w:ascii="宋体" w:hAnsi="仿宋_GB2312" w:eastAsia="宋体" w:cs="仿宋_GB2312"/>
                <w:color w:val="auto"/>
                <w:kern w:val="2"/>
                <w:sz w:val="24"/>
                <w:szCs w:val="32"/>
                <w:highlight w:val="none"/>
                <w:vertAlign w:val="baseline"/>
                <w:lang w:val="en-US" w:eastAsia="zh-CN" w:bidi="ar-SA"/>
              </w:rPr>
            </w:pPr>
          </w:p>
        </w:tc>
        <w:tc>
          <w:tcPr>
            <w:tcW w:w="926" w:type="pct"/>
          </w:tcPr>
          <w:p>
            <w:pPr>
              <w:adjustRightInd w:val="0"/>
              <w:snapToGrid w:val="0"/>
              <w:spacing w:line="560" w:lineRule="exact"/>
              <w:rPr>
                <w:rFonts w:hint="eastAsia" w:ascii="宋体" w:hAnsi="仿宋_GB2312" w:eastAsia="宋体" w:cs="仿宋_GB2312"/>
                <w:color w:val="auto"/>
                <w:kern w:val="2"/>
                <w:sz w:val="24"/>
                <w:szCs w:val="32"/>
                <w:highlight w:val="none"/>
                <w:vertAlign w:val="baseline"/>
                <w:lang w:val="en-US" w:eastAsia="zh-CN" w:bidi="ar-SA"/>
              </w:rPr>
            </w:pPr>
          </w:p>
        </w:tc>
        <w:tc>
          <w:tcPr>
            <w:tcW w:w="468" w:type="pct"/>
          </w:tcPr>
          <w:p>
            <w:pPr>
              <w:adjustRightInd w:val="0"/>
              <w:snapToGrid w:val="0"/>
              <w:spacing w:line="560" w:lineRule="exact"/>
              <w:rPr>
                <w:rFonts w:hint="eastAsia" w:ascii="宋体" w:hAnsi="仿宋_GB2312" w:eastAsia="宋体" w:cs="仿宋_GB2312"/>
                <w:color w:val="auto"/>
                <w:kern w:val="2"/>
                <w:sz w:val="24"/>
                <w:szCs w:val="32"/>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5" w:type="dxa"/>
            <w:vAlign w:val="center"/>
          </w:tcPr>
          <w:p>
            <w:pPr>
              <w:widowControl/>
              <w:spacing w:line="560" w:lineRule="exact"/>
              <w:jc w:val="center"/>
              <w:textAlignment w:val="center"/>
              <w:rPr>
                <w:rFonts w:hint="default" w:ascii="宋体" w:hAnsi="仿宋_GB2312" w:eastAsia="宋体" w:cs="仿宋_GB2312"/>
                <w:color w:val="auto"/>
                <w:kern w:val="2"/>
                <w:sz w:val="24"/>
                <w:szCs w:val="32"/>
                <w:highlight w:val="none"/>
                <w:vertAlign w:val="baseline"/>
                <w:lang w:val="en-US" w:eastAsia="zh-CN" w:bidi="ar-SA"/>
              </w:rPr>
            </w:pPr>
            <w:r>
              <w:rPr>
                <w:rFonts w:hint="eastAsia" w:ascii="宋体" w:hAnsi="仿宋_GB2312" w:cs="仿宋_GB2312"/>
                <w:color w:val="auto"/>
                <w:kern w:val="2"/>
                <w:sz w:val="24"/>
                <w:szCs w:val="32"/>
                <w:highlight w:val="none"/>
                <w:vertAlign w:val="baseline"/>
                <w:lang w:val="en-US" w:eastAsia="zh-CN" w:bidi="ar-SA"/>
              </w:rPr>
              <w:t>6</w:t>
            </w:r>
          </w:p>
        </w:tc>
        <w:tc>
          <w:tcPr>
            <w:tcW w:w="2325"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color w:val="auto"/>
                <w:sz w:val="22"/>
                <w:highlight w:val="none"/>
                <w:lang w:eastAsia="zh-CN"/>
              </w:rPr>
            </w:pPr>
            <w:r>
              <w:rPr>
                <w:rFonts w:hint="eastAsia" w:eastAsia="宋体"/>
                <w:color w:val="auto"/>
                <w:sz w:val="21"/>
                <w:szCs w:val="21"/>
                <w:highlight w:val="none"/>
                <w:lang w:val="en-US" w:eastAsia="zh-CN"/>
              </w:rPr>
              <w:t>★7.4在质保期和保修期内，若发生质量问题，投标人承诺在接到通知后1小时内响应，24小时内维修到位，并于48小时内消除故障（不可抗力情况除外）。消耗品及零配件供应及时，特殊情况下可提供备用机。质保期内，若非因用户人为原因导致质量问题，由投标人负责包修、包换或包退，并承担修理、调换或退换的实际费用。若投标人无法修理或调换，将按不能交货处理。</w:t>
            </w:r>
          </w:p>
        </w:tc>
        <w:tc>
          <w:tcPr>
            <w:tcW w:w="989" w:type="pct"/>
          </w:tcPr>
          <w:p>
            <w:pPr>
              <w:adjustRightInd w:val="0"/>
              <w:snapToGrid w:val="0"/>
              <w:spacing w:line="560" w:lineRule="exact"/>
              <w:rPr>
                <w:rFonts w:hint="eastAsia" w:ascii="宋体" w:hAnsi="仿宋_GB2312" w:eastAsia="宋体" w:cs="仿宋_GB2312"/>
                <w:color w:val="auto"/>
                <w:kern w:val="2"/>
                <w:sz w:val="24"/>
                <w:szCs w:val="32"/>
                <w:highlight w:val="none"/>
                <w:vertAlign w:val="baseline"/>
                <w:lang w:val="en-US" w:eastAsia="zh-CN" w:bidi="ar-SA"/>
              </w:rPr>
            </w:pPr>
          </w:p>
        </w:tc>
        <w:tc>
          <w:tcPr>
            <w:tcW w:w="926" w:type="pct"/>
          </w:tcPr>
          <w:p>
            <w:pPr>
              <w:adjustRightInd w:val="0"/>
              <w:snapToGrid w:val="0"/>
              <w:spacing w:line="560" w:lineRule="exact"/>
              <w:rPr>
                <w:rFonts w:hint="eastAsia" w:ascii="宋体" w:hAnsi="仿宋_GB2312" w:eastAsia="宋体" w:cs="仿宋_GB2312"/>
                <w:color w:val="auto"/>
                <w:kern w:val="2"/>
                <w:sz w:val="24"/>
                <w:szCs w:val="32"/>
                <w:highlight w:val="none"/>
                <w:vertAlign w:val="baseline"/>
                <w:lang w:val="en-US" w:eastAsia="zh-CN" w:bidi="ar-SA"/>
              </w:rPr>
            </w:pPr>
          </w:p>
        </w:tc>
        <w:tc>
          <w:tcPr>
            <w:tcW w:w="468" w:type="pct"/>
          </w:tcPr>
          <w:p>
            <w:pPr>
              <w:adjustRightInd w:val="0"/>
              <w:snapToGrid w:val="0"/>
              <w:spacing w:line="560" w:lineRule="exact"/>
              <w:rPr>
                <w:rFonts w:hint="eastAsia" w:ascii="宋体" w:hAnsi="仿宋_GB2312" w:eastAsia="宋体" w:cs="仿宋_GB2312"/>
                <w:color w:val="auto"/>
                <w:kern w:val="2"/>
                <w:sz w:val="24"/>
                <w:szCs w:val="32"/>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5" w:type="dxa"/>
            <w:vAlign w:val="center"/>
          </w:tcPr>
          <w:p>
            <w:pPr>
              <w:widowControl/>
              <w:spacing w:line="560" w:lineRule="exact"/>
              <w:jc w:val="center"/>
              <w:textAlignment w:val="center"/>
              <w:rPr>
                <w:rFonts w:hint="default" w:ascii="宋体" w:hAnsi="仿宋_GB2312" w:eastAsia="宋体" w:cs="仿宋_GB2312"/>
                <w:color w:val="auto"/>
                <w:kern w:val="2"/>
                <w:sz w:val="24"/>
                <w:szCs w:val="32"/>
                <w:highlight w:val="none"/>
                <w:vertAlign w:val="baseline"/>
                <w:lang w:val="en-US" w:eastAsia="zh-CN" w:bidi="ar-SA"/>
              </w:rPr>
            </w:pPr>
            <w:r>
              <w:rPr>
                <w:rFonts w:hint="eastAsia" w:ascii="宋体" w:hAnsi="仿宋_GB2312" w:cs="仿宋_GB2312"/>
                <w:color w:val="auto"/>
                <w:kern w:val="2"/>
                <w:sz w:val="24"/>
                <w:szCs w:val="32"/>
                <w:highlight w:val="none"/>
                <w:vertAlign w:val="baseline"/>
                <w:lang w:val="en-US" w:eastAsia="zh-CN" w:bidi="ar-SA"/>
              </w:rPr>
              <w:t>7</w:t>
            </w:r>
          </w:p>
        </w:tc>
        <w:tc>
          <w:tcPr>
            <w:tcW w:w="2325"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color w:val="auto"/>
                <w:sz w:val="22"/>
                <w:highlight w:val="none"/>
                <w:lang w:eastAsia="zh-CN"/>
              </w:rPr>
            </w:pPr>
            <w:r>
              <w:rPr>
                <w:rFonts w:hint="eastAsia" w:eastAsia="宋体"/>
                <w:color w:val="auto"/>
                <w:sz w:val="21"/>
                <w:szCs w:val="21"/>
                <w:highlight w:val="none"/>
                <w:lang w:val="en-US" w:eastAsia="zh-CN"/>
              </w:rPr>
              <w:t>★7.7质保期内保证每年有2次或以上预防性维护保养。</w:t>
            </w:r>
          </w:p>
        </w:tc>
        <w:tc>
          <w:tcPr>
            <w:tcW w:w="989" w:type="pct"/>
          </w:tcPr>
          <w:p>
            <w:pPr>
              <w:adjustRightInd w:val="0"/>
              <w:snapToGrid w:val="0"/>
              <w:spacing w:line="560" w:lineRule="exact"/>
              <w:rPr>
                <w:rFonts w:hint="eastAsia" w:ascii="宋体" w:hAnsi="仿宋_GB2312" w:eastAsia="宋体" w:cs="仿宋_GB2312"/>
                <w:color w:val="auto"/>
                <w:kern w:val="2"/>
                <w:sz w:val="24"/>
                <w:szCs w:val="32"/>
                <w:highlight w:val="none"/>
                <w:vertAlign w:val="baseline"/>
                <w:lang w:val="en-US" w:eastAsia="zh-CN" w:bidi="ar-SA"/>
              </w:rPr>
            </w:pPr>
          </w:p>
        </w:tc>
        <w:tc>
          <w:tcPr>
            <w:tcW w:w="926" w:type="pct"/>
          </w:tcPr>
          <w:p>
            <w:pPr>
              <w:adjustRightInd w:val="0"/>
              <w:snapToGrid w:val="0"/>
              <w:spacing w:line="560" w:lineRule="exact"/>
              <w:rPr>
                <w:rFonts w:hint="eastAsia" w:ascii="宋体" w:hAnsi="仿宋_GB2312" w:eastAsia="宋体" w:cs="仿宋_GB2312"/>
                <w:color w:val="auto"/>
                <w:kern w:val="2"/>
                <w:sz w:val="24"/>
                <w:szCs w:val="32"/>
                <w:highlight w:val="none"/>
                <w:vertAlign w:val="baseline"/>
                <w:lang w:val="en-US" w:eastAsia="zh-CN" w:bidi="ar-SA"/>
              </w:rPr>
            </w:pPr>
          </w:p>
        </w:tc>
        <w:tc>
          <w:tcPr>
            <w:tcW w:w="468" w:type="pct"/>
          </w:tcPr>
          <w:p>
            <w:pPr>
              <w:adjustRightInd w:val="0"/>
              <w:snapToGrid w:val="0"/>
              <w:spacing w:line="560" w:lineRule="exact"/>
              <w:rPr>
                <w:rFonts w:hint="eastAsia" w:ascii="宋体" w:hAnsi="仿宋_GB2312" w:eastAsia="宋体" w:cs="仿宋_GB2312"/>
                <w:color w:val="auto"/>
                <w:kern w:val="2"/>
                <w:sz w:val="24"/>
                <w:szCs w:val="32"/>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1" w:type="pct"/>
            <w:vAlign w:val="center"/>
          </w:tcPr>
          <w:p>
            <w:pPr>
              <w:widowControl/>
              <w:spacing w:line="560" w:lineRule="exact"/>
              <w:jc w:val="center"/>
              <w:textAlignment w:val="center"/>
              <w:rPr>
                <w:rFonts w:hint="default" w:ascii="宋体" w:hAnsi="仿宋_GB2312" w:eastAsia="宋体" w:cs="仿宋_GB2312"/>
                <w:color w:val="auto"/>
                <w:kern w:val="2"/>
                <w:sz w:val="24"/>
                <w:szCs w:val="32"/>
                <w:highlight w:val="none"/>
                <w:vertAlign w:val="baseline"/>
                <w:lang w:val="en-US" w:eastAsia="zh-CN" w:bidi="ar-SA"/>
              </w:rPr>
            </w:pPr>
            <w:r>
              <w:rPr>
                <w:rFonts w:hint="eastAsia" w:ascii="宋体" w:hAnsi="仿宋_GB2312" w:cs="仿宋_GB2312"/>
                <w:color w:val="auto"/>
                <w:kern w:val="2"/>
                <w:sz w:val="24"/>
                <w:szCs w:val="32"/>
                <w:highlight w:val="none"/>
                <w:vertAlign w:val="baseline"/>
                <w:lang w:val="en-US" w:eastAsia="zh-CN" w:bidi="ar-SA"/>
              </w:rPr>
              <w:t>8</w:t>
            </w:r>
          </w:p>
        </w:tc>
        <w:tc>
          <w:tcPr>
            <w:tcW w:w="2325" w:type="pct"/>
            <w:vAlign w:val="center"/>
          </w:tcPr>
          <w:p>
            <w:pPr>
              <w:keepLines w:val="0"/>
              <w:pageBreakBefore w:val="0"/>
              <w:kinsoku/>
              <w:wordWrap/>
              <w:overflowPunct/>
              <w:topLinePunct w:val="0"/>
              <w:bidi w:val="0"/>
              <w:spacing w:line="560" w:lineRule="exact"/>
              <w:rPr>
                <w:rFonts w:hint="eastAsia"/>
                <w:color w:val="auto"/>
                <w:sz w:val="22"/>
                <w:highlight w:val="none"/>
                <w:lang w:eastAsia="zh-CN"/>
              </w:rPr>
            </w:pPr>
            <w:r>
              <w:rPr>
                <w:rFonts w:hint="eastAsia" w:eastAsia="宋体"/>
                <w:color w:val="auto"/>
                <w:sz w:val="21"/>
                <w:szCs w:val="21"/>
                <w:highlight w:val="none"/>
                <w:lang w:val="en-US" w:eastAsia="zh-CN"/>
              </w:rPr>
              <w:t>★11.2免费开放预留与院内信息系统及集成平台（如PACS系统、HIS系统等）医疗设备数据实现互联互通的端口。</w:t>
            </w:r>
          </w:p>
        </w:tc>
        <w:tc>
          <w:tcPr>
            <w:tcW w:w="989" w:type="pct"/>
          </w:tcPr>
          <w:p>
            <w:pPr>
              <w:adjustRightInd w:val="0"/>
              <w:snapToGrid w:val="0"/>
              <w:spacing w:line="560" w:lineRule="exact"/>
              <w:rPr>
                <w:rFonts w:hint="eastAsia" w:ascii="宋体" w:hAnsi="仿宋_GB2312" w:eastAsia="宋体" w:cs="仿宋_GB2312"/>
                <w:color w:val="auto"/>
                <w:kern w:val="2"/>
                <w:sz w:val="24"/>
                <w:szCs w:val="32"/>
                <w:highlight w:val="none"/>
                <w:vertAlign w:val="baseline"/>
                <w:lang w:val="en-US" w:eastAsia="zh-CN" w:bidi="ar-SA"/>
              </w:rPr>
            </w:pPr>
          </w:p>
        </w:tc>
        <w:tc>
          <w:tcPr>
            <w:tcW w:w="926" w:type="pct"/>
          </w:tcPr>
          <w:p>
            <w:pPr>
              <w:adjustRightInd w:val="0"/>
              <w:snapToGrid w:val="0"/>
              <w:spacing w:line="560" w:lineRule="exact"/>
              <w:rPr>
                <w:rFonts w:hint="eastAsia" w:ascii="宋体" w:hAnsi="仿宋_GB2312" w:eastAsia="宋体" w:cs="仿宋_GB2312"/>
                <w:color w:val="auto"/>
                <w:kern w:val="2"/>
                <w:sz w:val="24"/>
                <w:szCs w:val="32"/>
                <w:highlight w:val="none"/>
                <w:vertAlign w:val="baseline"/>
                <w:lang w:val="en-US" w:eastAsia="zh-CN" w:bidi="ar-SA"/>
              </w:rPr>
            </w:pPr>
          </w:p>
        </w:tc>
        <w:tc>
          <w:tcPr>
            <w:tcW w:w="468" w:type="pct"/>
          </w:tcPr>
          <w:p>
            <w:pPr>
              <w:adjustRightInd w:val="0"/>
              <w:snapToGrid w:val="0"/>
              <w:spacing w:line="560" w:lineRule="exact"/>
              <w:rPr>
                <w:rFonts w:hint="eastAsia" w:ascii="宋体" w:hAnsi="仿宋_GB2312" w:eastAsia="宋体" w:cs="仿宋_GB2312"/>
                <w:color w:val="auto"/>
                <w:kern w:val="2"/>
                <w:sz w:val="24"/>
                <w:szCs w:val="32"/>
                <w:highlight w:val="none"/>
                <w:vertAlign w:val="baseline"/>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eastAsia="宋体"/>
          <w:color w:val="auto"/>
          <w:highlight w:val="none"/>
          <w:lang w:val="en-US" w:eastAsia="zh-CN"/>
        </w:rPr>
      </w:pPr>
      <w:r>
        <w:rPr>
          <w:rFonts w:hint="eastAsia" w:eastAsia="宋体"/>
          <w:color w:val="auto"/>
          <w:highlight w:val="none"/>
          <w:lang w:val="en-US" w:eastAsia="zh-CN"/>
        </w:rPr>
        <w:t>注：1.上表所列各项均为不可负偏离条款。</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eastAsia="宋体"/>
          <w:color w:val="auto"/>
          <w:highlight w:val="none"/>
          <w:lang w:val="en-US" w:eastAsia="zh-CN"/>
        </w:rPr>
      </w:pPr>
      <w:r>
        <w:rPr>
          <w:rFonts w:hint="eastAsia" w:eastAsia="宋体"/>
          <w:color w:val="auto"/>
          <w:highlight w:val="none"/>
          <w:lang w:val="en-US" w:eastAsia="zh-CN"/>
        </w:rPr>
        <w:t>2.“投标响应”一栏应当详细填写投标人自身响应情况。</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eastAsia="宋体"/>
          <w:color w:val="auto"/>
          <w:highlight w:val="none"/>
          <w:lang w:val="en-US" w:eastAsia="zh-CN"/>
        </w:rPr>
      </w:pPr>
      <w:r>
        <w:rPr>
          <w:rFonts w:hint="eastAsia" w:eastAsia="宋体"/>
          <w:color w:val="auto"/>
          <w:highlight w:val="none"/>
          <w:lang w:val="en-US" w:eastAsia="zh-CN"/>
        </w:rPr>
        <w:t>3.“偏离情况”一栏应填写“正偏离”“负偏离”或“无偏离”“正偏离”表示“投标响应优于实质性条款具体内容要求”“负偏离”表示“投标响应不满足实质性条款具体内容要求”“无偏离”表示“投标响应与实质性条款具体内容要求一致”。</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eastAsia="宋体"/>
          <w:color w:val="auto"/>
          <w:highlight w:val="none"/>
          <w:lang w:val="en-US" w:eastAsia="zh-CN"/>
        </w:rPr>
      </w:pPr>
      <w:r>
        <w:rPr>
          <w:rFonts w:hint="eastAsia" w:eastAsia="宋体"/>
          <w:color w:val="auto"/>
          <w:highlight w:val="none"/>
          <w:lang w:val="en-US" w:eastAsia="zh-CN"/>
        </w:rPr>
        <w:t>4.评审委员会有权对投标响应情况作出判断（作出评审结论）。</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eastAsia="宋体"/>
          <w:color w:val="auto"/>
          <w:highlight w:val="none"/>
          <w:lang w:val="en-US" w:eastAsia="zh-CN"/>
        </w:rPr>
      </w:pPr>
      <w:r>
        <w:rPr>
          <w:rFonts w:hint="eastAsia" w:eastAsia="宋体"/>
          <w:color w:val="auto"/>
          <w:highlight w:val="none"/>
          <w:lang w:val="en-US" w:eastAsia="zh-CN"/>
        </w:rPr>
        <w:t>5.实质性响应条款“投标响应情况”与</w:t>
      </w:r>
      <w:r>
        <w:rPr>
          <w:rFonts w:hint="eastAsia"/>
          <w:color w:val="auto"/>
          <w:highlight w:val="none"/>
          <w:lang w:val="en-US" w:eastAsia="zh-CN"/>
        </w:rPr>
        <w:t>投标</w:t>
      </w:r>
      <w:r>
        <w:rPr>
          <w:rFonts w:hint="eastAsia" w:eastAsia="宋体"/>
          <w:color w:val="auto"/>
          <w:highlight w:val="none"/>
          <w:lang w:val="en-US" w:eastAsia="zh-CN"/>
        </w:rPr>
        <w:t>文件其他内容冲突的，以实质性响应条款“投标响应情况”为准。</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eastAsia="宋体"/>
          <w:color w:val="auto"/>
          <w:highlight w:val="none"/>
          <w:lang w:val="en-US" w:eastAsia="zh-CN"/>
        </w:rPr>
      </w:pPr>
      <w:r>
        <w:rPr>
          <w:rFonts w:hint="eastAsia" w:eastAsia="宋体"/>
          <w:color w:val="auto"/>
          <w:highlight w:val="none"/>
          <w:lang w:val="en-US" w:eastAsia="zh-CN"/>
        </w:rPr>
        <w:t>6.要求提供证明资料，在“说明”一栏中列明证明资料的位置，以便评审；未要求提供证明材料的，投标人可以不提供。</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eastAsia="宋体"/>
          <w:color w:val="auto"/>
          <w:highlight w:val="none"/>
          <w:lang w:val="en-US" w:eastAsia="zh-CN"/>
        </w:rPr>
      </w:pPr>
      <w:r>
        <w:rPr>
          <w:rFonts w:hint="eastAsia" w:eastAsia="宋体"/>
          <w:color w:val="auto"/>
          <w:highlight w:val="none"/>
          <w:lang w:val="en-US" w:eastAsia="zh-CN"/>
        </w:rPr>
        <w:t>法定代表人或其授权代表人（签字）：</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eastAsia="宋体"/>
          <w:color w:val="auto"/>
          <w:highlight w:val="none"/>
          <w:lang w:val="en-US" w:eastAsia="zh-CN"/>
        </w:rPr>
      </w:pPr>
      <w:r>
        <w:rPr>
          <w:rFonts w:hint="eastAsia" w:eastAsia="宋体"/>
          <w:color w:val="auto"/>
          <w:highlight w:val="none"/>
          <w:lang w:val="en-US" w:eastAsia="zh-CN"/>
        </w:rPr>
        <w:t>投标单位全称（加盖公章）：</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eastAsia="宋体"/>
          <w:color w:val="auto"/>
          <w:highlight w:val="none"/>
          <w:lang w:val="en-US" w:eastAsia="zh-CN"/>
        </w:rPr>
      </w:pPr>
      <w:r>
        <w:rPr>
          <w:rFonts w:hint="eastAsia"/>
          <w:color w:val="auto"/>
          <w:highlight w:val="none"/>
          <w:lang w:val="en-US" w:eastAsia="zh-CN"/>
        </w:rPr>
        <w:t>日期：</w:t>
      </w:r>
    </w:p>
    <w:p>
      <w:pPr>
        <w:keepLines w:val="0"/>
        <w:pageBreakBefore w:val="0"/>
        <w:widowControl w:val="0"/>
        <w:numPr>
          <w:ilvl w:val="0"/>
          <w:numId w:val="0"/>
        </w:numPr>
        <w:kinsoku/>
        <w:wordWrap/>
        <w:overflowPunct/>
        <w:topLinePunct w:val="0"/>
        <w:bidi w:val="0"/>
        <w:spacing w:line="560" w:lineRule="exact"/>
        <w:ind w:firstLine="5481" w:firstLineChars="2600"/>
        <w:jc w:val="both"/>
        <w:rPr>
          <w:rFonts w:hint="eastAsia" w:ascii="宋体" w:cs="宋体"/>
          <w:b/>
          <w:bCs/>
          <w:color w:val="auto"/>
          <w:szCs w:val="21"/>
          <w:highlight w:val="none"/>
        </w:rPr>
      </w:pPr>
      <w:r>
        <w:rPr>
          <w:rFonts w:hint="eastAsia" w:ascii="宋体" w:cs="宋体"/>
          <w:b/>
          <w:bCs/>
          <w:color w:val="auto"/>
          <w:szCs w:val="21"/>
          <w:highlight w:val="none"/>
        </w:rPr>
        <w:br w:type="page"/>
      </w:r>
    </w:p>
    <w:p>
      <w:pPr>
        <w:keepLines w:val="0"/>
        <w:pageBreakBefore w:val="0"/>
        <w:widowControl/>
        <w:kinsoku/>
        <w:wordWrap/>
        <w:overflowPunct/>
        <w:topLinePunct w:val="0"/>
        <w:bidi w:val="0"/>
        <w:spacing w:line="560" w:lineRule="exact"/>
        <w:jc w:val="center"/>
        <w:textAlignment w:val="center"/>
        <w:rPr>
          <w:rFonts w:hint="eastAsia" w:ascii="仿宋" w:hAnsi="仿宋" w:eastAsia="仿宋" w:cs="仿宋"/>
          <w:b/>
          <w:color w:val="auto"/>
          <w:kern w:val="0"/>
          <w:sz w:val="44"/>
          <w:szCs w:val="44"/>
          <w:highlight w:val="none"/>
          <w:lang w:val="zh-CN"/>
        </w:rPr>
      </w:pPr>
      <w:r>
        <w:rPr>
          <w:rFonts w:hint="eastAsia" w:ascii="仿宋" w:hAnsi="仿宋" w:eastAsia="仿宋" w:cs="仿宋"/>
          <w:b/>
          <w:color w:val="auto"/>
          <w:kern w:val="0"/>
          <w:sz w:val="44"/>
          <w:szCs w:val="44"/>
          <w:highlight w:val="none"/>
          <w:lang w:val="zh-CN"/>
        </w:rPr>
        <w:t>技术规格偏离表</w:t>
      </w:r>
    </w:p>
    <w:p>
      <w:pPr>
        <w:pStyle w:val="11"/>
        <w:keepLines w:val="0"/>
        <w:pageBreakBefore w:val="0"/>
        <w:kinsoku/>
        <w:wordWrap/>
        <w:overflowPunct/>
        <w:topLinePunct w:val="0"/>
        <w:bidi w:val="0"/>
        <w:spacing w:line="560" w:lineRule="exact"/>
        <w:rPr>
          <w:rFonts w:hint="eastAsia"/>
          <w:b/>
          <w:bCs/>
          <w:color w:val="auto"/>
          <w:highlight w:val="none"/>
        </w:rPr>
      </w:pPr>
      <w:r>
        <w:rPr>
          <w:rFonts w:hint="eastAsia"/>
          <w:b/>
          <w:bCs/>
          <w:color w:val="auto"/>
          <w:highlight w:val="none"/>
        </w:rPr>
        <w:t>注：投标人的“投标响应”“偏离情况”等必须与客观实际保持一致，响应不实且情节严重的，经查实，将依法记入供应商诚信档案或受到行政处罚。</w:t>
      </w:r>
    </w:p>
    <w:tbl>
      <w:tblPr>
        <w:tblStyle w:val="19"/>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432"/>
        <w:gridCol w:w="4378"/>
        <w:gridCol w:w="3615"/>
        <w:gridCol w:w="2097"/>
        <w:gridCol w:w="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b/>
                <w:bCs/>
                <w:color w:val="auto"/>
                <w:kern w:val="0"/>
                <w:szCs w:val="21"/>
                <w:highlight w:val="none"/>
                <w:lang w:val="en-US" w:eastAsia="zh-CN" w:bidi="ar"/>
              </w:rPr>
              <w:t>序号</w:t>
            </w:r>
          </w:p>
        </w:tc>
        <w:tc>
          <w:tcPr>
            <w:tcW w:w="5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宋体" w:hAnsi="宋体" w:cs="宋体"/>
                <w:b/>
                <w:bCs/>
                <w:color w:val="auto"/>
                <w:kern w:val="0"/>
                <w:szCs w:val="21"/>
                <w:highlight w:val="none"/>
                <w:lang w:val="en-US" w:eastAsia="zh-CN" w:bidi="ar"/>
              </w:rPr>
            </w:pPr>
            <w:r>
              <w:rPr>
                <w:rFonts w:hint="eastAsia" w:ascii="宋体" w:hAnsi="宋体" w:cs="宋体"/>
                <w:b/>
                <w:bCs/>
                <w:color w:val="auto"/>
                <w:kern w:val="0"/>
                <w:szCs w:val="21"/>
                <w:highlight w:val="none"/>
                <w:lang w:val="en-US" w:eastAsia="zh-CN" w:bidi="ar"/>
              </w:rPr>
              <w:t>货物名称</w:t>
            </w:r>
          </w:p>
        </w:tc>
        <w:tc>
          <w:tcPr>
            <w:tcW w:w="16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招标技术要求</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ascii="宋体" w:cs="宋体"/>
                <w:b/>
                <w:bCs/>
                <w:color w:val="auto"/>
                <w:szCs w:val="21"/>
                <w:highlight w:val="none"/>
              </w:rPr>
            </w:pPr>
            <w:r>
              <w:rPr>
                <w:rFonts w:hint="eastAsia" w:ascii="宋体" w:cs="宋体"/>
                <w:b/>
                <w:bCs/>
                <w:color w:val="auto"/>
                <w:szCs w:val="21"/>
                <w:highlight w:val="none"/>
              </w:rPr>
              <w:t>投标技术响应</w:t>
            </w: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hAnsi="宋体" w:cs="宋体"/>
                <w:b/>
                <w:bCs/>
                <w:color w:val="auto"/>
                <w:highlight w:val="none"/>
              </w:rPr>
            </w:pPr>
            <w:r>
              <w:rPr>
                <w:rFonts w:hint="eastAsia" w:ascii="宋体" w:cs="宋体"/>
                <w:color w:val="auto"/>
                <w:highlight w:val="none"/>
              </w:rPr>
              <w:t>投标人根据实际情况在此处进行响应</w:t>
            </w:r>
          </w:p>
        </w:tc>
        <w:tc>
          <w:tcPr>
            <w:tcW w:w="8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ascii="宋体" w:cs="宋体"/>
                <w:b/>
                <w:bCs/>
                <w:color w:val="auto"/>
                <w:szCs w:val="21"/>
                <w:highlight w:val="none"/>
              </w:rPr>
            </w:pPr>
            <w:r>
              <w:rPr>
                <w:rFonts w:hint="eastAsia" w:ascii="宋体" w:cs="宋体"/>
                <w:b/>
                <w:bCs/>
                <w:color w:val="auto"/>
                <w:szCs w:val="21"/>
                <w:highlight w:val="none"/>
              </w:rPr>
              <w:t>偏离情况</w:t>
            </w:r>
          </w:p>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hAnsi="宋体" w:cs="宋体"/>
                <w:b/>
                <w:bCs/>
                <w:color w:val="auto"/>
                <w:highlight w:val="none"/>
              </w:rPr>
            </w:pPr>
            <w:r>
              <w:rPr>
                <w:rFonts w:hint="eastAsia" w:ascii="宋体" w:cs="宋体"/>
                <w:color w:val="auto"/>
                <w:highlight w:val="none"/>
              </w:rPr>
              <w:t>“正偏离”或“无偏离”或“负偏离”</w:t>
            </w: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hAnsi="宋体" w:cs="宋体"/>
                <w:b/>
                <w:bCs/>
                <w:color w:val="auto"/>
                <w:szCs w:val="21"/>
                <w:highlight w:val="none"/>
              </w:rPr>
            </w:pPr>
            <w:r>
              <w:rPr>
                <w:rFonts w:hint="eastAsia" w:ascii="宋体" w:cs="宋体"/>
                <w:b/>
                <w:bCs/>
                <w:color w:val="auto"/>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restart"/>
            <w:tcBorders>
              <w:top w:val="single" w:color="auto" w:sz="4" w:space="0"/>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default" w:ascii="宋体" w:hAnsi="宋体" w:eastAsia="宋体" w:cs="仿宋"/>
                <w:color w:val="auto"/>
                <w:kern w:val="0"/>
                <w:szCs w:val="21"/>
                <w:highlight w:val="none"/>
                <w:lang w:val="en-US" w:eastAsia="zh-CN"/>
              </w:rPr>
            </w:pPr>
            <w:r>
              <w:rPr>
                <w:rFonts w:hint="eastAsia" w:ascii="宋体" w:hAnsi="宋体" w:eastAsia="宋体" w:cs="仿宋"/>
                <w:color w:val="auto"/>
                <w:kern w:val="0"/>
                <w:szCs w:val="21"/>
                <w:highlight w:val="none"/>
                <w:lang w:val="en-US" w:eastAsia="zh-CN"/>
              </w:rPr>
              <w:t>1</w:t>
            </w:r>
          </w:p>
        </w:tc>
        <w:tc>
          <w:tcPr>
            <w:tcW w:w="553" w:type="pct"/>
            <w:vMerge w:val="restart"/>
            <w:tcBorders>
              <w:top w:val="single" w:color="auto" w:sz="4" w:space="0"/>
              <w:left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Cs/>
                <w:color w:val="auto"/>
                <w:sz w:val="22"/>
                <w:szCs w:val="22"/>
                <w:highlight w:val="none"/>
                <w:lang w:val="en-US" w:eastAsia="zh-CN"/>
              </w:rPr>
            </w:pPr>
          </w:p>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Cs/>
                <w:color w:val="auto"/>
                <w:sz w:val="22"/>
                <w:szCs w:val="22"/>
                <w:highlight w:val="none"/>
                <w:lang w:val="en-US" w:eastAsia="zh-CN"/>
              </w:rPr>
            </w:pPr>
          </w:p>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Cs/>
                <w:color w:val="auto"/>
                <w:sz w:val="22"/>
                <w:szCs w:val="22"/>
                <w:highlight w:val="none"/>
                <w:lang w:val="en-US" w:eastAsia="zh-CN"/>
              </w:rPr>
            </w:pPr>
          </w:p>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Cs/>
                <w:color w:val="auto"/>
                <w:sz w:val="22"/>
                <w:szCs w:val="22"/>
                <w:highlight w:val="none"/>
                <w:lang w:val="en-US" w:eastAsia="zh-CN"/>
              </w:rPr>
            </w:pPr>
          </w:p>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Cs/>
                <w:color w:val="auto"/>
                <w:sz w:val="22"/>
                <w:szCs w:val="22"/>
                <w:highlight w:val="none"/>
                <w:lang w:val="en-US" w:eastAsia="zh-CN"/>
              </w:rPr>
            </w:pPr>
          </w:p>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Cs/>
                <w:color w:val="auto"/>
                <w:sz w:val="22"/>
                <w:szCs w:val="22"/>
                <w:highlight w:val="none"/>
                <w:lang w:val="en-US" w:eastAsia="zh-CN"/>
              </w:rPr>
            </w:pPr>
          </w:p>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Cs/>
                <w:color w:val="auto"/>
                <w:sz w:val="22"/>
                <w:szCs w:val="22"/>
                <w:highlight w:val="none"/>
                <w:lang w:val="en-US" w:eastAsia="zh-CN"/>
              </w:rPr>
            </w:pPr>
            <w:r>
              <w:rPr>
                <w:rFonts w:hint="default" w:ascii="Times New Roman" w:hAnsi="Times New Roman" w:eastAsia="宋体" w:cs="Times New Roman"/>
                <w:bCs/>
                <w:color w:val="auto"/>
                <w:sz w:val="22"/>
                <w:szCs w:val="22"/>
                <w:highlight w:val="none"/>
                <w:lang w:val="en-US" w:eastAsia="zh-CN"/>
              </w:rPr>
              <w:t>消化内镜能量平台</w:t>
            </w: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Cs/>
                <w:color w:val="auto"/>
                <w:sz w:val="22"/>
                <w:szCs w:val="22"/>
                <w:highlight w:val="none"/>
                <w:lang w:val="en-US" w:eastAsia="zh-CN"/>
              </w:rPr>
            </w:pPr>
            <w:r>
              <w:rPr>
                <w:rFonts w:hint="default" w:ascii="Times New Roman" w:hAnsi="Times New Roman" w:eastAsia="宋体" w:cs="Times New Roman"/>
                <w:bCs/>
                <w:color w:val="auto"/>
                <w:sz w:val="22"/>
                <w:szCs w:val="22"/>
                <w:highlight w:val="none"/>
                <w:lang w:val="en-US" w:eastAsia="zh-CN"/>
              </w:rPr>
              <w:t>（氩气高频电刀）</w:t>
            </w: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Cs/>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Cs/>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Cs/>
                <w:color w:val="auto"/>
                <w:sz w:val="22"/>
                <w:szCs w:val="22"/>
                <w:highlight w:val="none"/>
                <w:lang w:val="en-US" w:eastAsia="zh-CN"/>
              </w:rPr>
            </w:pPr>
          </w:p>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Cs/>
                <w:color w:val="auto"/>
                <w:sz w:val="22"/>
                <w:szCs w:val="22"/>
                <w:highlight w:val="none"/>
                <w:lang w:val="en-US" w:eastAsia="zh-CN"/>
              </w:rPr>
            </w:pPr>
            <w:r>
              <w:rPr>
                <w:rFonts w:hint="default" w:ascii="Times New Roman" w:hAnsi="Times New Roman" w:eastAsia="宋体" w:cs="Times New Roman"/>
                <w:bCs/>
                <w:color w:val="auto"/>
                <w:sz w:val="22"/>
                <w:szCs w:val="22"/>
                <w:highlight w:val="none"/>
                <w:lang w:val="en-US" w:eastAsia="zh-CN"/>
              </w:rPr>
              <w:t>消化内镜能量平台</w:t>
            </w: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Cs/>
                <w:color w:val="auto"/>
                <w:sz w:val="22"/>
                <w:szCs w:val="22"/>
                <w:highlight w:val="none"/>
                <w:lang w:val="en-US" w:eastAsia="zh-CN"/>
              </w:rPr>
            </w:pPr>
            <w:r>
              <w:rPr>
                <w:rFonts w:hint="default" w:ascii="Times New Roman" w:hAnsi="Times New Roman" w:eastAsia="宋体" w:cs="Times New Roman"/>
                <w:bCs/>
                <w:color w:val="auto"/>
                <w:sz w:val="22"/>
                <w:szCs w:val="22"/>
                <w:highlight w:val="none"/>
                <w:lang w:val="en-US" w:eastAsia="zh-CN"/>
              </w:rPr>
              <w:t>（氩气高频电刀）</w:t>
            </w: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Cs/>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Cs/>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Cs/>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Cs/>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Cs/>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Cs/>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Cs/>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Cs/>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Cs/>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Cs/>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Cs/>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Cs/>
                <w:color w:val="auto"/>
                <w:sz w:val="22"/>
                <w:szCs w:val="22"/>
                <w:highlight w:val="none"/>
                <w:lang w:val="en-US" w:eastAsia="zh-CN"/>
              </w:rPr>
            </w:pPr>
          </w:p>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Cs/>
                <w:color w:val="auto"/>
                <w:sz w:val="22"/>
                <w:szCs w:val="22"/>
                <w:highlight w:val="none"/>
                <w:lang w:val="en-US" w:eastAsia="zh-CN"/>
              </w:rPr>
            </w:pPr>
            <w:r>
              <w:rPr>
                <w:rFonts w:hint="default" w:ascii="Times New Roman" w:hAnsi="Times New Roman" w:eastAsia="宋体" w:cs="Times New Roman"/>
                <w:bCs/>
                <w:color w:val="auto"/>
                <w:sz w:val="22"/>
                <w:szCs w:val="22"/>
                <w:highlight w:val="none"/>
                <w:lang w:val="en-US" w:eastAsia="zh-CN"/>
              </w:rPr>
              <w:t>消化内镜能量平台</w:t>
            </w: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Cs/>
                <w:color w:val="auto"/>
                <w:sz w:val="22"/>
                <w:szCs w:val="22"/>
                <w:highlight w:val="none"/>
                <w:lang w:val="en-US" w:eastAsia="zh-CN"/>
              </w:rPr>
            </w:pPr>
            <w:r>
              <w:rPr>
                <w:rFonts w:hint="default" w:ascii="Times New Roman" w:hAnsi="Times New Roman" w:eastAsia="宋体" w:cs="Times New Roman"/>
                <w:bCs/>
                <w:color w:val="auto"/>
                <w:sz w:val="22"/>
                <w:szCs w:val="22"/>
                <w:highlight w:val="none"/>
                <w:lang w:val="en-US" w:eastAsia="zh-CN"/>
              </w:rPr>
              <w:t>（氩气高频电刀）</w:t>
            </w: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Cs/>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Cs/>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Cs/>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Cs/>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Cs/>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Cs/>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Cs/>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Cs/>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Cs/>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Cs/>
                <w:color w:val="auto"/>
                <w:sz w:val="22"/>
                <w:szCs w:val="22"/>
                <w:highlight w:val="none"/>
                <w:lang w:val="en-US" w:eastAsia="zh-CN"/>
              </w:rPr>
            </w:pPr>
          </w:p>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Cs/>
                <w:color w:val="auto"/>
                <w:sz w:val="22"/>
                <w:szCs w:val="22"/>
                <w:highlight w:val="none"/>
                <w:lang w:val="en-US" w:eastAsia="zh-CN"/>
              </w:rPr>
            </w:pPr>
            <w:r>
              <w:rPr>
                <w:rFonts w:hint="default" w:ascii="Times New Roman" w:hAnsi="Times New Roman" w:eastAsia="宋体" w:cs="Times New Roman"/>
                <w:bCs/>
                <w:color w:val="auto"/>
                <w:sz w:val="22"/>
                <w:szCs w:val="22"/>
                <w:highlight w:val="none"/>
                <w:lang w:val="en-US" w:eastAsia="zh-CN"/>
              </w:rPr>
              <w:t>消化内镜能量平台</w:t>
            </w: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Cs/>
                <w:color w:val="auto"/>
                <w:sz w:val="22"/>
                <w:szCs w:val="22"/>
                <w:highlight w:val="none"/>
                <w:lang w:val="en-US" w:eastAsia="zh-CN"/>
              </w:rPr>
            </w:pPr>
            <w:r>
              <w:rPr>
                <w:rFonts w:hint="default" w:ascii="Times New Roman" w:hAnsi="Times New Roman" w:eastAsia="宋体" w:cs="Times New Roman"/>
                <w:bCs/>
                <w:color w:val="auto"/>
                <w:sz w:val="22"/>
                <w:szCs w:val="22"/>
                <w:highlight w:val="none"/>
                <w:lang w:val="en-US" w:eastAsia="zh-CN"/>
              </w:rPr>
              <w:t>（氩气高频电刀）</w:t>
            </w: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Cs/>
                <w:color w:val="auto"/>
                <w:sz w:val="22"/>
                <w:szCs w:val="22"/>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eastAsia" w:ascii="宋体" w:hAnsi="宋体" w:eastAsia="宋体" w:cs="仿宋"/>
                <w:color w:val="auto"/>
                <w:kern w:val="0"/>
                <w:szCs w:val="21"/>
                <w:highlight w:val="none"/>
                <w:lang w:val="en-US" w:eastAsia="zh-CN"/>
              </w:rPr>
            </w:pPr>
            <w:r>
              <w:rPr>
                <w:rFonts w:hint="default" w:ascii="宋体" w:hAnsi="宋体" w:eastAsia="宋体" w:cs="宋体"/>
                <w:b w:val="0"/>
                <w:bCs w:val="0"/>
                <w:color w:val="auto"/>
                <w:kern w:val="2"/>
                <w:sz w:val="22"/>
                <w:szCs w:val="22"/>
                <w:highlight w:val="none"/>
                <w:lang w:val="en-US" w:eastAsia="zh-CN" w:bidi="ar-SA"/>
              </w:rPr>
              <w:t>1</w:t>
            </w:r>
            <w:r>
              <w:rPr>
                <w:rFonts w:hint="eastAsia" w:ascii="宋体" w:hAnsi="宋体" w:eastAsia="宋体" w:cs="宋体"/>
                <w:b w:val="0"/>
                <w:bCs w:val="0"/>
                <w:color w:val="auto"/>
                <w:kern w:val="2"/>
                <w:sz w:val="22"/>
                <w:szCs w:val="22"/>
                <w:highlight w:val="none"/>
                <w:lang w:val="en-US" w:eastAsia="zh-CN" w:bidi="ar-SA"/>
              </w:rPr>
              <w:t>.</w:t>
            </w:r>
            <w:r>
              <w:rPr>
                <w:rFonts w:hint="default" w:ascii="宋体" w:hAnsi="宋体" w:eastAsia="宋体" w:cs="宋体"/>
                <w:b w:val="0"/>
                <w:bCs w:val="0"/>
                <w:color w:val="auto"/>
                <w:kern w:val="2"/>
                <w:sz w:val="22"/>
                <w:szCs w:val="22"/>
                <w:highlight w:val="none"/>
                <w:lang w:val="en-US" w:eastAsia="zh-CN" w:bidi="ar-SA"/>
              </w:rPr>
              <w:t>额定电压：220V，电源频率：50Hz，最大输入功率：880VA，工作频率：381KHz。</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default" w:ascii="宋体" w:hAnsi="宋体" w:eastAsia="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eastAsia" w:ascii="宋体" w:hAnsi="宋体" w:eastAsia="宋体" w:cs="仿宋"/>
                <w:color w:val="auto"/>
                <w:kern w:val="0"/>
                <w:szCs w:val="21"/>
                <w:highlight w:val="none"/>
                <w:lang w:val="en-US" w:eastAsia="zh-CN"/>
              </w:rPr>
            </w:pPr>
            <w:r>
              <w:rPr>
                <w:rFonts w:hint="default" w:ascii="宋体" w:hAnsi="宋体" w:eastAsia="宋体" w:cs="宋体"/>
                <w:b w:val="0"/>
                <w:bCs w:val="0"/>
                <w:color w:val="auto"/>
                <w:kern w:val="2"/>
                <w:sz w:val="22"/>
                <w:szCs w:val="22"/>
                <w:highlight w:val="none"/>
                <w:lang w:val="en-US" w:eastAsia="zh-CN" w:bidi="ar-SA"/>
              </w:rPr>
              <w:t>2.整机一体化设计，具有氩离子电凝止血术（氩气刀）：用于术中止血和组织的失活。</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default" w:ascii="宋体" w:hAnsi="宋体" w:eastAsia="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eastAsia" w:ascii="宋体" w:hAnsi="宋体" w:eastAsia="宋体" w:cs="仿宋"/>
                <w:color w:val="auto"/>
                <w:kern w:val="0"/>
                <w:szCs w:val="21"/>
                <w:highlight w:val="none"/>
                <w:lang w:val="en-US" w:eastAsia="zh-CN"/>
              </w:rPr>
            </w:pPr>
            <w:r>
              <w:rPr>
                <w:rFonts w:hint="default" w:ascii="宋体" w:hAnsi="宋体" w:eastAsia="宋体" w:cs="宋体"/>
                <w:b w:val="0"/>
                <w:bCs w:val="0"/>
                <w:color w:val="auto"/>
                <w:kern w:val="2"/>
                <w:sz w:val="22"/>
                <w:szCs w:val="22"/>
                <w:highlight w:val="none"/>
                <w:lang w:val="en-US" w:eastAsia="zh-CN" w:bidi="ar-SA"/>
              </w:rPr>
              <w:t>3.支持普通单极、氩气单极输出，匹配各类镜下手术。</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default" w:ascii="宋体" w:hAnsi="宋体" w:eastAsia="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eastAsia" w:ascii="宋体" w:hAnsi="宋体" w:eastAsia="宋体" w:cs="仿宋"/>
                <w:color w:val="auto"/>
                <w:kern w:val="0"/>
                <w:szCs w:val="21"/>
                <w:highlight w:val="none"/>
                <w:lang w:val="en-US" w:eastAsia="zh-CN"/>
              </w:rPr>
            </w:pPr>
            <w:r>
              <w:rPr>
                <w:rFonts w:hint="default" w:ascii="宋体" w:hAnsi="宋体" w:eastAsia="宋体" w:cs="宋体"/>
                <w:b w:val="0"/>
                <w:bCs w:val="0"/>
                <w:color w:val="auto"/>
                <w:kern w:val="2"/>
                <w:sz w:val="22"/>
                <w:szCs w:val="22"/>
                <w:highlight w:val="none"/>
                <w:lang w:val="en-US" w:eastAsia="zh-CN" w:bidi="ar-SA"/>
              </w:rPr>
              <w:t>4.采用7寸大屏幕液晶彩色显示、集中显示功能，灵活的操作界面，功率和参数可通过按键方便调节，可存储≥10组临床经验设置。</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default" w:ascii="宋体" w:hAnsi="宋体" w:eastAsia="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eastAsia" w:ascii="宋体" w:hAnsi="宋体" w:eastAsia="宋体" w:cs="仿宋"/>
                <w:color w:val="auto"/>
                <w:kern w:val="0"/>
                <w:szCs w:val="21"/>
                <w:highlight w:val="none"/>
                <w:lang w:val="en-US" w:eastAsia="zh-CN"/>
              </w:rPr>
            </w:pPr>
            <w:r>
              <w:rPr>
                <w:rFonts w:hint="eastAsia" w:ascii="宋体" w:hAnsi="宋体" w:eastAsia="宋体" w:cs="宋体"/>
                <w:color w:val="auto"/>
                <w:sz w:val="22"/>
                <w:highlight w:val="none"/>
              </w:rPr>
              <w:t>▲</w:t>
            </w:r>
            <w:r>
              <w:rPr>
                <w:rFonts w:hint="default" w:ascii="宋体" w:hAnsi="宋体" w:eastAsia="宋体" w:cs="宋体"/>
                <w:b w:val="0"/>
                <w:bCs w:val="0"/>
                <w:color w:val="auto"/>
                <w:kern w:val="2"/>
                <w:sz w:val="22"/>
                <w:szCs w:val="22"/>
                <w:highlight w:val="none"/>
                <w:lang w:val="en-US" w:eastAsia="zh-CN" w:bidi="ar-SA"/>
              </w:rPr>
              <w:t>5.具有纯切、混切、内镜电切I、内镜电切Q、柔和电凝、强力电凝、喷凝、喷射电凝I、喷射电凝II 9种工作模式。</w:t>
            </w:r>
            <w:r>
              <w:rPr>
                <w:rFonts w:hint="eastAsia" w:ascii="宋体" w:hAnsi="宋体" w:eastAsia="宋体" w:cs="宋体"/>
                <w:b w:val="0"/>
                <w:bCs w:val="0"/>
                <w:color w:val="auto"/>
                <w:kern w:val="2"/>
                <w:sz w:val="22"/>
                <w:szCs w:val="22"/>
                <w:highlight w:val="none"/>
                <w:lang w:val="zh-CN" w:eastAsia="zh-CN" w:bidi="ar-SA"/>
              </w:rPr>
              <w:t>（</w:t>
            </w:r>
            <w:r>
              <w:rPr>
                <w:rFonts w:hint="eastAsia" w:ascii="宋体" w:hAnsi="宋体" w:eastAsia="宋体" w:cs="宋体"/>
                <w:b/>
                <w:bCs/>
                <w:color w:val="auto"/>
                <w:kern w:val="2"/>
                <w:sz w:val="22"/>
                <w:szCs w:val="22"/>
                <w:highlight w:val="none"/>
                <w:lang w:val="zh-CN" w:eastAsia="zh-CN" w:bidi="ar-SA"/>
              </w:rPr>
              <w:t>投标时需提供产品技术白皮书或说明书扫描件或产品彩页，注：对应参数在证明材料中进行标注，</w:t>
            </w:r>
            <w:r>
              <w:rPr>
                <w:rFonts w:hint="eastAsia" w:ascii="宋体" w:hAnsi="宋体" w:eastAsia="宋体" w:cs="宋体"/>
                <w:b/>
                <w:bCs/>
                <w:color w:val="auto"/>
                <w:kern w:val="2"/>
                <w:sz w:val="22"/>
                <w:szCs w:val="22"/>
                <w:highlight w:val="none"/>
                <w:lang w:val="en-US" w:eastAsia="zh-CN" w:bidi="ar-SA"/>
              </w:rPr>
              <w:t>中标后</w:t>
            </w:r>
            <w:r>
              <w:rPr>
                <w:rFonts w:hint="eastAsia" w:ascii="宋体" w:hAnsi="宋体" w:eastAsia="宋体" w:cs="宋体"/>
                <w:b/>
                <w:bCs/>
                <w:color w:val="auto"/>
                <w:kern w:val="2"/>
                <w:sz w:val="22"/>
                <w:szCs w:val="22"/>
                <w:highlight w:val="none"/>
                <w:lang w:val="zh-CN" w:eastAsia="zh-CN" w:bidi="ar-SA"/>
              </w:rPr>
              <w:t>原件备查。</w:t>
            </w:r>
            <w:r>
              <w:rPr>
                <w:rFonts w:hint="eastAsia" w:ascii="宋体" w:hAnsi="宋体" w:eastAsia="宋体" w:cs="宋体"/>
                <w:b w:val="0"/>
                <w:bCs w:val="0"/>
                <w:color w:val="auto"/>
                <w:kern w:val="2"/>
                <w:sz w:val="22"/>
                <w:szCs w:val="22"/>
                <w:highlight w:val="none"/>
                <w:lang w:val="zh-CN" w:eastAsia="zh-CN" w:bidi="ar-SA"/>
              </w:rPr>
              <w:t>）</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default" w:ascii="宋体" w:hAnsi="宋体" w:eastAsia="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eastAsia" w:ascii="宋体" w:hAnsi="宋体" w:eastAsia="宋体" w:cs="仿宋"/>
                <w:color w:val="auto"/>
                <w:kern w:val="0"/>
                <w:szCs w:val="21"/>
                <w:highlight w:val="none"/>
                <w:lang w:val="en-US" w:eastAsia="zh-CN"/>
              </w:rPr>
            </w:pPr>
            <w:r>
              <w:rPr>
                <w:rFonts w:hint="eastAsia" w:ascii="宋体" w:hAnsi="宋体" w:eastAsia="宋体" w:cs="宋体"/>
                <w:color w:val="auto"/>
                <w:sz w:val="22"/>
                <w:highlight w:val="none"/>
              </w:rPr>
              <w:t>▲</w:t>
            </w:r>
            <w:r>
              <w:rPr>
                <w:rFonts w:hint="default" w:ascii="宋体" w:hAnsi="宋体" w:eastAsia="宋体" w:cs="宋体"/>
                <w:b w:val="0"/>
                <w:bCs w:val="0"/>
                <w:color w:val="auto"/>
                <w:kern w:val="2"/>
                <w:sz w:val="22"/>
                <w:szCs w:val="22"/>
                <w:highlight w:val="none"/>
                <w:lang w:val="en-US" w:eastAsia="zh-CN" w:bidi="ar-SA"/>
              </w:rPr>
              <w:t>6.每种工作模式支持4-6种输出效果。</w:t>
            </w:r>
            <w:r>
              <w:rPr>
                <w:rFonts w:hint="eastAsia" w:ascii="宋体" w:hAnsi="宋体" w:eastAsia="宋体" w:cs="宋体"/>
                <w:b w:val="0"/>
                <w:bCs w:val="0"/>
                <w:color w:val="auto"/>
                <w:kern w:val="2"/>
                <w:sz w:val="22"/>
                <w:szCs w:val="22"/>
                <w:highlight w:val="none"/>
                <w:lang w:val="zh-CN" w:eastAsia="zh-CN" w:bidi="ar-SA"/>
              </w:rPr>
              <w:t>（</w:t>
            </w:r>
            <w:r>
              <w:rPr>
                <w:rFonts w:hint="eastAsia" w:ascii="宋体" w:hAnsi="宋体" w:eastAsia="宋体" w:cs="宋体"/>
                <w:b/>
                <w:bCs/>
                <w:color w:val="auto"/>
                <w:kern w:val="2"/>
                <w:sz w:val="22"/>
                <w:szCs w:val="22"/>
                <w:highlight w:val="none"/>
                <w:lang w:val="zh-CN" w:eastAsia="zh-CN" w:bidi="ar-SA"/>
              </w:rPr>
              <w:t>投标时需提供产品技术白皮书或说明书扫描件或产品彩页，注：对应参数在证明材料中进行标注，</w:t>
            </w:r>
            <w:r>
              <w:rPr>
                <w:rFonts w:hint="eastAsia" w:ascii="宋体" w:hAnsi="宋体" w:eastAsia="宋体" w:cs="宋体"/>
                <w:b/>
                <w:bCs/>
                <w:color w:val="auto"/>
                <w:kern w:val="2"/>
                <w:sz w:val="22"/>
                <w:szCs w:val="22"/>
                <w:highlight w:val="none"/>
                <w:lang w:val="en-US" w:eastAsia="zh-CN" w:bidi="ar-SA"/>
              </w:rPr>
              <w:t>中标后</w:t>
            </w:r>
            <w:r>
              <w:rPr>
                <w:rFonts w:hint="eastAsia" w:ascii="宋体" w:hAnsi="宋体" w:eastAsia="宋体" w:cs="宋体"/>
                <w:b/>
                <w:bCs/>
                <w:color w:val="auto"/>
                <w:kern w:val="2"/>
                <w:sz w:val="22"/>
                <w:szCs w:val="22"/>
                <w:highlight w:val="none"/>
                <w:lang w:val="zh-CN" w:eastAsia="zh-CN" w:bidi="ar-SA"/>
              </w:rPr>
              <w:t>原件备查。</w:t>
            </w:r>
            <w:r>
              <w:rPr>
                <w:rFonts w:hint="eastAsia" w:ascii="宋体" w:hAnsi="宋体" w:eastAsia="宋体" w:cs="宋体"/>
                <w:b w:val="0"/>
                <w:bCs w:val="0"/>
                <w:color w:val="auto"/>
                <w:kern w:val="2"/>
                <w:sz w:val="22"/>
                <w:szCs w:val="22"/>
                <w:highlight w:val="none"/>
                <w:lang w:val="zh-CN" w:eastAsia="zh-CN" w:bidi="ar-SA"/>
              </w:rPr>
              <w:t>）</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eastAsia" w:ascii="宋体" w:hAnsi="宋体" w:eastAsia="宋体" w:cs="仿宋"/>
                <w:color w:val="auto"/>
                <w:kern w:val="0"/>
                <w:szCs w:val="21"/>
                <w:highlight w:val="none"/>
                <w:lang w:val="en-US" w:eastAsia="zh-CN"/>
              </w:rPr>
            </w:pPr>
            <w:r>
              <w:rPr>
                <w:rFonts w:hint="default" w:ascii="宋体" w:hAnsi="宋体" w:eastAsia="宋体" w:cs="宋体"/>
                <w:b w:val="0"/>
                <w:bCs w:val="0"/>
                <w:color w:val="auto"/>
                <w:kern w:val="2"/>
                <w:sz w:val="22"/>
                <w:szCs w:val="22"/>
                <w:highlight w:val="none"/>
                <w:lang w:val="en-US" w:eastAsia="zh-CN" w:bidi="ar-SA"/>
              </w:rPr>
              <w:t>7.最大电切功率≤300W，电凝功能≤150W，输出功率偏差率：≤±20%（额定负载）。</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default" w:ascii="宋体" w:hAnsi="宋体" w:eastAsia="宋体" w:cs="宋体"/>
                <w:b w:val="0"/>
                <w:bCs w:val="0"/>
                <w:color w:val="auto"/>
                <w:kern w:val="2"/>
                <w:sz w:val="22"/>
                <w:szCs w:val="22"/>
                <w:highlight w:val="none"/>
                <w:lang w:val="en-US" w:eastAsia="zh-CN" w:bidi="ar-SA"/>
              </w:rPr>
            </w:pPr>
            <w:r>
              <w:rPr>
                <w:rFonts w:hint="default" w:ascii="宋体" w:hAnsi="宋体" w:eastAsia="宋体" w:cs="宋体"/>
                <w:b w:val="0"/>
                <w:bCs w:val="0"/>
                <w:color w:val="auto"/>
                <w:kern w:val="2"/>
                <w:sz w:val="22"/>
                <w:szCs w:val="22"/>
                <w:highlight w:val="none"/>
                <w:lang w:val="en-US" w:eastAsia="zh-CN" w:bidi="ar-SA"/>
              </w:rPr>
              <w:t>8.具有PPS功率峰值补偿系统，可通过探测组织阻抗，自动调节输出能量，达到切割顺畅。</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default" w:ascii="宋体" w:hAnsi="宋体" w:eastAsia="宋体" w:cs="宋体"/>
                <w:b w:val="0"/>
                <w:bCs w:val="0"/>
                <w:color w:val="auto"/>
                <w:kern w:val="2"/>
                <w:sz w:val="22"/>
                <w:szCs w:val="22"/>
                <w:highlight w:val="none"/>
                <w:lang w:val="en-US" w:eastAsia="zh-CN" w:bidi="ar-SA"/>
              </w:rPr>
            </w:pPr>
            <w:r>
              <w:rPr>
                <w:rFonts w:hint="eastAsia" w:ascii="宋体" w:hAnsi="宋体" w:eastAsia="宋体" w:cs="宋体"/>
                <w:color w:val="auto"/>
                <w:sz w:val="22"/>
                <w:highlight w:val="none"/>
              </w:rPr>
              <w:t>▲</w:t>
            </w:r>
            <w:r>
              <w:rPr>
                <w:rFonts w:hint="default" w:ascii="宋体" w:hAnsi="宋体" w:eastAsia="宋体" w:cs="宋体"/>
                <w:b w:val="0"/>
                <w:bCs w:val="0"/>
                <w:color w:val="auto"/>
                <w:kern w:val="2"/>
                <w:sz w:val="22"/>
                <w:szCs w:val="22"/>
                <w:highlight w:val="none"/>
                <w:lang w:val="en-US" w:eastAsia="zh-CN" w:bidi="ar-SA"/>
              </w:rPr>
              <w:t>9.具有阻抗即时反馈技术。</w:t>
            </w:r>
            <w:r>
              <w:rPr>
                <w:rFonts w:hint="eastAsia" w:ascii="宋体" w:hAnsi="宋体" w:eastAsia="宋体" w:cs="宋体"/>
                <w:b w:val="0"/>
                <w:bCs w:val="0"/>
                <w:color w:val="auto"/>
                <w:kern w:val="2"/>
                <w:sz w:val="22"/>
                <w:szCs w:val="22"/>
                <w:highlight w:val="none"/>
                <w:lang w:val="zh-CN" w:eastAsia="zh-CN" w:bidi="ar-SA"/>
              </w:rPr>
              <w:t>（</w:t>
            </w:r>
            <w:r>
              <w:rPr>
                <w:rFonts w:hint="eastAsia" w:ascii="宋体" w:hAnsi="宋体" w:eastAsia="宋体" w:cs="宋体"/>
                <w:b/>
                <w:bCs/>
                <w:color w:val="auto"/>
                <w:kern w:val="2"/>
                <w:sz w:val="22"/>
                <w:szCs w:val="22"/>
                <w:highlight w:val="none"/>
                <w:lang w:val="zh-CN" w:eastAsia="zh-CN" w:bidi="ar-SA"/>
              </w:rPr>
              <w:t>投标时需提供产品技术白皮书或说明书扫描件或产品彩页，注：对应参数在证明材料中进行标注，</w:t>
            </w:r>
            <w:r>
              <w:rPr>
                <w:rFonts w:hint="eastAsia" w:ascii="宋体" w:hAnsi="宋体" w:eastAsia="宋体" w:cs="宋体"/>
                <w:b/>
                <w:bCs/>
                <w:color w:val="auto"/>
                <w:kern w:val="2"/>
                <w:sz w:val="22"/>
                <w:szCs w:val="22"/>
                <w:highlight w:val="none"/>
                <w:lang w:val="en-US" w:eastAsia="zh-CN" w:bidi="ar-SA"/>
              </w:rPr>
              <w:t>中标后</w:t>
            </w:r>
            <w:r>
              <w:rPr>
                <w:rFonts w:hint="eastAsia" w:ascii="宋体" w:hAnsi="宋体" w:eastAsia="宋体" w:cs="宋体"/>
                <w:b/>
                <w:bCs/>
                <w:color w:val="auto"/>
                <w:kern w:val="2"/>
                <w:sz w:val="22"/>
                <w:szCs w:val="22"/>
                <w:highlight w:val="none"/>
                <w:lang w:val="zh-CN" w:eastAsia="zh-CN" w:bidi="ar-SA"/>
              </w:rPr>
              <w:t>原件备查。</w:t>
            </w:r>
            <w:r>
              <w:rPr>
                <w:rFonts w:hint="eastAsia" w:ascii="宋体" w:hAnsi="宋体" w:eastAsia="宋体" w:cs="宋体"/>
                <w:b w:val="0"/>
                <w:bCs w:val="0"/>
                <w:color w:val="auto"/>
                <w:kern w:val="2"/>
                <w:sz w:val="22"/>
                <w:szCs w:val="22"/>
                <w:highlight w:val="none"/>
                <w:lang w:val="zh-CN" w:eastAsia="zh-CN" w:bidi="ar-SA"/>
              </w:rPr>
              <w:t>）</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default" w:ascii="宋体" w:hAnsi="宋体" w:eastAsia="宋体" w:cs="宋体"/>
                <w:b w:val="0"/>
                <w:bCs w:val="0"/>
                <w:color w:val="auto"/>
                <w:kern w:val="2"/>
                <w:sz w:val="22"/>
                <w:szCs w:val="22"/>
                <w:highlight w:val="none"/>
                <w:lang w:val="en-US" w:eastAsia="zh-CN" w:bidi="ar-SA"/>
              </w:rPr>
            </w:pPr>
            <w:r>
              <w:rPr>
                <w:rFonts w:hint="eastAsia" w:ascii="宋体" w:hAnsi="宋体" w:eastAsia="宋体" w:cs="宋体"/>
                <w:color w:val="auto"/>
                <w:sz w:val="22"/>
                <w:highlight w:val="none"/>
              </w:rPr>
              <w:t>▲</w:t>
            </w:r>
            <w:r>
              <w:rPr>
                <w:rFonts w:hint="default" w:ascii="宋体" w:hAnsi="宋体" w:eastAsia="宋体" w:cs="宋体"/>
                <w:b w:val="0"/>
                <w:bCs w:val="0"/>
                <w:color w:val="auto"/>
                <w:kern w:val="2"/>
                <w:sz w:val="22"/>
                <w:szCs w:val="22"/>
                <w:highlight w:val="none"/>
                <w:lang w:val="en-US" w:eastAsia="zh-CN" w:bidi="ar-SA"/>
              </w:rPr>
              <w:t>10. 具有专用内镜手术，内镜切I、内镜切Q，可根据阻抗变化自动调节功率。</w:t>
            </w:r>
            <w:r>
              <w:rPr>
                <w:rFonts w:hint="eastAsia" w:ascii="宋体" w:hAnsi="宋体" w:eastAsia="宋体" w:cs="宋体"/>
                <w:b w:val="0"/>
                <w:bCs w:val="0"/>
                <w:color w:val="auto"/>
                <w:kern w:val="2"/>
                <w:sz w:val="22"/>
                <w:szCs w:val="22"/>
                <w:highlight w:val="none"/>
                <w:lang w:val="zh-CN" w:eastAsia="zh-CN" w:bidi="ar-SA"/>
              </w:rPr>
              <w:t>（</w:t>
            </w:r>
            <w:r>
              <w:rPr>
                <w:rFonts w:hint="eastAsia" w:ascii="宋体" w:hAnsi="宋体" w:eastAsia="宋体" w:cs="宋体"/>
                <w:b/>
                <w:bCs/>
                <w:color w:val="auto"/>
                <w:kern w:val="2"/>
                <w:sz w:val="22"/>
                <w:szCs w:val="22"/>
                <w:highlight w:val="none"/>
                <w:lang w:val="zh-CN" w:eastAsia="zh-CN" w:bidi="ar-SA"/>
              </w:rPr>
              <w:t>投标时需提供产品技术白皮书或说明书扫描件或产品彩页，注：对应参数在证明材料中进行标注，</w:t>
            </w:r>
            <w:r>
              <w:rPr>
                <w:rFonts w:hint="eastAsia" w:ascii="宋体" w:hAnsi="宋体" w:eastAsia="宋体" w:cs="宋体"/>
                <w:b/>
                <w:bCs/>
                <w:color w:val="auto"/>
                <w:kern w:val="2"/>
                <w:sz w:val="22"/>
                <w:szCs w:val="22"/>
                <w:highlight w:val="none"/>
                <w:lang w:val="en-US" w:eastAsia="zh-CN" w:bidi="ar-SA"/>
              </w:rPr>
              <w:t>中标后</w:t>
            </w:r>
            <w:r>
              <w:rPr>
                <w:rFonts w:hint="eastAsia" w:ascii="宋体" w:hAnsi="宋体" w:eastAsia="宋体" w:cs="宋体"/>
                <w:b/>
                <w:bCs/>
                <w:color w:val="auto"/>
                <w:kern w:val="2"/>
                <w:sz w:val="22"/>
                <w:szCs w:val="22"/>
                <w:highlight w:val="none"/>
                <w:lang w:val="zh-CN" w:eastAsia="zh-CN" w:bidi="ar-SA"/>
              </w:rPr>
              <w:t>原件备查。</w:t>
            </w:r>
            <w:r>
              <w:rPr>
                <w:rFonts w:hint="eastAsia" w:ascii="宋体" w:hAnsi="宋体" w:eastAsia="宋体" w:cs="宋体"/>
                <w:b w:val="0"/>
                <w:bCs w:val="0"/>
                <w:color w:val="auto"/>
                <w:kern w:val="2"/>
                <w:sz w:val="22"/>
                <w:szCs w:val="22"/>
                <w:highlight w:val="none"/>
                <w:lang w:val="zh-CN" w:eastAsia="zh-CN" w:bidi="ar-SA"/>
              </w:rPr>
              <w:t>）</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default" w:ascii="宋体" w:hAnsi="宋体" w:eastAsia="宋体" w:cs="宋体"/>
                <w:b w:val="0"/>
                <w:bCs w:val="0"/>
                <w:color w:val="auto"/>
                <w:kern w:val="2"/>
                <w:sz w:val="22"/>
                <w:szCs w:val="22"/>
                <w:highlight w:val="none"/>
                <w:lang w:val="en-US" w:eastAsia="zh-CN" w:bidi="ar-SA"/>
              </w:rPr>
            </w:pPr>
            <w:r>
              <w:rPr>
                <w:rFonts w:hint="default" w:ascii="宋体" w:hAnsi="宋体" w:eastAsia="宋体" w:cs="宋体"/>
                <w:b w:val="0"/>
                <w:bCs w:val="0"/>
                <w:color w:val="auto"/>
                <w:kern w:val="2"/>
                <w:sz w:val="22"/>
                <w:szCs w:val="22"/>
                <w:highlight w:val="none"/>
                <w:lang w:val="en-US" w:eastAsia="zh-CN" w:bidi="ar-SA"/>
              </w:rPr>
              <w:t>11.内置风扇，防止灰尘进入。</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default" w:ascii="宋体" w:hAnsi="宋体" w:eastAsia="宋体" w:cs="宋体"/>
                <w:b w:val="0"/>
                <w:bCs w:val="0"/>
                <w:color w:val="auto"/>
                <w:kern w:val="2"/>
                <w:sz w:val="22"/>
                <w:szCs w:val="22"/>
                <w:highlight w:val="none"/>
                <w:lang w:val="en-US" w:eastAsia="zh-CN" w:bidi="ar-SA"/>
              </w:rPr>
            </w:pPr>
            <w:r>
              <w:rPr>
                <w:rFonts w:hint="eastAsia" w:ascii="宋体" w:hAnsi="宋体" w:eastAsia="宋体" w:cs="宋体"/>
                <w:color w:val="auto"/>
                <w:sz w:val="22"/>
                <w:highlight w:val="none"/>
              </w:rPr>
              <w:t>▲</w:t>
            </w:r>
            <w:r>
              <w:rPr>
                <w:rFonts w:hint="default" w:ascii="宋体" w:hAnsi="宋体" w:eastAsia="宋体" w:cs="宋体"/>
                <w:b w:val="0"/>
                <w:bCs w:val="0"/>
                <w:color w:val="auto"/>
                <w:kern w:val="2"/>
                <w:sz w:val="22"/>
                <w:szCs w:val="22"/>
                <w:highlight w:val="none"/>
                <w:lang w:val="en-US" w:eastAsia="zh-CN" w:bidi="ar-SA"/>
              </w:rPr>
              <w:t>12.具有电极板接触质量数字化显示检测系统。</w:t>
            </w:r>
            <w:r>
              <w:rPr>
                <w:rFonts w:hint="eastAsia" w:ascii="宋体" w:hAnsi="宋体" w:eastAsia="宋体" w:cs="宋体"/>
                <w:b w:val="0"/>
                <w:bCs w:val="0"/>
                <w:color w:val="auto"/>
                <w:kern w:val="2"/>
                <w:sz w:val="22"/>
                <w:szCs w:val="22"/>
                <w:highlight w:val="none"/>
                <w:lang w:val="zh-CN" w:eastAsia="zh-CN" w:bidi="ar-SA"/>
              </w:rPr>
              <w:t>（</w:t>
            </w:r>
            <w:r>
              <w:rPr>
                <w:rFonts w:hint="eastAsia" w:ascii="宋体" w:hAnsi="宋体" w:eastAsia="宋体" w:cs="宋体"/>
                <w:b/>
                <w:bCs/>
                <w:color w:val="auto"/>
                <w:kern w:val="2"/>
                <w:sz w:val="22"/>
                <w:szCs w:val="22"/>
                <w:highlight w:val="none"/>
                <w:lang w:val="zh-CN" w:eastAsia="zh-CN" w:bidi="ar-SA"/>
              </w:rPr>
              <w:t>投标时需提供产品技术白皮书或说明书扫描件或产品彩页，注：对应参数在证明材料中进行标注，</w:t>
            </w:r>
            <w:r>
              <w:rPr>
                <w:rFonts w:hint="eastAsia" w:ascii="宋体" w:hAnsi="宋体" w:eastAsia="宋体" w:cs="宋体"/>
                <w:b/>
                <w:bCs/>
                <w:color w:val="auto"/>
                <w:kern w:val="2"/>
                <w:sz w:val="22"/>
                <w:szCs w:val="22"/>
                <w:highlight w:val="none"/>
                <w:lang w:val="en-US" w:eastAsia="zh-CN" w:bidi="ar-SA"/>
              </w:rPr>
              <w:t>中标后</w:t>
            </w:r>
            <w:r>
              <w:rPr>
                <w:rFonts w:hint="eastAsia" w:ascii="宋体" w:hAnsi="宋体" w:eastAsia="宋体" w:cs="宋体"/>
                <w:b/>
                <w:bCs/>
                <w:color w:val="auto"/>
                <w:kern w:val="2"/>
                <w:sz w:val="22"/>
                <w:szCs w:val="22"/>
                <w:highlight w:val="none"/>
                <w:lang w:val="zh-CN" w:eastAsia="zh-CN" w:bidi="ar-SA"/>
              </w:rPr>
              <w:t>原件备查。</w:t>
            </w:r>
            <w:r>
              <w:rPr>
                <w:rFonts w:hint="eastAsia" w:ascii="宋体" w:hAnsi="宋体" w:eastAsia="宋体" w:cs="宋体"/>
                <w:b w:val="0"/>
                <w:bCs w:val="0"/>
                <w:color w:val="auto"/>
                <w:kern w:val="2"/>
                <w:sz w:val="22"/>
                <w:szCs w:val="22"/>
                <w:highlight w:val="none"/>
                <w:lang w:val="zh-CN" w:eastAsia="zh-CN" w:bidi="ar-SA"/>
              </w:rPr>
              <w:t>）</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default" w:ascii="宋体" w:hAnsi="宋体" w:eastAsia="宋体" w:cs="宋体"/>
                <w:b w:val="0"/>
                <w:bCs w:val="0"/>
                <w:color w:val="auto"/>
                <w:kern w:val="2"/>
                <w:sz w:val="22"/>
                <w:szCs w:val="22"/>
                <w:highlight w:val="none"/>
                <w:lang w:val="en-US" w:eastAsia="zh-CN" w:bidi="ar-SA"/>
              </w:rPr>
            </w:pPr>
            <w:r>
              <w:rPr>
                <w:rFonts w:hint="eastAsia" w:ascii="宋体" w:hAnsi="宋体" w:eastAsia="宋体" w:cs="宋体"/>
                <w:color w:val="auto"/>
                <w:sz w:val="22"/>
                <w:highlight w:val="none"/>
              </w:rPr>
              <w:t>▲</w:t>
            </w:r>
            <w:r>
              <w:rPr>
                <w:rFonts w:hint="default" w:ascii="宋体" w:hAnsi="宋体" w:eastAsia="宋体" w:cs="宋体"/>
                <w:b w:val="0"/>
                <w:bCs w:val="0"/>
                <w:color w:val="auto"/>
                <w:kern w:val="2"/>
                <w:sz w:val="22"/>
                <w:szCs w:val="22"/>
                <w:highlight w:val="none"/>
                <w:lang w:val="en-US" w:eastAsia="zh-CN" w:bidi="ar-SA"/>
              </w:rPr>
              <w:t>13.采用多CPU设计，专用的CPU进行设备故障管理，任意故障，可以第一时间切断输出，安全更可靠。</w:t>
            </w:r>
            <w:r>
              <w:rPr>
                <w:rFonts w:hint="eastAsia" w:ascii="宋体" w:hAnsi="宋体" w:eastAsia="宋体" w:cs="宋体"/>
                <w:b w:val="0"/>
                <w:bCs w:val="0"/>
                <w:color w:val="auto"/>
                <w:kern w:val="2"/>
                <w:sz w:val="22"/>
                <w:szCs w:val="22"/>
                <w:highlight w:val="none"/>
                <w:lang w:val="zh-CN" w:eastAsia="zh-CN" w:bidi="ar-SA"/>
              </w:rPr>
              <w:t>（</w:t>
            </w:r>
            <w:r>
              <w:rPr>
                <w:rFonts w:hint="eastAsia" w:ascii="宋体" w:hAnsi="宋体" w:eastAsia="宋体" w:cs="宋体"/>
                <w:b/>
                <w:bCs/>
                <w:color w:val="auto"/>
                <w:kern w:val="2"/>
                <w:sz w:val="22"/>
                <w:szCs w:val="22"/>
                <w:highlight w:val="none"/>
                <w:lang w:val="zh-CN" w:eastAsia="zh-CN" w:bidi="ar-SA"/>
              </w:rPr>
              <w:t>投标时需提供产品技术白皮书或说明书扫描件或产品彩页，注：对应参数在证明材料中进行标注，</w:t>
            </w:r>
            <w:r>
              <w:rPr>
                <w:rFonts w:hint="eastAsia" w:ascii="宋体" w:hAnsi="宋体" w:eastAsia="宋体" w:cs="宋体"/>
                <w:b/>
                <w:bCs/>
                <w:color w:val="auto"/>
                <w:kern w:val="2"/>
                <w:sz w:val="22"/>
                <w:szCs w:val="22"/>
                <w:highlight w:val="none"/>
                <w:lang w:val="en-US" w:eastAsia="zh-CN" w:bidi="ar-SA"/>
              </w:rPr>
              <w:t>中标后</w:t>
            </w:r>
            <w:r>
              <w:rPr>
                <w:rFonts w:hint="eastAsia" w:ascii="宋体" w:hAnsi="宋体" w:eastAsia="宋体" w:cs="宋体"/>
                <w:b/>
                <w:bCs/>
                <w:color w:val="auto"/>
                <w:kern w:val="2"/>
                <w:sz w:val="22"/>
                <w:szCs w:val="22"/>
                <w:highlight w:val="none"/>
                <w:lang w:val="zh-CN" w:eastAsia="zh-CN" w:bidi="ar-SA"/>
              </w:rPr>
              <w:t>原件备查。</w:t>
            </w:r>
            <w:r>
              <w:rPr>
                <w:rFonts w:hint="eastAsia" w:ascii="宋体" w:hAnsi="宋体" w:eastAsia="宋体" w:cs="宋体"/>
                <w:b w:val="0"/>
                <w:bCs w:val="0"/>
                <w:color w:val="auto"/>
                <w:kern w:val="2"/>
                <w:sz w:val="22"/>
                <w:szCs w:val="22"/>
                <w:highlight w:val="none"/>
                <w:lang w:val="zh-CN" w:eastAsia="zh-CN" w:bidi="ar-SA"/>
              </w:rPr>
              <w:t>）</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default" w:ascii="宋体" w:hAnsi="宋体" w:eastAsia="宋体" w:cs="宋体"/>
                <w:b w:val="0"/>
                <w:bCs w:val="0"/>
                <w:color w:val="auto"/>
                <w:kern w:val="2"/>
                <w:sz w:val="22"/>
                <w:szCs w:val="22"/>
                <w:highlight w:val="none"/>
                <w:lang w:val="en-US" w:eastAsia="zh-CN" w:bidi="ar-SA"/>
              </w:rPr>
            </w:pPr>
            <w:r>
              <w:rPr>
                <w:rFonts w:hint="default" w:ascii="宋体" w:hAnsi="宋体" w:eastAsia="宋体" w:cs="宋体"/>
                <w:b w:val="0"/>
                <w:bCs w:val="0"/>
                <w:color w:val="auto"/>
                <w:kern w:val="2"/>
                <w:sz w:val="22"/>
                <w:szCs w:val="22"/>
                <w:highlight w:val="none"/>
                <w:lang w:val="en-US" w:eastAsia="zh-CN" w:bidi="ar-SA"/>
              </w:rPr>
              <w:t>14.具有氩气流量恒定输出监测系统及末端压力自动监测系统。</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default" w:ascii="宋体" w:hAnsi="宋体" w:eastAsia="宋体" w:cs="宋体"/>
                <w:b w:val="0"/>
                <w:bCs w:val="0"/>
                <w:color w:val="auto"/>
                <w:kern w:val="2"/>
                <w:sz w:val="22"/>
                <w:szCs w:val="22"/>
                <w:highlight w:val="none"/>
                <w:lang w:val="en-US" w:eastAsia="zh-CN" w:bidi="ar-SA"/>
              </w:rPr>
            </w:pPr>
            <w:r>
              <w:rPr>
                <w:rFonts w:hint="default" w:ascii="宋体" w:hAnsi="宋体" w:eastAsia="宋体" w:cs="宋体"/>
                <w:b w:val="0"/>
                <w:bCs w:val="0"/>
                <w:color w:val="auto"/>
                <w:kern w:val="2"/>
                <w:sz w:val="22"/>
                <w:szCs w:val="22"/>
                <w:highlight w:val="none"/>
                <w:lang w:val="en-US" w:eastAsia="zh-CN" w:bidi="ar-SA"/>
              </w:rPr>
              <w:t>15.具有开机自检，漏电检测功能。</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default" w:ascii="宋体" w:hAnsi="宋体" w:eastAsia="宋体" w:cs="宋体"/>
                <w:b w:val="0"/>
                <w:bCs w:val="0"/>
                <w:color w:val="auto"/>
                <w:kern w:val="2"/>
                <w:sz w:val="22"/>
                <w:szCs w:val="22"/>
                <w:highlight w:val="none"/>
                <w:lang w:val="en-US" w:eastAsia="zh-CN" w:bidi="ar-SA"/>
              </w:rPr>
            </w:pPr>
            <w:r>
              <w:rPr>
                <w:rFonts w:hint="default" w:ascii="宋体" w:hAnsi="宋体" w:eastAsia="宋体" w:cs="宋体"/>
                <w:b w:val="0"/>
                <w:bCs w:val="0"/>
                <w:color w:val="auto"/>
                <w:kern w:val="2"/>
                <w:sz w:val="22"/>
                <w:szCs w:val="22"/>
                <w:highlight w:val="none"/>
                <w:lang w:val="en-US" w:eastAsia="zh-CN" w:bidi="ar-SA"/>
              </w:rPr>
              <w:t>16.氩离子喷射电凝模式,功率调节范围：1-100W，凝血深度≤3mm。</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default" w:ascii="宋体" w:hAnsi="宋体" w:eastAsia="宋体" w:cs="宋体"/>
                <w:b w:val="0"/>
                <w:bCs w:val="0"/>
                <w:color w:val="auto"/>
                <w:kern w:val="2"/>
                <w:sz w:val="22"/>
                <w:szCs w:val="22"/>
                <w:highlight w:val="none"/>
                <w:lang w:val="en-US" w:eastAsia="zh-CN" w:bidi="ar-SA"/>
              </w:rPr>
            </w:pPr>
            <w:r>
              <w:rPr>
                <w:rFonts w:hint="default" w:ascii="宋体" w:hAnsi="宋体" w:eastAsia="宋体" w:cs="宋体"/>
                <w:b w:val="0"/>
                <w:bCs w:val="0"/>
                <w:color w:val="auto"/>
                <w:kern w:val="2"/>
                <w:sz w:val="22"/>
                <w:szCs w:val="22"/>
                <w:highlight w:val="none"/>
                <w:lang w:val="en-US" w:eastAsia="zh-CN" w:bidi="ar-SA"/>
              </w:rPr>
              <w:t>17.氩气输入压力：0.15～0.90Mpa；氩气输出流量范围：0.1 L/min ～ 9.0 L/min（ 步幅0.1L/min）。</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default" w:ascii="宋体" w:hAnsi="宋体" w:eastAsia="宋体" w:cs="宋体"/>
                <w:b w:val="0"/>
                <w:bCs w:val="0"/>
                <w:color w:val="auto"/>
                <w:kern w:val="2"/>
                <w:sz w:val="22"/>
                <w:szCs w:val="22"/>
                <w:highlight w:val="none"/>
                <w:lang w:val="en-US" w:eastAsia="zh-CN" w:bidi="ar-SA"/>
              </w:rPr>
            </w:pPr>
            <w:r>
              <w:rPr>
                <w:rFonts w:hint="default" w:ascii="宋体" w:hAnsi="宋体" w:eastAsia="宋体" w:cs="宋体"/>
                <w:b w:val="0"/>
                <w:bCs w:val="0"/>
                <w:color w:val="auto"/>
                <w:kern w:val="2"/>
                <w:sz w:val="22"/>
                <w:szCs w:val="22"/>
                <w:highlight w:val="none"/>
                <w:lang w:val="en-US" w:eastAsia="zh-CN" w:bidi="ar-SA"/>
              </w:rPr>
              <w:t>18.氩气电极具有色环标记，并有多种喷口方向的软管可供选择。</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restart"/>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default" w:ascii="宋体" w:hAnsi="宋体" w:cs="仿宋"/>
                <w:color w:val="auto"/>
                <w:kern w:val="0"/>
                <w:szCs w:val="21"/>
                <w:highlight w:val="none"/>
                <w:lang w:val="en-US" w:eastAsia="zh-CN"/>
              </w:rPr>
            </w:pPr>
            <w:r>
              <w:rPr>
                <w:rFonts w:hint="eastAsia" w:ascii="宋体" w:hAnsi="宋体" w:cs="仿宋"/>
                <w:color w:val="auto"/>
                <w:kern w:val="0"/>
                <w:szCs w:val="21"/>
                <w:highlight w:val="none"/>
                <w:lang w:val="en-US" w:eastAsia="zh-CN"/>
              </w:rPr>
              <w:t>2</w:t>
            </w:r>
          </w:p>
        </w:tc>
        <w:tc>
          <w:tcPr>
            <w:tcW w:w="553" w:type="pct"/>
            <w:vMerge w:val="restart"/>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r>
              <w:rPr>
                <w:rFonts w:hint="default" w:ascii="Times New Roman" w:hAnsi="Times New Roman" w:eastAsia="宋体" w:cs="Times New Roman"/>
                <w:b/>
                <w:bCs w:val="0"/>
                <w:color w:val="auto"/>
                <w:sz w:val="22"/>
                <w:szCs w:val="22"/>
                <w:highlight w:val="none"/>
                <w:lang w:val="en-US" w:eastAsia="zh-CN"/>
              </w:rPr>
              <w:t>内镜注水泵</w:t>
            </w: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r>
              <w:rPr>
                <w:rFonts w:hint="default" w:ascii="Times New Roman" w:hAnsi="Times New Roman" w:eastAsia="宋体" w:cs="Times New Roman"/>
                <w:b/>
                <w:bCs w:val="0"/>
                <w:color w:val="auto"/>
                <w:sz w:val="22"/>
                <w:szCs w:val="22"/>
                <w:highlight w:val="none"/>
                <w:lang w:val="en-US" w:eastAsia="zh-CN"/>
              </w:rPr>
              <w:t>内镜注水泵</w:t>
            </w: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r>
              <w:rPr>
                <w:rFonts w:hint="default" w:ascii="Times New Roman" w:hAnsi="Times New Roman" w:eastAsia="宋体" w:cs="Times New Roman"/>
                <w:b/>
                <w:bCs w:val="0"/>
                <w:color w:val="auto"/>
                <w:sz w:val="22"/>
                <w:szCs w:val="22"/>
                <w:highlight w:val="none"/>
                <w:lang w:val="en-US" w:eastAsia="zh-CN"/>
              </w:rPr>
              <w:t>内镜注水泵</w:t>
            </w: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r>
              <w:rPr>
                <w:rFonts w:hint="default" w:ascii="Times New Roman" w:hAnsi="Times New Roman" w:eastAsia="宋体" w:cs="Times New Roman"/>
                <w:b/>
                <w:bCs w:val="0"/>
                <w:color w:val="auto"/>
                <w:sz w:val="22"/>
                <w:szCs w:val="22"/>
                <w:highlight w:val="none"/>
                <w:lang w:val="en-US" w:eastAsia="zh-CN"/>
              </w:rPr>
              <w:t>内镜注水泵</w:t>
            </w: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r>
              <w:rPr>
                <w:rFonts w:hint="default" w:ascii="Times New Roman" w:hAnsi="Times New Roman" w:eastAsia="宋体" w:cs="Times New Roman"/>
                <w:b/>
                <w:bCs w:val="0"/>
                <w:color w:val="auto"/>
                <w:sz w:val="22"/>
                <w:szCs w:val="22"/>
                <w:highlight w:val="none"/>
                <w:lang w:val="en-US" w:eastAsia="zh-CN"/>
              </w:rPr>
              <w:t>内镜注水泵</w:t>
            </w: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Times New Roman" w:hAnsi="Times New Roman" w:eastAsia="宋体" w:cs="Times New Roman"/>
                <w:b/>
                <w:bCs w:val="0"/>
                <w:color w:val="auto"/>
                <w:sz w:val="22"/>
                <w:szCs w:val="22"/>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default"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1.1主机尺寸：约140mm×220mm×385mm（宽×高×深），不含脚踏开关</w:t>
            </w:r>
            <w:r>
              <w:rPr>
                <w:rFonts w:hint="eastAsia" w:ascii="宋体" w:hAnsi="宋体" w:eastAsia="宋体" w:cs="宋体"/>
                <w:color w:val="auto"/>
                <w:spacing w:val="-10"/>
                <w:sz w:val="21"/>
                <w:szCs w:val="21"/>
                <w:highlight w:val="none"/>
              </w:rPr>
              <w:t>。</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left"/>
              <w:rPr>
                <w:rFonts w:hint="default"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1.2主机重量：≤6kg，</w:t>
            </w:r>
            <w:r>
              <w:rPr>
                <w:rFonts w:hint="eastAsia" w:ascii="宋体" w:hAnsi="宋体" w:eastAsia="宋体" w:cs="宋体"/>
                <w:color w:val="auto"/>
                <w:kern w:val="0"/>
                <w:sz w:val="22"/>
                <w:szCs w:val="22"/>
                <w:highlight w:val="none"/>
                <w:lang w:val="en-US" w:eastAsia="zh-CN" w:bidi="ar"/>
              </w:rPr>
              <w:t>机身轻便，便于设备搬运、移位及现场布置。</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left"/>
              <w:rPr>
                <w:rFonts w:hint="default"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1.3送水袋挂件的安全工作载荷：≥2kg，</w:t>
            </w:r>
            <w:r>
              <w:rPr>
                <w:rFonts w:hint="eastAsia" w:ascii="宋体" w:hAnsi="宋体" w:eastAsia="宋体" w:cs="宋体"/>
                <w:color w:val="auto"/>
                <w:kern w:val="0"/>
                <w:sz w:val="22"/>
                <w:szCs w:val="22"/>
                <w:highlight w:val="none"/>
                <w:lang w:val="en-US" w:eastAsia="zh-CN" w:bidi="ar"/>
              </w:rPr>
              <w:t>承载稳定、安全可靠。</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default"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1.4送水管尺寸：</w:t>
            </w:r>
            <w:r>
              <w:rPr>
                <w:rFonts w:hint="eastAsia" w:ascii="宋体" w:hAnsi="宋体" w:eastAsia="宋体" w:cs="宋体"/>
                <w:color w:val="auto"/>
                <w:sz w:val="22"/>
                <w:szCs w:val="22"/>
                <w:highlight w:val="none"/>
              </w:rPr>
              <w:t>管径可适配常规管路对接要求</w:t>
            </w:r>
            <w:r>
              <w:rPr>
                <w:rFonts w:hint="eastAsia" w:ascii="宋体" w:hAnsi="宋体" w:eastAsia="宋体" w:cs="宋体"/>
                <w:color w:val="auto"/>
                <w:sz w:val="22"/>
                <w:szCs w:val="22"/>
                <w:highlight w:val="none"/>
                <w:lang w:eastAsia="zh-CN"/>
              </w:rPr>
              <w:t>。</w:t>
            </w:r>
            <w:r>
              <w:rPr>
                <w:rFonts w:hint="eastAsia" w:ascii="宋体" w:hAnsi="宋体" w:eastAsia="宋体" w:cs="宋体"/>
                <w:b w:val="0"/>
                <w:bCs w:val="0"/>
                <w:color w:val="auto"/>
                <w:kern w:val="2"/>
                <w:sz w:val="22"/>
                <w:szCs w:val="22"/>
                <w:highlight w:val="none"/>
                <w:lang w:val="en-US" w:eastAsia="zh-CN" w:bidi="ar-SA"/>
              </w:rPr>
              <w:t>内径约￠5.20mm，外径约￠7.60mm。</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default"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2.1送水量可调范围：0ml/min～600ml/min</w:t>
            </w:r>
            <w:r>
              <w:rPr>
                <w:rFonts w:hint="eastAsia" w:ascii="宋体" w:hAnsi="宋体" w:eastAsia="宋体" w:cs="宋体"/>
                <w:color w:val="auto"/>
                <w:spacing w:val="-10"/>
                <w:sz w:val="21"/>
                <w:szCs w:val="21"/>
                <w:highlight w:val="none"/>
              </w:rPr>
              <w:t>。</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default"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2.2最大送水量：600 ml/min±50ml/min。</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left"/>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2.3默认单次最长输出时间：20s±2s，</w:t>
            </w:r>
            <w:r>
              <w:rPr>
                <w:rFonts w:hint="eastAsia" w:ascii="宋体" w:hAnsi="宋体" w:eastAsia="宋体" w:cs="宋体"/>
                <w:color w:val="auto"/>
                <w:kern w:val="0"/>
                <w:sz w:val="22"/>
                <w:szCs w:val="22"/>
                <w:highlight w:val="none"/>
                <w:lang w:val="en-US" w:eastAsia="zh-CN" w:bidi="ar"/>
              </w:rPr>
              <w:t>具备标准化时长管控能力。</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left"/>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2.4最大传输压强：≤400kPa，</w:t>
            </w:r>
            <w:r>
              <w:rPr>
                <w:rFonts w:hint="eastAsia" w:ascii="宋体" w:hAnsi="宋体" w:eastAsia="宋体" w:cs="宋体"/>
                <w:color w:val="auto"/>
                <w:kern w:val="0"/>
                <w:sz w:val="22"/>
                <w:szCs w:val="22"/>
                <w:highlight w:val="none"/>
                <w:lang w:val="en-US" w:eastAsia="zh-CN" w:bidi="ar"/>
              </w:rPr>
              <w:t>压力输出平稳，满足常规作业压强要求。</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left"/>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2.5工作噪声：≤60dB(A)，</w:t>
            </w:r>
            <w:r>
              <w:rPr>
                <w:rFonts w:hint="eastAsia" w:ascii="宋体" w:hAnsi="宋体" w:eastAsia="宋体" w:cs="宋体"/>
                <w:color w:val="auto"/>
                <w:kern w:val="0"/>
                <w:sz w:val="22"/>
                <w:szCs w:val="22"/>
                <w:highlight w:val="none"/>
                <w:lang w:val="en-US" w:eastAsia="zh-CN" w:bidi="ar"/>
              </w:rPr>
              <w:t>运行低噪，符合室内作业环境噪音标准。</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left"/>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3.1额定电压：</w:t>
            </w:r>
            <w:r>
              <w:rPr>
                <w:rFonts w:hint="eastAsia" w:ascii="宋体" w:hAnsi="宋体" w:eastAsia="宋体" w:cs="宋体"/>
                <w:color w:val="auto"/>
                <w:kern w:val="0"/>
                <w:sz w:val="22"/>
                <w:szCs w:val="22"/>
                <w:highlight w:val="none"/>
                <w:lang w:val="en-US" w:eastAsia="zh-CN" w:bidi="ar"/>
              </w:rPr>
              <w:t>适配标准交流220V民用及医用供电电压。</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left"/>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3.2电源频率：</w:t>
            </w:r>
            <w:r>
              <w:rPr>
                <w:rFonts w:hint="eastAsia" w:ascii="宋体" w:hAnsi="宋体" w:eastAsia="宋体" w:cs="宋体"/>
                <w:color w:val="auto"/>
                <w:kern w:val="0"/>
                <w:sz w:val="22"/>
                <w:szCs w:val="22"/>
                <w:highlight w:val="none"/>
                <w:lang w:val="en-US" w:eastAsia="zh-CN" w:bidi="ar"/>
              </w:rPr>
              <w:t>适配50Hz标准工频电源</w:t>
            </w:r>
            <w:r>
              <w:rPr>
                <w:rFonts w:hint="eastAsia" w:ascii="宋体" w:hAnsi="宋体" w:eastAsia="宋体" w:cs="宋体"/>
                <w:color w:val="auto"/>
                <w:spacing w:val="-10"/>
                <w:sz w:val="21"/>
                <w:szCs w:val="21"/>
                <w:highlight w:val="none"/>
              </w:rPr>
              <w:t>。</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left"/>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3.3最大功率：</w:t>
            </w:r>
            <w:r>
              <w:rPr>
                <w:rFonts w:hint="eastAsia" w:ascii="宋体" w:hAnsi="宋体" w:eastAsia="宋体" w:cs="宋体"/>
                <w:color w:val="auto"/>
                <w:kern w:val="0"/>
                <w:sz w:val="22"/>
                <w:szCs w:val="22"/>
                <w:highlight w:val="none"/>
                <w:lang w:val="en-US" w:eastAsia="zh-CN" w:bidi="ar"/>
              </w:rPr>
              <w:t>≤</w:t>
            </w:r>
            <w:r>
              <w:rPr>
                <w:rFonts w:hint="eastAsia" w:ascii="宋体" w:hAnsi="宋体" w:eastAsia="宋体" w:cs="宋体"/>
                <w:b w:val="0"/>
                <w:bCs w:val="0"/>
                <w:color w:val="auto"/>
                <w:kern w:val="2"/>
                <w:sz w:val="22"/>
                <w:szCs w:val="22"/>
                <w:highlight w:val="none"/>
                <w:lang w:val="en-US" w:eastAsia="zh-CN" w:bidi="ar-SA"/>
              </w:rPr>
              <w:t>120VA，</w:t>
            </w:r>
            <w:r>
              <w:rPr>
                <w:rFonts w:hint="eastAsia" w:ascii="宋体" w:hAnsi="宋体" w:eastAsia="宋体" w:cs="宋体"/>
                <w:color w:val="auto"/>
                <w:kern w:val="0"/>
                <w:sz w:val="22"/>
                <w:szCs w:val="22"/>
                <w:highlight w:val="none"/>
                <w:lang w:val="en-US" w:eastAsia="zh-CN" w:bidi="ar"/>
              </w:rPr>
              <w:t>能耗低、节能环保。</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left"/>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3.4熔断器：F4AH250V（2只），</w:t>
            </w:r>
            <w:r>
              <w:rPr>
                <w:rFonts w:hint="eastAsia" w:ascii="宋体" w:hAnsi="宋体" w:eastAsia="宋体" w:cs="宋体"/>
                <w:color w:val="auto"/>
                <w:kern w:val="0"/>
                <w:sz w:val="22"/>
                <w:szCs w:val="22"/>
                <w:highlight w:val="none"/>
                <w:lang w:val="en-US" w:eastAsia="zh-CN" w:bidi="ar"/>
              </w:rPr>
              <w:t>具备过载、短路保护功能，保障设备用电安全。</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left"/>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4.1启动力：10N～50N，</w:t>
            </w:r>
            <w:r>
              <w:rPr>
                <w:rFonts w:hint="eastAsia" w:ascii="宋体" w:hAnsi="宋体" w:eastAsia="宋体" w:cs="宋体"/>
                <w:color w:val="auto"/>
                <w:kern w:val="0"/>
                <w:sz w:val="22"/>
                <w:szCs w:val="22"/>
                <w:highlight w:val="none"/>
                <w:lang w:val="en-US" w:eastAsia="zh-CN" w:bidi="ar"/>
              </w:rPr>
              <w:t>踩踏力度适中，操作舒适便捷。</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4.2机械部分承受力：1350 N，历时1 min，无明显弯曲和破裂损伤</w:t>
            </w:r>
            <w:r>
              <w:rPr>
                <w:rFonts w:hint="eastAsia" w:ascii="宋体" w:hAnsi="宋体" w:eastAsia="宋体" w:cs="宋体"/>
                <w:color w:val="auto"/>
                <w:spacing w:val="-10"/>
                <w:sz w:val="21"/>
                <w:szCs w:val="21"/>
                <w:highlight w:val="none"/>
              </w:rPr>
              <w:t>。</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4.3寿命：≥25000次</w:t>
            </w:r>
            <w:r>
              <w:rPr>
                <w:rFonts w:hint="eastAsia" w:ascii="宋体" w:hAnsi="宋体" w:eastAsia="宋体" w:cs="宋体"/>
                <w:color w:val="auto"/>
                <w:spacing w:val="-10"/>
                <w:sz w:val="21"/>
                <w:szCs w:val="21"/>
                <w:highlight w:val="none"/>
              </w:rPr>
              <w:t>。</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4.4动作灵活：无卡位、阻塞现象，结构牢固</w:t>
            </w:r>
            <w:r>
              <w:rPr>
                <w:rFonts w:hint="eastAsia" w:ascii="宋体" w:hAnsi="宋体" w:eastAsia="宋体" w:cs="宋体"/>
                <w:color w:val="auto"/>
                <w:spacing w:val="-10"/>
                <w:sz w:val="21"/>
                <w:szCs w:val="21"/>
                <w:highlight w:val="none"/>
              </w:rPr>
              <w:t>。</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left"/>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4.5坠落安全：从高度1m处自由坠落不少于3次需可正常使用。</w:t>
            </w:r>
            <w:r>
              <w:rPr>
                <w:rFonts w:hint="eastAsia" w:ascii="宋体" w:hAnsi="宋体" w:eastAsia="宋体" w:cs="宋体"/>
                <w:color w:val="auto"/>
                <w:kern w:val="0"/>
                <w:sz w:val="22"/>
                <w:szCs w:val="22"/>
                <w:highlight w:val="none"/>
                <w:lang w:val="en-US" w:eastAsia="zh-CN" w:bidi="ar"/>
              </w:rPr>
              <w:t>抗损性能优异。</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4.6电气安全：无任何带电部件变成可触及的，并能通过耐压试验</w:t>
            </w:r>
            <w:r>
              <w:rPr>
                <w:rFonts w:hint="eastAsia" w:ascii="宋体" w:hAnsi="宋体" w:eastAsia="宋体" w:cs="宋体"/>
                <w:color w:val="auto"/>
                <w:spacing w:val="-10"/>
                <w:sz w:val="21"/>
                <w:szCs w:val="21"/>
                <w:highlight w:val="none"/>
              </w:rPr>
              <w:t>。</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4.7能平稳放置在平坦地面上</w:t>
            </w:r>
            <w:r>
              <w:rPr>
                <w:rFonts w:hint="eastAsia" w:ascii="宋体" w:hAnsi="宋体" w:eastAsia="宋体" w:cs="宋体"/>
                <w:color w:val="auto"/>
                <w:spacing w:val="-10"/>
                <w:sz w:val="21"/>
                <w:szCs w:val="21"/>
                <w:highlight w:val="none"/>
              </w:rPr>
              <w:t>。</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5.1工作温度：＋10℃～＋40℃</w:t>
            </w:r>
            <w:r>
              <w:rPr>
                <w:rFonts w:hint="eastAsia" w:ascii="宋体" w:hAnsi="宋体" w:eastAsia="宋体" w:cs="宋体"/>
                <w:color w:val="auto"/>
                <w:spacing w:val="-10"/>
                <w:sz w:val="21"/>
                <w:szCs w:val="21"/>
                <w:highlight w:val="none"/>
              </w:rPr>
              <w:t>。</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5.2工作湿度：30%～75%</w:t>
            </w:r>
            <w:r>
              <w:rPr>
                <w:rFonts w:hint="eastAsia" w:ascii="宋体" w:hAnsi="宋体" w:eastAsia="宋体" w:cs="宋体"/>
                <w:color w:val="auto"/>
                <w:spacing w:val="-10"/>
                <w:sz w:val="21"/>
                <w:szCs w:val="21"/>
                <w:highlight w:val="none"/>
              </w:rPr>
              <w:t>。</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5.3工作电压：～220V，50Hz</w:t>
            </w:r>
            <w:r>
              <w:rPr>
                <w:rFonts w:hint="eastAsia" w:ascii="宋体" w:hAnsi="宋体" w:eastAsia="宋体" w:cs="宋体"/>
                <w:color w:val="auto"/>
                <w:spacing w:val="-10"/>
                <w:sz w:val="21"/>
                <w:szCs w:val="21"/>
                <w:highlight w:val="none"/>
              </w:rPr>
              <w:t>。</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5.4大气压强：700hPa～1060hPa</w:t>
            </w:r>
            <w:r>
              <w:rPr>
                <w:rFonts w:hint="eastAsia" w:ascii="宋体" w:hAnsi="宋体" w:eastAsia="宋体" w:cs="宋体"/>
                <w:color w:val="auto"/>
                <w:spacing w:val="-10"/>
                <w:sz w:val="21"/>
                <w:szCs w:val="21"/>
                <w:highlight w:val="none"/>
              </w:rPr>
              <w:t>。</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left"/>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6.1温度：－20℃～＋50℃，</w:t>
            </w:r>
            <w:r>
              <w:rPr>
                <w:rFonts w:hint="eastAsia" w:ascii="宋体" w:hAnsi="宋体" w:eastAsia="宋体" w:cs="宋体"/>
                <w:color w:val="auto"/>
                <w:kern w:val="0"/>
                <w:sz w:val="22"/>
                <w:szCs w:val="22"/>
                <w:highlight w:val="none"/>
                <w:lang w:val="en-US" w:eastAsia="zh-CN" w:bidi="ar"/>
              </w:rPr>
              <w:t>耐高低温环境，储运适应性强。</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left"/>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6.2湿度：≤95％，</w:t>
            </w:r>
            <w:r>
              <w:rPr>
                <w:rFonts w:hint="eastAsia" w:ascii="宋体" w:hAnsi="宋体" w:eastAsia="宋体" w:cs="宋体"/>
                <w:color w:val="auto"/>
                <w:kern w:val="0"/>
                <w:sz w:val="22"/>
                <w:szCs w:val="22"/>
                <w:highlight w:val="none"/>
                <w:lang w:val="en-US" w:eastAsia="zh-CN" w:bidi="ar"/>
              </w:rPr>
              <w:t>可有效避免设备受潮损坏。</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6.3大气压强：700hPa～1060hPa</w:t>
            </w:r>
            <w:r>
              <w:rPr>
                <w:rFonts w:hint="eastAsia" w:ascii="宋体" w:hAnsi="宋体" w:eastAsia="宋体" w:cs="宋体"/>
                <w:color w:val="auto"/>
                <w:spacing w:val="-10"/>
                <w:sz w:val="21"/>
                <w:szCs w:val="21"/>
                <w:highlight w:val="none"/>
              </w:rPr>
              <w:t>。</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6.4无腐蚀性气体和通风良好的清洁室内</w:t>
            </w:r>
            <w:r>
              <w:rPr>
                <w:rFonts w:hint="eastAsia" w:ascii="宋体" w:hAnsi="宋体" w:eastAsia="宋体" w:cs="宋体"/>
                <w:color w:val="auto"/>
                <w:spacing w:val="-10"/>
                <w:sz w:val="21"/>
                <w:szCs w:val="21"/>
                <w:highlight w:val="none"/>
              </w:rPr>
              <w:t>。</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7.1无缝兼容Olympus、Pentax、Fujifilm品牌内镜</w:t>
            </w:r>
            <w:r>
              <w:rPr>
                <w:rFonts w:hint="eastAsia" w:ascii="宋体" w:hAnsi="宋体" w:eastAsia="宋体" w:cs="宋体"/>
                <w:color w:val="auto"/>
                <w:spacing w:val="-10"/>
                <w:sz w:val="21"/>
                <w:szCs w:val="21"/>
                <w:highlight w:val="none"/>
              </w:rPr>
              <w:t>。</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▲7.2流量可调：具有十段流量指示和灵活的流量调节，可轻松进行输出流量的选择，流量调节范围：0-600ml/min</w:t>
            </w:r>
            <w:r>
              <w:rPr>
                <w:rFonts w:hint="eastAsia" w:ascii="宋体" w:hAnsi="宋体" w:eastAsia="宋体" w:cs="宋体"/>
                <w:color w:val="auto"/>
                <w:spacing w:val="-10"/>
                <w:sz w:val="21"/>
                <w:szCs w:val="21"/>
                <w:highlight w:val="none"/>
              </w:rPr>
              <w:t>。</w:t>
            </w:r>
            <w:r>
              <w:rPr>
                <w:rFonts w:hint="eastAsia" w:ascii="宋体" w:hAnsi="宋体" w:eastAsia="宋体" w:cs="宋体"/>
                <w:b w:val="0"/>
                <w:bCs w:val="0"/>
                <w:color w:val="auto"/>
                <w:kern w:val="2"/>
                <w:sz w:val="22"/>
                <w:szCs w:val="22"/>
                <w:highlight w:val="none"/>
                <w:lang w:val="zh-CN" w:eastAsia="zh-CN" w:bidi="ar-SA"/>
              </w:rPr>
              <w:t>（投标时需提供产品技术白皮书或说明书扫描件或产品彩页，注：对应参数在证明材料中进行标注，</w:t>
            </w:r>
            <w:r>
              <w:rPr>
                <w:rFonts w:hint="eastAsia" w:ascii="宋体" w:hAnsi="宋体" w:eastAsia="宋体" w:cs="宋体"/>
                <w:b w:val="0"/>
                <w:bCs w:val="0"/>
                <w:color w:val="auto"/>
                <w:kern w:val="2"/>
                <w:sz w:val="22"/>
                <w:szCs w:val="22"/>
                <w:highlight w:val="none"/>
                <w:lang w:val="en-US" w:eastAsia="zh-CN" w:bidi="ar-SA"/>
              </w:rPr>
              <w:t>中标后</w:t>
            </w:r>
            <w:r>
              <w:rPr>
                <w:rFonts w:hint="eastAsia" w:ascii="宋体" w:hAnsi="宋体" w:eastAsia="宋体" w:cs="宋体"/>
                <w:b w:val="0"/>
                <w:bCs w:val="0"/>
                <w:color w:val="auto"/>
                <w:kern w:val="2"/>
                <w:sz w:val="22"/>
                <w:szCs w:val="22"/>
                <w:highlight w:val="none"/>
                <w:lang w:val="zh-CN" w:eastAsia="zh-CN" w:bidi="ar-SA"/>
              </w:rPr>
              <w:t>原件备查。）</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7.3安全提示：具有泵头松脱监测，确保输出流量准确和产品安全；具有产品故障监测，确保产品及使用安全</w:t>
            </w:r>
            <w:r>
              <w:rPr>
                <w:rFonts w:hint="eastAsia" w:ascii="宋体" w:hAnsi="宋体" w:eastAsia="宋体" w:cs="宋体"/>
                <w:color w:val="auto"/>
                <w:spacing w:val="-10"/>
                <w:sz w:val="21"/>
                <w:szCs w:val="21"/>
                <w:highlight w:val="none"/>
              </w:rPr>
              <w:t>。</w:t>
            </w:r>
            <w:r>
              <w:rPr>
                <w:rFonts w:hint="eastAsia" w:ascii="宋体" w:hAnsi="宋体" w:eastAsia="宋体" w:cs="宋体"/>
                <w:b w:val="0"/>
                <w:bCs w:val="0"/>
                <w:color w:val="auto"/>
                <w:kern w:val="2"/>
                <w:sz w:val="22"/>
                <w:szCs w:val="22"/>
                <w:highlight w:val="none"/>
                <w:lang w:val="zh-CN" w:eastAsia="zh-CN" w:bidi="ar-SA"/>
              </w:rPr>
              <w:t>（</w:t>
            </w:r>
            <w:r>
              <w:rPr>
                <w:rFonts w:hint="eastAsia" w:ascii="宋体" w:hAnsi="宋体" w:eastAsia="宋体" w:cs="宋体"/>
                <w:b/>
                <w:bCs/>
                <w:color w:val="auto"/>
                <w:kern w:val="2"/>
                <w:sz w:val="22"/>
                <w:szCs w:val="22"/>
                <w:highlight w:val="none"/>
                <w:lang w:val="zh-CN" w:eastAsia="zh-CN" w:bidi="ar-SA"/>
              </w:rPr>
              <w:t>投标时需提供产品技术白皮书或说明书扫描件或产品彩页，注：对应参数在证明材料中进行标注，</w:t>
            </w:r>
            <w:r>
              <w:rPr>
                <w:rFonts w:hint="eastAsia" w:ascii="宋体" w:hAnsi="宋体" w:eastAsia="宋体" w:cs="宋体"/>
                <w:b/>
                <w:bCs/>
                <w:color w:val="auto"/>
                <w:kern w:val="2"/>
                <w:sz w:val="22"/>
                <w:szCs w:val="22"/>
                <w:highlight w:val="none"/>
                <w:lang w:val="en-US" w:eastAsia="zh-CN" w:bidi="ar-SA"/>
              </w:rPr>
              <w:t>中标后</w:t>
            </w:r>
            <w:r>
              <w:rPr>
                <w:rFonts w:hint="eastAsia" w:ascii="宋体" w:hAnsi="宋体" w:eastAsia="宋体" w:cs="宋体"/>
                <w:b/>
                <w:bCs/>
                <w:color w:val="auto"/>
                <w:kern w:val="2"/>
                <w:sz w:val="22"/>
                <w:szCs w:val="22"/>
                <w:highlight w:val="none"/>
                <w:lang w:val="zh-CN" w:eastAsia="zh-CN" w:bidi="ar-SA"/>
              </w:rPr>
              <w:t>原件备查。</w:t>
            </w:r>
            <w:r>
              <w:rPr>
                <w:rFonts w:hint="eastAsia" w:ascii="宋体" w:hAnsi="宋体" w:eastAsia="宋体" w:cs="宋体"/>
                <w:b w:val="0"/>
                <w:bCs w:val="0"/>
                <w:color w:val="auto"/>
                <w:kern w:val="2"/>
                <w:sz w:val="22"/>
                <w:szCs w:val="22"/>
                <w:highlight w:val="none"/>
                <w:lang w:val="zh-CN" w:eastAsia="zh-CN" w:bidi="ar-SA"/>
              </w:rPr>
              <w:t>）</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▲7.4智能控制：开启最长送水时间：20±2s。具有输出定时保护，避免忘记关闭输出的浪费或安全保护。</w:t>
            </w:r>
            <w:r>
              <w:rPr>
                <w:rFonts w:hint="eastAsia" w:ascii="宋体" w:hAnsi="宋体" w:eastAsia="宋体" w:cs="宋体"/>
                <w:b w:val="0"/>
                <w:bCs w:val="0"/>
                <w:color w:val="auto"/>
                <w:kern w:val="2"/>
                <w:sz w:val="22"/>
                <w:szCs w:val="22"/>
                <w:highlight w:val="none"/>
                <w:lang w:val="zh-CN" w:eastAsia="zh-CN" w:bidi="ar-SA"/>
              </w:rPr>
              <w:t>（</w:t>
            </w:r>
            <w:r>
              <w:rPr>
                <w:rFonts w:hint="eastAsia" w:ascii="宋体" w:hAnsi="宋体" w:eastAsia="宋体" w:cs="宋体"/>
                <w:b/>
                <w:bCs/>
                <w:color w:val="auto"/>
                <w:kern w:val="2"/>
                <w:sz w:val="22"/>
                <w:szCs w:val="22"/>
                <w:highlight w:val="none"/>
                <w:lang w:val="zh-CN" w:eastAsia="zh-CN" w:bidi="ar-SA"/>
              </w:rPr>
              <w:t>投标时需提供产品技术白皮书或说明书扫描件或产品彩页，注：对应参数在证明材料中进行标注，</w:t>
            </w:r>
            <w:r>
              <w:rPr>
                <w:rFonts w:hint="eastAsia" w:ascii="宋体" w:hAnsi="宋体" w:eastAsia="宋体" w:cs="宋体"/>
                <w:b/>
                <w:bCs/>
                <w:color w:val="auto"/>
                <w:kern w:val="2"/>
                <w:sz w:val="22"/>
                <w:szCs w:val="22"/>
                <w:highlight w:val="none"/>
                <w:lang w:val="en-US" w:eastAsia="zh-CN" w:bidi="ar-SA"/>
              </w:rPr>
              <w:t>中标后</w:t>
            </w:r>
            <w:r>
              <w:rPr>
                <w:rFonts w:hint="eastAsia" w:ascii="宋体" w:hAnsi="宋体" w:eastAsia="宋体" w:cs="宋体"/>
                <w:b/>
                <w:bCs/>
                <w:color w:val="auto"/>
                <w:kern w:val="2"/>
                <w:sz w:val="22"/>
                <w:szCs w:val="22"/>
                <w:highlight w:val="none"/>
                <w:lang w:val="zh-CN" w:eastAsia="zh-CN" w:bidi="ar-SA"/>
              </w:rPr>
              <w:t>原件备查。</w:t>
            </w:r>
            <w:r>
              <w:rPr>
                <w:rFonts w:hint="eastAsia" w:ascii="宋体" w:hAnsi="宋体" w:eastAsia="宋体" w:cs="宋体"/>
                <w:b w:val="0"/>
                <w:bCs w:val="0"/>
                <w:color w:val="auto"/>
                <w:kern w:val="2"/>
                <w:sz w:val="22"/>
                <w:szCs w:val="22"/>
                <w:highlight w:val="none"/>
                <w:lang w:val="zh-CN" w:eastAsia="zh-CN" w:bidi="ar-SA"/>
              </w:rPr>
              <w:t>）</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left"/>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7.5</w:t>
            </w:r>
            <w:r>
              <w:rPr>
                <w:rFonts w:hint="eastAsia" w:ascii="宋体" w:hAnsi="宋体" w:eastAsia="宋体" w:cs="宋体"/>
                <w:color w:val="auto"/>
                <w:kern w:val="0"/>
                <w:sz w:val="22"/>
                <w:szCs w:val="22"/>
                <w:highlight w:val="none"/>
                <w:lang w:val="en-US" w:eastAsia="zh-CN" w:bidi="ar"/>
              </w:rPr>
              <w:t>设备最大传输压强可达400kPa，压力输出稳定均匀，保障作业流程平稳顺畅。</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vMerge w:val="continue"/>
            <w:tcBorders>
              <w:left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eastAsia" w:ascii="宋体" w:hAnsi="宋体" w:cs="仿宋"/>
                <w:color w:val="auto"/>
                <w:kern w:val="0"/>
                <w:szCs w:val="21"/>
                <w:highlight w:val="none"/>
                <w:lang w:val="en-US" w:eastAsia="zh-CN"/>
              </w:rPr>
            </w:pPr>
          </w:p>
        </w:tc>
        <w:tc>
          <w:tcPr>
            <w:tcW w:w="553" w:type="pct"/>
            <w:vMerge w:val="continue"/>
            <w:tcBorders>
              <w:left w:val="single" w:color="auto" w:sz="4" w:space="0"/>
              <w:right w:val="single" w:color="auto" w:sz="4" w:space="0"/>
            </w:tcBorders>
            <w:shd w:val="clear" w:color="auto" w:fill="auto"/>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default" w:ascii="宋体" w:hAnsi="宋体" w:eastAsia="宋体" w:cs="仿宋"/>
                <w:color w:val="auto"/>
                <w:kern w:val="0"/>
                <w:szCs w:val="21"/>
                <w:highlight w:val="none"/>
                <w:lang w:val="en-US" w:eastAsia="zh-CN"/>
              </w:rPr>
            </w:pPr>
          </w:p>
        </w:tc>
        <w:tc>
          <w:tcPr>
            <w:tcW w:w="169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7.6操作简易；可通过气囊式脚踏开关或按键启动安全控制液体输送的启动、停止。</w:t>
            </w:r>
          </w:p>
        </w:tc>
        <w:tc>
          <w:tcPr>
            <w:tcW w:w="139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eastAsia="宋体"/>
          <w:color w:val="auto"/>
          <w:highlight w:val="none"/>
          <w:lang w:val="en-US" w:eastAsia="zh-CN"/>
        </w:rPr>
      </w:pPr>
      <w:r>
        <w:rPr>
          <w:rFonts w:hint="eastAsia" w:eastAsia="宋体"/>
          <w:color w:val="auto"/>
          <w:highlight w:val="none"/>
          <w:lang w:val="en-US" w:eastAsia="zh-CN"/>
        </w:rPr>
        <w:t>法定代表人或其授权代表人（签字）：</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eastAsia="宋体"/>
          <w:color w:val="auto"/>
          <w:highlight w:val="none"/>
          <w:lang w:val="en-US" w:eastAsia="zh-CN"/>
        </w:rPr>
      </w:pPr>
      <w:r>
        <w:rPr>
          <w:rFonts w:hint="eastAsia" w:eastAsia="宋体"/>
          <w:color w:val="auto"/>
          <w:highlight w:val="none"/>
          <w:lang w:val="en-US" w:eastAsia="zh-CN"/>
        </w:rPr>
        <w:t>投标单位全称（加盖公章）：</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eastAsia="宋体"/>
          <w:color w:val="auto"/>
          <w:highlight w:val="none"/>
          <w:lang w:val="en-US" w:eastAsia="zh-CN"/>
        </w:rPr>
      </w:pPr>
      <w:r>
        <w:rPr>
          <w:rFonts w:hint="eastAsia"/>
          <w:color w:val="auto"/>
          <w:highlight w:val="none"/>
          <w:lang w:val="en-US" w:eastAsia="zh-CN"/>
        </w:rPr>
        <w:t>日期：</w:t>
      </w:r>
    </w:p>
    <w:p>
      <w:pPr>
        <w:keepLines w:val="0"/>
        <w:pageBreakBefore w:val="0"/>
        <w:widowControl/>
        <w:kinsoku/>
        <w:wordWrap/>
        <w:overflowPunct/>
        <w:topLinePunct w:val="0"/>
        <w:bidi w:val="0"/>
        <w:spacing w:line="560" w:lineRule="exact"/>
        <w:ind w:firstLine="420" w:firstLineChars="200"/>
        <w:jc w:val="left"/>
        <w:rPr>
          <w:rFonts w:ascii="宋体" w:cs="宋体"/>
          <w:color w:val="auto"/>
          <w:szCs w:val="21"/>
          <w:highlight w:val="none"/>
        </w:rPr>
      </w:pPr>
      <w:r>
        <w:rPr>
          <w:rFonts w:hint="eastAsia" w:ascii="宋体" w:cs="宋体"/>
          <w:color w:val="auto"/>
          <w:szCs w:val="21"/>
          <w:highlight w:val="none"/>
        </w:rPr>
        <w:t>《技术规格偏离表》编制指引：</w:t>
      </w:r>
    </w:p>
    <w:p>
      <w:pPr>
        <w:keepLines w:val="0"/>
        <w:pageBreakBefore w:val="0"/>
        <w:widowControl/>
        <w:kinsoku/>
        <w:wordWrap/>
        <w:overflowPunct/>
        <w:topLinePunct w:val="0"/>
        <w:bidi w:val="0"/>
        <w:spacing w:line="560" w:lineRule="exact"/>
        <w:ind w:firstLine="420" w:firstLineChars="200"/>
        <w:jc w:val="left"/>
        <w:rPr>
          <w:rFonts w:ascii="宋体" w:cs="宋体"/>
          <w:color w:val="auto"/>
          <w:szCs w:val="21"/>
          <w:highlight w:val="none"/>
        </w:rPr>
      </w:pPr>
      <w:r>
        <w:rPr>
          <w:rFonts w:hint="eastAsia" w:ascii="宋体" w:cs="宋体"/>
          <w:color w:val="auto"/>
          <w:szCs w:val="21"/>
          <w:highlight w:val="none"/>
        </w:rPr>
        <w:t>1</w:t>
      </w:r>
      <w:r>
        <w:rPr>
          <w:rFonts w:hint="eastAsia" w:ascii="宋体" w:cs="宋体"/>
          <w:color w:val="auto"/>
          <w:szCs w:val="21"/>
          <w:highlight w:val="none"/>
          <w:lang w:val="en-US" w:eastAsia="zh-CN"/>
        </w:rPr>
        <w:t>.</w:t>
      </w:r>
      <w:r>
        <w:rPr>
          <w:rFonts w:hint="eastAsia" w:ascii="宋体" w:cs="宋体"/>
          <w:color w:val="auto"/>
          <w:szCs w:val="21"/>
          <w:highlight w:val="none"/>
        </w:rPr>
        <w:t>《技术规格偏离表》的“招标技术要求”等栏目对应“招标项目需求”中的“技术要求”章节相关内容。</w:t>
      </w:r>
    </w:p>
    <w:p>
      <w:pPr>
        <w:keepLines w:val="0"/>
        <w:pageBreakBefore w:val="0"/>
        <w:widowControl/>
        <w:kinsoku/>
        <w:wordWrap/>
        <w:overflowPunct/>
        <w:topLinePunct w:val="0"/>
        <w:bidi w:val="0"/>
        <w:spacing w:line="560" w:lineRule="exact"/>
        <w:ind w:firstLine="420" w:firstLineChars="200"/>
        <w:jc w:val="left"/>
        <w:rPr>
          <w:rFonts w:ascii="宋体" w:cs="宋体"/>
          <w:color w:val="auto"/>
          <w:szCs w:val="21"/>
          <w:highlight w:val="none"/>
        </w:rPr>
      </w:pPr>
      <w:r>
        <w:rPr>
          <w:rFonts w:hint="eastAsia" w:ascii="宋体" w:cs="宋体"/>
          <w:color w:val="auto"/>
          <w:szCs w:val="21"/>
          <w:highlight w:val="none"/>
        </w:rPr>
        <w:t>2</w:t>
      </w:r>
      <w:r>
        <w:rPr>
          <w:rFonts w:hint="eastAsia" w:ascii="宋体" w:cs="宋体"/>
          <w:color w:val="auto"/>
          <w:szCs w:val="21"/>
          <w:highlight w:val="none"/>
          <w:lang w:val="en-US" w:eastAsia="zh-CN"/>
        </w:rPr>
        <w:t>.</w:t>
      </w:r>
      <w:r>
        <w:rPr>
          <w:rFonts w:hint="eastAsia" w:ascii="宋体" w:cs="宋体"/>
          <w:color w:val="auto"/>
          <w:szCs w:val="21"/>
          <w:highlight w:val="none"/>
        </w:rPr>
        <w:t>“投标技术响应”一栏必须一一对照“招标技术要求”，详细填写投标人自身投标标的具体参数，以体现具体响应情况。</w:t>
      </w:r>
    </w:p>
    <w:p>
      <w:pPr>
        <w:keepLines w:val="0"/>
        <w:pageBreakBefore w:val="0"/>
        <w:widowControl/>
        <w:kinsoku/>
        <w:wordWrap/>
        <w:overflowPunct/>
        <w:topLinePunct w:val="0"/>
        <w:bidi w:val="0"/>
        <w:spacing w:line="560" w:lineRule="exact"/>
        <w:ind w:firstLine="420" w:firstLineChars="200"/>
        <w:jc w:val="left"/>
        <w:rPr>
          <w:rFonts w:ascii="宋体" w:cs="宋体"/>
          <w:color w:val="auto"/>
          <w:szCs w:val="21"/>
          <w:highlight w:val="none"/>
        </w:rPr>
      </w:pPr>
      <w:r>
        <w:rPr>
          <w:rFonts w:hint="eastAsia" w:ascii="宋体" w:cs="宋体"/>
          <w:color w:val="auto"/>
          <w:szCs w:val="21"/>
          <w:highlight w:val="none"/>
        </w:rPr>
        <w:t>3</w:t>
      </w:r>
      <w:r>
        <w:rPr>
          <w:rFonts w:hint="eastAsia" w:ascii="宋体" w:cs="宋体"/>
          <w:color w:val="auto"/>
          <w:szCs w:val="21"/>
          <w:highlight w:val="none"/>
          <w:lang w:val="en-US" w:eastAsia="zh-CN"/>
        </w:rPr>
        <w:t>.</w:t>
      </w:r>
      <w:r>
        <w:rPr>
          <w:rFonts w:hint="eastAsia" w:ascii="宋体" w:cs="宋体"/>
          <w:color w:val="auto"/>
          <w:szCs w:val="21"/>
          <w:highlight w:val="none"/>
        </w:rPr>
        <w:t>“偏离情况”一栏如实填写“正偏离</w:t>
      </w:r>
      <w:r>
        <w:rPr>
          <w:rFonts w:hint="eastAsia" w:ascii="宋体" w:cs="宋体"/>
          <w:color w:val="auto"/>
          <w:szCs w:val="21"/>
          <w:highlight w:val="none"/>
          <w:lang w:eastAsia="zh-CN"/>
        </w:rPr>
        <w:t>”“</w:t>
      </w:r>
      <w:r>
        <w:rPr>
          <w:rFonts w:hint="eastAsia" w:ascii="宋体" w:cs="宋体"/>
          <w:color w:val="auto"/>
          <w:szCs w:val="21"/>
          <w:highlight w:val="none"/>
        </w:rPr>
        <w:t>无偏离”或“负偏离”，其中：“正偏离”表示“投标技术响应优于招标技术要求”，“负偏离”表示“投标技术响应不满足招标技术要求”，“无偏离”表示“投标技术响应与招标技术要求一致”。</w:t>
      </w:r>
    </w:p>
    <w:p>
      <w:pPr>
        <w:keepLines w:val="0"/>
        <w:pageBreakBefore w:val="0"/>
        <w:widowControl/>
        <w:kinsoku/>
        <w:wordWrap/>
        <w:overflowPunct/>
        <w:topLinePunct w:val="0"/>
        <w:bidi w:val="0"/>
        <w:spacing w:line="560" w:lineRule="exact"/>
        <w:ind w:firstLine="422" w:firstLineChars="200"/>
        <w:jc w:val="left"/>
        <w:rPr>
          <w:rFonts w:ascii="宋体" w:cs="宋体"/>
          <w:b w:val="0"/>
          <w:bCs w:val="0"/>
          <w:color w:val="auto"/>
          <w:szCs w:val="21"/>
          <w:highlight w:val="none"/>
        </w:rPr>
      </w:pPr>
      <w:r>
        <w:rPr>
          <w:rFonts w:hint="eastAsia" w:ascii="宋体" w:cs="宋体"/>
          <w:b/>
          <w:bCs/>
          <w:color w:val="auto"/>
          <w:szCs w:val="21"/>
          <w:highlight w:val="none"/>
        </w:rPr>
        <w:t>“投标技术响应”对比“招标技术要求”存在响应不全（包括未响应整项招标技术要求或者未响应一项招标技术要求的部分内容），均视为“负偏离”。</w:t>
      </w:r>
      <w:r>
        <w:rPr>
          <w:rFonts w:hint="eastAsia" w:ascii="宋体" w:cs="宋体"/>
          <w:b w:val="0"/>
          <w:bCs w:val="0"/>
          <w:color w:val="auto"/>
          <w:szCs w:val="21"/>
          <w:highlight w:val="none"/>
        </w:rPr>
        <w:t>带★号条款为不可负偏离条款，不作为评分准则中的评分内容，如未响应或出现负偏离的，将</w:t>
      </w:r>
      <w:r>
        <w:rPr>
          <w:rFonts w:hint="eastAsia" w:ascii="宋体" w:cs="宋体"/>
          <w:b w:val="0"/>
          <w:bCs w:val="0"/>
          <w:color w:val="auto"/>
          <w:szCs w:val="21"/>
          <w:highlight w:val="none"/>
          <w:lang w:eastAsia="zh-CN"/>
        </w:rPr>
        <w:t>作</w:t>
      </w:r>
      <w:r>
        <w:rPr>
          <w:rFonts w:hint="eastAsia" w:ascii="宋体" w:cs="宋体"/>
          <w:b w:val="0"/>
          <w:bCs w:val="0"/>
          <w:color w:val="auto"/>
          <w:szCs w:val="21"/>
          <w:highlight w:val="none"/>
        </w:rPr>
        <w:t>投标无效处理。“偏离情况”必须与所投产品客观实际保持一致，响应不实且情节严重的，经查实，将依法记入供应商诚信档案或受到行政处罚。</w:t>
      </w:r>
    </w:p>
    <w:p>
      <w:pPr>
        <w:keepLines w:val="0"/>
        <w:pageBreakBefore w:val="0"/>
        <w:widowControl/>
        <w:kinsoku/>
        <w:wordWrap/>
        <w:overflowPunct/>
        <w:topLinePunct w:val="0"/>
        <w:bidi w:val="0"/>
        <w:spacing w:line="560" w:lineRule="exact"/>
        <w:ind w:firstLine="420" w:firstLineChars="200"/>
        <w:jc w:val="left"/>
        <w:rPr>
          <w:rFonts w:hint="eastAsia" w:ascii="宋体" w:cs="宋体"/>
          <w:b w:val="0"/>
          <w:bCs w:val="0"/>
          <w:color w:val="auto"/>
          <w:szCs w:val="21"/>
          <w:highlight w:val="none"/>
        </w:rPr>
      </w:pPr>
      <w:r>
        <w:rPr>
          <w:rFonts w:hint="eastAsia" w:ascii="宋体" w:cs="宋体"/>
          <w:b w:val="0"/>
          <w:bCs w:val="0"/>
          <w:color w:val="auto"/>
          <w:szCs w:val="21"/>
          <w:highlight w:val="none"/>
        </w:rPr>
        <w:t>4</w:t>
      </w:r>
      <w:r>
        <w:rPr>
          <w:rFonts w:hint="eastAsia" w:ascii="宋体" w:cs="宋体"/>
          <w:b w:val="0"/>
          <w:bCs w:val="0"/>
          <w:color w:val="auto"/>
          <w:szCs w:val="21"/>
          <w:highlight w:val="none"/>
          <w:lang w:val="en-US" w:eastAsia="zh-CN"/>
        </w:rPr>
        <w:t>.</w:t>
      </w:r>
      <w:r>
        <w:rPr>
          <w:rFonts w:hint="eastAsia" w:ascii="宋体" w:cs="宋体"/>
          <w:b w:val="0"/>
          <w:bCs w:val="0"/>
          <w:color w:val="auto"/>
          <w:szCs w:val="21"/>
          <w:highlight w:val="none"/>
        </w:rPr>
        <w:t>未要求提供证明资料的招标技术要求，可以不提供证明资料（如实响应即可），但如果投标人提供的证明资料中属于同一内容，与“投标技术响应”存在明显冲突或矛盾，以证明资料为准，认定是否偏离。</w:t>
      </w:r>
    </w:p>
    <w:p>
      <w:pPr>
        <w:keepLines w:val="0"/>
        <w:pageBreakBefore w:val="0"/>
        <w:widowControl/>
        <w:kinsoku/>
        <w:wordWrap/>
        <w:overflowPunct/>
        <w:topLinePunct w:val="0"/>
        <w:bidi w:val="0"/>
        <w:spacing w:line="560" w:lineRule="exact"/>
        <w:ind w:firstLine="420" w:firstLineChars="200"/>
        <w:jc w:val="left"/>
        <w:rPr>
          <w:rFonts w:hint="eastAsia"/>
          <w:b/>
          <w:bCs/>
          <w:color w:val="auto"/>
          <w:highlight w:val="none"/>
        </w:rPr>
      </w:pPr>
      <w:r>
        <w:rPr>
          <w:rFonts w:hint="eastAsia" w:ascii="宋体" w:cs="宋体"/>
          <w:color w:val="auto"/>
          <w:szCs w:val="21"/>
          <w:highlight w:val="none"/>
        </w:rPr>
        <w:t>5</w:t>
      </w:r>
      <w:r>
        <w:rPr>
          <w:rFonts w:hint="eastAsia" w:ascii="宋体" w:cs="宋体"/>
          <w:color w:val="auto"/>
          <w:szCs w:val="21"/>
          <w:highlight w:val="none"/>
          <w:lang w:val="en-US" w:eastAsia="zh-CN"/>
        </w:rPr>
        <w:t>.</w:t>
      </w:r>
      <w:r>
        <w:rPr>
          <w:rFonts w:hint="eastAsia" w:ascii="宋体" w:cs="宋体"/>
          <w:color w:val="auto"/>
          <w:szCs w:val="21"/>
          <w:highlight w:val="none"/>
        </w:rPr>
        <w:t>证明资料条款响应要求：要求提供证明资料（且已对证明资料的形式、内容作出明确要求）进行响应的条款，可在“说明”一栏中列明是否提供了符合要求的证明资料；此类条款应严格依照要求的形式、内容提供证明资料，如未提供证明资料（或：证明资料的形式、内容等不符合要求；证明资料显示不符合招标技术要求；证明资料模糊不清无法判断或未显示是否满足招标技术要求），且投标人在“偏离情况”一栏响应为“正偏离”或“无偏离”的，经评审委员会认定，将判定为负偏离。</w:t>
      </w:r>
    </w:p>
    <w:p>
      <w:pPr>
        <w:spacing w:line="560" w:lineRule="exact"/>
        <w:rPr>
          <w:rFonts w:hint="eastAsia" w:ascii="仿宋" w:hAnsi="仿宋" w:eastAsia="仿宋" w:cs="仿宋"/>
          <w:b/>
          <w:color w:val="auto"/>
          <w:kern w:val="0"/>
          <w:sz w:val="44"/>
          <w:szCs w:val="44"/>
          <w:highlight w:val="none"/>
          <w:lang w:val="zh-CN"/>
        </w:rPr>
      </w:pPr>
      <w:r>
        <w:rPr>
          <w:rFonts w:hint="eastAsia" w:ascii="仿宋" w:hAnsi="仿宋" w:eastAsia="仿宋" w:cs="仿宋"/>
          <w:b/>
          <w:color w:val="auto"/>
          <w:kern w:val="0"/>
          <w:sz w:val="44"/>
          <w:szCs w:val="44"/>
          <w:highlight w:val="none"/>
          <w:lang w:val="zh-CN"/>
        </w:rPr>
        <w:br w:type="page"/>
      </w:r>
    </w:p>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 w:hAnsi="仿宋" w:eastAsia="仿宋" w:cs="仿宋"/>
          <w:b/>
          <w:color w:val="auto"/>
          <w:kern w:val="0"/>
          <w:sz w:val="44"/>
          <w:szCs w:val="44"/>
          <w:highlight w:val="none"/>
          <w:lang w:val="zh-CN"/>
        </w:rPr>
      </w:pPr>
      <w:r>
        <w:rPr>
          <w:rFonts w:hint="eastAsia" w:ascii="仿宋" w:hAnsi="仿宋" w:eastAsia="仿宋" w:cs="仿宋"/>
          <w:b/>
          <w:color w:val="auto"/>
          <w:kern w:val="0"/>
          <w:sz w:val="44"/>
          <w:szCs w:val="44"/>
          <w:highlight w:val="none"/>
          <w:lang w:val="zh-CN"/>
        </w:rPr>
        <w:t>商务条款偏离表</w:t>
      </w:r>
    </w:p>
    <w:tbl>
      <w:tblPr>
        <w:tblStyle w:val="19"/>
        <w:tblW w:w="48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6967"/>
        <w:gridCol w:w="2290"/>
        <w:gridCol w:w="2096"/>
        <w:gridCol w:w="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b/>
                <w:bCs/>
                <w:color w:val="auto"/>
                <w:kern w:val="0"/>
                <w:szCs w:val="21"/>
                <w:highlight w:val="none"/>
                <w:lang w:val="en-US" w:eastAsia="zh-CN" w:bidi="ar"/>
              </w:rPr>
              <w:t>序号</w:t>
            </w:r>
          </w:p>
        </w:tc>
        <w:tc>
          <w:tcPr>
            <w:tcW w:w="27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hAnsi="宋体" w:cs="宋体"/>
                <w:b/>
                <w:bCs/>
                <w:color w:val="auto"/>
                <w:szCs w:val="21"/>
                <w:highlight w:val="none"/>
              </w:rPr>
            </w:pPr>
            <w:r>
              <w:rPr>
                <w:rFonts w:hint="eastAsia" w:ascii="宋体" w:cs="宋体"/>
                <w:b/>
                <w:color w:val="auto"/>
                <w:szCs w:val="21"/>
                <w:highlight w:val="none"/>
              </w:rPr>
              <w:t>招标商务要求</w:t>
            </w:r>
          </w:p>
        </w:tc>
        <w:tc>
          <w:tcPr>
            <w:tcW w:w="9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cs="宋体"/>
                <w:b/>
                <w:bCs/>
                <w:color w:val="auto"/>
                <w:szCs w:val="21"/>
                <w:highlight w:val="none"/>
              </w:rPr>
            </w:pPr>
            <w:r>
              <w:rPr>
                <w:rFonts w:hint="eastAsia" w:ascii="宋体" w:cs="宋体"/>
                <w:b/>
                <w:bCs/>
                <w:color w:val="auto"/>
                <w:szCs w:val="21"/>
                <w:highlight w:val="none"/>
              </w:rPr>
              <w:t>投标商务响应</w:t>
            </w: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hAnsi="宋体" w:cs="宋体"/>
                <w:b/>
                <w:bCs/>
                <w:color w:val="auto"/>
                <w:highlight w:val="none"/>
              </w:rPr>
            </w:pPr>
            <w:r>
              <w:rPr>
                <w:rFonts w:hint="eastAsia" w:ascii="宋体" w:cs="宋体"/>
                <w:color w:val="auto"/>
                <w:highlight w:val="none"/>
              </w:rPr>
              <w:t>投标人根据实际情况在此处进行响应</w:t>
            </w:r>
          </w:p>
        </w:tc>
        <w:tc>
          <w:tcPr>
            <w:tcW w:w="8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ascii="宋体" w:cs="宋体"/>
                <w:b/>
                <w:bCs/>
                <w:color w:val="auto"/>
                <w:szCs w:val="21"/>
                <w:highlight w:val="none"/>
              </w:rPr>
            </w:pPr>
            <w:r>
              <w:rPr>
                <w:rFonts w:hint="eastAsia" w:ascii="宋体" w:cs="宋体"/>
                <w:b/>
                <w:bCs/>
                <w:color w:val="auto"/>
                <w:szCs w:val="21"/>
                <w:highlight w:val="none"/>
              </w:rPr>
              <w:t>偏离情况</w:t>
            </w:r>
          </w:p>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hAnsi="宋体" w:cs="宋体"/>
                <w:b/>
                <w:bCs/>
                <w:color w:val="auto"/>
                <w:highlight w:val="none"/>
              </w:rPr>
            </w:pPr>
            <w:r>
              <w:rPr>
                <w:rFonts w:hint="eastAsia" w:ascii="宋体" w:cs="宋体"/>
                <w:color w:val="auto"/>
                <w:highlight w:val="none"/>
              </w:rPr>
              <w:t>“正偏离”或“无偏离”或“负偏离”</w:t>
            </w:r>
          </w:p>
        </w:tc>
        <w:tc>
          <w:tcPr>
            <w:tcW w:w="2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hAnsi="宋体" w:cs="宋体"/>
                <w:b/>
                <w:bCs/>
                <w:color w:val="auto"/>
                <w:szCs w:val="21"/>
                <w:highlight w:val="none"/>
              </w:rPr>
            </w:pPr>
            <w:r>
              <w:rPr>
                <w:rFonts w:hint="eastAsia" w:ascii="宋体" w:cs="宋体"/>
                <w:b/>
                <w:bCs/>
                <w:color w:val="auto"/>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default" w:ascii="宋体" w:hAnsi="宋体" w:eastAsia="宋体" w:cs="仿宋"/>
                <w:color w:val="auto"/>
                <w:kern w:val="0"/>
                <w:szCs w:val="21"/>
                <w:highlight w:val="none"/>
                <w:lang w:val="en-US" w:eastAsia="zh-CN"/>
              </w:rPr>
            </w:pPr>
            <w:r>
              <w:rPr>
                <w:rFonts w:hint="eastAsia" w:ascii="宋体" w:hAnsi="宋体" w:eastAsia="宋体" w:cs="仿宋"/>
                <w:color w:val="auto"/>
                <w:kern w:val="0"/>
                <w:szCs w:val="21"/>
                <w:highlight w:val="none"/>
                <w:lang w:val="en-US" w:eastAsia="zh-CN"/>
              </w:rPr>
              <w:t>1</w:t>
            </w:r>
          </w:p>
        </w:tc>
        <w:tc>
          <w:tcPr>
            <w:tcW w:w="2756"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交货地点：深圳</w:t>
            </w:r>
            <w:r>
              <w:rPr>
                <w:rFonts w:hint="eastAsia" w:ascii="宋体" w:hAnsi="宋体" w:eastAsia="宋体" w:cs="宋体"/>
                <w:b w:val="0"/>
                <w:bCs w:val="0"/>
                <w:color w:val="auto"/>
                <w:sz w:val="24"/>
                <w:szCs w:val="24"/>
                <w:highlight w:val="none"/>
                <w:lang w:val="en-US" w:eastAsia="zh-CN"/>
              </w:rPr>
              <w:t>市</w:t>
            </w:r>
            <w:r>
              <w:rPr>
                <w:rFonts w:hint="eastAsia" w:ascii="宋体" w:hAnsi="宋体" w:eastAsia="宋体" w:cs="宋体"/>
                <w:b w:val="0"/>
                <w:bCs w:val="0"/>
                <w:color w:val="auto"/>
                <w:sz w:val="24"/>
                <w:szCs w:val="24"/>
                <w:highlight w:val="none"/>
              </w:rPr>
              <w:t>龙岗区</w:t>
            </w:r>
            <w:r>
              <w:rPr>
                <w:rFonts w:hint="eastAsia" w:ascii="宋体" w:hAnsi="宋体" w:eastAsia="宋体" w:cs="宋体"/>
                <w:b w:val="0"/>
                <w:bCs w:val="0"/>
                <w:color w:val="auto"/>
                <w:sz w:val="24"/>
                <w:szCs w:val="24"/>
                <w:highlight w:val="none"/>
                <w:lang w:val="en-US" w:eastAsia="zh-CN"/>
              </w:rPr>
              <w:t>第七</w:t>
            </w:r>
            <w:r>
              <w:rPr>
                <w:rFonts w:hint="eastAsia" w:ascii="宋体" w:hAnsi="宋体" w:eastAsia="宋体" w:cs="宋体"/>
                <w:b w:val="0"/>
                <w:bCs w:val="0"/>
                <w:color w:val="auto"/>
                <w:sz w:val="24"/>
                <w:szCs w:val="24"/>
                <w:highlight w:val="none"/>
              </w:rPr>
              <w:t>人民医院。</w:t>
            </w:r>
          </w:p>
        </w:tc>
        <w:tc>
          <w:tcPr>
            <w:tcW w:w="90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29"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default" w:ascii="宋体" w:hAnsi="宋体" w:eastAsia="宋体" w:cs="仿宋"/>
                <w:color w:val="auto"/>
                <w:kern w:val="0"/>
                <w:szCs w:val="21"/>
                <w:highlight w:val="none"/>
                <w:lang w:val="en-US" w:eastAsia="zh-CN"/>
              </w:rPr>
            </w:pPr>
            <w:r>
              <w:rPr>
                <w:rFonts w:hint="eastAsia" w:ascii="宋体" w:hAnsi="宋体" w:eastAsia="宋体" w:cs="仿宋"/>
                <w:color w:val="auto"/>
                <w:kern w:val="0"/>
                <w:szCs w:val="21"/>
                <w:highlight w:val="none"/>
                <w:lang w:val="en-US" w:eastAsia="zh-CN"/>
              </w:rPr>
              <w:t>2</w:t>
            </w:r>
          </w:p>
        </w:tc>
        <w:tc>
          <w:tcPr>
            <w:tcW w:w="2756"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val="0"/>
              <w:spacing w:line="240" w:lineRule="atLeas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付款方式：</w:t>
            </w:r>
            <w:r>
              <w:rPr>
                <w:rFonts w:hint="eastAsia" w:ascii="宋体" w:hAnsi="宋体" w:eastAsia="宋体" w:cs="宋体"/>
                <w:b w:val="0"/>
                <w:bCs w:val="0"/>
                <w:color w:val="auto"/>
                <w:sz w:val="24"/>
                <w:szCs w:val="24"/>
                <w:highlight w:val="none"/>
                <w:lang w:eastAsia="zh-CN"/>
              </w:rPr>
              <w:t>货物经采购人</w:t>
            </w:r>
            <w:r>
              <w:rPr>
                <w:rFonts w:hint="eastAsia" w:ascii="宋体" w:hAnsi="宋体" w:eastAsia="宋体" w:cs="宋体"/>
                <w:b w:val="0"/>
                <w:bCs w:val="0"/>
                <w:color w:val="auto"/>
                <w:sz w:val="24"/>
                <w:szCs w:val="24"/>
                <w:highlight w:val="none"/>
              </w:rPr>
              <w:t>验收合格并收到</w:t>
            </w:r>
            <w:r>
              <w:rPr>
                <w:rFonts w:hint="eastAsia" w:ascii="宋体" w:hAnsi="宋体" w:eastAsia="宋体" w:cs="宋体"/>
                <w:b w:val="0"/>
                <w:bCs w:val="0"/>
                <w:color w:val="auto"/>
                <w:sz w:val="24"/>
                <w:szCs w:val="24"/>
                <w:highlight w:val="none"/>
                <w:lang w:eastAsia="zh-CN"/>
              </w:rPr>
              <w:t>中标人</w:t>
            </w:r>
            <w:r>
              <w:rPr>
                <w:rFonts w:hint="eastAsia" w:ascii="宋体" w:hAnsi="宋体" w:eastAsia="宋体" w:cs="宋体"/>
                <w:b w:val="0"/>
                <w:bCs w:val="0"/>
                <w:color w:val="auto"/>
                <w:sz w:val="24"/>
                <w:szCs w:val="24"/>
                <w:highlight w:val="none"/>
                <w:lang w:val="en-US" w:eastAsia="zh-CN"/>
              </w:rPr>
              <w:t>合规的</w:t>
            </w:r>
            <w:r>
              <w:rPr>
                <w:rFonts w:hint="eastAsia" w:ascii="宋体" w:hAnsi="宋体" w:eastAsia="宋体" w:cs="宋体"/>
                <w:b w:val="0"/>
                <w:bCs w:val="0"/>
                <w:color w:val="auto"/>
                <w:sz w:val="24"/>
                <w:szCs w:val="24"/>
                <w:highlight w:val="none"/>
              </w:rPr>
              <w:t>发票10</w:t>
            </w:r>
            <w:r>
              <w:rPr>
                <w:rFonts w:hint="eastAsia" w:ascii="宋体" w:hAnsi="宋体" w:eastAsia="宋体" w:cs="宋体"/>
                <w:b w:val="0"/>
                <w:bCs w:val="0"/>
                <w:color w:val="auto"/>
                <w:sz w:val="24"/>
                <w:szCs w:val="24"/>
                <w:highlight w:val="none"/>
                <w:lang w:eastAsia="zh-CN"/>
              </w:rPr>
              <w:t>个工作日</w:t>
            </w:r>
            <w:r>
              <w:rPr>
                <w:rFonts w:hint="eastAsia" w:ascii="宋体" w:hAnsi="宋体" w:eastAsia="宋体" w:cs="宋体"/>
                <w:b w:val="0"/>
                <w:bCs w:val="0"/>
                <w:color w:val="auto"/>
                <w:sz w:val="24"/>
                <w:szCs w:val="24"/>
                <w:highlight w:val="none"/>
              </w:rPr>
              <w:t>内</w:t>
            </w:r>
            <w:r>
              <w:rPr>
                <w:rFonts w:hint="eastAsia" w:ascii="宋体" w:hAnsi="宋体" w:eastAsia="宋体" w:cs="宋体"/>
                <w:b w:val="0"/>
                <w:bCs w:val="0"/>
                <w:color w:val="auto"/>
                <w:sz w:val="24"/>
                <w:szCs w:val="24"/>
                <w:highlight w:val="none"/>
                <w:lang w:eastAsia="zh-CN"/>
              </w:rPr>
              <w:t>支付</w:t>
            </w:r>
            <w:r>
              <w:rPr>
                <w:rFonts w:hint="eastAsia" w:ascii="宋体" w:hAnsi="宋体" w:eastAsia="宋体" w:cs="宋体"/>
                <w:b w:val="0"/>
                <w:bCs w:val="0"/>
                <w:color w:val="auto"/>
                <w:sz w:val="24"/>
                <w:szCs w:val="24"/>
                <w:highlight w:val="none"/>
                <w:lang w:val="en-US" w:eastAsia="zh-CN"/>
              </w:rPr>
              <w:t>100%款项</w:t>
            </w:r>
            <w:r>
              <w:rPr>
                <w:rFonts w:hint="eastAsia" w:ascii="宋体" w:hAnsi="宋体" w:eastAsia="宋体" w:cs="宋体"/>
                <w:b w:val="0"/>
                <w:bCs w:val="0"/>
                <w:color w:val="auto"/>
                <w:sz w:val="24"/>
                <w:szCs w:val="24"/>
                <w:highlight w:val="none"/>
              </w:rPr>
              <w:t>。</w:t>
            </w:r>
          </w:p>
        </w:tc>
        <w:tc>
          <w:tcPr>
            <w:tcW w:w="90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29"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286"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default" w:ascii="宋体" w:hAnsi="宋体" w:eastAsia="宋体" w:cs="仿宋"/>
                <w:color w:val="auto"/>
                <w:kern w:val="0"/>
                <w:szCs w:val="21"/>
                <w:highlight w:val="none"/>
                <w:lang w:val="en-US" w:eastAsia="zh-CN"/>
              </w:rPr>
            </w:pPr>
            <w:r>
              <w:rPr>
                <w:rFonts w:hint="eastAsia" w:ascii="宋体" w:hAnsi="宋体" w:eastAsia="宋体" w:cs="仿宋"/>
                <w:color w:val="auto"/>
                <w:kern w:val="0"/>
                <w:szCs w:val="21"/>
                <w:highlight w:val="none"/>
                <w:lang w:val="en-US" w:eastAsia="zh-CN"/>
              </w:rPr>
              <w:t>3</w:t>
            </w:r>
          </w:p>
        </w:tc>
        <w:tc>
          <w:tcPr>
            <w:tcW w:w="2756"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rPr>
              <w:t>包装运输：除合同另有规定外，中标供应商提供的全部设备均应按标准保护措施进行包装。该包装应适应于远距离运输、防潮、防震、防锈和防野蛮装卸，以确保设备安全无损运抵指定地点。由于包装不善所引起的设备损失均由中标供应商承担。中标供应商负责货物运输，运输费由中标供应商负责。</w:t>
            </w:r>
          </w:p>
        </w:tc>
        <w:tc>
          <w:tcPr>
            <w:tcW w:w="90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29"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default" w:ascii="宋体" w:hAnsi="宋体" w:eastAsia="宋体" w:cs="仿宋"/>
                <w:color w:val="auto"/>
                <w:kern w:val="0"/>
                <w:szCs w:val="21"/>
                <w:highlight w:val="none"/>
                <w:lang w:val="en-US" w:eastAsia="zh-CN"/>
              </w:rPr>
            </w:pPr>
            <w:r>
              <w:rPr>
                <w:rFonts w:hint="eastAsia" w:ascii="宋体" w:hAnsi="宋体" w:cs="仿宋"/>
                <w:color w:val="auto"/>
                <w:kern w:val="0"/>
                <w:szCs w:val="21"/>
                <w:highlight w:val="none"/>
                <w:lang w:val="en-US" w:eastAsia="zh-CN"/>
              </w:rPr>
              <w:t>4</w:t>
            </w:r>
          </w:p>
        </w:tc>
        <w:tc>
          <w:tcPr>
            <w:tcW w:w="2756"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lang w:eastAsia="zh-CN"/>
              </w:rPr>
              <w:t>验收</w:t>
            </w:r>
            <w:r>
              <w:rPr>
                <w:rFonts w:hint="eastAsia" w:ascii="宋体" w:hAnsi="宋体" w:eastAsia="宋体" w:cs="宋体"/>
                <w:b w:val="0"/>
                <w:bCs w:val="0"/>
                <w:color w:val="auto"/>
                <w:sz w:val="24"/>
                <w:szCs w:val="24"/>
                <w:highlight w:val="none"/>
                <w:lang w:val="en-US" w:eastAsia="zh-CN"/>
              </w:rPr>
              <w:t>工作</w:t>
            </w:r>
          </w:p>
          <w:p>
            <w:pPr>
              <w:pStyle w:val="25"/>
              <w:keepNext w:val="0"/>
              <w:keepLines w:val="0"/>
              <w:pageBreakBefore w:val="0"/>
              <w:numPr>
                <w:ilvl w:val="-1"/>
                <w:numId w:val="0"/>
              </w:numPr>
              <w:kinsoku/>
              <w:wordWrap/>
              <w:overflowPunct/>
              <w:topLinePunct w:val="0"/>
              <w:autoSpaceDE/>
              <w:autoSpaceDN/>
              <w:bidi w:val="0"/>
              <w:adjustRightInd/>
              <w:snapToGrid/>
              <w:spacing w:line="240" w:lineRule="atLeas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中标人交付的货物应当完全符合招投标文件所规定、订单约定的货物、数量、质量和规格要求。中标人提供的货物不符合招投标文件和订单规定的，采购人有权拒收货物，由此引起的损失及责任，由中标人承担。</w:t>
            </w:r>
          </w:p>
          <w:p>
            <w:pPr>
              <w:pStyle w:val="25"/>
              <w:keepNext w:val="0"/>
              <w:keepLines w:val="0"/>
              <w:pageBreakBefore w:val="0"/>
              <w:numPr>
                <w:ilvl w:val="-1"/>
                <w:numId w:val="0"/>
              </w:numPr>
              <w:kinsoku/>
              <w:wordWrap/>
              <w:overflowPunct/>
              <w:topLinePunct w:val="0"/>
              <w:autoSpaceDE/>
              <w:autoSpaceDN/>
              <w:bidi w:val="0"/>
              <w:adjustRightInd/>
              <w:snapToGrid/>
              <w:spacing w:line="240" w:lineRule="atLeas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（2）必须是达到国家标准或行业标准，具备出厂合格证的无表面划损、无任何缺陷的全新原装产品且无任何侵权行为。提供的产品是否完整无损，是否符合要求。如有损坏、缺件等情况，中标人自行负责。</w:t>
            </w:r>
          </w:p>
          <w:p>
            <w:pPr>
              <w:pStyle w:val="25"/>
              <w:keepNext w:val="0"/>
              <w:keepLines w:val="0"/>
              <w:pageBreakBefore w:val="0"/>
              <w:numPr>
                <w:ilvl w:val="-1"/>
                <w:numId w:val="0"/>
              </w:numPr>
              <w:kinsoku/>
              <w:wordWrap/>
              <w:overflowPunct/>
              <w:topLinePunct w:val="0"/>
              <w:autoSpaceDE/>
              <w:autoSpaceDN/>
              <w:bidi w:val="0"/>
              <w:adjustRightInd/>
              <w:snapToGrid/>
              <w:spacing w:line="240" w:lineRule="atLeas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（3）采购人在中国使用该货物或货物的任何一部分时，免受第三方提出的侵犯其专利权、商标权或工业设计权等知识产权的起诉或司法干预。如果发生上诉起诉或干预，则其法律责任均由中标人负责。</w:t>
            </w:r>
          </w:p>
          <w:p>
            <w:pPr>
              <w:pStyle w:val="25"/>
              <w:keepNext w:val="0"/>
              <w:keepLines w:val="0"/>
              <w:pageBreakBefore w:val="0"/>
              <w:numPr>
                <w:ilvl w:val="-1"/>
                <w:numId w:val="0"/>
              </w:numPr>
              <w:kinsoku/>
              <w:wordWrap/>
              <w:overflowPunct/>
              <w:topLinePunct w:val="0"/>
              <w:autoSpaceDE/>
              <w:autoSpaceDN/>
              <w:bidi w:val="0"/>
              <w:adjustRightInd/>
              <w:snapToGrid/>
              <w:spacing w:line="240" w:lineRule="atLeas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（4）货到安装。中标人应派有经验的技术人员到现场进行安装、调试，直到设备正常使用。设备安装调试正常使用后30个工作日内进行验收，由使用科室、设备科、中标人等代表在场进行验收。</w:t>
            </w:r>
          </w:p>
          <w:p>
            <w:pPr>
              <w:pStyle w:val="25"/>
              <w:keepNext w:val="0"/>
              <w:keepLines w:val="0"/>
              <w:pageBreakBefore w:val="0"/>
              <w:numPr>
                <w:ilvl w:val="-1"/>
                <w:numId w:val="0"/>
              </w:numPr>
              <w:kinsoku/>
              <w:wordWrap/>
              <w:overflowPunct/>
              <w:topLinePunct w:val="0"/>
              <w:autoSpaceDE/>
              <w:autoSpaceDN/>
              <w:bidi w:val="0"/>
              <w:adjustRightInd/>
              <w:snapToGrid/>
              <w:spacing w:line="240" w:lineRule="atLeas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产品质量和安装调试检验标准遵照国家相关规定和最新标准执行。提供的货物必须为全新、经检验合格的产品。确保产品投入使用前，按照国家规定办理好产品所有启用所需的资质证件。验收中如发现有质量不合格或型号规格、数量等与送货清单不符等情况，中标人应更换或补齐，并承担因此发生的违约责任。中标人货物经过双方检验认可后，签署验收报告。以上费用均已包含在投标报价中。</w:t>
            </w:r>
          </w:p>
          <w:p>
            <w:pPr>
              <w:pStyle w:val="25"/>
              <w:keepNext w:val="0"/>
              <w:keepLines w:val="0"/>
              <w:pageBreakBefore w:val="0"/>
              <w:numPr>
                <w:ilvl w:val="-1"/>
                <w:numId w:val="0"/>
              </w:numPr>
              <w:kinsoku/>
              <w:wordWrap/>
              <w:overflowPunct/>
              <w:topLinePunct w:val="0"/>
              <w:autoSpaceDE/>
              <w:autoSpaceDN/>
              <w:bidi w:val="0"/>
              <w:adjustRightInd/>
              <w:snapToGrid/>
              <w:spacing w:line="240" w:lineRule="atLeas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（6）当满足以下条件时，采购人才向中标人签发货物验收报告：</w:t>
            </w:r>
          </w:p>
          <w:p>
            <w:pPr>
              <w:pStyle w:val="25"/>
              <w:keepNext w:val="0"/>
              <w:keepLines w:val="0"/>
              <w:pageBreakBefore w:val="0"/>
              <w:numPr>
                <w:ilvl w:val="-1"/>
                <w:numId w:val="0"/>
              </w:numPr>
              <w:kinsoku/>
              <w:wordWrap/>
              <w:overflowPunct/>
              <w:topLinePunct w:val="0"/>
              <w:autoSpaceDE/>
              <w:autoSpaceDN/>
              <w:bidi w:val="0"/>
              <w:adjustRightInd/>
              <w:snapToGrid/>
              <w:spacing w:line="240" w:lineRule="atLeas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a.中标人已按照合同规定提供了全部产品及完整的技术资料。</w:t>
            </w:r>
          </w:p>
          <w:p>
            <w:pPr>
              <w:pStyle w:val="25"/>
              <w:keepNext w:val="0"/>
              <w:keepLines w:val="0"/>
              <w:pageBreakBefore w:val="0"/>
              <w:numPr>
                <w:ilvl w:val="-1"/>
                <w:numId w:val="0"/>
              </w:numPr>
              <w:kinsoku/>
              <w:wordWrap/>
              <w:overflowPunct/>
              <w:topLinePunct w:val="0"/>
              <w:autoSpaceDE/>
              <w:autoSpaceDN/>
              <w:bidi w:val="0"/>
              <w:adjustRightInd/>
              <w:snapToGrid/>
              <w:spacing w:line="240" w:lineRule="atLeas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b.货物符合招标文件的要求，性能满足要求。</w:t>
            </w:r>
          </w:p>
          <w:p>
            <w:pPr>
              <w:pStyle w:val="25"/>
              <w:keepNext w:val="0"/>
              <w:keepLines w:val="0"/>
              <w:pageBreakBefore w:val="0"/>
              <w:numPr>
                <w:ilvl w:val="-1"/>
                <w:numId w:val="0"/>
              </w:numPr>
              <w:kinsoku/>
              <w:wordWrap/>
              <w:overflowPunct/>
              <w:topLinePunct w:val="0"/>
              <w:autoSpaceDE/>
              <w:autoSpaceDN/>
              <w:bidi w:val="0"/>
              <w:adjustRightInd/>
              <w:snapToGrid/>
              <w:spacing w:line="240" w:lineRule="atLeas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c.货物具备产品合格证。</w:t>
            </w:r>
          </w:p>
          <w:p>
            <w:pPr>
              <w:pStyle w:val="25"/>
              <w:keepNext w:val="0"/>
              <w:keepLines w:val="0"/>
              <w:pageBreakBefore w:val="0"/>
              <w:numPr>
                <w:ilvl w:val="-1"/>
                <w:numId w:val="0"/>
              </w:numPr>
              <w:kinsoku/>
              <w:wordWrap/>
              <w:overflowPunct/>
              <w:topLinePunct w:val="0"/>
              <w:autoSpaceDE/>
              <w:autoSpaceDN/>
              <w:bidi w:val="0"/>
              <w:adjustRightInd/>
              <w:snapToGrid/>
              <w:spacing w:line="240" w:lineRule="atLeas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d.提供维修手册、售后服务承诺书、中文操作手册。</w:t>
            </w:r>
          </w:p>
          <w:p>
            <w:pPr>
              <w:pStyle w:val="25"/>
              <w:keepNext w:val="0"/>
              <w:keepLines w:val="0"/>
              <w:pageBreakBefore w:val="0"/>
              <w:numPr>
                <w:ilvl w:val="-1"/>
                <w:numId w:val="0"/>
              </w:numPr>
              <w:kinsoku/>
              <w:wordWrap/>
              <w:overflowPunct/>
              <w:topLinePunct w:val="0"/>
              <w:autoSpaceDE/>
              <w:autoSpaceDN/>
              <w:bidi w:val="0"/>
              <w:adjustRightInd/>
              <w:snapToGrid/>
              <w:spacing w:line="240" w:lineRule="atLeas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7）若采购人对中标人所供设备有质疑，中标人需无条件配合采购人委托第三方质量检测部门按照招投标文件进行验收确认，所需费用由中标人负责支付。出具合格的检测验收报告，采购人将履行采购合同；若检测验收报告不合格，采购人有权取消采购合同，因此造成的经济损失由中标人承担。</w:t>
            </w:r>
          </w:p>
          <w:p>
            <w:pPr>
              <w:pStyle w:val="25"/>
              <w:keepNext w:val="0"/>
              <w:keepLines w:val="0"/>
              <w:pageBreakBefore w:val="0"/>
              <w:numPr>
                <w:ilvl w:val="-1"/>
                <w:numId w:val="0"/>
              </w:numPr>
              <w:kinsoku/>
              <w:wordWrap/>
              <w:overflowPunct/>
              <w:topLinePunct w:val="0"/>
              <w:autoSpaceDE/>
              <w:autoSpaceDN/>
              <w:bidi w:val="0"/>
              <w:adjustRightInd/>
              <w:snapToGrid/>
              <w:spacing w:line="240" w:lineRule="atLeas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8）产品应符合货物采购合同的技术要求，如没有提及适用标准，则应符合中华人民共和国国家标准或行业标准，如果中华人民共和国没有相关标准的，则采用货物来源国适用的官方标准。这些标准必须是有关机构发布的最新版本的标准。</w:t>
            </w:r>
          </w:p>
        </w:tc>
        <w:tc>
          <w:tcPr>
            <w:tcW w:w="90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29"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286"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default" w:ascii="宋体" w:hAnsi="宋体" w:eastAsia="宋体" w:cs="仿宋"/>
                <w:color w:val="auto"/>
                <w:kern w:val="0"/>
                <w:szCs w:val="21"/>
                <w:highlight w:val="none"/>
                <w:lang w:val="en-US" w:eastAsia="zh-CN"/>
              </w:rPr>
            </w:pPr>
            <w:r>
              <w:rPr>
                <w:rFonts w:hint="eastAsia" w:ascii="宋体" w:hAnsi="宋体" w:cs="仿宋"/>
                <w:color w:val="auto"/>
                <w:kern w:val="0"/>
                <w:szCs w:val="21"/>
                <w:highlight w:val="none"/>
                <w:lang w:val="en-US" w:eastAsia="zh-CN"/>
              </w:rPr>
              <w:t>5</w:t>
            </w:r>
          </w:p>
        </w:tc>
        <w:tc>
          <w:tcPr>
            <w:tcW w:w="2756"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tLeas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7.售后服务要求</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tLeas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eastAsia="zh-CN"/>
              </w:rPr>
              <w:t>.1验收时提供产品中文说明书、操作手册、维修手册、设备操作流程卡及一切和本项目有关的资料及说明。</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tLeas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提供备品备件清单，提供消耗品优惠价格，提供零配件优惠价格。</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tLeas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安排专业人员在现场对采购单位临床操作人员进行专业的培训，并对维修工程师进行维护、维修培训。保证使用人员能够熟练掌握各种设备和软件等常规使用方法，以及小故障的判断与解决。</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tLeas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eastAsia="zh-CN"/>
              </w:rPr>
              <w:t>投标时，供应商承诺保修期外，能及时为用户提供备品备件、专用试剂及耗材。</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tLeas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lang w:eastAsia="zh-CN"/>
              </w:rPr>
              <w:t>签订合同时，为保证设备正常运行由生产厂家或中国总代理出具承诺书，保证该设备购置后至少5年供应的备品备件、专用试剂及耗材是在注册证有效期内生产的，并加盖生产厂家或中国总代理公章。（作为备品备件供应的考核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tLeas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lang w:eastAsia="zh-CN"/>
              </w:rPr>
              <w:t>投标人在投标文件所承诺的仪器功能，所需的硬件和软件必须配置齐全。</w:t>
            </w:r>
          </w:p>
          <w:p>
            <w:pPr>
              <w:pStyle w:val="36"/>
              <w:keepNext w:val="0"/>
              <w:keepLines w:val="0"/>
              <w:pageBreakBefore w:val="0"/>
              <w:kinsoku/>
              <w:wordWrap/>
              <w:overflowPunct/>
              <w:topLinePunct w:val="0"/>
              <w:autoSpaceDE/>
              <w:autoSpaceDN/>
              <w:bidi w:val="0"/>
              <w:adjustRightInd/>
              <w:snapToGrid/>
              <w:spacing w:line="240" w:lineRule="atLeast"/>
              <w:ind w:left="0" w:leftChars="0" w:firstLine="0" w:firstLineChars="0"/>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sz w:val="24"/>
                <w:szCs w:val="24"/>
                <w:highlight w:val="none"/>
                <w:lang w:val="en-US" w:eastAsia="zh-CN"/>
              </w:rPr>
              <w:t>7.11本项目设备如需办理计量检定或计量校准，投标人中标后须向采购人提供设备有效期内、真实有效的计量检定证书或校准证书完整资料，并加盖投标单位公章交付采购人存档留存。采购人有权随时核查证书原件，中标人须无条件配合。</w:t>
            </w:r>
          </w:p>
        </w:tc>
        <w:tc>
          <w:tcPr>
            <w:tcW w:w="90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29"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default" w:ascii="宋体" w:hAnsi="宋体" w:eastAsia="宋体" w:cs="仿宋"/>
                <w:color w:val="auto"/>
                <w:kern w:val="0"/>
                <w:szCs w:val="21"/>
                <w:highlight w:val="none"/>
                <w:lang w:val="en-US" w:eastAsia="zh-CN"/>
              </w:rPr>
            </w:pPr>
            <w:r>
              <w:rPr>
                <w:rFonts w:hint="eastAsia" w:ascii="宋体" w:hAnsi="宋体" w:cs="仿宋"/>
                <w:color w:val="auto"/>
                <w:kern w:val="0"/>
                <w:szCs w:val="21"/>
                <w:highlight w:val="none"/>
                <w:lang w:val="en-US" w:eastAsia="zh-CN"/>
              </w:rPr>
              <w:t>6</w:t>
            </w:r>
          </w:p>
        </w:tc>
        <w:tc>
          <w:tcPr>
            <w:tcW w:w="2756"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8.知识产权</w:t>
            </w:r>
          </w:p>
          <w:p>
            <w:pPr>
              <w:pStyle w:val="37"/>
              <w:keepNext w:val="0"/>
              <w:keepLines w:val="0"/>
              <w:pageBreakBefore w:val="0"/>
              <w:kinsoku/>
              <w:wordWrap/>
              <w:overflowPunct/>
              <w:topLinePunct w:val="0"/>
              <w:autoSpaceDE/>
              <w:autoSpaceDN/>
              <w:bidi w:val="0"/>
              <w:adjustRightInd/>
              <w:spacing w:line="240" w:lineRule="atLeast"/>
              <w:ind w:left="0" w:leftChars="0" w:firstLine="0" w:firstLineChars="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8.1.投标人应保证采购人在使用该货物或其任何一部分时，免受第三方提出的侵犯其专利权、商标权、著作权或其它知识产权的起诉。投标人保证所提供软件的合法性，所发生的任何知识产权纠纷与采购人无关。若因为知识产权纠纷造成的一切损害赔偿及损失由投标人承担，包括但不限于实际损失、预期损失和对方要求赔偿损失及支出的律师费、交通费和差旅费等。</w:t>
            </w:r>
          </w:p>
          <w:p>
            <w:pPr>
              <w:pStyle w:val="37"/>
              <w:keepNext w:val="0"/>
              <w:keepLines w:val="0"/>
              <w:pageBreakBefore w:val="0"/>
              <w:kinsoku/>
              <w:wordWrap/>
              <w:overflowPunct/>
              <w:topLinePunct w:val="0"/>
              <w:autoSpaceDE/>
              <w:autoSpaceDN/>
              <w:bidi w:val="0"/>
              <w:adjustRightInd/>
              <w:spacing w:line="240" w:lineRule="atLeast"/>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8.2采购人购买产品后，有权对该产品与其他设备进行配套、整合或适当改进，而免受侵犯专利权的起诉。若因为知识产权纠纷造成的一切损害赔偿及损失由投标人承担，包括但不限于实际损失、预期损失和对方要求赔偿损失及支出的律师费、交通费和差旅费等。</w:t>
            </w:r>
          </w:p>
        </w:tc>
        <w:tc>
          <w:tcPr>
            <w:tcW w:w="90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29"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default" w:ascii="宋体" w:hAnsi="宋体" w:eastAsia="宋体" w:cs="仿宋"/>
                <w:color w:val="auto"/>
                <w:kern w:val="0"/>
                <w:szCs w:val="21"/>
                <w:highlight w:val="none"/>
                <w:lang w:val="en-US" w:eastAsia="zh-CN"/>
              </w:rPr>
            </w:pPr>
            <w:r>
              <w:rPr>
                <w:rFonts w:hint="eastAsia" w:ascii="宋体" w:hAnsi="宋体" w:cs="仿宋"/>
                <w:color w:val="auto"/>
                <w:kern w:val="0"/>
                <w:szCs w:val="21"/>
                <w:highlight w:val="none"/>
                <w:lang w:val="en-US" w:eastAsia="zh-CN"/>
              </w:rPr>
              <w:t>7</w:t>
            </w:r>
          </w:p>
        </w:tc>
        <w:tc>
          <w:tcPr>
            <w:tcW w:w="2756"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7"/>
              <w:keepNext w:val="0"/>
              <w:keepLines w:val="0"/>
              <w:pageBreakBefore w:val="0"/>
              <w:kinsoku/>
              <w:wordWrap/>
              <w:overflowPunct/>
              <w:topLinePunct w:val="0"/>
              <w:autoSpaceDE/>
              <w:autoSpaceDN/>
              <w:bidi w:val="0"/>
              <w:adjustRightInd/>
              <w:spacing w:line="240" w:lineRule="atLeast"/>
              <w:ind w:left="0" w:leftChars="0" w:firstLine="0" w:firstLineChars="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9.违约责任</w:t>
            </w:r>
          </w:p>
          <w:p>
            <w:pPr>
              <w:pStyle w:val="37"/>
              <w:keepNext w:val="0"/>
              <w:keepLines w:val="0"/>
              <w:pageBreakBefore w:val="0"/>
              <w:kinsoku/>
              <w:wordWrap/>
              <w:overflowPunct/>
              <w:topLinePunct w:val="0"/>
              <w:autoSpaceDE/>
              <w:autoSpaceDN/>
              <w:bidi w:val="0"/>
              <w:adjustRightInd/>
              <w:spacing w:line="240" w:lineRule="atLeast"/>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未按照约定时间交付货物的，每逾期一天，采购人有权要求中标人延长两天的维保服务期限；逾期超过90日历日的，采购人有权单方解除合同并要求中标人承担合同总金额20%的违约金。如违约金不足以赔偿因交货延迟给采购人造成的损失，中标人还应继续承担相应的赔偿责任。</w:t>
            </w:r>
          </w:p>
        </w:tc>
        <w:tc>
          <w:tcPr>
            <w:tcW w:w="90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29"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default" w:ascii="宋体" w:hAnsi="宋体" w:eastAsia="宋体" w:cs="仿宋"/>
                <w:color w:val="auto"/>
                <w:kern w:val="0"/>
                <w:szCs w:val="21"/>
                <w:highlight w:val="none"/>
                <w:lang w:val="en-US" w:eastAsia="zh-CN"/>
              </w:rPr>
            </w:pPr>
            <w:r>
              <w:rPr>
                <w:rFonts w:hint="eastAsia" w:ascii="宋体" w:hAnsi="宋体" w:cs="仿宋"/>
                <w:color w:val="auto"/>
                <w:kern w:val="0"/>
                <w:szCs w:val="21"/>
                <w:highlight w:val="none"/>
                <w:lang w:val="en-US" w:eastAsia="zh-CN"/>
              </w:rPr>
              <w:t>8</w:t>
            </w:r>
          </w:p>
        </w:tc>
        <w:tc>
          <w:tcPr>
            <w:tcW w:w="2756"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7"/>
              <w:keepNext w:val="0"/>
              <w:keepLines w:val="0"/>
              <w:pageBreakBefore w:val="0"/>
              <w:numPr>
                <w:ilvl w:val="0"/>
                <w:numId w:val="0"/>
              </w:numPr>
              <w:kinsoku/>
              <w:wordWrap/>
              <w:overflowPunct/>
              <w:topLinePunct w:val="0"/>
              <w:autoSpaceDE/>
              <w:autoSpaceDN/>
              <w:bidi w:val="0"/>
              <w:adjustRightInd/>
              <w:spacing w:line="240" w:lineRule="atLeas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10.培训</w:t>
            </w:r>
          </w:p>
          <w:p>
            <w:pPr>
              <w:pStyle w:val="37"/>
              <w:keepNext w:val="0"/>
              <w:keepLines w:val="0"/>
              <w:pageBreakBefore w:val="0"/>
              <w:kinsoku/>
              <w:wordWrap/>
              <w:overflowPunct/>
              <w:topLinePunct w:val="0"/>
              <w:autoSpaceDE/>
              <w:autoSpaceDN/>
              <w:bidi w:val="0"/>
              <w:adjustRightInd/>
              <w:spacing w:line="240" w:lineRule="atLeast"/>
              <w:ind w:left="0" w:leftChars="0" w:firstLine="0" w:firstLineChars="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10.1投标人应派专业技术人员免费对采购单位指定人员进行定期培训及指导，直至其完全掌握设备的基本故障处理技术。</w:t>
            </w:r>
          </w:p>
          <w:p>
            <w:pPr>
              <w:pStyle w:val="37"/>
              <w:keepNext w:val="0"/>
              <w:keepLines w:val="0"/>
              <w:pageBreakBefore w:val="0"/>
              <w:kinsoku/>
              <w:wordWrap/>
              <w:overflowPunct/>
              <w:topLinePunct w:val="0"/>
              <w:autoSpaceDE/>
              <w:autoSpaceDN/>
              <w:bidi w:val="0"/>
              <w:adjustRightInd/>
              <w:spacing w:line="240" w:lineRule="atLeast"/>
              <w:ind w:left="0" w:leftChars="0" w:firstLine="0" w:firstLineChars="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10.2现场培训：投标人应提供现场技术培训，保证使用人员正常操作设备的各种功能。</w:t>
            </w:r>
          </w:p>
          <w:p>
            <w:pPr>
              <w:pStyle w:val="37"/>
              <w:keepNext w:val="0"/>
              <w:keepLines w:val="0"/>
              <w:pageBreakBefore w:val="0"/>
              <w:kinsoku/>
              <w:wordWrap/>
              <w:overflowPunct/>
              <w:topLinePunct w:val="0"/>
              <w:autoSpaceDE/>
              <w:autoSpaceDN/>
              <w:bidi w:val="0"/>
              <w:adjustRightInd/>
              <w:spacing w:line="240" w:lineRule="atLeast"/>
              <w:ind w:left="0" w:leftChars="0" w:firstLine="0" w:firstLineChars="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10.3集中培训：根据设备技术要求，可向投标人提供使用和维修技术人员培训。</w:t>
            </w:r>
          </w:p>
          <w:p>
            <w:pPr>
              <w:pStyle w:val="37"/>
              <w:keepNext w:val="0"/>
              <w:keepLines w:val="0"/>
              <w:pageBreakBefore w:val="0"/>
              <w:kinsoku/>
              <w:wordWrap/>
              <w:overflowPunct/>
              <w:topLinePunct w:val="0"/>
              <w:autoSpaceDE/>
              <w:autoSpaceDN/>
              <w:bidi w:val="0"/>
              <w:adjustRightInd/>
              <w:spacing w:line="240" w:lineRule="atLeast"/>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10.4计算机辅助培训：针对该机型的多媒体互动操作教学软件，方便学习掌握基本操作和各项高级功能。</w:t>
            </w:r>
          </w:p>
        </w:tc>
        <w:tc>
          <w:tcPr>
            <w:tcW w:w="90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29"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default" w:ascii="宋体" w:hAnsi="宋体" w:eastAsia="宋体" w:cs="仿宋"/>
                <w:color w:val="auto"/>
                <w:kern w:val="0"/>
                <w:szCs w:val="21"/>
                <w:highlight w:val="none"/>
                <w:lang w:val="en-US" w:eastAsia="zh-CN"/>
              </w:rPr>
            </w:pPr>
            <w:r>
              <w:rPr>
                <w:rFonts w:hint="eastAsia" w:ascii="宋体" w:hAnsi="宋体" w:cs="仿宋"/>
                <w:color w:val="auto"/>
                <w:kern w:val="0"/>
                <w:szCs w:val="21"/>
                <w:highlight w:val="none"/>
                <w:lang w:val="en-US" w:eastAsia="zh-CN"/>
              </w:rPr>
              <w:t>9</w:t>
            </w:r>
          </w:p>
        </w:tc>
        <w:tc>
          <w:tcPr>
            <w:tcW w:w="2756"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7"/>
              <w:keepNext w:val="0"/>
              <w:keepLines w:val="0"/>
              <w:pageBreakBefore w:val="0"/>
              <w:kinsoku/>
              <w:wordWrap/>
              <w:overflowPunct/>
              <w:topLinePunct w:val="0"/>
              <w:autoSpaceDE/>
              <w:autoSpaceDN/>
              <w:bidi w:val="0"/>
              <w:adjustRightInd/>
              <w:spacing w:line="240" w:lineRule="atLeast"/>
              <w:ind w:left="0" w:leftChars="0" w:firstLine="0" w:firstLineChars="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11.其他要求</w:t>
            </w:r>
          </w:p>
          <w:p>
            <w:pPr>
              <w:pStyle w:val="37"/>
              <w:keepNext w:val="0"/>
              <w:keepLines w:val="0"/>
              <w:pageBreakBefore w:val="0"/>
              <w:kinsoku/>
              <w:wordWrap/>
              <w:overflowPunct/>
              <w:topLinePunct w:val="0"/>
              <w:autoSpaceDE/>
              <w:autoSpaceDN/>
              <w:bidi w:val="0"/>
              <w:adjustRightInd/>
              <w:spacing w:line="240" w:lineRule="atLeast"/>
              <w:ind w:left="0" w:leftChars="0" w:firstLine="0" w:firstLineChars="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11.1交货时，设备出厂时间≤1年。</w:t>
            </w:r>
          </w:p>
          <w:p>
            <w:pPr>
              <w:pStyle w:val="37"/>
              <w:keepNext w:val="0"/>
              <w:keepLines w:val="0"/>
              <w:pageBreakBefore w:val="0"/>
              <w:kinsoku/>
              <w:wordWrap/>
              <w:overflowPunct/>
              <w:topLinePunct w:val="0"/>
              <w:autoSpaceDE/>
              <w:autoSpaceDN/>
              <w:bidi w:val="0"/>
              <w:adjustRightInd/>
              <w:spacing w:line="240" w:lineRule="atLeast"/>
              <w:ind w:left="0" w:leftChars="0" w:firstLine="0" w:firstLineChars="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11.3签订合同时，提供厂家售后服务承诺书，含免费保修期。</w:t>
            </w:r>
          </w:p>
          <w:p>
            <w:pPr>
              <w:pStyle w:val="37"/>
              <w:keepNext w:val="0"/>
              <w:keepLines w:val="0"/>
              <w:pageBreakBefore w:val="0"/>
              <w:kinsoku/>
              <w:wordWrap/>
              <w:overflowPunct/>
              <w:topLinePunct w:val="0"/>
              <w:autoSpaceDE/>
              <w:autoSpaceDN/>
              <w:bidi w:val="0"/>
              <w:adjustRightInd/>
              <w:spacing w:line="240" w:lineRule="atLeast"/>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11.4设备使用期间，发生产品召回事件，供应商提供替代或赔偿方案。</w:t>
            </w:r>
          </w:p>
        </w:tc>
        <w:tc>
          <w:tcPr>
            <w:tcW w:w="90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29"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Lines w:val="0"/>
              <w:pageBreakBefore w:val="0"/>
              <w:widowControl/>
              <w:kinsoku/>
              <w:wordWrap/>
              <w:overflowPunct/>
              <w:topLinePunct w:val="0"/>
              <w:autoSpaceDE/>
              <w:autoSpaceDN/>
              <w:bidi w:val="0"/>
              <w:adjustRightInd/>
              <w:spacing w:line="560" w:lineRule="exact"/>
              <w:jc w:val="center"/>
              <w:rPr>
                <w:rFonts w:hint="default" w:ascii="宋体" w:hAnsi="宋体" w:eastAsia="宋体" w:cs="仿宋"/>
                <w:color w:val="auto"/>
                <w:kern w:val="0"/>
                <w:szCs w:val="21"/>
                <w:highlight w:val="none"/>
                <w:lang w:val="en-US" w:eastAsia="zh-CN"/>
              </w:rPr>
            </w:pPr>
            <w:r>
              <w:rPr>
                <w:rFonts w:hint="eastAsia" w:ascii="宋体" w:hAnsi="宋体" w:cs="仿宋"/>
                <w:color w:val="auto"/>
                <w:kern w:val="0"/>
                <w:szCs w:val="21"/>
                <w:highlight w:val="none"/>
                <w:lang w:val="en-US" w:eastAsia="zh-CN"/>
              </w:rPr>
              <w:t>10</w:t>
            </w:r>
          </w:p>
        </w:tc>
        <w:tc>
          <w:tcPr>
            <w:tcW w:w="2756"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7"/>
              <w:keepNext w:val="0"/>
              <w:keepLines w:val="0"/>
              <w:pageBreakBefore w:val="0"/>
              <w:kinsoku/>
              <w:wordWrap/>
              <w:overflowPunct/>
              <w:topLinePunct w:val="0"/>
              <w:autoSpaceDE/>
              <w:autoSpaceDN/>
              <w:bidi w:val="0"/>
              <w:adjustRightInd/>
              <w:spacing w:line="240" w:lineRule="atLeast"/>
              <w:ind w:left="0" w:leftChars="0" w:firstLine="0" w:firstLineChars="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12.签订合同</w:t>
            </w:r>
          </w:p>
          <w:p>
            <w:pPr>
              <w:pStyle w:val="37"/>
              <w:keepNext w:val="0"/>
              <w:keepLines w:val="0"/>
              <w:pageBreakBefore w:val="0"/>
              <w:kinsoku/>
              <w:wordWrap/>
              <w:overflowPunct/>
              <w:topLinePunct w:val="0"/>
              <w:autoSpaceDE/>
              <w:autoSpaceDN/>
              <w:bidi w:val="0"/>
              <w:adjustRightInd/>
              <w:spacing w:line="240" w:lineRule="atLeast"/>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采购人和中标人应当自中标通知书发出之日起十个工作日内，按照招标文件和中标人的投标文件订立书面合同。</w:t>
            </w:r>
          </w:p>
        </w:tc>
        <w:tc>
          <w:tcPr>
            <w:tcW w:w="906"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29"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eastAsia="宋体"/>
          <w:color w:val="auto"/>
          <w:highlight w:val="none"/>
          <w:lang w:val="en-US" w:eastAsia="zh-CN"/>
        </w:rPr>
      </w:pPr>
      <w:r>
        <w:rPr>
          <w:rFonts w:hint="eastAsia" w:eastAsia="宋体"/>
          <w:color w:val="auto"/>
          <w:highlight w:val="none"/>
          <w:lang w:val="en-US" w:eastAsia="zh-CN"/>
        </w:rPr>
        <w:t>法定代表人或其授权代表人（签字）：</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eastAsia="宋体"/>
          <w:color w:val="auto"/>
          <w:highlight w:val="none"/>
          <w:lang w:val="en-US" w:eastAsia="zh-CN"/>
        </w:rPr>
      </w:pPr>
      <w:r>
        <w:rPr>
          <w:rFonts w:hint="eastAsia" w:eastAsia="宋体"/>
          <w:color w:val="auto"/>
          <w:highlight w:val="none"/>
          <w:lang w:val="en-US" w:eastAsia="zh-CN"/>
        </w:rPr>
        <w:t>投标单位全称（加盖公章）：</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eastAsia="宋体"/>
          <w:color w:val="auto"/>
          <w:highlight w:val="none"/>
          <w:lang w:val="en-US" w:eastAsia="zh-CN"/>
        </w:rPr>
      </w:pPr>
      <w:r>
        <w:rPr>
          <w:rFonts w:hint="eastAsia"/>
          <w:color w:val="auto"/>
          <w:highlight w:val="none"/>
          <w:lang w:val="en-US" w:eastAsia="zh-CN"/>
        </w:rPr>
        <w:t>日期：</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cs="宋体"/>
          <w:color w:val="auto"/>
          <w:szCs w:val="21"/>
          <w:highlight w:val="none"/>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cs="宋体"/>
          <w:color w:val="auto"/>
          <w:szCs w:val="21"/>
          <w:highlight w:val="none"/>
        </w:rPr>
      </w:pPr>
      <w:r>
        <w:rPr>
          <w:rFonts w:hint="eastAsia" w:ascii="宋体" w:cs="宋体"/>
          <w:color w:val="auto"/>
          <w:szCs w:val="21"/>
          <w:highlight w:val="none"/>
        </w:rPr>
        <w:t>《商务条款偏离表》编制指引：</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cs="宋体"/>
          <w:color w:val="auto"/>
          <w:szCs w:val="21"/>
          <w:highlight w:val="none"/>
        </w:rPr>
      </w:pPr>
      <w:r>
        <w:rPr>
          <w:rFonts w:hint="eastAsia" w:ascii="宋体" w:cs="宋体"/>
          <w:color w:val="auto"/>
          <w:szCs w:val="21"/>
          <w:highlight w:val="none"/>
          <w:lang w:eastAsia="zh-CN"/>
        </w:rPr>
        <w:t>1.</w:t>
      </w:r>
      <w:r>
        <w:rPr>
          <w:rFonts w:hint="eastAsia" w:ascii="宋体" w:cs="宋体"/>
          <w:color w:val="auto"/>
          <w:szCs w:val="21"/>
          <w:highlight w:val="none"/>
        </w:rPr>
        <w:t>商务条款偏离表的“招标商务要求”等栏目对应“第二章 招标项目需求”中的“商务要求”章节相关内容。</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cs="宋体"/>
          <w:color w:val="auto"/>
          <w:szCs w:val="21"/>
          <w:highlight w:val="none"/>
        </w:rPr>
      </w:pPr>
      <w:r>
        <w:rPr>
          <w:rFonts w:hint="eastAsia" w:ascii="宋体" w:cs="宋体"/>
          <w:color w:val="auto"/>
          <w:szCs w:val="21"/>
          <w:highlight w:val="none"/>
          <w:lang w:eastAsia="zh-CN"/>
        </w:rPr>
        <w:t>2.</w:t>
      </w:r>
      <w:r>
        <w:rPr>
          <w:rFonts w:hint="eastAsia" w:ascii="宋体" w:cs="宋体"/>
          <w:color w:val="auto"/>
          <w:szCs w:val="21"/>
          <w:highlight w:val="none"/>
        </w:rPr>
        <w:t>“投标商务响应”一栏必须一一对照“招标商务要求”，详细填写自身响应情况，以体现具体响应情况。</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cs="宋体"/>
          <w:color w:val="auto"/>
          <w:szCs w:val="21"/>
          <w:highlight w:val="none"/>
        </w:rPr>
      </w:pPr>
      <w:r>
        <w:rPr>
          <w:rFonts w:hint="eastAsia" w:ascii="宋体" w:cs="宋体"/>
          <w:color w:val="auto"/>
          <w:szCs w:val="21"/>
          <w:highlight w:val="none"/>
          <w:lang w:eastAsia="zh-CN"/>
        </w:rPr>
        <w:t>3.</w:t>
      </w:r>
      <w:r>
        <w:rPr>
          <w:rFonts w:hint="eastAsia" w:ascii="宋体" w:cs="宋体"/>
          <w:color w:val="auto"/>
          <w:szCs w:val="21"/>
          <w:highlight w:val="none"/>
        </w:rPr>
        <w:t>“偏离情况”一栏填写如实填写“正偏离</w:t>
      </w:r>
      <w:r>
        <w:rPr>
          <w:rFonts w:hint="eastAsia" w:ascii="宋体" w:cs="宋体"/>
          <w:color w:val="auto"/>
          <w:szCs w:val="21"/>
          <w:highlight w:val="none"/>
          <w:lang w:eastAsia="zh-CN"/>
        </w:rPr>
        <w:t>”“</w:t>
      </w:r>
      <w:r>
        <w:rPr>
          <w:rFonts w:hint="eastAsia" w:ascii="宋体" w:cs="宋体"/>
          <w:color w:val="auto"/>
          <w:szCs w:val="21"/>
          <w:highlight w:val="none"/>
        </w:rPr>
        <w:t>无偏离”或“负偏离”，其中：“正偏离”表示“投标响应优于招标商务要求”，“负偏离”表示“投标响应不满足招标商务要求”，“无偏离”表示“投标响应与招标商务要求一致”。</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cs="宋体"/>
          <w:color w:val="auto"/>
          <w:szCs w:val="21"/>
          <w:highlight w:val="none"/>
        </w:rPr>
      </w:pPr>
      <w:r>
        <w:rPr>
          <w:rFonts w:hint="eastAsia" w:ascii="宋体" w:cs="宋体"/>
          <w:color w:val="auto"/>
          <w:szCs w:val="21"/>
          <w:highlight w:val="none"/>
        </w:rPr>
        <w:t>“投标商务响应”对比“招标商务要求”存在响应不全（包括未响应整项招标商务要求或者未响应一项招标商务要求的部分内容），均视为“负偏离”。带★号条款为不可偏离条款，如未响应或出现负偏离的，将作投标无效处理。</w:t>
      </w:r>
    </w:p>
    <w:p>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firstLine="420" w:firstLineChars="200"/>
        <w:textAlignment w:val="auto"/>
        <w:rPr>
          <w:rFonts w:hint="eastAsia" w:ascii="宋体" w:cs="宋体"/>
          <w:color w:val="auto"/>
          <w:szCs w:val="21"/>
          <w:highlight w:val="none"/>
        </w:rPr>
      </w:pPr>
      <w:r>
        <w:rPr>
          <w:rFonts w:hint="eastAsia" w:ascii="宋体" w:cs="宋体"/>
          <w:color w:val="auto"/>
          <w:szCs w:val="21"/>
          <w:highlight w:val="none"/>
        </w:rPr>
        <w:t>如本表内容与具体商务方案承诺内容有矛盾，以本表为准。</w:t>
      </w:r>
    </w:p>
    <w:p>
      <w:pPr>
        <w:keepLines w:val="0"/>
        <w:pageBreakBefore w:val="0"/>
        <w:tabs>
          <w:tab w:val="left" w:pos="0"/>
        </w:tabs>
        <w:kinsoku/>
        <w:wordWrap/>
        <w:overflowPunct/>
        <w:topLinePunct w:val="0"/>
        <w:bidi w:val="0"/>
        <w:snapToGrid w:val="0"/>
        <w:spacing w:line="500" w:lineRule="exact"/>
        <w:rPr>
          <w:rFonts w:hint="eastAsia" w:ascii="仿宋" w:hAnsi="仿宋" w:eastAsia="仿宋" w:cs="仿宋"/>
          <w:b/>
          <w:bCs/>
          <w:color w:val="auto"/>
          <w:sz w:val="32"/>
          <w:szCs w:val="32"/>
          <w:highlight w:val="none"/>
        </w:rPr>
        <w:sectPr>
          <w:headerReference r:id="rId5" w:type="default"/>
          <w:footerReference r:id="rId6" w:type="default"/>
          <w:pgSz w:w="16838" w:h="11906" w:orient="landscape"/>
          <w:pgMar w:top="1304" w:right="2098" w:bottom="1474" w:left="1984" w:header="851" w:footer="1417" w:gutter="0"/>
          <w:pgNumType w:fmt="numberInDash"/>
          <w:cols w:space="0" w:num="1"/>
          <w:rtlGutter w:val="0"/>
          <w:docGrid w:type="lines" w:linePitch="338" w:charSpace="0"/>
        </w:sectPr>
      </w:pPr>
    </w:p>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 w:hAnsi="仿宋" w:eastAsia="仿宋" w:cs="仿宋"/>
          <w:b/>
          <w:color w:val="auto"/>
          <w:kern w:val="0"/>
          <w:sz w:val="44"/>
          <w:szCs w:val="44"/>
          <w:highlight w:val="none"/>
          <w:lang w:val="zh-CN"/>
        </w:rPr>
      </w:pPr>
      <w:r>
        <w:rPr>
          <w:rFonts w:hint="eastAsia" w:ascii="仿宋" w:hAnsi="仿宋" w:eastAsia="仿宋" w:cs="仿宋"/>
          <w:b/>
          <w:color w:val="auto"/>
          <w:kern w:val="0"/>
          <w:sz w:val="44"/>
          <w:szCs w:val="44"/>
          <w:highlight w:val="none"/>
          <w:lang w:val="en-US" w:eastAsia="zh-CN"/>
        </w:rPr>
        <w:t>配置清单</w:t>
      </w:r>
      <w:r>
        <w:rPr>
          <w:rFonts w:hint="eastAsia" w:ascii="仿宋" w:hAnsi="仿宋" w:eastAsia="仿宋" w:cs="仿宋"/>
          <w:b/>
          <w:color w:val="auto"/>
          <w:kern w:val="0"/>
          <w:sz w:val="44"/>
          <w:szCs w:val="44"/>
          <w:highlight w:val="none"/>
          <w:lang w:val="zh-CN"/>
        </w:rPr>
        <w:t>偏离表</w:t>
      </w:r>
    </w:p>
    <w:tbl>
      <w:tblPr>
        <w:tblStyle w:val="19"/>
        <w:tblW w:w="46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4971"/>
        <w:gridCol w:w="3616"/>
        <w:gridCol w:w="2097"/>
        <w:gridCol w:w="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b/>
                <w:bCs/>
                <w:color w:val="auto"/>
                <w:kern w:val="0"/>
                <w:szCs w:val="21"/>
                <w:highlight w:val="none"/>
                <w:lang w:val="en-US" w:eastAsia="zh-CN" w:bidi="ar"/>
              </w:rPr>
              <w:t>序号</w:t>
            </w:r>
          </w:p>
        </w:tc>
        <w:tc>
          <w:tcPr>
            <w:tcW w:w="20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hAnsi="宋体" w:cs="宋体"/>
                <w:b/>
                <w:bCs/>
                <w:color w:val="auto"/>
                <w:szCs w:val="21"/>
                <w:highlight w:val="none"/>
              </w:rPr>
            </w:pPr>
            <w:r>
              <w:rPr>
                <w:rFonts w:hint="eastAsia" w:ascii="宋体" w:cs="宋体"/>
                <w:b/>
                <w:color w:val="auto"/>
                <w:szCs w:val="21"/>
                <w:highlight w:val="none"/>
              </w:rPr>
              <w:t>招标商务要求</w:t>
            </w:r>
          </w:p>
        </w:tc>
        <w:tc>
          <w:tcPr>
            <w:tcW w:w="14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cs="宋体"/>
                <w:b/>
                <w:bCs/>
                <w:color w:val="auto"/>
                <w:szCs w:val="21"/>
                <w:highlight w:val="none"/>
              </w:rPr>
            </w:pPr>
            <w:r>
              <w:rPr>
                <w:rFonts w:hint="eastAsia" w:ascii="宋体" w:cs="宋体"/>
                <w:b/>
                <w:bCs/>
                <w:color w:val="auto"/>
                <w:szCs w:val="21"/>
                <w:highlight w:val="none"/>
              </w:rPr>
              <w:t>投标商务响应</w:t>
            </w:r>
          </w:p>
          <w:p>
            <w:pPr>
              <w:pStyle w:val="30"/>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hAnsi="宋体" w:cs="宋体"/>
                <w:b/>
                <w:bCs/>
                <w:color w:val="auto"/>
                <w:highlight w:val="none"/>
              </w:rPr>
            </w:pPr>
            <w:r>
              <w:rPr>
                <w:rFonts w:hint="eastAsia" w:ascii="宋体" w:cs="宋体"/>
                <w:color w:val="auto"/>
                <w:highlight w:val="none"/>
              </w:rPr>
              <w:t>投标人根据实际情况在此处进行响应</w:t>
            </w:r>
          </w:p>
        </w:tc>
        <w:tc>
          <w:tcPr>
            <w:tcW w:w="8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ascii="宋体" w:cs="宋体"/>
                <w:b/>
                <w:bCs/>
                <w:color w:val="auto"/>
                <w:szCs w:val="21"/>
                <w:highlight w:val="none"/>
              </w:rPr>
            </w:pPr>
            <w:r>
              <w:rPr>
                <w:rFonts w:hint="eastAsia" w:ascii="宋体" w:cs="宋体"/>
                <w:b/>
                <w:bCs/>
                <w:color w:val="auto"/>
                <w:szCs w:val="21"/>
                <w:highlight w:val="none"/>
              </w:rPr>
              <w:t>偏离情况</w:t>
            </w:r>
          </w:p>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hAnsi="宋体" w:cs="宋体"/>
                <w:b/>
                <w:bCs/>
                <w:color w:val="auto"/>
                <w:highlight w:val="none"/>
              </w:rPr>
            </w:pPr>
            <w:r>
              <w:rPr>
                <w:rFonts w:hint="eastAsia" w:ascii="宋体" w:cs="宋体"/>
                <w:color w:val="auto"/>
                <w:highlight w:val="none"/>
              </w:rPr>
              <w:t>“正偏离”或“无偏离”或“负偏离”</w:t>
            </w:r>
          </w:p>
        </w:tc>
        <w:tc>
          <w:tcPr>
            <w:tcW w:w="2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hAnsi="宋体" w:cs="宋体"/>
                <w:b/>
                <w:bCs/>
                <w:color w:val="auto"/>
                <w:szCs w:val="21"/>
                <w:highlight w:val="none"/>
              </w:rPr>
            </w:pPr>
            <w:r>
              <w:rPr>
                <w:rFonts w:hint="eastAsia" w:ascii="宋体" w:cs="宋体"/>
                <w:b/>
                <w:bCs/>
                <w:color w:val="auto"/>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9"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Times New Roman" w:eastAsia="仿宋" w:cs="Times New Roman"/>
                <w:bCs/>
                <w:color w:val="auto"/>
                <w:kern w:val="2"/>
                <w:sz w:val="24"/>
                <w:szCs w:val="22"/>
                <w:highlight w:val="none"/>
                <w:lang w:val="en-US" w:eastAsia="zh-CN" w:bidi="ar-SA"/>
              </w:rPr>
            </w:pPr>
            <w:r>
              <w:rPr>
                <w:rFonts w:hint="eastAsia" w:ascii="仿宋" w:hAnsi="Times New Roman" w:eastAsia="仿宋" w:cs="Times New Roman"/>
                <w:bCs/>
                <w:color w:val="auto"/>
                <w:sz w:val="24"/>
                <w:szCs w:val="22"/>
                <w:highlight w:val="none"/>
                <w:lang w:val="en-US" w:eastAsia="zh-CN"/>
              </w:rPr>
              <w:t>1</w:t>
            </w:r>
          </w:p>
        </w:tc>
        <w:tc>
          <w:tcPr>
            <w:tcW w:w="2055"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Cs/>
                <w:color w:val="auto"/>
                <w:sz w:val="22"/>
                <w:szCs w:val="22"/>
                <w:highlight w:val="none"/>
                <w:lang w:val="en-US" w:eastAsia="zh-CN"/>
              </w:rPr>
            </w:pPr>
            <w:r>
              <w:rPr>
                <w:rFonts w:hint="default" w:ascii="Times New Roman" w:hAnsi="Times New Roman" w:eastAsia="宋体" w:cs="Times New Roman"/>
                <w:bCs/>
                <w:color w:val="auto"/>
                <w:sz w:val="22"/>
                <w:szCs w:val="22"/>
                <w:highlight w:val="none"/>
                <w:lang w:val="en-US" w:eastAsia="zh-CN"/>
              </w:rPr>
              <w:t>消化内镜能量平台</w:t>
            </w:r>
          </w:p>
          <w:p>
            <w:pPr>
              <w:keepNext w:val="0"/>
              <w:keepLines w:val="0"/>
              <w:pageBreakBefore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default" w:ascii="Times New Roman" w:hAnsi="Times New Roman" w:eastAsia="宋体" w:cs="Times New Roman"/>
                <w:bCs/>
                <w:color w:val="auto"/>
                <w:sz w:val="22"/>
                <w:szCs w:val="22"/>
                <w:highlight w:val="none"/>
                <w:lang w:val="en-US" w:eastAsia="zh-CN"/>
              </w:rPr>
              <w:t>（氩气高频电刀）</w:t>
            </w:r>
          </w:p>
        </w:tc>
        <w:tc>
          <w:tcPr>
            <w:tcW w:w="1495"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1.氩气高频电刀主机系统 1台</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2.智能内镜切割软件(内置) 1套</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3.仪器车固定件 1套</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4.负极片连线 1条</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5.减压阀 1个</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6.APC消化软管(直喷) 1条</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7.单极脚踏开关 1个</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8.仪器车 1台</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9.杂物筐 1个</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10.氩气瓶 1个</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11.高频连接线 1条</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12.负极片 10片</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13.台车1台</w:t>
            </w:r>
          </w:p>
        </w:tc>
        <w:tc>
          <w:tcPr>
            <w:tcW w:w="867"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9"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2</w:t>
            </w:r>
          </w:p>
        </w:tc>
        <w:tc>
          <w:tcPr>
            <w:tcW w:w="2055"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default" w:ascii="Times New Roman" w:hAnsi="Times New Roman" w:eastAsia="宋体" w:cs="Times New Roman"/>
                <w:bCs/>
                <w:color w:val="auto"/>
                <w:sz w:val="22"/>
                <w:szCs w:val="22"/>
                <w:highlight w:val="none"/>
                <w:lang w:val="en-US" w:eastAsia="zh-CN"/>
              </w:rPr>
              <w:t>内镜注水泵</w:t>
            </w:r>
          </w:p>
        </w:tc>
        <w:tc>
          <w:tcPr>
            <w:tcW w:w="1495"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1.内镜用送水装置主机 1台</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2.两相三芯电线组件 1根</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3.脚踏气囊 1个</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4.内镜用送水装置说明书 1本</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5.内镜用送水装置快速操作指南 1张</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6.奥林巴斯副送水管组件 1根</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7.富士能副送水管组件 11根</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8.快速熔断保险管 1只</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9.水瓶组件 1个</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10.水瓶挂架 1个</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11.产品保修卡 1张</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 w:hAnsi="楷体_GB2312" w:eastAsia="仿宋" w:cs="楷体_GB2312"/>
                <w:b w:val="0"/>
                <w:bCs w:val="0"/>
                <w:color w:val="auto"/>
                <w:kern w:val="0"/>
                <w:sz w:val="24"/>
                <w:szCs w:val="28"/>
                <w:highlight w:val="none"/>
                <w:vertAlign w:val="baseline"/>
                <w:lang w:val="en-US" w:eastAsia="zh-CN" w:bidi="ar-SA"/>
              </w:rPr>
            </w:pPr>
            <w:r>
              <w:rPr>
                <w:rFonts w:hint="eastAsia" w:ascii="仿宋" w:hAnsi="楷体_GB2312" w:eastAsia="仿宋" w:cs="楷体_GB2312"/>
                <w:b w:val="0"/>
                <w:bCs w:val="0"/>
                <w:color w:val="auto"/>
                <w:kern w:val="0"/>
                <w:sz w:val="24"/>
                <w:szCs w:val="28"/>
                <w:highlight w:val="none"/>
                <w:vertAlign w:val="baseline"/>
                <w:lang w:val="en-US" w:eastAsia="zh-CN" w:bidi="ar-SA"/>
              </w:rPr>
              <w:t>12.合格证 1张</w:t>
            </w:r>
          </w:p>
        </w:tc>
        <w:tc>
          <w:tcPr>
            <w:tcW w:w="867" w:type="pct"/>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cs="宋体"/>
          <w:color w:val="auto"/>
          <w:szCs w:val="21"/>
          <w:highlight w:val="none"/>
        </w:rPr>
      </w:pPr>
    </w:p>
    <w:p>
      <w:pPr>
        <w:keepLines w:val="0"/>
        <w:pageBreakBefore w:val="0"/>
        <w:tabs>
          <w:tab w:val="left" w:pos="0"/>
        </w:tabs>
        <w:kinsoku/>
        <w:wordWrap/>
        <w:overflowPunct/>
        <w:topLinePunct w:val="0"/>
        <w:bidi w:val="0"/>
        <w:snapToGrid w:val="0"/>
        <w:spacing w:line="560" w:lineRule="exact"/>
        <w:rPr>
          <w:rFonts w:hint="eastAsia" w:ascii="仿宋" w:hAnsi="仿宋" w:eastAsia="仿宋" w:cs="仿宋"/>
          <w:b/>
          <w:bCs/>
          <w:color w:val="auto"/>
          <w:sz w:val="32"/>
          <w:szCs w:val="32"/>
          <w:highlight w:val="none"/>
        </w:rPr>
      </w:pPr>
    </w:p>
    <w:p>
      <w:pPr>
        <w:keepLines w:val="0"/>
        <w:pageBreakBefore w:val="0"/>
        <w:tabs>
          <w:tab w:val="left" w:pos="0"/>
        </w:tabs>
        <w:kinsoku/>
        <w:wordWrap/>
        <w:overflowPunct/>
        <w:topLinePunct w:val="0"/>
        <w:bidi w:val="0"/>
        <w:snapToGrid w:val="0"/>
        <w:spacing w:line="560" w:lineRule="exact"/>
        <w:rPr>
          <w:rFonts w:hint="eastAsia" w:ascii="仿宋" w:hAnsi="仿宋" w:eastAsia="仿宋" w:cs="仿宋"/>
          <w:b/>
          <w:bCs/>
          <w:color w:val="auto"/>
          <w:sz w:val="32"/>
          <w:szCs w:val="32"/>
          <w:highlight w:val="none"/>
        </w:rPr>
      </w:pPr>
    </w:p>
    <w:p>
      <w:pPr>
        <w:keepLines w:val="0"/>
        <w:pageBreakBefore w:val="0"/>
        <w:tabs>
          <w:tab w:val="left" w:pos="0"/>
        </w:tabs>
        <w:kinsoku/>
        <w:wordWrap/>
        <w:overflowPunct/>
        <w:topLinePunct w:val="0"/>
        <w:bidi w:val="0"/>
        <w:snapToGrid w:val="0"/>
        <w:spacing w:line="560" w:lineRule="exact"/>
        <w:rPr>
          <w:rFonts w:hint="eastAsia" w:ascii="仿宋" w:hAnsi="仿宋" w:eastAsia="仿宋" w:cs="仿宋"/>
          <w:b/>
          <w:bCs/>
          <w:color w:val="auto"/>
          <w:sz w:val="32"/>
          <w:szCs w:val="32"/>
          <w:highlight w:val="none"/>
        </w:rPr>
        <w:sectPr>
          <w:headerReference r:id="rId7" w:type="default"/>
          <w:footerReference r:id="rId8" w:type="default"/>
          <w:pgSz w:w="16838" w:h="11906" w:orient="landscape"/>
          <w:pgMar w:top="1304" w:right="2098" w:bottom="1474" w:left="1984" w:header="851" w:footer="1417" w:gutter="0"/>
          <w:pgNumType w:fmt="numberInDash"/>
          <w:cols w:space="0" w:num="1"/>
          <w:rtlGutter w:val="0"/>
          <w:docGrid w:type="lines" w:linePitch="338" w:charSpace="0"/>
        </w:sectPr>
      </w:pPr>
    </w:p>
    <w:p>
      <w:pPr>
        <w:keepLines w:val="0"/>
        <w:pageBreakBefore w:val="0"/>
        <w:tabs>
          <w:tab w:val="left" w:pos="0"/>
        </w:tabs>
        <w:kinsoku/>
        <w:wordWrap/>
        <w:overflowPunct/>
        <w:topLinePunct w:val="0"/>
        <w:bidi w:val="0"/>
        <w:snapToGrid w:val="0"/>
        <w:spacing w:line="560" w:lineRule="exact"/>
        <w:rPr>
          <w:rFonts w:hint="eastAsia" w:ascii="仿宋" w:hAnsi="仿宋" w:eastAsia="仿宋" w:cs="仿宋"/>
          <w:b/>
          <w:bCs/>
          <w:color w:val="auto"/>
          <w:sz w:val="32"/>
          <w:szCs w:val="32"/>
          <w:highlight w:val="none"/>
        </w:rPr>
      </w:pPr>
    </w:p>
    <w:p>
      <w:pPr>
        <w:keepLines w:val="0"/>
        <w:pageBreakBefore w:val="0"/>
        <w:tabs>
          <w:tab w:val="left" w:pos="0"/>
        </w:tabs>
        <w:kinsoku/>
        <w:wordWrap/>
        <w:overflowPunct/>
        <w:topLinePunct w:val="0"/>
        <w:bidi w:val="0"/>
        <w:snapToGrid w:val="0"/>
        <w:spacing w:line="560" w:lineRule="exact"/>
        <w:rPr>
          <w:rFonts w:ascii="仿宋" w:hAnsi="仿宋" w:eastAsia="仿宋" w:cs="仿宋"/>
          <w:b/>
          <w:color w:val="auto"/>
          <w:kern w:val="0"/>
          <w:sz w:val="28"/>
          <w:szCs w:val="28"/>
          <w:highlight w:val="none"/>
        </w:rPr>
      </w:pPr>
      <w:r>
        <w:rPr>
          <w:rFonts w:hint="eastAsia" w:ascii="仿宋" w:hAnsi="仿宋" w:eastAsia="仿宋" w:cs="仿宋"/>
          <w:b/>
          <w:bCs/>
          <w:color w:val="auto"/>
          <w:sz w:val="32"/>
          <w:szCs w:val="32"/>
          <w:highlight w:val="none"/>
        </w:rPr>
        <w:t>合同模板</w:t>
      </w:r>
      <w:r>
        <w:rPr>
          <w:rFonts w:hint="eastAsia" w:ascii="仿宋" w:hAnsi="仿宋" w:eastAsia="仿宋" w:cs="仿宋"/>
          <w:b/>
          <w:bCs/>
          <w:color w:val="auto"/>
          <w:sz w:val="32"/>
          <w:szCs w:val="32"/>
          <w:highlight w:val="none"/>
          <w:lang w:eastAsia="zh-CN"/>
        </w:rPr>
        <w:t>（</w:t>
      </w:r>
      <w:r>
        <w:rPr>
          <w:rFonts w:hint="eastAsia" w:ascii="仿宋" w:hAnsi="仿宋" w:eastAsia="仿宋" w:cs="仿宋"/>
          <w:b/>
          <w:color w:val="auto"/>
          <w:kern w:val="0"/>
          <w:sz w:val="28"/>
          <w:szCs w:val="28"/>
          <w:highlight w:val="none"/>
        </w:rPr>
        <w:t>合同模板仅供参考，中标人根据招投标文件拟定</w:t>
      </w:r>
      <w:r>
        <w:rPr>
          <w:rFonts w:hint="eastAsia" w:ascii="仿宋" w:hAnsi="仿宋" w:eastAsia="仿宋" w:cs="仿宋"/>
          <w:b/>
          <w:color w:val="auto"/>
          <w:kern w:val="0"/>
          <w:sz w:val="28"/>
          <w:szCs w:val="28"/>
          <w:highlight w:val="none"/>
          <w:lang w:eastAsia="zh-CN"/>
        </w:rPr>
        <w:t>）</w:t>
      </w:r>
    </w:p>
    <w:p>
      <w:pPr>
        <w:keepLines w:val="0"/>
        <w:pageBreakBefore w:val="0"/>
        <w:kinsoku/>
        <w:wordWrap/>
        <w:overflowPunct/>
        <w:topLinePunct w:val="0"/>
        <w:bidi w:val="0"/>
        <w:spacing w:line="560" w:lineRule="exact"/>
        <w:rPr>
          <w:color w:val="auto"/>
          <w:highlight w:val="none"/>
        </w:rPr>
      </w:pPr>
    </w:p>
    <w:p>
      <w:pPr>
        <w:keepLines w:val="0"/>
        <w:pageBreakBefore w:val="0"/>
        <w:widowControl/>
        <w:kinsoku/>
        <w:wordWrap/>
        <w:overflowPunct/>
        <w:topLinePunct w:val="0"/>
        <w:bidi w:val="0"/>
        <w:spacing w:line="560" w:lineRule="exact"/>
        <w:jc w:val="center"/>
        <w:textAlignment w:val="center"/>
        <w:rPr>
          <w:color w:val="auto"/>
          <w:highlight w:val="none"/>
        </w:rPr>
      </w:pPr>
      <w:r>
        <w:rPr>
          <w:rFonts w:hint="eastAsia" w:ascii="宋体" w:hAnsi="宋体" w:cs="宋体"/>
          <w:color w:val="auto"/>
          <w:kern w:val="0"/>
          <w:sz w:val="44"/>
          <w:szCs w:val="44"/>
          <w:highlight w:val="none"/>
          <w:lang w:bidi="ar"/>
        </w:rPr>
        <w:t>龙岗区第七人民医院采购合同</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p>
    <w:p>
      <w:pPr>
        <w:keepLines w:val="0"/>
        <w:pageBreakBefore w:val="0"/>
        <w:kinsoku/>
        <w:wordWrap/>
        <w:overflowPunct/>
        <w:topLinePunct w:val="0"/>
        <w:bidi w:val="0"/>
        <w:spacing w:line="560" w:lineRule="exact"/>
        <w:ind w:left="1959" w:leftChars="266" w:hanging="1400" w:hangingChars="500"/>
        <w:jc w:val="left"/>
        <w:rPr>
          <w:rFonts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项目名称：</w:t>
      </w:r>
      <w:r>
        <w:rPr>
          <w:rFonts w:hint="eastAsia" w:ascii="仿宋_GB2312" w:hAnsi="仿宋_GB2312" w:eastAsia="仿宋_GB2312" w:cs="仿宋_GB2312"/>
          <w:color w:val="auto"/>
          <w:sz w:val="32"/>
          <w:szCs w:val="32"/>
          <w:highlight w:val="none"/>
          <w:lang w:val="en-US" w:eastAsia="zh-CN"/>
        </w:rPr>
        <w:t>深圳市龙岗区第七人民医院XXXXXX采购项目</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项目编号：</w:t>
      </w:r>
      <w:r>
        <w:rPr>
          <w:rFonts w:hint="eastAsia" w:ascii="仿宋" w:hAnsi="仿宋" w:eastAsia="仿宋" w:cs="仿宋_GB2312"/>
          <w:color w:val="auto"/>
          <w:sz w:val="28"/>
          <w:szCs w:val="28"/>
          <w:highlight w:val="none"/>
          <w:u w:val="single"/>
        </w:rPr>
        <w:t>深龙七医采【】号</w:t>
      </w:r>
    </w:p>
    <w:p>
      <w:pPr>
        <w:keepLines w:val="0"/>
        <w:pageBreakBefore w:val="0"/>
        <w:kinsoku/>
        <w:wordWrap/>
        <w:overflowPunct/>
        <w:topLinePunct w:val="0"/>
        <w:bidi w:val="0"/>
        <w:spacing w:line="560" w:lineRule="exact"/>
        <w:ind w:firstLine="560" w:firstLineChars="200"/>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rPr>
        <w:t>项目类型：</w:t>
      </w:r>
      <w:r>
        <w:rPr>
          <w:rFonts w:hint="eastAsia" w:ascii="仿宋" w:hAnsi="仿宋" w:eastAsia="仿宋" w:cs="仿宋"/>
          <w:color w:val="auto"/>
          <w:sz w:val="28"/>
          <w:szCs w:val="28"/>
          <w:highlight w:val="none"/>
          <w:u w:val="single"/>
        </w:rPr>
        <w:t>　</w:t>
      </w:r>
      <w:r>
        <w:rPr>
          <w:rFonts w:hint="eastAsia" w:ascii="仿宋" w:hAnsi="仿宋" w:eastAsia="仿宋" w:cs="仿宋"/>
          <w:color w:val="auto"/>
          <w:sz w:val="28"/>
          <w:szCs w:val="28"/>
          <w:highlight w:val="none"/>
          <w:u w:val="single"/>
          <w:lang w:val="en-US" w:eastAsia="zh-CN"/>
        </w:rPr>
        <w:t>货物</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采购单位（甲方）：</w:t>
      </w:r>
      <w:r>
        <w:rPr>
          <w:rFonts w:hint="eastAsia" w:ascii="仿宋" w:hAnsi="仿宋" w:eastAsia="仿宋"/>
          <w:color w:val="auto"/>
          <w:sz w:val="28"/>
          <w:szCs w:val="28"/>
          <w:highlight w:val="none"/>
          <w:u w:val="single"/>
        </w:rPr>
        <w:t>深圳市龙岗区第七人民医院</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供 应 商（乙方）：</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根据《中华人民共和国政府采购法》《中华人民共和国民法典》《深圳经济特区政府采购条例实施细则》《深圳经济特区政府采购条例》等法律法规的规定，甲乙双方按照</w:t>
      </w:r>
      <w:r>
        <w:rPr>
          <w:rFonts w:hint="eastAsia" w:ascii="仿宋" w:hAnsi="仿宋" w:eastAsia="仿宋" w:cs="仿宋"/>
          <w:color w:val="auto"/>
          <w:sz w:val="28"/>
          <w:szCs w:val="28"/>
          <w:highlight w:val="none"/>
          <w:u w:val="single"/>
        </w:rPr>
        <w:t>龙岗区第七人民医院</w:t>
      </w:r>
      <w:r>
        <w:rPr>
          <w:rFonts w:hint="eastAsia" w:ascii="仿宋" w:hAnsi="仿宋" w:eastAsia="仿宋" w:cs="仿宋"/>
          <w:color w:val="auto"/>
          <w:sz w:val="28"/>
          <w:szCs w:val="28"/>
          <w:highlight w:val="none"/>
        </w:rPr>
        <w:t>的招标结果并经双方协商签订本合同。</w:t>
      </w:r>
    </w:p>
    <w:p>
      <w:pPr>
        <w:keepLines w:val="0"/>
        <w:pageBreakBefore w:val="0"/>
        <w:kinsoku/>
        <w:wordWrap/>
        <w:overflowPunct/>
        <w:topLinePunct w:val="0"/>
        <w:bidi w:val="0"/>
        <w:spacing w:line="56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第一条  合同标的</w:t>
      </w:r>
    </w:p>
    <w:p>
      <w:pPr>
        <w:keepLines w:val="0"/>
        <w:pageBreakBefore w:val="0"/>
        <w:widowControl/>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乙方根据甲方需求提供下列货物：</w:t>
      </w:r>
    </w:p>
    <w:p>
      <w:pPr>
        <w:keepLines w:val="0"/>
        <w:pageBreakBefore w:val="0"/>
        <w:widowControl/>
        <w:kinsoku/>
        <w:wordWrap/>
        <w:overflowPunct/>
        <w:topLinePunct w:val="0"/>
        <w:bidi w:val="0"/>
        <w:spacing w:line="560" w:lineRule="exact"/>
        <w:ind w:firstLine="560" w:firstLineChars="200"/>
        <w:rPr>
          <w:rFonts w:ascii="仿宋" w:hAnsi="仿宋" w:eastAsia="仿宋" w:cs="宋体"/>
          <w:color w:val="auto"/>
          <w:sz w:val="28"/>
          <w:szCs w:val="28"/>
          <w:highlight w:val="none"/>
        </w:rPr>
      </w:pPr>
      <w:r>
        <w:rPr>
          <w:rFonts w:hint="eastAsia" w:ascii="仿宋" w:hAnsi="仿宋" w:eastAsia="仿宋" w:cs="宋体"/>
          <w:color w:val="auto"/>
          <w:sz w:val="28"/>
          <w:szCs w:val="28"/>
          <w:highlight w:val="none"/>
        </w:rPr>
        <w:t>货物名称、规格及单价</w:t>
      </w:r>
      <w:r>
        <w:rPr>
          <w:rFonts w:hint="eastAsia" w:ascii="仿宋" w:hAnsi="仿宋" w:eastAsia="仿宋" w:cs="宋体"/>
          <w:color w:val="auto"/>
          <w:sz w:val="28"/>
          <w:szCs w:val="28"/>
          <w:highlight w:val="none"/>
          <w:u w:val="single"/>
        </w:rPr>
        <w:t>见附件 “供货一览表”</w:t>
      </w:r>
      <w:r>
        <w:rPr>
          <w:rFonts w:hint="eastAsia" w:ascii="仿宋" w:hAnsi="仿宋" w:eastAsia="仿宋" w:cs="宋体"/>
          <w:color w:val="auto"/>
          <w:sz w:val="28"/>
          <w:szCs w:val="28"/>
          <w:highlight w:val="none"/>
        </w:rPr>
        <w:t>。</w:t>
      </w:r>
    </w:p>
    <w:p>
      <w:pPr>
        <w:keepLines w:val="0"/>
        <w:pageBreakBefore w:val="0"/>
        <w:widowControl/>
        <w:kinsoku/>
        <w:wordWrap/>
        <w:overflowPunct/>
        <w:topLinePunct w:val="0"/>
        <w:bidi w:val="0"/>
        <w:spacing w:line="560" w:lineRule="exact"/>
        <w:ind w:firstLine="562" w:firstLineChars="200"/>
        <w:rPr>
          <w:rFonts w:ascii="仿宋" w:hAnsi="仿宋" w:eastAsia="仿宋" w:cs="仿宋"/>
          <w:color w:val="auto"/>
          <w:sz w:val="28"/>
          <w:szCs w:val="28"/>
          <w:highlight w:val="none"/>
        </w:rPr>
      </w:pPr>
      <w:r>
        <w:rPr>
          <w:rFonts w:hint="eastAsia" w:ascii="仿宋" w:hAnsi="仿宋" w:eastAsia="仿宋" w:cs="仿宋"/>
          <w:b/>
          <w:color w:val="auto"/>
          <w:sz w:val="28"/>
          <w:szCs w:val="28"/>
          <w:highlight w:val="none"/>
        </w:rPr>
        <w:t>第二条  合同总价款</w:t>
      </w:r>
    </w:p>
    <w:p>
      <w:pPr>
        <w:pStyle w:val="25"/>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1.本合同总金额为（大写）人民币</w:t>
      </w:r>
      <w:r>
        <w:rPr>
          <w:rFonts w:hint="eastAsia" w:ascii="仿宋" w:hAnsi="仿宋" w:eastAsia="仿宋" w:cs="宋体"/>
          <w:b/>
          <w:color w:val="auto"/>
          <w:sz w:val="28"/>
          <w:szCs w:val="28"/>
          <w:highlight w:val="none"/>
          <w:u w:val="single"/>
        </w:rPr>
        <w:t xml:space="preserve">     元整</w:t>
      </w:r>
      <w:r>
        <w:rPr>
          <w:rFonts w:hint="eastAsia" w:ascii="仿宋" w:hAnsi="仿宋" w:eastAsia="仿宋" w:cs="仿宋"/>
          <w:color w:val="auto"/>
          <w:sz w:val="28"/>
          <w:szCs w:val="28"/>
          <w:highlight w:val="none"/>
        </w:rPr>
        <w:t>（）。</w:t>
      </w:r>
    </w:p>
    <w:p>
      <w:pPr>
        <w:pStyle w:val="25"/>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 本合同金额</w:t>
      </w:r>
      <w:r>
        <w:rPr>
          <w:rFonts w:hint="eastAsia" w:ascii="仿宋" w:hAnsi="仿宋" w:eastAsia="仿宋" w:cs="仿宋_GB2312"/>
          <w:color w:val="auto"/>
          <w:sz w:val="28"/>
          <w:szCs w:val="28"/>
          <w:highlight w:val="none"/>
        </w:rPr>
        <w:t>包含货物价格及货物的包装费、运输费、保修费、保险费、伴随服务费及货物验收之前的所有含税金额。</w:t>
      </w:r>
    </w:p>
    <w:p>
      <w:pPr>
        <w:pStyle w:val="25"/>
        <w:keepLines w:val="0"/>
        <w:pageBreakBefore w:val="0"/>
        <w:kinsoku/>
        <w:wordWrap/>
        <w:overflowPunct/>
        <w:topLinePunct w:val="0"/>
        <w:bidi w:val="0"/>
        <w:spacing w:line="56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第三条  组成本合同的有关文件</w:t>
      </w:r>
    </w:p>
    <w:p>
      <w:pPr>
        <w:pStyle w:val="25"/>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下列关于采购（项目编号</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的招投标文件或与本次采购活动方式相适应的文件及有关附件是本合同不可分割的组成部分，与本合同具有同等法律效力，这些文件包括但不限于：</w:t>
      </w:r>
    </w:p>
    <w:p>
      <w:pPr>
        <w:pStyle w:val="25"/>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（1）乙方提供的投标文件（含澄清文件）和投标报价表；</w:t>
      </w:r>
    </w:p>
    <w:p>
      <w:pPr>
        <w:pStyle w:val="25"/>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（2）供货一览表；　　    （3）交货地点一览表；</w:t>
      </w:r>
    </w:p>
    <w:p>
      <w:pPr>
        <w:pStyle w:val="25"/>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（4）技术规格响应表；　　（5）投标承诺；</w:t>
      </w:r>
    </w:p>
    <w:p>
      <w:pPr>
        <w:pStyle w:val="25"/>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（6）服务承诺；　　      （7）中标或成交通知书；</w:t>
      </w:r>
    </w:p>
    <w:p>
      <w:pPr>
        <w:pStyle w:val="25"/>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（8）招标文件（含招标文件补充通知）；</w:t>
      </w:r>
    </w:p>
    <w:p>
      <w:pPr>
        <w:pStyle w:val="25"/>
        <w:keepLines w:val="0"/>
        <w:pageBreakBefore w:val="0"/>
        <w:widowControl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（9）甲乙双方商定的其他合同补充条款或协议。 </w:t>
      </w:r>
    </w:p>
    <w:p>
      <w:pPr>
        <w:keepLines w:val="0"/>
        <w:pageBreakBefore w:val="0"/>
        <w:kinsoku/>
        <w:wordWrap/>
        <w:overflowPunct/>
        <w:topLinePunct w:val="0"/>
        <w:bidi w:val="0"/>
        <w:spacing w:line="560" w:lineRule="exact"/>
        <w:ind w:firstLine="562" w:firstLineChars="200"/>
        <w:rPr>
          <w:rFonts w:ascii="仿宋" w:hAnsi="仿宋" w:eastAsia="仿宋" w:cs="宋体"/>
          <w:b/>
          <w:color w:val="auto"/>
          <w:sz w:val="28"/>
          <w:szCs w:val="28"/>
          <w:highlight w:val="none"/>
        </w:rPr>
      </w:pPr>
      <w:r>
        <w:rPr>
          <w:rFonts w:hint="eastAsia" w:ascii="仿宋" w:hAnsi="仿宋" w:eastAsia="仿宋" w:cs="宋体"/>
          <w:b/>
          <w:color w:val="auto"/>
          <w:sz w:val="28"/>
          <w:szCs w:val="28"/>
          <w:highlight w:val="none"/>
        </w:rPr>
        <w:t>第四条  权利保证</w:t>
      </w:r>
    </w:p>
    <w:p>
      <w:pPr>
        <w:keepLines w:val="0"/>
        <w:pageBreakBefore w:val="0"/>
        <w:kinsoku/>
        <w:wordWrap/>
        <w:overflowPunct/>
        <w:topLinePunct w:val="0"/>
        <w:bidi w:val="0"/>
        <w:spacing w:line="560" w:lineRule="exact"/>
        <w:ind w:firstLine="560" w:firstLineChars="200"/>
        <w:rPr>
          <w:rFonts w:ascii="仿宋" w:hAnsi="仿宋" w:eastAsia="仿宋" w:cs="仿宋"/>
          <w:b/>
          <w:color w:val="auto"/>
          <w:sz w:val="28"/>
          <w:szCs w:val="28"/>
          <w:highlight w:val="none"/>
        </w:rPr>
      </w:pPr>
      <w:r>
        <w:rPr>
          <w:rFonts w:hint="eastAsia" w:ascii="仿宋" w:hAnsi="仿宋" w:eastAsia="仿宋" w:cs="宋体"/>
          <w:color w:val="auto"/>
          <w:sz w:val="28"/>
          <w:szCs w:val="28"/>
          <w:highlight w:val="none"/>
        </w:rPr>
        <w:t>乙方应保证甲方在使用、接受本合同货物和服务或其任何一部分时不受第三方提出侵犯其专利权、版权、商标权和工业设计权等知识产权以及所有权、使用权等物权方面的起诉。</w:t>
      </w:r>
      <w:r>
        <w:rPr>
          <w:rFonts w:hint="eastAsia" w:ascii="仿宋" w:hAnsi="仿宋" w:eastAsia="仿宋" w:cs="仿宋"/>
          <w:color w:val="auto"/>
          <w:sz w:val="28"/>
          <w:szCs w:val="28"/>
          <w:highlight w:val="none"/>
        </w:rPr>
        <w:t>一旦出现侵权相关纠纷</w:t>
      </w:r>
      <w:r>
        <w:rPr>
          <w:rFonts w:hint="eastAsia" w:ascii="仿宋" w:hAnsi="仿宋" w:eastAsia="仿宋" w:cs="宋体"/>
          <w:color w:val="auto"/>
          <w:sz w:val="28"/>
          <w:szCs w:val="28"/>
          <w:highlight w:val="none"/>
        </w:rPr>
        <w:t>，</w:t>
      </w:r>
      <w:r>
        <w:rPr>
          <w:rFonts w:hint="eastAsia" w:ascii="仿宋" w:hAnsi="仿宋" w:eastAsia="仿宋" w:cs="仿宋"/>
          <w:color w:val="auto"/>
          <w:sz w:val="28"/>
          <w:szCs w:val="28"/>
          <w:highlight w:val="none"/>
        </w:rPr>
        <w:t>由乙方负全部责任包含因此纠纷甲方支付的全部赔偿和费用。</w:t>
      </w:r>
    </w:p>
    <w:p>
      <w:pPr>
        <w:keepLines w:val="0"/>
        <w:pageBreakBefore w:val="0"/>
        <w:kinsoku/>
        <w:wordWrap/>
        <w:overflowPunct/>
        <w:topLinePunct w:val="0"/>
        <w:bidi w:val="0"/>
        <w:spacing w:line="56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第五条  质量保证  </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1.乙方所提供的货物的技术规格符合招标文件规定的技术规格，货物符合中华人民共和国的设计和制造生产标准或行业标准。</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2.乙方应保证货物是全新、未使用过的原装合格正品（包括零部件），并完全符合甲方要求的质量、规格和性能的要求。如货物安装或配置了软件的，乙方保证相关软件均为正版软件。</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3.乙方保证交货时一并提供货物的质量合格凭证或文件。</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4.乙方应保证其提供的货物在正确安装、正常使用和保养</w:t>
      </w:r>
      <w:r>
        <w:rPr>
          <w:rFonts w:hint="eastAsia" w:ascii="仿宋" w:hAnsi="仿宋" w:eastAsia="仿宋" w:cs="仿宋"/>
          <w:color w:val="auto"/>
          <w:sz w:val="28"/>
          <w:szCs w:val="28"/>
          <w:highlight w:val="none"/>
          <w:u w:val="none"/>
        </w:rPr>
        <w:t>条件</w:t>
      </w:r>
      <w:r>
        <w:rPr>
          <w:rFonts w:hint="eastAsia" w:ascii="仿宋" w:hAnsi="仿宋" w:eastAsia="仿宋" w:cs="仿宋"/>
          <w:color w:val="auto"/>
          <w:sz w:val="28"/>
          <w:szCs w:val="28"/>
          <w:highlight w:val="none"/>
        </w:rPr>
        <w:t>下，在其使用寿命内具有良好的性能。</w:t>
      </w:r>
    </w:p>
    <w:p>
      <w:pPr>
        <w:keepLines w:val="0"/>
        <w:pageBreakBefore w:val="0"/>
        <w:kinsoku/>
        <w:wordWrap/>
        <w:overflowPunct/>
        <w:topLinePunct w:val="0"/>
        <w:bidi w:val="0"/>
        <w:spacing w:line="560" w:lineRule="exact"/>
        <w:ind w:firstLine="560" w:firstLineChars="200"/>
        <w:rPr>
          <w:rFonts w:ascii="仿宋" w:hAnsi="仿宋" w:eastAsia="仿宋" w:cs="宋体"/>
          <w:color w:val="auto"/>
          <w:sz w:val="28"/>
          <w:szCs w:val="28"/>
          <w:highlight w:val="none"/>
        </w:rPr>
      </w:pPr>
      <w:r>
        <w:rPr>
          <w:rFonts w:hint="eastAsia" w:ascii="仿宋" w:hAnsi="仿宋" w:eastAsia="仿宋" w:cs="仿宋"/>
          <w:color w:val="auto"/>
          <w:sz w:val="28"/>
          <w:szCs w:val="28"/>
          <w:highlight w:val="none"/>
        </w:rPr>
        <w:t>5.在质量保证期内，乙方应对由于设计、工艺、材料的缺陷或不足发生的质量问题检测、检定等所产生的一切费用负责。</w:t>
      </w:r>
    </w:p>
    <w:p>
      <w:pPr>
        <w:keepLines w:val="0"/>
        <w:pageBreakBefore w:val="0"/>
        <w:kinsoku/>
        <w:wordWrap/>
        <w:overflowPunct/>
        <w:topLinePunct w:val="0"/>
        <w:bidi w:val="0"/>
        <w:spacing w:line="560" w:lineRule="exact"/>
        <w:ind w:firstLine="562" w:firstLineChars="200"/>
        <w:rPr>
          <w:rFonts w:ascii="仿宋" w:hAnsi="仿宋" w:eastAsia="仿宋" w:cs="仿宋"/>
          <w:color w:val="auto"/>
          <w:sz w:val="28"/>
          <w:szCs w:val="28"/>
          <w:highlight w:val="none"/>
        </w:rPr>
      </w:pPr>
      <w:r>
        <w:rPr>
          <w:rFonts w:hint="eastAsia" w:ascii="仿宋" w:hAnsi="仿宋" w:eastAsia="仿宋" w:cs="仿宋"/>
          <w:b/>
          <w:color w:val="auto"/>
          <w:sz w:val="28"/>
          <w:szCs w:val="28"/>
          <w:highlight w:val="none"/>
        </w:rPr>
        <w:t>第六条包装和运输</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1.包装要求除双方另有约定外，按照乙方公司或生产厂家包装规范予以包装。</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2.乙方供货的包装标准，应满足运输要求并能有效保护货物，乙方应确保运抵甲方处货物的完好性，包装费用由乙方承担。</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3.乙方负责送货上门，乙方应确保产品运输的安全性。乙方将货物运至双方约定的交付地点，卸载、摆放至甲方指定的位置，并办理相关交货手续，运费由乙方承担。</w:t>
      </w:r>
    </w:p>
    <w:p>
      <w:pPr>
        <w:keepLines w:val="0"/>
        <w:pageBreakBefore w:val="0"/>
        <w:kinsoku/>
        <w:wordWrap/>
        <w:overflowPunct/>
        <w:topLinePunct w:val="0"/>
        <w:bidi w:val="0"/>
        <w:spacing w:line="56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第七条 交付和验收 </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1.交货时间：合同签订之日起个日历日内。</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2.交货地点：深圳市龙岗区第七人民医院或指定的其他地点。</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3.交货方式：乙方按合同或招投标文件规定供货的品种、规格、数量、质量、时间等</w:t>
      </w:r>
      <w:r>
        <w:rPr>
          <w:rFonts w:hint="eastAsia" w:ascii="仿宋" w:hAnsi="仿宋" w:eastAsia="仿宋" w:cs="仿宋_GB2312"/>
          <w:color w:val="auto"/>
          <w:sz w:val="28"/>
          <w:szCs w:val="28"/>
          <w:highlight w:val="none"/>
        </w:rPr>
        <w:t>（具体以合同及采购订单的要求为准）</w:t>
      </w:r>
      <w:r>
        <w:rPr>
          <w:rFonts w:hint="eastAsia" w:ascii="仿宋" w:hAnsi="仿宋" w:eastAsia="仿宋" w:cs="仿宋"/>
          <w:color w:val="auto"/>
          <w:sz w:val="28"/>
          <w:szCs w:val="28"/>
          <w:highlight w:val="none"/>
        </w:rPr>
        <w:t>将所需货物运送到甲方指定地点，所产生的一切费用由乙方负责。</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4.验收：</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（1）乙方交付的货物应当完全符合招投标文件所规定的货物、数量、质量和规格要求。乙方提供的货物不符合招投标文件和合同规定的，甲方有权拒收货物，由此引起的风险，由乙方承担。</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乙方应将所提供货物的使用说明书、原厂保修卡等附随资料和附随配件、工具等交付给甲方；乙方不能完整交付货物及本款规定的单证和工具的，视为未按合同约定交货，乙方负责补齐，因此导致逾期交付的，由乙方承担相关的违约责任。</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（3）由甲、乙双方及使用科室代表对货物进行验收，需要乙方对货物或系统进行安装调试的，双方应在货物安装调试完毕后的（）个工作日内进行质量验收，在甲方现场验收和培训发生的一切费用由乙方承担。</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（4）货物的到货验收包括：型号、规格、数量、外观、质量及货物包装是否符合招标、投标文件以及合同等规定的标准。</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验收时以乙方投标文件中的技术规格偏离表为准；产品配置如《合同》中约定的标准与招投标文件不符时，适用标准应以对甲方有利的标准优先适用，甲方有权选择决定适用何种标准，乙方应予以配合。如招投标文件的内容与《合同书》不一致时，甲方有权选择对其有利的约定来要求乙方履行，乙方须予以配合，否则甲方有权解除合同。</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（6）其他约定：</w:t>
      </w:r>
    </w:p>
    <w:p>
      <w:pPr>
        <w:keepLines w:val="0"/>
        <w:pageBreakBefore w:val="0"/>
        <w:kinsoku/>
        <w:wordWrap/>
        <w:overflowPunct/>
        <w:topLinePunct w:val="0"/>
        <w:bidi w:val="0"/>
        <w:spacing w:line="56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第八条  伴随服务/售后服务</w:t>
      </w:r>
    </w:p>
    <w:p>
      <w:pPr>
        <w:pStyle w:val="25"/>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1.乙方可能被要求提供下列服务中的一项或全部服务。</w:t>
      </w:r>
    </w:p>
    <w:p>
      <w:pPr>
        <w:pStyle w:val="25"/>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（1）产品的现场搬运或入库；</w:t>
      </w:r>
    </w:p>
    <w:p>
      <w:pPr>
        <w:pStyle w:val="25"/>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（2）提供产品开箱或分装的用具；</w:t>
      </w:r>
    </w:p>
    <w:p>
      <w:pPr>
        <w:pStyle w:val="25"/>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（3）对开箱时发现的破损、近效期产品或其他不合格包装产品无条件及时更换；</w:t>
      </w:r>
    </w:p>
    <w:p>
      <w:pPr>
        <w:pStyle w:val="25"/>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（4）其他乙方应提供的相关服务项目。</w:t>
      </w:r>
    </w:p>
    <w:p>
      <w:pPr>
        <w:keepLines w:val="0"/>
        <w:pageBreakBefore w:val="0"/>
        <w:kinsoku/>
        <w:wordWrap/>
        <w:overflowPunct/>
        <w:topLinePunct w:val="0"/>
        <w:bidi w:val="0"/>
        <w:snapToGrid w:val="0"/>
        <w:spacing w:line="560" w:lineRule="exact"/>
        <w:ind w:firstLine="560" w:firstLineChars="200"/>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2.乙方应保证提供的货物质保期为</w:t>
      </w:r>
      <w:r>
        <w:rPr>
          <w:rFonts w:hint="eastAsia" w:ascii="仿宋" w:hAnsi="仿宋" w:eastAsia="仿宋" w:cs="仿宋_GB2312"/>
          <w:color w:val="auto"/>
          <w:sz w:val="28"/>
          <w:szCs w:val="28"/>
          <w:highlight w:val="none"/>
          <w:u w:val="single"/>
        </w:rPr>
        <w:t xml:space="preserve">       </w:t>
      </w:r>
      <w:r>
        <w:rPr>
          <w:rFonts w:hint="eastAsia" w:ascii="仿宋" w:hAnsi="仿宋" w:eastAsia="仿宋" w:cs="仿宋_GB2312"/>
          <w:color w:val="auto"/>
          <w:sz w:val="28"/>
          <w:szCs w:val="28"/>
          <w:highlight w:val="none"/>
        </w:rPr>
        <w:t>，应按照国家有关 “三包”规定和招标文件要求及乙方投标文件的相关承诺提供保修及其他服务。</w:t>
      </w:r>
    </w:p>
    <w:p>
      <w:pPr>
        <w:keepLines w:val="0"/>
        <w:pageBreakBefore w:val="0"/>
        <w:kinsoku/>
        <w:wordWrap/>
        <w:overflowPunct/>
        <w:topLinePunct w:val="0"/>
        <w:bidi w:val="0"/>
        <w:snapToGrid w:val="0"/>
        <w:spacing w:line="560" w:lineRule="exact"/>
        <w:ind w:firstLine="560" w:firstLineChars="200"/>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3.保修期为</w:t>
      </w:r>
      <w:r>
        <w:rPr>
          <w:rFonts w:hint="eastAsia" w:ascii="仿宋" w:hAnsi="仿宋" w:eastAsia="仿宋" w:cs="仿宋_GB2312"/>
          <w:color w:val="auto"/>
          <w:sz w:val="28"/>
          <w:szCs w:val="28"/>
          <w:highlight w:val="none"/>
          <w:u w:val="single"/>
        </w:rPr>
        <w:t xml:space="preserve">       </w:t>
      </w:r>
      <w:r>
        <w:rPr>
          <w:rFonts w:hint="eastAsia" w:ascii="仿宋" w:hAnsi="仿宋" w:eastAsia="仿宋" w:cs="仿宋_GB2312"/>
          <w:color w:val="auto"/>
          <w:sz w:val="28"/>
          <w:szCs w:val="28"/>
          <w:highlight w:val="none"/>
        </w:rPr>
        <w:t>。保修期内，乙方负责对其提供的货物进行维修和系统维护，不再收取任何费用。所有货物保修服务方式均为乙方上门保修，即由乙方派员到货物使用现场维修，由此产生的一切费用均由乙方承担。保修期后的货物维护另行协商。</w:t>
      </w:r>
    </w:p>
    <w:p>
      <w:pPr>
        <w:keepLines w:val="0"/>
        <w:pageBreakBefore w:val="0"/>
        <w:kinsoku/>
        <w:wordWrap/>
        <w:overflowPunct/>
        <w:topLinePunct w:val="0"/>
        <w:bidi w:val="0"/>
        <w:spacing w:line="56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第九条  付款方式</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以转账方式付款，以实收货物的数量为准，验收合格后，收到供应商合法发票后（）日内一次性付款，或按深圳市龙岗区财政局有关规定执行。</w:t>
      </w:r>
    </w:p>
    <w:p>
      <w:pPr>
        <w:keepLines w:val="0"/>
        <w:pageBreakBefore w:val="0"/>
        <w:kinsoku/>
        <w:wordWrap/>
        <w:overflowPunct/>
        <w:topLinePunct w:val="0"/>
        <w:bidi w:val="0"/>
        <w:spacing w:line="560" w:lineRule="exact"/>
        <w:ind w:firstLine="562" w:firstLineChars="200"/>
        <w:rPr>
          <w:rFonts w:ascii="仿宋" w:hAnsi="仿宋" w:eastAsia="仿宋" w:cs="宋体"/>
          <w:color w:val="auto"/>
          <w:sz w:val="28"/>
          <w:szCs w:val="28"/>
          <w:highlight w:val="none"/>
        </w:rPr>
      </w:pPr>
      <w:r>
        <w:rPr>
          <w:rFonts w:hint="eastAsia" w:ascii="仿宋" w:hAnsi="仿宋" w:eastAsia="仿宋" w:cs="宋体"/>
          <w:b/>
          <w:color w:val="auto"/>
          <w:sz w:val="28"/>
          <w:szCs w:val="28"/>
          <w:highlight w:val="none"/>
        </w:rPr>
        <w:t>第十条  合同的变更、终止与转让</w:t>
      </w:r>
    </w:p>
    <w:p>
      <w:pPr>
        <w:keepLines w:val="0"/>
        <w:pageBreakBefore w:val="0"/>
        <w:kinsoku/>
        <w:wordWrap/>
        <w:overflowPunct/>
        <w:topLinePunct w:val="0"/>
        <w:bidi w:val="0"/>
        <w:spacing w:line="560" w:lineRule="exact"/>
        <w:ind w:firstLine="560" w:firstLineChars="200"/>
        <w:rPr>
          <w:rFonts w:ascii="仿宋" w:hAnsi="仿宋" w:eastAsia="仿宋" w:cs="宋体"/>
          <w:color w:val="auto"/>
          <w:sz w:val="28"/>
          <w:szCs w:val="28"/>
          <w:highlight w:val="none"/>
        </w:rPr>
      </w:pPr>
      <w:r>
        <w:rPr>
          <w:rFonts w:hint="eastAsia" w:ascii="仿宋" w:hAnsi="仿宋" w:eastAsia="仿宋" w:cs="宋体"/>
          <w:color w:val="auto"/>
          <w:sz w:val="28"/>
          <w:szCs w:val="28"/>
          <w:highlight w:val="none"/>
        </w:rPr>
        <w:t>1.除《</w:t>
      </w:r>
      <w:r>
        <w:rPr>
          <w:rFonts w:hint="eastAsia" w:ascii="仿宋" w:hAnsi="仿宋" w:eastAsia="仿宋" w:cs="仿宋"/>
          <w:color w:val="auto"/>
          <w:sz w:val="28"/>
          <w:szCs w:val="28"/>
          <w:highlight w:val="none"/>
        </w:rPr>
        <w:t>中华人民共和国政府采购法</w:t>
      </w:r>
      <w:r>
        <w:rPr>
          <w:rFonts w:hint="eastAsia" w:ascii="仿宋" w:hAnsi="仿宋" w:eastAsia="仿宋" w:cs="宋体"/>
          <w:color w:val="auto"/>
          <w:sz w:val="28"/>
          <w:szCs w:val="28"/>
          <w:highlight w:val="none"/>
        </w:rPr>
        <w:t xml:space="preserve">》第49条、第50条第二款规定的情形外，本合同一经签订，甲乙双方不得擅自变更、中止或终止合同。  </w:t>
      </w:r>
    </w:p>
    <w:p>
      <w:pPr>
        <w:keepLines w:val="0"/>
        <w:pageBreakBefore w:val="0"/>
        <w:kinsoku/>
        <w:wordWrap/>
        <w:overflowPunct/>
        <w:topLinePunct w:val="0"/>
        <w:bidi w:val="0"/>
        <w:spacing w:line="560" w:lineRule="exact"/>
        <w:ind w:firstLine="560" w:firstLineChars="200"/>
        <w:rPr>
          <w:rFonts w:ascii="仿宋" w:hAnsi="仿宋" w:eastAsia="仿宋" w:cs="仿宋"/>
          <w:color w:val="auto"/>
          <w:kern w:val="0"/>
          <w:sz w:val="28"/>
          <w:szCs w:val="28"/>
          <w:highlight w:val="none"/>
        </w:rPr>
      </w:pPr>
      <w:r>
        <w:rPr>
          <w:rFonts w:hint="eastAsia" w:ascii="仿宋" w:hAnsi="仿宋" w:eastAsia="仿宋" w:cs="宋体"/>
          <w:color w:val="auto"/>
          <w:sz w:val="28"/>
          <w:szCs w:val="28"/>
          <w:highlight w:val="none"/>
        </w:rPr>
        <w:t>2.乙方不得擅自部分或全部转让其应履行的</w:t>
      </w:r>
      <w:r>
        <w:rPr>
          <w:rFonts w:hint="eastAsia" w:ascii="仿宋" w:hAnsi="仿宋" w:eastAsia="仿宋" w:cs="宋体"/>
          <w:color w:val="auto"/>
          <w:sz w:val="28"/>
          <w:szCs w:val="28"/>
          <w:highlight w:val="none"/>
          <w:u w:val="none"/>
        </w:rPr>
        <w:t>合同义务</w:t>
      </w:r>
      <w:r>
        <w:rPr>
          <w:rFonts w:hint="eastAsia" w:ascii="仿宋" w:hAnsi="仿宋" w:eastAsia="仿宋" w:cs="宋体"/>
          <w:color w:val="auto"/>
          <w:sz w:val="28"/>
          <w:szCs w:val="28"/>
          <w:highlight w:val="none"/>
        </w:rPr>
        <w:t>，否则甲方有权终止合同，并有权要求乙方支付违约金，违约金按本合同总金额的（）%计算。</w:t>
      </w:r>
    </w:p>
    <w:p>
      <w:pPr>
        <w:keepLines w:val="0"/>
        <w:pageBreakBefore w:val="0"/>
        <w:kinsoku/>
        <w:wordWrap/>
        <w:overflowPunct/>
        <w:topLinePunct w:val="0"/>
        <w:bidi w:val="0"/>
        <w:spacing w:line="560" w:lineRule="exact"/>
        <w:ind w:firstLine="562" w:firstLineChars="200"/>
        <w:rPr>
          <w:rFonts w:ascii="仿宋" w:hAnsi="仿宋" w:eastAsia="仿宋" w:cs="仿宋"/>
          <w:color w:val="auto"/>
          <w:sz w:val="28"/>
          <w:szCs w:val="28"/>
          <w:highlight w:val="none"/>
        </w:rPr>
      </w:pPr>
      <w:r>
        <w:rPr>
          <w:rFonts w:hint="eastAsia" w:ascii="仿宋" w:hAnsi="仿宋" w:eastAsia="仿宋" w:cs="仿宋"/>
          <w:b/>
          <w:color w:val="auto"/>
          <w:sz w:val="28"/>
          <w:szCs w:val="28"/>
          <w:highlight w:val="none"/>
        </w:rPr>
        <w:t>第十一条  违约责任</w:t>
      </w:r>
    </w:p>
    <w:p>
      <w:pPr>
        <w:keepLines w:val="0"/>
        <w:pageBreakBefore w:val="0"/>
        <w:widowControl/>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1.甲方无正当理由拒收货物、拒付货物款的，由甲方向乙方偿付拒收货物总价的（）%违约金。</w:t>
      </w:r>
    </w:p>
    <w:p>
      <w:pPr>
        <w:keepLines w:val="0"/>
        <w:pageBreakBefore w:val="0"/>
        <w:widowControl/>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2.甲方未按合同规定的期限向乙方支付货款的，每逾期1天甲方向乙方偿付欠款总额的（）%滞纳金，但累计滞纳金总额不超过欠款总额的（）%。</w:t>
      </w:r>
    </w:p>
    <w:p>
      <w:pPr>
        <w:keepLines w:val="0"/>
        <w:pageBreakBefore w:val="0"/>
        <w:widowControl/>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3.乙方逾期交付货物的，每逾期1天，乙方向甲方偿付逾期交货部分货款总额的（）%的滞纳金。如超过供货期30天</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甲方有权终止合同，同时乙方应向甲方支付合同总价（</w:t>
      </w:r>
      <w:r>
        <w:rPr>
          <w:rFonts w:ascii="仿宋" w:hAnsi="仿宋" w:eastAsia="仿宋" w:cs="仿宋"/>
          <w:color w:val="auto"/>
          <w:sz w:val="28"/>
          <w:szCs w:val="28"/>
          <w:highlight w:val="none"/>
        </w:rPr>
        <w:t>）</w:t>
      </w:r>
      <w:r>
        <w:rPr>
          <w:rFonts w:hint="eastAsia" w:ascii="仿宋" w:hAnsi="仿宋" w:eastAsia="仿宋" w:cs="仿宋"/>
          <w:color w:val="auto"/>
          <w:sz w:val="28"/>
          <w:szCs w:val="28"/>
          <w:highlight w:val="none"/>
        </w:rPr>
        <w:t>%的违约金。给甲方造成损失的将通过法律程序向乙方进行索赔。</w:t>
      </w:r>
    </w:p>
    <w:p>
      <w:pPr>
        <w:keepLines w:val="0"/>
        <w:pageBreakBefore w:val="0"/>
        <w:widowControl/>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4.乙方所交付的货物品种、型号、规格不符合合同规定的，甲方有权拒收。甲方拒收的，乙方应向甲方支付货款总额（）%的违约金。</w:t>
      </w:r>
    </w:p>
    <w:p>
      <w:pPr>
        <w:keepLines w:val="0"/>
        <w:pageBreakBefore w:val="0"/>
        <w:widowControl/>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5.在乙方承诺的或国家规定的质量保证期内（取两者中最长的期限），如经乙方两次更换，货物仍不能达到合同约定的质量标准，甲方有权退货，乙方应退回全部货款。并解除合同</w:t>
      </w:r>
    </w:p>
    <w:p>
      <w:pPr>
        <w:keepLines w:val="0"/>
        <w:pageBreakBefore w:val="0"/>
        <w:widowControl/>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6.乙方未按本合同的规定和“服务承诺”提供伴随服务/售后服务的，应按合同总价款的（）%向甲方承担违约责任。</w:t>
      </w:r>
    </w:p>
    <w:p>
      <w:pPr>
        <w:keepLines w:val="0"/>
        <w:pageBreakBefore w:val="0"/>
        <w:widowControl/>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7.</w:t>
      </w:r>
      <w:r>
        <w:rPr>
          <w:rFonts w:hint="eastAsia" w:ascii="仿宋" w:hAnsi="仿宋" w:eastAsia="仿宋" w:cs="仿宋"/>
          <w:color w:val="auto"/>
          <w:sz w:val="28"/>
          <w:szCs w:val="28"/>
          <w:highlight w:val="none"/>
        </w:rPr>
        <w:t>乙方在承担上述3-6款一项或多项违约责任后，仍应继续履行合同规定的义务（甲方解除合同的除外）。甲方未能及时追究乙方的任何一项违约责任并不表明甲方放弃追究乙方该项或其他违约责任。</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8.未列入以上条款的其他违规事项，则按照《中华人民共和国招标投标法》法律责任条款处理。</w:t>
      </w:r>
    </w:p>
    <w:p>
      <w:pPr>
        <w:keepLines w:val="0"/>
        <w:pageBreakBefore w:val="0"/>
        <w:widowControl/>
        <w:kinsoku/>
        <w:wordWrap/>
        <w:overflowPunct/>
        <w:topLinePunct w:val="0"/>
        <w:bidi w:val="0"/>
        <w:spacing w:line="560" w:lineRule="exact"/>
        <w:ind w:firstLine="560" w:firstLineChars="200"/>
        <w:rPr>
          <w:rFonts w:ascii="仿宋" w:hAnsi="仿宋" w:eastAsia="仿宋" w:cs="宋体"/>
          <w:color w:val="auto"/>
          <w:sz w:val="28"/>
          <w:szCs w:val="28"/>
          <w:highlight w:val="none"/>
        </w:rPr>
      </w:pPr>
      <w:r>
        <w:rPr>
          <w:rFonts w:hint="eastAsia" w:ascii="仿宋" w:hAnsi="仿宋" w:eastAsia="仿宋" w:cs="仿宋"/>
          <w:color w:val="auto"/>
          <w:sz w:val="28"/>
          <w:szCs w:val="28"/>
          <w:highlight w:val="none"/>
        </w:rPr>
        <w:t>11.其他。</w:t>
      </w:r>
    </w:p>
    <w:p>
      <w:pPr>
        <w:keepLines w:val="0"/>
        <w:pageBreakBefore w:val="0"/>
        <w:kinsoku/>
        <w:wordWrap/>
        <w:overflowPunct/>
        <w:topLinePunct w:val="0"/>
        <w:bidi w:val="0"/>
        <w:spacing w:line="56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第十二条  免责条款</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若甲、乙双方的任何一方由于不可抗力（包括天灾、意外事故、交通运输、政府法令等特殊客观事件）原因造成不能及时履行或不能履行合同时，应及时向对方通报不能履行或不能及时履行的理由，在取得有关证明后，允许延期履行、部分履行或不履行合同，并根据情况，免除相应责任。</w:t>
      </w:r>
    </w:p>
    <w:p>
      <w:pPr>
        <w:keepLines w:val="0"/>
        <w:pageBreakBefore w:val="0"/>
        <w:kinsoku/>
        <w:wordWrap/>
        <w:overflowPunct/>
        <w:topLinePunct w:val="0"/>
        <w:bidi w:val="0"/>
        <w:spacing w:line="56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第十三条  合同争议解决</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1.因货物质量问题发生争议的，应邀请国家认可的质量检测机构对货物质量进行鉴定。货物符合标准的，鉴定费由甲方承担；货物不符合标准的，鉴定费由乙方承担。</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2.因履行本合同引起的或与本合同有关的争议，甲乙双方应首先通过友好协商解决。如果协商不能解决，向甲方所在地人民法院提起诉讼。</w:t>
      </w:r>
    </w:p>
    <w:p>
      <w:pPr>
        <w:keepLines w:val="0"/>
        <w:pageBreakBefore w:val="0"/>
        <w:kinsoku/>
        <w:wordWrap/>
        <w:overflowPunct/>
        <w:topLinePunct w:val="0"/>
        <w:bidi w:val="0"/>
        <w:spacing w:line="56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第十四条  本合同附件</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以下附件及乙方投标时提供的投标文件和其他相关资料作为本合同的补充内容，具有同等法律效力。</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附件1：供货一览表（加盖公章）；</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附件2：产品销售廉洁协议书</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附件3：龙岗区进一步规范政商交往行为告知书；</w:t>
      </w:r>
    </w:p>
    <w:p>
      <w:pPr>
        <w:keepLines w:val="0"/>
        <w:pageBreakBefore w:val="0"/>
        <w:kinsoku/>
        <w:wordWrap/>
        <w:overflowPunct/>
        <w:topLinePunct w:val="0"/>
        <w:bidi w:val="0"/>
        <w:spacing w:line="560" w:lineRule="exact"/>
        <w:ind w:firstLine="560" w:firstLineChars="200"/>
        <w:rPr>
          <w:color w:val="auto"/>
          <w:highlight w:val="none"/>
        </w:rPr>
      </w:pPr>
      <w:r>
        <w:rPr>
          <w:rFonts w:hint="eastAsia" w:ascii="仿宋" w:hAnsi="仿宋" w:eastAsia="仿宋" w:cs="仿宋"/>
          <w:color w:val="auto"/>
          <w:sz w:val="28"/>
          <w:szCs w:val="28"/>
          <w:highlight w:val="none"/>
        </w:rPr>
        <w:t>附件4：售后服务承诺（加盖公章）。</w:t>
      </w:r>
    </w:p>
    <w:p>
      <w:pPr>
        <w:keepLines w:val="0"/>
        <w:pageBreakBefore w:val="0"/>
        <w:kinsoku/>
        <w:wordWrap/>
        <w:overflowPunct/>
        <w:topLinePunct w:val="0"/>
        <w:bidi w:val="0"/>
        <w:spacing w:line="56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第十五条  合同生效及其他</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1.合同经双方法定代表人或授权代表人签字并加盖单位公章或合同专用章后生效。</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2.其他约定条款：</w:t>
      </w:r>
    </w:p>
    <w:p>
      <w:pPr>
        <w:keepLines w:val="0"/>
        <w:pageBreakBefore w:val="0"/>
        <w:kinsoku/>
        <w:wordWrap/>
        <w:overflowPunct/>
        <w:topLinePunct w:val="0"/>
        <w:bidi w:val="0"/>
        <w:spacing w:line="56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3.本合同未尽事宜，遵照《中华人民共和国民法典》有关条文执行。</w:t>
      </w:r>
    </w:p>
    <w:p>
      <w:pPr>
        <w:keepLines w:val="0"/>
        <w:pageBreakBefore w:val="0"/>
        <w:kinsoku/>
        <w:wordWrap/>
        <w:overflowPunct/>
        <w:topLinePunct w:val="0"/>
        <w:bidi w:val="0"/>
        <w:spacing w:line="560" w:lineRule="exact"/>
        <w:ind w:firstLine="560" w:firstLineChars="200"/>
        <w:rPr>
          <w:color w:val="auto"/>
          <w:highlight w:val="none"/>
        </w:rPr>
      </w:pPr>
      <w:r>
        <w:rPr>
          <w:rFonts w:hint="eastAsia" w:ascii="仿宋" w:hAnsi="仿宋" w:eastAsia="仿宋" w:cs="仿宋"/>
          <w:color w:val="auto"/>
          <w:sz w:val="28"/>
          <w:szCs w:val="28"/>
          <w:highlight w:val="none"/>
        </w:rPr>
        <w:t>4.本合同正本一式</w:t>
      </w:r>
      <w:r>
        <w:rPr>
          <w:rFonts w:hint="eastAsia" w:ascii="仿宋" w:hAnsi="仿宋" w:eastAsia="仿宋" w:cs="仿宋"/>
          <w:color w:val="auto"/>
          <w:sz w:val="28"/>
          <w:szCs w:val="28"/>
          <w:highlight w:val="none"/>
          <w:u w:val="single"/>
        </w:rPr>
        <w:t>肆</w:t>
      </w:r>
      <w:r>
        <w:rPr>
          <w:rFonts w:hint="eastAsia" w:ascii="仿宋" w:hAnsi="仿宋" w:eastAsia="仿宋" w:cs="仿宋"/>
          <w:color w:val="auto"/>
          <w:sz w:val="28"/>
          <w:szCs w:val="28"/>
          <w:highlight w:val="none"/>
        </w:rPr>
        <w:t>份，具有同等法律效力，甲方执</w:t>
      </w:r>
      <w:r>
        <w:rPr>
          <w:rFonts w:hint="eastAsia" w:ascii="仿宋" w:hAnsi="仿宋" w:eastAsia="仿宋" w:cs="仿宋"/>
          <w:color w:val="auto"/>
          <w:sz w:val="28"/>
          <w:szCs w:val="28"/>
          <w:highlight w:val="none"/>
          <w:u w:val="single"/>
        </w:rPr>
        <w:t>叁</w:t>
      </w:r>
      <w:r>
        <w:rPr>
          <w:rFonts w:hint="eastAsia" w:ascii="仿宋" w:hAnsi="仿宋" w:eastAsia="仿宋" w:cs="仿宋"/>
          <w:color w:val="auto"/>
          <w:sz w:val="28"/>
          <w:szCs w:val="28"/>
          <w:highlight w:val="none"/>
        </w:rPr>
        <w:t>份；乙方执</w:t>
      </w:r>
      <w:r>
        <w:rPr>
          <w:rFonts w:hint="eastAsia" w:ascii="仿宋" w:hAnsi="仿宋" w:eastAsia="仿宋" w:cs="仿宋"/>
          <w:color w:val="auto"/>
          <w:sz w:val="28"/>
          <w:szCs w:val="28"/>
          <w:highlight w:val="none"/>
          <w:u w:val="single"/>
        </w:rPr>
        <w:t>壹</w:t>
      </w:r>
      <w:r>
        <w:rPr>
          <w:rFonts w:hint="eastAsia" w:ascii="仿宋" w:hAnsi="仿宋" w:eastAsia="仿宋" w:cs="仿宋"/>
          <w:color w:val="auto"/>
          <w:sz w:val="28"/>
          <w:szCs w:val="28"/>
          <w:highlight w:val="none"/>
        </w:rPr>
        <w:t>份。</w:t>
      </w:r>
    </w:p>
    <w:tbl>
      <w:tblPr>
        <w:tblStyle w:val="20"/>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0"/>
        <w:gridCol w:w="4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0" w:type="dxa"/>
            <w:noWrap/>
          </w:tcPr>
          <w:p>
            <w:pPr>
              <w:keepLines w:val="0"/>
              <w:pageBreakBefore w:val="0"/>
              <w:kinsoku/>
              <w:wordWrap/>
              <w:overflowPunct/>
              <w:topLinePunct w:val="0"/>
              <w:bidi w:val="0"/>
              <w:spacing w:line="560" w:lineRule="exact"/>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甲方：深圳市龙岗区第七人民医院</w:t>
            </w:r>
          </w:p>
        </w:tc>
        <w:tc>
          <w:tcPr>
            <w:tcW w:w="4314" w:type="dxa"/>
            <w:noWrap/>
          </w:tcPr>
          <w:p>
            <w:pPr>
              <w:keepLines w:val="0"/>
              <w:pageBreakBefore w:val="0"/>
              <w:kinsoku/>
              <w:wordWrap/>
              <w:overflowPunct/>
              <w:topLinePunct w:val="0"/>
              <w:bidi w:val="0"/>
              <w:spacing w:line="560" w:lineRule="exact"/>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乙方：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0" w:type="dxa"/>
            <w:noWrap/>
          </w:tcPr>
          <w:p>
            <w:pPr>
              <w:keepLines w:val="0"/>
              <w:pageBreakBefore w:val="0"/>
              <w:kinsoku/>
              <w:wordWrap/>
              <w:overflowPunct/>
              <w:topLinePunct w:val="0"/>
              <w:bidi w:val="0"/>
              <w:spacing w:line="560" w:lineRule="exact"/>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地址：</w:t>
            </w:r>
          </w:p>
        </w:tc>
        <w:tc>
          <w:tcPr>
            <w:tcW w:w="4314" w:type="dxa"/>
            <w:noWrap/>
          </w:tcPr>
          <w:p>
            <w:pPr>
              <w:keepLines w:val="0"/>
              <w:pageBreakBefore w:val="0"/>
              <w:kinsoku/>
              <w:wordWrap/>
              <w:overflowPunct/>
              <w:topLinePunct w:val="0"/>
              <w:bidi w:val="0"/>
              <w:spacing w:line="560" w:lineRule="exact"/>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0" w:type="dxa"/>
            <w:noWrap/>
          </w:tcPr>
          <w:p>
            <w:pPr>
              <w:keepLines w:val="0"/>
              <w:pageBreakBefore w:val="0"/>
              <w:kinsoku/>
              <w:wordWrap/>
              <w:overflowPunct/>
              <w:topLinePunct w:val="0"/>
              <w:bidi w:val="0"/>
              <w:spacing w:line="560" w:lineRule="exact"/>
              <w:rPr>
                <w:rFonts w:ascii="仿宋" w:hAnsi="仿宋" w:eastAsia="仿宋" w:cs="仿宋"/>
                <w:color w:val="auto"/>
                <w:kern w:val="0"/>
                <w:sz w:val="24"/>
                <w:highlight w:val="none"/>
              </w:rPr>
            </w:pPr>
            <w:r>
              <w:rPr>
                <w:rFonts w:hint="eastAsia" w:ascii="仿宋" w:hAnsi="仿宋" w:eastAsia="仿宋" w:cs="仿宋"/>
                <w:b/>
                <w:bCs/>
                <w:color w:val="auto"/>
                <w:sz w:val="24"/>
                <w:highlight w:val="none"/>
              </w:rPr>
              <w:t>纳税人识别号</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12440307G34813567P</w:t>
            </w:r>
          </w:p>
        </w:tc>
        <w:tc>
          <w:tcPr>
            <w:tcW w:w="4314" w:type="dxa"/>
            <w:noWrap/>
          </w:tcPr>
          <w:p>
            <w:pPr>
              <w:keepLines w:val="0"/>
              <w:pageBreakBefore w:val="0"/>
              <w:kinsoku/>
              <w:wordWrap/>
              <w:overflowPunct/>
              <w:topLinePunct w:val="0"/>
              <w:bidi w:val="0"/>
              <w:spacing w:line="560" w:lineRule="exact"/>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纳税人识别号：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900" w:type="dxa"/>
            <w:noWrap/>
          </w:tcPr>
          <w:p>
            <w:pPr>
              <w:keepLines w:val="0"/>
              <w:pageBreakBefore w:val="0"/>
              <w:kinsoku/>
              <w:wordWrap/>
              <w:overflowPunct/>
              <w:topLinePunct w:val="0"/>
              <w:bidi w:val="0"/>
              <w:spacing w:line="560" w:lineRule="exact"/>
              <w:rPr>
                <w:rFonts w:ascii="仿宋" w:hAnsi="仿宋" w:eastAsia="仿宋" w:cs="仿宋"/>
                <w:color w:val="auto"/>
                <w:kern w:val="0"/>
                <w:sz w:val="24"/>
                <w:highlight w:val="none"/>
              </w:rPr>
            </w:pPr>
            <w:r>
              <w:rPr>
                <w:rFonts w:hint="eastAsia" w:ascii="仿宋" w:hAnsi="仿宋" w:eastAsia="仿宋" w:cs="仿宋"/>
                <w:b/>
                <w:bCs/>
                <w:color w:val="auto"/>
                <w:kern w:val="0"/>
                <w:sz w:val="24"/>
                <w:highlight w:val="none"/>
              </w:rPr>
              <w:t>开户银行：</w:t>
            </w:r>
          </w:p>
        </w:tc>
        <w:tc>
          <w:tcPr>
            <w:tcW w:w="4314" w:type="dxa"/>
            <w:noWrap/>
          </w:tcPr>
          <w:p>
            <w:pPr>
              <w:keepLines w:val="0"/>
              <w:pageBreakBefore w:val="0"/>
              <w:kinsoku/>
              <w:wordWrap/>
              <w:overflowPunct/>
              <w:topLinePunct w:val="0"/>
              <w:bidi w:val="0"/>
              <w:spacing w:line="560" w:lineRule="exact"/>
              <w:rPr>
                <w:rFonts w:ascii="仿宋" w:hAnsi="仿宋" w:eastAsia="仿宋" w:cs="仿宋"/>
                <w:color w:val="auto"/>
                <w:sz w:val="24"/>
                <w:highlight w:val="none"/>
              </w:rPr>
            </w:pPr>
            <w:r>
              <w:rPr>
                <w:rFonts w:hint="eastAsia" w:ascii="仿宋" w:hAnsi="仿宋" w:eastAsia="仿宋" w:cs="仿宋"/>
                <w:b/>
                <w:bCs/>
                <w:color w:val="auto"/>
                <w:sz w:val="24"/>
                <w:highlight w:val="none"/>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00" w:type="dxa"/>
            <w:noWrap/>
          </w:tcPr>
          <w:p>
            <w:pPr>
              <w:keepLines w:val="0"/>
              <w:pageBreakBefore w:val="0"/>
              <w:kinsoku/>
              <w:wordWrap/>
              <w:overflowPunct/>
              <w:topLinePunct w:val="0"/>
              <w:bidi w:val="0"/>
              <w:spacing w:line="560" w:lineRule="exact"/>
              <w:rPr>
                <w:rFonts w:ascii="仿宋" w:hAnsi="仿宋" w:eastAsia="仿宋" w:cs="仿宋"/>
                <w:color w:val="auto"/>
                <w:kern w:val="0"/>
                <w:sz w:val="24"/>
                <w:highlight w:val="none"/>
              </w:rPr>
            </w:pPr>
            <w:r>
              <w:rPr>
                <w:rFonts w:hint="eastAsia" w:ascii="仿宋" w:hAnsi="仿宋" w:eastAsia="仿宋" w:cs="仿宋"/>
                <w:b/>
                <w:bCs/>
                <w:color w:val="auto"/>
                <w:sz w:val="24"/>
                <w:highlight w:val="none"/>
              </w:rPr>
              <w:t>账    号：</w:t>
            </w:r>
          </w:p>
        </w:tc>
        <w:tc>
          <w:tcPr>
            <w:tcW w:w="4314" w:type="dxa"/>
            <w:noWrap/>
          </w:tcPr>
          <w:p>
            <w:pPr>
              <w:keepLines w:val="0"/>
              <w:pageBreakBefore w:val="0"/>
              <w:kinsoku/>
              <w:wordWrap/>
              <w:overflowPunct/>
              <w:topLinePunct w:val="0"/>
              <w:bidi w:val="0"/>
              <w:spacing w:line="560" w:lineRule="exact"/>
              <w:rPr>
                <w:rFonts w:ascii="仿宋" w:hAnsi="仿宋" w:eastAsia="仿宋" w:cs="仿宋"/>
                <w:b/>
                <w:bCs/>
                <w:color w:val="auto"/>
                <w:sz w:val="24"/>
                <w:highlight w:val="none"/>
              </w:rPr>
            </w:pPr>
            <w:r>
              <w:rPr>
                <w:rFonts w:hint="eastAsia" w:ascii="仿宋" w:hAnsi="仿宋" w:eastAsia="仿宋" w:cs="仿宋"/>
                <w:b/>
                <w:bCs/>
                <w:color w:val="auto"/>
                <w:sz w:val="24"/>
                <w:highlight w:val="none"/>
              </w:rPr>
              <w:t>账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4900" w:type="dxa"/>
            <w:noWrap/>
          </w:tcPr>
          <w:p>
            <w:pPr>
              <w:keepLines w:val="0"/>
              <w:pageBreakBefore w:val="0"/>
              <w:kinsoku/>
              <w:wordWrap/>
              <w:overflowPunct/>
              <w:topLinePunct w:val="0"/>
              <w:bidi w:val="0"/>
              <w:spacing w:line="560" w:lineRule="exact"/>
              <w:rPr>
                <w:rFonts w:ascii="仿宋" w:hAnsi="仿宋" w:eastAsia="仿宋" w:cs="仿宋"/>
                <w:b/>
                <w:bCs/>
                <w:color w:val="auto"/>
                <w:kern w:val="0"/>
                <w:sz w:val="24"/>
                <w:highlight w:val="none"/>
              </w:rPr>
            </w:pPr>
            <w:r>
              <w:rPr>
                <w:rFonts w:hint="eastAsia" w:ascii="仿宋" w:hAnsi="仿宋" w:eastAsia="仿宋" w:cs="仿宋"/>
                <w:b/>
                <w:bCs/>
                <w:color w:val="auto"/>
                <w:sz w:val="24"/>
                <w:highlight w:val="none"/>
              </w:rPr>
              <w:t>电话：</w:t>
            </w:r>
          </w:p>
        </w:tc>
        <w:tc>
          <w:tcPr>
            <w:tcW w:w="4314" w:type="dxa"/>
            <w:noWrap/>
          </w:tcPr>
          <w:p>
            <w:pPr>
              <w:keepLines w:val="0"/>
              <w:pageBreakBefore w:val="0"/>
              <w:kinsoku/>
              <w:wordWrap/>
              <w:overflowPunct/>
              <w:topLinePunct w:val="0"/>
              <w:bidi w:val="0"/>
              <w:spacing w:line="560" w:lineRule="exact"/>
              <w:rPr>
                <w:rFonts w:ascii="仿宋" w:hAnsi="仿宋" w:eastAsia="仿宋" w:cs="仿宋"/>
                <w:b/>
                <w:bCs/>
                <w:color w:val="auto"/>
                <w:sz w:val="24"/>
                <w:highlight w:val="none"/>
              </w:rPr>
            </w:pPr>
            <w:r>
              <w:rPr>
                <w:rFonts w:hint="eastAsia" w:ascii="仿宋" w:hAnsi="仿宋" w:eastAsia="仿宋" w:cs="仿宋"/>
                <w:b/>
                <w:bCs/>
                <w:color w:val="auto"/>
                <w:sz w:val="24"/>
                <w:highlight w:val="none"/>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4900" w:type="dxa"/>
            <w:noWrap/>
          </w:tcPr>
          <w:p>
            <w:pPr>
              <w:keepLines w:val="0"/>
              <w:pageBreakBefore w:val="0"/>
              <w:kinsoku/>
              <w:wordWrap/>
              <w:overflowPunct/>
              <w:topLinePunct w:val="0"/>
              <w:bidi w:val="0"/>
              <w:spacing w:line="560" w:lineRule="exact"/>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甲方法定代表人（签字）：</w:t>
            </w:r>
          </w:p>
          <w:p>
            <w:pPr>
              <w:pStyle w:val="6"/>
              <w:keepLines w:val="0"/>
              <w:pageBreakBefore w:val="0"/>
              <w:kinsoku/>
              <w:wordWrap/>
              <w:overflowPunct/>
              <w:topLinePunct w:val="0"/>
              <w:bidi w:val="0"/>
              <w:spacing w:line="560" w:lineRule="exact"/>
              <w:ind w:firstLine="0"/>
              <w:rPr>
                <w:color w:val="auto"/>
                <w:highlight w:val="none"/>
              </w:rPr>
            </w:pPr>
          </w:p>
          <w:p>
            <w:pPr>
              <w:keepLines w:val="0"/>
              <w:pageBreakBefore w:val="0"/>
              <w:kinsoku/>
              <w:wordWrap/>
              <w:overflowPunct/>
              <w:topLinePunct w:val="0"/>
              <w:bidi w:val="0"/>
              <w:spacing w:line="560" w:lineRule="exact"/>
              <w:rPr>
                <w:color w:val="auto"/>
                <w:highlight w:val="none"/>
              </w:rPr>
            </w:pPr>
            <w:r>
              <w:rPr>
                <w:rFonts w:hint="eastAsia" w:ascii="仿宋" w:hAnsi="仿宋" w:eastAsia="仿宋" w:cs="仿宋"/>
                <w:b/>
                <w:bCs/>
                <w:color w:val="auto"/>
                <w:kern w:val="0"/>
                <w:sz w:val="24"/>
                <w:highlight w:val="none"/>
              </w:rPr>
              <w:t>授权人</w:t>
            </w:r>
          </w:p>
        </w:tc>
        <w:tc>
          <w:tcPr>
            <w:tcW w:w="4314" w:type="dxa"/>
            <w:noWrap/>
          </w:tcPr>
          <w:p>
            <w:pPr>
              <w:keepLines w:val="0"/>
              <w:pageBreakBefore w:val="0"/>
              <w:kinsoku/>
              <w:wordWrap/>
              <w:overflowPunct/>
              <w:topLinePunct w:val="0"/>
              <w:bidi w:val="0"/>
              <w:spacing w:line="560" w:lineRule="exact"/>
              <w:rPr>
                <w:color w:val="auto"/>
                <w:highlight w:val="none"/>
              </w:rPr>
            </w:pPr>
            <w:r>
              <w:rPr>
                <w:rFonts w:hint="eastAsia" w:ascii="仿宋" w:hAnsi="仿宋" w:eastAsia="仿宋" w:cs="仿宋"/>
                <w:b/>
                <w:bCs/>
                <w:color w:val="auto"/>
                <w:kern w:val="0"/>
                <w:sz w:val="24"/>
                <w:highlight w:val="none"/>
              </w:rPr>
              <w:t>乙方法定代表人（签字）：</w:t>
            </w:r>
          </w:p>
          <w:p>
            <w:pPr>
              <w:pStyle w:val="6"/>
              <w:keepLines w:val="0"/>
              <w:pageBreakBefore w:val="0"/>
              <w:kinsoku/>
              <w:wordWrap/>
              <w:overflowPunct/>
              <w:topLinePunct w:val="0"/>
              <w:bidi w:val="0"/>
              <w:spacing w:line="560" w:lineRule="exact"/>
              <w:ind w:firstLine="0"/>
              <w:rPr>
                <w:color w:val="auto"/>
                <w:highlight w:val="none"/>
              </w:rPr>
            </w:pPr>
          </w:p>
          <w:p>
            <w:pPr>
              <w:keepLines w:val="0"/>
              <w:pageBreakBefore w:val="0"/>
              <w:kinsoku/>
              <w:wordWrap/>
              <w:overflowPunct/>
              <w:topLinePunct w:val="0"/>
              <w:bidi w:val="0"/>
              <w:spacing w:line="560" w:lineRule="exact"/>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授权人（签字）：</w:t>
            </w:r>
          </w:p>
          <w:p>
            <w:pPr>
              <w:pStyle w:val="6"/>
              <w:keepLines w:val="0"/>
              <w:pageBreakBefore w:val="0"/>
              <w:kinsoku/>
              <w:wordWrap/>
              <w:overflowPunct/>
              <w:topLinePunct w:val="0"/>
              <w:bidi w:val="0"/>
              <w:spacing w:line="560" w:lineRule="exact"/>
              <w:ind w:firstLine="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9214" w:type="dxa"/>
            <w:gridSpan w:val="2"/>
            <w:noWrap/>
            <w:vAlign w:val="center"/>
          </w:tcPr>
          <w:p>
            <w:pPr>
              <w:keepLines w:val="0"/>
              <w:pageBreakBefore w:val="0"/>
              <w:kinsoku/>
              <w:wordWrap/>
              <w:overflowPunct/>
              <w:topLinePunct w:val="0"/>
              <w:bidi w:val="0"/>
              <w:spacing w:line="560" w:lineRule="exact"/>
              <w:jc w:val="center"/>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签约时间：    年   月   日</w:t>
            </w:r>
          </w:p>
          <w:p>
            <w:pPr>
              <w:keepLines w:val="0"/>
              <w:pageBreakBefore w:val="0"/>
              <w:kinsoku/>
              <w:wordWrap/>
              <w:overflowPunct/>
              <w:topLinePunct w:val="0"/>
              <w:bidi w:val="0"/>
              <w:spacing w:line="560" w:lineRule="exact"/>
              <w:jc w:val="center"/>
              <w:rPr>
                <w:rFonts w:ascii="宋体" w:hAnsi="宋体"/>
                <w:color w:val="auto"/>
                <w:kern w:val="0"/>
                <w:sz w:val="24"/>
                <w:highlight w:val="none"/>
              </w:rPr>
            </w:pPr>
            <w:r>
              <w:rPr>
                <w:rFonts w:hint="eastAsia" w:ascii="仿宋" w:hAnsi="仿宋" w:eastAsia="仿宋" w:cs="仿宋"/>
                <w:b/>
                <w:bCs/>
                <w:color w:val="auto"/>
                <w:kern w:val="0"/>
                <w:sz w:val="28"/>
                <w:szCs w:val="28"/>
                <w:highlight w:val="none"/>
              </w:rPr>
              <w:t>签约地址：深圳市龙岗区第七人民医院</w:t>
            </w:r>
          </w:p>
        </w:tc>
      </w:tr>
    </w:tbl>
    <w:p>
      <w:pPr>
        <w:keepLines w:val="0"/>
        <w:pageBreakBefore w:val="0"/>
        <w:tabs>
          <w:tab w:val="left" w:pos="0"/>
        </w:tabs>
        <w:kinsoku/>
        <w:wordWrap/>
        <w:overflowPunct/>
        <w:topLinePunct w:val="0"/>
        <w:bidi w:val="0"/>
        <w:snapToGrid w:val="0"/>
        <w:spacing w:line="560" w:lineRule="exact"/>
        <w:rPr>
          <w:rFonts w:ascii="仿宋" w:hAnsi="仿宋" w:eastAsia="仿宋" w:cs="仿宋"/>
          <w:b/>
          <w:bCs/>
          <w:color w:val="auto"/>
          <w:sz w:val="32"/>
          <w:szCs w:val="32"/>
          <w:highlight w:val="none"/>
        </w:rPr>
        <w:sectPr>
          <w:pgSz w:w="11906" w:h="16838"/>
          <w:pgMar w:top="2098" w:right="1474" w:bottom="1984" w:left="1304" w:header="851" w:footer="1417" w:gutter="0"/>
          <w:pgNumType w:fmt="numberInDash"/>
          <w:cols w:space="0" w:num="1"/>
          <w:rtlGutter w:val="0"/>
          <w:docGrid w:type="lines" w:linePitch="338" w:charSpace="0"/>
        </w:sectPr>
      </w:pPr>
    </w:p>
    <w:p>
      <w:pPr>
        <w:keepLines w:val="0"/>
        <w:pageBreakBefore w:val="0"/>
        <w:widowControl/>
        <w:kinsoku/>
        <w:wordWrap/>
        <w:overflowPunct/>
        <w:topLinePunct w:val="0"/>
        <w:bidi w:val="0"/>
        <w:spacing w:line="560" w:lineRule="exact"/>
        <w:jc w:val="center"/>
        <w:textAlignment w:val="center"/>
        <w:rPr>
          <w:rFonts w:ascii="宋体" w:hAnsi="宋体" w:cs="宋体"/>
          <w:color w:val="auto"/>
          <w:kern w:val="0"/>
          <w:sz w:val="44"/>
          <w:szCs w:val="44"/>
          <w:highlight w:val="none"/>
          <w:lang w:bidi="ar"/>
        </w:rPr>
      </w:pPr>
      <w:r>
        <w:rPr>
          <w:rFonts w:hint="eastAsia" w:ascii="宋体" w:hAnsi="宋体" w:cs="宋体"/>
          <w:color w:val="auto"/>
          <w:kern w:val="0"/>
          <w:sz w:val="44"/>
          <w:szCs w:val="44"/>
          <w:highlight w:val="none"/>
          <w:lang w:bidi="ar"/>
        </w:rPr>
        <w:t>深圳市龙岗区第七人民医院廉洁购销合同</w:t>
      </w:r>
    </w:p>
    <w:p>
      <w:pPr>
        <w:keepLines w:val="0"/>
        <w:pageBreakBefore w:val="0"/>
        <w:kinsoku/>
        <w:wordWrap/>
        <w:overflowPunct/>
        <w:topLinePunct w:val="0"/>
        <w:bidi w:val="0"/>
        <w:spacing w:line="560" w:lineRule="exact"/>
        <w:rPr>
          <w:rFonts w:ascii="楷体_GB2312" w:hAnsi="ˎ̥" w:eastAsia="楷体_GB2312"/>
          <w:b/>
          <w:color w:val="auto"/>
          <w:sz w:val="32"/>
          <w:szCs w:val="32"/>
          <w:highlight w:val="none"/>
        </w:rPr>
      </w:pPr>
    </w:p>
    <w:p>
      <w:pPr>
        <w:keepLines w:val="0"/>
        <w:pageBreakBefore w:val="0"/>
        <w:kinsoku/>
        <w:wordWrap/>
        <w:overflowPunct/>
        <w:topLinePunct w:val="0"/>
        <w:bidi w:val="0"/>
        <w:spacing w:line="560" w:lineRule="exact"/>
        <w:rPr>
          <w:rFonts w:ascii="仿宋_GB2312" w:hAnsi="ˎ̥" w:eastAsia="仿宋_GB2312"/>
          <w:color w:val="auto"/>
          <w:sz w:val="32"/>
          <w:szCs w:val="32"/>
          <w:highlight w:val="none"/>
        </w:rPr>
      </w:pPr>
      <w:r>
        <w:rPr>
          <w:rFonts w:hint="eastAsia" w:ascii="楷体_GB2312" w:hAnsi="ˎ̥" w:eastAsia="楷体_GB2312"/>
          <w:b/>
          <w:color w:val="auto"/>
          <w:sz w:val="32"/>
          <w:szCs w:val="32"/>
          <w:highlight w:val="none"/>
        </w:rPr>
        <w:t>甲方</w:t>
      </w:r>
      <w:r>
        <w:rPr>
          <w:rFonts w:hint="eastAsia" w:ascii="仿宋_GB2312" w:hAnsi="ˎ̥" w:eastAsia="仿宋_GB2312"/>
          <w:color w:val="auto"/>
          <w:sz w:val="32"/>
          <w:szCs w:val="32"/>
          <w:highlight w:val="none"/>
        </w:rPr>
        <w:t>：深圳市龙岗区第七人民医院</w:t>
      </w:r>
    </w:p>
    <w:p>
      <w:pPr>
        <w:keepLines w:val="0"/>
        <w:pageBreakBefore w:val="0"/>
        <w:kinsoku/>
        <w:wordWrap/>
        <w:overflowPunct/>
        <w:topLinePunct w:val="0"/>
        <w:bidi w:val="0"/>
        <w:spacing w:line="560" w:lineRule="exact"/>
        <w:rPr>
          <w:rFonts w:ascii="楷体_GB2312" w:hAnsi="ˎ̥" w:eastAsia="楷体_GB2312"/>
          <w:b/>
          <w:color w:val="auto"/>
          <w:sz w:val="32"/>
          <w:szCs w:val="32"/>
          <w:highlight w:val="none"/>
        </w:rPr>
      </w:pPr>
      <w:r>
        <w:rPr>
          <w:rFonts w:hint="eastAsia" w:ascii="楷体_GB2312" w:hAnsi="ˎ̥" w:eastAsia="楷体_GB2312"/>
          <w:b/>
          <w:color w:val="auto"/>
          <w:sz w:val="32"/>
          <w:szCs w:val="32"/>
          <w:highlight w:val="none"/>
        </w:rPr>
        <w:t>乙方</w:t>
      </w:r>
      <w:r>
        <w:rPr>
          <w:rFonts w:hint="eastAsia" w:ascii="仿宋_GB2312" w:hAnsi="ˎ̥" w:eastAsia="仿宋_GB2312"/>
          <w:color w:val="auto"/>
          <w:sz w:val="32"/>
          <w:szCs w:val="32"/>
          <w:highlight w:val="none"/>
        </w:rPr>
        <w:t>：</w:t>
      </w:r>
    </w:p>
    <w:p>
      <w:pPr>
        <w:keepLines w:val="0"/>
        <w:pageBreakBefore w:val="0"/>
        <w:kinsoku/>
        <w:wordWrap/>
        <w:overflowPunct/>
        <w:topLinePunct w:val="0"/>
        <w:bidi w:val="0"/>
        <w:spacing w:line="560" w:lineRule="exact"/>
        <w:rPr>
          <w:rFonts w:hint="eastAsia" w:ascii="仿宋_GB2312" w:hAnsi="仿宋_GB2312" w:eastAsia="仿宋_GB2312" w:cs="仿宋_GB2312"/>
          <w:color w:val="auto"/>
          <w:sz w:val="32"/>
          <w:szCs w:val="32"/>
          <w:highlight w:val="none"/>
          <w:lang w:val="en-US" w:eastAsia="zh-CN"/>
        </w:rPr>
      </w:pPr>
      <w:r>
        <w:rPr>
          <w:rFonts w:hint="eastAsia" w:ascii="楷体_GB2312" w:hAnsi="ˎ̥" w:eastAsia="楷体_GB2312"/>
          <w:b/>
          <w:color w:val="auto"/>
          <w:sz w:val="32"/>
          <w:szCs w:val="32"/>
          <w:highlight w:val="none"/>
        </w:rPr>
        <w:t>项目名称：</w:t>
      </w:r>
    </w:p>
    <w:p>
      <w:pPr>
        <w:keepLines w:val="0"/>
        <w:pageBreakBefore w:val="0"/>
        <w:kinsoku/>
        <w:wordWrap/>
        <w:overflowPunct/>
        <w:topLinePunct w:val="0"/>
        <w:bidi w:val="0"/>
        <w:spacing w:line="560" w:lineRule="exact"/>
        <w:rPr>
          <w:rFonts w:ascii="楷体_GB2312" w:hAnsi="ˎ̥" w:eastAsia="楷体_GB2312"/>
          <w:color w:val="auto"/>
          <w:sz w:val="32"/>
          <w:szCs w:val="32"/>
          <w:highlight w:val="none"/>
        </w:rPr>
      </w:pPr>
      <w:r>
        <w:rPr>
          <w:rFonts w:hint="eastAsia" w:ascii="楷体_GB2312" w:hAnsi="ˎ̥" w:eastAsia="楷体_GB2312"/>
          <w:b/>
          <w:color w:val="auto"/>
          <w:sz w:val="32"/>
          <w:szCs w:val="32"/>
          <w:highlight w:val="none"/>
        </w:rPr>
        <w:t>合同总价</w:t>
      </w:r>
      <w:r>
        <w:rPr>
          <w:rFonts w:hint="eastAsia" w:ascii="楷体_GB2312" w:hAnsi="ˎ̥" w:eastAsia="楷体_GB2312"/>
          <w:color w:val="auto"/>
          <w:sz w:val="32"/>
          <w:szCs w:val="32"/>
          <w:highlight w:val="none"/>
        </w:rPr>
        <w:t>：</w:t>
      </w:r>
    </w:p>
    <w:p>
      <w:pPr>
        <w:keepLines w:val="0"/>
        <w:pageBreakBefore w:val="0"/>
        <w:kinsoku/>
        <w:wordWrap/>
        <w:overflowPunct/>
        <w:topLinePunct w:val="0"/>
        <w:bidi w:val="0"/>
        <w:spacing w:line="560" w:lineRule="exact"/>
        <w:rPr>
          <w:rFonts w:ascii="楷体_GB2312" w:hAnsi="ˎ̥" w:eastAsia="楷体_GB2312"/>
          <w:b/>
          <w:color w:val="auto"/>
          <w:sz w:val="32"/>
          <w:szCs w:val="32"/>
          <w:highlight w:val="none"/>
        </w:rPr>
      </w:pPr>
      <w:r>
        <w:rPr>
          <w:rFonts w:hint="eastAsia" w:ascii="楷体_GB2312" w:hAnsi="ˎ̥" w:eastAsia="楷体_GB2312"/>
          <w:b/>
          <w:color w:val="auto"/>
          <w:sz w:val="32"/>
          <w:szCs w:val="32"/>
          <w:highlight w:val="none"/>
        </w:rPr>
        <w:t>主办科室：</w:t>
      </w:r>
    </w:p>
    <w:p>
      <w:pPr>
        <w:keepLines w:val="0"/>
        <w:pageBreakBefore w:val="0"/>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为进一步加强医疗卫生行风建设，规范购销行为，有效防范商业贿赂，营造公平交易、诚实守信的购销环境，经甲、乙双方协商，同意签订本合同，并共同遵守：</w:t>
      </w:r>
    </w:p>
    <w:p>
      <w:pPr>
        <w:keepLines w:val="0"/>
        <w:pageBreakBefore w:val="0"/>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一、甲乙双方按照《中华人民共和国民法典》及产品购销合同约定实施购销行为。</w:t>
      </w:r>
    </w:p>
    <w:p>
      <w:pPr>
        <w:keepLines w:val="0"/>
        <w:pageBreakBefore w:val="0"/>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二、甲方应当严格执行验收、入库制度，对采购产品及发票进行查验，不得违反有关规定进行合同外采购、违价采购或从非规定渠道采购。</w:t>
      </w:r>
    </w:p>
    <w:p>
      <w:pPr>
        <w:keepLines w:val="0"/>
        <w:pageBreakBefore w:val="0"/>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三、甲方不得接受乙方以任何名义、形式给予的利益输送，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纪检监察部门反映情况。</w:t>
      </w:r>
    </w:p>
    <w:p>
      <w:pPr>
        <w:keepLines w:val="0"/>
        <w:pageBreakBefore w:val="0"/>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四、严禁甲方工作人员利用任何途径和方式，非法为乙方统计医师个人及临床科室有关医药产品用量信息，或为乙方统方提供便利。</w:t>
      </w:r>
    </w:p>
    <w:p>
      <w:pPr>
        <w:keepLines w:val="0"/>
        <w:pageBreakBefore w:val="0"/>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五、乙方不得以回扣、宴请等方式影响甲方工作人员采购或使用医药产品的选择权，不得在学术活动中提供旅游、超标准支付食宿费用，以及其他任何形式的利益输送。</w:t>
      </w:r>
    </w:p>
    <w:p>
      <w:pPr>
        <w:keepLines w:val="0"/>
        <w:pageBreakBefore w:val="0"/>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六、乙方指定        作为销售代表洽谈业务。销售代表必须在工作时间到甲方指定地点联系商谈，不得到住院部、门诊部、医技科室等推销医药产品，不得借故到甲方相关领导、部门负责人及相关工作人员家中访谈并提供任何好处费。</w:t>
      </w:r>
    </w:p>
    <w:p>
      <w:pPr>
        <w:keepLines w:val="0"/>
        <w:pageBreakBefore w:val="0"/>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七、乙方如违反本合同，一经发现，甲方有权终止产品购销合同，并向有关部门报告。如乙方被列入商业贿赂不良记录，则严格按照《国家卫生计生委关于建立医药购销领域商业贿赂不良记录的规定》（国卫法制发〔2013〕50号）相关规定处理。</w:t>
      </w:r>
    </w:p>
    <w:p>
      <w:pPr>
        <w:keepLines w:val="0"/>
        <w:pageBreakBefore w:val="0"/>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八、本合同作为产品购销合同的组成部分，与购销合同一并执行，具有同等的法律效力。</w:t>
      </w:r>
    </w:p>
    <w:p>
      <w:pPr>
        <w:keepLines w:val="0"/>
        <w:pageBreakBefore w:val="0"/>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九、本合同一式叁份，甲方贰份（一份随购销主合同存档，一份交医院纪检监察部门），乙方壹份，从签订之日起生效。</w:t>
      </w:r>
    </w:p>
    <w:p>
      <w:pPr>
        <w:keepLines w:val="0"/>
        <w:pageBreakBefore w:val="0"/>
        <w:kinsoku/>
        <w:wordWrap/>
        <w:overflowPunct/>
        <w:topLinePunct w:val="0"/>
        <w:bidi w:val="0"/>
        <w:spacing w:line="560" w:lineRule="exact"/>
        <w:rPr>
          <w:rFonts w:ascii="仿宋_GB2312" w:eastAsia="仿宋_GB2312"/>
          <w:color w:val="auto"/>
          <w:sz w:val="32"/>
          <w:szCs w:val="32"/>
          <w:highlight w:val="none"/>
        </w:rPr>
      </w:pPr>
    </w:p>
    <w:p>
      <w:pPr>
        <w:keepLines w:val="0"/>
        <w:pageBreakBefore w:val="0"/>
        <w:kinsoku/>
        <w:wordWrap/>
        <w:overflowPunct/>
        <w:topLinePunct w:val="0"/>
        <w:bidi w:val="0"/>
        <w:spacing w:line="560" w:lineRule="exact"/>
        <w:rPr>
          <w:rFonts w:ascii="楷体_GB2312" w:eastAsia="楷体_GB2312"/>
          <w:b/>
          <w:color w:val="auto"/>
          <w:sz w:val="32"/>
          <w:szCs w:val="32"/>
          <w:highlight w:val="none"/>
        </w:rPr>
      </w:pPr>
      <w:r>
        <w:rPr>
          <w:rFonts w:hint="eastAsia" w:ascii="楷体_GB2312" w:eastAsia="楷体_GB2312"/>
          <w:b/>
          <w:color w:val="auto"/>
          <w:sz w:val="32"/>
          <w:szCs w:val="32"/>
          <w:highlight w:val="none"/>
        </w:rPr>
        <w:t>甲方（盖章）：                  乙方（盖章）：</w:t>
      </w:r>
    </w:p>
    <w:p>
      <w:pPr>
        <w:keepLines w:val="0"/>
        <w:pageBreakBefore w:val="0"/>
        <w:kinsoku/>
        <w:wordWrap/>
        <w:overflowPunct/>
        <w:topLinePunct w:val="0"/>
        <w:bidi w:val="0"/>
        <w:spacing w:line="560" w:lineRule="exact"/>
        <w:rPr>
          <w:rFonts w:ascii="楷体_GB2312" w:eastAsia="楷体_GB2312"/>
          <w:b/>
          <w:color w:val="auto"/>
          <w:sz w:val="32"/>
          <w:szCs w:val="32"/>
          <w:highlight w:val="none"/>
        </w:rPr>
      </w:pPr>
      <w:r>
        <w:rPr>
          <w:rFonts w:hint="eastAsia" w:ascii="楷体_GB2312" w:eastAsia="楷体_GB2312"/>
          <w:b/>
          <w:color w:val="auto"/>
          <w:sz w:val="32"/>
          <w:szCs w:val="32"/>
          <w:highlight w:val="none"/>
        </w:rPr>
        <w:t>法定代表人（</w:t>
      </w:r>
      <w:r>
        <w:rPr>
          <w:rFonts w:ascii="楷体_GB2312" w:eastAsia="楷体_GB2312"/>
          <w:b/>
          <w:color w:val="auto"/>
          <w:sz w:val="32"/>
          <w:szCs w:val="32"/>
          <w:highlight w:val="none"/>
        </w:rPr>
        <w:t>负责人</w:t>
      </w:r>
      <w:r>
        <w:rPr>
          <w:rFonts w:hint="eastAsia" w:ascii="楷体_GB2312" w:eastAsia="楷体_GB2312"/>
          <w:b/>
          <w:color w:val="auto"/>
          <w:sz w:val="32"/>
          <w:szCs w:val="32"/>
          <w:highlight w:val="none"/>
        </w:rPr>
        <w:t>）：          法定代表人（</w:t>
      </w:r>
      <w:r>
        <w:rPr>
          <w:rFonts w:ascii="楷体_GB2312" w:eastAsia="楷体_GB2312"/>
          <w:b/>
          <w:color w:val="auto"/>
          <w:sz w:val="32"/>
          <w:szCs w:val="32"/>
          <w:highlight w:val="none"/>
        </w:rPr>
        <w:t>负责人</w:t>
      </w:r>
      <w:r>
        <w:rPr>
          <w:rFonts w:hint="eastAsia" w:ascii="楷体_GB2312" w:eastAsia="楷体_GB2312"/>
          <w:b/>
          <w:color w:val="auto"/>
          <w:sz w:val="32"/>
          <w:szCs w:val="32"/>
          <w:highlight w:val="none"/>
        </w:rPr>
        <w:t>）：</w:t>
      </w:r>
    </w:p>
    <w:p>
      <w:pPr>
        <w:keepLines w:val="0"/>
        <w:pageBreakBefore w:val="0"/>
        <w:kinsoku/>
        <w:wordWrap/>
        <w:overflowPunct/>
        <w:topLinePunct w:val="0"/>
        <w:bidi w:val="0"/>
        <w:spacing w:line="560" w:lineRule="exact"/>
        <w:rPr>
          <w:color w:val="auto"/>
          <w:highlight w:val="none"/>
        </w:rPr>
      </w:pPr>
      <w:r>
        <w:rPr>
          <w:rFonts w:hint="eastAsia" w:ascii="楷体_GB2312" w:eastAsia="楷体_GB2312"/>
          <w:b/>
          <w:color w:val="auto"/>
          <w:sz w:val="32"/>
          <w:szCs w:val="32"/>
          <w:highlight w:val="none"/>
          <w:lang w:val="en-US" w:eastAsia="zh-CN"/>
        </w:rPr>
        <w:t>授权</w:t>
      </w:r>
      <w:r>
        <w:rPr>
          <w:rFonts w:hint="eastAsia" w:ascii="楷体_GB2312" w:eastAsia="楷体_GB2312"/>
          <w:b/>
          <w:color w:val="auto"/>
          <w:sz w:val="32"/>
          <w:szCs w:val="32"/>
          <w:highlight w:val="none"/>
        </w:rPr>
        <w:t>代</w:t>
      </w:r>
      <w:r>
        <w:rPr>
          <w:rFonts w:hint="eastAsia" w:ascii="楷体_GB2312" w:eastAsia="楷体_GB2312"/>
          <w:b/>
          <w:color w:val="auto"/>
          <w:sz w:val="32"/>
          <w:szCs w:val="32"/>
          <w:highlight w:val="none"/>
          <w:lang w:val="en-US" w:eastAsia="zh-CN"/>
        </w:rPr>
        <w:t>表</w:t>
      </w:r>
      <w:r>
        <w:rPr>
          <w:rFonts w:hint="eastAsia" w:ascii="楷体_GB2312" w:eastAsia="楷体_GB2312"/>
          <w:b/>
          <w:color w:val="auto"/>
          <w:sz w:val="32"/>
          <w:szCs w:val="32"/>
          <w:highlight w:val="none"/>
        </w:rPr>
        <w:t>人签名：               经办人签名：</w:t>
      </w:r>
    </w:p>
    <w:p>
      <w:pPr>
        <w:keepLines w:val="0"/>
        <w:pageBreakBefore w:val="0"/>
        <w:kinsoku/>
        <w:wordWrap/>
        <w:overflowPunct/>
        <w:topLinePunct w:val="0"/>
        <w:bidi w:val="0"/>
        <w:spacing w:line="560" w:lineRule="exact"/>
        <w:ind w:firstLine="640" w:firstLineChars="200"/>
        <w:rPr>
          <w:rFonts w:ascii="宋体" w:hAnsi="宋体" w:cs="宋体"/>
          <w:color w:val="auto"/>
          <w:kern w:val="0"/>
          <w:sz w:val="44"/>
          <w:szCs w:val="44"/>
          <w:highlight w:val="none"/>
          <w:lang w:bidi="ar"/>
        </w:rPr>
      </w:pPr>
      <w:r>
        <w:rPr>
          <w:rFonts w:hint="eastAsia" w:ascii="仿宋_GB2312" w:eastAsia="仿宋_GB2312"/>
          <w:color w:val="auto"/>
          <w:sz w:val="32"/>
          <w:szCs w:val="32"/>
          <w:highlight w:val="none"/>
        </w:rPr>
        <w:t>年    月   日                 年    月   日</w:t>
      </w:r>
    </w:p>
    <w:p>
      <w:pPr>
        <w:keepLines w:val="0"/>
        <w:pageBreakBefore w:val="0"/>
        <w:widowControl/>
        <w:kinsoku/>
        <w:wordWrap/>
        <w:overflowPunct/>
        <w:topLinePunct w:val="0"/>
        <w:bidi w:val="0"/>
        <w:spacing w:line="560" w:lineRule="exact"/>
        <w:jc w:val="center"/>
        <w:textAlignment w:val="center"/>
        <w:rPr>
          <w:rFonts w:hint="eastAsia" w:ascii="宋体" w:hAnsi="宋体" w:cs="宋体"/>
          <w:color w:val="auto"/>
          <w:kern w:val="0"/>
          <w:sz w:val="44"/>
          <w:szCs w:val="44"/>
          <w:highlight w:val="none"/>
          <w:lang w:bidi="ar"/>
        </w:rPr>
        <w:sectPr>
          <w:headerReference r:id="rId9" w:type="default"/>
          <w:footerReference r:id="rId10" w:type="default"/>
          <w:pgSz w:w="11906" w:h="16838"/>
          <w:pgMar w:top="2098" w:right="1474" w:bottom="1984" w:left="1304" w:header="851" w:footer="1417" w:gutter="0"/>
          <w:cols w:space="0" w:num="1"/>
          <w:rtlGutter w:val="0"/>
          <w:docGrid w:type="lines" w:linePitch="338" w:charSpace="0"/>
        </w:sectPr>
      </w:pPr>
    </w:p>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ascii="宋体" w:hAnsi="宋体" w:cs="宋体"/>
          <w:color w:val="auto"/>
          <w:kern w:val="0"/>
          <w:sz w:val="44"/>
          <w:szCs w:val="44"/>
          <w:highlight w:val="none"/>
          <w:lang w:bidi="ar"/>
        </w:rPr>
      </w:pPr>
      <w:r>
        <w:rPr>
          <w:rFonts w:hint="eastAsia" w:ascii="宋体" w:hAnsi="宋体" w:cs="宋体"/>
          <w:color w:val="auto"/>
          <w:kern w:val="0"/>
          <w:sz w:val="44"/>
          <w:szCs w:val="44"/>
          <w:highlight w:val="none"/>
          <w:lang w:bidi="ar"/>
        </w:rPr>
        <w:t>龙岗区进一步规范政商交往行为告知书</w:t>
      </w:r>
    </w:p>
    <w:p>
      <w:pPr>
        <w:keepNext w:val="0"/>
        <w:keepLines w:val="0"/>
        <w:pageBreakBefore w:val="0"/>
        <w:kinsoku/>
        <w:wordWrap/>
        <w:overflowPunct/>
        <w:topLinePunct w:val="0"/>
        <w:autoSpaceDE/>
        <w:autoSpaceDN/>
        <w:bidi w:val="0"/>
        <w:adjustRightInd/>
        <w:snapToGrid/>
        <w:spacing w:line="480" w:lineRule="exact"/>
        <w:rPr>
          <w:rFonts w:ascii="宋体" w:hAnsi="宋体" w:cs="宋体"/>
          <w:color w:val="auto"/>
          <w:sz w:val="28"/>
          <w:szCs w:val="28"/>
          <w:highlight w:val="none"/>
        </w:rPr>
      </w:pPr>
    </w:p>
    <w:p>
      <w:pPr>
        <w:keepNext w:val="0"/>
        <w:keepLines w:val="0"/>
        <w:pageBreakBefore w:val="0"/>
        <w:kinsoku/>
        <w:wordWrap/>
        <w:overflowPunct/>
        <w:topLinePunct w:val="0"/>
        <w:autoSpaceDE/>
        <w:autoSpaceDN/>
        <w:bidi w:val="0"/>
        <w:adjustRightInd/>
        <w:snapToGrid/>
        <w:spacing w:line="48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为深入构建</w:t>
      </w:r>
      <w:r>
        <w:rPr>
          <w:rFonts w:hint="eastAsia" w:ascii="仿宋_GB2312" w:hAnsi="仿宋_GB2312" w:eastAsia="仿宋_GB2312" w:cs="仿宋_GB2312"/>
          <w:color w:val="auto"/>
          <w:sz w:val="28"/>
          <w:szCs w:val="28"/>
          <w:highlight w:val="none"/>
          <w:lang w:eastAsia="zh-CN"/>
        </w:rPr>
        <w:t>亲清政商关系</w:t>
      </w:r>
      <w:r>
        <w:rPr>
          <w:rFonts w:hint="eastAsia" w:ascii="仿宋_GB2312" w:hAnsi="仿宋_GB2312" w:eastAsia="仿宋_GB2312" w:cs="仿宋_GB2312"/>
          <w:color w:val="auto"/>
          <w:sz w:val="28"/>
          <w:szCs w:val="28"/>
          <w:highlight w:val="none"/>
        </w:rPr>
        <w:t>，努力打造尊商、亲商、助商、安商良好营商环境，龙岗</w:t>
      </w:r>
      <w:r>
        <w:rPr>
          <w:rFonts w:hint="eastAsia" w:ascii="仿宋_GB2312" w:hAnsi="仿宋_GB2312" w:eastAsia="仿宋_GB2312" w:cs="仿宋_GB2312"/>
          <w:color w:val="auto"/>
          <w:sz w:val="28"/>
          <w:szCs w:val="28"/>
          <w:highlight w:val="none"/>
          <w:lang w:eastAsia="zh-CN"/>
        </w:rPr>
        <w:t>区委、区政府</w:t>
      </w:r>
      <w:r>
        <w:rPr>
          <w:rFonts w:hint="eastAsia" w:ascii="仿宋_GB2312" w:hAnsi="仿宋_GB2312" w:eastAsia="仿宋_GB2312" w:cs="仿宋_GB2312"/>
          <w:color w:val="auto"/>
          <w:sz w:val="28"/>
          <w:szCs w:val="28"/>
          <w:highlight w:val="none"/>
        </w:rPr>
        <w:t>制定了《龙岗区公职人员政商交往“十个不准”》，严明公职人员在政商交往中的纪律要求。请参与龙岗建设的广大企业及其从业人员，严格监督我区公职人员落实“十个不准”，并在与我区公职人员交往中切实做到“十个不得”。</w:t>
      </w:r>
    </w:p>
    <w:p>
      <w:pPr>
        <w:keepNext w:val="0"/>
        <w:keepLines w:val="0"/>
        <w:pageBreakBefore w:val="0"/>
        <w:kinsoku/>
        <w:wordWrap/>
        <w:overflowPunct/>
        <w:topLinePunct w:val="0"/>
        <w:autoSpaceDE/>
        <w:autoSpaceDN/>
        <w:bidi w:val="0"/>
        <w:adjustRightInd/>
        <w:snapToGrid/>
        <w:spacing w:line="48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一、不得向公职人员赠送礼品、礼金、消费卡等财物。</w:t>
      </w:r>
    </w:p>
    <w:p>
      <w:pPr>
        <w:keepNext w:val="0"/>
        <w:keepLines w:val="0"/>
        <w:pageBreakBefore w:val="0"/>
        <w:kinsoku/>
        <w:wordWrap/>
        <w:overflowPunct/>
        <w:topLinePunct w:val="0"/>
        <w:autoSpaceDE/>
        <w:autoSpaceDN/>
        <w:bidi w:val="0"/>
        <w:adjustRightInd/>
        <w:snapToGrid/>
        <w:spacing w:line="48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二、不得违规向公职人员提供宴请、旅游、娱乐等安排。</w:t>
      </w:r>
    </w:p>
    <w:p>
      <w:pPr>
        <w:keepNext w:val="0"/>
        <w:keepLines w:val="0"/>
        <w:pageBreakBefore w:val="0"/>
        <w:kinsoku/>
        <w:wordWrap/>
        <w:overflowPunct/>
        <w:topLinePunct w:val="0"/>
        <w:autoSpaceDE/>
        <w:autoSpaceDN/>
        <w:bidi w:val="0"/>
        <w:adjustRightInd/>
        <w:snapToGrid/>
        <w:spacing w:line="48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三、不得通过打麻将等形式向公职人员输送利益。</w:t>
      </w:r>
    </w:p>
    <w:p>
      <w:pPr>
        <w:keepNext w:val="0"/>
        <w:keepLines w:val="0"/>
        <w:pageBreakBefore w:val="0"/>
        <w:kinsoku/>
        <w:wordWrap/>
        <w:overflowPunct/>
        <w:topLinePunct w:val="0"/>
        <w:autoSpaceDE/>
        <w:autoSpaceDN/>
        <w:bidi w:val="0"/>
        <w:adjustRightInd/>
        <w:snapToGrid/>
        <w:spacing w:line="48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四、不得为公职人员报销应由其个人支付的费用。</w:t>
      </w:r>
    </w:p>
    <w:p>
      <w:pPr>
        <w:keepNext w:val="0"/>
        <w:keepLines w:val="0"/>
        <w:pageBreakBefore w:val="0"/>
        <w:kinsoku/>
        <w:wordWrap/>
        <w:overflowPunct/>
        <w:topLinePunct w:val="0"/>
        <w:autoSpaceDE/>
        <w:autoSpaceDN/>
        <w:bidi w:val="0"/>
        <w:adjustRightInd/>
        <w:snapToGrid/>
        <w:spacing w:line="48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五、不得违规向公职人员及其亲友借贷款。</w:t>
      </w:r>
    </w:p>
    <w:p>
      <w:pPr>
        <w:keepNext w:val="0"/>
        <w:keepLines w:val="0"/>
        <w:pageBreakBefore w:val="0"/>
        <w:kinsoku/>
        <w:wordWrap/>
        <w:overflowPunct/>
        <w:topLinePunct w:val="0"/>
        <w:autoSpaceDE/>
        <w:autoSpaceDN/>
        <w:bidi w:val="0"/>
        <w:adjustRightInd/>
        <w:snapToGrid/>
        <w:spacing w:line="48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六、不得违规将车辆、住房等借给公职人员使用。</w:t>
      </w:r>
    </w:p>
    <w:p>
      <w:pPr>
        <w:keepNext w:val="0"/>
        <w:keepLines w:val="0"/>
        <w:pageBreakBefore w:val="0"/>
        <w:kinsoku/>
        <w:wordWrap/>
        <w:overflowPunct/>
        <w:topLinePunct w:val="0"/>
        <w:autoSpaceDE/>
        <w:autoSpaceDN/>
        <w:bidi w:val="0"/>
        <w:adjustRightInd/>
        <w:snapToGrid/>
        <w:spacing w:line="48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七、不得在招投标中与公职人员搞暗箱操作、围标串标。</w:t>
      </w:r>
    </w:p>
    <w:p>
      <w:pPr>
        <w:keepNext w:val="0"/>
        <w:keepLines w:val="0"/>
        <w:pageBreakBefore w:val="0"/>
        <w:kinsoku/>
        <w:wordWrap/>
        <w:overflowPunct/>
        <w:topLinePunct w:val="0"/>
        <w:autoSpaceDE/>
        <w:autoSpaceDN/>
        <w:bidi w:val="0"/>
        <w:adjustRightInd/>
        <w:snapToGrid/>
        <w:spacing w:line="48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八、不得为利益相关人和公职人员牵线搭桥或者代为传递信息、传递财物。</w:t>
      </w:r>
    </w:p>
    <w:p>
      <w:pPr>
        <w:keepNext w:val="0"/>
        <w:keepLines w:val="0"/>
        <w:pageBreakBefore w:val="0"/>
        <w:kinsoku/>
        <w:wordWrap/>
        <w:overflowPunct/>
        <w:topLinePunct w:val="0"/>
        <w:autoSpaceDE/>
        <w:autoSpaceDN/>
        <w:bidi w:val="0"/>
        <w:adjustRightInd/>
        <w:snapToGrid/>
        <w:spacing w:line="48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九、不得让公职人员在企业违规兼职取酬。</w:t>
      </w:r>
    </w:p>
    <w:p>
      <w:pPr>
        <w:keepNext w:val="0"/>
        <w:keepLines w:val="0"/>
        <w:pageBreakBefore w:val="0"/>
        <w:kinsoku/>
        <w:wordWrap/>
        <w:overflowPunct/>
        <w:topLinePunct w:val="0"/>
        <w:autoSpaceDE/>
        <w:autoSpaceDN/>
        <w:bidi w:val="0"/>
        <w:adjustRightInd/>
        <w:snapToGrid/>
        <w:spacing w:line="48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十、不得为公职人员亲友违规承揽业务提供便利。</w:t>
      </w:r>
    </w:p>
    <w:p>
      <w:pPr>
        <w:keepNext w:val="0"/>
        <w:keepLines w:val="0"/>
        <w:pageBreakBefore w:val="0"/>
        <w:kinsoku/>
        <w:wordWrap/>
        <w:overflowPunct/>
        <w:topLinePunct w:val="0"/>
        <w:autoSpaceDE/>
        <w:autoSpaceDN/>
        <w:bidi w:val="0"/>
        <w:adjustRightInd/>
        <w:snapToGrid/>
        <w:spacing w:line="48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上述“十个不得”，请您严格遵守。同时，在政商交往中，</w:t>
      </w:r>
      <w:r>
        <w:rPr>
          <w:rFonts w:hint="eastAsia" w:ascii="仿宋_GB2312" w:hAnsi="仿宋_GB2312" w:eastAsia="仿宋_GB2312" w:cs="仿宋_GB2312"/>
          <w:color w:val="auto"/>
          <w:sz w:val="28"/>
          <w:szCs w:val="28"/>
          <w:highlight w:val="none"/>
          <w:lang w:eastAsia="zh-CN"/>
        </w:rPr>
        <w:t>如</w:t>
      </w:r>
      <w:r>
        <w:rPr>
          <w:rFonts w:hint="eastAsia" w:ascii="仿宋_GB2312" w:hAnsi="仿宋_GB2312" w:eastAsia="仿宋_GB2312" w:cs="仿宋_GB2312"/>
          <w:color w:val="auto"/>
          <w:sz w:val="28"/>
          <w:szCs w:val="28"/>
          <w:highlight w:val="none"/>
        </w:rPr>
        <w:t>发现我区公职人员存在违反“十个不准”的问题，请及时通过网络举报平台或者12388举报电话等方式，向纪检监察机关反映举报，我们将一律严格保密、一律优先处置、一律严肃查处。</w:t>
      </w:r>
    </w:p>
    <w:p>
      <w:pPr>
        <w:keepNext w:val="0"/>
        <w:keepLines w:val="0"/>
        <w:pageBreakBefore w:val="0"/>
        <w:kinsoku/>
        <w:wordWrap/>
        <w:overflowPunct/>
        <w:topLinePunct w:val="0"/>
        <w:autoSpaceDE/>
        <w:autoSpaceDN/>
        <w:bidi w:val="0"/>
        <w:adjustRightInd/>
        <w:snapToGrid/>
        <w:spacing w:line="480" w:lineRule="exact"/>
        <w:ind w:firstLine="560" w:firstLineChars="20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本人已知晓上述告知内容，并愿意遵照执行</w:t>
      </w:r>
      <w:r>
        <w:rPr>
          <w:rFonts w:hint="eastAsia" w:ascii="仿宋_GB2312" w:hAnsi="仿宋_GB2312" w:eastAsia="仿宋_GB2312" w:cs="仿宋_GB2312"/>
          <w:color w:val="auto"/>
          <w:sz w:val="28"/>
          <w:szCs w:val="28"/>
          <w:highlight w:val="none"/>
          <w:lang w:eastAsia="zh-CN"/>
        </w:rPr>
        <w:t>。</w:t>
      </w:r>
    </w:p>
    <w:p>
      <w:pPr>
        <w:keepNext w:val="0"/>
        <w:keepLines w:val="0"/>
        <w:pageBreakBefore w:val="0"/>
        <w:kinsoku/>
        <w:wordWrap/>
        <w:overflowPunct/>
        <w:topLinePunct w:val="0"/>
        <w:autoSpaceDE/>
        <w:autoSpaceDN/>
        <w:bidi w:val="0"/>
        <w:adjustRightInd/>
        <w:snapToGrid/>
        <w:spacing w:line="480" w:lineRule="exact"/>
        <w:ind w:firstLine="5320" w:firstLineChars="19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28"/>
          <w:szCs w:val="28"/>
          <w:highlight w:val="none"/>
        </w:rPr>
        <w:t>（签名）</w:t>
      </w:r>
      <w:r>
        <w:rPr>
          <w:rFonts w:hint="eastAsia" w:ascii="仿宋_GB2312" w:hAnsi="仿宋_GB2312" w:eastAsia="仿宋_GB2312" w:cs="仿宋_GB2312"/>
          <w:color w:val="auto"/>
          <w:sz w:val="32"/>
          <w:szCs w:val="32"/>
          <w:highlight w:val="none"/>
        </w:rPr>
        <w:tab/>
      </w:r>
    </w:p>
    <w:p>
      <w:pPr>
        <w:pStyle w:val="10"/>
        <w:keepNext w:val="0"/>
        <w:keepLines w:val="0"/>
        <w:pageBreakBefore w:val="0"/>
        <w:kinsoku/>
        <w:wordWrap/>
        <w:overflowPunct/>
        <w:topLinePunct w:val="0"/>
        <w:autoSpaceDE/>
        <w:autoSpaceDN/>
        <w:bidi w:val="0"/>
        <w:adjustRightInd/>
        <w:snapToGrid/>
        <w:spacing w:line="480" w:lineRule="exact"/>
        <w:jc w:val="center"/>
        <w:rPr>
          <w:rFonts w:hint="default" w:ascii="仿宋_GB2312" w:hAnsi="仿宋_GB2312" w:eastAsia="仿宋_GB2312" w:cs="仿宋_GB2312"/>
          <w:color w:val="auto"/>
          <w:kern w:val="2"/>
          <w:sz w:val="28"/>
          <w:szCs w:val="28"/>
          <w:highlight w:val="none"/>
          <w:lang w:val="en-US" w:eastAsia="zh-CN" w:bidi="ar-SA"/>
        </w:rPr>
      </w:pPr>
      <w:r>
        <w:rPr>
          <w:rFonts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kern w:val="2"/>
          <w:sz w:val="28"/>
          <w:szCs w:val="28"/>
          <w:highlight w:val="none"/>
          <w:lang w:val="en-US" w:eastAsia="zh-CN" w:bidi="ar-SA"/>
        </w:rPr>
        <w:t xml:space="preserve">   单位名称（盖章）：</w:t>
      </w:r>
    </w:p>
    <w:p>
      <w:pPr>
        <w:pStyle w:val="10"/>
        <w:keepNext w:val="0"/>
        <w:keepLines w:val="0"/>
        <w:pageBreakBefore w:val="0"/>
        <w:kinsoku/>
        <w:wordWrap/>
        <w:overflowPunct/>
        <w:topLinePunct w:val="0"/>
        <w:autoSpaceDE/>
        <w:autoSpaceDN/>
        <w:bidi w:val="0"/>
        <w:adjustRightInd/>
        <w:snapToGrid/>
        <w:spacing w:line="480" w:lineRule="exact"/>
        <w:jc w:val="center"/>
        <w:rPr>
          <w:rFonts w:hint="eastAsia" w:ascii="宋体" w:cs="宋体"/>
          <w:b/>
          <w:color w:val="auto"/>
          <w:szCs w:val="21"/>
          <w:highlight w:val="none"/>
        </w:rPr>
      </w:pPr>
      <w:r>
        <w:rPr>
          <w:rFonts w:hint="eastAsia" w:ascii="仿宋_GB2312" w:hAnsi="仿宋_GB2312" w:eastAsia="仿宋_GB2312" w:cs="仿宋_GB2312"/>
          <w:color w:val="auto"/>
          <w:kern w:val="2"/>
          <w:sz w:val="28"/>
          <w:szCs w:val="28"/>
          <w:highlight w:val="none"/>
          <w:lang w:val="en-US" w:eastAsia="zh-CN" w:bidi="ar-SA"/>
        </w:rPr>
        <w:t xml:space="preserve">                     年  月  日</w:t>
      </w:r>
    </w:p>
    <w:sectPr>
      <w:pgSz w:w="11906" w:h="16838"/>
      <w:pgMar w:top="2098" w:right="1474" w:bottom="1984" w:left="1304" w:header="851" w:footer="1417" w:gutter="0"/>
      <w:cols w:space="0" w:num="1"/>
      <w:rtlGutter w:val="0"/>
      <w:docGrid w:type="lines" w:linePitch="33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8DD7AC0-EF1E-4918-A0A5-04B0809ED3B8}"/>
  </w:font>
  <w:font w:name="黑体">
    <w:panose1 w:val="02010609060101010101"/>
    <w:charset w:val="86"/>
    <w:family w:val="auto"/>
    <w:pitch w:val="default"/>
    <w:sig w:usb0="800002BF" w:usb1="38CF7CFA" w:usb2="00000016" w:usb3="00000000" w:csb0="00040001" w:csb1="00000000"/>
    <w:embedRegular r:id="rId2" w:fontKey="{2E1DC847-1DB9-47BC-A789-2AA1AAF1DA9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A894D896-9C22-48A0-B968-75402D9A2853}"/>
  </w:font>
  <w:font w:name="H Yb 2gj">
    <w:altName w:val="黑体"/>
    <w:panose1 w:val="00000000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embedRegular r:id="rId4" w:fontKey="{0788A525-461E-4C8F-B5DF-264532B57698}"/>
  </w:font>
  <w:font w:name="仿宋_GB2312">
    <w:panose1 w:val="02010609030101010101"/>
    <w:charset w:val="86"/>
    <w:family w:val="modern"/>
    <w:pitch w:val="default"/>
    <w:sig w:usb0="00000001" w:usb1="080E0000" w:usb2="00000000" w:usb3="00000000" w:csb0="00040000" w:csb1="00000000"/>
    <w:embedRegular r:id="rId5" w:fontKey="{3A1BF997-7319-4FA4-82B0-5F16E71C9514}"/>
  </w:font>
  <w:font w:name="方正小标宋简体">
    <w:panose1 w:val="03000509000000000000"/>
    <w:charset w:val="86"/>
    <w:family w:val="auto"/>
    <w:pitch w:val="default"/>
    <w:sig w:usb0="00000001" w:usb1="080E0000" w:usb2="00000000" w:usb3="00000000" w:csb0="00040000" w:csb1="00000000"/>
    <w:embedRegular r:id="rId6" w:fontKey="{3D945B18-284B-49E5-AE55-ED1B53C3CCFF}"/>
  </w:font>
  <w:font w:name="楷体_GB2312">
    <w:panose1 w:val="02010609030101010101"/>
    <w:charset w:val="86"/>
    <w:family w:val="auto"/>
    <w:pitch w:val="default"/>
    <w:sig w:usb0="00000001" w:usb1="080E0000" w:usb2="00000000" w:usb3="00000000" w:csb0="00040000" w:csb1="00000000"/>
    <w:embedRegular r:id="rId7" w:fontKey="{1C059B99-7886-458B-AAC5-30F8228165BC}"/>
  </w:font>
  <w:font w:name="仿宋">
    <w:panose1 w:val="02010609060101010101"/>
    <w:charset w:val="86"/>
    <w:family w:val="auto"/>
    <w:pitch w:val="default"/>
    <w:sig w:usb0="800002BF" w:usb1="38CF7CFA" w:usb2="00000016" w:usb3="00000000" w:csb0="00040001" w:csb1="00000000"/>
    <w:embedRegular r:id="rId8" w:fontKey="{75A21162-183B-4DD4-BF4C-91E60E99D40E}"/>
  </w:font>
  <w:font w:name="ˎ̥">
    <w:altName w:val="Times New Roman"/>
    <w:panose1 w:val="00000000000000000000"/>
    <w:charset w:val="00"/>
    <w:family w:val="auto"/>
    <w:pitch w:val="default"/>
    <w:sig w:usb0="00000000" w:usb1="00000000" w:usb2="00000000" w:usb3="00000000" w:csb0="00040001" w:csb1="00000000"/>
    <w:embedRegular r:id="rId9" w:fontKey="{0AD20401-9423-4DFF-9FFF-E690D8342E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13"/>
                            <w:rPr>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- 48 -</w:t>
                          </w:r>
                          <w:r>
                            <w:rPr>
                              <w:rFonts w:hint="eastAsia" w:ascii="宋体" w:hAnsi="宋体" w:cs="宋体"/>
                              <w:sz w:val="28"/>
                              <w:szCs w:val="2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CpQ6mh0QEAAKUDAAAOAAAAAAAAAAEAIAAAACIB&#10;AABkcnMvZTJvRG9jLnhtbFBLBQYAAAAABgAGAFkBAABlBQAAAAA=&#10;">
              <v:fill on="f" focussize="0,0"/>
              <v:stroke on="f" weight="1.25pt"/>
              <v:imagedata o:title=""/>
              <o:lock v:ext="edit" aspectratio="f"/>
              <v:textbox inset="0mm,0mm,0mm,0mm" style="mso-fit-shape-to-text:t;">
                <w:txbxContent>
                  <w:p>
                    <w:pPr>
                      <w:pStyle w:val="13"/>
                      <w:rPr>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- 48 -</w:t>
                    </w:r>
                    <w:r>
                      <w:rPr>
                        <w:rFonts w:hint="eastAsia" w:ascii="宋体" w:hAnsi="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13"/>
                            <w:rPr>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47</w:t>
                          </w:r>
                          <w:r>
                            <w:rPr>
                              <w:rFonts w:hint="eastAsia" w:ascii="宋体" w:hAnsi="宋体" w:cs="宋体"/>
                              <w:sz w:val="28"/>
                              <w:szCs w:val="2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hpgkvTAAAABQEAAA8AAAAAAAAAAQAgAAAAIgAAAGRycy9k&#10;b3ducmV2LnhtbFBLAQIUABQAAAAIAIdO4kCAW/XPzgEAAKUDAAAOAAAAAAAAAAEAIAAAACIBAABk&#10;cnMvZTJvRG9jLnhtbFBLBQYAAAAABgAGAFkBAABiBQAAAAA=&#10;">
              <v:fill on="f" focussize="0,0"/>
              <v:stroke on="f" weight="1.25pt"/>
              <v:imagedata o:title=""/>
              <o:lock v:ext="edit" aspectratio="f"/>
              <v:textbox inset="0mm,0mm,0mm,0mm" style="mso-fit-shape-to-text:t;">
                <w:txbxContent>
                  <w:p>
                    <w:pPr>
                      <w:pStyle w:val="13"/>
                      <w:rPr>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47</w:t>
                    </w:r>
                    <w:r>
                      <w:rPr>
                        <w:rFonts w:hint="eastAsia" w:ascii="宋体" w:hAnsi="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13"/>
                            <w:rPr>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47</w:t>
                          </w:r>
                          <w:r>
                            <w:rPr>
                              <w:rFonts w:hint="eastAsia" w:ascii="宋体" w:hAnsi="宋体" w:cs="宋体"/>
                              <w:sz w:val="28"/>
                              <w:szCs w:val="2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&#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NJrTRPQAQAApQMAAA4AAAAAAAAAAQAgAAAAIgEA&#10;AGRycy9lMm9Eb2MueG1sUEsFBgAAAAAGAAYAWQEAAGQFAAAAAA==&#10;">
              <v:fill on="f" focussize="0,0"/>
              <v:stroke on="f" weight="1.25pt"/>
              <v:imagedata o:title=""/>
              <o:lock v:ext="edit" aspectratio="f"/>
              <v:textbox inset="0mm,0mm,0mm,0mm" style="mso-fit-shape-to-text:t;">
                <w:txbxContent>
                  <w:p>
                    <w:pPr>
                      <w:pStyle w:val="13"/>
                      <w:rPr>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47</w:t>
                    </w:r>
                    <w:r>
                      <w:rPr>
                        <w:rFonts w:hint="eastAsia" w:ascii="宋体" w:hAnsi="宋体" w:cs="宋体"/>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32</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HwXDx3FAQAAmwMAAA4AAAAAAAAAAQAgAAAAHgEAAGRycy9lMm9Eb2MueG1s&#10;UEsFBgAAAAAGAAYAWQEAAFU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32</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7B1880"/>
    <w:multiLevelType w:val="singleLevel"/>
    <w:tmpl w:val="827B1880"/>
    <w:lvl w:ilvl="0" w:tentative="0">
      <w:start w:val="2"/>
      <w:numFmt w:val="chineseCounting"/>
      <w:suff w:val="nothing"/>
      <w:lvlText w:val="%1、"/>
      <w:lvlJc w:val="left"/>
      <w:rPr>
        <w:rFonts w:hint="eastAsia"/>
      </w:rPr>
    </w:lvl>
  </w:abstractNum>
  <w:abstractNum w:abstractNumId="1">
    <w:nsid w:val="0C77917E"/>
    <w:multiLevelType w:val="singleLevel"/>
    <w:tmpl w:val="0C77917E"/>
    <w:lvl w:ilvl="0" w:tentative="0">
      <w:start w:val="4"/>
      <w:numFmt w:val="decimal"/>
      <w:lvlText w:val="%1."/>
      <w:lvlJc w:val="left"/>
      <w:pPr>
        <w:tabs>
          <w:tab w:val="left" w:pos="312"/>
        </w:tabs>
      </w:pPr>
    </w:lvl>
  </w:abstractNum>
  <w:abstractNum w:abstractNumId="2">
    <w:nsid w:val="22B7BE7E"/>
    <w:multiLevelType w:val="singleLevel"/>
    <w:tmpl w:val="22B7BE7E"/>
    <w:lvl w:ilvl="0" w:tentative="0">
      <w:start w:val="3"/>
      <w:numFmt w:val="chineseCounting"/>
      <w:suff w:val="nothing"/>
      <w:lvlText w:val="（%1）"/>
      <w:lvlJc w:val="left"/>
      <w:rPr>
        <w:rFonts w:hint="eastAsia"/>
      </w:rPr>
    </w:lvl>
  </w:abstractNum>
  <w:abstractNum w:abstractNumId="3">
    <w:nsid w:val="37C1C332"/>
    <w:multiLevelType w:val="singleLevel"/>
    <w:tmpl w:val="37C1C332"/>
    <w:lvl w:ilvl="0" w:tentative="0">
      <w:start w:val="2"/>
      <w:numFmt w:val="chineseCounting"/>
      <w:suff w:val="space"/>
      <w:lvlText w:val="第%1章"/>
      <w:lvlJc w:val="left"/>
      <w:rPr>
        <w:rFonts w:hint="eastAsia"/>
      </w:rPr>
    </w:lvl>
  </w:abstractNum>
  <w:abstractNum w:abstractNumId="4">
    <w:nsid w:val="5BEC3A51"/>
    <w:multiLevelType w:val="multilevel"/>
    <w:tmpl w:val="5BEC3A51"/>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6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QxMmRkYjg1MWYxOTgzYmE0YjcwNjU0NzA5NzU1Y2UifQ=="/>
  </w:docVars>
  <w:rsids>
    <w:rsidRoot w:val="00000000"/>
    <w:rsid w:val="000273CC"/>
    <w:rsid w:val="00043144"/>
    <w:rsid w:val="000D26B7"/>
    <w:rsid w:val="01021383"/>
    <w:rsid w:val="011137C5"/>
    <w:rsid w:val="013613FF"/>
    <w:rsid w:val="025F4662"/>
    <w:rsid w:val="03083097"/>
    <w:rsid w:val="03127217"/>
    <w:rsid w:val="035166A0"/>
    <w:rsid w:val="036D47D9"/>
    <w:rsid w:val="0433224A"/>
    <w:rsid w:val="049D275A"/>
    <w:rsid w:val="04F71BD7"/>
    <w:rsid w:val="05182245"/>
    <w:rsid w:val="05243941"/>
    <w:rsid w:val="05FE0636"/>
    <w:rsid w:val="060F45F1"/>
    <w:rsid w:val="067F0EA1"/>
    <w:rsid w:val="08375DC9"/>
    <w:rsid w:val="086E0768"/>
    <w:rsid w:val="08EB30F3"/>
    <w:rsid w:val="0A3E1E30"/>
    <w:rsid w:val="0A4A3E4A"/>
    <w:rsid w:val="0AE70551"/>
    <w:rsid w:val="0B837613"/>
    <w:rsid w:val="0C3C77C2"/>
    <w:rsid w:val="0C631449"/>
    <w:rsid w:val="0D1F336B"/>
    <w:rsid w:val="0DCB34F3"/>
    <w:rsid w:val="0E0A5DCA"/>
    <w:rsid w:val="0E880A30"/>
    <w:rsid w:val="0EA24254"/>
    <w:rsid w:val="0ED463D8"/>
    <w:rsid w:val="0F1F3AF7"/>
    <w:rsid w:val="0F4E7F38"/>
    <w:rsid w:val="0F5A67F4"/>
    <w:rsid w:val="0FEE1638"/>
    <w:rsid w:val="10702130"/>
    <w:rsid w:val="10D601E5"/>
    <w:rsid w:val="11072A94"/>
    <w:rsid w:val="111073FE"/>
    <w:rsid w:val="114710E3"/>
    <w:rsid w:val="11C7149D"/>
    <w:rsid w:val="11F443AB"/>
    <w:rsid w:val="128D65FD"/>
    <w:rsid w:val="129C348E"/>
    <w:rsid w:val="130A686C"/>
    <w:rsid w:val="13710699"/>
    <w:rsid w:val="137E6912"/>
    <w:rsid w:val="13CE7899"/>
    <w:rsid w:val="154871D8"/>
    <w:rsid w:val="15F35EDD"/>
    <w:rsid w:val="169F1079"/>
    <w:rsid w:val="16E55626"/>
    <w:rsid w:val="17656B71"/>
    <w:rsid w:val="17BF1CFD"/>
    <w:rsid w:val="18B057C0"/>
    <w:rsid w:val="192341E3"/>
    <w:rsid w:val="19257F5C"/>
    <w:rsid w:val="19891DC1"/>
    <w:rsid w:val="19EF5AF8"/>
    <w:rsid w:val="19F3005A"/>
    <w:rsid w:val="1A6B4094"/>
    <w:rsid w:val="1AA611B2"/>
    <w:rsid w:val="1AEC0313"/>
    <w:rsid w:val="1AF95B35"/>
    <w:rsid w:val="1B157ABC"/>
    <w:rsid w:val="1B1A1616"/>
    <w:rsid w:val="1B59309C"/>
    <w:rsid w:val="1BAA3FC2"/>
    <w:rsid w:val="1C000F80"/>
    <w:rsid w:val="1D3F5364"/>
    <w:rsid w:val="1D850AA2"/>
    <w:rsid w:val="1E197963"/>
    <w:rsid w:val="1E390005"/>
    <w:rsid w:val="1E3B56D4"/>
    <w:rsid w:val="1E693EC0"/>
    <w:rsid w:val="1F3303C2"/>
    <w:rsid w:val="1F372797"/>
    <w:rsid w:val="1F850FAE"/>
    <w:rsid w:val="1FE87F35"/>
    <w:rsid w:val="1FEE1B49"/>
    <w:rsid w:val="20E56222"/>
    <w:rsid w:val="217557F8"/>
    <w:rsid w:val="21E84823"/>
    <w:rsid w:val="22CC25C7"/>
    <w:rsid w:val="230778FE"/>
    <w:rsid w:val="230806C2"/>
    <w:rsid w:val="23E66539"/>
    <w:rsid w:val="241C63FF"/>
    <w:rsid w:val="250524F8"/>
    <w:rsid w:val="257D2ECD"/>
    <w:rsid w:val="25822292"/>
    <w:rsid w:val="258F3E5B"/>
    <w:rsid w:val="269C578A"/>
    <w:rsid w:val="26B47F5C"/>
    <w:rsid w:val="26D62895"/>
    <w:rsid w:val="27750300"/>
    <w:rsid w:val="27952750"/>
    <w:rsid w:val="27F51441"/>
    <w:rsid w:val="28216F3C"/>
    <w:rsid w:val="28610884"/>
    <w:rsid w:val="287C746C"/>
    <w:rsid w:val="28A6273B"/>
    <w:rsid w:val="28CB21A2"/>
    <w:rsid w:val="2984039C"/>
    <w:rsid w:val="29F85218"/>
    <w:rsid w:val="2A614B6C"/>
    <w:rsid w:val="2AAA6513"/>
    <w:rsid w:val="2AF53506"/>
    <w:rsid w:val="2B593A95"/>
    <w:rsid w:val="2B5B780D"/>
    <w:rsid w:val="2B88437A"/>
    <w:rsid w:val="2B9B40AD"/>
    <w:rsid w:val="2BDE3F9A"/>
    <w:rsid w:val="2C3D6F12"/>
    <w:rsid w:val="2C8E4B7C"/>
    <w:rsid w:val="2CF92803"/>
    <w:rsid w:val="2CFE2B46"/>
    <w:rsid w:val="2D4C45A1"/>
    <w:rsid w:val="2DD5778F"/>
    <w:rsid w:val="2E291833"/>
    <w:rsid w:val="2E6D1C25"/>
    <w:rsid w:val="2E6E5AA9"/>
    <w:rsid w:val="2E7D3F3E"/>
    <w:rsid w:val="2E943223"/>
    <w:rsid w:val="2EB536D8"/>
    <w:rsid w:val="2F3E12DE"/>
    <w:rsid w:val="2F522419"/>
    <w:rsid w:val="2F8337D6"/>
    <w:rsid w:val="2F927575"/>
    <w:rsid w:val="2FFB336C"/>
    <w:rsid w:val="302F5A11"/>
    <w:rsid w:val="30663F74"/>
    <w:rsid w:val="30CC6B49"/>
    <w:rsid w:val="30F027A5"/>
    <w:rsid w:val="31132938"/>
    <w:rsid w:val="31EE221F"/>
    <w:rsid w:val="324E1E79"/>
    <w:rsid w:val="328A2F94"/>
    <w:rsid w:val="32A11A16"/>
    <w:rsid w:val="32DC7485"/>
    <w:rsid w:val="33613E2E"/>
    <w:rsid w:val="342310E4"/>
    <w:rsid w:val="350E769E"/>
    <w:rsid w:val="35205C57"/>
    <w:rsid w:val="353043A7"/>
    <w:rsid w:val="359F2181"/>
    <w:rsid w:val="35D5415D"/>
    <w:rsid w:val="369D517D"/>
    <w:rsid w:val="3726778C"/>
    <w:rsid w:val="37405B09"/>
    <w:rsid w:val="374E2513"/>
    <w:rsid w:val="3A502507"/>
    <w:rsid w:val="3B0B7C37"/>
    <w:rsid w:val="3B253993"/>
    <w:rsid w:val="3BBA2C38"/>
    <w:rsid w:val="3C074E47"/>
    <w:rsid w:val="3C1A001F"/>
    <w:rsid w:val="3C2B43F0"/>
    <w:rsid w:val="3CA64AA0"/>
    <w:rsid w:val="3D000214"/>
    <w:rsid w:val="3D106B23"/>
    <w:rsid w:val="3D5F5CEB"/>
    <w:rsid w:val="3EC07C8A"/>
    <w:rsid w:val="3F4C7741"/>
    <w:rsid w:val="41054FBE"/>
    <w:rsid w:val="4157061F"/>
    <w:rsid w:val="415B2A37"/>
    <w:rsid w:val="4173542A"/>
    <w:rsid w:val="42176969"/>
    <w:rsid w:val="42FD131E"/>
    <w:rsid w:val="43790D20"/>
    <w:rsid w:val="438D20D6"/>
    <w:rsid w:val="43BD0C0D"/>
    <w:rsid w:val="43D16DFB"/>
    <w:rsid w:val="441133CA"/>
    <w:rsid w:val="44150A49"/>
    <w:rsid w:val="44634DEC"/>
    <w:rsid w:val="44A92F3F"/>
    <w:rsid w:val="44AB4F09"/>
    <w:rsid w:val="4510737E"/>
    <w:rsid w:val="45967F9C"/>
    <w:rsid w:val="45EE77A4"/>
    <w:rsid w:val="461B1C1B"/>
    <w:rsid w:val="467F03FC"/>
    <w:rsid w:val="46C200B8"/>
    <w:rsid w:val="478832E0"/>
    <w:rsid w:val="47F37767"/>
    <w:rsid w:val="4971555C"/>
    <w:rsid w:val="49925A7D"/>
    <w:rsid w:val="4A0A0C77"/>
    <w:rsid w:val="4A233794"/>
    <w:rsid w:val="4A2A5330"/>
    <w:rsid w:val="4A431964"/>
    <w:rsid w:val="4A6F4C2B"/>
    <w:rsid w:val="4A800BE6"/>
    <w:rsid w:val="4A951D4C"/>
    <w:rsid w:val="4B2B4033"/>
    <w:rsid w:val="4B7778F3"/>
    <w:rsid w:val="4BB60892"/>
    <w:rsid w:val="4C062E76"/>
    <w:rsid w:val="4CA54934"/>
    <w:rsid w:val="4CA74208"/>
    <w:rsid w:val="4CD00139"/>
    <w:rsid w:val="4CE90CC5"/>
    <w:rsid w:val="4D221AE1"/>
    <w:rsid w:val="4D246133"/>
    <w:rsid w:val="4DC1731C"/>
    <w:rsid w:val="4EB96475"/>
    <w:rsid w:val="4EC2357B"/>
    <w:rsid w:val="4EFB6DE2"/>
    <w:rsid w:val="4F950C90"/>
    <w:rsid w:val="4FBF5D0D"/>
    <w:rsid w:val="50060682"/>
    <w:rsid w:val="50AA47D9"/>
    <w:rsid w:val="50C7131D"/>
    <w:rsid w:val="50D15CF8"/>
    <w:rsid w:val="51857D38"/>
    <w:rsid w:val="51B82A14"/>
    <w:rsid w:val="52173BDE"/>
    <w:rsid w:val="52BA7FE0"/>
    <w:rsid w:val="52C045C2"/>
    <w:rsid w:val="53C102A5"/>
    <w:rsid w:val="53EE45A5"/>
    <w:rsid w:val="54640C31"/>
    <w:rsid w:val="548D7284"/>
    <w:rsid w:val="54911254"/>
    <w:rsid w:val="5495703C"/>
    <w:rsid w:val="550C7ACC"/>
    <w:rsid w:val="571050A0"/>
    <w:rsid w:val="58466FCB"/>
    <w:rsid w:val="58A528D5"/>
    <w:rsid w:val="596A0A97"/>
    <w:rsid w:val="598002BB"/>
    <w:rsid w:val="59CC1752"/>
    <w:rsid w:val="59CF1242"/>
    <w:rsid w:val="59EC0C94"/>
    <w:rsid w:val="59F26F59"/>
    <w:rsid w:val="5B0B2544"/>
    <w:rsid w:val="5B7253B2"/>
    <w:rsid w:val="5B751975"/>
    <w:rsid w:val="5BC806C1"/>
    <w:rsid w:val="5BEB1E5A"/>
    <w:rsid w:val="5BEB56DE"/>
    <w:rsid w:val="5C435F5A"/>
    <w:rsid w:val="5C7165E1"/>
    <w:rsid w:val="5D1B4B7A"/>
    <w:rsid w:val="5D514C25"/>
    <w:rsid w:val="5DA86747"/>
    <w:rsid w:val="5E1A6CE7"/>
    <w:rsid w:val="5F132D8C"/>
    <w:rsid w:val="5F182D44"/>
    <w:rsid w:val="5F2D4A41"/>
    <w:rsid w:val="5F7A57AC"/>
    <w:rsid w:val="60407D8C"/>
    <w:rsid w:val="60E56871"/>
    <w:rsid w:val="61296C23"/>
    <w:rsid w:val="6175447D"/>
    <w:rsid w:val="62E80C7F"/>
    <w:rsid w:val="63280D60"/>
    <w:rsid w:val="6387310C"/>
    <w:rsid w:val="63C811DC"/>
    <w:rsid w:val="63E7103C"/>
    <w:rsid w:val="63F01D9B"/>
    <w:rsid w:val="645A5BAC"/>
    <w:rsid w:val="64914D1F"/>
    <w:rsid w:val="64FD4FB2"/>
    <w:rsid w:val="65017861"/>
    <w:rsid w:val="650E70C3"/>
    <w:rsid w:val="6562740E"/>
    <w:rsid w:val="660B7819"/>
    <w:rsid w:val="66171FA7"/>
    <w:rsid w:val="661F2C0A"/>
    <w:rsid w:val="667B0788"/>
    <w:rsid w:val="66C13CC1"/>
    <w:rsid w:val="67877971"/>
    <w:rsid w:val="67913794"/>
    <w:rsid w:val="679E072B"/>
    <w:rsid w:val="67C40EBB"/>
    <w:rsid w:val="67CD5355"/>
    <w:rsid w:val="68541290"/>
    <w:rsid w:val="686D2352"/>
    <w:rsid w:val="68B74A09"/>
    <w:rsid w:val="68EA39A3"/>
    <w:rsid w:val="68F309CB"/>
    <w:rsid w:val="695E0300"/>
    <w:rsid w:val="698E432E"/>
    <w:rsid w:val="699F1794"/>
    <w:rsid w:val="6A59526A"/>
    <w:rsid w:val="6AE52674"/>
    <w:rsid w:val="6BA42C8E"/>
    <w:rsid w:val="6C940230"/>
    <w:rsid w:val="6C9A0567"/>
    <w:rsid w:val="6D165BE9"/>
    <w:rsid w:val="6D8A7502"/>
    <w:rsid w:val="6E1E2833"/>
    <w:rsid w:val="6E341EFF"/>
    <w:rsid w:val="6E3D27C7"/>
    <w:rsid w:val="6E865F1C"/>
    <w:rsid w:val="6EA91C0A"/>
    <w:rsid w:val="6F524050"/>
    <w:rsid w:val="6F5A2F04"/>
    <w:rsid w:val="6F8D5088"/>
    <w:rsid w:val="6FCA62DC"/>
    <w:rsid w:val="70DF2FD7"/>
    <w:rsid w:val="71522AC9"/>
    <w:rsid w:val="71FC02A3"/>
    <w:rsid w:val="72943F28"/>
    <w:rsid w:val="729F135A"/>
    <w:rsid w:val="730D7B4F"/>
    <w:rsid w:val="73D2575F"/>
    <w:rsid w:val="73FD4B26"/>
    <w:rsid w:val="759552F3"/>
    <w:rsid w:val="75F145C2"/>
    <w:rsid w:val="760065B4"/>
    <w:rsid w:val="771263E5"/>
    <w:rsid w:val="771852A8"/>
    <w:rsid w:val="773651D5"/>
    <w:rsid w:val="776112D4"/>
    <w:rsid w:val="778D031B"/>
    <w:rsid w:val="77972419"/>
    <w:rsid w:val="77E912C9"/>
    <w:rsid w:val="786C6182"/>
    <w:rsid w:val="78E350FE"/>
    <w:rsid w:val="792702FB"/>
    <w:rsid w:val="79C505D8"/>
    <w:rsid w:val="7A3A41A1"/>
    <w:rsid w:val="7AEA338E"/>
    <w:rsid w:val="7B4118B2"/>
    <w:rsid w:val="7B5B603A"/>
    <w:rsid w:val="7BDF4EBD"/>
    <w:rsid w:val="7C9C1996"/>
    <w:rsid w:val="7CF077D4"/>
    <w:rsid w:val="7D200C7E"/>
    <w:rsid w:val="7D733B0F"/>
    <w:rsid w:val="7DA168CE"/>
    <w:rsid w:val="7DC13ACC"/>
    <w:rsid w:val="7DDA0140"/>
    <w:rsid w:val="7E576F8D"/>
    <w:rsid w:val="7EB50157"/>
    <w:rsid w:val="7F5C0EA0"/>
    <w:rsid w:val="7FB81CAD"/>
    <w:rsid w:val="7FF86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黑体"/>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semiHidden/>
    <w:unhideWhenUsed/>
    <w:qFormat/>
    <w:uiPriority w:val="0"/>
    <w:pPr>
      <w:outlineLvl w:val="1"/>
    </w:pPr>
    <w:rPr>
      <w:sz w:val="36"/>
      <w:szCs w:val="36"/>
    </w:rPr>
  </w:style>
  <w:style w:type="paragraph" w:styleId="4">
    <w:name w:val="heading 3"/>
    <w:basedOn w:val="1"/>
    <w:next w:val="1"/>
    <w:autoRedefine/>
    <w:qFormat/>
    <w:uiPriority w:val="0"/>
    <w:pPr>
      <w:spacing w:before="260" w:after="260"/>
      <w:outlineLvl w:val="2"/>
    </w:pPr>
    <w:rPr>
      <w:rFonts w:ascii="宋体"/>
      <w:szCs w:val="32"/>
    </w:rPr>
  </w:style>
  <w:style w:type="character" w:default="1" w:styleId="21">
    <w:name w:val="Default Paragraph Font"/>
    <w:autoRedefine/>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5">
    <w:name w:val="index 8"/>
    <w:basedOn w:val="1"/>
    <w:next w:val="1"/>
    <w:autoRedefine/>
    <w:qFormat/>
    <w:uiPriority w:val="0"/>
    <w:pPr>
      <w:ind w:left="2940"/>
    </w:pPr>
  </w:style>
  <w:style w:type="paragraph" w:styleId="6">
    <w:name w:val="Normal Indent"/>
    <w:basedOn w:val="1"/>
    <w:autoRedefine/>
    <w:qFormat/>
    <w:uiPriority w:val="0"/>
    <w:pPr>
      <w:ind w:firstLine="420"/>
    </w:pPr>
    <w:rPr>
      <w:szCs w:val="20"/>
    </w:rPr>
  </w:style>
  <w:style w:type="paragraph" w:styleId="7">
    <w:name w:val="annotation text"/>
    <w:basedOn w:val="1"/>
    <w:autoRedefine/>
    <w:qFormat/>
    <w:uiPriority w:val="99"/>
    <w:pPr>
      <w:jc w:val="left"/>
    </w:pPr>
  </w:style>
  <w:style w:type="paragraph" w:styleId="8">
    <w:name w:val="Body Text"/>
    <w:basedOn w:val="1"/>
    <w:autoRedefine/>
    <w:qFormat/>
    <w:uiPriority w:val="0"/>
    <w:pPr>
      <w:autoSpaceDE w:val="0"/>
      <w:autoSpaceDN w:val="0"/>
      <w:jc w:val="left"/>
    </w:pPr>
    <w:rPr>
      <w:rFonts w:ascii="宋体" w:hAnsi="宋体"/>
      <w:kern w:val="0"/>
      <w:sz w:val="32"/>
      <w:szCs w:val="32"/>
    </w:rPr>
  </w:style>
  <w:style w:type="paragraph" w:styleId="9">
    <w:name w:val="Body Text Indent"/>
    <w:basedOn w:val="1"/>
    <w:autoRedefine/>
    <w:qFormat/>
    <w:uiPriority w:val="0"/>
    <w:pPr>
      <w:spacing w:line="360" w:lineRule="auto"/>
      <w:ind w:firstLine="420" w:firstLineChars="200"/>
    </w:pPr>
    <w:rPr>
      <w:kern w:val="0"/>
      <w:sz w:val="20"/>
      <w:szCs w:val="24"/>
    </w:rPr>
  </w:style>
  <w:style w:type="paragraph" w:styleId="10">
    <w:name w:val="Plain Text"/>
    <w:basedOn w:val="1"/>
    <w:next w:val="11"/>
    <w:autoRedefine/>
    <w:qFormat/>
    <w:uiPriority w:val="0"/>
    <w:rPr>
      <w:rFonts w:hint="eastAsia" w:ascii="宋体" w:hAnsi="Courier New"/>
      <w:kern w:val="0"/>
      <w:sz w:val="20"/>
      <w:szCs w:val="21"/>
    </w:rPr>
  </w:style>
  <w:style w:type="paragraph" w:customStyle="1" w:styleId="11">
    <w:name w:val="Default"/>
    <w:autoRedefine/>
    <w:qFormat/>
    <w:uiPriority w:val="0"/>
    <w:pPr>
      <w:widowControl w:val="0"/>
      <w:autoSpaceDE w:val="0"/>
      <w:autoSpaceDN w:val="0"/>
      <w:adjustRightInd w:val="0"/>
    </w:pPr>
    <w:rPr>
      <w:rFonts w:ascii="H Yb 2gj" w:hAnsi="H Yb 2gj" w:eastAsia="H Yb 2gj" w:cs="H Yb 2gj"/>
      <w:color w:val="000000"/>
      <w:sz w:val="24"/>
      <w:szCs w:val="24"/>
      <w:lang w:val="en-US" w:eastAsia="zh-CN" w:bidi="ar-SA"/>
    </w:rPr>
  </w:style>
  <w:style w:type="paragraph" w:styleId="12">
    <w:name w:val="Balloon Text"/>
    <w:basedOn w:val="1"/>
    <w:autoRedefine/>
    <w:qFormat/>
    <w:uiPriority w:val="0"/>
    <w:rPr>
      <w:rFonts w:ascii="Calibri" w:hAnsi="Calibri"/>
      <w:sz w:val="18"/>
      <w:szCs w:val="18"/>
    </w:rPr>
  </w:style>
  <w:style w:type="paragraph" w:styleId="13">
    <w:name w:val="footer"/>
    <w:basedOn w:val="1"/>
    <w:autoRedefine/>
    <w:qFormat/>
    <w:uiPriority w:val="0"/>
    <w:pPr>
      <w:tabs>
        <w:tab w:val="center" w:pos="4153"/>
        <w:tab w:val="right" w:pos="8306"/>
      </w:tabs>
      <w:snapToGrid w:val="0"/>
      <w:jc w:val="left"/>
    </w:pPr>
    <w:rPr>
      <w:sz w:val="18"/>
      <w:szCs w:val="18"/>
    </w:rPr>
  </w:style>
  <w:style w:type="paragraph" w:styleId="14">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unhideWhenUsed/>
    <w:qFormat/>
    <w:uiPriority w:val="39"/>
  </w:style>
  <w:style w:type="paragraph" w:styleId="16">
    <w:name w:val="Body Text 2"/>
    <w:basedOn w:val="1"/>
    <w:autoRedefine/>
    <w:qFormat/>
    <w:uiPriority w:val="0"/>
    <w:pPr>
      <w:spacing w:line="360" w:lineRule="auto"/>
    </w:pPr>
    <w:rPr>
      <w:sz w:val="24"/>
    </w:rPr>
  </w:style>
  <w:style w:type="paragraph" w:styleId="17">
    <w:name w:val="Normal (Web)"/>
    <w:basedOn w:val="1"/>
    <w:autoRedefine/>
    <w:qFormat/>
    <w:uiPriority w:val="0"/>
    <w:pPr>
      <w:spacing w:beforeAutospacing="1" w:afterAutospacing="1"/>
      <w:jc w:val="left"/>
    </w:pPr>
    <w:rPr>
      <w:kern w:val="0"/>
      <w:sz w:val="24"/>
    </w:rPr>
  </w:style>
  <w:style w:type="paragraph" w:styleId="18">
    <w:name w:val="Body Text First Indent 2"/>
    <w:basedOn w:val="9"/>
    <w:autoRedefine/>
    <w:qFormat/>
    <w:uiPriority w:val="0"/>
    <w:pPr>
      <w:spacing w:after="120" w:line="240" w:lineRule="auto"/>
      <w:ind w:left="420" w:leftChars="200"/>
    </w:pPr>
    <w:rPr>
      <w:rFonts w:ascii="Calibri" w:hAnsi="Calibri"/>
      <w:kern w:val="2"/>
      <w:sz w:val="21"/>
    </w:r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autoRedefine/>
    <w:qFormat/>
    <w:uiPriority w:val="0"/>
    <w:rPr>
      <w:b/>
    </w:rPr>
  </w:style>
  <w:style w:type="character" w:styleId="23">
    <w:name w:val="page number"/>
    <w:autoRedefine/>
    <w:qFormat/>
    <w:uiPriority w:val="0"/>
  </w:style>
  <w:style w:type="paragraph" w:styleId="24">
    <w:name w:val="No Spacing"/>
    <w:basedOn w:val="1"/>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5">
    <w:name w:val="p0"/>
    <w:basedOn w:val="1"/>
    <w:autoRedefine/>
    <w:qFormat/>
    <w:uiPriority w:val="0"/>
    <w:pPr>
      <w:widowControl/>
    </w:pPr>
    <w:rPr>
      <w:kern w:val="0"/>
      <w:szCs w:val="21"/>
    </w:rPr>
  </w:style>
  <w:style w:type="paragraph" w:customStyle="1" w:styleId="26">
    <w:name w:val="表格文字"/>
    <w:basedOn w:val="1"/>
    <w:autoRedefine/>
    <w:qFormat/>
    <w:uiPriority w:val="0"/>
    <w:pPr>
      <w:spacing w:before="25" w:after="25"/>
    </w:pPr>
    <w:rPr>
      <w:spacing w:val="10"/>
      <w:sz w:val="24"/>
    </w:rPr>
  </w:style>
  <w:style w:type="paragraph" w:customStyle="1" w:styleId="27">
    <w:name w:val="列出段落111"/>
    <w:basedOn w:val="1"/>
    <w:autoRedefine/>
    <w:qFormat/>
    <w:uiPriority w:val="0"/>
    <w:pPr>
      <w:ind w:firstLine="420" w:firstLineChars="200"/>
    </w:pPr>
  </w:style>
  <w:style w:type="paragraph" w:customStyle="1" w:styleId="28">
    <w:name w:val="保留正文"/>
    <w:basedOn w:val="8"/>
    <w:autoRedefine/>
    <w:qFormat/>
    <w:uiPriority w:val="0"/>
    <w:pPr>
      <w:keepNext/>
      <w:tabs>
        <w:tab w:val="left" w:pos="562"/>
        <w:tab w:val="left" w:pos="3372"/>
        <w:tab w:val="left" w:pos="3653"/>
      </w:tabs>
      <w:spacing w:after="160"/>
    </w:pPr>
    <w:rPr>
      <w:sz w:val="21"/>
    </w:rPr>
  </w:style>
  <w:style w:type="character" w:customStyle="1" w:styleId="29">
    <w:name w:val="font31"/>
    <w:basedOn w:val="21"/>
    <w:autoRedefine/>
    <w:qFormat/>
    <w:uiPriority w:val="0"/>
    <w:rPr>
      <w:rFonts w:hint="eastAsia" w:ascii="宋体" w:hAnsi="宋体" w:eastAsia="宋体" w:cs="宋体"/>
      <w:color w:val="000000"/>
      <w:sz w:val="24"/>
      <w:szCs w:val="24"/>
      <w:u w:val="none"/>
    </w:rPr>
  </w:style>
  <w:style w:type="paragraph" w:customStyle="1" w:styleId="30">
    <w:name w:val="列出段落1"/>
    <w:basedOn w:val="1"/>
    <w:autoRedefine/>
    <w:qFormat/>
    <w:uiPriority w:val="34"/>
    <w:pPr>
      <w:ind w:firstLine="420" w:firstLineChars="200"/>
    </w:pPr>
  </w:style>
  <w:style w:type="paragraph" w:customStyle="1" w:styleId="31">
    <w:name w:val="_Style 1"/>
    <w:basedOn w:val="1"/>
    <w:next w:val="1"/>
    <w:autoRedefine/>
    <w:qFormat/>
    <w:uiPriority w:val="99"/>
    <w:pPr>
      <w:ind w:firstLine="420" w:firstLineChars="200"/>
    </w:pPr>
  </w:style>
  <w:style w:type="paragraph" w:customStyle="1" w:styleId="32">
    <w:name w:val="表格小五F4"/>
    <w:basedOn w:val="33"/>
    <w:autoRedefine/>
    <w:qFormat/>
    <w:uiPriority w:val="0"/>
    <w:rPr>
      <w:sz w:val="18"/>
    </w:rPr>
  </w:style>
  <w:style w:type="paragraph" w:customStyle="1" w:styleId="33">
    <w:name w:val="表格F2"/>
    <w:autoRedefine/>
    <w:qFormat/>
    <w:uiPriority w:val="0"/>
    <w:pPr>
      <w:jc w:val="center"/>
    </w:pPr>
    <w:rPr>
      <w:rFonts w:ascii="Times New Roman" w:hAnsi="Times New Roman" w:eastAsia="楷体" w:cs="Times New Roman"/>
      <w:sz w:val="24"/>
      <w:szCs w:val="22"/>
      <w:lang w:val="en-US" w:eastAsia="zh-CN" w:bidi="ar-SA"/>
    </w:rPr>
  </w:style>
  <w:style w:type="paragraph" w:customStyle="1" w:styleId="34">
    <w:name w:val="样式 首行缩进:  2 字符"/>
    <w:autoRedefine/>
    <w:qFormat/>
    <w:uiPriority w:val="0"/>
    <w:pPr>
      <w:widowControl w:val="0"/>
      <w:spacing w:before="120" w:after="120" w:line="360" w:lineRule="auto"/>
      <w:ind w:firstLine="582" w:firstLineChars="200"/>
      <w:jc w:val="both"/>
    </w:pPr>
    <w:rPr>
      <w:rFonts w:ascii="Times New Roman" w:hAnsi="Times New Roman" w:eastAsia="仿宋_GB2312" w:cs="宋体"/>
      <w:kern w:val="10"/>
      <w:sz w:val="28"/>
      <w:szCs w:val="28"/>
      <w:lang w:val="en-US" w:eastAsia="zh-CN" w:bidi="ar-SA"/>
    </w:rPr>
  </w:style>
  <w:style w:type="paragraph" w:customStyle="1" w:styleId="35">
    <w:name w:val="列表段落1"/>
    <w:basedOn w:val="1"/>
    <w:autoRedefine/>
    <w:qFormat/>
    <w:uiPriority w:val="0"/>
    <w:pPr>
      <w:ind w:firstLine="420" w:firstLineChars="200"/>
    </w:pPr>
  </w:style>
  <w:style w:type="paragraph" w:customStyle="1" w:styleId="36">
    <w:name w:val="List Paragraph"/>
    <w:basedOn w:val="1"/>
    <w:autoRedefine/>
    <w:qFormat/>
    <w:uiPriority w:val="34"/>
    <w:pPr>
      <w:ind w:firstLine="420" w:firstLineChars="200"/>
    </w:pPr>
  </w:style>
  <w:style w:type="paragraph" w:customStyle="1" w:styleId="37">
    <w:name w:val="Normal Indent1"/>
    <w:basedOn w:val="1"/>
    <w:autoRedefine/>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4c763fdb-48eb-4ec6-8572-f8219e9991b5</errorID>
      <errorWord>具备的</errorWord>
      <group>L1_Word</group>
      <groupName>字词问题</groupName>
      <ability>L2_Typo</ability>
      <abilityName>字词错误</abilityName>
      <candidateList>
        <item>具备</item>
      </candidateList>
      <explain/>
      <paraID>5A6F630B</paraID>
      <start>43</start>
      <end>46</end>
      <status>unmodified</status>
      <modifiedWord/>
      <trackRevisions>false</trackRevisions>
    </reviewItem>
    <reviewItem>
      <errorID>18e992e1-8b18-4be2-a4bf-6b6584506ba1</errorID>
      <errorWord>:</errorWord>
      <group>L1_Format</group>
      <groupName>格式问题</groupName>
      <ability>L2_HalfPunc</ability>
      <abilityName>全半角检查</abilityName>
      <candidateList>
        <item>：</item>
      </candidateList>
      <explain>文本全半角错误。</explain>
      <paraID>3F222528</paraID>
      <start>9</start>
      <end>10</end>
      <status>unmodified</status>
      <modifiedWord/>
      <trackRevisions>false</trackRevisions>
    </reviewItem>
    <reviewItem>
      <errorID>47c18a70-dcf9-45a0-8012-9fd765078d4e</errorID>
      <errorWord>。</errorWord>
      <group>L1_Punc</group>
      <groupName>标点问题</groupName>
      <ability>L2_Punc</ability>
      <abilityName>标点符号检查</abilityName>
      <candidateList>
        <item/>
      </candidateList>
      <explain>标题文本后不使用标点符号。</explain>
      <paraID>2DDF54D3</paraID>
      <start>45</start>
      <end>46</end>
      <status>unmodified</status>
      <modifiedWord/>
      <trackRevisions>false</trackRevisions>
    </reviewItem>
    <reviewItem>
      <errorID>c9365df3-9fd1-4c37-b718-3314b947febd</errorID>
      <errorWord>；</errorWord>
      <group>L1_Punc</group>
      <groupName>标点问题</groupName>
      <ability>L2_Punc</ability>
      <abilityName>标点符号检查</abilityName>
      <candidateList>
        <item/>
      </candidateList>
      <explain>标题文本后不使用标点符号。</explain>
      <paraID>163AB987</paraID>
      <start>35</start>
      <end>36</end>
      <status>unmodified</status>
      <modifiedWord/>
      <trackRevisions>false</trackRevisions>
    </reviewItem>
    <reviewItem>
      <errorID>df4809dd-87fa-4a85-9737-230c75198a7d</errorID>
      <errorWord>，</errorWord>
      <group>L1_Punc</group>
      <groupName>标点问题</groupName>
      <ability>L2_Punc</ability>
      <abilityName>标点符号检查</abilityName>
      <candidateList>
        <item/>
      </candidateList>
      <explain>标题文本后不使用标点符号。</explain>
      <paraID>2ABF0A1F</paraID>
      <start>22</start>
      <end>23</end>
      <status>unmodified</status>
      <modifiedWord/>
      <trackRevisions>false</trackRevisions>
    </reviewItem>
    <reviewItem>
      <errorID>c4c3459d-c284-4626-84c1-f8c4e26d0da7</errorID>
      <errorWord>碘伏</errorWord>
      <group>L1_Knowledge</group>
      <groupName>知识性问题</groupName>
      <ability>L2_Term</ability>
      <abilityName>专业术语</abilityName>
      <candidateList>
        <item>碘附</item>
      </candidateList>
      <explain>医学名词[碘伏]为不规范表述或旧称，其规范书面表述为[碘附]。</explain>
      <paraID>645D1250</paraID>
      <start>40</start>
      <end>42</end>
      <status>unmodified</status>
      <modifiedWord/>
      <trackRevisions>false</trackRevisions>
    </reviewItem>
    <reviewItem>
      <errorID>91d14504-f777-4170-9c19-bf59c1c2fa90</errorID>
      <errorWord>碘伏</errorWord>
      <group>L1_Knowledge</group>
      <groupName>知识性问题</groupName>
      <ability>L2_Term</ability>
      <abilityName>专业术语</abilityName>
      <candidateList>
        <item>碘附</item>
      </candidateList>
      <explain>医学名词[碘伏]为不规范表述或旧称，其规范书面表述为[碘附]。</explain>
      <paraID>645D1250</paraID>
      <start>50</start>
      <end>52</end>
      <status>unmodified</status>
      <modifiedWord/>
      <trackRevisions>false</trackRevisions>
    </reviewItem>
    <reviewItem>
      <errorID>b527b3c5-16c9-4f64-93ef-304438088712</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645D1250</paraID>
      <start>113</start>
      <end>114</end>
      <status>modified</status>
      <modifiedWord>地</modifiedWord>
      <trackRevisions>false</trackRevisions>
    </reviewItem>
    <reviewItem>
      <errorID>b65932fc-5909-477b-b50d-7468bf185314</errorID>
      <errorWord>。</errorWord>
      <group>L1_Punc</group>
      <groupName>标点问题</groupName>
      <ability>L2_Punc</ability>
      <abilityName>标点符号检查</abilityName>
      <candidateList>
        <item/>
      </candidateList>
      <explain>标题文本后不使用标点符号。</explain>
      <paraID>5E5D8422</paraID>
      <start>26</start>
      <end>27</end>
      <status>unmodified</status>
      <modifiedWord/>
      <trackRevisions>false</trackRevisions>
    </reviewItem>
    <reviewItem>
      <errorID>7dc4b71f-66e5-4829-8760-8cbf0a60c038</errorID>
      <errorWord>〉</errorWord>
      <group>L1_Punc</group>
      <groupName>标点问题</groupName>
      <ability>L2_Punc</ability>
      <abilityName>标点符号检查</abilityName>
      <candidateList/>
      <explain/>
      <paraID>7048D9B6</paraID>
      <start>10</start>
      <end>11</end>
      <status>unmodified</status>
      <modifiedWord/>
      <trackRevisions>false</trackRevisions>
    </reviewItem>
    <reviewItem>
      <errorID>9188b8c2-5da4-45bb-b591-4132487aecb5</errorID>
      <errorWord>死腔</errorWord>
      <group>L1_Knowledge</group>
      <groupName>知识性问题</groupName>
      <ability>L2_Term</ability>
      <abilityName>专业术语</abilityName>
      <candidateList>
        <item>无效腔</item>
      </candidateList>
      <explain>医学名词[死腔]为不规范表述或旧称，其规范书面表述为[无效腔]。</explain>
      <paraID>4474A89C</paraID>
      <start>3</start>
      <end>5</end>
      <status>unmodified</status>
      <modifiedWord/>
      <trackRevisions>false</trackRevisions>
    </reviewItem>
    <reviewItem>
      <errorID>eb03a03b-be35-49f7-8952-53864850f9a4</errorID>
      <errorWord>〉</errorWord>
      <group>L1_Punc</group>
      <groupName>标点问题</groupName>
      <ability>L2_Punc</ability>
      <abilityName>标点符号检查</abilityName>
      <candidateList/>
      <explain/>
      <paraID>7EB410C9</paraID>
      <start>10</start>
      <end>11</end>
      <status>unmodified</status>
      <modifiedWord/>
      <trackRevisions>false</trackRevisions>
    </reviewItem>
    <reviewItem>
      <errorID>2ede0711-7d9f-43ae-aafd-f4a6e25e1e5f</errorID>
      <errorWord>；；</errorWord>
      <group>L1_Punc</group>
      <groupName>标点问题</groupName>
      <ability>L2_Punc</ability>
      <abilityName>标点符号检查</abilityName>
      <candidateList>
        <item>；</item>
      </candidateList>
      <explain/>
      <paraID>7EB410C9</paraID>
      <start>17</start>
      <end>18</end>
      <status>modified</status>
      <modifiedWord>；</modifiedWord>
      <trackRevisions>false</trackRevisions>
    </reviewItem>
    <reviewItem>
      <errorID>61c0590b-43be-4054-8bf6-b51fc174d185</errorID>
      <errorWord>死腔</errorWord>
      <group>L1_Knowledge</group>
      <groupName>知识性问题</groupName>
      <ability>L2_Term</ability>
      <abilityName>专业术语</abilityName>
      <candidateList>
        <item>无效腔</item>
      </candidateList>
      <explain>医学名词[死腔]为不规范表述或旧称，其规范书面表述为[无效腔]。</explain>
      <paraID>20EE2DB6</paraID>
      <start>3</start>
      <end>5</end>
      <status>unmodified</status>
      <modifiedWord/>
      <trackRevisions>false</trackRevisions>
    </reviewItem>
    <reviewItem>
      <errorID>d2c30dda-a42b-47c4-a4d5-9467d0bd2550</errorID>
      <errorWord>〉</errorWord>
      <group>L1_Punc</group>
      <groupName>标点问题</groupName>
      <ability>L2_Punc</ability>
      <abilityName>标点符号检查</abilityName>
      <candidateList/>
      <explain/>
      <paraID>185CAC0B</paraID>
      <start>10</start>
      <end>11</end>
      <status>unmodified</status>
      <modifiedWord/>
      <trackRevisions>false</trackRevisions>
    </reviewItem>
    <reviewItem>
      <errorID>d598fd9b-4b16-4c4e-a7d5-ec66abbec6f9</errorID>
      <errorWord>；；</errorWord>
      <group>L1_Punc</group>
      <groupName>标点问题</groupName>
      <ability>L2_Punc</ability>
      <abilityName>标点符号检查</abilityName>
      <candidateList>
        <item>；</item>
      </candidateList>
      <explain/>
      <paraID>185CAC0B</paraID>
      <start>18</start>
      <end>19</end>
      <status>modified</status>
      <modifiedWord>；</modifiedWord>
      <trackRevisions>false</trackRevisions>
    </reviewItem>
    <reviewItem>
      <errorID>b80f9274-a663-47ce-8a4d-2ce28f0f7ee1</errorID>
      <errorWord>死腔</errorWord>
      <group>L1_Knowledge</group>
      <groupName>知识性问题</groupName>
      <ability>L2_Term</ability>
      <abilityName>专业术语</abilityName>
      <candidateList>
        <item>无效腔</item>
      </candidateList>
      <explain>医学名词[死腔]为不规范表述或旧称，其规范书面表述为[无效腔]。</explain>
      <paraID>2300880C</paraID>
      <start>3</start>
      <end>5</end>
      <status>unmodified</status>
      <modifiedWord/>
      <trackRevisions>false</trackRevisions>
    </reviewItem>
    <reviewItem>
      <errorID>00c2f9c9-aa50-4acd-bad9-176847952579</errorID>
      <errorWord>:</errorWord>
      <group>L1_Format</group>
      <groupName>格式问题</groupName>
      <ability>L2_HalfPunc</ability>
      <abilityName>全半角检查</abilityName>
      <candidateList>
        <item>：</item>
      </candidateList>
      <explain>文本全半角错误。</explain>
      <paraID>395E5161</paraID>
      <start>6</start>
      <end>7</end>
      <status>modified</status>
      <modifiedWord>：</modifiedWord>
      <trackRevisions>false</trackRevisions>
    </reviewItem>
    <reviewItem>
      <errorID>2b921384-8bd3-4b79-9ead-3c7200e69e3e</errorID>
      <errorWord>;</errorWord>
      <group>L1_Format</group>
      <groupName>格式问题</groupName>
      <ability>L2_HalfPunc</ability>
      <abilityName>全半角检查</abilityName>
      <candidateList>
        <item>；</item>
      </candidateList>
      <explain>文本全半角错误。</explain>
      <paraID>395E5161</paraID>
      <start>11</start>
      <end>12</end>
      <status>modified</status>
      <modifiedWord>；</modifiedWord>
      <trackRevisions>false</trackRevisions>
    </reviewItem>
    <reviewItem>
      <errorID>9f315288-13bf-4432-9a82-48a8a6399fc3</errorID>
      <errorWord>:</errorWord>
      <group>L1_Format</group>
      <groupName>格式问题</groupName>
      <ability>L2_HalfPunc</ability>
      <abilityName>全半角检查</abilityName>
      <candidateList>
        <item>：</item>
      </candidateList>
      <explain>文本全半角错误。</explain>
      <paraID>395E5161</paraID>
      <start>16</start>
      <end>17</end>
      <status>modified</status>
      <modifiedWord>：</modifiedWord>
      <trackRevisions>false</trackRevisions>
    </reviewItem>
    <reviewItem>
      <errorID>ab68559d-8e3b-4ea4-a449-39b34848eb8c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395E5161</paraID>
      <start>20</start>
      <end>21</end>
      <status>modified</status>
      <modifiedWord>—</modifiedWord>
      <trackRevisions>false</trackRevisions>
    </reviewItem>
    <reviewItem>
      <errorID>0b5e470a-786f-48f9-825d-ae81f95894f8</errorID>
      <errorWord>:</errorWord>
      <group>L1_Format</group>
      <groupName>格式问题</groupName>
      <ability>L2_HalfPunc</ability>
      <abilityName>全半角检查</abilityName>
      <candidateList>
        <item>：</item>
      </candidateList>
      <explain>文本全半角错误。</explain>
      <paraID> 1930482</paraID>
      <start>2</start>
      <end>3</end>
      <status>modified</status>
      <modifiedWord>：</modifiedWord>
      <trackRevisions>false</trackRevisions>
    </reviewItem>
    <reviewItem>
      <errorID>b2530828-d318-4308-b0b5-068c7009d107</errorID>
      <errorWord>副</errorWord>
      <group>L1_Word</group>
      <groupName>字词问题</groupName>
      <ability>L2_Typo</ability>
      <abilityName>字词错误</abilityName>
      <candidateList>
        <item>幅</item>
      </candidateList>
      <explain>❶（～儿）〈名〉布帛、呢绒等的宽度：～面｜单～｜双～｜宽～的白布。❷泛指宽度：～度｜～员｜振～。❸（～儿）〈量〉用于布帛、呢绒、图画等：一～画｜用两～布做一个床单儿。</explain>
      <paraID>3D9D835A</paraID>
      <start>3</start>
      <end>4</end>
      <status>unmodified</status>
      <modifiedWord/>
      <trackRevisions>false</trackRevisions>
    </reviewItem>
    <reviewItem>
      <errorID>6473ab23-7891-4e63-bcec-5bd5ae1b39de</errorID>
      <errorWord>称</errorWord>
      <group>L1_Word</group>
      <groupName>字词问题</groupName>
      <ability>L2_Typo</ability>
      <abilityName>字词错误</abilityName>
      <candidateList>
        <item>秤</item>
      </candidateList>
      <explain>存在发音相同字词的误用。</explain>
      <paraID> 961557A</paraID>
      <start>4</start>
      <end>5</end>
      <status>modified</status>
      <modifiedWord>秤</modifiedWord>
      <trackRevisions>false</trackRevisions>
    </reviewItem>
    <reviewItem>
      <errorID>154053ba-429a-4747-b42e-e6bf90e221e8</errorID>
      <errorWord>:</errorWord>
      <group>L1_Format</group>
      <groupName>格式问题</groupName>
      <ability>L2_HalfPunc</ability>
      <abilityName>全半角检查</abilityName>
      <candidateList>
        <item>：</item>
      </candidateList>
      <explain>文本全半角错误。</explain>
      <paraID>3CA60A5F</paraID>
      <start>6</start>
      <end>7</end>
      <status>modified</status>
      <modifiedWord>：</modifiedWord>
      <trackRevisions>false</trackRevisions>
    </reviewItem>
    <reviewItem>
      <errorID>d22c5f5f-b855-409e-bc61-a4890ac140e3</errorID>
      <errorWord>最大称量</errorWord>
      <group>L1_Knowledge</group>
      <groupName>知识性问题</groupName>
      <ability>L2_Term</ability>
      <abilityName>专业术语</abilityName>
      <candidateList>
        <item>最大秤量</item>
      </candidateList>
      <explain/>
      <paraID>3CA60A5F</paraID>
      <start>7</start>
      <end>11</end>
      <status>unmodified</status>
      <modifiedWord/>
      <trackRevisions>false</trackRevisions>
    </reviewItem>
    <reviewItem>
      <errorID>471c7894-f142-40b6-a59c-2361a89dcc9e</errorID>
      <errorWord>:</errorWord>
      <group>L1_Format</group>
      <groupName>格式问题</groupName>
      <ability>L2_HalfPunc</ability>
      <abilityName>全半角检查</abilityName>
      <candidateList>
        <item>：</item>
      </candidateList>
      <explain>文本全半角错误。</explain>
      <paraID>6089199F</paraID>
      <start>6</start>
      <end>7</end>
      <status>modified</status>
      <modifiedWord>：</modifiedWord>
      <trackRevisions>false</trackRevisions>
    </reviewItem>
    <reviewItem>
      <errorID>cf23e97e-c433-411b-955e-87d1f22ba78a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6089199F</paraID>
      <start>13</start>
      <end>14</end>
      <status>modified</status>
      <modifiedWord>—</modifiedWord>
      <trackRevisions>false</trackRevisions>
    </reviewItem>
    <reviewItem>
      <errorID>4009ec7b-46ba-4e2e-9d6b-e7c0290aa086</errorID>
      <errorWord>(</errorWord>
      <group>L1_Format</group>
      <groupName>格式问题</groupName>
      <ability>L2_HalfPunc</ability>
      <abilityName>全半角检查</abilityName>
      <candidateList>
        <item>（</item>
      </candidateList>
      <explain>文本全半角错误。</explain>
      <paraID>2C4E61B0</paraID>
      <start>14</start>
      <end>15</end>
      <status>modified</status>
      <modifiedWord>（</modifiedWord>
      <trackRevisions>false</trackRevisions>
    </reviewItem>
    <reviewItem>
      <errorID>3f2756f9-b441-418b-b48d-783d02b24f57</errorID>
      <errorWord>)</errorWord>
      <group>L1_Format</group>
      <groupName>格式问题</groupName>
      <ability>L2_HalfPunc</ability>
      <abilityName>全半角检查</abilityName>
      <candidateList>
        <item>）</item>
      </candidateList>
      <explain>文本全半角错误。</explain>
      <paraID>2C4E61B0</paraID>
      <start>21</start>
      <end>22</end>
      <status>modified</status>
      <modifiedWord>）</modifiedWord>
      <trackRevisions>false</trackRevisions>
    </reviewItem>
    <reviewItem>
      <errorID>5ae59564-7a91-44fa-9a70-3b49d0e8fbe9</errorID>
      <errorWord>:(</errorWord>
      <group>L1_Format</group>
      <groupName>格式问题</groupName>
      <ability>L2_HalfPunc</ability>
      <abilityName>全半角检查</abilityName>
      <candidateList>
        <item>：（</item>
      </candidateList>
      <explain>文本全半角错误。</explain>
      <paraID>583562C5</paraID>
      <start>7</start>
      <end>9</end>
      <status>modified</status>
      <modifiedWord>：（</modifiedWord>
      <trackRevisions>false</trackRevisions>
    </reviewItem>
    <reviewItem>
      <errorID>47d48499-763d-4b9e-9e46-423e35864f58</errorID>
      <errorWord>)</errorWord>
      <group>L1_Format</group>
      <groupName>格式问题</groupName>
      <ability>L2_HalfPunc</ability>
      <abilityName>全半角检查</abilityName>
      <candidateList>
        <item>）</item>
      </candidateList>
      <explain>文本全半角错误。</explain>
      <paraID>583562C5</paraID>
      <start>12</start>
      <end>13</end>
      <status>modified</status>
      <modifiedWord>）</modifiedWord>
      <trackRevisions>false</trackRevisions>
    </reviewItem>
    <reviewItem>
      <errorID>870eed0f-391a-4492-9c02-15a9a361f1cb</errorID>
      <errorWord>:(</errorWord>
      <group>L1_Format</group>
      <groupName>格式问题</groupName>
      <ability>L2_HalfPunc</ability>
      <abilityName>全半角检查</abilityName>
      <candidateList>
        <item>：（</item>
      </candidateList>
      <explain>文本全半角错误。</explain>
      <paraID>5E574E48</paraID>
      <start>6</start>
      <end>8</end>
      <status>modified</status>
      <modifiedWord>：（</modifiedWord>
      <trackRevisions>false</trackRevisions>
    </reviewItem>
    <reviewItem>
      <errorID>9af5812d-5e19-4a16-9846-ac846cc680f2</errorID>
      <errorWord>)</errorWord>
      <group>L1_Format</group>
      <groupName>格式问题</groupName>
      <ability>L2_HalfPunc</ability>
      <abilityName>全半角检查</abilityName>
      <candidateList>
        <item>）</item>
      </candidateList>
      <explain>文本全半角错误。</explain>
      <paraID>5E574E48</paraID>
      <start>13</start>
      <end>14</end>
      <status>modified</status>
      <modifiedWord>）</modifiedWord>
      <trackRevisions>false</trackRevisions>
    </reviewItem>
    <reviewItem>
      <errorID>0497d10a-505e-4cec-ae3d-381e5f38a798</errorID>
      <errorWord>:</errorWord>
      <group>L1_Format</group>
      <groupName>格式问题</groupName>
      <ability>L2_HalfPunc</ability>
      <abilityName>全半角检查</abilityName>
      <candidateList>
        <item>：</item>
      </candidateList>
      <explain>文本全半角错误。</explain>
      <paraID>5862E758</paraID>
      <start>4</start>
      <end>5</end>
      <status>modified</status>
      <modifiedWord>：</modifiedWord>
      <trackRevisions>false</trackRevisions>
    </reviewItem>
    <reviewItem>
      <errorID>deee3a5b-e1d1-4d6d-9470-abc899a4aeb6</errorID>
      <errorWord>:</errorWord>
      <group>L1_Format</group>
      <groupName>格式问题</groupName>
      <ability>L2_HalfPunc</ability>
      <abilityName>全半角检查</abilityName>
      <candidateList>
        <item>：</item>
      </candidateList>
      <explain>文本全半角错误。</explain>
      <paraID>5862E758</paraID>
      <start>13</start>
      <end>14</end>
      <status>modified</status>
      <modifiedWord>：</modifiedWord>
      <trackRevisions>false</trackRevisions>
    </reviewItem>
    <reviewItem>
      <errorID>3b04c5e6-32c4-4625-9bb1-f6aa7c300b42</errorID>
      <errorWord>:</errorWord>
      <group>L1_Format</group>
      <groupName>格式问题</groupName>
      <ability>L2_HalfPunc</ability>
      <abilityName>全半角检查</abilityName>
      <candidateList>
        <item>：</item>
      </candidateList>
      <explain>文本全半角错误。</explain>
      <paraID>699CCDD5</paraID>
      <start>4</start>
      <end>5</end>
      <status>modified</status>
      <modifiedWord>：</modifiedWord>
      <trackRevisions>false</trackRevisions>
    </reviewItem>
    <reviewItem>
      <errorID>549e58f6-ffd7-4734-9447-13bf3b786564</errorID>
      <errorWord>:</errorWord>
      <group>L1_Format</group>
      <groupName>格式问题</groupName>
      <ability>L2_HalfPunc</ability>
      <abilityName>全半角检查</abilityName>
      <candidateList>
        <item>：</item>
      </candidateList>
      <explain>文本全半角错误。</explain>
      <paraID>1B8B7FF4</paraID>
      <start>4</start>
      <end>5</end>
      <status>modified</status>
      <modifiedWord>：</modifiedWord>
      <trackRevisions>false</trackRevisions>
    </reviewItem>
    <reviewItem>
      <errorID>21379b17-dc2d-48dc-96e9-317c11f91017</errorID>
      <errorWord>:</errorWord>
      <group>L1_Format</group>
      <groupName>格式问题</groupName>
      <ability>L2_HalfPunc</ability>
      <abilityName>全半角检查</abilityName>
      <candidateList>
        <item>：</item>
      </candidateList>
      <explain>文本全半角错误。</explain>
      <paraID>1B8B7FF4</paraID>
      <start>11</start>
      <end>12</end>
      <status>modified</status>
      <modifiedWord>：</modifiedWord>
      <trackRevisions>false</trackRevisions>
    </reviewItem>
    <reviewItem>
      <errorID>2c99bdee-a878-48f8-9f8f-4e8a85582620</errorID>
      <errorWord>:</errorWord>
      <group>L1_Format</group>
      <groupName>格式问题</groupName>
      <ability>L2_HalfPunc</ability>
      <abilityName>全半角检查</abilityName>
      <candidateList>
        <item>：</item>
      </candidateList>
      <explain>文本全半角错误。</explain>
      <paraID> B97D6CA</paraID>
      <start>7</start>
      <end>8</end>
      <status>modified</status>
      <modifiedWord>：</modifiedWord>
      <trackRevisions>false</trackRevisions>
    </reviewItem>
    <reviewItem>
      <errorID>a1b7cf8f-1499-4cfe-86ab-da7d6034c696</errorID>
      <errorWord>MM</errorWord>
      <group>L1_Official</group>
      <groupName>公文问题</groupName>
      <ability>L2_Official</ability>
      <abilityName>公文问题</abilityName>
      <candidateList/>
      <explain>公文中禁止出现该词语</explain>
      <paraID> B97D6CA</paraID>
      <start>12</start>
      <end>14</end>
      <status>unmodified</status>
      <modifiedWord/>
      <trackRevisions>false</trackRevisions>
    </reviewItem>
    <reviewItem>
      <errorID>4d7de796-b521-4994-8249-d08e2e8648f8</errorID>
      <errorWord>:</errorWord>
      <group>L1_Format</group>
      <groupName>格式问题</groupName>
      <ability>L2_HalfPunc</ability>
      <abilityName>全半角检查</abilityName>
      <candidateList>
        <item>：</item>
      </candidateList>
      <explain>文本全半角错误。</explain>
      <paraID> B97D6CA</paraID>
      <start>20</start>
      <end>21</end>
      <status>modified</status>
      <modifiedWord>：</modifiedWord>
      <trackRevisions>false</trackRevisions>
    </reviewItem>
    <reviewItem>
      <errorID>bce8947c-4ff3-4f2e-8ca0-631ea1ea63c6</errorID>
      <errorWord>MM</errorWord>
      <group>L1_Official</group>
      <groupName>公文问题</groupName>
      <ability>L2_Official</ability>
      <abilityName>公文问题</abilityName>
      <candidateList/>
      <explain>公文中禁止出现该词语</explain>
      <paraID> B97D6CA</paraID>
      <start>25</start>
      <end>27</end>
      <status>unmodified</status>
      <modifiedWord/>
      <trackRevisions>false</trackRevisions>
    </reviewItem>
    <reviewItem>
      <errorID>83870b62-a250-47c0-8363-512fa98c6a39</errorID>
      <errorWord>:</errorWord>
      <group>L1_Format</group>
      <groupName>格式问题</groupName>
      <ability>L2_HalfPunc</ability>
      <abilityName>全半角检查</abilityName>
      <candidateList>
        <item>：</item>
      </candidateList>
      <explain>文本全半角错误。</explain>
      <paraID>6324538A</paraID>
      <start>4</start>
      <end>5</end>
      <status>modified</status>
      <modifiedWord>：</modifiedWord>
      <trackRevisions>false</trackRevisions>
    </reviewItem>
    <reviewItem>
      <errorID>e14b5e0e-1279-49a5-9fff-e6cea4fe91e0</errorID>
      <errorWord>:</errorWord>
      <group>L1_Format</group>
      <groupName>格式问题</groupName>
      <ability>L2_HalfPunc</ability>
      <abilityName>全半角检查</abilityName>
      <candidateList>
        <item>：</item>
      </candidateList>
      <explain>文本全半角错误。</explain>
      <paraID>168E5DB7</paraID>
      <start>4</start>
      <end>5</end>
      <status>modified</status>
      <modifiedWord>：</modifiedWord>
      <trackRevisions>false</trackRevisions>
    </reviewItem>
    <reviewItem>
      <errorID>fbeaac52-1f71-46ee-a592-3abe71731dcb</errorID>
      <errorWord>:</errorWord>
      <group>L1_Format</group>
      <groupName>格式问题</groupName>
      <ability>L2_HalfPunc</ability>
      <abilityName>全半角检查</abilityName>
      <candidateList>
        <item>：</item>
      </candidateList>
      <explain>文本全半角错误。</explain>
      <paraID>168E5DB7</paraID>
      <start>16</start>
      <end>17</end>
      <status>modified</status>
      <modifiedWord>：</modifiedWord>
      <trackRevisions>false</trackRevisions>
    </reviewItem>
    <reviewItem>
      <errorID>5a31b190-a2e6-46eb-b49e-3e09386e2bd4</errorID>
      <errorWord>紫外线消毒车</errorWord>
      <group>L1_Knowledge</group>
      <groupName>知识性问题</groupName>
      <ability>L2_Term</ability>
      <abilityName>专业术语</abilityName>
      <candidateList>
        <item>紫外线消毒灯</item>
      </candidateList>
      <explain/>
      <paraID>3B304D91</paraID>
      <start>5</start>
      <end>11</end>
      <status>unmodified</status>
      <modifiedWord/>
      <trackRevisions>false</trackRevisions>
    </reviewItem>
    <reviewItem>
      <errorID>2d10c6fd-83a5-4ba9-9b57-6a4335a7040b</errorID>
      <errorWord>冷乱板</errorWord>
      <group>L1_Word</group>
      <groupName>字词问题</groupName>
      <ability>L2_Typo</ability>
      <abilityName>字词错误</abilityName>
      <candidateList>
        <item>冷轧板</item>
      </candidateList>
      <explain/>
      <paraID>652D59F6</paraID>
      <start>8</start>
      <end>11</end>
      <status>modified</status>
      <modifiedWord>冷轧板</modifiedWord>
      <trackRevisions>false</trackRevisions>
    </reviewItem>
    <reviewItem>
      <errorID>6509625c-a213-4d1a-bbed-422a74bd984f</errorID>
      <errorWord>配条</errorWord>
      <group>L1_Word</group>
      <groupName>字词问题</groupName>
      <ability>L2_Typo</ability>
      <abilityName>字词错误</abilityName>
      <candidateList>
        <item>配套</item>
      </candidateList>
      <explain>存在发音相近字词的误用。</explain>
      <paraID>7895F72B</paraID>
      <start>5</start>
      <end>7</end>
      <status>modified</status>
      <modifiedWord>配套</modifiedWord>
      <trackRevisions>false</trackRevisions>
    </reviewItem>
    <reviewItem>
      <errorID>e09617cf-fecd-43e6-aaf1-50099fdc81ef</errorID>
      <errorWord>中科院</errorWord>
      <group>L1_Knowledge</group>
      <groupName>知识性问题</groupName>
      <ability>L2_Knowledge</ability>
      <abilityName>其他知识</abilityName>
      <candidateList>
        <item>中国科学院</item>
      </candidateList>
      <explain/>
      <paraID>3BAEE43B</paraID>
      <start>22</start>
      <end>25</end>
      <status>unmodified</status>
      <modifiedWord/>
      <trackRevisions>false</trackRevisions>
    </reviewItem>
    <reviewItem>
      <errorID>2da2dc69-832c-4b55-9c9c-78826d08482b</errorID>
      <errorWord>不可负</errorWord>
      <group>L1_Word</group>
      <groupName>字词问题</groupName>
      <ability>L2_Typo</ability>
      <abilityName>字词错误</abilityName>
      <candidateList>
        <item>不可</item>
      </candidateList>
      <explain/>
      <paraID>2AA861C2</paraID>
      <start>82</start>
      <end>85</end>
      <status>unmodified</status>
      <modifiedWord/>
      <trackRevisions>false</trackRevisions>
    </reviewItem>
    <reviewItem>
      <errorID>3a75e245-ce5b-4f22-a86b-667d85fb91c4</errorID>
      <errorWord>签定合同</errorWord>
      <group>L1_Word</group>
      <groupName>字词问题</groupName>
      <ability>L2_Typo</ability>
      <abilityName>字词错误</abilityName>
      <candidateList>
        <item>签订合同</item>
      </candidateList>
      <explain/>
      <paraID>6E1539B9</paraID>
      <start>8</start>
      <end>12</end>
      <status>modified</status>
      <modifiedWord>签订合同</modifiedWord>
      <trackRevisions>false</trackRevisions>
    </reviewItem>
    <reviewItem>
      <errorID>2aa359d3-05c7-4118-8be0-dce267051b47</errorID>
      <errorWord>适应</errorWord>
      <group>L1_Word</group>
      <groupName>字词问题</groupName>
      <ability>L2_Typo</ability>
      <abilityName>字词错误</abilityName>
      <candidateList>
        <item>适用</item>
      </candidateList>
      <explain>〈形〉适合使用：这套耕作方法，在我们这个地区也完全～。</explain>
      <paraID>698E3021</paraID>
      <start>47</start>
      <end>49</end>
      <status>modified</status>
      <modifiedWord>适用</modifiedWord>
      <trackRevisions>false</trackRevisions>
    </reviewItem>
    <reviewItem>
      <errorID>bec9eb79-9014-4556-8758-1f68133ff7f1</errorID>
      <errorWord>格</errorWord>
      <group>L1_Word</group>
      <groupName>字词问题</groupName>
      <ability>L2_Typo</ability>
      <abilityName>字词错误</abilityName>
      <candidateList>
        <item>格及</item>
      </candidateList>
      <explain/>
      <paraID>11BCBFEF</paraID>
      <start>114</start>
      <end>115</end>
      <status>unmodified</status>
      <modifiedWord/>
      <trackRevisions>false</trackRevisions>
    </reviewItem>
    <reviewItem>
      <errorID>10898aa5-f325-4b8a-bb9a-5d1d58fa31d0</errorID>
      <errorWord>费</errorWord>
      <group>L1_Word</group>
      <groupName>字词问题</groupName>
      <ability>L2_Typo</ability>
      <abilityName>字词错误</abilityName>
      <candidateList>
        <item>费用</item>
      </candidateList>
      <explain/>
      <paraID>11BCBFEF</paraID>
      <start>160</start>
      <end>162</end>
      <status>modified</status>
      <modifiedWord>费用</modifiedWord>
      <trackRevisions>false</trackRevisions>
    </reviewItem>
    <reviewItem>
      <errorID>b9be7087-5fc5-40ac-9159-f25de1c9f014</errorID>
      <errorWord>终生</errorWord>
      <group>L1_Word</group>
      <groupName>字词问题</groupName>
      <ability>L2_Typo</ability>
      <abilityName>字词错误</abilityName>
      <candidateList>
        <item>终身</item>
      </candidateList>
      <explain/>
      <paraID>2F02A4E7</paraID>
      <start>56</start>
      <end>58</end>
      <status>unmodified</status>
      <modifiedWord/>
      <trackRevisions>false</trackRevisions>
    </reviewItem>
    <reviewItem>
      <errorID>f79045a9-b9c4-4518-9b89-50e3edf543ae</errorID>
      <errorWord>件</errorWord>
      <group>L1_Word</group>
      <groupName>字词问题</groupName>
      <ability>L2_Typo</ability>
      <abilityName>字词错误</abilityName>
      <candidateList>
        <item>件中</item>
      </candidateList>
      <explain/>
      <paraID>5A61E1D4</paraID>
      <start>7</start>
      <end>9</end>
      <status>modified</status>
      <modifiedWord>件中</modifiedWord>
      <trackRevisions>false</trackRevisions>
    </reviewItem>
    <reviewItem>
      <errorID>05e336c8-eca9-48c9-b45c-d5a0b2e58bd7</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79F667A7</paraID>
      <start>0</start>
      <end>2</end>
      <status>modified</status>
      <modifiedWord>a.</modifiedWord>
      <trackRevisions>false</trackRevisions>
    </reviewItem>
    <reviewItem>
      <errorID>e85192b0-b251-4dd3-88b2-324ed524815c</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430825D3</paraID>
      <start>0</start>
      <end>2</end>
      <status>modified</status>
      <modifiedWord>b.</modifiedWord>
      <trackRevisions>false</trackRevisions>
    </reviewItem>
    <reviewItem>
      <errorID>711bdb47-3a53-4150-a17b-88609e88acbc</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422E02B</paraID>
      <start>0</start>
      <end>2</end>
      <status>modified</status>
      <modifiedWord>c.</modifiedWord>
      <trackRevisions>false</trackRevisions>
    </reviewItem>
    <reviewItem>
      <errorID>1b9db588-e31c-4eef-aea9-a1b34d2e4aa2</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3E3FE25D</paraID>
      <start>0</start>
      <end>2</end>
      <status>modified</status>
      <modifiedWord>d.</modifiedWord>
      <trackRevisions>false</trackRevisions>
    </reviewItem>
    <reviewItem>
      <errorID>3757c7d7-eaf1-4860-ada6-8af8488d25d5</errorID>
      <errorWord>指即</errorWord>
      <group>L1_Word</group>
      <groupName>字词问题</groupName>
      <ability>L2_Typo</ability>
      <abilityName>字词错误</abilityName>
      <candidateList>
        <item>指</item>
      </candidateList>
      <explain>❶〈名〉手指头：食～｜五～｜屈～｜首屈一～。❷〈量〉一个手指头的宽度叫“一指”，用来计算深浅宽窄等：下了三～雨｜这双鞋大了一～｜两～宽的纸条。❸〈动〉（手指头、物体尖端）对着；向着：用手一～｜时针正～十二点。❹（头发）直立：发～。❺〈动〉指点：～导｜～示｜～出正确方向｜有问题请您～出来。❻〈动〉意思上指着：这不是～你说的，是～他的。</explain>
      <paraID>2EB82659</paraID>
      <start>26</start>
      <end>27</end>
      <status>modified</status>
      <modifiedWord>指</modifiedWord>
      <trackRevisions>false</trackRevisions>
    </reviewItem>
    <reviewItem>
      <errorID>79b7eab2-b7ae-4174-9f98-965ac619f008</errorID>
      <errorWord>(</errorWord>
      <group>L1_Format</group>
      <groupName>格式问题</groupName>
      <ability>L2_HalfPunc</ability>
      <abilityName>全半角检查</abilityName>
      <candidateList>
        <item>（</item>
      </candidateList>
      <explain>文本全半角错误。</explain>
      <paraID>7BA20F00</paraID>
      <start>7</start>
      <end>8</end>
      <status>modified</status>
      <modifiedWord>（</modifiedWord>
      <trackRevisions>false</trackRevisions>
    </reviewItem>
    <reviewItem>
      <errorID>872fde7b-8405-4969-bb04-78ef3989d9b1</errorID>
      <errorWord>)</errorWord>
      <group>L1_Format</group>
      <groupName>格式问题</groupName>
      <ability>L2_HalfPunc</ability>
      <abilityName>全半角检查</abilityName>
      <candidateList>
        <item>）</item>
      </candidateList>
      <explain>文本全半角错误。</explain>
      <paraID>7BA20F00</paraID>
      <start>20</start>
      <end>21</end>
      <status>modified</status>
      <modifiedWord>）</modifiedWord>
      <trackRevisions>false</trackRevisions>
    </reviewItem>
    <reviewItem>
      <errorID>ca8b3264-a585-442b-a821-e5197b6b32e3</errorID>
      <errorWord>【2011】300号</errorWord>
      <group>L1_Knowledge</group>
      <groupName>知识性问题</groupName>
      <ability>L2_Knowledge</ability>
      <abilityName>其他知识</abilityName>
      <candidateList>
        <item>〔2011〕300号</item>
      </candidateList>
      <explain>发文字号格式错误。</explain>
      <paraID>6C097E29</paraID>
      <start>8</start>
      <end>18</end>
      <status>modified</status>
      <modifiedWord>〔2011〕300号</modifiedWord>
      <trackRevisions>false</trackRevisions>
    </reviewItem>
    <reviewItem>
      <errorID>07c45833-2bbc-4f30-8298-6bd030c0dab1</errorID>
      <errorWord>【2011】300号</errorWord>
      <group>L1_Knowledge</group>
      <groupName>知识性问题</groupName>
      <ability>L2_Knowledge</ability>
      <abilityName>其他知识</abilityName>
      <candidateList>
        <item>〔2011〕300号</item>
      </candidateList>
      <explain>发文字号格式错误。</explain>
      <paraID>6FF125CB</paraID>
      <start>12</start>
      <end>22</end>
      <status>modified</status>
      <modifiedWord>〔2011〕300号</modifiedWord>
      <trackRevisions>false</trackRevisions>
    </reviewItem>
    <reviewItem>
      <errorID>c726cf08-3c7d-4790-bedb-144e0ca5e728</errorID>
      <errorWord>[2003]7号</errorWord>
      <group>L1_Knowledge</group>
      <groupName>知识性问题</groupName>
      <ability>L2_Knowledge</ability>
      <abilityName>其他知识</abilityName>
      <candidateList>
        <item>〔2003〕7号</item>
      </candidateList>
      <explain>发文字号格式错误。</explain>
      <paraID> 8D70005</paraID>
      <start>8</start>
      <end>16</end>
      <status>modified</status>
      <modifiedWord>〔2003〕7号</modifiedWord>
      <trackRevisions>false</trackRevisions>
    </reviewItem>
    <reviewItem>
      <errorID>8f31949d-7075-4a72-9ad7-7db0f0ab185d</errorID>
      <errorWord>[2014]68号</errorWord>
      <group>L1_Knowledge</group>
      <groupName>知识性问题</groupName>
      <ability>L2_Knowledge</ability>
      <abilityName>其他知识</abilityName>
      <candidateList>
        <item>〔2014〕68号</item>
      </candidateList>
      <explain>发文字号格式错误。</explain>
      <paraID> 8D70005</paraID>
      <start>19</start>
      <end>28</end>
      <status>modified</status>
      <modifiedWord>〔2014〕68号</modifiedWord>
      <trackRevisions>false</trackRevisions>
    </reviewItem>
    <reviewItem>
      <errorID>c6affadd-9eab-409f-9a8a-cb93a3f2650f</errorID>
      <errorWord>：</errorWord>
      <group>L1_Punc</group>
      <groupName>标点问题</groupName>
      <ability>L2_Punc</ability>
      <abilityName>标点符号检查</abilityName>
      <candidateList>
        <item/>
      </candidateList>
      <explain>标题文本后不使用标点符号。</explain>
      <paraID>18C3123B</paraID>
      <start>21</start>
      <end>22</end>
      <status>unmodified</status>
      <modifiedWord/>
      <trackRevisions>false</trackRevisions>
    </reviewItem>
    <reviewItem>
      <errorID>6f68309d-3809-4b2e-84cc-b28a9c222c8d</errorID>
      <errorWord>明</errorWord>
      <group>L1_Word</group>
      <groupName>字词问题</groupName>
      <ability>L2_Typo</ability>
      <abilityName>字词错误</abilityName>
      <candidateList>
        <item>明等</item>
      </candidateList>
      <explain/>
      <paraID>721B6A54</paraID>
      <start>35</start>
      <end>37</end>
      <status>modified</status>
      <modifiedWord>明等</modifiedWord>
      <trackRevisions>false</trackRevisions>
    </reviewItem>
    <reviewItem>
      <errorID>99c4c7d2-141f-4a0b-b0ef-a54739e2a06b</errorID>
      <errorWord>：</errorWord>
      <group>L1_Punc</group>
      <groupName>标点问题</groupName>
      <ability>L2_Punc</ability>
      <abilityName>标点符号检查</abilityName>
      <candidateList>
        <item/>
      </candidateList>
      <explain>标题文本后不使用标点符号。</explain>
      <paraID>43D274FD</paraID>
      <start>36</start>
      <end>37</end>
      <status>unmodified</status>
      <modifiedWord/>
      <trackRevisions>false</trackRevisions>
    </reviewItem>
    <reviewItem>
      <errorID>e51bd429-b904-4bf2-8cea-7c4a6db575ac</errorID>
      <errorWord>:</errorWord>
      <group>L1_Punc</group>
      <groupName>标点问题</groupName>
      <ability>L2_Punc</ability>
      <abilityName>标点符号检查</abilityName>
      <candidateList>
        <item/>
      </candidateList>
      <explain>标题文本后不使用标点符号。</explain>
      <paraID>314C3F8C</paraID>
      <start>43</start>
      <end>44</end>
      <status>unmodified</status>
      <modifiedWord/>
      <trackRevisions>false</trackRevisions>
    </reviewItem>
    <reviewItem>
      <errorID>a7938839-d018-4820-9334-4277aef9224c</errorID>
      <errorWord>明</errorWord>
      <group>L1_Word</group>
      <groupName>字词问题</groupName>
      <ability>L2_Typo</ability>
      <abilityName>字词错误</abilityName>
      <candidateList>
        <item>明等</item>
      </candidateList>
      <explain/>
      <paraID>25562A9C</paraID>
      <start>35</start>
      <end>37</end>
      <status>modified</status>
      <modifiedWord>明等</modifiedWord>
      <trackRevisions>false</trackRevisions>
    </reviewItem>
    <reviewItem>
      <errorID>28ea8ad3-e0a8-4fc0-a407-335a7ad4db79</errorID>
      <errorWord>：</errorWord>
      <group>L1_Punc</group>
      <groupName>标点问题</groupName>
      <ability>L2_Punc</ability>
      <abilityName>标点符号检查</abilityName>
      <candidateList>
        <item/>
      </candidateList>
      <explain>标题文本后不使用标点符号。</explain>
      <paraID> E67A9D0</paraID>
      <start>36</start>
      <end>37</end>
      <status>unmodified</status>
      <modifiedWord/>
      <trackRevisions>false</trackRevisions>
    </reviewItem>
    <reviewItem>
      <errorID>479990e4-517a-489d-86bb-55cca8d3f683</errorID>
      <errorWord>：</errorWord>
      <group>L1_Punc</group>
      <groupName>标点问题</groupName>
      <ability>L2_Punc</ability>
      <abilityName>标点符号检查</abilityName>
      <candidateList>
        <item/>
      </candidateList>
      <explain>标题文本后不使用标点符号。</explain>
      <paraID>7D6A01EF</paraID>
      <start>21</start>
      <end>22</end>
      <status>unmodified</status>
      <modifiedWord/>
      <trackRevisions>false</trackRevisions>
    </reviewItem>
    <reviewItem>
      <errorID>156c461c-ca4c-4e3b-8f0d-ac73f7f06a4e</errorID>
      <errorWord>.</errorWord>
      <group>L1_Word</group>
      <groupName>字词问题</groupName>
      <ability>L2_Typo</ability>
      <abilityName>字词错误</abilityName>
      <candidateList>
        <item>.在</item>
      </candidateList>
      <explain/>
      <paraID>1CEC3CB9</paraID>
      <start>1</start>
      <end>3</end>
      <status>modified</status>
      <modifiedWord>.在</modifiedWord>
      <trackRevisions>false</trackRevisions>
    </reviewItem>
    <reviewItem>
      <errorID>1ccbfc19-4a67-44e4-b686-be4c86913cf5</errorID>
      <errorWord>：</errorWord>
      <group>L1_Punc</group>
      <groupName>标点问题</groupName>
      <ability>L2_Punc</ability>
      <abilityName>标点符号检查</abilityName>
      <candidateList>
        <item/>
      </candidateList>
      <explain>标题文本后不使用标点符号。</explain>
      <paraID>1CEC3CB9</paraID>
      <start>36</start>
      <end>37</end>
      <status>unmodified</status>
      <modifiedWord/>
      <trackRevisions>false</trackRevisions>
    </reviewItem>
    <reviewItem>
      <errorID>d1521b1a-8ce8-417e-becc-e44fd927b4b1</errorID>
      <errorWord>内容有</errorWord>
      <group>L1_Word</group>
      <groupName>字词问题</groupName>
      <ability>L2_Typo</ability>
      <abilityName>字词错误</abilityName>
      <candidateList>
        <item>内容</item>
      </candidateList>
      <explain>〈名〉事物内部所含的实质或存在的情况：这次谈话的～牵涉的面很广｜这个刊物～丰富。</explain>
      <paraID>51F1E707</paraID>
      <start>5</start>
      <end>7</end>
      <status>modified</status>
      <modifiedWord>内容</modifiedWord>
      <trackRevisions>false</trackRevisions>
    </reviewItem>
    <reviewItem>
      <errorID>275ac17c-1a60-4692-9c69-1fb87cd2d896</errorID>
      <errorWord>、</errorWord>
      <group>L1_Word</group>
      <groupName>字词问题</groupName>
      <ability>L2_Typo</ability>
      <abilityName>字词错误</abilityName>
      <candidateList>
        <item>、具</item>
      </candidateList>
      <explain/>
      <paraID>2A1E3490</paraID>
      <start>10</start>
      <end>12</end>
      <status>modified</status>
      <modifiedWord>、具</modifiedWord>
      <trackRevisions>false</trackRevisions>
    </reviewItem>
    <reviewItem>
      <errorID>e5f482fc-46be-46f6-8de7-94b1a02a1529</errorID>
      <errorWord>：</errorWord>
      <group>L1_Punc</group>
      <groupName>标点问题</groupName>
      <ability>L2_Punc</ability>
      <abilityName>标点符号检查</abilityName>
      <candidateList>
        <item/>
      </candidateList>
      <explain>标题文本后不使用标点符号。</explain>
      <paraID>292BDE26</paraID>
      <start>7</start>
      <end>7</end>
      <status>modified</status>
      <modifiedWord/>
      <trackRevisions>false</trackRevisions>
    </reviewItem>
    <reviewItem>
      <errorID>24d46d14-7a4d-42c4-82f0-990f6671e371</errorID>
      <errorWord>(</errorWord>
      <group>L1_Format</group>
      <groupName>格式问题</groupName>
      <ability>L2_HalfPunc</ability>
      <abilityName>全半角检查</abilityName>
      <candidateList>
        <item>（</item>
      </candidateList>
      <explain>文本全半角错误。</explain>
      <paraID>  B68275</paraID>
      <start>41</start>
      <end>42</end>
      <status>modified</status>
      <modifiedWord>（</modifiedWord>
      <trackRevisions>false</trackRevisions>
    </reviewItem>
    <reviewItem>
      <errorID>72ff0fd2-cfa7-475c-95f8-18b6cd44eaf8</errorID>
      <errorWord>)</errorWord>
      <group>L1_Format</group>
      <groupName>格式问题</groupName>
      <ability>L2_HalfPunc</ability>
      <abilityName>全半角检查</abilityName>
      <candidateList>
        <item>）</item>
      </candidateList>
      <explain>文本全半角错误。</explain>
      <paraID>  B68275</paraID>
      <start>63</start>
      <end>64</end>
      <status>modified</status>
      <modifiedWord>）</modifiedWord>
      <trackRevisions>false</trackRevisions>
    </reviewItem>
    <reviewItem>
      <errorID>6cd78a14-0d25-4e55-adaf-9cf00b9f0743</errorID>
      <errorWord>：</errorWord>
      <group>L1_Punc</group>
      <groupName>标点问题</groupName>
      <ability>L2_Punc</ability>
      <abilityName>标点符号检查</abilityName>
      <candidateList>
        <item/>
      </candidateList>
      <explain>标题文本后不使用标点符号。</explain>
      <paraID> 6ED8BA3</paraID>
      <start>7</start>
      <end>7</end>
      <status>modified</status>
      <modifiedWord/>
      <trackRevisions>false</trackRevisions>
    </reviewItem>
    <reviewItem>
      <errorID>fcca9dd6-82dc-4573-91b9-50ead9744435</errorID>
      <errorWord>(</errorWord>
      <group>L1_Format</group>
      <groupName>格式问题</groupName>
      <ability>L2_HalfPunc</ability>
      <abilityName>全半角检查</abilityName>
      <candidateList>
        <item>（</item>
      </candidateList>
      <explain>文本全半角错误。</explain>
      <paraID>1FD86241</paraID>
      <start>6</start>
      <end>7</end>
      <status>modified</status>
      <modifiedWord>（</modifiedWord>
      <trackRevisions>false</trackRevisions>
    </reviewItem>
    <reviewItem>
      <errorID>b051ec46-6fa8-41f8-baed-6a11427bf09e</errorID>
      <errorWord>)</errorWord>
      <group>L1_Format</group>
      <groupName>格式问题</groupName>
      <ability>L2_HalfPunc</ability>
      <abilityName>全半角检查</abilityName>
      <candidateList>
        <item>）</item>
      </candidateList>
      <explain>文本全半角错误。</explain>
      <paraID>1FD86241</paraID>
      <start>28</start>
      <end>29</end>
      <status>modified</status>
      <modifiedWord>）</modifiedWord>
      <trackRevisions>false</trackRevisions>
    </reviewItem>
    <reviewItem>
      <errorID>8086967f-bc12-4bb6-acb4-18480e662671</errorID>
      <errorWord>(</errorWord>
      <group>L1_Format</group>
      <groupName>格式问题</groupName>
      <ability>L2_HalfPunc</ability>
      <abilityName>全半角检查</abilityName>
      <candidateList>
        <item>（</item>
      </candidateList>
      <explain>文本全半角错误。</explain>
      <paraID>1FD86241</paraID>
      <start>37</start>
      <end>38</end>
      <status>modified</status>
      <modifiedWord>（</modifiedWord>
      <trackRevisions>false</trackRevisions>
    </reviewItem>
    <reviewItem>
      <errorID>175aff04-5e7b-46d7-a977-6f2d01766d7c</errorID>
      <errorWord>)</errorWord>
      <group>L1_Format</group>
      <groupName>格式问题</groupName>
      <ability>L2_HalfPunc</ability>
      <abilityName>全半角检查</abilityName>
      <candidateList>
        <item>）</item>
      </candidateList>
      <explain>文本全半角错误。</explain>
      <paraID>1FD86241</paraID>
      <start>82</start>
      <end>83</end>
      <status>modified</status>
      <modifiedWord>）</modifiedWord>
      <trackRevisions>false</trackRevisions>
    </reviewItem>
    <reviewItem>
      <errorID>c5d0e3de-a077-4bc4-93b0-6257604bfa2b</errorID>
      <errorWord>：</errorWord>
      <group>L1_Punc</group>
      <groupName>标点问题</groupName>
      <ability>L2_Punc</ability>
      <abilityName>标点符号检查</abilityName>
      <candidateList>
        <item/>
      </candidateList>
      <explain>标题文本后不使用标点符号。</explain>
      <paraID>1F4021D6</paraID>
      <start>7</start>
      <end>7</end>
      <status>modified</status>
      <modifiedWord/>
      <trackRevisions>false</trackRevisions>
    </reviewItem>
    <reviewItem>
      <errorID>3a47e0d0-5bf0-46dc-ad79-40786df4459f</errorID>
      <errorWord>：</errorWord>
      <group>L1_Punc</group>
      <groupName>标点问题</groupName>
      <ability>L2_Punc</ability>
      <abilityName>标点符号检查</abilityName>
      <candidateList>
        <item/>
      </candidateList>
      <explain>标题文本后不使用标点符号。</explain>
      <paraID>28F144E1</paraID>
      <start>7</start>
      <end>7</end>
      <status>modified</status>
      <modifiedWord/>
      <trackRevisions>false</trackRevisions>
    </reviewItem>
    <reviewItem>
      <errorID>3dc079ea-8217-4774-8f5c-152ead1c86be</errorID>
      <errorWord>&lt;</errorWord>
      <group>L1_Format</group>
      <groupName>格式问题</groupName>
      <ability>L2_HalfPunc</ability>
      <abilityName>全半角检查</abilityName>
      <candidateList>
        <item>〈</item>
      </candidateList>
      <explain>文本全半角错误。</explain>
      <paraID>38153C49</paraID>
      <start>13</start>
      <end>14</end>
      <status>modified</status>
      <modifiedWord>〈</modifiedWord>
      <trackRevisions>false</trackRevisions>
    </reviewItem>
    <reviewItem>
      <errorID>864f0084-e18d-4de1-9258-5ef075497824</errorID>
      <errorWord>&gt;的通知》</errorWord>
      <group>L1_Punc</group>
      <groupName>标点问题</groupName>
      <ability>L2_Punc</ability>
      <abilityName>标点符号检查</abilityName>
      <candidateList>
        <item>〉的通知》</item>
      </candidateList>
      <explain/>
      <paraID>38153C49</paraID>
      <start>35</start>
      <end>40</end>
      <status>modified</status>
      <modifiedWord>〉的通知》</modifiedWord>
      <trackRevisions>false</trackRevisions>
    </reviewItem>
    <reviewItem>
      <errorID>5cfe3870-88b0-4a83-8523-c20954e6a7e3</errorID>
      <errorWord>：</errorWord>
      <group>L1_Punc</group>
      <groupName>标点问题</groupName>
      <ability>L2_Punc</ability>
      <abilityName>标点符号检查</abilityName>
      <candidateList>
        <item/>
      </candidateList>
      <explain>标题文本后不使用标点符号。</explain>
      <paraID>6B3603DA</paraID>
      <start>7</start>
      <end>7</end>
      <status>modified</status>
      <modifiedWord/>
      <trackRevisions>false</trackRevisions>
    </reviewItem>
    <reviewItem>
      <errorID>adeb05b8-05f1-4671-a65a-1b40a94d77b5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7BDE8CC8</paraID>
      <start>0</start>
      <end>2</end>
      <status>modified</status>
      <modifiedWord>1.</modifiedWord>
      <trackRevisions>false</trackRevisions>
    </reviewItem>
    <reviewItem>
      <errorID>5dc35adc-9353-450c-9641-05c463b13339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7958A8C5</paraID>
      <start>0</start>
      <end>2</end>
      <status>modified</status>
      <modifiedWord>2.</modifiedWord>
      <trackRevisions>false</trackRevisions>
    </reviewItem>
    <reviewItem>
      <errorID>1e7c86e8-439c-425d-ba9a-82cde3f654ed</errorID>
      <errorWord>聚道</errorWord>
      <group>L1_Word</group>
      <groupName>字词问题</groupName>
      <ability>L2_Typo</ability>
      <abilityName>字词错误</abilityName>
      <candidateList>
        <item>渠道</item>
      </candidateList>
      <explain/>
      <paraID>7958A8C5</paraID>
      <start>16</start>
      <end>18</end>
      <status>modified</status>
      <modifiedWord>渠道</modifiedWord>
      <trackRevisions>false</trackRevisions>
    </reviewItem>
    <reviewItem>
      <errorID>bc5cc16e-6cc7-45f0-ac8c-8d753f0ef6f9</errorID>
      <errorWord>如须</errorWord>
      <group>L1_Word</group>
      <groupName>字词问题</groupName>
      <ability>L2_Typo</ability>
      <abilityName>字词错误</abilityName>
      <candidateList>
        <item>如需</item>
      </candidateList>
      <explain/>
      <paraID>3220453A</paraID>
      <start>119</start>
      <end>121</end>
      <status>unmodified</status>
      <modifiedWord/>
      <trackRevisions>false</trackRevisions>
    </reviewItem>
    <reviewItem>
      <errorID>97e93bc1-2e04-4078-9a94-16edacdc39be</errorID>
      <errorWord>。</errorWord>
      <group>L1_Punc</group>
      <groupName>标点问题</groupName>
      <ability>L2_Punc</ability>
      <abilityName>标点符号检查</abilityName>
      <candidateList>
        <item/>
      </candidateList>
      <explain>标题文本后不使用标点符号。</explain>
      <paraID>589CFA85</paraID>
      <start>10</start>
      <end>11</end>
      <status>unmodified</status>
      <modifiedWord/>
      <trackRevisions>false</trackRevisions>
    </reviewItem>
    <reviewItem>
      <errorID>0588f862-c95f-4f7d-b3cf-1a7cf659bfba</errorID>
      <errorWord>。</errorWord>
      <group>L1_Punc</group>
      <groupName>标点问题</groupName>
      <ability>L2_Punc</ability>
      <abilityName>标点符号检查</abilityName>
      <candidateList>
        <item/>
      </candidateList>
      <explain>标题文本后不使用标点符号。</explain>
      <paraID>6A7E0CE8</paraID>
      <start>36</start>
      <end>37</end>
      <status>unmodified</status>
      <modifiedWord/>
      <trackRevisions>false</trackRevisions>
    </reviewItem>
    <reviewItem>
      <errorID>bc122926-671f-40b4-ab55-90b0dadbf337</errorID>
      <errorWord>。</errorWord>
      <group>L1_Punc</group>
      <groupName>标点问题</groupName>
      <ability>L2_Punc</ability>
      <abilityName>标点符号检查</abilityName>
      <candidateList>
        <item/>
      </candidateList>
      <explain>标题文本后不使用标点符号。</explain>
      <paraID> 7BD4AC5</paraID>
      <start>27</start>
      <end>28</end>
      <status>unmodified</status>
      <modifiedWord/>
      <trackRevisions>false</trackRevisions>
    </reviewItem>
    <reviewItem>
      <errorID>98f4b231-8c80-4419-8eb0-c2508275e5de</errorID>
      <errorWord>》</errorWord>
      <group>L1_Word</group>
      <groupName>字词问题</groupName>
      <ability>L2_Typo</ability>
      <abilityName>字词错误</abilityName>
      <candidateList>
        <item>》和</item>
      </candidateList>
      <explain/>
      <paraID>15F795BC</paraID>
      <start>19</start>
      <end>20</end>
      <status>unmodified</status>
      <modifiedWord/>
      <trackRevisions>false</trackRevisions>
    </reviewItem>
    <reviewItem>
      <errorID>8955d71e-ed2f-4d29-be9e-5bd174df79a7</errorID>
      <errorWord>。</errorWord>
      <group>L1_Punc</group>
      <groupName>标点问题</groupName>
      <ability>L2_Punc</ability>
      <abilityName>标点符号检查</abilityName>
      <candidateList>
        <item/>
      </candidateList>
      <explain>标题文本后不使用标点符号。</explain>
      <paraID>6A75D2DB</paraID>
      <start>34</start>
      <end>35</end>
      <status>unmodified</status>
      <modifiedWord/>
      <trackRevisions>false</trackRevisions>
    </reviewItem>
    <reviewItem>
      <errorID>0582fd8d-95f3-4241-8e8c-ebdf98009d59</errorID>
      <errorWord>分行</errorWord>
      <group>L1_Word</group>
      <groupName>字词问题</groupName>
      <ability>L2_Typo</ability>
      <abilityName>字词错误</abilityName>
      <candidateList>
        <item>分项</item>
      </candidateList>
      <explain>存在发音相近字词的误用。</explain>
      <paraID>5722D04E</paraID>
      <start>23</start>
      <end>25</end>
      <status>unmodified</status>
      <modifiedWord/>
      <trackRevisions>false</trackRevisions>
    </reviewItem>
    <reviewItem>
      <errorID>1c178525-6b1b-4cc8-bcf6-db6783cb3594</errorID>
      <errorWord>股东大会</errorWord>
      <group>L1_Word</group>
      <groupName>字词问题</groupName>
      <ability>L2_Typo</ability>
      <abilityName>字词错误</abilityName>
      <candidateList>
        <item>股东会</item>
      </candidateList>
      <explain/>
      <paraID>4A64F11E</paraID>
      <start>102</start>
      <end>106</end>
      <status>unmodified</status>
      <modifiedWord/>
      <trackRevisions>false</trackRevisions>
    </reviewItem>
    <reviewItem>
      <errorID>5b147bb4-1386-47f7-ba65-28dd476b9bee</errorID>
      <errorWord>。</errorWord>
      <group>L1_Punc</group>
      <groupName>标点问题</groupName>
      <ability>L2_Punc</ability>
      <abilityName>标点符号检查</abilityName>
      <candidateList>
        <item/>
      </candidateList>
      <explain>标题文本后不使用标点符号。</explain>
      <paraID>62E0D5E0</paraID>
      <start>47</start>
      <end>48</end>
      <status>unmodified</status>
      <modifiedWord/>
      <trackRevisions>false</trackRevisions>
    </reviewItem>
    <reviewItem>
      <errorID>346486f1-282d-41c5-afc0-48ae6401e46e</errorID>
      <errorWord>：</errorWord>
      <group>L1_Punc</group>
      <groupName>标点问题</groupName>
      <ability>L2_Punc</ability>
      <abilityName>标点符号检查</abilityName>
      <candidateList>
        <item/>
      </candidateList>
      <explain>标题文本后不使用标点符号。</explain>
      <paraID>7C171688</paraID>
      <start>18</start>
      <end>19</end>
      <status>unmodified</status>
      <modifiedWord/>
      <trackRevisions>false</trackRevisions>
    </reviewItem>
    <reviewItem>
      <errorID>68d36920-d8a8-4f28-b00a-33e695cf5f07</errorID>
      <errorWord>称</errorWord>
      <group>L1_Word</group>
      <groupName>字词问题</groupName>
      <ability>L2_Typo</ability>
      <abilityName>字词错误</abilityName>
      <candidateList>
        <item>秤</item>
      </candidateList>
      <explain>存在发音相同字词的误用。</explain>
      <paraID>633272AF</paraID>
      <start>4</start>
      <end>5</end>
      <status>unmodified</status>
      <modifiedWord/>
      <trackRevisions>false</trackRevisions>
    </reviewItem>
    <reviewItem>
      <errorID>010281dc-bd36-426a-bda3-5e1c6c0f051e</errorID>
      <errorWord>况</errorWord>
      <group>L1_Word</group>
      <groupName>字词问题</groupName>
      <ability>L2_Typo</ability>
      <abilityName>字词错误</abilityName>
      <candidateList>
        <item>况下</item>
      </candidateList>
      <explain/>
      <paraID>5BC13195</paraID>
      <start>60</start>
      <end>62</end>
      <status>modified</status>
      <modifiedWord>况下</modifiedWord>
      <trackRevisions>false</trackRevisions>
    </reviewItem>
    <reviewItem>
      <errorID>6679dda1-a913-496e-9af2-b8bca76fc852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1B5AF98E</paraID>
      <start>9</start>
      <end>10</end>
      <status>modified</status>
      <modifiedWord>—</modifiedWord>
      <trackRevisions>false</trackRevisions>
    </reviewItem>
    <reviewItem>
      <errorID>c3a21a4a-7068-46e2-bb86-94c4fb71728c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35C33F3B</paraID>
      <start>8</start>
      <end>9</end>
      <status>modified</status>
      <modifiedWord>—</modifiedWord>
      <trackRevisions>false</trackRevisions>
    </reviewItem>
    <reviewItem>
      <errorID>1609c5cb-ef96-4d20-8131-6fc36c015211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56725627</paraID>
      <start>23</start>
      <end>24</end>
      <status>modified</status>
      <modifiedWord>—</modifiedWord>
      <trackRevisions>false</trackRevisions>
    </reviewItem>
    <reviewItem>
      <errorID>ab683fa6-5579-48dd-9167-6d649b388220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1050EEE9</paraID>
      <start>9</start>
      <end>10</end>
      <status>modified</status>
      <modifiedWord>—</modifiedWord>
      <trackRevisions>false</trackRevisions>
    </reviewItem>
    <reviewItem>
      <errorID>080444ea-414e-47a9-bd00-efe875cebad7</errorID>
      <errorWord>牵引勾</errorWord>
      <group>L1_Word</group>
      <groupName>字词问题</groupName>
      <ability>L2_Typo</ability>
      <abilityName>字词错误</abilityName>
      <candidateList>
        <item>牵引钩</item>
      </candidateList>
      <explain/>
      <paraID> 2F88005</paraID>
      <start>12</start>
      <end>15</end>
      <status>modified</status>
      <modifiedWord>牵引钩</modifiedWord>
      <trackRevisions>false</trackRevisions>
    </reviewItem>
    <reviewItem>
      <errorID>491981b7-c9ab-4b07-9f35-36641c8f7cdd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2228C6DF</paraID>
      <start>25</start>
      <end>26</end>
      <status>modified</status>
      <modifiedWord>—</modifiedWord>
      <trackRevisions>false</trackRevisions>
    </reviewItem>
    <reviewItem>
      <errorID>596dbb43-5dc8-444d-9d04-a20c92ee55fc</errorID>
      <errorWord>:</errorWord>
      <group>L1_Format</group>
      <groupName>格式问题</groupName>
      <ability>L2_HalfPunc</ability>
      <abilityName>全半角检查</abilityName>
      <candidateList>
        <item>：</item>
      </candidateList>
      <explain>文本全半角错误。</explain>
      <paraID>2A4869DF</paraID>
      <start>6</start>
      <end>7</end>
      <status>modified</status>
      <modifiedWord>：</modifiedWord>
      <trackRevisions>false</trackRevisions>
    </reviewItem>
    <reviewItem>
      <errorID>ba6fdcee-18fc-49af-91d6-0db7a346a20f</errorID>
      <errorWord>:</errorWord>
      <group>L1_Format</group>
      <groupName>格式问题</groupName>
      <ability>L2_HalfPunc</ability>
      <abilityName>全半角检查</abilityName>
      <candidateList>
        <item>：</item>
      </candidateList>
      <explain>文本全半角错误。</explain>
      <paraID>2C95E04F</paraID>
      <start>6</start>
      <end>7</end>
      <status>modified</status>
      <modifiedWord>：</modifiedWord>
      <trackRevisions>false</trackRevisions>
    </reviewItem>
    <reviewItem>
      <errorID>8a1af995-9c58-4ab4-910e-a527adede581</errorID>
      <errorWord>碘伏</errorWord>
      <group>L1_Knowledge</group>
      <groupName>知识性问题</groupName>
      <ability>L2_Term</ability>
      <abilityName>专业术语</abilityName>
      <candidateList>
        <item>碘附</item>
      </candidateList>
      <explain>医学名词[碘伏]为不规范表述或旧称，其规范书面表述为[碘附]。</explain>
      <paraID>45C61118</paraID>
      <start>40</start>
      <end>42</end>
      <status>unmodified</status>
      <modifiedWord/>
      <trackRevisions>false</trackRevisions>
    </reviewItem>
    <reviewItem>
      <errorID>a182e666-ad55-4049-83c6-10612c1e2b11</errorID>
      <errorWord>碘伏</errorWord>
      <group>L1_Knowledge</group>
      <groupName>知识性问题</groupName>
      <ability>L2_Term</ability>
      <abilityName>专业术语</abilityName>
      <candidateList>
        <item>碘附</item>
      </candidateList>
      <explain>医学名词[碘伏]为不规范表述或旧称，其规范书面表述为[碘附]。</explain>
      <paraID>45C61118</paraID>
      <start>50</start>
      <end>52</end>
      <status>unmodified</status>
      <modifiedWord/>
      <trackRevisions>false</trackRevisions>
    </reviewItem>
    <reviewItem>
      <errorID>9203833d-a810-4156-8496-8941ddc029a5</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45C61118</paraID>
      <start>113</start>
      <end>114</end>
      <status>modified</status>
      <modifiedWord>地</modifiedWord>
      <trackRevisions>false</trackRevisions>
    </reviewItem>
    <reviewItem>
      <errorID>1a7511ed-3f6c-4cb3-ac9a-a49fc8baa910</errorID>
      <errorWord>〉</errorWord>
      <group>L1_Punc</group>
      <groupName>标点问题</groupName>
      <ability>L2_Punc</ability>
      <abilityName>标点符号检查</abilityName>
      <candidateList/>
      <explain/>
      <paraID>713C2675</paraID>
      <start>10</start>
      <end>11</end>
      <status>unmodified</status>
      <modifiedWord/>
      <trackRevisions>false</trackRevisions>
    </reviewItem>
    <reviewItem>
      <errorID>f5a91de3-0a59-4992-b0a0-3683b8ebe13a</errorID>
      <errorWord>死腔</errorWord>
      <group>L1_Knowledge</group>
      <groupName>知识性问题</groupName>
      <ability>L2_Term</ability>
      <abilityName>专业术语</abilityName>
      <candidateList>
        <item>无效腔</item>
      </candidateList>
      <explain>医学名词[死腔]为不规范表述或旧称，其规范书面表述为[无效腔]。</explain>
      <paraID>27B996B9</paraID>
      <start>3</start>
      <end>5</end>
      <status>unmodified</status>
      <modifiedWord/>
      <trackRevisions>false</trackRevisions>
    </reviewItem>
    <reviewItem>
      <errorID>6f4015b9-efa5-411f-91a9-884f0f70afd5</errorID>
      <errorWord>〉</errorWord>
      <group>L1_Punc</group>
      <groupName>标点问题</groupName>
      <ability>L2_Punc</ability>
      <abilityName>标点符号检查</abilityName>
      <candidateList/>
      <explain/>
      <paraID>212ECBCA</paraID>
      <start>10</start>
      <end>11</end>
      <status>unmodified</status>
      <modifiedWord/>
      <trackRevisions>false</trackRevisions>
    </reviewItem>
    <reviewItem>
      <errorID>c40956d4-18ff-4be7-a8be-13090f8ba8c4</errorID>
      <errorWord>；；</errorWord>
      <group>L1_Punc</group>
      <groupName>标点问题</groupName>
      <ability>L2_Punc</ability>
      <abilityName>标点符号检查</abilityName>
      <candidateList>
        <item>；</item>
      </candidateList>
      <explain/>
      <paraID>212ECBCA</paraID>
      <start>17</start>
      <end>18</end>
      <status>modified</status>
      <modifiedWord>；</modifiedWord>
      <trackRevisions>false</trackRevisions>
    </reviewItem>
    <reviewItem>
      <errorID>7f7b0711-09cd-4a4d-ad52-e8ab44e5d25d</errorID>
      <errorWord>死腔</errorWord>
      <group>L1_Knowledge</group>
      <groupName>知识性问题</groupName>
      <ability>L2_Term</ability>
      <abilityName>专业术语</abilityName>
      <candidateList>
        <item>无效腔</item>
      </candidateList>
      <explain>医学名词[死腔]为不规范表述或旧称，其规范书面表述为[无效腔]。</explain>
      <paraID> C4A1F40</paraID>
      <start>3</start>
      <end>5</end>
      <status>unmodified</status>
      <modifiedWord/>
      <trackRevisions>false</trackRevisions>
    </reviewItem>
    <reviewItem>
      <errorID>5c11c6fc-be5d-4991-be0c-2142066eaff8</errorID>
      <errorWord>〉</errorWord>
      <group>L1_Punc</group>
      <groupName>标点问题</groupName>
      <ability>L2_Punc</ability>
      <abilityName>标点符号检查</abilityName>
      <candidateList/>
      <explain/>
      <paraID> 21B23F4</paraID>
      <start>10</start>
      <end>11</end>
      <status>unmodified</status>
      <modifiedWord/>
      <trackRevisions>false</trackRevisions>
    </reviewItem>
    <reviewItem>
      <errorID>06d5dbd6-4f9a-47e7-b1fb-62b2140dda01</errorID>
      <errorWord>；；</errorWord>
      <group>L1_Punc</group>
      <groupName>标点问题</groupName>
      <ability>L2_Punc</ability>
      <abilityName>标点符号检查</abilityName>
      <candidateList>
        <item>；</item>
      </candidateList>
      <explain/>
      <paraID> 21B23F4</paraID>
      <start>18</start>
      <end>19</end>
      <status>modified</status>
      <modifiedWord>；</modifiedWord>
      <trackRevisions>false</trackRevisions>
    </reviewItem>
    <reviewItem>
      <errorID>47c20f6c-d938-4395-a0c5-552c879b36d8</errorID>
      <errorWord>死腔</errorWord>
      <group>L1_Knowledge</group>
      <groupName>知识性问题</groupName>
      <ability>L2_Term</ability>
      <abilityName>专业术语</abilityName>
      <candidateList>
        <item>无效腔</item>
      </candidateList>
      <explain>医学名词[死腔]为不规范表述或旧称，其规范书面表述为[无效腔]。</explain>
      <paraID>34D34D24</paraID>
      <start>3</start>
      <end>5</end>
      <status>unmodified</status>
      <modifiedWord/>
      <trackRevisions>false</trackRevisions>
    </reviewItem>
    <reviewItem>
      <errorID>46c5595c-cc52-4227-92cc-49275c174d06</errorID>
      <errorWord>:</errorWord>
      <group>L1_Format</group>
      <groupName>格式问题</groupName>
      <ability>L2_HalfPunc</ability>
      <abilityName>全半角检查</abilityName>
      <candidateList>
        <item>：</item>
      </candidateList>
      <explain>文本全半角错误。</explain>
      <paraID>56BB3A17</paraID>
      <start>6</start>
      <end>7</end>
      <status>modified</status>
      <modifiedWord>：</modifiedWord>
      <trackRevisions>false</trackRevisions>
    </reviewItem>
    <reviewItem>
      <errorID>bbeb5901-426c-4518-9052-1e7f901d7275</errorID>
      <errorWord>;</errorWord>
      <group>L1_Format</group>
      <groupName>格式问题</groupName>
      <ability>L2_HalfPunc</ability>
      <abilityName>全半角检查</abilityName>
      <candidateList>
        <item>；</item>
      </candidateList>
      <explain>文本全半角错误。</explain>
      <paraID>56BB3A17</paraID>
      <start>11</start>
      <end>12</end>
      <status>modified</status>
      <modifiedWord>；</modifiedWord>
      <trackRevisions>false</trackRevisions>
    </reviewItem>
    <reviewItem>
      <errorID>e72bf92e-c7c8-43e1-b18d-0db6415063d8</errorID>
      <errorWord>:</errorWord>
      <group>L1_Format</group>
      <groupName>格式问题</groupName>
      <ability>L2_HalfPunc</ability>
      <abilityName>全半角检查</abilityName>
      <candidateList>
        <item>：</item>
      </candidateList>
      <explain>文本全半角错误。</explain>
      <paraID>56BB3A17</paraID>
      <start>16</start>
      <end>17</end>
      <status>modified</status>
      <modifiedWord>：</modifiedWord>
      <trackRevisions>false</trackRevisions>
    </reviewItem>
    <reviewItem>
      <errorID>25c12b26-f569-4bcc-8a7f-77c7c4eb0ff5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56BB3A17</paraID>
      <start>20</start>
      <end>21</end>
      <status>modified</status>
      <modifiedWord>—</modifiedWord>
      <trackRevisions>false</trackRevisions>
    </reviewItem>
    <reviewItem>
      <errorID>3cee3da5-52c2-4de8-9a32-2d2b7f472b5c</errorID>
      <errorWord>:</errorWord>
      <group>L1_Format</group>
      <groupName>格式问题</groupName>
      <ability>L2_HalfPunc</ability>
      <abilityName>全半角检查</abilityName>
      <candidateList>
        <item>：</item>
      </candidateList>
      <explain>文本全半角错误。</explain>
      <paraID>5CDAED22</paraID>
      <start>2</start>
      <end>3</end>
      <status>modified</status>
      <modifiedWord>：</modifiedWord>
      <trackRevisions>false</trackRevisions>
    </reviewItem>
    <reviewItem>
      <errorID>0db23477-2cbd-47cc-81f0-b0a4171ca9b3</errorID>
      <errorWord>副</errorWord>
      <group>L1_Word</group>
      <groupName>字词问题</groupName>
      <ability>L2_Typo</ability>
      <abilityName>字词错误</abilityName>
      <candidateList>
        <item>幅</item>
      </candidateList>
      <explain>❶（～儿）〈名〉布帛、呢绒等的宽度：～面｜单～｜双～｜宽～的白布。❷泛指宽度：～度｜～员｜振～。❸（～儿）〈量〉用于布帛、呢绒、图画等：一～画｜用两～布做一个床单儿。</explain>
      <paraID>12333C29</paraID>
      <start>3</start>
      <end>4</end>
      <status>unmodified</status>
      <modifiedWord/>
      <trackRevisions>false</trackRevisions>
    </reviewItem>
    <reviewItem>
      <errorID>1e675bf4-70e0-428c-9c1c-95a3db2a6c05</errorID>
      <errorWord>称</errorWord>
      <group>L1_Word</group>
      <groupName>字词问题</groupName>
      <ability>L2_Typo</ability>
      <abilityName>字词错误</abilityName>
      <candidateList>
        <item>秤</item>
      </candidateList>
      <explain>存在发音相同字词的误用。</explain>
      <paraID>4D351997</paraID>
      <start>4</start>
      <end>5</end>
      <status>unmodified</status>
      <modifiedWord/>
      <trackRevisions>false</trackRevisions>
    </reviewItem>
    <reviewItem>
      <errorID>60dd39c4-d131-4ea6-ba80-5c3211a57124</errorID>
      <errorWord>:</errorWord>
      <group>L1_Format</group>
      <groupName>格式问题</groupName>
      <ability>L2_HalfPunc</ability>
      <abilityName>全半角检查</abilityName>
      <candidateList>
        <item>：</item>
      </candidateList>
      <explain>文本全半角错误。</explain>
      <paraID>49F3B13C</paraID>
      <start>6</start>
      <end>7</end>
      <status>modified</status>
      <modifiedWord>：</modifiedWord>
      <trackRevisions>false</trackRevisions>
    </reviewItem>
    <reviewItem>
      <errorID>88115024-4de9-4948-9a59-e28dc50501b7</errorID>
      <errorWord>最大称量</errorWord>
      <group>L1_Knowledge</group>
      <groupName>知识性问题</groupName>
      <ability>L2_Term</ability>
      <abilityName>专业术语</abilityName>
      <candidateList>
        <item>最大秤量</item>
      </candidateList>
      <explain/>
      <paraID>49F3B13C</paraID>
      <start>7</start>
      <end>11</end>
      <status>unmodified</status>
      <modifiedWord/>
      <trackRevisions>false</trackRevisions>
    </reviewItem>
    <reviewItem>
      <errorID>9bfff8f7-e607-430d-a128-cffd5c3bfcf9</errorID>
      <errorWord>:</errorWord>
      <group>L1_Format</group>
      <groupName>格式问题</groupName>
      <ability>L2_HalfPunc</ability>
      <abilityName>全半角检查</abilityName>
      <candidateList>
        <item>：</item>
      </candidateList>
      <explain>文本全半角错误。</explain>
      <paraID> 2E4E4F5</paraID>
      <start>6</start>
      <end>7</end>
      <status>modified</status>
      <modifiedWord>：</modifiedWord>
      <trackRevisions>false</trackRevisions>
    </reviewItem>
    <reviewItem>
      <errorID>2d186bc0-d102-4cdb-8637-21c925623caf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2E4E4F5</paraID>
      <start>13</start>
      <end>14</end>
      <status>modified</status>
      <modifiedWord>—</modifiedWord>
      <trackRevisions>false</trackRevisions>
    </reviewItem>
    <reviewItem>
      <errorID>1025f90b-e65a-498c-9e99-2b3bc33b0382</errorID>
      <errorWord>(</errorWord>
      <group>L1_Format</group>
      <groupName>格式问题</groupName>
      <ability>L2_HalfPunc</ability>
      <abilityName>全半角检查</abilityName>
      <candidateList>
        <item>（</item>
      </candidateList>
      <explain>文本全半角错误。</explain>
      <paraID>445910D9</paraID>
      <start>14</start>
      <end>15</end>
      <status>modified</status>
      <modifiedWord>（</modifiedWord>
      <trackRevisions>false</trackRevisions>
    </reviewItem>
    <reviewItem>
      <errorID>255b8c55-2e16-4602-b84c-936b7c14d73a</errorID>
      <errorWord>)</errorWord>
      <group>L1_Format</group>
      <groupName>格式问题</groupName>
      <ability>L2_HalfPunc</ability>
      <abilityName>全半角检查</abilityName>
      <candidateList>
        <item>）</item>
      </candidateList>
      <explain>文本全半角错误。</explain>
      <paraID>445910D9</paraID>
      <start>21</start>
      <end>22</end>
      <status>modified</status>
      <modifiedWord>）</modifiedWord>
      <trackRevisions>false</trackRevisions>
    </reviewItem>
    <reviewItem>
      <errorID>c51dce5b-9787-41b7-9507-c48b8c18d33b</errorID>
      <errorWord>:(</errorWord>
      <group>L1_Format</group>
      <groupName>格式问题</groupName>
      <ability>L2_HalfPunc</ability>
      <abilityName>全半角检查</abilityName>
      <candidateList>
        <item>：（</item>
      </candidateList>
      <explain>文本全半角错误。</explain>
      <paraID>4321B150</paraID>
      <start>7</start>
      <end>9</end>
      <status>modified</status>
      <modifiedWord>：（</modifiedWord>
      <trackRevisions>false</trackRevisions>
    </reviewItem>
    <reviewItem>
      <errorID>cde7b3f3-6249-45e2-a5ba-96e0e024cf7a</errorID>
      <errorWord>)</errorWord>
      <group>L1_Format</group>
      <groupName>格式问题</groupName>
      <ability>L2_HalfPunc</ability>
      <abilityName>全半角检查</abilityName>
      <candidateList>
        <item>）</item>
      </candidateList>
      <explain>文本全半角错误。</explain>
      <paraID>4321B150</paraID>
      <start>12</start>
      <end>13</end>
      <status>modified</status>
      <modifiedWord>）</modifiedWord>
      <trackRevisions>false</trackRevisions>
    </reviewItem>
    <reviewItem>
      <errorID>ed063c26-d094-48b6-8831-77398192c23a</errorID>
      <errorWord>:(</errorWord>
      <group>L1_Format</group>
      <groupName>格式问题</groupName>
      <ability>L2_HalfPunc</ability>
      <abilityName>全半角检查</abilityName>
      <candidateList>
        <item>：（</item>
      </candidateList>
      <explain>文本全半角错误。</explain>
      <paraID>3A80B964</paraID>
      <start>6</start>
      <end>8</end>
      <status>modified</status>
      <modifiedWord>：（</modifiedWord>
      <trackRevisions>false</trackRevisions>
    </reviewItem>
    <reviewItem>
      <errorID>ad68fbd6-b243-4722-bcb7-2a3deebc64c0</errorID>
      <errorWord>)</errorWord>
      <group>L1_Format</group>
      <groupName>格式问题</groupName>
      <ability>L2_HalfPunc</ability>
      <abilityName>全半角检查</abilityName>
      <candidateList>
        <item>）</item>
      </candidateList>
      <explain>文本全半角错误。</explain>
      <paraID>3A80B964</paraID>
      <start>13</start>
      <end>14</end>
      <status>modified</status>
      <modifiedWord>）</modifiedWord>
      <trackRevisions>false</trackRevisions>
    </reviewItem>
    <reviewItem>
      <errorID>4200cdd1-df7f-4d66-95e3-85435cde383d</errorID>
      <errorWord>:</errorWord>
      <group>L1_Format</group>
      <groupName>格式问题</groupName>
      <ability>L2_HalfPunc</ability>
      <abilityName>全半角检查</abilityName>
      <candidateList>
        <item>：</item>
      </candidateList>
      <explain>文本全半角错误。</explain>
      <paraID>40F5F744</paraID>
      <start>4</start>
      <end>5</end>
      <status>modified</status>
      <modifiedWord>：</modifiedWord>
      <trackRevisions>false</trackRevisions>
    </reviewItem>
    <reviewItem>
      <errorID>20c346b4-9789-4b86-8baf-54ffa37684dd</errorID>
      <errorWord>:</errorWord>
      <group>L1_Format</group>
      <groupName>格式问题</groupName>
      <ability>L2_HalfPunc</ability>
      <abilityName>全半角检查</abilityName>
      <candidateList>
        <item>：</item>
      </candidateList>
      <explain>文本全半角错误。</explain>
      <paraID>40F5F744</paraID>
      <start>13</start>
      <end>14</end>
      <status>modified</status>
      <modifiedWord>：</modifiedWord>
      <trackRevisions>false</trackRevisions>
    </reviewItem>
    <reviewItem>
      <errorID>7a90e37c-9a27-4d79-acb2-ae53f52dd702</errorID>
      <errorWord>:</errorWord>
      <group>L1_Format</group>
      <groupName>格式问题</groupName>
      <ability>L2_HalfPunc</ability>
      <abilityName>全半角检查</abilityName>
      <candidateList>
        <item>：</item>
      </candidateList>
      <explain>文本全半角错误。</explain>
      <paraID>2D0AFFF0</paraID>
      <start>4</start>
      <end>5</end>
      <status>modified</status>
      <modifiedWord>：</modifiedWord>
      <trackRevisions>false</trackRevisions>
    </reviewItem>
    <reviewItem>
      <errorID>f90ebe0a-352b-4227-ad59-2b3e12675bb2</errorID>
      <errorWord>:</errorWord>
      <group>L1_Format</group>
      <groupName>格式问题</groupName>
      <ability>L2_HalfPunc</ability>
      <abilityName>全半角检查</abilityName>
      <candidateList>
        <item>：</item>
      </candidateList>
      <explain>文本全半角错误。</explain>
      <paraID>78AE73F5</paraID>
      <start>4</start>
      <end>5</end>
      <status>modified</status>
      <modifiedWord>：</modifiedWord>
      <trackRevisions>false</trackRevisions>
    </reviewItem>
    <reviewItem>
      <errorID>f7cc2ccf-e9a5-48d7-be23-507789175fe7</errorID>
      <errorWord>:</errorWord>
      <group>L1_Format</group>
      <groupName>格式问题</groupName>
      <ability>L2_HalfPunc</ability>
      <abilityName>全半角检查</abilityName>
      <candidateList>
        <item>：</item>
      </candidateList>
      <explain>文本全半角错误。</explain>
      <paraID>78AE73F5</paraID>
      <start>11</start>
      <end>12</end>
      <status>modified</status>
      <modifiedWord>：</modifiedWord>
      <trackRevisions>false</trackRevisions>
    </reviewItem>
    <reviewItem>
      <errorID>764d017a-7268-471a-a301-d553dda63b85</errorID>
      <errorWord>:</errorWord>
      <group>L1_Format</group>
      <groupName>格式问题</groupName>
      <ability>L2_HalfPunc</ability>
      <abilityName>全半角检查</abilityName>
      <candidateList>
        <item>：</item>
      </candidateList>
      <explain>文本全半角错误。</explain>
      <paraID>5ED5DD82</paraID>
      <start>7</start>
      <end>8</end>
      <status>modified</status>
      <modifiedWord>：</modifiedWord>
      <trackRevisions>false</trackRevisions>
    </reviewItem>
    <reviewItem>
      <errorID>79709700-7a14-474e-8b74-abeae8e4918b</errorID>
      <errorWord>MM</errorWord>
      <group>L1_Official</group>
      <groupName>公文问题</groupName>
      <ability>L2_Official</ability>
      <abilityName>公文问题</abilityName>
      <candidateList/>
      <explain>公文中禁止出现该词语</explain>
      <paraID>5ED5DD82</paraID>
      <start>12</start>
      <end>14</end>
      <status>unmodified</status>
      <modifiedWord/>
      <trackRevisions>false</trackRevisions>
    </reviewItem>
    <reviewItem>
      <errorID>07dc88b4-f7cc-4fa4-8ad2-cb4efd4b19fb</errorID>
      <errorWord>:</errorWord>
      <group>L1_Format</group>
      <groupName>格式问题</groupName>
      <ability>L2_HalfPunc</ability>
      <abilityName>全半角检查</abilityName>
      <candidateList>
        <item>：</item>
      </candidateList>
      <explain>文本全半角错误。</explain>
      <paraID>5ED5DD82</paraID>
      <start>20</start>
      <end>21</end>
      <status>modified</status>
      <modifiedWord>：</modifiedWord>
      <trackRevisions>false</trackRevisions>
    </reviewItem>
    <reviewItem>
      <errorID>2241fdc8-6d6e-43cb-9665-52d14a01edd7</errorID>
      <errorWord>MM</errorWord>
      <group>L1_Official</group>
      <groupName>公文问题</groupName>
      <ability>L2_Official</ability>
      <abilityName>公文问题</abilityName>
      <candidateList/>
      <explain>公文中禁止出现该词语</explain>
      <paraID>5ED5DD82</paraID>
      <start>25</start>
      <end>27</end>
      <status>unmodified</status>
      <modifiedWord/>
      <trackRevisions>false</trackRevisions>
    </reviewItem>
    <reviewItem>
      <errorID>95a3ea50-72d7-46e9-a397-469093f08dab</errorID>
      <errorWord>:</errorWord>
      <group>L1_Format</group>
      <groupName>格式问题</groupName>
      <ability>L2_HalfPunc</ability>
      <abilityName>全半角检查</abilityName>
      <candidateList>
        <item>：</item>
      </candidateList>
      <explain>文本全半角错误。</explain>
      <paraID>2F3E81CB</paraID>
      <start>4</start>
      <end>5</end>
      <status>modified</status>
      <modifiedWord>：</modifiedWord>
      <trackRevisions>false</trackRevisions>
    </reviewItem>
    <reviewItem>
      <errorID>bb79f7a0-be1d-4b8f-95ae-2b8c66c198a3</errorID>
      <errorWord>，；</errorWord>
      <group>L1_Punc</group>
      <groupName>标点问题</groupName>
      <ability>L2_Punc</ability>
      <abilityName>标点符号检查</abilityName>
      <candidateList>
        <item>，</item>
      </candidateList>
      <explain/>
      <paraID>2F3E81CB</paraID>
      <start>10</start>
      <end>12</end>
      <status>unmodified</status>
      <modifiedWord/>
      <trackRevisions>false</trackRevisions>
    </reviewItem>
    <reviewItem>
      <errorID>6713a1f9-2aa2-486f-b806-1892fefc965e</errorID>
      <errorWord>:</errorWord>
      <group>L1_Format</group>
      <groupName>格式问题</groupName>
      <ability>L2_HalfPunc</ability>
      <abilityName>全半角检查</abilityName>
      <candidateList>
        <item>：</item>
      </candidateList>
      <explain>文本全半角错误。</explain>
      <paraID>6B3621CC</paraID>
      <start>4</start>
      <end>5</end>
      <status>modified</status>
      <modifiedWord>：</modifiedWord>
      <trackRevisions>false</trackRevisions>
    </reviewItem>
    <reviewItem>
      <errorID>7945ae35-656b-4ce5-a8b3-e6544dee944f</errorID>
      <errorWord>:</errorWord>
      <group>L1_Format</group>
      <groupName>格式问题</groupName>
      <ability>L2_HalfPunc</ability>
      <abilityName>全半角检查</abilityName>
      <candidateList>
        <item>：</item>
      </candidateList>
      <explain>文本全半角错误。</explain>
      <paraID>6B3621CC</paraID>
      <start>16</start>
      <end>17</end>
      <status>modified</status>
      <modifiedWord>：</modifiedWord>
      <trackRevisions>false</trackRevisions>
    </reviewItem>
    <reviewItem>
      <errorID>efe22bdf-a98d-4ebe-bde9-479f7c613230</errorID>
      <errorWord>紫外线消毒车</errorWord>
      <group>L1_Knowledge</group>
      <groupName>知识性问题</groupName>
      <ability>L2_Term</ability>
      <abilityName>专业术语</abilityName>
      <candidateList>
        <item>紫外线消毒灯</item>
      </candidateList>
      <explain/>
      <paraID>277547AC</paraID>
      <start>5</start>
      <end>11</end>
      <status>unmodified</status>
      <modifiedWord/>
      <trackRevisions>false</trackRevisions>
    </reviewItem>
    <reviewItem>
      <errorID>513fa962-0544-49d9-a5fe-ad854adee252</errorID>
      <errorWord>冷乱板</errorWord>
      <group>L1_Word</group>
      <groupName>字词问题</groupName>
      <ability>L2_Typo</ability>
      <abilityName>字词错误</abilityName>
      <candidateList>
        <item>冷轧板</item>
      </candidateList>
      <explain/>
      <paraID>360230B1</paraID>
      <start>8</start>
      <end>11</end>
      <status>modified</status>
      <modifiedWord>冷轧板</modifiedWord>
      <trackRevisions>false</trackRevisions>
    </reviewItem>
    <reviewItem>
      <errorID>e34acdaa-142c-4990-8207-32d27ad278c1</errorID>
      <errorWord>配条</errorWord>
      <group>L1_Word</group>
      <groupName>字词问题</groupName>
      <ability>L2_Typo</ability>
      <abilityName>字词错误</abilityName>
      <candidateList>
        <item>配套</item>
      </candidateList>
      <explain>存在发音相近字词的误用。</explain>
      <paraID>1545A70F</paraID>
      <start>5</start>
      <end>7</end>
      <status>modified</status>
      <modifiedWord>配套</modifiedWord>
      <trackRevisions>false</trackRevisions>
    </reviewItem>
    <reviewItem>
      <errorID>9ef64b63-d41c-4e0d-a448-5047de3a397e</errorID>
      <errorWord>中科院</errorWord>
      <group>L1_Knowledge</group>
      <groupName>知识性问题</groupName>
      <ability>L2_Knowledge</ability>
      <abilityName>其他知识</abilityName>
      <candidateList>
        <item>中国科学院</item>
      </candidateList>
      <explain/>
      <paraID>2B320E9C</paraID>
      <start>22</start>
      <end>25</end>
      <status>unmodified</status>
      <modifiedWord/>
      <trackRevisions>false</trackRevisions>
    </reviewItem>
    <reviewItem>
      <errorID>75c92b5f-eef2-41a8-9051-426d50a7cdaa</errorID>
      <errorWord>签定合同</errorWord>
      <group>L1_Word</group>
      <groupName>字词问题</groupName>
      <ability>L2_Typo</ability>
      <abilityName>字词错误</abilityName>
      <candidateList>
        <item>签订合同</item>
      </candidateList>
      <explain/>
      <paraID>4BD97CD7</paraID>
      <start>8</start>
      <end>12</end>
      <status>modified</status>
      <modifiedWord>签订合同</modifiedWord>
      <trackRevisions>false</trackRevisions>
    </reviewItem>
    <reviewItem>
      <errorID>f31deb8e-c05a-4a33-98d5-2f5307c706c1</errorID>
      <errorWord>适应</errorWord>
      <group>L1_Word</group>
      <groupName>字词问题</groupName>
      <ability>L2_Typo</ability>
      <abilityName>字词错误</abilityName>
      <candidateList>
        <item>适用</item>
      </candidateList>
      <explain>〈形〉适合使用：这套耕作方法，在我们这个地区也完全～。</explain>
      <paraID>6E221361</paraID>
      <start>47</start>
      <end>49</end>
      <status>modified</status>
      <modifiedWord>适用</modifiedWord>
      <trackRevisions>false</trackRevisions>
    </reviewItem>
    <reviewItem>
      <errorID>1d0fbacb-9480-4c65-a96e-5317e23c82d8</errorID>
      <errorWord>格</errorWord>
      <group>L1_Word</group>
      <groupName>字词问题</groupName>
      <ability>L2_Typo</ability>
      <abilityName>字词错误</abilityName>
      <candidateList>
        <item>格及</item>
      </candidateList>
      <explain/>
      <paraID>7EB12F14</paraID>
      <start>114</start>
      <end>115</end>
      <status>unmodified</status>
      <modifiedWord/>
      <trackRevisions>false</trackRevisions>
    </reviewItem>
    <reviewItem>
      <errorID>aff9bf91-45d3-49cc-b29c-54af1d44c18c</errorID>
      <errorWord>费</errorWord>
      <group>L1_Word</group>
      <groupName>字词问题</groupName>
      <ability>L2_Typo</ability>
      <abilityName>字词错误</abilityName>
      <candidateList>
        <item>费用</item>
      </candidateList>
      <explain/>
      <paraID>7EB12F14</paraID>
      <start>160</start>
      <end>162</end>
      <status>modified</status>
      <modifiedWord>费用</modifiedWord>
      <trackRevisions>false</trackRevisions>
    </reviewItem>
    <reviewItem>
      <errorID>e8a17be4-6654-486a-98c0-dfdf61d84081</errorID>
      <errorWord>件</errorWord>
      <group>L1_Word</group>
      <groupName>字词问题</groupName>
      <ability>L2_Typo</ability>
      <abilityName>字词错误</abilityName>
      <candidateList>
        <item>件中</item>
      </candidateList>
      <explain/>
      <paraID>37964EB4</paraID>
      <start>7</start>
      <end>9</end>
      <status>modified</status>
      <modifiedWord>件中</modifiedWord>
      <trackRevisions>false</trackRevisions>
    </reviewItem>
    <reviewItem>
      <errorID>b9610a4c-7ff5-431e-b518-0333ea1f6edd</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4449632B</paraID>
      <start>0</start>
      <end>2</end>
      <status>modified</status>
      <modifiedWord>a.</modifiedWord>
      <trackRevisions>false</trackRevisions>
    </reviewItem>
    <reviewItem>
      <errorID>69de79c1-706c-4f49-a3eb-3a50cfca4ffa</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1FC8044A</paraID>
      <start>0</start>
      <end>2</end>
      <status>modified</status>
      <modifiedWord>b.</modifiedWord>
      <trackRevisions>false</trackRevisions>
    </reviewItem>
    <reviewItem>
      <errorID>be5016e8-8357-4efa-88b8-47fc64c3cffb</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72690771</paraID>
      <start>0</start>
      <end>2</end>
      <status>modified</status>
      <modifiedWord>c.</modifiedWord>
      <trackRevisions>false</trackRevisions>
    </reviewItem>
    <reviewItem>
      <errorID>dec52349-3be7-4253-ae6e-1a207ca66a3e</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18F8819A</paraID>
      <start>0</start>
      <end>2</end>
      <status>modified</status>
      <modifiedWord>d.</modifiedWord>
      <trackRevisions>false</trackRevisions>
    </reviewItem>
    <reviewItem>
      <errorID>6688add9-aafe-4038-ba04-c6253371a5ad</errorID>
      <errorWord>赔偿和</errorWord>
      <group>L1_Word</group>
      <groupName>字词问题</groupName>
      <ability>L2_Typo</ability>
      <abilityName>字词错误</abilityName>
      <candidateList>
        <item>赔偿</item>
      </candidateList>
      <explain/>
      <paraID> FE45518</paraID>
      <start>110</start>
      <end>113</end>
      <status>unmodified</status>
      <modifiedWord/>
      <trackRevisions>false</trackRevisions>
    </reviewItem>
    <reviewItem>
      <errorID>37bf5634-f7a0-4df3-9120-520d6706cd50</errorID>
      <errorWord>第49条</errorWord>
      <group>L1_Knowledge</group>
      <groupName>知识性问题</groupName>
      <ability>L2_Knowledge</ability>
      <abilityName>其他知识</abilityName>
      <candidateList>
        <item>第四十九条</item>
      </candidateList>
      <explain/>
      <paraID>130367D3</paraID>
      <start>17</start>
      <end>21</end>
      <status>unmodified</status>
      <modifiedWord/>
      <trackRevisions>false</trackRevisions>
    </reviewItem>
    <reviewItem>
      <errorID>1d820eb6-42e3-4aee-af56-ceb08d3d2064</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71DFFB5A</paraID>
      <start>136</start>
      <end>139</end>
      <status>unmodified</status>
      <modifiedWord/>
      <trackRevisions>false</trackRevisions>
    </reviewItem>
    <reviewItem>
      <errorID>ddf54ac8-5c68-40bb-8b01-3caa47ddc509</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1EAB17A2</paraID>
      <start>33</start>
      <end>36</end>
      <status>unmodified</status>
      <modifiedWord/>
      <trackRevisions>false</trackRevisions>
    </reviewItem>
    <reviewItem>
      <errorID>dba87182-caf8-4da5-9780-9923f91b99f5</errorID>
      <errorWord>如有</errorWord>
      <group>L1_Word</group>
      <groupName>字词问题</groupName>
      <ability>L2_Typo</ability>
      <abilityName>字词错误</abilityName>
      <candidateList>
        <item>如</item>
      </candidateList>
      <explain/>
      <paraID>7B7BA09F</paraID>
      <start>26</start>
      <end>27</end>
      <status>modified</status>
      <modifiedWord>如</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0cdb11-93c4-4ca2-9e1a-917a5b35c74e}">
  <ds:schemaRefs/>
</ds:datastoreItem>
</file>

<file path=docProps/app.xml><?xml version="1.0" encoding="utf-8"?>
<Properties xmlns="http://schemas.openxmlformats.org/officeDocument/2006/extended-properties" xmlns:vt="http://schemas.openxmlformats.org/officeDocument/2006/docPropsVTypes">
  <Template>Normal.dotm</Template>
  <Pages>84</Pages>
  <Words>7795</Words>
  <Characters>8293</Characters>
  <Lines>0</Lines>
  <Paragraphs>0</Paragraphs>
  <TotalTime>2</TotalTime>
  <ScaleCrop>false</ScaleCrop>
  <LinksUpToDate>false</LinksUpToDate>
  <CharactersWithSpaces>8367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2025-12-16T01:57:00Z</dcterms:created>
  <dc:creator>Administrator</dc:creator>
  <cp:lastModifiedBy>小满</cp:lastModifiedBy>
  <dcterms:modified xsi:type="dcterms:W3CDTF">2026-07-02T09:50:18Z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KSOTemplateDocerSaveRecord">
    <vt:lpwstr>eyJoZGlkIjoiZDg1ZmUyN2M3YzE0YWYwY2U3YTY0NDM1ZTI1OGNhZjkiLCJ1c2VySWQiOiI0MzM4ODMwMDQifQ==</vt:lpwstr>
  </property>
  <property fmtid="{D5CDD505-2E9C-101B-9397-08002B2CF9AE}" pid="4" name="ICV">
    <vt:lpwstr>AC5A58DAB0DF4F2F93A2BB8120F37D43_13</vt:lpwstr>
  </property>
</Properties>
</file>