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bookmarkStart w:id="0" w:name="_Toc5810"/>
      <w:bookmarkStart w:id="1" w:name="_Toc13216"/>
      <w:bookmarkStart w:id="2" w:name="_Toc32562"/>
      <w:bookmarkStart w:id="3" w:name="_Toc125127182"/>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w:t>
      </w:r>
      <w:r>
        <w:rPr>
          <w:rFonts w:hint="default" w:ascii="方正小标宋简体" w:hAnsi="Times New Roman" w:eastAsia="方正小标宋简体" w:cs="Times New Roman"/>
          <w:color w:val="auto"/>
          <w:kern w:val="2"/>
          <w:sz w:val="44"/>
          <w:szCs w:val="44"/>
          <w:highlight w:val="none"/>
          <w:lang w:eastAsia="zh-CN" w:bidi="ar-SA"/>
        </w:rPr>
        <w:t>龙岗区</w:t>
      </w:r>
      <w:r>
        <w:rPr>
          <w:rFonts w:hint="eastAsia" w:ascii="方正小标宋简体" w:hAnsi="Times New Roman" w:eastAsia="方正小标宋简体" w:cs="Times New Roman"/>
          <w:color w:val="auto"/>
          <w:kern w:val="2"/>
          <w:sz w:val="44"/>
          <w:szCs w:val="44"/>
          <w:highlight w:val="none"/>
          <w:lang w:val="en-US" w:eastAsia="zh-CN" w:bidi="ar-SA"/>
        </w:rPr>
        <w:t>2026年中央资金消费新业态新模式新场景试点（支持优质消费资源与知名IP跨界联名—“IP+”消费场景集聚区资助项目）申报指南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鼓励商业综合体、商圈街区等，汇聚符合社会主义核心价值观、具有正确价值导向的全球知名IP、国潮IP、历史文化IP、本地特色IP，打造具有特色和吸引力的“IP+”综合消费场景。</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15437"/>
      <w:bookmarkStart w:id="7" w:name="_Toc8852"/>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21755"/>
      <w:bookmarkStart w:id="9" w:name="_Toc18411"/>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w:t>
      </w:r>
      <w:r>
        <w:rPr>
          <w:rFonts w:hint="default"/>
          <w:color w:val="auto"/>
          <w:highlight w:val="none"/>
          <w:lang w:eastAsia="zh-CN"/>
        </w:rPr>
        <w:t>龙岗区</w:t>
      </w:r>
      <w:r>
        <w:rPr>
          <w:rFonts w:hint="eastAsia" w:ascii="仿宋_GB2312" w:eastAsia="仿宋_GB2312"/>
          <w:color w:val="auto"/>
          <w:highlight w:val="none"/>
          <w:lang w:val="en-US" w:eastAsia="zh-CN"/>
        </w:rPr>
        <w:t>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w:t>
      </w:r>
      <w:r>
        <w:rPr>
          <w:rFonts w:hint="default"/>
          <w:color w:val="auto"/>
          <w:highlight w:val="none"/>
          <w:lang w:eastAsia="zh-CN"/>
        </w:rPr>
        <w:t>龙岗区</w:t>
      </w:r>
      <w:r>
        <w:rPr>
          <w:rFonts w:hint="eastAsia" w:ascii="仿宋_GB2312" w:eastAsia="仿宋_GB2312"/>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w:t>
      </w:r>
      <w:r>
        <w:rPr>
          <w:rFonts w:hint="default"/>
          <w:color w:val="auto"/>
          <w:highlight w:val="none"/>
          <w:lang w:val="en-US" w:eastAsia="zh-CN"/>
        </w:rPr>
        <w:t>项目</w:t>
      </w:r>
      <w:r>
        <w:rPr>
          <w:rFonts w:hint="eastAsia"/>
          <w:color w:val="auto"/>
          <w:highlight w:val="none"/>
          <w:lang w:val="en-US" w:eastAsia="zh-CN"/>
        </w:rPr>
        <w:t>须</w:t>
      </w:r>
      <w:r>
        <w:rPr>
          <w:rFonts w:hint="default"/>
          <w:color w:val="auto"/>
          <w:highlight w:val="none"/>
          <w:lang w:val="en-US" w:eastAsia="zh-CN"/>
        </w:rPr>
        <w:t>通过合法授权、整体规划、统一运营打造规模化IP消费场景集聚区</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集聚区内</w:t>
      </w:r>
      <w:r>
        <w:rPr>
          <w:rFonts w:hint="eastAsia"/>
          <w:color w:val="auto"/>
          <w:highlight w:val="none"/>
          <w:lang w:val="en-US" w:eastAsia="zh-CN"/>
        </w:rPr>
        <w:t>须</w:t>
      </w:r>
      <w:r>
        <w:rPr>
          <w:rFonts w:hint="default"/>
          <w:color w:val="auto"/>
          <w:highlight w:val="none"/>
          <w:lang w:val="en-US" w:eastAsia="zh-CN"/>
        </w:rPr>
        <w:t>汇聚10家以上影视、游戏、动漫、国潮、历史文化等IP主题店铺</w:t>
      </w:r>
      <w:r>
        <w:rPr>
          <w:rFonts w:hint="eastAsia"/>
          <w:color w:val="auto"/>
          <w:highlight w:val="none"/>
          <w:lang w:val="en-US" w:eastAsia="zh-CN"/>
        </w:rPr>
        <w:t>，并具备覆盖</w:t>
      </w:r>
      <w:r>
        <w:rPr>
          <w:rFonts w:hint="default"/>
          <w:color w:val="auto"/>
          <w:highlight w:val="none"/>
          <w:lang w:val="en-US" w:eastAsia="zh-CN"/>
        </w:rPr>
        <w:t>零售、体验消费、数字内容消费、跨界联名消费、社交娱乐等2类以上IP衍生消费场景</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集聚区内月均提供服务次数不低于3万次</w:t>
      </w:r>
      <w:r>
        <w:rPr>
          <w:rFonts w:hint="eastAsia"/>
          <w:color w:val="auto"/>
          <w:highlight w:val="none"/>
          <w:lang w:val="en-US" w:eastAsia="zh-CN"/>
        </w:rPr>
        <w:t>（统计周期为2025年9月30日至申报受理前一个月月末；月均值按该期间实际运营数据计算，不足一个月的部分，按日均值折算为月均值）。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支持商业综合体、商圈街区等载体，通过合法授权、整体规划、统一运营打造规模化IP消费场景集聚区</w:t>
      </w:r>
      <w:r>
        <w:rPr>
          <w:rStyle w:val="19"/>
          <w:rFonts w:hint="eastAsia" w:cs="仿宋_GB2312"/>
          <w:color w:val="auto"/>
          <w:sz w:val="32"/>
          <w:szCs w:val="32"/>
          <w:highlight w:val="none"/>
          <w:lang w:val="en-US" w:eastAsia="zh-CN"/>
        </w:rPr>
        <w:t>，</w:t>
      </w:r>
      <w:r>
        <w:rPr>
          <w:rFonts w:hint="eastAsia" w:ascii="仿宋_GB2312" w:eastAsia="仿宋_GB2312"/>
          <w:color w:val="auto"/>
          <w:highlight w:val="none"/>
          <w:lang w:val="en-US" w:eastAsia="zh-CN"/>
        </w:rPr>
        <w:t>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15%给予资助，试点期间最高不超过200万元。</w:t>
      </w:r>
    </w:p>
    <w:p>
      <w:pPr>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2025年9月30日以来至申报日，申报主体打造规模化</w:t>
      </w:r>
      <w:r>
        <w:rPr>
          <w:rStyle w:val="19"/>
          <w:rFonts w:hint="eastAsia"/>
          <w:color w:val="auto"/>
          <w:sz w:val="32"/>
          <w:szCs w:val="32"/>
          <w:highlight w:val="none"/>
          <w:lang w:val="en-US" w:eastAsia="zh-CN"/>
        </w:rPr>
        <w:t>IP消费场景集聚区</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w:t>
      </w:r>
      <w:r>
        <w:rPr>
          <w:rFonts w:hint="default"/>
          <w:highlight w:val="none"/>
        </w:rPr>
        <w:t>登录广东政务服务网在线下载填报申请书（网址：</w:t>
      </w:r>
      <w:r>
        <w:rPr>
          <w:rFonts w:hint="eastAsia" w:ascii="仿宋_GB2312" w:hAnsi="仿宋_GB2312" w:eastAsia="仿宋_GB2312" w:cs="Times New Roman"/>
          <w:color w:val="auto"/>
          <w:sz w:val="32"/>
          <w:szCs w:val="32"/>
          <w:highlight w:val="none"/>
          <w:lang w:val="en-US" w:eastAsia="zh-CN"/>
        </w:rPr>
        <w:t>http://www.gdzwfw.gov.cn/—选择“深圳市”—</w:t>
      </w:r>
      <w:r>
        <w:rPr>
          <w:rFonts w:hint="default" w:cs="Times New Roman"/>
          <w:color w:val="auto"/>
          <w:sz w:val="32"/>
          <w:szCs w:val="32"/>
          <w:highlight w:val="none"/>
          <w:lang w:eastAsia="zh-CN"/>
        </w:rPr>
        <w:t>龙岗</w:t>
      </w:r>
      <w:r>
        <w:rPr>
          <w:rFonts w:hint="eastAsia" w:ascii="仿宋_GB2312" w:hAnsi="仿宋_GB2312" w:eastAsia="仿宋_GB2312" w:cs="Times New Roman"/>
          <w:color w:val="auto"/>
          <w:sz w:val="32"/>
          <w:szCs w:val="32"/>
          <w:highlight w:val="none"/>
          <w:lang w:val="en-US" w:eastAsia="zh-CN"/>
        </w:rPr>
        <w:t>区—</w:t>
      </w:r>
      <w:r>
        <w:rPr>
          <w:rFonts w:hint="default" w:cs="Times New Roman"/>
          <w:color w:val="auto"/>
          <w:sz w:val="32"/>
          <w:szCs w:val="32"/>
          <w:highlight w:val="none"/>
          <w:lang w:eastAsia="zh-CN"/>
        </w:rPr>
        <w:t>深圳市消费新业态新模式新场景试点项目（选择申报方向）—</w:t>
      </w:r>
      <w:r>
        <w:rPr>
          <w:rFonts w:hint="eastAsia" w:ascii="仿宋_GB2312" w:hAnsi="仿宋_GB2312" w:eastAsia="仿宋_GB2312" w:cs="Times New Roman"/>
          <w:color w:val="auto"/>
          <w:sz w:val="32"/>
          <w:szCs w:val="32"/>
          <w:highlight w:val="none"/>
          <w:lang w:val="en-US" w:eastAsia="zh-CN"/>
        </w:rPr>
        <w:t>点击“在线办理”—登录后按要求填报并上传申请材料—点击提交</w:t>
      </w:r>
      <w:r>
        <w:rPr>
          <w:rFonts w:hint="default"/>
          <w:highlight w:val="none"/>
        </w:rPr>
        <w:t>），预审通过后提供申请书纸质文件原件并将本指南第六条要求的项目材料一并提交至龙岗区政务服务中心或分中心，线下受理地址请在线上申报系统申请页面查询或咨询龙岗区商务局（逾期未申报者视为自动放弃）。</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授权与运营材料：相关IP授权协议或合作协议（须体现合法授权），整体规划及统一运营方案。</w:t>
      </w:r>
    </w:p>
    <w:p>
      <w:pPr>
        <w:bidi w:val="0"/>
        <w:rPr>
          <w:rFonts w:hint="default"/>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.集聚</w:t>
      </w:r>
      <w:r>
        <w:rPr>
          <w:rFonts w:hint="default"/>
          <w:color w:val="auto"/>
          <w:highlight w:val="none"/>
          <w:lang w:val="en-US" w:eastAsia="zh-CN"/>
        </w:rPr>
        <w:t>规模材料：IP主题店铺清单（含店铺名称、IP类型、合作方式），及店铺租赁合同或入驻协议（须体现不少于10家）。</w:t>
      </w:r>
    </w:p>
    <w:p>
      <w:pPr>
        <w:bidi w:val="0"/>
        <w:rPr>
          <w:rFonts w:hint="default"/>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.业态场景材料：说明已具备的IP衍生消费场景（至少2类），并简要描述场景内容。</w:t>
      </w:r>
    </w:p>
    <w:p>
      <w:pPr>
        <w:bidi w:val="0"/>
        <w:rPr>
          <w:rFonts w:hint="eastAsia"/>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.服务次数材料：后台服务记录、消费订单数据等（须体现不低于3万次）。</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w:t>
      </w:r>
      <w:r>
        <w:rPr>
          <w:rFonts w:hint="default"/>
          <w:color w:val="auto"/>
          <w:highlight w:val="none"/>
          <w:lang w:eastAsia="zh-CN"/>
        </w:rPr>
        <w:t>，需刻录成光盘</w:t>
      </w:r>
      <w:r>
        <w:rPr>
          <w:rFonts w:hint="default"/>
          <w:color w:val="auto"/>
          <w:highlight w:val="none"/>
          <w:lang w:val="en-US" w:eastAsia="zh-CN"/>
        </w:rPr>
        <w:t>）装订成册，在封面加盖单位公章并加盖骑缝章（其中，申报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keepNext/>
        <w:keepLines/>
        <w:widowControl w:val="0"/>
        <w:bidi w:val="0"/>
        <w:spacing w:before="0" w:beforeLines="0" w:beforeAutospacing="0" w:after="0" w:afterLines="0" w:afterAutospacing="0" w:line="560" w:lineRule="exact"/>
        <w:ind w:firstLine="640" w:firstLineChars="200"/>
        <w:jc w:val="both"/>
        <w:outlineLvl w:val="0"/>
        <w:rPr>
          <w:rFonts w:hint="default" w:hAnsi="Calibri" w:cs="Times New Roman"/>
          <w:color w:val="auto"/>
          <w:sz w:val="32"/>
          <w:szCs w:val="32"/>
          <w:highlight w:val="none"/>
          <w:lang w:eastAsia="zh-CN"/>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default" w:hAnsi="Calibri" w:cs="Times New Roman"/>
          <w:color w:val="auto"/>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20121"/>
      <w:bookmarkStart w:id="19" w:name="_Toc13760"/>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default" w:cs="仿宋_GB2312"/>
          <w:color w:val="auto"/>
          <w:sz w:val="32"/>
          <w:szCs w:val="32"/>
          <w:highlight w:val="none"/>
          <w:u w:val="none"/>
          <w:lang w:eastAsia="zh-CN"/>
        </w:rPr>
        <w:t>深圳市龙岗区商务局</w:t>
      </w:r>
      <w:r>
        <w:rPr>
          <w:rFonts w:hint="eastAsia" w:ascii="仿宋_GB2312" w:hAnsi="仿宋_GB2312" w:eastAsia="仿宋_GB2312" w:cs="仿宋_GB2312"/>
          <w:color w:val="auto"/>
          <w:sz w:val="32"/>
          <w:szCs w:val="32"/>
          <w:highlight w:val="none"/>
        </w:rPr>
        <w:t>。</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13</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日-2026年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17</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收件地址</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highlight w:val="none"/>
        </w:rPr>
        <w:t>龙岗区政务服务中心或分中心，线</w:t>
      </w:r>
      <w:bookmarkStart w:id="40" w:name="_GoBack"/>
      <w:bookmarkEnd w:id="40"/>
      <w:r>
        <w:rPr>
          <w:rFonts w:hint="default"/>
          <w:highlight w:val="none"/>
        </w:rPr>
        <w:t>下受理地址请在线上申报系统申请页面查询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default" w:cs="仿宋_GB2312"/>
          <w:color w:val="000000" w:themeColor="text1"/>
          <w:sz w:val="32"/>
          <w:szCs w:val="32"/>
          <w:highlight w:val="none"/>
          <w:u w:val="none"/>
          <w:lang w:eastAsia="zh-CN"/>
          <w14:textFill>
            <w14:solidFill>
              <w14:schemeClr w14:val="tx1"/>
            </w14:solidFill>
          </w14:textFill>
        </w:rPr>
        <w:t>0755-28682380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spacing w:before="0" w:after="0" w:line="560" w:lineRule="exact"/>
        <w:ind w:firstLine="640" w:firstLineChars="200"/>
        <w:rPr>
          <w:rFonts w:ascii="仿宋_GB2312" w:hAnsi="仿宋_GB2312" w:eastAsia="仿宋_GB2312" w:cs="仿宋_GB2312"/>
          <w:color w:val="auto"/>
          <w:sz w:val="32"/>
          <w:szCs w:val="32"/>
          <w:highlight w:val="none"/>
        </w:rPr>
      </w:pPr>
      <w:bookmarkStart w:id="22" w:name="_Toc125127183"/>
      <w:bookmarkStart w:id="23" w:name="_Toc161850809"/>
      <w:bookmarkStart w:id="24" w:name="_Toc2137"/>
      <w:bookmarkStart w:id="25" w:name="_Toc10305"/>
      <w:r>
        <w:rPr>
          <w:rFonts w:hint="default" w:cs="仿宋_GB2312"/>
          <w:color w:val="auto"/>
          <w:sz w:val="32"/>
          <w:szCs w:val="32"/>
          <w:highlight w:val="none"/>
          <w:u w:val="none"/>
          <w:lang w:eastAsia="zh-CN"/>
        </w:rPr>
        <w:t>深圳市龙岗区商务局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1274"/>
      <w:bookmarkStart w:id="27" w:name="_Toc16198"/>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发布申报指南——申报单位网上申报——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网上初审——申报单位向</w:t>
      </w:r>
      <w:r>
        <w:rPr>
          <w:rFonts w:hint="default" w:cs="Times New Roman"/>
          <w:color w:val="000000" w:themeColor="text1"/>
          <w:sz w:val="32"/>
          <w:szCs w:val="32"/>
          <w:highlight w:val="none"/>
          <w:lang w:eastAsia="zh-CN" w:bidi="ar"/>
          <w14:textFill>
            <w14:solidFill>
              <w14:schemeClr w14:val="tx1"/>
            </w14:solidFill>
          </w14:textFill>
        </w:rPr>
        <w:t>龙岗区</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政务服务中心</w:t>
      </w:r>
      <w:r>
        <w:rPr>
          <w:rFonts w:hint="default" w:cs="Times New Roman"/>
          <w:color w:val="000000" w:themeColor="text1"/>
          <w:sz w:val="32"/>
          <w:szCs w:val="32"/>
          <w:highlight w:val="none"/>
          <w:lang w:eastAsia="zh-CN" w:bidi="ar"/>
          <w14:textFill>
            <w14:solidFill>
              <w14:schemeClr w14:val="tx1"/>
            </w14:solidFill>
          </w14:textFill>
        </w:rPr>
        <w:t>或分中心</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收文窗口提交申请材料——</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开展形式审查——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开展资质审查——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（举报电话</w:t>
      </w:r>
      <w:r>
        <w:rPr>
          <w:rFonts w:hint="default"/>
          <w:color w:val="000000" w:themeColor="text1"/>
          <w:highlight w:val="none"/>
          <w:lang w:eastAsia="zh-CN"/>
          <w14:textFill>
            <w14:solidFill>
              <w14:schemeClr w14:val="tx1"/>
            </w14:solidFill>
          </w14:textFill>
        </w:rPr>
        <w:t>：</w:t>
      </w:r>
      <w:r>
        <w:rPr>
          <w:rFonts w:hint="default" w:cs="仿宋_GB2312"/>
          <w:color w:val="000000" w:themeColor="text1"/>
          <w:sz w:val="32"/>
          <w:szCs w:val="32"/>
          <w:highlight w:val="none"/>
          <w:u w:val="none"/>
          <w:lang w:eastAsia="zh-CN"/>
          <w14:textFill>
            <w14:solidFill>
              <w14:schemeClr w14:val="tx1"/>
            </w14:solidFill>
          </w14:textFill>
        </w:rPr>
        <w:t>0755-28682380、28281450</w:t>
      </w:r>
      <w:r>
        <w:rPr>
          <w:rFonts w:hint="eastAsia"/>
          <w:color w:val="000000" w:themeColor="text1"/>
          <w:highlight w:val="none"/>
          <w:lang w:val="en-US" w:eastAsia="zh-CN"/>
          <w14:textFill>
            <w14:solidFill>
              <w14:schemeClr w14:val="tx1"/>
            </w14:solidFill>
          </w14:textFill>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rPr>
          <w:rFonts w:hint="eastAsia"/>
          <w:color w:val="auto"/>
          <w:highlight w:val="none"/>
        </w:rPr>
      </w:pPr>
    </w:p>
    <w:p>
      <w:pPr>
        <w:bidi w:val="0"/>
        <w:rPr>
          <w:rFonts w:hint="eastAsia"/>
          <w:color w:val="auto"/>
          <w:highlight w:val="none"/>
          <w:lang w:eastAsia="zh-CN"/>
        </w:rPr>
      </w:pPr>
      <w:r>
        <w:rPr>
          <w:rFonts w:hint="eastAsia"/>
          <w:color w:val="auto"/>
          <w:highlight w:val="none"/>
          <w:lang w:eastAsia="zh-CN"/>
        </w:rPr>
        <w:t>附录：名词解释</w:t>
      </w:r>
    </w:p>
    <w:p>
      <w:pPr>
        <w:bidi w:val="0"/>
        <w:ind w:firstLine="0" w:firstLineChars="0"/>
        <w:rPr>
          <w:rFonts w:hint="eastAsia"/>
          <w:color w:val="auto"/>
          <w:highlight w:val="none"/>
          <w:lang w:eastAsia="zh-CN"/>
        </w:rPr>
      </w:pPr>
      <w:r>
        <w:rPr>
          <w:rFonts w:hint="eastAsia"/>
          <w:color w:val="auto"/>
          <w:highlight w:val="none"/>
          <w:lang w:eastAsia="zh-CN"/>
        </w:rPr>
        <w:br w:type="page"/>
      </w:r>
      <w:r>
        <w:rPr>
          <w:rFonts w:hint="eastAsia"/>
          <w:color w:val="auto"/>
          <w:highlight w:val="none"/>
          <w:lang w:eastAsia="zh-CN"/>
        </w:rPr>
        <w:t>附</w:t>
      </w:r>
      <w:r>
        <w:rPr>
          <w:rFonts w:hint="eastAsia"/>
          <w:color w:val="auto"/>
          <w:highlight w:val="none"/>
          <w:lang w:val="en-US" w:eastAsia="zh-CN"/>
        </w:rPr>
        <w:t xml:space="preserve">  </w:t>
      </w:r>
      <w:r>
        <w:rPr>
          <w:rFonts w:hint="eastAsia"/>
          <w:color w:val="auto"/>
          <w:highlight w:val="none"/>
          <w:lang w:eastAsia="zh-CN"/>
        </w:rPr>
        <w:t>录</w:t>
      </w:r>
    </w:p>
    <w:p>
      <w:pPr>
        <w:bidi w:val="0"/>
        <w:ind w:firstLine="0" w:firstLineChars="0"/>
        <w:rPr>
          <w:rFonts w:hint="eastAsia"/>
          <w:color w:val="auto"/>
          <w:highlight w:val="none"/>
          <w:lang w:eastAsia="zh-CN"/>
        </w:rPr>
      </w:pPr>
    </w:p>
    <w:bookmarkEnd w:id="22"/>
    <w:bookmarkEnd w:id="23"/>
    <w:bookmarkEnd w:id="24"/>
    <w:bookmarkEnd w:id="25"/>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rPr>
          <w:rFonts w:ascii="仿宋_GB2312" w:hAnsi="仿宋_GB2312"/>
          <w:color w:val="auto"/>
          <w:highlight w:val="none"/>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1EC3436"/>
    <w:rsid w:val="02803A46"/>
    <w:rsid w:val="02CB1CF7"/>
    <w:rsid w:val="02DA63DE"/>
    <w:rsid w:val="02E93786"/>
    <w:rsid w:val="032C6A46"/>
    <w:rsid w:val="03B55433"/>
    <w:rsid w:val="04E7791B"/>
    <w:rsid w:val="05036B9E"/>
    <w:rsid w:val="052D305E"/>
    <w:rsid w:val="052E6828"/>
    <w:rsid w:val="05A02047"/>
    <w:rsid w:val="06426774"/>
    <w:rsid w:val="06825C75"/>
    <w:rsid w:val="068A4895"/>
    <w:rsid w:val="070F7027"/>
    <w:rsid w:val="08461CA3"/>
    <w:rsid w:val="08B76215"/>
    <w:rsid w:val="0A2D6324"/>
    <w:rsid w:val="0A302337"/>
    <w:rsid w:val="0A58254D"/>
    <w:rsid w:val="0A6C5760"/>
    <w:rsid w:val="0B35692F"/>
    <w:rsid w:val="0B4456D1"/>
    <w:rsid w:val="0BAD1FAB"/>
    <w:rsid w:val="0BE1742C"/>
    <w:rsid w:val="0D0E36C4"/>
    <w:rsid w:val="0D1F0CED"/>
    <w:rsid w:val="0E0D0BC1"/>
    <w:rsid w:val="0E511A57"/>
    <w:rsid w:val="0F95719B"/>
    <w:rsid w:val="0FD33916"/>
    <w:rsid w:val="0FE131A1"/>
    <w:rsid w:val="0FED3255"/>
    <w:rsid w:val="10BF0BFF"/>
    <w:rsid w:val="10D762D3"/>
    <w:rsid w:val="11A73770"/>
    <w:rsid w:val="124226AB"/>
    <w:rsid w:val="126D73E5"/>
    <w:rsid w:val="13A40095"/>
    <w:rsid w:val="14053C83"/>
    <w:rsid w:val="15C958A9"/>
    <w:rsid w:val="160A19AA"/>
    <w:rsid w:val="163D2AB4"/>
    <w:rsid w:val="172A2DF8"/>
    <w:rsid w:val="17B005EC"/>
    <w:rsid w:val="185533C0"/>
    <w:rsid w:val="187E0EC3"/>
    <w:rsid w:val="18AB1F57"/>
    <w:rsid w:val="190653E0"/>
    <w:rsid w:val="197B53D3"/>
    <w:rsid w:val="1A595627"/>
    <w:rsid w:val="1BFE8A92"/>
    <w:rsid w:val="1C210334"/>
    <w:rsid w:val="1C964CCC"/>
    <w:rsid w:val="1CFC17D2"/>
    <w:rsid w:val="1EBE0883"/>
    <w:rsid w:val="1F9B5193"/>
    <w:rsid w:val="205A510F"/>
    <w:rsid w:val="21127D99"/>
    <w:rsid w:val="21A5207B"/>
    <w:rsid w:val="22916662"/>
    <w:rsid w:val="22C22819"/>
    <w:rsid w:val="246A3FA3"/>
    <w:rsid w:val="250D4784"/>
    <w:rsid w:val="26E72CF4"/>
    <w:rsid w:val="272E1910"/>
    <w:rsid w:val="2976170C"/>
    <w:rsid w:val="2A104310"/>
    <w:rsid w:val="2A1A1904"/>
    <w:rsid w:val="2A4B3E74"/>
    <w:rsid w:val="2BA068F1"/>
    <w:rsid w:val="2C2A1457"/>
    <w:rsid w:val="2CAE0A32"/>
    <w:rsid w:val="2D1C5E56"/>
    <w:rsid w:val="2F0A3862"/>
    <w:rsid w:val="2FFC0AFB"/>
    <w:rsid w:val="302C0287"/>
    <w:rsid w:val="31A95387"/>
    <w:rsid w:val="31B31F93"/>
    <w:rsid w:val="321653A8"/>
    <w:rsid w:val="322E20A6"/>
    <w:rsid w:val="329C19A3"/>
    <w:rsid w:val="32F52701"/>
    <w:rsid w:val="341A4C22"/>
    <w:rsid w:val="347B2CCE"/>
    <w:rsid w:val="352B3694"/>
    <w:rsid w:val="363C0287"/>
    <w:rsid w:val="3654545B"/>
    <w:rsid w:val="36565190"/>
    <w:rsid w:val="366C2500"/>
    <w:rsid w:val="36DC0FF8"/>
    <w:rsid w:val="382C7B34"/>
    <w:rsid w:val="387303F9"/>
    <w:rsid w:val="3AE03440"/>
    <w:rsid w:val="3B0E3D0E"/>
    <w:rsid w:val="3BFC17F2"/>
    <w:rsid w:val="3C0C0B0D"/>
    <w:rsid w:val="3C7D3AC5"/>
    <w:rsid w:val="3CA8505F"/>
    <w:rsid w:val="3CFD6976"/>
    <w:rsid w:val="3D5D42F6"/>
    <w:rsid w:val="3DB808BA"/>
    <w:rsid w:val="3ED5F460"/>
    <w:rsid w:val="3FAC643B"/>
    <w:rsid w:val="3FE9D1E7"/>
    <w:rsid w:val="407A2ECB"/>
    <w:rsid w:val="418D6C3A"/>
    <w:rsid w:val="423806ED"/>
    <w:rsid w:val="428230B1"/>
    <w:rsid w:val="437A5877"/>
    <w:rsid w:val="43BB3CEC"/>
    <w:rsid w:val="4412784D"/>
    <w:rsid w:val="44A91A1A"/>
    <w:rsid w:val="44D052C5"/>
    <w:rsid w:val="455C0989"/>
    <w:rsid w:val="46A70EF9"/>
    <w:rsid w:val="46AE1F3D"/>
    <w:rsid w:val="473C23B2"/>
    <w:rsid w:val="4743523B"/>
    <w:rsid w:val="474450E0"/>
    <w:rsid w:val="47781E40"/>
    <w:rsid w:val="48541414"/>
    <w:rsid w:val="4900762E"/>
    <w:rsid w:val="4A6B0082"/>
    <w:rsid w:val="4AB56AE2"/>
    <w:rsid w:val="4B0038EE"/>
    <w:rsid w:val="4B6E7935"/>
    <w:rsid w:val="4E7E74BD"/>
    <w:rsid w:val="4E805B64"/>
    <w:rsid w:val="4F214F20"/>
    <w:rsid w:val="4F9660BB"/>
    <w:rsid w:val="4FB87893"/>
    <w:rsid w:val="4FC2745B"/>
    <w:rsid w:val="509A0D5C"/>
    <w:rsid w:val="50CB0BE4"/>
    <w:rsid w:val="51A310A0"/>
    <w:rsid w:val="51A47BE3"/>
    <w:rsid w:val="52252BFC"/>
    <w:rsid w:val="5297236D"/>
    <w:rsid w:val="531D6F4D"/>
    <w:rsid w:val="53F7263B"/>
    <w:rsid w:val="543117F2"/>
    <w:rsid w:val="54D06548"/>
    <w:rsid w:val="54E753F5"/>
    <w:rsid w:val="556D99F1"/>
    <w:rsid w:val="563F7F48"/>
    <w:rsid w:val="56F7427F"/>
    <w:rsid w:val="5779221D"/>
    <w:rsid w:val="584C4C5F"/>
    <w:rsid w:val="589B5008"/>
    <w:rsid w:val="58A326D8"/>
    <w:rsid w:val="59466376"/>
    <w:rsid w:val="5BF51433"/>
    <w:rsid w:val="5D3A2B61"/>
    <w:rsid w:val="5DF84388"/>
    <w:rsid w:val="5F6568F7"/>
    <w:rsid w:val="5FDA2383"/>
    <w:rsid w:val="5FFF8D5C"/>
    <w:rsid w:val="60C802BC"/>
    <w:rsid w:val="61DE0EB4"/>
    <w:rsid w:val="623151CA"/>
    <w:rsid w:val="63A419D8"/>
    <w:rsid w:val="64D37E08"/>
    <w:rsid w:val="64DB7056"/>
    <w:rsid w:val="66982F4F"/>
    <w:rsid w:val="66F0546D"/>
    <w:rsid w:val="6888651F"/>
    <w:rsid w:val="6894168D"/>
    <w:rsid w:val="68EB6152"/>
    <w:rsid w:val="69B52798"/>
    <w:rsid w:val="6A7451AD"/>
    <w:rsid w:val="6AC14C27"/>
    <w:rsid w:val="6BC41409"/>
    <w:rsid w:val="6C030E4B"/>
    <w:rsid w:val="6C5C62E3"/>
    <w:rsid w:val="6CAB30BC"/>
    <w:rsid w:val="6CED51AD"/>
    <w:rsid w:val="6D042BC1"/>
    <w:rsid w:val="6FB463D5"/>
    <w:rsid w:val="6FCC3E6E"/>
    <w:rsid w:val="6FEFB7EB"/>
    <w:rsid w:val="70C3256C"/>
    <w:rsid w:val="71D6011D"/>
    <w:rsid w:val="72694444"/>
    <w:rsid w:val="72AF14FA"/>
    <w:rsid w:val="73A0155B"/>
    <w:rsid w:val="741C5D1E"/>
    <w:rsid w:val="74F90479"/>
    <w:rsid w:val="750C1C31"/>
    <w:rsid w:val="7625601A"/>
    <w:rsid w:val="767FBCD2"/>
    <w:rsid w:val="77BF249E"/>
    <w:rsid w:val="77DDA758"/>
    <w:rsid w:val="78D33F7B"/>
    <w:rsid w:val="798E36E0"/>
    <w:rsid w:val="7AA22367"/>
    <w:rsid w:val="7BFC3F56"/>
    <w:rsid w:val="7C1A6A34"/>
    <w:rsid w:val="7C4E4AC7"/>
    <w:rsid w:val="7CBE4AD3"/>
    <w:rsid w:val="7D1C7CE5"/>
    <w:rsid w:val="7DFB68B2"/>
    <w:rsid w:val="7F363046"/>
    <w:rsid w:val="7FBF5078"/>
    <w:rsid w:val="8DEDF766"/>
    <w:rsid w:val="8EFFBC18"/>
    <w:rsid w:val="9FB7544A"/>
    <w:rsid w:val="AEEF4E40"/>
    <w:rsid w:val="B7F8930A"/>
    <w:rsid w:val="BBF7AD18"/>
    <w:rsid w:val="BEFCCEAC"/>
    <w:rsid w:val="BF3785A6"/>
    <w:rsid w:val="C7FF47EC"/>
    <w:rsid w:val="D5DFD50E"/>
    <w:rsid w:val="E6FBEE6C"/>
    <w:rsid w:val="EEBB86BD"/>
    <w:rsid w:val="F4FFE9ED"/>
    <w:rsid w:val="F6DF613F"/>
    <w:rsid w:val="F7FFC602"/>
    <w:rsid w:val="FDD4C297"/>
    <w:rsid w:val="FE6ED611"/>
    <w:rsid w:val="FED79544"/>
    <w:rsid w:val="FFB59EFA"/>
    <w:rsid w:val="FFBEAEF7"/>
    <w:rsid w:val="FFD777C2"/>
    <w:rsid w:val="FFFF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5691</Words>
  <Characters>5950</Characters>
  <Lines>0</Lines>
  <Paragraphs>0</Paragraphs>
  <TotalTime>0</TotalTime>
  <ScaleCrop>false</ScaleCrop>
  <LinksUpToDate>false</LinksUpToDate>
  <CharactersWithSpaces>5963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2025-07-08T18:47:00Z</dcterms:created>
  <dc:creator>黄佩琳</dc:creator>
  <cp:lastModifiedBy>徐丽莎</cp:lastModifiedBy>
  <cp:lastPrinted>2026-03-18T22:46:00Z</cp:lastPrinted>
  <dcterms:modified xsi:type="dcterms:W3CDTF">2026-06-29T09:17:37Z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6BC478CCC8FB4C52AA056815DE5E2412_13</vt:lpwstr>
  </property>
  <property fmtid="{D5CDD505-2E9C-101B-9397-08002B2CF9AE}" pid="4" name="KSOTemplateDocerSaveRecord">
    <vt:lpwstr>eyJoZGlkIjoiY2NiNzc0ZWE4MzBjY2JmMGYyMmY4NjkxNmNhZGJlNDUiLCJ1c2VySWQiOiI4NzUyMjIyNTQifQ==</vt:lpwstr>
  </property>
</Properties>
</file>