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0" w:name="_Toc13216"/>
      <w:bookmarkStart w:id="1" w:name="_Toc125127182"/>
      <w:bookmarkStart w:id="2" w:name="_Toc32562"/>
      <w:bookmarkStart w:id="3" w:name="_Toc5810"/>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000000" w:themeColor="text1"/>
          <w:kern w:val="0"/>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深圳市</w:t>
      </w:r>
      <w:r>
        <w:rPr>
          <w:rFonts w:hint="default" w:ascii="方正小标宋简体" w:hAnsi="Times New Roman" w:eastAsia="方正小标宋简体" w:cs="Times New Roman"/>
          <w:color w:val="000000" w:themeColor="text1"/>
          <w:kern w:val="2"/>
          <w:sz w:val="44"/>
          <w:szCs w:val="44"/>
          <w:highlight w:val="none"/>
          <w:lang w:eastAsia="zh-CN" w:bidi="ar-SA"/>
          <w14:textFill>
            <w14:solidFill>
              <w14:schemeClr w14:val="tx1"/>
            </w14:solidFill>
          </w14:textFill>
        </w:rPr>
        <w:t>龙岗区</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2026年中央资金消费新业态新模式新场景试点（支持创新多元化服务消费场景</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单体融合消费场景资助</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0798"/>
      <w:bookmarkStart w:id="5" w:name="_Toc24194"/>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pPr>
        <w:bidi w:val="0"/>
        <w:spacing w:before="0" w:after="0" w:line="560" w:lineRule="exact"/>
        <w:ind w:firstLine="640"/>
        <w:rPr>
          <w:rFonts w:hint="eastAsia"/>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支持单体店铺开展多元消费场景升级，拓展文化时尚、健康体育、艺术展览、主题社交、休闲娱乐等服务消费功能</w:t>
      </w:r>
      <w:r>
        <w:rPr>
          <w:rFonts w:hint="eastAsia"/>
          <w:color w:val="auto"/>
          <w:highlight w:val="none"/>
          <w:lang w:val="en-US" w:eastAsia="zh-CN"/>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8852"/>
      <w:bookmarkStart w:id="7" w:name="_Toc1543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21755"/>
      <w:bookmarkStart w:id="9" w:name="_Toc1841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w:t>
      </w:r>
      <w:r>
        <w:rPr>
          <w:rFonts w:hint="eastAsia"/>
          <w:color w:val="000000" w:themeColor="text1"/>
          <w:highlight w:val="none"/>
          <w:lang w:val="en-US" w:eastAsia="zh-CN"/>
          <w14:textFill>
            <w14:solidFill>
              <w14:schemeClr w14:val="tx1"/>
            </w14:solidFill>
          </w14:textFill>
        </w:rPr>
        <w:t>资助</w:t>
      </w:r>
      <w:r>
        <w:rPr>
          <w:rFonts w:hint="eastAsia" w:ascii="仿宋_GB2312" w:eastAsia="仿宋_GB2312"/>
          <w:color w:val="000000" w:themeColor="text1"/>
          <w:highlight w:val="none"/>
          <w:lang w:val="en-US" w:eastAsia="zh-CN"/>
          <w14:textFill>
            <w14:solidFill>
              <w14:schemeClr w14:val="tx1"/>
            </w14:solidFill>
          </w14:textFill>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15307"/>
      <w:bookmarkStart w:id="11" w:name="_Toc43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w:t>
      </w:r>
      <w:r>
        <w:rPr>
          <w:rFonts w:hint="default"/>
          <w:color w:val="000000" w:themeColor="text1"/>
          <w:highlight w:val="none"/>
          <w:lang w:eastAsia="zh-CN"/>
          <w14:textFill>
            <w14:solidFill>
              <w14:schemeClr w14:val="tx1"/>
            </w14:solidFill>
          </w14:textFill>
        </w:rPr>
        <w:t>龙岗区</w:t>
      </w:r>
      <w:r>
        <w:rPr>
          <w:rFonts w:hint="eastAsia" w:ascii="仿宋_GB2312" w:eastAsia="仿宋_GB2312"/>
          <w:color w:val="000000" w:themeColor="text1"/>
          <w:highlight w:val="none"/>
          <w:lang w:val="en-US" w:eastAsia="zh-CN"/>
          <w14:textFill>
            <w14:solidFill>
              <w14:schemeClr w14:val="tx1"/>
            </w14:solidFill>
          </w14:textFill>
        </w:rPr>
        <w:t>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w:t>
      </w:r>
      <w:r>
        <w:rPr>
          <w:rFonts w:hint="default"/>
          <w:color w:val="000000" w:themeColor="text1"/>
          <w:highlight w:val="none"/>
          <w:lang w:eastAsia="zh-CN"/>
          <w14:textFill>
            <w14:solidFill>
              <w14:schemeClr w14:val="tx1"/>
            </w14:solidFill>
          </w14:textFill>
        </w:rPr>
        <w:t>龙岗区</w:t>
      </w:r>
      <w:r>
        <w:rPr>
          <w:rFonts w:hint="eastAsia" w:ascii="仿宋_GB2312" w:eastAsia="仿宋_GB2312"/>
          <w:color w:val="000000" w:themeColor="text1"/>
          <w:highlight w:val="none"/>
          <w:lang w:val="en-US" w:eastAsia="zh-CN"/>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w:t>
      </w:r>
      <w:r>
        <w:rPr>
          <w:rFonts w:hint="default"/>
          <w:color w:val="000000" w:themeColor="text1"/>
          <w:highlight w:val="none"/>
          <w:lang w:eastAsia="zh-CN"/>
          <w14:textFill>
            <w14:solidFill>
              <w14:schemeClr w14:val="tx1"/>
            </w14:solidFill>
          </w14:textFill>
        </w:rPr>
        <w:t>内容</w:t>
      </w:r>
      <w:r>
        <w:rPr>
          <w:rFonts w:hint="eastAsia"/>
          <w:color w:val="000000" w:themeColor="text1"/>
          <w:highlight w:val="none"/>
          <w:lang w:val="en-US" w:eastAsia="zh-CN"/>
          <w14:textFill>
            <w14:solidFill>
              <w14:schemeClr w14:val="tx1"/>
            </w14:solidFill>
          </w14:textFill>
        </w:rPr>
        <w:t>。</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申报项目须同时满足以下条件：</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1.申报项目应有固定经营场所且店铺经营面积达100㎡以上。</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2.申报项目须通过业态、功能或内容的实质性创新融合，在同一物理空间内实现常态化运营的文化时尚、健康体育、艺术展览、主题社交、休闲娱乐等2类以上服务消费功能融合。</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3.项目实际有效投入金额不低于100万元。（2025年9月30日后项目开展以来）</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4.月均提供服务次数不低于1000次。（统计周期为2025年9月30日至申报受理前一个月月末；月均值按该期间实际运营数据计算，不足一个月的部分，按日均值折算为月均值。）</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5.不属于仅通过相邻或楼上独立空间简单组合、店内增设简单装饰性陈列、或短期临时性活动实现功能拓展。</w:t>
      </w:r>
    </w:p>
    <w:p>
      <w:pPr>
        <w:pStyle w:val="29"/>
        <w:bidi w:val="0"/>
        <w:spacing w:line="560" w:lineRule="exact"/>
        <w:ind w:firstLine="640" w:firstLineChars="200"/>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pPr>
      <w:r>
        <w:rPr>
          <w:rStyle w:val="19"/>
          <w:rFonts w:hint="eastAsia" w:ascii="仿宋_GB2312" w:hAnsi="仿宋_GB2312" w:eastAsia="仿宋_GB2312" w:cs="仿宋"/>
          <w:color w:val="000000" w:themeColor="text1"/>
          <w:sz w:val="32"/>
          <w:szCs w:val="22"/>
          <w:highlight w:val="none"/>
          <w:lang w:eastAsia="zh-CN"/>
          <w14:textFill>
            <w14:solidFill>
              <w14:schemeClr w14:val="tx1"/>
            </w14:solidFill>
          </w14:textFill>
        </w:rPr>
        <w:t>项目支持时间范围为</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2025年9月30日至2027年6月30日，所支持投入部分应在上述时间内。</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原则上限于支持市场化商业化项目，不支持免费的纯公益项目，</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不支持事业单位信息系统建设维护、养老院和病房建设等与支持方向无关的领域。</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支持内容不包括新建、扩建</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商业综合体，以及</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各类古镇、纪念馆、博物馆等设施，不包括</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办公场所及必须的公共服务基础设施建设</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，不包括</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为了满足最基本经营条件、消防验收等需求，基础水电改造、防水处理、消防改造及设施购置等一般性装修项目</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。不支持党政机关主办、承办或承担部分活动费用的展会、节庆、论坛活动。</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不支持仅通过相邻或楼上独立空间简单组合、在店内增设简单装饰性陈列、或通过短期临时性活动实现功能拓展的项目。</w:t>
      </w:r>
    </w:p>
    <w:p>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以及无消费内容的项目。</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31102"/>
      <w:bookmarkStart w:id="13" w:name="_Toc709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对符合条件的项目，按</w:t>
      </w:r>
      <w:r>
        <w:rPr>
          <w:rFonts w:hint="eastAsia"/>
          <w:color w:val="000000" w:themeColor="text1"/>
          <w:highlight w:val="none"/>
          <w:lang w:val="en-US" w:eastAsia="zh-CN"/>
          <w14:textFill>
            <w14:solidFill>
              <w14:schemeClr w14:val="tx1"/>
            </w14:solidFill>
          </w14:textFill>
        </w:rPr>
        <w:t>项目</w:t>
      </w:r>
      <w:r>
        <w:rPr>
          <w:rFonts w:hint="eastAsia" w:ascii="仿宋_GB2312" w:eastAsia="仿宋_GB2312"/>
          <w:color w:val="000000" w:themeColor="text1"/>
          <w:highlight w:val="none"/>
          <w:lang w:val="en-US" w:eastAsia="zh-CN"/>
          <w14:textFill>
            <w14:solidFill>
              <w14:schemeClr w14:val="tx1"/>
            </w14:solidFill>
          </w14:textFill>
        </w:rPr>
        <w:t>相关实际</w:t>
      </w:r>
      <w:r>
        <w:rPr>
          <w:rFonts w:hint="eastAsia"/>
          <w:color w:val="000000" w:themeColor="text1"/>
          <w:highlight w:val="none"/>
          <w:lang w:val="en-US" w:eastAsia="zh-CN"/>
          <w14:textFill>
            <w14:solidFill>
              <w14:schemeClr w14:val="tx1"/>
            </w14:solidFill>
          </w14:textFill>
        </w:rPr>
        <w:t>有效</w:t>
      </w:r>
      <w:r>
        <w:rPr>
          <w:rFonts w:hint="eastAsia" w:ascii="仿宋_GB2312" w:eastAsia="仿宋_GB2312"/>
          <w:color w:val="000000" w:themeColor="text1"/>
          <w:highlight w:val="none"/>
          <w:lang w:val="en-US" w:eastAsia="zh-CN"/>
          <w14:textFill>
            <w14:solidFill>
              <w14:schemeClr w14:val="tx1"/>
            </w14:solidFill>
          </w14:textFill>
        </w:rPr>
        <w:t>投入</w:t>
      </w:r>
      <w:r>
        <w:rPr>
          <w:rFonts w:hint="eastAsia"/>
          <w:color w:val="000000" w:themeColor="text1"/>
          <w:highlight w:val="none"/>
          <w:lang w:val="en-US" w:eastAsia="zh-CN"/>
          <w14:textFill>
            <w14:solidFill>
              <w14:schemeClr w14:val="tx1"/>
            </w14:solidFill>
          </w14:textFill>
        </w:rPr>
        <w:t>的</w:t>
      </w:r>
      <w:r>
        <w:rPr>
          <w:rFonts w:hint="eastAsia" w:ascii="仿宋_GB2312" w:eastAsia="仿宋_GB2312"/>
          <w:color w:val="000000" w:themeColor="text1"/>
          <w:highlight w:val="none"/>
          <w:lang w:val="en-US" w:eastAsia="zh-CN"/>
          <w14:textFill>
            <w14:solidFill>
              <w14:schemeClr w14:val="tx1"/>
            </w14:solidFill>
          </w14:textFill>
        </w:rPr>
        <w:t>20%给予资助，试点期间最高不超过100万元。</w:t>
      </w:r>
    </w:p>
    <w:p>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w:t>
      </w:r>
      <w:r>
        <w:rPr>
          <w:rFonts w:hint="eastAsia"/>
          <w:color w:val="000000" w:themeColor="text1"/>
          <w:highlight w:val="none"/>
          <w:lang w:val="en-US" w:eastAsia="zh-CN"/>
          <w14:textFill>
            <w14:solidFill>
              <w14:schemeClr w14:val="tx1"/>
            </w14:solidFill>
          </w14:textFill>
        </w:rPr>
        <w:t>打造单体融合场景已完成或阶段性完成部分相关投入，不包含各级财政投资部分，以及第四点第（二）条专项条件中明确不予支持部分。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pStyle w:val="29"/>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27028"/>
      <w:bookmarkStart w:id="15" w:name="_Toc7147"/>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pPr>
        <w:bidi w:val="0"/>
        <w:rPr>
          <w:rFonts w:hint="default" w:ascii="楷体" w:hAnsi="楷体" w:eastAsia="楷体_GB2312" w:cstheme="majorBidi"/>
          <w:bCs/>
          <w:color w:val="000000" w:themeColor="text1"/>
          <w:kern w:val="2"/>
          <w:szCs w:val="3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请各项目申报单位填写并提交《项目申报书》，具体材料如下：</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1.资金项目申请书</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申报单位按照申报材料要求编写项目申请书并提供相关证明材料，</w:t>
      </w:r>
      <w:r>
        <w:rPr>
          <w:rFonts w:hint="default"/>
          <w:highlight w:val="none"/>
        </w:rPr>
        <w:t>登录广东政务服务网在线下载填报申请书（网址：</w:t>
      </w:r>
      <w:r>
        <w:rPr>
          <w:rFonts w:hint="eastAsia" w:ascii="仿宋_GB2312" w:hAnsi="仿宋_GB2312" w:eastAsia="仿宋_GB2312" w:cs="Times New Roman"/>
          <w:color w:val="auto"/>
          <w:sz w:val="32"/>
          <w:szCs w:val="32"/>
          <w:highlight w:val="none"/>
          <w:lang w:val="en-US" w:eastAsia="zh-CN"/>
        </w:rPr>
        <w:t>http://www.gdzwfw.gov.cn/—选择“深圳市”—</w:t>
      </w:r>
      <w:r>
        <w:rPr>
          <w:rFonts w:hint="default" w:cs="Times New Roman"/>
          <w:color w:val="auto"/>
          <w:sz w:val="32"/>
          <w:szCs w:val="32"/>
          <w:highlight w:val="none"/>
          <w:lang w:eastAsia="zh-CN"/>
        </w:rPr>
        <w:t>龙岗</w:t>
      </w:r>
      <w:r>
        <w:rPr>
          <w:rFonts w:hint="eastAsia" w:ascii="仿宋_GB2312" w:hAnsi="仿宋_GB2312" w:eastAsia="仿宋_GB2312" w:cs="Times New Roman"/>
          <w:color w:val="auto"/>
          <w:sz w:val="32"/>
          <w:szCs w:val="32"/>
          <w:highlight w:val="none"/>
          <w:lang w:val="en-US" w:eastAsia="zh-CN"/>
        </w:rPr>
        <w:t>区—</w:t>
      </w:r>
      <w:r>
        <w:rPr>
          <w:rFonts w:hint="default" w:cs="Times New Roman"/>
          <w:color w:val="auto"/>
          <w:sz w:val="32"/>
          <w:szCs w:val="32"/>
          <w:highlight w:val="none"/>
          <w:lang w:eastAsia="zh-CN"/>
        </w:rPr>
        <w:t>深圳市消费新业态新模式新场景试点项目（选择申报方向）—</w:t>
      </w:r>
      <w:r>
        <w:rPr>
          <w:rFonts w:hint="eastAsia" w:ascii="仿宋_GB2312" w:hAnsi="仿宋_GB2312" w:eastAsia="仿宋_GB2312" w:cs="Times New Roman"/>
          <w:color w:val="auto"/>
          <w:sz w:val="32"/>
          <w:szCs w:val="32"/>
          <w:highlight w:val="none"/>
          <w:lang w:val="en-US" w:eastAsia="zh-CN"/>
        </w:rPr>
        <w:t>点击“在线办理”—登录后按要求填报并上传申请材料—点击提交</w:t>
      </w:r>
      <w:r>
        <w:rPr>
          <w:rFonts w:hint="default"/>
          <w:highlight w:val="none"/>
        </w:rPr>
        <w:t>），预审通过后提供申请书纸质文件原件并将本指南第六条要求的项目材料一并提交至龙岗区政务服务中心或分中心，线下受理地址请在线上申报系统申请页面查询或咨询龙岗区商务局（逾期未申报者视为自动放弃）。</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r>
        <w:rPr>
          <w:rFonts w:hint="eastAsia"/>
          <w:color w:val="000000" w:themeColor="text1"/>
          <w:highlight w:val="none"/>
          <w:lang w:val="en-US" w:eastAsia="zh-CN"/>
          <w14:textFill>
            <w14:solidFill>
              <w14:schemeClr w14:val="tx1"/>
            </w14:solidFill>
          </w14:textFill>
        </w:rPr>
        <w:t>。</w:t>
      </w:r>
    </w:p>
    <w:p>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3.单位信用报告</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“信用中国”查询截图、国家企业信用信息公示系统下载的企业信用报告</w:t>
      </w:r>
      <w:r>
        <w:rPr>
          <w:rFonts w:hint="eastAsia"/>
          <w:color w:val="000000" w:themeColor="text1"/>
          <w:highlight w:val="none"/>
          <w:lang w:val="en-US" w:eastAsia="zh-CN"/>
          <w14:textFill>
            <w14:solidFill>
              <w14:schemeClr w14:val="tx1"/>
            </w14:solidFill>
          </w14:textFill>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1.各申报单位应按照下表要求完整提交对应佐证材料：</w:t>
      </w:r>
    </w:p>
    <w:tbl>
      <w:tblPr>
        <w:tblStyle w:val="18"/>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0"/>
        <w:gridCol w:w="3490"/>
        <w:gridCol w:w="3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Header/>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center"/>
              <w:textAlignment w:val="center"/>
              <w:rPr>
                <w:rFonts w:ascii="仿宋_GB2312" w:hAnsi="宋体" w:eastAsia="仿宋_GB2312" w:cs="仿宋_GB2312"/>
                <w:b/>
                <w:bCs/>
                <w:i w:val="0"/>
                <w:iCs w:val="0"/>
                <w:color w:val="0F1115"/>
                <w:sz w:val="28"/>
                <w:szCs w:val="28"/>
                <w:highlight w:val="none"/>
                <w:u w:val="none"/>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类型</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center"/>
              <w:textAlignment w:val="center"/>
              <w:rPr>
                <w:rFonts w:hint="eastAsia" w:ascii="仿宋_GB2312" w:hAnsi="宋体" w:eastAsia="仿宋_GB2312" w:cs="仿宋_GB2312"/>
                <w:b/>
                <w:bCs/>
                <w:i w:val="0"/>
                <w:iCs w:val="0"/>
                <w:color w:val="0F1115"/>
                <w:sz w:val="28"/>
                <w:szCs w:val="28"/>
                <w:highlight w:val="none"/>
                <w:u w:val="none"/>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具体要求</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center"/>
              <w:textAlignment w:val="center"/>
              <w:rPr>
                <w:rFonts w:hint="default" w:ascii="仿宋_GB2312" w:hAnsi="宋体" w:eastAsia="仿宋_GB2312" w:cs="仿宋_GB2312"/>
                <w:b/>
                <w:bCs/>
                <w:i w:val="0"/>
                <w:iCs w:val="0"/>
                <w:color w:val="0F1115"/>
                <w:sz w:val="28"/>
                <w:szCs w:val="28"/>
                <w:highlight w:val="none"/>
                <w:u w:val="none"/>
                <w:lang w:val="en-US"/>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佐证材料</w:t>
            </w:r>
            <w:r>
              <w:rPr>
                <w:rFonts w:hint="eastAsia" w:hAnsi="宋体" w:cs="仿宋_GB2312"/>
                <w:b/>
                <w:bCs/>
                <w:i w:val="0"/>
                <w:iCs w:val="0"/>
                <w:color w:val="000000" w:themeColor="text1"/>
                <w:kern w:val="0"/>
                <w:sz w:val="28"/>
                <w:szCs w:val="28"/>
                <w:highlight w:val="none"/>
                <w:u w:val="none"/>
                <w:lang w:val="en-US" w:eastAsia="zh-CN" w:bidi="ar"/>
                <w14:textFill>
                  <w14:solidFill>
                    <w14:schemeClr w14:val="tx1"/>
                  </w14:solidFill>
                </w14:textFill>
              </w:rPr>
              <w:t>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实体经营场所</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拥有固定经营场所</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F1115"/>
                <w:sz w:val="28"/>
                <w:szCs w:val="28"/>
                <w:highlight w:val="none"/>
                <w:u w:val="none"/>
                <w:lang w:val="en-US"/>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不动产权证书</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场地租赁合同</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经营面积</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经营面积100㎡以上</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营业执照</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载明面积的租赁合同</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不动产权证书</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业态融合</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成果</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通过业态、功能或内容的实质性创新融合，在同一物理空间内实现常态化运营的文化时尚、健康体育、艺术展览、主题社交、休闲娱乐等2类以上服务消费功能融合</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业态融合</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成果</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、各功能区域现场照片/效果图、</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可消费内容等佐证材料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服务次数</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月均提供服务次数不低于1000次</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服务订单记录、核销记录、预约系统数据、会员服务记录等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投入与成效</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F1115"/>
                <w:sz w:val="28"/>
                <w:szCs w:val="28"/>
                <w:highlight w:val="none"/>
                <w:u w:val="none"/>
                <w:lang w:val="en-US"/>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投入金额不低于100万元</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相关</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合同、发票、支付凭证、项目投入明细表</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bl>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2.项目成效总结（模板详见项目申报书）。</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w:t>
      </w:r>
      <w:r>
        <w:rPr>
          <w:rFonts w:hint="eastAsia"/>
          <w:color w:val="000000" w:themeColor="text1"/>
          <w:highlight w:val="none"/>
          <w:lang w:val="en-US" w:eastAsia="zh-CN"/>
          <w14:textFill>
            <w14:solidFill>
              <w14:schemeClr w14:val="tx1"/>
            </w14:solidFill>
          </w14:textFill>
        </w:rPr>
        <w:t>四</w:t>
      </w:r>
      <w:r>
        <w:rPr>
          <w:rFonts w:hint="default"/>
          <w:color w:val="000000" w:themeColor="text1"/>
          <w:highlight w:val="none"/>
          <w:lang w:val="en-US" w:eastAsia="zh-CN"/>
          <w14:textFill>
            <w14:solidFill>
              <w14:schemeClr w14:val="tx1"/>
            </w14:solidFill>
          </w14:textFill>
        </w:rPr>
        <w:t>份（附可编辑电子版和PDF扫描件</w:t>
      </w:r>
      <w:r>
        <w:rPr>
          <w:rFonts w:hint="default"/>
          <w:color w:val="000000" w:themeColor="text1"/>
          <w:highlight w:val="none"/>
          <w:lang w:eastAsia="zh-CN"/>
          <w14:textFill>
            <w14:solidFill>
              <w14:schemeClr w14:val="tx1"/>
            </w14:solidFill>
          </w14:textFill>
        </w:rPr>
        <w:t>，</w:t>
      </w:r>
      <w:r>
        <w:rPr>
          <w:rFonts w:hint="default"/>
          <w:color w:val="auto"/>
          <w:highlight w:val="none"/>
          <w:lang w:eastAsia="zh-CN"/>
        </w:rPr>
        <w:t>需刻录成光盘</w:t>
      </w:r>
      <w:r>
        <w:rPr>
          <w:rFonts w:hint="default"/>
          <w:color w:val="000000" w:themeColor="text1"/>
          <w:highlight w:val="none"/>
          <w:lang w:val="en-US" w:eastAsia="zh-CN"/>
          <w14:textFill>
            <w14:solidFill>
              <w14:schemeClr w14:val="tx1"/>
            </w14:solidFill>
          </w14:textFill>
        </w:rPr>
        <w:t>）装订成册，在封面加盖单位公章并加盖骑缝章（其中，申报</w:t>
      </w:r>
      <w:r>
        <w:rPr>
          <w:rFonts w:hint="eastAsia" w:ascii="仿宋_GB2312" w:eastAsia="仿宋_GB2312"/>
          <w:color w:val="000000" w:themeColor="text1"/>
          <w:highlight w:val="none"/>
          <w:lang w:val="en-US" w:eastAsia="zh-CN"/>
          <w14:textFill>
            <w14:solidFill>
              <w14:schemeClr w14:val="tx1"/>
            </w14:solidFill>
          </w14:textFill>
        </w:rPr>
        <w:t>指引</w:t>
      </w:r>
      <w:r>
        <w:rPr>
          <w:rFonts w:hint="default"/>
          <w:color w:val="000000" w:themeColor="text1"/>
          <w:highlight w:val="none"/>
          <w:lang w:val="en-US" w:eastAsia="zh-CN"/>
          <w14:textFill>
            <w14:solidFill>
              <w14:schemeClr w14:val="tx1"/>
            </w14:solidFill>
          </w14:textFill>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6" w:name="_Toc5711"/>
      <w:bookmarkStart w:id="17" w:name="_Toc1952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七、申请表格</w:t>
      </w:r>
      <w:bookmarkEnd w:id="16"/>
      <w:bookmarkEnd w:id="17"/>
    </w:p>
    <w:p>
      <w:pPr>
        <w:keepNext/>
        <w:keepLines/>
        <w:widowControl w:val="0"/>
        <w:bidi w:val="0"/>
        <w:spacing w:before="0" w:beforeLines="0" w:beforeAutospacing="0" w:after="0" w:afterLines="0" w:afterAutospacing="0" w:line="560" w:lineRule="exact"/>
        <w:ind w:firstLine="640" w:firstLineChars="200"/>
        <w:jc w:val="both"/>
        <w:outlineLvl w:val="0"/>
        <w:rPr>
          <w:rFonts w:hint="default" w:hAnsi="Calibri" w:cs="Times New Roman"/>
          <w:color w:val="auto"/>
          <w:sz w:val="32"/>
          <w:szCs w:val="32"/>
          <w:highlight w:val="none"/>
          <w:lang w:eastAsia="zh-CN"/>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default" w:hAnsi="Calibri" w:cs="Times New Roman"/>
          <w:color w:val="auto"/>
          <w:sz w:val="32"/>
          <w:szCs w:val="32"/>
          <w:highlight w:val="none"/>
          <w:lang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8" w:name="_Toc20121"/>
      <w:bookmarkStart w:id="19" w:name="_Toc13760"/>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（一）受理机关</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cs="仿宋_GB2312"/>
          <w:color w:val="auto"/>
          <w:sz w:val="32"/>
          <w:szCs w:val="32"/>
          <w:highlight w:val="none"/>
          <w:u w:val="none"/>
          <w:lang w:eastAsia="zh-CN"/>
        </w:rPr>
        <w:t>深圳市龙岗区商务局</w:t>
      </w:r>
      <w:r>
        <w:rPr>
          <w:rFonts w:hint="eastAsia" w:ascii="仿宋_GB2312" w:hAnsi="仿宋_GB2312" w:eastAsia="仿宋_GB2312" w:cs="仿宋_GB2312"/>
          <w:color w:val="auto"/>
          <w:sz w:val="32"/>
          <w:szCs w:val="32"/>
          <w:highlight w:val="none"/>
        </w:rPr>
        <w:t>。</w:t>
      </w:r>
    </w:p>
    <w:p>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（二）受理时间</w:t>
      </w:r>
    </w:p>
    <w:p>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default" w:hAnsi="宋体" w:cs="宋体"/>
          <w:color w:val="000000" w:themeColor="text1"/>
          <w:kern w:val="0"/>
          <w:sz w:val="32"/>
          <w:szCs w:val="32"/>
          <w:highlight w:val="none"/>
          <w:lang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default" w:hAnsi="宋体" w:cs="宋体"/>
          <w:color w:val="000000" w:themeColor="text1"/>
          <w:kern w:val="0"/>
          <w:sz w:val="32"/>
          <w:szCs w:val="32"/>
          <w:highlight w:val="none"/>
          <w:lang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13</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default" w:hAnsi="宋体" w:cs="宋体"/>
          <w:color w:val="000000" w:themeColor="text1"/>
          <w:kern w:val="0"/>
          <w:sz w:val="32"/>
          <w:szCs w:val="32"/>
          <w:highlight w:val="none"/>
          <w:lang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29</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default" w:hAnsi="宋体" w:cs="宋体"/>
          <w:color w:val="000000" w:themeColor="text1"/>
          <w:kern w:val="0"/>
          <w:sz w:val="32"/>
          <w:szCs w:val="32"/>
          <w:highlight w:val="none"/>
          <w:lang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default" w:hAnsi="宋体" w:cs="宋体"/>
          <w:color w:val="000000" w:themeColor="text1"/>
          <w:kern w:val="0"/>
          <w:sz w:val="32"/>
          <w:szCs w:val="32"/>
          <w:highlight w:val="none"/>
          <w:lang w:eastAsia="zh-CN"/>
          <w14:textFill>
            <w14:solidFill>
              <w14:schemeClr w14:val="tx1"/>
            </w14:solidFill>
          </w14:textFill>
        </w:rPr>
        <w:t>17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收件地址</w:t>
      </w:r>
      <w:bookmarkStart w:id="40" w:name="_GoBack"/>
      <w:bookmarkEnd w:id="40"/>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highlight w:val="none"/>
        </w:rPr>
        <w:t>龙岗区政务服务中心或分中心，线下受理地址请在线上申报系统申请页面查询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（四）咨询电话</w:t>
      </w:r>
    </w:p>
    <w:p>
      <w:pPr>
        <w:bidi w:val="0"/>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default" w:cs="仿宋_GB2312"/>
          <w:color w:val="000000" w:themeColor="text1"/>
          <w:sz w:val="32"/>
          <w:szCs w:val="32"/>
          <w:highlight w:val="none"/>
          <w:u w:val="none"/>
          <w:lang w:eastAsia="zh-CN"/>
          <w14:textFill>
            <w14:solidFill>
              <w14:schemeClr w14:val="tx1"/>
            </w14:solidFill>
          </w14:textFill>
        </w:rPr>
        <w:t>0755-28682380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0" w:name="_Toc9722"/>
      <w:bookmarkStart w:id="21" w:name="_Toc1376"/>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九、申请决定机关</w:t>
      </w:r>
      <w:bookmarkEnd w:id="20"/>
      <w:bookmarkEnd w:id="21"/>
    </w:p>
    <w:p>
      <w:pPr>
        <w:bidi w:val="0"/>
        <w:spacing w:before="0" w:after="0" w:line="560" w:lineRule="exact"/>
        <w:ind w:firstLine="640" w:firstLineChars="200"/>
        <w:rPr>
          <w:rFonts w:ascii="仿宋_GB2312" w:hAnsi="仿宋_GB2312" w:eastAsia="仿宋_GB2312" w:cs="仿宋_GB2312"/>
          <w:color w:val="auto"/>
          <w:sz w:val="32"/>
          <w:szCs w:val="32"/>
          <w:highlight w:val="none"/>
        </w:rPr>
      </w:pPr>
      <w:bookmarkStart w:id="22" w:name="_Toc2137"/>
      <w:bookmarkStart w:id="23" w:name="_Toc161850809"/>
      <w:bookmarkStart w:id="24" w:name="_Toc10305"/>
      <w:bookmarkStart w:id="25" w:name="_Toc125127183"/>
      <w:r>
        <w:rPr>
          <w:rFonts w:hint="default" w:cs="仿宋_GB2312"/>
          <w:color w:val="auto"/>
          <w:sz w:val="32"/>
          <w:szCs w:val="32"/>
          <w:highlight w:val="none"/>
          <w:u w:val="none"/>
          <w:lang w:eastAsia="zh-CN"/>
        </w:rPr>
        <w:t>深圳市龙岗区商务局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6" w:name="_Toc16198"/>
      <w:bookmarkStart w:id="27" w:name="_Toc11274"/>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26"/>
      <w:bookmarkEnd w:id="27"/>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发布申报指南——申报单位网上申报——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网上初审——申报单位向</w:t>
      </w:r>
      <w:r>
        <w:rPr>
          <w:rFonts w:hint="default" w:cs="Times New Roman"/>
          <w:color w:val="000000" w:themeColor="text1"/>
          <w:sz w:val="32"/>
          <w:szCs w:val="32"/>
          <w:highlight w:val="none"/>
          <w:lang w:eastAsia="zh-CN" w:bidi="ar"/>
          <w14:textFill>
            <w14:solidFill>
              <w14:schemeClr w14:val="tx1"/>
            </w14:solidFill>
          </w14:textFill>
        </w:rPr>
        <w:t>龙岗区</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政务服务中心</w:t>
      </w:r>
      <w:r>
        <w:rPr>
          <w:rFonts w:hint="default" w:cs="Times New Roman"/>
          <w:color w:val="000000" w:themeColor="text1"/>
          <w:sz w:val="32"/>
          <w:szCs w:val="32"/>
          <w:highlight w:val="none"/>
          <w:lang w:eastAsia="zh-CN" w:bidi="ar"/>
          <w14:textFill>
            <w14:solidFill>
              <w14:schemeClr w14:val="tx1"/>
            </w14:solidFill>
          </w14:textFill>
        </w:rPr>
        <w:t>或分中心</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收文窗口提交申请材料——</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开展形式审查——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开展资质审查——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组织专项审计——征求意见与综合核查——拟定资助计划——社会公示——下达资助计划——通知申报单位提交拨付资料——拨付资金</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8" w:name="_Toc28790"/>
      <w:bookmarkStart w:id="29" w:name="_Toc3693"/>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pPr>
        <w:bidi w:val="0"/>
        <w:rPr>
          <w:rFonts w:hint="default" w:eastAsia="仿宋_GB2312"/>
          <w:color w:val="auto"/>
          <w:highlight w:val="none"/>
          <w:lang w:val="en-US" w:eastAsia="zh-CN"/>
        </w:rPr>
      </w:pPr>
      <w:r>
        <w:rPr>
          <w:rFonts w:hint="eastAsia"/>
          <w:color w:val="auto"/>
          <w:highlight w:val="none"/>
          <w:lang w:val="en-US" w:eastAsia="zh-CN"/>
        </w:rPr>
        <w:t>180个工作日，不含特别程序。</w:t>
      </w:r>
    </w:p>
    <w:p>
      <w:pPr>
        <w:keepNext w:val="0"/>
        <w:keepLines w:val="0"/>
        <w:widowControl/>
        <w:bidi w:val="0"/>
        <w:spacing w:before="0" w:beforeLines="-2147483648" w:beforeAutospacing="0" w:after="0" w:afterLines="-2147483648" w:afterAutospacing="0" w:line="240" w:lineRule="auto"/>
        <w:ind w:firstLine="640" w:firstLineChars="200"/>
        <w:jc w:val="left"/>
        <w:outlineLvl w:val="9"/>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30" w:name="_Toc29872"/>
      <w:bookmarkStart w:id="31" w:name="_Toc32254"/>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9920"/>
      <w:bookmarkStart w:id="33" w:name="_Toc17239"/>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7505"/>
      <w:bookmarkStart w:id="35" w:name="_Toc6842"/>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475"/>
      <w:bookmarkStart w:id="37" w:name="_Toc3014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0677"/>
      <w:bookmarkStart w:id="39" w:name="_Toc28762"/>
    </w:p>
    <w:p>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（二）申报单位存在以下情形之一的，应当按要求将已获得的部分或全部财政专项资金退回国库,并按照有关规定处理；涉嫌犯罪的，依法移送有关机关处理：</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ind w:firstLine="0" w:firstLineChars="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。（举报电话</w:t>
      </w:r>
      <w:r>
        <w:rPr>
          <w:rFonts w:hint="default"/>
          <w:color w:val="000000" w:themeColor="text1"/>
          <w:highlight w:val="none"/>
          <w:lang w:eastAsia="zh-CN"/>
          <w14:textFill>
            <w14:solidFill>
              <w14:schemeClr w14:val="tx1"/>
            </w14:solidFill>
          </w14:textFill>
        </w:rPr>
        <w:t>：</w:t>
      </w:r>
      <w:r>
        <w:rPr>
          <w:rFonts w:hint="default" w:cs="仿宋_GB2312"/>
          <w:color w:val="000000" w:themeColor="text1"/>
          <w:sz w:val="32"/>
          <w:szCs w:val="32"/>
          <w:highlight w:val="none"/>
          <w:u w:val="none"/>
          <w:lang w:eastAsia="zh-CN"/>
          <w14:textFill>
            <w14:solidFill>
              <w14:schemeClr w14:val="tx1"/>
            </w14:solidFill>
          </w14:textFill>
        </w:rPr>
        <w:t>0755-28682380、28281450</w:t>
      </w:r>
      <w:r>
        <w:rPr>
          <w:rFonts w:hint="eastAsia"/>
          <w:color w:val="000000" w:themeColor="text1"/>
          <w:highlight w:val="none"/>
          <w:lang w:val="en-US" w:eastAsia="zh-CN"/>
          <w14:textFill>
            <w14:solidFill>
              <w14:schemeClr w14:val="tx1"/>
            </w14:solidFill>
          </w14:textFill>
        </w:rPr>
        <w:t>）</w:t>
      </w:r>
    </w:p>
    <w:p>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附录：名词解释</w:t>
      </w:r>
    </w:p>
    <w:p>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bidi w:val="0"/>
        <w:ind w:firstLine="0" w:firstLineChars="0"/>
        <w:rPr>
          <w:rFonts w:hint="eastAsia"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附</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lang w:eastAsia="zh-CN"/>
          <w14:textFill>
            <w14:solidFill>
              <w14:schemeClr w14:val="tx1"/>
            </w14:solidFill>
          </w14:textFill>
        </w:rPr>
        <w:t>录</w:t>
      </w:r>
    </w:p>
    <w:p>
      <w:pPr>
        <w:bidi w:val="0"/>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单体店铺：</w:t>
      </w:r>
      <w:r>
        <w:rPr>
          <w:rFonts w:hint="eastAsia" w:ascii="仿宋_GB2312" w:hAnsi="仿宋_GB2312" w:eastAsia="仿宋_GB2312" w:cs="仿宋_GB2312"/>
          <w:color w:val="auto"/>
          <w:sz w:val="32"/>
          <w:szCs w:val="32"/>
          <w:highlight w:val="none"/>
          <w:lang w:val="en-US" w:eastAsia="zh-CN"/>
        </w:rPr>
        <w:t>指具有独立经营空间、明确物理边界、可单独核算与运营的单个店铺，不包含商业综合体、商铺集群及多店合并形成的经营区域。</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三</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bidi w:val="0"/>
        <w:rPr>
          <w:rFonts w:hint="eastAsia"/>
          <w:color w:val="000000" w:themeColor="text1"/>
          <w:highlight w:val="none"/>
          <w14:textFill>
            <w14:solidFill>
              <w14:schemeClr w14:val="tx1"/>
            </w14:solidFill>
          </w14:textFill>
        </w:rPr>
      </w:pPr>
    </w:p>
    <w:bookmarkEnd w:id="22"/>
    <w:bookmarkEnd w:id="23"/>
    <w:bookmarkEnd w:id="24"/>
    <w:bookmarkEnd w:id="25"/>
    <w:p>
      <w:pPr>
        <w:pStyle w:val="17"/>
        <w:rPr>
          <w:rFonts w:ascii="仿宋_GB2312" w:hAnsi="仿宋_GB2312"/>
          <w:color w:val="000000" w:themeColor="text1"/>
          <w:highlight w:val="none"/>
          <w14:textFill>
            <w14:solidFill>
              <w14:schemeClr w14:val="tx1"/>
            </w14:solidFill>
          </w14:textFill>
        </w:rPr>
      </w:pPr>
    </w:p>
    <w:sectPr>
      <w:footerReference r:id="rId5" w:type="default"/>
      <w:pgSz w:w="11906" w:h="16838"/>
      <w:pgMar w:top="1814" w:right="1474" w:bottom="1814" w:left="147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596F0D"/>
    <w:rsid w:val="02803A46"/>
    <w:rsid w:val="02CB1CF7"/>
    <w:rsid w:val="02DA63DE"/>
    <w:rsid w:val="02E93786"/>
    <w:rsid w:val="032558AB"/>
    <w:rsid w:val="032C6A46"/>
    <w:rsid w:val="04FC43AD"/>
    <w:rsid w:val="06173D21"/>
    <w:rsid w:val="070F7027"/>
    <w:rsid w:val="08461CA3"/>
    <w:rsid w:val="096C3E20"/>
    <w:rsid w:val="09F4308E"/>
    <w:rsid w:val="0A2D6324"/>
    <w:rsid w:val="0A6C5760"/>
    <w:rsid w:val="0B35692F"/>
    <w:rsid w:val="0B3D033F"/>
    <w:rsid w:val="0B4456D1"/>
    <w:rsid w:val="0BAD1FAB"/>
    <w:rsid w:val="0BE1742C"/>
    <w:rsid w:val="0C6D7BF8"/>
    <w:rsid w:val="0D1F0CED"/>
    <w:rsid w:val="0DD759F4"/>
    <w:rsid w:val="0F95719B"/>
    <w:rsid w:val="0FE131A1"/>
    <w:rsid w:val="10BF0BFF"/>
    <w:rsid w:val="11A73770"/>
    <w:rsid w:val="11BF2EFC"/>
    <w:rsid w:val="11F1104F"/>
    <w:rsid w:val="124226AB"/>
    <w:rsid w:val="126D73E5"/>
    <w:rsid w:val="13A40095"/>
    <w:rsid w:val="14053C83"/>
    <w:rsid w:val="15C958A9"/>
    <w:rsid w:val="163D2AB4"/>
    <w:rsid w:val="172A2DF8"/>
    <w:rsid w:val="17B005EC"/>
    <w:rsid w:val="185533C0"/>
    <w:rsid w:val="187E0EC3"/>
    <w:rsid w:val="18AB1F57"/>
    <w:rsid w:val="190653E0"/>
    <w:rsid w:val="197B53D3"/>
    <w:rsid w:val="1C210334"/>
    <w:rsid w:val="1C964CCC"/>
    <w:rsid w:val="1CFC17D2"/>
    <w:rsid w:val="1F1F51E6"/>
    <w:rsid w:val="1FDF1ACC"/>
    <w:rsid w:val="1FF83836"/>
    <w:rsid w:val="1FF99E48"/>
    <w:rsid w:val="205A510F"/>
    <w:rsid w:val="21127D99"/>
    <w:rsid w:val="22C22819"/>
    <w:rsid w:val="241E0552"/>
    <w:rsid w:val="246A3FA3"/>
    <w:rsid w:val="26E72CF4"/>
    <w:rsid w:val="294B23CF"/>
    <w:rsid w:val="2976170C"/>
    <w:rsid w:val="2A104310"/>
    <w:rsid w:val="2A4B3E74"/>
    <w:rsid w:val="2BA068F1"/>
    <w:rsid w:val="2C2A1457"/>
    <w:rsid w:val="2CAE0A32"/>
    <w:rsid w:val="2FEF4348"/>
    <w:rsid w:val="2FFC0AFB"/>
    <w:rsid w:val="302C0287"/>
    <w:rsid w:val="31A95387"/>
    <w:rsid w:val="31B31F93"/>
    <w:rsid w:val="321653A8"/>
    <w:rsid w:val="321759BB"/>
    <w:rsid w:val="329C19A3"/>
    <w:rsid w:val="32F52701"/>
    <w:rsid w:val="341A4C22"/>
    <w:rsid w:val="347B2CCE"/>
    <w:rsid w:val="352B3694"/>
    <w:rsid w:val="363C0287"/>
    <w:rsid w:val="3654545B"/>
    <w:rsid w:val="36565190"/>
    <w:rsid w:val="366C2500"/>
    <w:rsid w:val="369A281B"/>
    <w:rsid w:val="382C7B34"/>
    <w:rsid w:val="387303F9"/>
    <w:rsid w:val="39BDE09B"/>
    <w:rsid w:val="3B0E3D0E"/>
    <w:rsid w:val="3B8C72EB"/>
    <w:rsid w:val="3BFC17F2"/>
    <w:rsid w:val="3CA43A73"/>
    <w:rsid w:val="3CFD6976"/>
    <w:rsid w:val="3D5D42F6"/>
    <w:rsid w:val="3DB808BA"/>
    <w:rsid w:val="3E465CA3"/>
    <w:rsid w:val="407A2ECB"/>
    <w:rsid w:val="418D6C3A"/>
    <w:rsid w:val="41E50163"/>
    <w:rsid w:val="423806ED"/>
    <w:rsid w:val="428230B1"/>
    <w:rsid w:val="42B10DBA"/>
    <w:rsid w:val="4311773F"/>
    <w:rsid w:val="431A16C9"/>
    <w:rsid w:val="437A5877"/>
    <w:rsid w:val="43BB3CEC"/>
    <w:rsid w:val="44A91A1A"/>
    <w:rsid w:val="44D052C5"/>
    <w:rsid w:val="46AE1F3D"/>
    <w:rsid w:val="473C23B2"/>
    <w:rsid w:val="47781E40"/>
    <w:rsid w:val="48541414"/>
    <w:rsid w:val="4900762E"/>
    <w:rsid w:val="49692B40"/>
    <w:rsid w:val="4A6B0082"/>
    <w:rsid w:val="4AB56AE2"/>
    <w:rsid w:val="4B6E7935"/>
    <w:rsid w:val="4BCF62A6"/>
    <w:rsid w:val="4CB91CF2"/>
    <w:rsid w:val="4E423A35"/>
    <w:rsid w:val="4E7E74BD"/>
    <w:rsid w:val="4F98BDA8"/>
    <w:rsid w:val="4FC2745B"/>
    <w:rsid w:val="509A0D5C"/>
    <w:rsid w:val="52252BFC"/>
    <w:rsid w:val="53645795"/>
    <w:rsid w:val="53ED1DDF"/>
    <w:rsid w:val="54E753F5"/>
    <w:rsid w:val="563F7F48"/>
    <w:rsid w:val="5779221D"/>
    <w:rsid w:val="589B5008"/>
    <w:rsid w:val="58A326D8"/>
    <w:rsid w:val="59466376"/>
    <w:rsid w:val="5A9E6E08"/>
    <w:rsid w:val="5BF51433"/>
    <w:rsid w:val="5C46774B"/>
    <w:rsid w:val="5E2F7920"/>
    <w:rsid w:val="5FFF8D5C"/>
    <w:rsid w:val="623151CA"/>
    <w:rsid w:val="64A22FFB"/>
    <w:rsid w:val="64DB7056"/>
    <w:rsid w:val="64FEF02B"/>
    <w:rsid w:val="66982F4F"/>
    <w:rsid w:val="6888651F"/>
    <w:rsid w:val="6894168D"/>
    <w:rsid w:val="69B52798"/>
    <w:rsid w:val="6A7451AD"/>
    <w:rsid w:val="6AC14C27"/>
    <w:rsid w:val="6BC41409"/>
    <w:rsid w:val="6C030E4B"/>
    <w:rsid w:val="6C5C62E3"/>
    <w:rsid w:val="6CAB30BC"/>
    <w:rsid w:val="6CED0F48"/>
    <w:rsid w:val="6CED51AD"/>
    <w:rsid w:val="6F0002D1"/>
    <w:rsid w:val="6FBE5F4A"/>
    <w:rsid w:val="6FCC3E6E"/>
    <w:rsid w:val="6FEFB7EB"/>
    <w:rsid w:val="71D6011D"/>
    <w:rsid w:val="72694444"/>
    <w:rsid w:val="73470D86"/>
    <w:rsid w:val="73A0155B"/>
    <w:rsid w:val="73AF7735"/>
    <w:rsid w:val="73BBB3EE"/>
    <w:rsid w:val="74F90479"/>
    <w:rsid w:val="75405A96"/>
    <w:rsid w:val="756D75BF"/>
    <w:rsid w:val="7625601A"/>
    <w:rsid w:val="77773256"/>
    <w:rsid w:val="77BF249E"/>
    <w:rsid w:val="78CB5794"/>
    <w:rsid w:val="78D33F7B"/>
    <w:rsid w:val="7973208E"/>
    <w:rsid w:val="7A5ACF7A"/>
    <w:rsid w:val="7A613437"/>
    <w:rsid w:val="7C1A6A34"/>
    <w:rsid w:val="7CBE4AD3"/>
    <w:rsid w:val="7D1C7CE5"/>
    <w:rsid w:val="7DEA80E7"/>
    <w:rsid w:val="7EAF82F1"/>
    <w:rsid w:val="7F363046"/>
    <w:rsid w:val="7F7D640C"/>
    <w:rsid w:val="7FEFF57D"/>
    <w:rsid w:val="7FFF40A0"/>
    <w:rsid w:val="8EFFBC18"/>
    <w:rsid w:val="9FBE2D98"/>
    <w:rsid w:val="BBEEE557"/>
    <w:rsid w:val="BBF67452"/>
    <w:rsid w:val="BFB1E59F"/>
    <w:rsid w:val="BFFB0999"/>
    <w:rsid w:val="CAFD38F4"/>
    <w:rsid w:val="DB2E415F"/>
    <w:rsid w:val="DB2F7D73"/>
    <w:rsid w:val="DE4F4ECD"/>
    <w:rsid w:val="DFBFA96B"/>
    <w:rsid w:val="DFDF681D"/>
    <w:rsid w:val="EA77DD30"/>
    <w:rsid w:val="EDBF5009"/>
    <w:rsid w:val="EDF939A8"/>
    <w:rsid w:val="EEF3C802"/>
    <w:rsid w:val="EEFFF2F2"/>
    <w:rsid w:val="EFFFF1FE"/>
    <w:rsid w:val="F6DCE9CB"/>
    <w:rsid w:val="F98F69B3"/>
    <w:rsid w:val="FBFE63F7"/>
    <w:rsid w:val="FDFD5E31"/>
    <w:rsid w:val="FEBFC558"/>
    <w:rsid w:val="FF7FB831"/>
    <w:rsid w:val="FF9D7F84"/>
    <w:rsid w:val="FFCF9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5209</Words>
  <Characters>5370</Characters>
  <Lines>0</Lines>
  <Paragraphs>0</Paragraphs>
  <TotalTime>0</TotalTime>
  <ScaleCrop>false</ScaleCrop>
  <LinksUpToDate>false</LinksUpToDate>
  <CharactersWithSpaces>5381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2025-07-09T10:47:00Z</dcterms:created>
  <dc:creator>黄佩琳</dc:creator>
  <cp:lastModifiedBy>徐丽莎</cp:lastModifiedBy>
  <cp:lastPrinted>2026-06-19T11:59:00Z</cp:lastPrinted>
  <dcterms:modified xsi:type="dcterms:W3CDTF">2026-06-29T09:16:55Z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1EB21C241E674BDB8B6E20A5ECAD8256_13</vt:lpwstr>
  </property>
  <property fmtid="{D5CDD505-2E9C-101B-9397-08002B2CF9AE}" pid="4" name="KSOTemplateDocerSaveRecord">
    <vt:lpwstr>eyJoZGlkIjoiY2NiNzc0ZWE4MzBjY2JmMGYyMmY4NjkxNmNhZGJlNDUiLCJ1c2VySWQiOiI4NzUyMjIyNTQifQ==</vt:lpwstr>
  </property>
</Properties>
</file>