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auto"/>
          <w:sz w:val="32"/>
          <w:szCs w:val="32"/>
          <w:highlight w:val="none"/>
          <w:lang w:val="en-US" w:eastAsia="zh-CN"/>
        </w:rPr>
      </w:pPr>
      <w:bookmarkStart w:id="0" w:name="_Toc5810"/>
      <w:bookmarkStart w:id="1" w:name="_Toc13216"/>
      <w:bookmarkStart w:id="2" w:name="_Toc125127182"/>
      <w:bookmarkStart w:id="3" w:name="_Toc32562"/>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w:t>
      </w:r>
      <w:r>
        <w:rPr>
          <w:rFonts w:hint="default" w:ascii="方正小标宋简体" w:hAnsi="Times New Roman" w:eastAsia="方正小标宋简体" w:cs="Times New Roman"/>
          <w:color w:val="auto"/>
          <w:kern w:val="2"/>
          <w:sz w:val="44"/>
          <w:szCs w:val="44"/>
          <w:highlight w:val="none"/>
          <w:lang w:eastAsia="zh-CN" w:bidi="ar-SA"/>
        </w:rPr>
        <w:t>龙岗区</w:t>
      </w:r>
      <w:r>
        <w:rPr>
          <w:rFonts w:hint="eastAsia" w:ascii="方正小标宋简体" w:hAnsi="Times New Roman" w:eastAsia="方正小标宋简体" w:cs="Times New Roman"/>
          <w:color w:val="auto"/>
          <w:kern w:val="2"/>
          <w:sz w:val="44"/>
          <w:szCs w:val="44"/>
          <w:highlight w:val="none"/>
          <w:lang w:val="en-US" w:eastAsia="zh-CN" w:bidi="ar-SA"/>
        </w:rPr>
        <w:t>2026年中央资金消费新业态新模式新场景试点（支持创新多元化服务消费场景</w:t>
      </w:r>
      <w:r>
        <w:rPr>
          <w:rFonts w:hint="default" w:ascii="方正小标宋简体" w:hAnsi="Times New Roman" w:eastAsia="方正小标宋简体" w:cs="Times New Roman"/>
          <w:color w:val="auto"/>
          <w:kern w:val="2"/>
          <w:sz w:val="44"/>
          <w:szCs w:val="44"/>
          <w:highlight w:val="none"/>
          <w:lang w:val="en-US" w:eastAsia="zh-CN" w:bidi="ar-SA"/>
        </w:rPr>
        <w:t>—</w:t>
      </w:r>
      <w:r>
        <w:rPr>
          <w:rFonts w:hint="eastAsia" w:ascii="方正小标宋简体" w:hAnsi="Times New Roman" w:eastAsia="方正小标宋简体" w:cs="Times New Roman"/>
          <w:color w:val="auto"/>
          <w:kern w:val="2"/>
          <w:sz w:val="44"/>
          <w:szCs w:val="44"/>
          <w:highlight w:val="none"/>
          <w:lang w:val="en-US" w:eastAsia="zh-CN" w:bidi="ar-SA"/>
        </w:rPr>
        <w:t>商旅文体健多元融合载体资助</w:t>
      </w:r>
      <w:r>
        <w:rPr>
          <w:rFonts w:hint="default" w:ascii="方正小标宋简体" w:hAnsi="Times New Roman" w:eastAsia="方正小标宋简体" w:cs="Times New Roman"/>
          <w:color w:val="auto"/>
          <w:kern w:val="2"/>
          <w:sz w:val="44"/>
          <w:szCs w:val="44"/>
          <w:highlight w:val="none"/>
          <w:lang w:val="en-US" w:eastAsia="zh-CN" w:bidi="ar-SA"/>
        </w:rPr>
        <w:t>项目</w:t>
      </w:r>
      <w:r>
        <w:rPr>
          <w:rFonts w:hint="eastAsia" w:ascii="方正小标宋简体" w:hAnsi="Times New Roman" w:eastAsia="方正小标宋简体" w:cs="Times New Roman"/>
          <w:color w:val="auto"/>
          <w:kern w:val="2"/>
          <w:sz w:val="44"/>
          <w:szCs w:val="44"/>
          <w:highlight w:val="none"/>
          <w:lang w:val="en-US" w:eastAsia="zh-CN" w:bidi="ar-SA"/>
        </w:rPr>
        <w:t>）申报指南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color w:val="auto"/>
          <w:highlight w:val="none"/>
          <w:lang w:val="en-US" w:eastAsia="zh-CN"/>
        </w:rPr>
      </w:pPr>
      <w:r>
        <w:rPr>
          <w:rFonts w:hint="eastAsia" w:ascii="仿宋_GB2312" w:eastAsia="仿宋_GB2312"/>
          <w:color w:val="auto"/>
          <w:highlight w:val="none"/>
          <w:lang w:val="en-US" w:eastAsia="zh-CN"/>
        </w:rPr>
        <w:t>支持商圈、商业综合体等开展业态创新、模式升级，在文娱、旅游、健康、体育等领域，深化人工智能、元宇宙等数字技术应用，打造商旅文体健融合消费新场景。</w:t>
      </w:r>
      <w:r>
        <w:rPr>
          <w:rFonts w:hint="eastAsia"/>
          <w:color w:val="auto"/>
          <w:highlight w:val="none"/>
          <w:lang w:val="en-US" w:eastAsia="zh-CN"/>
        </w:rPr>
        <w:t>鼓励</w:t>
      </w:r>
      <w:r>
        <w:rPr>
          <w:rFonts w:hint="eastAsia" w:ascii="仿宋_GB2312" w:eastAsia="仿宋_GB2312"/>
          <w:color w:val="auto"/>
          <w:highlight w:val="none"/>
          <w:lang w:val="en-US" w:eastAsia="zh-CN"/>
        </w:rPr>
        <w:t>对市内商圈、商业综合体通过创新升级融合商、旅、文、体、健等业态，</w:t>
      </w:r>
      <w:r>
        <w:rPr>
          <w:rFonts w:hint="eastAsia"/>
          <w:color w:val="auto"/>
          <w:highlight w:val="none"/>
          <w:lang w:val="en-US" w:eastAsia="zh-CN"/>
        </w:rPr>
        <w:t>有效拉动消费</w:t>
      </w:r>
      <w:r>
        <w:rPr>
          <w:rFonts w:hint="eastAsia" w:ascii="仿宋_GB2312" w:eastAsia="仿宋_GB2312"/>
          <w:color w:val="auto"/>
          <w:highlight w:val="none"/>
          <w:lang w:val="en-US" w:eastAsia="zh-CN"/>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15437"/>
      <w:bookmarkStart w:id="7" w:name="_Toc8852"/>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补贴</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431"/>
      <w:bookmarkStart w:id="11" w:name="_Toc15307"/>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w:t>
      </w:r>
      <w:r>
        <w:rPr>
          <w:rFonts w:hint="default"/>
          <w:color w:val="auto"/>
          <w:highlight w:val="none"/>
          <w:lang w:eastAsia="zh-CN"/>
        </w:rPr>
        <w:t>龙岗区</w:t>
      </w:r>
      <w:r>
        <w:rPr>
          <w:rFonts w:hint="eastAsia" w:ascii="仿宋_GB2312" w:eastAsia="仿宋_GB2312"/>
          <w:color w:val="auto"/>
          <w:highlight w:val="none"/>
          <w:lang w:val="en-US" w:eastAsia="zh-CN"/>
        </w:rPr>
        <w:t>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w:t>
      </w:r>
      <w:r>
        <w:rPr>
          <w:rFonts w:hint="default"/>
          <w:color w:val="auto"/>
          <w:highlight w:val="none"/>
          <w:lang w:eastAsia="zh-CN"/>
        </w:rPr>
        <w:t>龙岗区</w:t>
      </w:r>
      <w:r>
        <w:rPr>
          <w:rFonts w:hint="eastAsia" w:ascii="仿宋_GB2312" w:eastAsia="仿宋_GB2312"/>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Fonts w:hint="eastAsia"/>
          <w:color w:val="auto"/>
          <w:highlight w:val="none"/>
          <w:lang w:val="en-US" w:eastAsia="zh-CN"/>
        </w:rPr>
        <w:t>1.申报项目须已融合商业、旅游、文化、体育、健康等多业态；</w:t>
      </w:r>
    </w:p>
    <w:p>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Fonts w:hint="eastAsia"/>
          <w:color w:val="auto"/>
          <w:highlight w:val="none"/>
          <w:lang w:val="en-US" w:eastAsia="zh-CN"/>
        </w:rPr>
        <w:t>2.评分达到60分及以上（评分表详见附录）。</w:t>
      </w:r>
    </w:p>
    <w:p>
      <w:pPr>
        <w:pStyle w:val="35"/>
        <w:bidi w:val="0"/>
        <w:spacing w:line="560" w:lineRule="exact"/>
        <w:ind w:firstLine="640" w:firstLineChars="20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ascii="仿宋_GB2312" w:hAnsi="仿宋_GB2312" w:eastAsia="仿宋_GB2312" w:cs="仿宋"/>
          <w:bCs w:val="0"/>
          <w:color w:val="auto"/>
          <w:kern w:val="2"/>
          <w:szCs w:val="22"/>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以及无消费内容的项目。</w:t>
      </w:r>
    </w:p>
    <w:p>
      <w:pPr>
        <w:bidi w:val="0"/>
        <w:ind w:firstLine="801"/>
        <w:rPr>
          <w:rFonts w:hint="eastAsia" w:ascii="仿宋_GB2312" w:eastAsia="仿宋_GB2312"/>
          <w:color w:val="auto"/>
          <w:highlight w:val="none"/>
          <w:lang w:val="en-US" w:eastAsia="zh-CN"/>
        </w:rPr>
      </w:pPr>
      <w:r>
        <w:rPr>
          <w:rFonts w:hint="eastAsia" w:eastAsia="黑体" w:cs="Times New Roman"/>
          <w:bCs/>
          <w:color w:val="auto"/>
          <w:kern w:val="36"/>
          <w:szCs w:val="48"/>
          <w:highlight w:val="none"/>
          <w:lang w:val="en-US" w:eastAsia="zh-CN"/>
        </w:rPr>
        <w:t>五、</w:t>
      </w: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对</w:t>
      </w:r>
      <w:r>
        <w:rPr>
          <w:rFonts w:hint="eastAsia"/>
          <w:color w:val="auto"/>
          <w:highlight w:val="none"/>
          <w:lang w:val="en-US" w:eastAsia="zh-CN"/>
        </w:rPr>
        <w:t>符合条件的</w:t>
      </w:r>
      <w:r>
        <w:rPr>
          <w:rFonts w:hint="eastAsia" w:ascii="仿宋_GB2312" w:eastAsia="仿宋_GB2312"/>
          <w:color w:val="auto"/>
          <w:highlight w:val="none"/>
          <w:lang w:val="en-US" w:eastAsia="zh-CN"/>
        </w:rPr>
        <w:t>项目按相关实际</w:t>
      </w:r>
      <w:r>
        <w:rPr>
          <w:rFonts w:hint="eastAsia"/>
          <w:color w:val="auto"/>
          <w:highlight w:val="none"/>
          <w:lang w:val="en-US" w:eastAsia="zh-CN"/>
        </w:rPr>
        <w:t>有效</w:t>
      </w:r>
      <w:r>
        <w:rPr>
          <w:rFonts w:hint="eastAsia" w:ascii="仿宋_GB2312" w:eastAsia="仿宋_GB2312"/>
          <w:color w:val="auto"/>
          <w:highlight w:val="none"/>
          <w:lang w:val="en-US" w:eastAsia="zh-CN"/>
        </w:rPr>
        <w:t>投入（不含各级财政投资部分）15%给予资助，试点期间最高不超过500万元。</w:t>
      </w:r>
    </w:p>
    <w:p>
      <w:pPr>
        <w:bidi w:val="0"/>
        <w:rPr>
          <w:rFonts w:hint="eastAsia" w:ascii="仿宋_GB2312" w:eastAsia="仿宋_GB2312"/>
          <w:color w:val="auto"/>
          <w:highlight w:val="none"/>
          <w:lang w:val="en-US" w:eastAsia="zh-CN"/>
        </w:rPr>
      </w:pPr>
      <w:r>
        <w:rPr>
          <w:rFonts w:hint="eastAsia"/>
          <w:color w:val="auto"/>
          <w:highlight w:val="none"/>
          <w:lang w:val="en-US" w:eastAsia="zh-CN"/>
        </w:rPr>
        <w:t>实际有效投入是指</w:t>
      </w:r>
      <w:r>
        <w:rPr>
          <w:rStyle w:val="19"/>
          <w:rFonts w:hint="eastAsia"/>
          <w:color w:val="auto"/>
          <w:sz w:val="32"/>
          <w:szCs w:val="32"/>
          <w:highlight w:val="none"/>
          <w:lang w:eastAsia="zh-CN"/>
        </w:rPr>
        <w:t>2025年9月30日以来至申报日，</w:t>
      </w:r>
      <w:r>
        <w:rPr>
          <w:rFonts w:hint="eastAsia"/>
          <w:color w:val="auto"/>
          <w:highlight w:val="none"/>
          <w:lang w:val="en-US" w:eastAsia="zh-CN"/>
        </w:rPr>
        <w:t>申报主体在打造商旅文体健融合时，</w:t>
      </w:r>
      <w:r>
        <w:rPr>
          <w:rFonts w:hint="eastAsia"/>
          <w:color w:val="000000" w:themeColor="text1"/>
          <w:highlight w:val="none"/>
          <w:lang w:val="en-US" w:eastAsia="zh-CN"/>
          <w14:textFill>
            <w14:solidFill>
              <w14:schemeClr w14:val="tx1"/>
            </w14:solidFill>
          </w14:textFill>
        </w:rPr>
        <w:t>已完成或阶段性完成部分</w:t>
      </w:r>
      <w:r>
        <w:rPr>
          <w:rFonts w:hint="eastAsia"/>
          <w:color w:val="auto"/>
          <w:highlight w:val="none"/>
          <w:lang w:val="en-US" w:eastAsia="zh-CN"/>
        </w:rPr>
        <w:t>相应投入，不包括第四条专项条件中明确不予支持的投入部分。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pStyle w:val="35"/>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27028"/>
      <w:bookmarkStart w:id="15" w:name="_Toc7147"/>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w:t>
      </w:r>
      <w:r>
        <w:rPr>
          <w:rFonts w:hint="default"/>
          <w:highlight w:val="none"/>
        </w:rPr>
        <w:t>登录广东政务服务网在线下载填报申请书（网址：</w:t>
      </w:r>
      <w:r>
        <w:rPr>
          <w:rFonts w:hint="eastAsia" w:ascii="仿宋_GB2312" w:hAnsi="仿宋_GB2312" w:eastAsia="仿宋_GB2312" w:cs="Times New Roman"/>
          <w:color w:val="auto"/>
          <w:sz w:val="32"/>
          <w:szCs w:val="32"/>
          <w:highlight w:val="none"/>
          <w:lang w:val="en-US" w:eastAsia="zh-CN"/>
        </w:rPr>
        <w:t>http://www.gdzwfw.gov.cn/—选择“深圳市”—</w:t>
      </w:r>
      <w:r>
        <w:rPr>
          <w:rFonts w:hint="default" w:cs="Times New Roman"/>
          <w:color w:val="auto"/>
          <w:sz w:val="32"/>
          <w:szCs w:val="32"/>
          <w:highlight w:val="none"/>
          <w:lang w:eastAsia="zh-CN"/>
        </w:rPr>
        <w:t>龙岗</w:t>
      </w:r>
      <w:r>
        <w:rPr>
          <w:rFonts w:hint="eastAsia" w:ascii="仿宋_GB2312" w:hAnsi="仿宋_GB2312" w:eastAsia="仿宋_GB2312" w:cs="Times New Roman"/>
          <w:color w:val="auto"/>
          <w:sz w:val="32"/>
          <w:szCs w:val="32"/>
          <w:highlight w:val="none"/>
          <w:lang w:val="en-US" w:eastAsia="zh-CN"/>
        </w:rPr>
        <w:t>区—</w:t>
      </w:r>
      <w:r>
        <w:rPr>
          <w:rFonts w:hint="default" w:cs="Times New Roman"/>
          <w:color w:val="auto"/>
          <w:sz w:val="32"/>
          <w:szCs w:val="32"/>
          <w:highlight w:val="none"/>
          <w:lang w:eastAsia="zh-CN"/>
        </w:rPr>
        <w:t>深圳市消费新业态新模式新场景试点项目（选择申报方向）—</w:t>
      </w:r>
      <w:r>
        <w:rPr>
          <w:rFonts w:hint="eastAsia" w:ascii="仿宋_GB2312" w:hAnsi="仿宋_GB2312" w:eastAsia="仿宋_GB2312" w:cs="Times New Roman"/>
          <w:color w:val="auto"/>
          <w:sz w:val="32"/>
          <w:szCs w:val="32"/>
          <w:highlight w:val="none"/>
          <w:lang w:val="en-US" w:eastAsia="zh-CN"/>
        </w:rPr>
        <w:t>点击“在线办理”—登录后按要求填报并上传申请材料—点击提交</w:t>
      </w:r>
      <w:r>
        <w:rPr>
          <w:rFonts w:hint="default"/>
          <w:highlight w:val="none"/>
        </w:rPr>
        <w:t>），预审通过后提供申请书纸质文件原件并将本指南第六条要求的项目材料一并提交至龙岗区政务服务中心或分中心，线下受理地址请在线上申报系统申请页面查询或咨询龙岗区商务局（逾期未申报者视为自动放弃）。</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default"/>
          <w:color w:val="auto"/>
          <w:highlight w:val="none"/>
          <w:lang w:val="en-US" w:eastAsia="zh-CN"/>
        </w:rPr>
        <w:t>.</w:t>
      </w:r>
      <w:r>
        <w:rPr>
          <w:rFonts w:hint="eastAsia" w:ascii="仿宋_GB2312" w:eastAsia="仿宋_GB2312"/>
          <w:color w:val="auto"/>
          <w:highlight w:val="none"/>
          <w:lang w:val="en-US" w:eastAsia="zh-CN"/>
        </w:rPr>
        <w:t>评分表佐证材料</w:t>
      </w:r>
      <w:r>
        <w:rPr>
          <w:rFonts w:hint="eastAsia"/>
          <w:color w:val="auto"/>
          <w:highlight w:val="none"/>
          <w:lang w:val="en-US" w:eastAsia="zh-CN"/>
        </w:rPr>
        <w:t>：</w:t>
      </w:r>
      <w:r>
        <w:rPr>
          <w:rFonts w:hint="eastAsia" w:ascii="仿宋_GB2312" w:eastAsia="仿宋_GB2312"/>
          <w:color w:val="auto"/>
          <w:highlight w:val="none"/>
          <w:lang w:val="en-US" w:eastAsia="zh-CN"/>
        </w:rPr>
        <w:t>各申报单位应按照本指南附件《评分表》中所列指标及要求，完整提交对应佐证材料。</w:t>
      </w:r>
    </w:p>
    <w:p>
      <w:pPr>
        <w:bidi w:val="0"/>
        <w:rPr>
          <w:rFonts w:hint="eastAsia"/>
          <w:color w:val="auto"/>
          <w:highlight w:val="none"/>
          <w:lang w:val="en-US" w:eastAsia="zh-CN"/>
        </w:rPr>
      </w:pPr>
      <w:r>
        <w:rPr>
          <w:rFonts w:hint="eastAsia"/>
          <w:color w:val="auto"/>
          <w:highlight w:val="none"/>
          <w:lang w:val="en-US" w:eastAsia="zh-CN"/>
        </w:rPr>
        <w:t>2.项目成效总结（模板详见项目申报书）。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w:t>
      </w:r>
      <w:r>
        <w:rPr>
          <w:rFonts w:hint="default"/>
          <w:color w:val="auto"/>
          <w:highlight w:val="none"/>
          <w:lang w:eastAsia="zh-CN"/>
        </w:rPr>
        <w:t>，需刻录成光盘</w:t>
      </w:r>
      <w:r>
        <w:rPr>
          <w:rFonts w:hint="default"/>
          <w:color w:val="auto"/>
          <w:highlight w:val="none"/>
          <w:lang w:val="en-US" w:eastAsia="zh-CN"/>
        </w:rPr>
        <w:t>）装订成册，在封面加盖单位公章并加盖骑缝章（其中，申报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5711"/>
      <w:bookmarkStart w:id="17" w:name="_Toc19526"/>
      <w:r>
        <w:rPr>
          <w:rFonts w:hint="eastAsia" w:ascii="黑体" w:hAnsi="黑体" w:eastAsia="黑体" w:cs="仿宋"/>
          <w:color w:val="auto"/>
          <w:kern w:val="2"/>
          <w:sz w:val="32"/>
          <w:szCs w:val="22"/>
          <w:highlight w:val="none"/>
          <w:lang w:val="en-US" w:eastAsia="zh-CN" w:bidi="ar-SA"/>
        </w:rPr>
        <w:t>七、申请表格</w:t>
      </w:r>
      <w:bookmarkEnd w:id="16"/>
      <w:bookmarkEnd w:id="17"/>
    </w:p>
    <w:p>
      <w:pPr>
        <w:keepNext/>
        <w:keepLines/>
        <w:widowControl w:val="0"/>
        <w:bidi w:val="0"/>
        <w:spacing w:before="0" w:beforeLines="0" w:beforeAutospacing="0" w:after="0" w:afterLines="0" w:afterAutospacing="0" w:line="560" w:lineRule="exact"/>
        <w:ind w:firstLine="640" w:firstLineChars="200"/>
        <w:jc w:val="both"/>
        <w:outlineLvl w:val="0"/>
        <w:rPr>
          <w:rFonts w:hint="default" w:hAnsi="Calibri" w:cs="Times New Roman"/>
          <w:color w:val="auto"/>
          <w:sz w:val="32"/>
          <w:szCs w:val="32"/>
          <w:highlight w:val="none"/>
          <w:lang w:eastAsia="zh-CN"/>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default" w:hAnsi="Calibri" w:cs="Times New Roman"/>
          <w:color w:val="auto"/>
          <w:sz w:val="32"/>
          <w:szCs w:val="32"/>
          <w:highlight w:val="none"/>
          <w:lang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20121"/>
      <w:bookmarkStart w:id="19" w:name="_Toc13760"/>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default" w:cs="仿宋_GB2312"/>
          <w:color w:val="auto"/>
          <w:sz w:val="32"/>
          <w:szCs w:val="32"/>
          <w:highlight w:val="none"/>
          <w:u w:val="none"/>
          <w:lang w:eastAsia="zh-CN"/>
        </w:rPr>
        <w:t>深圳市龙岗区商务局</w:t>
      </w:r>
      <w:r>
        <w:rPr>
          <w:rFonts w:hint="eastAsia" w:ascii="仿宋_GB2312" w:hAnsi="仿宋_GB2312" w:eastAsia="仿宋_GB2312" w:cs="仿宋_GB2312"/>
          <w:color w:val="auto"/>
          <w:sz w:val="32"/>
          <w:szCs w:val="32"/>
          <w:highlight w:val="none"/>
        </w:rPr>
        <w:t>。</w:t>
      </w:r>
    </w:p>
    <w:p>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default" w:hAnsi="宋体" w:cs="宋体"/>
          <w:color w:val="auto"/>
          <w:kern w:val="0"/>
          <w:sz w:val="32"/>
          <w:szCs w:val="32"/>
          <w:highlight w:val="none"/>
          <w:lang w:eastAsia="zh-CN"/>
        </w:rPr>
        <w:t>6</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default" w:hAnsi="宋体" w:cs="宋体"/>
          <w:color w:val="auto"/>
          <w:kern w:val="0"/>
          <w:sz w:val="32"/>
          <w:szCs w:val="32"/>
          <w:highlight w:val="none"/>
          <w:lang w:eastAsia="zh-CN"/>
        </w:rPr>
        <w:t>7</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13</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default" w:hAnsi="宋体" w:cs="宋体"/>
          <w:color w:val="auto"/>
          <w:kern w:val="0"/>
          <w:sz w:val="32"/>
          <w:szCs w:val="32"/>
          <w:highlight w:val="none"/>
          <w:lang w:eastAsia="zh-CN"/>
        </w:rPr>
        <w:t>6</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29</w:t>
      </w:r>
      <w:r>
        <w:rPr>
          <w:rFonts w:hint="eastAsia" w:ascii="仿宋_GB2312" w:hAnsi="宋体" w:eastAsia="仿宋_GB2312" w:cs="宋体"/>
          <w:color w:val="auto"/>
          <w:kern w:val="0"/>
          <w:sz w:val="32"/>
          <w:szCs w:val="32"/>
          <w:highlight w:val="none"/>
          <w:lang w:val="en-US" w:eastAsia="zh-CN"/>
        </w:rPr>
        <w:t>日-2026年</w:t>
      </w:r>
      <w:r>
        <w:rPr>
          <w:rFonts w:hint="default" w:hAnsi="宋体" w:cs="宋体"/>
          <w:color w:val="auto"/>
          <w:kern w:val="0"/>
          <w:sz w:val="32"/>
          <w:szCs w:val="32"/>
          <w:highlight w:val="none"/>
          <w:lang w:eastAsia="zh-CN"/>
        </w:rPr>
        <w:t>7</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17</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收件地址</w:t>
      </w:r>
      <w:bookmarkStart w:id="40" w:name="_GoBack"/>
      <w:bookmarkEnd w:id="40"/>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highlight w:val="none"/>
        </w:rPr>
        <w:t>龙岗区政务服务中心或分中心，线下受理地址请在线上申报系统申请页面查询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single"/>
        </w:rPr>
      </w:pPr>
      <w:r>
        <w:rPr>
          <w:rFonts w:hint="default" w:cs="仿宋_GB2312"/>
          <w:color w:val="000000" w:themeColor="text1"/>
          <w:sz w:val="32"/>
          <w:szCs w:val="32"/>
          <w:highlight w:val="none"/>
          <w:u w:val="none"/>
          <w:lang w:eastAsia="zh-CN"/>
          <w14:textFill>
            <w14:solidFill>
              <w14:schemeClr w14:val="tx1"/>
            </w14:solidFill>
          </w14:textFill>
        </w:rPr>
        <w:t>0755-28682380</w:t>
      </w:r>
      <w:r>
        <w:rPr>
          <w:rFonts w:hint="eastAsia" w:ascii="仿宋_GB2312" w:hAnsi="仿宋_GB2312" w:eastAsia="仿宋_GB2312" w:cs="仿宋_GB2312"/>
          <w:color w:val="auto"/>
          <w:sz w:val="32"/>
          <w:szCs w:val="32"/>
          <w:highlight w:val="none"/>
          <w:u w:val="none"/>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9722"/>
      <w:bookmarkStart w:id="21" w:name="_Toc1376"/>
      <w:r>
        <w:rPr>
          <w:rFonts w:hint="eastAsia" w:ascii="黑体" w:hAnsi="黑体" w:eastAsia="黑体" w:cs="仿宋"/>
          <w:color w:val="auto"/>
          <w:kern w:val="2"/>
          <w:sz w:val="32"/>
          <w:szCs w:val="22"/>
          <w:highlight w:val="none"/>
          <w:lang w:val="en-US" w:eastAsia="zh-CN" w:bidi="ar-SA"/>
        </w:rPr>
        <w:t>九、申请决定机关</w:t>
      </w:r>
      <w:bookmarkEnd w:id="20"/>
      <w:bookmarkEnd w:id="21"/>
    </w:p>
    <w:p>
      <w:pPr>
        <w:keepNext/>
        <w:keepLines/>
        <w:widowControl w:val="0"/>
        <w:bidi w:val="0"/>
        <w:spacing w:before="0" w:beforeLines="0" w:beforeAutospacing="0" w:after="0" w:afterLines="0" w:afterAutospacing="0" w:line="560" w:lineRule="exact"/>
        <w:ind w:firstLine="640" w:firstLineChars="200"/>
        <w:jc w:val="both"/>
        <w:outlineLvl w:val="0"/>
        <w:rPr>
          <w:rFonts w:hint="default" w:ascii="黑体" w:hAnsi="宋体" w:cs="宋体"/>
          <w:color w:val="auto"/>
          <w:kern w:val="0"/>
          <w:sz w:val="32"/>
          <w:szCs w:val="32"/>
          <w:highlight w:val="none"/>
          <w:lang w:eastAsia="zh-CN"/>
        </w:rPr>
      </w:pPr>
      <w:bookmarkStart w:id="22" w:name="_Toc16198"/>
      <w:bookmarkStart w:id="23" w:name="_Toc11274"/>
      <w:bookmarkStart w:id="24" w:name="_Toc125127183"/>
      <w:bookmarkStart w:id="25" w:name="_Toc161850809"/>
      <w:bookmarkStart w:id="26" w:name="_Toc2137"/>
      <w:bookmarkStart w:id="27" w:name="_Toc10305"/>
      <w:r>
        <w:rPr>
          <w:rFonts w:hint="default" w:ascii="黑体" w:hAnsi="宋体" w:cs="宋体"/>
          <w:color w:val="auto"/>
          <w:kern w:val="0"/>
          <w:sz w:val="32"/>
          <w:szCs w:val="32"/>
          <w:highlight w:val="none"/>
          <w:lang w:eastAsia="zh-CN"/>
        </w:rPr>
        <w:t>深圳市龙岗区商务局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十、办理流程</w:t>
      </w:r>
      <w:bookmarkEnd w:id="22"/>
      <w:bookmarkEnd w:id="23"/>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发布申报指南——申报单位网上申报——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网上初审——申报单位向</w:t>
      </w:r>
      <w:r>
        <w:rPr>
          <w:rFonts w:hint="default" w:cs="Times New Roman"/>
          <w:color w:val="000000" w:themeColor="text1"/>
          <w:sz w:val="32"/>
          <w:szCs w:val="32"/>
          <w:highlight w:val="none"/>
          <w:lang w:eastAsia="zh-CN" w:bidi="ar"/>
          <w14:textFill>
            <w14:solidFill>
              <w14:schemeClr w14:val="tx1"/>
            </w14:solidFill>
          </w14:textFill>
        </w:rPr>
        <w:t>龙岗区</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政务服务中心</w:t>
      </w:r>
      <w:r>
        <w:rPr>
          <w:rFonts w:hint="default" w:cs="Times New Roman"/>
          <w:color w:val="000000" w:themeColor="text1"/>
          <w:sz w:val="32"/>
          <w:szCs w:val="32"/>
          <w:highlight w:val="none"/>
          <w:lang w:eastAsia="zh-CN" w:bidi="ar"/>
          <w14:textFill>
            <w14:solidFill>
              <w14:schemeClr w14:val="tx1"/>
            </w14:solidFill>
          </w14:textFill>
        </w:rPr>
        <w:t>或分中心</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收文窗口提交申请材料——</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开展形式审查——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开展资质审查——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组织专项审计——征求意见与综合核查——拟定资助计划——社会公示——下达资助计划——通知申报单位提交拨付资料——拨付资金</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default" w:eastAsia="仿宋_GB2312"/>
          <w:color w:val="auto"/>
          <w:highlight w:val="none"/>
          <w:lang w:val="en-US" w:eastAsia="zh-CN"/>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475"/>
      <w:bookmarkStart w:id="37" w:name="_Toc3014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color w:val="000000" w:themeColor="text1"/>
          <w:highlight w:val="none"/>
          <w:lang w:val="en-US" w:eastAsia="zh-CN"/>
          <w14:textFill>
            <w14:solidFill>
              <w14:schemeClr w14:val="tx1"/>
            </w14:solidFill>
          </w14:textFill>
        </w:rPr>
        <w:t>（举报电话</w:t>
      </w:r>
      <w:r>
        <w:rPr>
          <w:rFonts w:hint="default"/>
          <w:color w:val="000000" w:themeColor="text1"/>
          <w:highlight w:val="none"/>
          <w:u w:val="none"/>
          <w:lang w:eastAsia="zh-CN"/>
          <w14:textFill>
            <w14:solidFill>
              <w14:schemeClr w14:val="tx1"/>
            </w14:solidFill>
          </w14:textFill>
        </w:rPr>
        <w:t>：</w:t>
      </w:r>
      <w:r>
        <w:rPr>
          <w:rFonts w:hint="default" w:cs="仿宋_GB2312"/>
          <w:color w:val="000000" w:themeColor="text1"/>
          <w:sz w:val="32"/>
          <w:szCs w:val="32"/>
          <w:highlight w:val="none"/>
          <w:u w:val="none"/>
          <w:lang w:eastAsia="zh-CN"/>
          <w14:textFill>
            <w14:solidFill>
              <w14:schemeClr w14:val="tx1"/>
            </w14:solidFill>
          </w14:textFill>
        </w:rPr>
        <w:t>0755-28682380、28281450</w:t>
      </w:r>
      <w:r>
        <w:rPr>
          <w:rFonts w:hint="eastAsia"/>
          <w:color w:val="000000" w:themeColor="text1"/>
          <w:highlight w:val="none"/>
          <w:lang w:val="en-US" w:eastAsia="zh-CN"/>
          <w14:textFill>
            <w14:solidFill>
              <w14:schemeClr w14:val="tx1"/>
            </w14:solidFill>
          </w14:textFill>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账户信息变更或企业填写错误等原因导致拨不成功的，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Fonts w:hint="eastAsia"/>
          <w:color w:val="auto"/>
          <w:highlight w:val="none"/>
          <w:lang w:eastAsia="zh-CN"/>
        </w:rPr>
        <w:t>（八）</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bidi w:val="0"/>
        <w:rPr>
          <w:rFonts w:hint="eastAsia"/>
          <w:color w:val="auto"/>
          <w:highlight w:val="none"/>
        </w:rPr>
      </w:pPr>
    </w:p>
    <w:p>
      <w:pPr>
        <w:bidi w:val="0"/>
        <w:rPr>
          <w:rFonts w:hint="eastAsia"/>
          <w:color w:val="auto"/>
          <w:highlight w:val="none"/>
          <w:lang w:eastAsia="zh-CN"/>
        </w:rPr>
      </w:pPr>
      <w:r>
        <w:rPr>
          <w:rFonts w:hint="eastAsia"/>
          <w:color w:val="auto"/>
          <w:highlight w:val="none"/>
          <w:lang w:eastAsia="zh-CN"/>
        </w:rPr>
        <w:t>附录：深圳市消费新业态新模式新场景试点商旅文体健多元融合载体项目评分表</w:t>
      </w:r>
    </w:p>
    <w:bookmarkEnd w:id="24"/>
    <w:bookmarkEnd w:id="25"/>
    <w:bookmarkEnd w:id="26"/>
    <w:bookmarkEnd w:id="27"/>
    <w:p>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p>
    <w:p>
      <w:pPr>
        <w:pStyle w:val="17"/>
        <w:spacing w:line="560" w:lineRule="exact"/>
        <w:rPr>
          <w:rFonts w:ascii="仿宋_GB2312" w:hAnsi="仿宋_GB2312"/>
          <w:color w:val="auto"/>
          <w:highlight w:val="none"/>
        </w:rPr>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t>附  录</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r>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商旅文体健多元融合载体项目评分表</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Calibri" w:hAnsi="等线" w:eastAsia="宋体" w:cs="仿宋_GB2312"/>
          <w:i w:val="0"/>
          <w:iCs w:val="0"/>
          <w:color w:val="auto"/>
          <w:kern w:val="0"/>
          <w:sz w:val="24"/>
          <w:szCs w:val="24"/>
          <w:highlight w:val="none"/>
          <w:u w:val="none"/>
          <w:lang w:val="en-US" w:eastAsia="zh-CN" w:bidi="ar"/>
        </w:rPr>
      </w:pPr>
    </w:p>
    <w:tbl>
      <w:tblPr>
        <w:tblStyle w:val="18"/>
        <w:tblW w:w="13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4"/>
        <w:gridCol w:w="1997"/>
        <w:gridCol w:w="1206"/>
        <w:gridCol w:w="1657"/>
        <w:gridCol w:w="2836"/>
        <w:gridCol w:w="1310"/>
        <w:gridCol w:w="2603"/>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19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56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评分标准</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分值（分）</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佐证材料参考</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区评分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项目规模与投入</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商业面积</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总面积≥100,000㎡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租赁合同或房产证（需载明面积）等材料</w:t>
            </w:r>
          </w:p>
        </w:tc>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50,000㎡≤总面积&lt;100,000㎡​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20,000㎡≤总面积&lt;50,000㎡​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总面积&lt;20,000㎡​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商业管理团队就业带动（2025年9月30日以来）</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新增就业人数≥50个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CN" w:bidi="ar"/>
              </w:rPr>
              <w:t>新增就业人数说明、</w:t>
            </w:r>
            <w:r>
              <w:rPr>
                <w:rFonts w:hint="eastAsia" w:ascii="仿宋_GB2312" w:hAnsi="仿宋_GB2312" w:eastAsia="仿宋_GB2312" w:cs="仿宋_GB2312"/>
                <w:i w:val="0"/>
                <w:iCs w:val="0"/>
                <w:color w:val="auto"/>
                <w:kern w:val="0"/>
                <w:sz w:val="24"/>
                <w:szCs w:val="24"/>
                <w:highlight w:val="none"/>
                <w:u w:val="none"/>
                <w:lang w:val="en-US" w:eastAsia="zh-CN" w:bidi="ar"/>
              </w:rPr>
              <w:t>社保缴纳记录等材料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30个≤新增就业人数&lt;50个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新增就业人数&lt;30个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非传统零售功能情况（文化、旅游、体育、健康等）</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细分业态</w:t>
            </w:r>
          </w:p>
        </w:tc>
        <w:tc>
          <w:tcPr>
            <w:tcW w:w="165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业态面积占总体的百分比</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偏离度判定</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right"/>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佐证材料参考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文化类</w:t>
            </w:r>
          </w:p>
        </w:tc>
        <w:tc>
          <w:tcPr>
            <w:tcW w:w="1657"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项目业态租赁合同等材料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旅游类</w:t>
            </w:r>
          </w:p>
        </w:tc>
        <w:tc>
          <w:tcPr>
            <w:tcW w:w="165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体育类</w:t>
            </w:r>
          </w:p>
        </w:tc>
        <w:tc>
          <w:tcPr>
            <w:tcW w:w="165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健康类</w:t>
            </w:r>
          </w:p>
        </w:tc>
        <w:tc>
          <w:tcPr>
            <w:tcW w:w="1657"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165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165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预期效益与运营能力</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月均租金坪效（元/㎡/月）</w:t>
            </w: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w:t>
            </w:r>
            <w:r>
              <w:rPr>
                <w:rStyle w:val="30"/>
                <w:rFonts w:hAnsi="仿宋_GB2312"/>
                <w:color w:val="auto"/>
                <w:sz w:val="24"/>
                <w:szCs w:val="24"/>
                <w:highlight w:val="none"/>
                <w:lang w:val="en-US" w:eastAsia="zh-CN" w:bidi="ar"/>
              </w:rPr>
              <w:t>＞</w:t>
            </w:r>
            <w:r>
              <w:rPr>
                <w:rStyle w:val="30"/>
                <w:rFonts w:hint="eastAsia" w:hAnsi="仿宋_GB2312"/>
                <w:color w:val="auto"/>
                <w:sz w:val="24"/>
                <w:szCs w:val="24"/>
                <w:highlight w:val="none"/>
                <w:lang w:val="en-US" w:eastAsia="zh-CN" w:bidi="ar"/>
              </w:rPr>
              <w:t>700</w:t>
            </w:r>
            <w:r>
              <w:rPr>
                <w:rStyle w:val="30"/>
                <w:rFonts w:hAnsi="仿宋_GB2312"/>
                <w:color w:val="auto"/>
                <w:sz w:val="24"/>
                <w:szCs w:val="24"/>
                <w:highlight w:val="none"/>
                <w:lang w:val="en-US" w:eastAsia="zh-CN" w:bidi="ar"/>
              </w:rPr>
              <w:t>元</w:t>
            </w:r>
            <w:r>
              <w:rPr>
                <w:rStyle w:val="31"/>
                <w:rFonts w:hint="eastAsia" w:ascii="仿宋_GB2312" w:hAnsi="仿宋_GB2312" w:eastAsia="仿宋_GB2312" w:cs="仿宋_GB2312"/>
                <w:color w:val="auto"/>
                <w:sz w:val="24"/>
                <w:szCs w:val="24"/>
                <w:highlight w:val="none"/>
                <w:lang w:val="en-US" w:eastAsia="zh-CN" w:bidi="ar"/>
              </w:rPr>
              <w:t>/</w:t>
            </w:r>
            <w:r>
              <w:rPr>
                <w:rFonts w:hint="eastAsia" w:ascii="仿宋_GB2312" w:hAnsi="仿宋_GB2312" w:eastAsia="仿宋_GB2312" w:cs="仿宋_GB2312"/>
                <w:color w:val="auto"/>
                <w:sz w:val="24"/>
                <w:szCs w:val="24"/>
                <w:highlight w:val="none"/>
                <w:u w:val="none"/>
                <w:lang w:val="en-US" w:eastAsia="zh-CN" w:bidi="ar"/>
              </w:rPr>
              <w:t>㎡</w:t>
            </w:r>
            <w:r>
              <w:rPr>
                <w:rStyle w:val="31"/>
                <w:rFonts w:hint="eastAsia" w:ascii="仿宋_GB2312" w:hAnsi="仿宋_GB2312" w:eastAsia="仿宋_GB2312" w:cs="仿宋_GB2312"/>
                <w:color w:val="auto"/>
                <w:sz w:val="24"/>
                <w:szCs w:val="24"/>
                <w:highlight w:val="none"/>
                <w:lang w:val="en-US" w:eastAsia="zh-CN" w:bidi="ar"/>
              </w:rPr>
              <w:t>/</w:t>
            </w:r>
            <w:r>
              <w:rPr>
                <w:rStyle w:val="30"/>
                <w:rFonts w:hAnsi="仿宋_GB2312"/>
                <w:color w:val="auto"/>
                <w:sz w:val="24"/>
                <w:szCs w:val="24"/>
                <w:highlight w:val="none"/>
                <w:lang w:val="en-US" w:eastAsia="zh-CN" w:bidi="ar"/>
              </w:rPr>
              <w:t>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租金及面积相关材料（如租赁合同、租金流水等）</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600≤月均租金坪效＜700元/㎡/月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500≤月均租金坪效&lt;600元/㎡/月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400≤月均租金坪效&lt;500元/㎡/月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200≤月均租金坪效&lt;400元/㎡/月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月均租金坪效&lt;200元/㎡/月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运营活动计划</w:t>
            </w:r>
          </w:p>
        </w:tc>
        <w:tc>
          <w:tcPr>
            <w:tcW w:w="5699" w:type="dxa"/>
            <w:gridSpan w:val="3"/>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有详尽、系统的年度活动计划，且活动类型多样、频次高（如每月有主题）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详细的年度“商旅文体健”主题融合活动计划表，包含活动主题、时间、内容、预期规模等</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多元化场景融合能力</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旅游服务设施种类（如导览、寄存、票务、多语种服务等）≥3类</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空间规划图、现场图片等材料</w:t>
            </w:r>
          </w:p>
        </w:tc>
        <w:tc>
          <w:tcPr>
            <w:tcW w:w="1004"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设置离境退税点或离境退税商铺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设有旅游商品/手信销售区区域或商店/文创旅游商店</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文化（可多项得分）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引入国际顶级文化IP（如迪士尼、环球等）或引入国家级文化IP/非遗项目≥3项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IP授权协议或合作协议等材料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举办文化活动年均≥15场，或预计年度覆盖的观众、参与者或学员人次≥3000人次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文化活动排期表、场地使用记录、现场图片、新闻稿等材料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与市级及以上（含国际）博物/美术馆、艺术家、文化机构等有正式合作，并举办过联名活动或设立常设展区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合作协议、新闻稿等材料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体育（可多项得分）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hAnsi="仿宋_GB2312" w:cs="仿宋_GB2312"/>
                <w:color w:val="auto"/>
                <w:sz w:val="24"/>
                <w:szCs w:val="24"/>
                <w:highlight w:val="none"/>
                <w:u w:val="none"/>
                <w:lang w:val="en-US" w:eastAsia="zh-CN" w:bidi="ar"/>
              </w:rPr>
              <w:t>拥有专业级运动场馆或赛事运营能力（如球场、马术中心、室内滑雪场、攀岩馆等）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场地功能图、现场图片，及赛事承办合同/政府批文等材料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自主举办或承办体育赛事、联赛、趣味挑战赛年均≥15场，或预计可容纳活动人数、参与者或学员人次≥3000人次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现场图片、体育活动排期表、项目说明书、承诺函等材料</w:t>
            </w:r>
          </w:p>
        </w:tc>
        <w:tc>
          <w:tcPr>
            <w:tcW w:w="10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健康服务</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健康服务业态覆盖“医疗服务（如医美、齿科、体检）+养生保健（如中医、SPA）+健康餐饮”等3类及以上</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资质文件、合作协议、场地图片、现场图片、商户清单等材料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创新与引领能力</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融合模式创新性</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具有区域首创性或显著标杆意义</w:t>
            </w:r>
            <w:r>
              <w:rPr>
                <w:rStyle w:val="34"/>
                <w:rFonts w:hAnsi="仿宋_GB2312"/>
                <w:color w:val="auto"/>
                <w:sz w:val="24"/>
                <w:szCs w:val="24"/>
                <w:highlight w:val="none"/>
                <w:lang w:val="en-US" w:eastAsia="zh-CN" w:bidi="ar"/>
              </w:rPr>
              <w:t>的融合模式（如“工业遗存+旅游”、”文化艺术+商业综合体“、“体育健康+商业综合体”等）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首创性项目需附有官方媒体新闻稿截图</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绿色低碳实践</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在节能改造、绿色建筑、废弃物管理等方面有突出实践，获得国家级或省级绿色商场、节能标杆等认证。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相关认证材料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注：1、</w:t>
      </w:r>
      <w:r>
        <w:rPr>
          <w:rFonts w:hint="default" w:ascii="仿宋_GB2312" w:hAnsi="仿宋_GB2312" w:eastAsia="仿宋_GB2312" w:cs="仿宋_GB2312"/>
          <w:i w:val="0"/>
          <w:iCs w:val="0"/>
          <w:color w:val="auto"/>
          <w:kern w:val="0"/>
          <w:sz w:val="24"/>
          <w:szCs w:val="24"/>
          <w:highlight w:val="none"/>
          <w:u w:val="none"/>
          <w:lang w:val="en-US" w:eastAsia="zh-CN" w:bidi="ar"/>
        </w:rPr>
        <w:t>文化类</w:t>
      </w:r>
      <w:r>
        <w:rPr>
          <w:rFonts w:hint="eastAsia" w:ascii="仿宋_GB2312" w:hAnsi="仿宋_GB2312" w:eastAsia="仿宋_GB2312" w:cs="仿宋_GB2312"/>
          <w:i w:val="0"/>
          <w:iCs w:val="0"/>
          <w:color w:val="auto"/>
          <w:kern w:val="0"/>
          <w:sz w:val="24"/>
          <w:szCs w:val="24"/>
          <w:highlight w:val="none"/>
          <w:u w:val="none"/>
          <w:lang w:val="en-US" w:eastAsia="zh-CN" w:bidi="ar"/>
        </w:rPr>
        <w:t>：文化策展、书店、画廊、剧场、影院、艺术展厅、非遗工坊、文创集合、艺术培训、数字娱乐体验</w:t>
      </w:r>
      <w:r>
        <w:rPr>
          <w:rFonts w:hint="default" w:ascii="仿宋_GB2312" w:hAnsi="仿宋_GB2312" w:eastAsia="仿宋_GB2312" w:cs="仿宋_GB2312"/>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default" w:ascii="仿宋_GB2312" w:hAnsi="仿宋_GB2312" w:eastAsia="仿宋_GB2312" w:cs="仿宋_GB2312"/>
          <w:i w:val="0"/>
          <w:iCs w:val="0"/>
          <w:color w:val="auto"/>
          <w:kern w:val="0"/>
          <w:sz w:val="24"/>
          <w:szCs w:val="24"/>
          <w:highlight w:val="none"/>
          <w:u w:val="none"/>
          <w:lang w:val="en-US" w:eastAsia="zh-CN" w:bidi="ar"/>
        </w:rPr>
        <w:t>旅游类</w:t>
      </w:r>
      <w:r>
        <w:rPr>
          <w:rFonts w:hint="eastAsia" w:ascii="仿宋_GB2312" w:hAnsi="仿宋_GB2312" w:eastAsia="仿宋_GB2312" w:cs="仿宋_GB2312"/>
          <w:i w:val="0"/>
          <w:iCs w:val="0"/>
          <w:color w:val="auto"/>
          <w:kern w:val="0"/>
          <w:sz w:val="24"/>
          <w:szCs w:val="24"/>
          <w:highlight w:val="none"/>
          <w:u w:val="none"/>
          <w:lang w:val="en-US" w:eastAsia="zh-CN" w:bidi="ar"/>
        </w:rPr>
        <w:t>：旅行社及体验中心、主题酒店、文创旅游商品店</w:t>
      </w:r>
      <w:r>
        <w:rPr>
          <w:rFonts w:hint="default" w:ascii="仿宋_GB2312" w:hAnsi="仿宋_GB2312" w:eastAsia="仿宋_GB2312" w:cs="仿宋_GB2312"/>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r>
        <w:rPr>
          <w:rFonts w:hint="default" w:ascii="仿宋_GB2312" w:hAnsi="仿宋_GB2312" w:eastAsia="仿宋_GB2312" w:cs="仿宋_GB2312"/>
          <w:i w:val="0"/>
          <w:iCs w:val="0"/>
          <w:color w:val="auto"/>
          <w:kern w:val="0"/>
          <w:sz w:val="24"/>
          <w:szCs w:val="24"/>
          <w:highlight w:val="none"/>
          <w:u w:val="none"/>
          <w:lang w:val="en-US" w:eastAsia="zh-CN" w:bidi="ar"/>
        </w:rPr>
        <w:t>体育类</w:t>
      </w:r>
      <w:r>
        <w:rPr>
          <w:rFonts w:hint="eastAsia" w:ascii="仿宋_GB2312" w:hAnsi="仿宋_GB2312" w:eastAsia="仿宋_GB2312" w:cs="仿宋_GB2312"/>
          <w:i w:val="0"/>
          <w:iCs w:val="0"/>
          <w:color w:val="auto"/>
          <w:kern w:val="0"/>
          <w:sz w:val="24"/>
          <w:szCs w:val="24"/>
          <w:highlight w:val="none"/>
          <w:u w:val="none"/>
          <w:lang w:val="en-US" w:eastAsia="zh-CN" w:bidi="ar"/>
        </w:rPr>
        <w:t>：健身房、瑜伽馆、滑雪冲浪模拟、滑冰场、室内棒球馆、攀岩馆、户外装备、体育用品、击剑馆、骑行装备店、体感游戏、VR运动</w:t>
      </w:r>
      <w:r>
        <w:rPr>
          <w:rFonts w:hint="default" w:ascii="仿宋_GB2312" w:hAnsi="仿宋_GB2312" w:eastAsia="仿宋_GB2312" w:cs="仿宋_GB2312"/>
          <w:i w:val="0"/>
          <w:iCs w:val="0"/>
          <w:color w:val="auto"/>
          <w:kern w:val="0"/>
          <w:sz w:val="24"/>
          <w:szCs w:val="24"/>
          <w:highlight w:val="none"/>
          <w:u w:val="none"/>
          <w:lang w:val="en-US" w:eastAsia="zh-CN" w:bidi="ar"/>
        </w:rPr>
        <w:t>；</w:t>
      </w:r>
    </w:p>
    <w:p>
      <w:pPr>
        <w:adjustRightInd/>
        <w:ind w:firstLine="480"/>
        <w:rPr>
          <w:rFonts w:ascii="仿宋_GB2312" w:hAnsi="仿宋_GB2312"/>
          <w:color w:val="auto"/>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4、健康</w:t>
      </w:r>
      <w:r>
        <w:rPr>
          <w:rFonts w:hint="default" w:ascii="仿宋_GB2312" w:hAnsi="仿宋_GB2312" w:eastAsia="仿宋_GB2312" w:cs="仿宋_GB2312"/>
          <w:i w:val="0"/>
          <w:iCs w:val="0"/>
          <w:color w:val="auto"/>
          <w:kern w:val="0"/>
          <w:sz w:val="24"/>
          <w:szCs w:val="24"/>
          <w:highlight w:val="none"/>
          <w:u w:val="none"/>
          <w:lang w:val="en-US" w:eastAsia="zh-CN" w:bidi="ar"/>
        </w:rPr>
        <w:t>类</w:t>
      </w:r>
      <w:r>
        <w:rPr>
          <w:rFonts w:hint="eastAsia" w:ascii="仿宋_GB2312" w:hAnsi="仿宋_GB2312" w:eastAsia="仿宋_GB2312" w:cs="仿宋_GB2312"/>
          <w:i w:val="0"/>
          <w:iCs w:val="0"/>
          <w:color w:val="auto"/>
          <w:kern w:val="0"/>
          <w:sz w:val="24"/>
          <w:szCs w:val="24"/>
          <w:highlight w:val="none"/>
          <w:u w:val="none"/>
          <w:lang w:val="en-US" w:eastAsia="zh-CN" w:bidi="ar"/>
        </w:rPr>
        <w:t>：养生保健机构、健康管理中心、口腔医疗服务机构、医疗美容机构、身心疗愈中心、专业药房。</w:t>
      </w:r>
    </w:p>
    <w:sectPr>
      <w:footerReference r:id="rId7" w:type="default"/>
      <w:pgSz w:w="16838" w:h="11906" w:orient="landscape"/>
      <w:pgMar w:top="1474" w:right="1814" w:bottom="1474" w:left="181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2803A46"/>
    <w:rsid w:val="02CB1CF7"/>
    <w:rsid w:val="02DA63DE"/>
    <w:rsid w:val="02E93786"/>
    <w:rsid w:val="032C6A46"/>
    <w:rsid w:val="04F91149"/>
    <w:rsid w:val="061A09F3"/>
    <w:rsid w:val="070F7027"/>
    <w:rsid w:val="0A2D6324"/>
    <w:rsid w:val="0A6C5760"/>
    <w:rsid w:val="0B35692F"/>
    <w:rsid w:val="0B4456D1"/>
    <w:rsid w:val="0BE1742C"/>
    <w:rsid w:val="0CB05EFD"/>
    <w:rsid w:val="0D1F0CED"/>
    <w:rsid w:val="0F95719B"/>
    <w:rsid w:val="0FE131A1"/>
    <w:rsid w:val="105D1256"/>
    <w:rsid w:val="10BF0BFF"/>
    <w:rsid w:val="11A73770"/>
    <w:rsid w:val="124226AB"/>
    <w:rsid w:val="126D73E5"/>
    <w:rsid w:val="13A40095"/>
    <w:rsid w:val="14053C83"/>
    <w:rsid w:val="142C55F2"/>
    <w:rsid w:val="144621E7"/>
    <w:rsid w:val="163D2AB4"/>
    <w:rsid w:val="172A2DF8"/>
    <w:rsid w:val="17A666D5"/>
    <w:rsid w:val="17B005EC"/>
    <w:rsid w:val="17ED420C"/>
    <w:rsid w:val="185533C0"/>
    <w:rsid w:val="187E0EC3"/>
    <w:rsid w:val="18AB1F57"/>
    <w:rsid w:val="190653E0"/>
    <w:rsid w:val="197B53D3"/>
    <w:rsid w:val="1C210334"/>
    <w:rsid w:val="1C964CCC"/>
    <w:rsid w:val="1CEFF87F"/>
    <w:rsid w:val="1CFC17D2"/>
    <w:rsid w:val="1DFC18D3"/>
    <w:rsid w:val="1EE33534"/>
    <w:rsid w:val="1F933745"/>
    <w:rsid w:val="1FB82EA7"/>
    <w:rsid w:val="205A510F"/>
    <w:rsid w:val="21127D99"/>
    <w:rsid w:val="222E1CB4"/>
    <w:rsid w:val="22C22819"/>
    <w:rsid w:val="246A3FA3"/>
    <w:rsid w:val="267C74E6"/>
    <w:rsid w:val="26E72CF4"/>
    <w:rsid w:val="28DE0163"/>
    <w:rsid w:val="2976170C"/>
    <w:rsid w:val="2A104310"/>
    <w:rsid w:val="2A371B1D"/>
    <w:rsid w:val="2A4121E9"/>
    <w:rsid w:val="2A4B3E74"/>
    <w:rsid w:val="2BA068F1"/>
    <w:rsid w:val="2C2A1457"/>
    <w:rsid w:val="2CAE0A32"/>
    <w:rsid w:val="2FFC0AFB"/>
    <w:rsid w:val="302C0287"/>
    <w:rsid w:val="31A95387"/>
    <w:rsid w:val="31B31F93"/>
    <w:rsid w:val="321653A8"/>
    <w:rsid w:val="329C19A3"/>
    <w:rsid w:val="32F52701"/>
    <w:rsid w:val="332F2FFB"/>
    <w:rsid w:val="341A4C22"/>
    <w:rsid w:val="347B2CCE"/>
    <w:rsid w:val="358D7EB4"/>
    <w:rsid w:val="363C0287"/>
    <w:rsid w:val="3654545B"/>
    <w:rsid w:val="36565190"/>
    <w:rsid w:val="366C2500"/>
    <w:rsid w:val="37FFEB9C"/>
    <w:rsid w:val="3810644E"/>
    <w:rsid w:val="382C7B34"/>
    <w:rsid w:val="387303F9"/>
    <w:rsid w:val="3B0E3D0E"/>
    <w:rsid w:val="3BFC17F2"/>
    <w:rsid w:val="3BFD8340"/>
    <w:rsid w:val="3CFD6976"/>
    <w:rsid w:val="3D5D42F6"/>
    <w:rsid w:val="3DB808BA"/>
    <w:rsid w:val="3FD176EA"/>
    <w:rsid w:val="3FEDD157"/>
    <w:rsid w:val="417255D1"/>
    <w:rsid w:val="418D6C3A"/>
    <w:rsid w:val="423806ED"/>
    <w:rsid w:val="428230B1"/>
    <w:rsid w:val="437A5877"/>
    <w:rsid w:val="43BB3CEC"/>
    <w:rsid w:val="44A91A1A"/>
    <w:rsid w:val="44D052C5"/>
    <w:rsid w:val="46AE1F3D"/>
    <w:rsid w:val="473C23B2"/>
    <w:rsid w:val="47781E40"/>
    <w:rsid w:val="48541414"/>
    <w:rsid w:val="4900762E"/>
    <w:rsid w:val="4A6B0082"/>
    <w:rsid w:val="4AB56AE2"/>
    <w:rsid w:val="4B6E7935"/>
    <w:rsid w:val="4DDB7ECF"/>
    <w:rsid w:val="4E7E74BD"/>
    <w:rsid w:val="4FC2745B"/>
    <w:rsid w:val="509A0D5C"/>
    <w:rsid w:val="52252BFC"/>
    <w:rsid w:val="54E753F5"/>
    <w:rsid w:val="55AB3BAD"/>
    <w:rsid w:val="563F7F48"/>
    <w:rsid w:val="5779221D"/>
    <w:rsid w:val="589B5008"/>
    <w:rsid w:val="58A326D8"/>
    <w:rsid w:val="593C1A00"/>
    <w:rsid w:val="59466376"/>
    <w:rsid w:val="5BF48FFA"/>
    <w:rsid w:val="5BF51433"/>
    <w:rsid w:val="5FFF8D5C"/>
    <w:rsid w:val="623151CA"/>
    <w:rsid w:val="64180107"/>
    <w:rsid w:val="64DB7056"/>
    <w:rsid w:val="64DDF491"/>
    <w:rsid w:val="66982F4F"/>
    <w:rsid w:val="685173D3"/>
    <w:rsid w:val="6888651F"/>
    <w:rsid w:val="6894168D"/>
    <w:rsid w:val="694A5FC1"/>
    <w:rsid w:val="69B52798"/>
    <w:rsid w:val="6A7451AD"/>
    <w:rsid w:val="6ABA5765"/>
    <w:rsid w:val="6AC14C27"/>
    <w:rsid w:val="6BC41409"/>
    <w:rsid w:val="6C030E4B"/>
    <w:rsid w:val="6C5C62E3"/>
    <w:rsid w:val="6CAB30BC"/>
    <w:rsid w:val="6CED51AD"/>
    <w:rsid w:val="6E8F8F93"/>
    <w:rsid w:val="6FCC3E6E"/>
    <w:rsid w:val="6FEFB7EB"/>
    <w:rsid w:val="72694444"/>
    <w:rsid w:val="73A0155B"/>
    <w:rsid w:val="73C96237"/>
    <w:rsid w:val="7625601A"/>
    <w:rsid w:val="77BF249E"/>
    <w:rsid w:val="78D33F7B"/>
    <w:rsid w:val="7AFC6C59"/>
    <w:rsid w:val="7BFE1182"/>
    <w:rsid w:val="7BFF5141"/>
    <w:rsid w:val="7C1A6A34"/>
    <w:rsid w:val="7CA3B0B0"/>
    <w:rsid w:val="7CBE4AD3"/>
    <w:rsid w:val="7CDF3B41"/>
    <w:rsid w:val="7D1C7CE5"/>
    <w:rsid w:val="7E73003B"/>
    <w:rsid w:val="7EECA5F2"/>
    <w:rsid w:val="7F363046"/>
    <w:rsid w:val="7F3F3896"/>
    <w:rsid w:val="7FDB43F7"/>
    <w:rsid w:val="7FF37E06"/>
    <w:rsid w:val="7FFFB0E0"/>
    <w:rsid w:val="8EFFBC18"/>
    <w:rsid w:val="B6779C40"/>
    <w:rsid w:val="B7FFD38B"/>
    <w:rsid w:val="BF3D7E33"/>
    <w:rsid w:val="C05E401F"/>
    <w:rsid w:val="CB763111"/>
    <w:rsid w:val="D0BF8C90"/>
    <w:rsid w:val="D978BEEC"/>
    <w:rsid w:val="DDEB1808"/>
    <w:rsid w:val="DFFFB897"/>
    <w:rsid w:val="EB7D8D7A"/>
    <w:rsid w:val="EBEE8A8D"/>
    <w:rsid w:val="ECE3E2D2"/>
    <w:rsid w:val="F773774D"/>
    <w:rsid w:val="FB5F5F9C"/>
    <w:rsid w:val="FF6F7A24"/>
    <w:rsid w:val="FFF5C967"/>
    <w:rsid w:val="FFFF781A"/>
    <w:rsid w:val="FFFFB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5303</Words>
  <Characters>5549</Characters>
  <Lines>0</Lines>
  <Paragraphs>0</Paragraphs>
  <TotalTime>0</TotalTime>
  <ScaleCrop>false</ScaleCrop>
  <LinksUpToDate>false</LinksUpToDate>
  <CharactersWithSpaces>5561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2025-07-09T10:47:00Z</dcterms:created>
  <dc:creator>黄佩琳</dc:creator>
  <cp:lastModifiedBy>徐丽莎</cp:lastModifiedBy>
  <cp:lastPrinted>2026-06-19T03:58:00Z</cp:lastPrinted>
  <dcterms:modified xsi:type="dcterms:W3CDTF">2026-06-29T09:16:21Z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7D98975336AC4A87A80D38EB00C5BA6F_13</vt:lpwstr>
  </property>
  <property fmtid="{D5CDD505-2E9C-101B-9397-08002B2CF9AE}" pid="4" name="KSOTemplateDocerSaveRecord">
    <vt:lpwstr>eyJoZGlkIjoiY2NiNzc0ZWE4MzBjY2JmMGYyMmY4NjkxNmNhZGJlNDUiLCJ1c2VySWQiOiI4NzUyMjIyNTQifQ==</vt:lpwstr>
  </property>
</Properties>
</file>