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55B65">
      <w:pPr>
        <w:spacing w:line="360" w:lineRule="auto"/>
        <w:jc w:val="center"/>
        <w:rPr>
          <w:rFonts w:hint="eastAsia" w:ascii="宋体" w:hAnsi="宋体"/>
          <w:b/>
          <w:sz w:val="32"/>
          <w:szCs w:val="32"/>
        </w:rPr>
      </w:pPr>
      <w:bookmarkStart w:id="2" w:name="_GoBack"/>
      <w:bookmarkEnd w:id="2"/>
      <w:r>
        <w:rPr>
          <w:rFonts w:hint="eastAsia" w:ascii="宋体" w:hAnsi="宋体"/>
          <w:b/>
          <w:sz w:val="32"/>
          <w:szCs w:val="32"/>
        </w:rPr>
        <w:t>龙岗区妇幼保健院消毒供应追溯系统对接服务项目需求文件</w:t>
      </w:r>
    </w:p>
    <w:p w14:paraId="6ACD41C9">
      <w:pPr>
        <w:pStyle w:val="4"/>
        <w:numPr>
          <w:ilvl w:val="255"/>
          <w:numId w:val="0"/>
        </w:numPr>
      </w:pPr>
      <w:bookmarkStart w:id="0" w:name="_Toc361780468"/>
    </w:p>
    <w:p w14:paraId="5A08FC45">
      <w:pPr>
        <w:pStyle w:val="6"/>
        <w:numPr>
          <w:ilvl w:val="0"/>
          <w:numId w:val="1"/>
        </w:numPr>
        <w:spacing w:before="156" w:beforeLines="50" w:after="156" w:afterLines="50"/>
        <w:rPr>
          <w:rFonts w:cs="宋体"/>
          <w:b/>
          <w:bCs/>
          <w:sz w:val="28"/>
          <w:szCs w:val="28"/>
        </w:rPr>
      </w:pPr>
      <w:r>
        <w:rPr>
          <w:rFonts w:hint="eastAsia" w:cs="宋体"/>
          <w:b/>
          <w:bCs/>
          <w:sz w:val="28"/>
          <w:szCs w:val="28"/>
        </w:rPr>
        <w:t>项目概述</w:t>
      </w:r>
    </w:p>
    <w:p w14:paraId="4F0A234C">
      <w:pPr>
        <w:pStyle w:val="13"/>
        <w:numPr>
          <w:ilvl w:val="255"/>
          <w:numId w:val="0"/>
        </w:numPr>
        <w:spacing w:line="360" w:lineRule="auto"/>
        <w:ind w:firstLine="480" w:firstLineChars="200"/>
        <w:rPr>
          <w:rFonts w:hint="eastAsia" w:ascii="宋体" w:hAnsi="宋体" w:cs="宋体"/>
          <w:b/>
          <w:bCs/>
          <w:sz w:val="24"/>
        </w:rPr>
      </w:pPr>
      <w:r>
        <w:rPr>
          <w:rFonts w:hint="eastAsia" w:ascii="宋体" w:hAnsi="宋体" w:cs="宋体"/>
          <w:b/>
          <w:bCs/>
          <w:sz w:val="24"/>
        </w:rPr>
        <w:t>本项目旨在解决区域内各医疗机构消毒供应追溯系统独立封闭、数据割裂、无法协同的问题，推进区域消毒供应工作规范化、集约化、一体化管理。通过搭建标准化区域消毒供应追溯对接服务体系，实现本医疗机构业务系统与区域消毒供应中心系统的无缝对接融合，快速接入统一的区域消毒供应追溯体系。</w:t>
      </w:r>
    </w:p>
    <w:p w14:paraId="2FA6BEEF">
      <w:pPr>
        <w:pStyle w:val="13"/>
        <w:numPr>
          <w:ilvl w:val="255"/>
          <w:numId w:val="0"/>
        </w:numPr>
        <w:spacing w:line="360" w:lineRule="auto"/>
        <w:ind w:firstLine="480" w:firstLineChars="200"/>
        <w:rPr>
          <w:rFonts w:hint="eastAsia" w:ascii="宋体" w:hAnsi="宋体" w:cs="宋体"/>
          <w:b/>
          <w:bCs/>
          <w:sz w:val="24"/>
        </w:rPr>
      </w:pPr>
      <w:r>
        <w:rPr>
          <w:rFonts w:hint="eastAsia" w:ascii="宋体" w:hAnsi="宋体" w:cs="宋体"/>
          <w:b/>
          <w:bCs/>
          <w:sz w:val="24"/>
        </w:rPr>
        <w:t>项目依托数据、流程、管理经验共享，打通区域消毒供应全流程追溯、全维度监管链路，实现区域内医疗机构消毒供应工作协同联动与资源优化配置，全面提升区域消毒供应规范化管理水平与医疗安全保障能力。</w:t>
      </w:r>
    </w:p>
    <w:p w14:paraId="7E44916D">
      <w:pPr>
        <w:pStyle w:val="4"/>
        <w:jc w:val="left"/>
        <w:rPr>
          <w:rFonts w:hint="eastAsia" w:asciiTheme="majorEastAsia" w:hAnsiTheme="majorEastAsia"/>
          <w:sz w:val="28"/>
          <w:szCs w:val="28"/>
        </w:rPr>
      </w:pPr>
      <w:r>
        <w:rPr>
          <w:rFonts w:hint="eastAsia" w:asciiTheme="majorEastAsia" w:hAnsiTheme="majorEastAsia"/>
          <w:sz w:val="28"/>
          <w:szCs w:val="28"/>
        </w:rPr>
        <w:t>二、采购清单</w:t>
      </w:r>
    </w:p>
    <w:tbl>
      <w:tblPr>
        <w:tblStyle w:val="20"/>
        <w:tblW w:w="10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273"/>
        <w:gridCol w:w="1009"/>
        <w:gridCol w:w="1282"/>
        <w:gridCol w:w="2359"/>
        <w:gridCol w:w="1650"/>
      </w:tblGrid>
      <w:tr w14:paraId="47A5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9" w:type="dxa"/>
            <w:vAlign w:val="center"/>
          </w:tcPr>
          <w:p w14:paraId="7F863B9D">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序号</w:t>
            </w:r>
          </w:p>
        </w:tc>
        <w:tc>
          <w:tcPr>
            <w:tcW w:w="3273" w:type="dxa"/>
            <w:vAlign w:val="center"/>
          </w:tcPr>
          <w:p w14:paraId="5BA9EB39">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项目名称</w:t>
            </w:r>
          </w:p>
        </w:tc>
        <w:tc>
          <w:tcPr>
            <w:tcW w:w="1009" w:type="dxa"/>
            <w:vAlign w:val="center"/>
          </w:tcPr>
          <w:p w14:paraId="20B1C6D8">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数量</w:t>
            </w:r>
          </w:p>
        </w:tc>
        <w:tc>
          <w:tcPr>
            <w:tcW w:w="1282" w:type="dxa"/>
            <w:vAlign w:val="center"/>
          </w:tcPr>
          <w:p w14:paraId="7F560F9E">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单位</w:t>
            </w:r>
          </w:p>
        </w:tc>
        <w:tc>
          <w:tcPr>
            <w:tcW w:w="2359" w:type="dxa"/>
            <w:vAlign w:val="center"/>
          </w:tcPr>
          <w:p w14:paraId="5F261DD7">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预算总金额（元）</w:t>
            </w:r>
          </w:p>
        </w:tc>
        <w:tc>
          <w:tcPr>
            <w:tcW w:w="1650" w:type="dxa"/>
            <w:vAlign w:val="center"/>
          </w:tcPr>
          <w:p w14:paraId="764B13BA">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备注</w:t>
            </w:r>
          </w:p>
        </w:tc>
      </w:tr>
      <w:tr w14:paraId="6B82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29" w:type="dxa"/>
            <w:vAlign w:val="center"/>
          </w:tcPr>
          <w:p w14:paraId="52474C3B">
            <w:pPr>
              <w:widowControl/>
              <w:spacing w:before="120" w:line="36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273" w:type="dxa"/>
            <w:vAlign w:val="center"/>
          </w:tcPr>
          <w:p w14:paraId="3E9318FF">
            <w:pPr>
              <w:widowControl/>
              <w:spacing w:before="120" w:line="360" w:lineRule="auto"/>
              <w:jc w:val="center"/>
              <w:rPr>
                <w:rFonts w:hint="eastAsia" w:ascii="宋体" w:hAnsi="宋体" w:cs="宋体"/>
                <w:szCs w:val="21"/>
              </w:rPr>
            </w:pPr>
            <w:r>
              <w:rPr>
                <w:rFonts w:hint="eastAsia" w:ascii="宋体" w:hAnsi="宋体" w:cs="宋体"/>
                <w:szCs w:val="21"/>
              </w:rPr>
              <w:t>消毒供应追溯系统对接服务</w:t>
            </w:r>
          </w:p>
        </w:tc>
        <w:tc>
          <w:tcPr>
            <w:tcW w:w="1009" w:type="dxa"/>
            <w:vAlign w:val="center"/>
          </w:tcPr>
          <w:p w14:paraId="1B5DE7B7">
            <w:pPr>
              <w:widowControl/>
              <w:spacing w:before="120" w:line="360" w:lineRule="auto"/>
              <w:jc w:val="center"/>
              <w:rPr>
                <w:rFonts w:hint="eastAsia" w:ascii="宋体" w:hAnsi="宋体" w:cs="宋体"/>
                <w:szCs w:val="21"/>
              </w:rPr>
            </w:pPr>
            <w:r>
              <w:rPr>
                <w:rFonts w:hint="eastAsia" w:ascii="宋体" w:hAnsi="宋体" w:cs="宋体"/>
                <w:szCs w:val="21"/>
              </w:rPr>
              <w:t>1</w:t>
            </w:r>
          </w:p>
        </w:tc>
        <w:tc>
          <w:tcPr>
            <w:tcW w:w="1282" w:type="dxa"/>
            <w:vAlign w:val="center"/>
          </w:tcPr>
          <w:p w14:paraId="24273425">
            <w:pPr>
              <w:widowControl/>
              <w:spacing w:before="120" w:line="360" w:lineRule="auto"/>
              <w:jc w:val="center"/>
              <w:rPr>
                <w:rFonts w:hint="eastAsia" w:ascii="宋体" w:hAnsi="宋体" w:cs="宋体"/>
                <w:szCs w:val="21"/>
              </w:rPr>
            </w:pPr>
            <w:r>
              <w:rPr>
                <w:rFonts w:hint="eastAsia" w:ascii="宋体" w:hAnsi="宋体" w:cs="宋体"/>
                <w:szCs w:val="21"/>
              </w:rPr>
              <w:t>套</w:t>
            </w:r>
          </w:p>
        </w:tc>
        <w:tc>
          <w:tcPr>
            <w:tcW w:w="2359" w:type="dxa"/>
            <w:vAlign w:val="center"/>
          </w:tcPr>
          <w:p w14:paraId="7C8F2481">
            <w:pPr>
              <w:widowControl/>
              <w:spacing w:before="120" w:line="360" w:lineRule="auto"/>
              <w:jc w:val="center"/>
              <w:rPr>
                <w:rFonts w:hint="eastAsia" w:ascii="宋体" w:hAnsi="宋体" w:cs="宋体"/>
                <w:szCs w:val="21"/>
              </w:rPr>
            </w:pPr>
            <w:r>
              <w:rPr>
                <w:rFonts w:hint="eastAsia" w:ascii="宋体" w:hAnsi="宋体" w:cs="宋体"/>
                <w:szCs w:val="21"/>
              </w:rPr>
              <w:t>80000</w:t>
            </w:r>
          </w:p>
        </w:tc>
        <w:tc>
          <w:tcPr>
            <w:tcW w:w="1650" w:type="dxa"/>
            <w:vAlign w:val="center"/>
          </w:tcPr>
          <w:p w14:paraId="4B5C3E53">
            <w:pPr>
              <w:widowControl/>
              <w:spacing w:before="120" w:line="360" w:lineRule="auto"/>
              <w:jc w:val="center"/>
              <w:rPr>
                <w:rFonts w:hint="eastAsia" w:ascii="宋体" w:hAnsi="宋体" w:cs="宋体"/>
                <w:szCs w:val="21"/>
              </w:rPr>
            </w:pPr>
            <w:r>
              <w:rPr>
                <w:rFonts w:hint="eastAsia" w:ascii="宋体" w:hAnsi="宋体" w:cs="宋体"/>
                <w:szCs w:val="21"/>
              </w:rPr>
              <w:t>拒绝进口</w:t>
            </w:r>
          </w:p>
        </w:tc>
      </w:tr>
    </w:tbl>
    <w:p w14:paraId="704F696D">
      <w:pPr>
        <w:pStyle w:val="4"/>
        <w:jc w:val="left"/>
        <w:rPr>
          <w:rFonts w:hint="eastAsia" w:asciiTheme="majorEastAsia" w:hAnsiTheme="majorEastAsia"/>
          <w:sz w:val="28"/>
          <w:szCs w:val="28"/>
        </w:rPr>
      </w:pPr>
      <w:r>
        <w:rPr>
          <w:rFonts w:hint="eastAsia" w:asciiTheme="majorEastAsia" w:hAnsiTheme="majorEastAsia"/>
          <w:sz w:val="28"/>
          <w:szCs w:val="28"/>
        </w:rPr>
        <w:t>三、服务技术要求</w:t>
      </w:r>
    </w:p>
    <w:tbl>
      <w:tblPr>
        <w:tblStyle w:val="2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319"/>
        <w:gridCol w:w="1483"/>
        <w:gridCol w:w="5353"/>
      </w:tblGrid>
      <w:tr w14:paraId="578B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Align w:val="center"/>
          </w:tcPr>
          <w:p w14:paraId="1B45F6AA">
            <w:pPr>
              <w:spacing w:line="276" w:lineRule="auto"/>
              <w:jc w:val="left"/>
              <w:rPr>
                <w:rFonts w:hint="eastAsia" w:ascii="宋体" w:hAnsi="宋体" w:cs="宋体"/>
                <w:b/>
                <w:color w:val="000000"/>
                <w:sz w:val="24"/>
              </w:rPr>
            </w:pPr>
            <w:r>
              <w:rPr>
                <w:rFonts w:hint="eastAsia" w:ascii="宋体" w:hAnsi="宋体" w:cs="宋体"/>
                <w:b/>
                <w:color w:val="000000"/>
                <w:sz w:val="24"/>
              </w:rPr>
              <w:t>序号</w:t>
            </w:r>
          </w:p>
        </w:tc>
        <w:tc>
          <w:tcPr>
            <w:tcW w:w="1319" w:type="dxa"/>
            <w:vAlign w:val="center"/>
          </w:tcPr>
          <w:p w14:paraId="63A61C0E">
            <w:pPr>
              <w:widowControl/>
              <w:spacing w:line="276" w:lineRule="auto"/>
              <w:jc w:val="center"/>
              <w:rPr>
                <w:rFonts w:hint="eastAsia" w:ascii="宋体" w:hAnsi="宋体" w:cs="宋体"/>
                <w:b/>
                <w:color w:val="000000"/>
                <w:sz w:val="24"/>
              </w:rPr>
            </w:pPr>
            <w:r>
              <w:rPr>
                <w:rFonts w:hint="eastAsia" w:ascii="宋体" w:hAnsi="宋体" w:cs="宋体"/>
                <w:b/>
                <w:color w:val="000000"/>
                <w:sz w:val="24"/>
              </w:rPr>
              <w:t>系统名称</w:t>
            </w:r>
          </w:p>
        </w:tc>
        <w:tc>
          <w:tcPr>
            <w:tcW w:w="1483" w:type="dxa"/>
            <w:vAlign w:val="center"/>
          </w:tcPr>
          <w:p w14:paraId="79675E26">
            <w:pPr>
              <w:widowControl/>
              <w:spacing w:line="276" w:lineRule="auto"/>
              <w:jc w:val="center"/>
              <w:rPr>
                <w:rFonts w:hint="eastAsia" w:ascii="宋体" w:hAnsi="宋体" w:cs="宋体"/>
                <w:b/>
                <w:color w:val="000000"/>
                <w:sz w:val="24"/>
              </w:rPr>
            </w:pPr>
            <w:r>
              <w:rPr>
                <w:rFonts w:hint="eastAsia" w:ascii="宋体" w:hAnsi="宋体" w:cs="宋体"/>
                <w:b/>
                <w:color w:val="000000"/>
                <w:sz w:val="24"/>
              </w:rPr>
              <w:t>功能模块</w:t>
            </w:r>
          </w:p>
        </w:tc>
        <w:tc>
          <w:tcPr>
            <w:tcW w:w="5353" w:type="dxa"/>
            <w:vAlign w:val="center"/>
          </w:tcPr>
          <w:p w14:paraId="2849B755">
            <w:pPr>
              <w:spacing w:line="276" w:lineRule="auto"/>
              <w:jc w:val="center"/>
              <w:rPr>
                <w:rFonts w:hint="eastAsia" w:ascii="宋体" w:hAnsi="宋体" w:cs="宋体"/>
                <w:b/>
                <w:color w:val="000000"/>
                <w:sz w:val="24"/>
              </w:rPr>
            </w:pPr>
            <w:r>
              <w:rPr>
                <w:rFonts w:hint="eastAsia" w:ascii="宋体" w:hAnsi="宋体" w:cs="宋体"/>
                <w:b/>
                <w:color w:val="000000"/>
                <w:sz w:val="24"/>
              </w:rPr>
              <w:t>技术参数</w:t>
            </w:r>
          </w:p>
        </w:tc>
      </w:tr>
      <w:tr w14:paraId="62BB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restart"/>
            <w:vAlign w:val="center"/>
          </w:tcPr>
          <w:p w14:paraId="15644054">
            <w:pPr>
              <w:spacing w:line="276" w:lineRule="auto"/>
              <w:jc w:val="center"/>
              <w:rPr>
                <w:rFonts w:hint="eastAsia" w:ascii="宋体" w:hAnsi="宋体" w:cs="宋体"/>
                <w:bCs/>
                <w:color w:val="000000"/>
                <w:szCs w:val="21"/>
              </w:rPr>
            </w:pPr>
            <w:r>
              <w:rPr>
                <w:rFonts w:hint="eastAsia" w:ascii="宋体" w:hAnsi="宋体" w:cs="宋体"/>
                <w:bCs/>
                <w:color w:val="000000"/>
                <w:szCs w:val="21"/>
              </w:rPr>
              <w:t>1</w:t>
            </w:r>
          </w:p>
        </w:tc>
        <w:tc>
          <w:tcPr>
            <w:tcW w:w="1319" w:type="dxa"/>
            <w:vMerge w:val="restart"/>
            <w:vAlign w:val="center"/>
          </w:tcPr>
          <w:p w14:paraId="2FE0ACFD">
            <w:pPr>
              <w:widowControl/>
              <w:spacing w:line="276" w:lineRule="auto"/>
              <w:jc w:val="center"/>
              <w:rPr>
                <w:rFonts w:hint="eastAsia" w:ascii="宋体" w:hAnsi="宋体" w:cs="宋体"/>
                <w:bCs/>
                <w:color w:val="000000"/>
                <w:szCs w:val="21"/>
              </w:rPr>
            </w:pPr>
            <w:r>
              <w:rPr>
                <w:rFonts w:hint="eastAsia" w:ascii="宋体" w:hAnsi="宋体" w:cs="宋体"/>
                <w:bCs/>
                <w:color w:val="000000"/>
                <w:szCs w:val="21"/>
              </w:rPr>
              <w:t>总体要求</w:t>
            </w:r>
          </w:p>
        </w:tc>
        <w:tc>
          <w:tcPr>
            <w:tcW w:w="1483" w:type="dxa"/>
            <w:vAlign w:val="center"/>
          </w:tcPr>
          <w:p w14:paraId="29625AE5">
            <w:pPr>
              <w:widowControl/>
              <w:spacing w:line="276" w:lineRule="auto"/>
              <w:jc w:val="center"/>
              <w:rPr>
                <w:rFonts w:hint="eastAsia" w:ascii="宋体" w:hAnsi="宋体" w:cs="宋体"/>
                <w:bCs/>
                <w:color w:val="000000"/>
                <w:szCs w:val="21"/>
              </w:rPr>
            </w:pPr>
            <w:r>
              <w:rPr>
                <w:rFonts w:hint="eastAsia" w:ascii="宋体" w:hAnsi="宋体"/>
                <w:szCs w:val="21"/>
              </w:rPr>
              <w:t>1.1支持标准及规范</w:t>
            </w:r>
          </w:p>
        </w:tc>
        <w:tc>
          <w:tcPr>
            <w:tcW w:w="5353" w:type="dxa"/>
            <w:vAlign w:val="center"/>
          </w:tcPr>
          <w:p w14:paraId="07032DEB">
            <w:pPr>
              <w:spacing w:line="276" w:lineRule="auto"/>
              <w:jc w:val="left"/>
              <w:rPr>
                <w:rFonts w:hint="eastAsia" w:ascii="宋体" w:hAnsi="宋体" w:cs="宋体"/>
                <w:bCs/>
                <w:color w:val="000000"/>
                <w:szCs w:val="21"/>
              </w:rPr>
            </w:pPr>
            <w:r>
              <w:rPr>
                <w:rFonts w:hint="eastAsia" w:ascii="宋体" w:hAnsi="宋体"/>
              </w:rPr>
              <w:t>1.1.1需</w:t>
            </w:r>
            <w:r>
              <w:rPr>
                <w:rFonts w:hint="eastAsia" w:ascii="宋体" w:hAnsi="宋体" w:cs="宋体"/>
                <w:szCs w:val="21"/>
              </w:rPr>
              <w:t>满足WS310.1医院消毒供应中心管理规范》、《WS310.2医院消毒供应中心清洗消毒及灭菌技术操作规范》、《WS310.3医院消毒供应中心清洗消毒及灭菌效果监测标准》以及《三级医院评审标准（2020年版）》、《电子病历系统应用水平分级评价标准（试行）》、《医疗健康信息医院信息互联互通标准化成熟度测评方案（2020年版）》的相关要求。</w:t>
            </w:r>
          </w:p>
        </w:tc>
      </w:tr>
      <w:tr w14:paraId="495F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39992BD8">
            <w:pPr>
              <w:spacing w:line="276" w:lineRule="auto"/>
              <w:jc w:val="center"/>
              <w:rPr>
                <w:rFonts w:hint="eastAsia" w:ascii="宋体" w:hAnsi="宋体" w:cs="宋体"/>
                <w:bCs/>
                <w:color w:val="000000"/>
                <w:szCs w:val="21"/>
              </w:rPr>
            </w:pPr>
          </w:p>
        </w:tc>
        <w:tc>
          <w:tcPr>
            <w:tcW w:w="1319" w:type="dxa"/>
            <w:vMerge w:val="continue"/>
            <w:vAlign w:val="center"/>
          </w:tcPr>
          <w:p w14:paraId="4C6B3777">
            <w:pPr>
              <w:widowControl/>
              <w:spacing w:line="276" w:lineRule="auto"/>
              <w:jc w:val="center"/>
              <w:rPr>
                <w:rFonts w:hint="eastAsia" w:ascii="宋体" w:hAnsi="宋体" w:cs="宋体"/>
                <w:bCs/>
                <w:color w:val="000000"/>
                <w:szCs w:val="21"/>
              </w:rPr>
            </w:pPr>
          </w:p>
        </w:tc>
        <w:tc>
          <w:tcPr>
            <w:tcW w:w="1483" w:type="dxa"/>
            <w:vAlign w:val="center"/>
          </w:tcPr>
          <w:p w14:paraId="13D55CE2">
            <w:pPr>
              <w:widowControl/>
              <w:spacing w:line="276" w:lineRule="auto"/>
              <w:jc w:val="center"/>
              <w:rPr>
                <w:rFonts w:hint="eastAsia" w:ascii="宋体" w:hAnsi="宋体" w:cs="宋体"/>
                <w:bCs/>
                <w:color w:val="000000"/>
                <w:szCs w:val="21"/>
              </w:rPr>
            </w:pPr>
            <w:r>
              <w:rPr>
                <w:rFonts w:hint="eastAsia" w:ascii="宋体" w:hAnsi="宋体"/>
                <w:szCs w:val="21"/>
              </w:rPr>
              <w:t>1.2信息化管理</w:t>
            </w:r>
          </w:p>
        </w:tc>
        <w:tc>
          <w:tcPr>
            <w:tcW w:w="5353" w:type="dxa"/>
            <w:vAlign w:val="center"/>
          </w:tcPr>
          <w:p w14:paraId="4D8F0E1F">
            <w:pPr>
              <w:spacing w:line="276" w:lineRule="auto"/>
              <w:jc w:val="left"/>
              <w:rPr>
                <w:rFonts w:hint="eastAsia" w:ascii="宋体" w:hAnsi="宋体" w:cs="宋体"/>
                <w:bCs/>
                <w:color w:val="000000"/>
                <w:szCs w:val="21"/>
              </w:rPr>
            </w:pPr>
            <w:r>
              <w:rPr>
                <w:rFonts w:hint="eastAsia" w:ascii="宋体" w:hAnsi="宋体"/>
                <w:szCs w:val="21"/>
              </w:rPr>
              <w:t>1.2.1实现消毒供应中心无菌物品处理流程的信息化，明确消毒供应中心工作人员的岗位职责，形成完善、科学的管理制度。</w:t>
            </w:r>
          </w:p>
        </w:tc>
      </w:tr>
      <w:tr w14:paraId="761C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3A4F1481">
            <w:pPr>
              <w:spacing w:line="276" w:lineRule="auto"/>
              <w:jc w:val="center"/>
              <w:rPr>
                <w:rFonts w:hint="eastAsia" w:ascii="宋体" w:hAnsi="宋体" w:cs="宋体"/>
                <w:bCs/>
                <w:color w:val="000000"/>
                <w:szCs w:val="21"/>
              </w:rPr>
            </w:pPr>
          </w:p>
        </w:tc>
        <w:tc>
          <w:tcPr>
            <w:tcW w:w="1319" w:type="dxa"/>
            <w:vMerge w:val="continue"/>
            <w:vAlign w:val="center"/>
          </w:tcPr>
          <w:p w14:paraId="3A32FD4D">
            <w:pPr>
              <w:widowControl/>
              <w:spacing w:line="276" w:lineRule="auto"/>
              <w:jc w:val="center"/>
              <w:rPr>
                <w:rFonts w:hint="eastAsia" w:ascii="宋体" w:hAnsi="宋体" w:cs="宋体"/>
                <w:bCs/>
                <w:color w:val="000000"/>
                <w:szCs w:val="21"/>
              </w:rPr>
            </w:pPr>
          </w:p>
        </w:tc>
        <w:tc>
          <w:tcPr>
            <w:tcW w:w="1483" w:type="dxa"/>
            <w:vAlign w:val="center"/>
          </w:tcPr>
          <w:p w14:paraId="66159BB9">
            <w:pPr>
              <w:widowControl/>
              <w:spacing w:line="276" w:lineRule="auto"/>
              <w:jc w:val="center"/>
              <w:rPr>
                <w:rFonts w:hint="eastAsia" w:ascii="宋体" w:hAnsi="宋体"/>
                <w:szCs w:val="21"/>
              </w:rPr>
            </w:pPr>
            <w:r>
              <w:rPr>
                <w:rFonts w:hint="eastAsia" w:ascii="宋体" w:hAnsi="宋体" w:cs="宋体"/>
                <w:bCs/>
                <w:szCs w:val="21"/>
              </w:rPr>
              <w:t>1.3与其他系统的融合</w:t>
            </w:r>
          </w:p>
        </w:tc>
        <w:tc>
          <w:tcPr>
            <w:tcW w:w="5353" w:type="dxa"/>
            <w:vAlign w:val="center"/>
          </w:tcPr>
          <w:p w14:paraId="61A70896">
            <w:pPr>
              <w:spacing w:line="276" w:lineRule="auto"/>
              <w:jc w:val="left"/>
              <w:rPr>
                <w:rFonts w:hint="eastAsia" w:ascii="宋体" w:hAnsi="宋体"/>
                <w:szCs w:val="21"/>
              </w:rPr>
            </w:pPr>
            <w:r>
              <w:rPr>
                <w:rFonts w:hint="eastAsia" w:ascii="宋体" w:hAnsi="宋体" w:cs="宋体"/>
                <w:b/>
                <w:bCs/>
                <w:szCs w:val="21"/>
              </w:rPr>
              <w:t>★</w:t>
            </w:r>
            <w:r>
              <w:rPr>
                <w:rFonts w:hint="eastAsia" w:ascii="宋体" w:hAnsi="宋体" w:cs="宋体"/>
                <w:szCs w:val="21"/>
              </w:rPr>
              <w:t>1.3.1</w:t>
            </w:r>
            <w:r>
              <w:rPr>
                <w:rFonts w:hint="eastAsia" w:ascii="宋体" w:hAnsi="宋体" w:cs="宋体"/>
              </w:rPr>
              <w:t>根据采购人实际业务的开展提供可行的接入方案，与深圳市龙岗区耳鼻咽喉医院消毒供应中心目前使用的消毒供应管理系统无缝对接，实现区域化管理</w:t>
            </w:r>
            <w:r>
              <w:rPr>
                <w:rFonts w:hint="eastAsia" w:ascii="宋体" w:hAnsi="宋体" w:cs="宋体"/>
                <w:color w:val="000000"/>
              </w:rPr>
              <w:t>（</w:t>
            </w:r>
            <w:r>
              <w:rPr>
                <w:rFonts w:hint="eastAsia" w:ascii="宋体" w:hAnsi="宋体" w:cs="宋体"/>
              </w:rPr>
              <w:t>投标人具备对龙岗区耳鼻咽喉医院现有的消毒供应管理系统互联互通能力。</w:t>
            </w:r>
            <w:r>
              <w:rPr>
                <w:rFonts w:hint="eastAsia" w:ascii="宋体" w:hAnsi="宋体" w:cs="宋体"/>
                <w:b/>
                <w:bCs/>
              </w:rPr>
              <w:t>（</w:t>
            </w:r>
            <w:r>
              <w:rPr>
                <w:rFonts w:hint="eastAsia" w:ascii="宋体" w:hAnsi="宋体" w:cs="宋体"/>
                <w:b/>
                <w:bCs/>
                <w:u w:val="double"/>
              </w:rPr>
              <w:t>投标人需承担由此产生的费用，提供承诺函并加盖公章</w:t>
            </w:r>
            <w:r>
              <w:rPr>
                <w:rFonts w:hint="eastAsia" w:ascii="宋体" w:hAnsi="宋体" w:cs="宋体"/>
                <w:b/>
                <w:bCs/>
              </w:rPr>
              <w:t>）</w:t>
            </w:r>
            <w:r>
              <w:rPr>
                <w:rFonts w:hint="eastAsia" w:ascii="宋体" w:hAnsi="宋体" w:cs="宋体"/>
              </w:rPr>
              <w:t>。</w:t>
            </w:r>
          </w:p>
        </w:tc>
      </w:tr>
      <w:tr w14:paraId="314D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restart"/>
            <w:vAlign w:val="center"/>
          </w:tcPr>
          <w:p w14:paraId="27EF4179">
            <w:pPr>
              <w:spacing w:line="276" w:lineRule="auto"/>
              <w:jc w:val="center"/>
              <w:rPr>
                <w:rFonts w:hint="eastAsia" w:ascii="宋体" w:hAnsi="宋体" w:cs="宋体"/>
                <w:bCs/>
                <w:color w:val="000000"/>
                <w:szCs w:val="21"/>
              </w:rPr>
            </w:pPr>
            <w:r>
              <w:rPr>
                <w:rFonts w:hint="eastAsia" w:ascii="宋体" w:hAnsi="宋体" w:cs="宋体"/>
                <w:bCs/>
                <w:color w:val="000000"/>
                <w:szCs w:val="21"/>
              </w:rPr>
              <w:t>2</w:t>
            </w:r>
          </w:p>
        </w:tc>
        <w:tc>
          <w:tcPr>
            <w:tcW w:w="1319" w:type="dxa"/>
            <w:vMerge w:val="restart"/>
            <w:vAlign w:val="center"/>
          </w:tcPr>
          <w:p w14:paraId="34E36031">
            <w:pPr>
              <w:spacing w:line="276" w:lineRule="auto"/>
              <w:jc w:val="center"/>
              <w:rPr>
                <w:rFonts w:hint="eastAsia" w:ascii="宋体" w:hAnsi="宋体" w:cs="宋体"/>
                <w:szCs w:val="21"/>
              </w:rPr>
            </w:pPr>
            <w:r>
              <w:rPr>
                <w:rFonts w:hint="eastAsia" w:ascii="宋体" w:hAnsi="宋体"/>
                <w:szCs w:val="21"/>
              </w:rPr>
              <w:t>技术要求</w:t>
            </w:r>
          </w:p>
        </w:tc>
        <w:tc>
          <w:tcPr>
            <w:tcW w:w="1483" w:type="dxa"/>
            <w:vMerge w:val="restart"/>
            <w:vAlign w:val="center"/>
          </w:tcPr>
          <w:p w14:paraId="02034997">
            <w:pPr>
              <w:spacing w:line="276" w:lineRule="auto"/>
              <w:jc w:val="left"/>
              <w:rPr>
                <w:rFonts w:hint="eastAsia" w:ascii="宋体" w:hAnsi="宋体" w:cs="宋体"/>
                <w:color w:val="000000"/>
                <w:kern w:val="0"/>
                <w:szCs w:val="21"/>
              </w:rPr>
            </w:pPr>
            <w:r>
              <w:rPr>
                <w:rFonts w:hint="eastAsia" w:ascii="宋体" w:hAnsi="宋体" w:cs="宋体"/>
                <w:color w:val="000000"/>
                <w:kern w:val="0"/>
                <w:szCs w:val="21"/>
              </w:rPr>
              <w:t>2.1</w:t>
            </w:r>
            <w:r>
              <w:rPr>
                <w:rFonts w:hint="eastAsia" w:ascii="宋体" w:hAnsi="宋体"/>
                <w:szCs w:val="21"/>
              </w:rPr>
              <w:t>系统架构</w:t>
            </w:r>
          </w:p>
        </w:tc>
        <w:tc>
          <w:tcPr>
            <w:tcW w:w="5353" w:type="dxa"/>
            <w:vAlign w:val="center"/>
          </w:tcPr>
          <w:p w14:paraId="72A35EEA">
            <w:pPr>
              <w:spacing w:line="276" w:lineRule="auto"/>
              <w:jc w:val="left"/>
              <w:rPr>
                <w:rFonts w:hint="eastAsia" w:ascii="宋体" w:hAnsi="宋体" w:cs="宋体"/>
                <w:color w:val="000000"/>
                <w:kern w:val="0"/>
                <w:szCs w:val="21"/>
              </w:rPr>
            </w:pPr>
            <w:r>
              <w:rPr>
                <w:rFonts w:hint="eastAsia" w:ascii="宋体" w:hAnsi="宋体"/>
                <w:szCs w:val="21"/>
                <w:lang w:bidi="en-US"/>
              </w:rPr>
              <w:t>▲</w:t>
            </w:r>
            <w:r>
              <w:rPr>
                <w:rFonts w:hint="eastAsia" w:ascii="宋体" w:hAnsi="宋体" w:cs="宋体"/>
                <w:color w:val="000000"/>
                <w:kern w:val="0"/>
                <w:szCs w:val="21"/>
              </w:rPr>
              <w:t>2.1.1</w:t>
            </w:r>
            <w:r>
              <w:rPr>
                <w:rFonts w:hint="eastAsia" w:ascii="宋体" w:hAnsi="宋体"/>
                <w:szCs w:val="21"/>
              </w:rPr>
              <w:t>系统基于B/S（浏览器/服务器）架构，前端客户机采用浏览器，使用简捷，易学易用，便于维护。</w:t>
            </w:r>
          </w:p>
        </w:tc>
      </w:tr>
      <w:tr w14:paraId="24E2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7D362EF9">
            <w:pPr>
              <w:spacing w:line="276" w:lineRule="auto"/>
              <w:jc w:val="left"/>
              <w:rPr>
                <w:rFonts w:hint="eastAsia" w:ascii="宋体" w:hAnsi="宋体" w:cs="宋体"/>
                <w:b/>
                <w:color w:val="000000"/>
                <w:szCs w:val="21"/>
              </w:rPr>
            </w:pPr>
          </w:p>
        </w:tc>
        <w:tc>
          <w:tcPr>
            <w:tcW w:w="1319" w:type="dxa"/>
            <w:vMerge w:val="continue"/>
            <w:vAlign w:val="center"/>
          </w:tcPr>
          <w:p w14:paraId="0A35DD22">
            <w:pPr>
              <w:widowControl/>
              <w:spacing w:line="276" w:lineRule="auto"/>
              <w:jc w:val="center"/>
              <w:rPr>
                <w:rFonts w:hint="eastAsia" w:ascii="宋体" w:hAnsi="宋体" w:cs="宋体"/>
                <w:b/>
                <w:color w:val="000000"/>
                <w:szCs w:val="21"/>
              </w:rPr>
            </w:pPr>
          </w:p>
        </w:tc>
        <w:tc>
          <w:tcPr>
            <w:tcW w:w="1483" w:type="dxa"/>
            <w:vMerge w:val="continue"/>
            <w:vAlign w:val="center"/>
          </w:tcPr>
          <w:p w14:paraId="0FC31389">
            <w:pPr>
              <w:spacing w:line="276" w:lineRule="auto"/>
              <w:jc w:val="left"/>
              <w:rPr>
                <w:rFonts w:hint="eastAsia" w:ascii="宋体" w:hAnsi="宋体" w:cs="宋体"/>
                <w:color w:val="000000"/>
                <w:kern w:val="0"/>
                <w:szCs w:val="21"/>
              </w:rPr>
            </w:pPr>
          </w:p>
        </w:tc>
        <w:tc>
          <w:tcPr>
            <w:tcW w:w="5353" w:type="dxa"/>
            <w:vAlign w:val="center"/>
          </w:tcPr>
          <w:p w14:paraId="09613927">
            <w:pPr>
              <w:spacing w:line="276" w:lineRule="auto"/>
              <w:jc w:val="left"/>
              <w:rPr>
                <w:rFonts w:hint="eastAsia" w:ascii="宋体" w:hAnsi="宋体" w:cs="宋体"/>
                <w:color w:val="000000"/>
                <w:kern w:val="0"/>
                <w:szCs w:val="21"/>
              </w:rPr>
            </w:pPr>
            <w:r>
              <w:rPr>
                <w:rFonts w:hint="eastAsia" w:ascii="宋体" w:hAnsi="宋体" w:cs="宋体"/>
                <w:color w:val="000000"/>
                <w:kern w:val="0"/>
                <w:szCs w:val="21"/>
              </w:rPr>
              <w:t xml:space="preserve">2.1.2 </w:t>
            </w:r>
            <w:r>
              <w:rPr>
                <w:rFonts w:hint="eastAsia" w:ascii="宋体" w:hAnsi="宋体"/>
                <w:szCs w:val="21"/>
              </w:rPr>
              <w:t>客户端浏览器应支持常用的各种浏览器，包括Google Chrome，Microsoft Edge等。</w:t>
            </w:r>
          </w:p>
        </w:tc>
      </w:tr>
      <w:tr w14:paraId="2F6F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15AA89B3">
            <w:pPr>
              <w:spacing w:line="276" w:lineRule="auto"/>
              <w:jc w:val="left"/>
              <w:rPr>
                <w:rFonts w:hint="eastAsia" w:ascii="宋体" w:hAnsi="宋体" w:cs="宋体"/>
                <w:b/>
                <w:color w:val="000000"/>
                <w:szCs w:val="21"/>
              </w:rPr>
            </w:pPr>
          </w:p>
        </w:tc>
        <w:tc>
          <w:tcPr>
            <w:tcW w:w="1319" w:type="dxa"/>
            <w:vMerge w:val="continue"/>
            <w:vAlign w:val="center"/>
          </w:tcPr>
          <w:p w14:paraId="3E353383">
            <w:pPr>
              <w:widowControl/>
              <w:spacing w:line="276" w:lineRule="auto"/>
              <w:jc w:val="center"/>
              <w:rPr>
                <w:rFonts w:hint="eastAsia" w:ascii="宋体" w:hAnsi="宋体" w:cs="宋体"/>
                <w:b/>
                <w:color w:val="000000"/>
                <w:szCs w:val="21"/>
              </w:rPr>
            </w:pPr>
          </w:p>
        </w:tc>
        <w:tc>
          <w:tcPr>
            <w:tcW w:w="1483" w:type="dxa"/>
            <w:vMerge w:val="continue"/>
            <w:vAlign w:val="center"/>
          </w:tcPr>
          <w:p w14:paraId="3A3DA6F2">
            <w:pPr>
              <w:spacing w:line="276" w:lineRule="auto"/>
              <w:jc w:val="left"/>
              <w:rPr>
                <w:rFonts w:hint="eastAsia" w:ascii="宋体" w:hAnsi="宋体" w:cs="宋体"/>
                <w:color w:val="000000"/>
                <w:kern w:val="0"/>
                <w:szCs w:val="21"/>
              </w:rPr>
            </w:pPr>
          </w:p>
        </w:tc>
        <w:tc>
          <w:tcPr>
            <w:tcW w:w="5353" w:type="dxa"/>
            <w:vAlign w:val="center"/>
          </w:tcPr>
          <w:p w14:paraId="507E1EA1">
            <w:pPr>
              <w:spacing w:line="276" w:lineRule="auto"/>
              <w:jc w:val="left"/>
              <w:rPr>
                <w:rFonts w:hint="eastAsia" w:ascii="宋体" w:hAnsi="宋体" w:cs="宋体"/>
                <w:color w:val="000000"/>
                <w:kern w:val="0"/>
                <w:szCs w:val="21"/>
              </w:rPr>
            </w:pPr>
            <w:r>
              <w:rPr>
                <w:rFonts w:hint="eastAsia" w:ascii="宋体" w:hAnsi="宋体" w:cs="宋体"/>
                <w:color w:val="000000"/>
                <w:kern w:val="0"/>
                <w:szCs w:val="21"/>
              </w:rPr>
              <w:t xml:space="preserve">2.1.3 </w:t>
            </w:r>
            <w:r>
              <w:rPr>
                <w:rFonts w:hint="eastAsia" w:ascii="宋体" w:hAnsi="宋体"/>
                <w:szCs w:val="21"/>
              </w:rPr>
              <w:t>客户端操作系统支持目前主流的操作系统，包括Windows 7/10/11等。</w:t>
            </w:r>
          </w:p>
        </w:tc>
      </w:tr>
      <w:tr w14:paraId="4AB0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2962B548">
            <w:pPr>
              <w:spacing w:line="276" w:lineRule="auto"/>
              <w:jc w:val="left"/>
              <w:rPr>
                <w:rFonts w:hint="eastAsia" w:ascii="宋体" w:hAnsi="宋体" w:cs="宋体"/>
                <w:b/>
                <w:color w:val="000000"/>
                <w:szCs w:val="21"/>
              </w:rPr>
            </w:pPr>
          </w:p>
        </w:tc>
        <w:tc>
          <w:tcPr>
            <w:tcW w:w="1319" w:type="dxa"/>
            <w:vMerge w:val="continue"/>
            <w:vAlign w:val="center"/>
          </w:tcPr>
          <w:p w14:paraId="76854E68">
            <w:pPr>
              <w:widowControl/>
              <w:spacing w:line="276" w:lineRule="auto"/>
              <w:jc w:val="center"/>
              <w:rPr>
                <w:rFonts w:hint="eastAsia" w:ascii="宋体" w:hAnsi="宋体" w:cs="宋体"/>
                <w:b/>
                <w:color w:val="000000"/>
                <w:szCs w:val="21"/>
              </w:rPr>
            </w:pPr>
          </w:p>
        </w:tc>
        <w:tc>
          <w:tcPr>
            <w:tcW w:w="1483" w:type="dxa"/>
            <w:vMerge w:val="restart"/>
            <w:vAlign w:val="center"/>
          </w:tcPr>
          <w:p w14:paraId="485E5178">
            <w:pPr>
              <w:spacing w:line="276" w:lineRule="auto"/>
              <w:jc w:val="left"/>
              <w:rPr>
                <w:rFonts w:hint="eastAsia" w:ascii="宋体" w:hAnsi="宋体" w:cs="宋体"/>
                <w:color w:val="000000"/>
                <w:kern w:val="0"/>
                <w:szCs w:val="21"/>
              </w:rPr>
            </w:pPr>
            <w:r>
              <w:rPr>
                <w:rFonts w:hint="eastAsia" w:ascii="宋体" w:hAnsi="宋体" w:cs="宋体"/>
                <w:color w:val="000000"/>
                <w:kern w:val="0"/>
                <w:szCs w:val="21"/>
              </w:rPr>
              <w:t>2.2</w:t>
            </w:r>
            <w:r>
              <w:rPr>
                <w:rFonts w:hint="eastAsia" w:ascii="宋体" w:hAnsi="宋体"/>
                <w:szCs w:val="21"/>
              </w:rPr>
              <w:t>数据库及操作系统支持</w:t>
            </w:r>
          </w:p>
        </w:tc>
        <w:tc>
          <w:tcPr>
            <w:tcW w:w="5353" w:type="dxa"/>
            <w:vAlign w:val="center"/>
          </w:tcPr>
          <w:p w14:paraId="0609202F">
            <w:pPr>
              <w:spacing w:line="276" w:lineRule="auto"/>
              <w:jc w:val="left"/>
              <w:rPr>
                <w:rFonts w:hint="eastAsia" w:ascii="宋体" w:hAnsi="宋体" w:cs="宋体"/>
                <w:color w:val="000000"/>
                <w:kern w:val="0"/>
                <w:szCs w:val="21"/>
              </w:rPr>
            </w:pPr>
            <w:r>
              <w:rPr>
                <w:rFonts w:hint="eastAsia" w:ascii="宋体" w:hAnsi="宋体" w:cs="宋体"/>
                <w:color w:val="000000"/>
                <w:kern w:val="0"/>
                <w:szCs w:val="21"/>
              </w:rPr>
              <w:t>2.2.1</w:t>
            </w:r>
            <w:r>
              <w:rPr>
                <w:rFonts w:hint="eastAsia" w:ascii="宋体" w:hAnsi="宋体"/>
                <w:szCs w:val="21"/>
              </w:rPr>
              <w:t>系统支持MySQL主流数据库。</w:t>
            </w:r>
          </w:p>
        </w:tc>
      </w:tr>
      <w:tr w14:paraId="1F6E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21D4FFFC">
            <w:pPr>
              <w:spacing w:line="276" w:lineRule="auto"/>
              <w:jc w:val="left"/>
              <w:rPr>
                <w:rFonts w:hint="eastAsia" w:ascii="宋体" w:hAnsi="宋体" w:cs="宋体"/>
                <w:b/>
                <w:color w:val="000000"/>
                <w:szCs w:val="21"/>
              </w:rPr>
            </w:pPr>
          </w:p>
        </w:tc>
        <w:tc>
          <w:tcPr>
            <w:tcW w:w="1319" w:type="dxa"/>
            <w:vMerge w:val="continue"/>
            <w:vAlign w:val="center"/>
          </w:tcPr>
          <w:p w14:paraId="01CA74D3">
            <w:pPr>
              <w:widowControl/>
              <w:spacing w:line="276" w:lineRule="auto"/>
              <w:jc w:val="center"/>
              <w:rPr>
                <w:rFonts w:hint="eastAsia" w:ascii="宋体" w:hAnsi="宋体" w:cs="宋体"/>
                <w:b/>
                <w:color w:val="000000"/>
                <w:szCs w:val="21"/>
              </w:rPr>
            </w:pPr>
          </w:p>
        </w:tc>
        <w:tc>
          <w:tcPr>
            <w:tcW w:w="1483" w:type="dxa"/>
            <w:vMerge w:val="continue"/>
            <w:vAlign w:val="center"/>
          </w:tcPr>
          <w:p w14:paraId="78592DA4">
            <w:pPr>
              <w:spacing w:line="276" w:lineRule="auto"/>
              <w:jc w:val="left"/>
              <w:rPr>
                <w:rFonts w:hint="eastAsia" w:ascii="宋体" w:hAnsi="宋体" w:cs="宋体"/>
                <w:color w:val="000000"/>
                <w:kern w:val="0"/>
                <w:szCs w:val="21"/>
              </w:rPr>
            </w:pPr>
          </w:p>
        </w:tc>
        <w:tc>
          <w:tcPr>
            <w:tcW w:w="5353" w:type="dxa"/>
            <w:vAlign w:val="center"/>
          </w:tcPr>
          <w:p w14:paraId="4872DBCF">
            <w:pPr>
              <w:spacing w:line="276" w:lineRule="auto"/>
              <w:jc w:val="left"/>
              <w:rPr>
                <w:rFonts w:hint="eastAsia" w:ascii="宋体" w:hAnsi="宋体" w:cs="宋体"/>
                <w:color w:val="000000"/>
                <w:kern w:val="0"/>
                <w:szCs w:val="21"/>
              </w:rPr>
            </w:pPr>
            <w:r>
              <w:rPr>
                <w:rFonts w:hint="eastAsia" w:ascii="宋体" w:hAnsi="宋体" w:cs="宋体"/>
                <w:color w:val="000000"/>
                <w:kern w:val="0"/>
                <w:szCs w:val="21"/>
              </w:rPr>
              <w:t>2.2.2</w:t>
            </w:r>
            <w:r>
              <w:rPr>
                <w:rFonts w:hint="eastAsia" w:ascii="宋体" w:hAnsi="宋体"/>
                <w:szCs w:val="21"/>
              </w:rPr>
              <w:t>支持各类主流的服务器操作系统，支持Linux操作系统。</w:t>
            </w:r>
          </w:p>
        </w:tc>
      </w:tr>
      <w:tr w14:paraId="06DF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2297BA3C">
            <w:pPr>
              <w:spacing w:line="276" w:lineRule="auto"/>
              <w:jc w:val="left"/>
              <w:rPr>
                <w:rFonts w:hint="eastAsia" w:ascii="宋体" w:hAnsi="宋体" w:cs="宋体"/>
                <w:b/>
                <w:color w:val="000000"/>
                <w:szCs w:val="21"/>
              </w:rPr>
            </w:pPr>
          </w:p>
        </w:tc>
        <w:tc>
          <w:tcPr>
            <w:tcW w:w="1319" w:type="dxa"/>
            <w:vMerge w:val="continue"/>
            <w:vAlign w:val="center"/>
          </w:tcPr>
          <w:p w14:paraId="77FA014A">
            <w:pPr>
              <w:widowControl/>
              <w:spacing w:line="276" w:lineRule="auto"/>
              <w:jc w:val="center"/>
              <w:rPr>
                <w:rFonts w:hint="eastAsia" w:ascii="宋体" w:hAnsi="宋体" w:cs="宋体"/>
                <w:b/>
                <w:color w:val="000000"/>
                <w:szCs w:val="21"/>
              </w:rPr>
            </w:pPr>
          </w:p>
        </w:tc>
        <w:tc>
          <w:tcPr>
            <w:tcW w:w="1483" w:type="dxa"/>
            <w:vMerge w:val="restart"/>
            <w:vAlign w:val="center"/>
          </w:tcPr>
          <w:p w14:paraId="593A5A4D">
            <w:pPr>
              <w:spacing w:line="276" w:lineRule="auto"/>
              <w:jc w:val="left"/>
              <w:rPr>
                <w:rFonts w:hint="eastAsia" w:ascii="宋体" w:hAnsi="宋体" w:cs="宋体"/>
                <w:color w:val="000000"/>
                <w:kern w:val="0"/>
                <w:szCs w:val="21"/>
              </w:rPr>
            </w:pPr>
            <w:r>
              <w:rPr>
                <w:rFonts w:hint="eastAsia" w:ascii="宋体" w:hAnsi="宋体"/>
                <w:szCs w:val="21"/>
              </w:rPr>
              <w:t>2.3 接口及安全要求</w:t>
            </w:r>
          </w:p>
        </w:tc>
        <w:tc>
          <w:tcPr>
            <w:tcW w:w="5353" w:type="dxa"/>
            <w:vAlign w:val="center"/>
          </w:tcPr>
          <w:p w14:paraId="1EDC2150">
            <w:pPr>
              <w:spacing w:line="276" w:lineRule="auto"/>
              <w:jc w:val="left"/>
              <w:rPr>
                <w:rFonts w:hint="eastAsia" w:ascii="宋体" w:hAnsi="宋体" w:cs="宋体"/>
                <w:color w:val="000000"/>
                <w:kern w:val="0"/>
                <w:szCs w:val="21"/>
              </w:rPr>
            </w:pPr>
            <w:r>
              <w:rPr>
                <w:rFonts w:hint="eastAsia" w:ascii="宋体" w:hAnsi="宋体"/>
                <w:szCs w:val="21"/>
              </w:rPr>
              <w:t>2.3.1 系统基于Java平台的Spring框架，基于主流的开放平台，支持多种操作系统和平台架构，满足高可靠性以及可扩展性的需求；</w:t>
            </w:r>
          </w:p>
        </w:tc>
      </w:tr>
      <w:tr w14:paraId="5A35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7B2903A1">
            <w:pPr>
              <w:spacing w:line="276" w:lineRule="auto"/>
              <w:jc w:val="left"/>
              <w:rPr>
                <w:rFonts w:hint="eastAsia" w:ascii="宋体" w:hAnsi="宋体" w:cs="宋体"/>
                <w:b/>
                <w:color w:val="000000"/>
                <w:szCs w:val="21"/>
              </w:rPr>
            </w:pPr>
          </w:p>
        </w:tc>
        <w:tc>
          <w:tcPr>
            <w:tcW w:w="1319" w:type="dxa"/>
            <w:vMerge w:val="continue"/>
            <w:vAlign w:val="center"/>
          </w:tcPr>
          <w:p w14:paraId="380C2DC4">
            <w:pPr>
              <w:widowControl/>
              <w:spacing w:line="276" w:lineRule="auto"/>
              <w:jc w:val="center"/>
              <w:rPr>
                <w:rFonts w:hint="eastAsia" w:ascii="宋体" w:hAnsi="宋体" w:cs="宋体"/>
                <w:b/>
                <w:color w:val="000000"/>
                <w:szCs w:val="21"/>
              </w:rPr>
            </w:pPr>
          </w:p>
        </w:tc>
        <w:tc>
          <w:tcPr>
            <w:tcW w:w="1483" w:type="dxa"/>
            <w:vMerge w:val="continue"/>
            <w:vAlign w:val="center"/>
          </w:tcPr>
          <w:p w14:paraId="18EDCD0D">
            <w:pPr>
              <w:spacing w:line="276" w:lineRule="auto"/>
              <w:jc w:val="left"/>
              <w:rPr>
                <w:rFonts w:hint="eastAsia" w:ascii="宋体" w:hAnsi="宋体"/>
                <w:szCs w:val="21"/>
              </w:rPr>
            </w:pPr>
          </w:p>
        </w:tc>
        <w:tc>
          <w:tcPr>
            <w:tcW w:w="5353" w:type="dxa"/>
            <w:vAlign w:val="center"/>
          </w:tcPr>
          <w:p w14:paraId="7327A49B">
            <w:pPr>
              <w:spacing w:line="276" w:lineRule="auto"/>
              <w:jc w:val="left"/>
              <w:rPr>
                <w:rFonts w:hint="eastAsia" w:ascii="宋体" w:hAnsi="宋体" w:cs="宋体"/>
                <w:color w:val="000000"/>
                <w:kern w:val="0"/>
                <w:szCs w:val="21"/>
              </w:rPr>
            </w:pPr>
            <w:r>
              <w:rPr>
                <w:rFonts w:hint="eastAsia" w:ascii="宋体" w:hAnsi="宋体"/>
                <w:szCs w:val="21"/>
              </w:rPr>
              <w:t>2.3.2具有开放的体系与接口可与业务系统进行数据交换，可实现数据的互联互通。</w:t>
            </w:r>
          </w:p>
        </w:tc>
      </w:tr>
      <w:tr w14:paraId="4659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03D602F2">
            <w:pPr>
              <w:spacing w:line="276" w:lineRule="auto"/>
              <w:jc w:val="left"/>
              <w:rPr>
                <w:rFonts w:hint="eastAsia" w:ascii="宋体" w:hAnsi="宋体" w:cs="宋体"/>
                <w:b/>
                <w:color w:val="000000"/>
                <w:szCs w:val="21"/>
              </w:rPr>
            </w:pPr>
          </w:p>
        </w:tc>
        <w:tc>
          <w:tcPr>
            <w:tcW w:w="1319" w:type="dxa"/>
            <w:vMerge w:val="continue"/>
            <w:vAlign w:val="center"/>
          </w:tcPr>
          <w:p w14:paraId="7A8FC0B0">
            <w:pPr>
              <w:widowControl/>
              <w:spacing w:line="276" w:lineRule="auto"/>
              <w:jc w:val="center"/>
              <w:rPr>
                <w:rFonts w:hint="eastAsia" w:ascii="宋体" w:hAnsi="宋体" w:cs="宋体"/>
                <w:b/>
                <w:color w:val="000000"/>
                <w:szCs w:val="21"/>
              </w:rPr>
            </w:pPr>
          </w:p>
        </w:tc>
        <w:tc>
          <w:tcPr>
            <w:tcW w:w="1483" w:type="dxa"/>
            <w:vMerge w:val="continue"/>
            <w:vAlign w:val="center"/>
          </w:tcPr>
          <w:p w14:paraId="0A1E3FED">
            <w:pPr>
              <w:spacing w:line="276" w:lineRule="auto"/>
              <w:jc w:val="left"/>
              <w:rPr>
                <w:rFonts w:hint="eastAsia" w:ascii="宋体" w:hAnsi="宋体"/>
                <w:szCs w:val="21"/>
              </w:rPr>
            </w:pPr>
          </w:p>
        </w:tc>
        <w:tc>
          <w:tcPr>
            <w:tcW w:w="5353" w:type="dxa"/>
            <w:vAlign w:val="center"/>
          </w:tcPr>
          <w:p w14:paraId="2282F9E2">
            <w:pPr>
              <w:spacing w:line="276" w:lineRule="auto"/>
              <w:jc w:val="left"/>
              <w:rPr>
                <w:rFonts w:hint="eastAsia" w:ascii="宋体" w:hAnsi="宋体" w:cs="宋体"/>
                <w:color w:val="000000"/>
                <w:kern w:val="0"/>
                <w:szCs w:val="21"/>
              </w:rPr>
            </w:pPr>
            <w:r>
              <w:rPr>
                <w:rFonts w:hint="eastAsia" w:ascii="宋体" w:hAnsi="宋体"/>
                <w:szCs w:val="21"/>
              </w:rPr>
              <w:t>2.3.3具备严格的权限管理及控制体系，并支持数字认证、数字签名等技术，可以方便的与CA系统整合，保证系统安全。</w:t>
            </w:r>
          </w:p>
        </w:tc>
      </w:tr>
      <w:tr w14:paraId="3FB2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03D98848">
            <w:pPr>
              <w:spacing w:line="276" w:lineRule="auto"/>
              <w:jc w:val="left"/>
              <w:rPr>
                <w:rFonts w:hint="eastAsia" w:ascii="宋体" w:hAnsi="宋体" w:cs="宋体"/>
                <w:b/>
                <w:color w:val="000000"/>
                <w:szCs w:val="21"/>
              </w:rPr>
            </w:pPr>
          </w:p>
        </w:tc>
        <w:tc>
          <w:tcPr>
            <w:tcW w:w="1319" w:type="dxa"/>
            <w:vMerge w:val="continue"/>
            <w:vAlign w:val="center"/>
          </w:tcPr>
          <w:p w14:paraId="39E72917">
            <w:pPr>
              <w:widowControl/>
              <w:spacing w:line="276" w:lineRule="auto"/>
              <w:jc w:val="center"/>
              <w:rPr>
                <w:rFonts w:hint="eastAsia" w:ascii="宋体" w:hAnsi="宋体" w:cs="宋体"/>
                <w:b/>
                <w:color w:val="000000"/>
                <w:szCs w:val="21"/>
              </w:rPr>
            </w:pPr>
          </w:p>
        </w:tc>
        <w:tc>
          <w:tcPr>
            <w:tcW w:w="1483" w:type="dxa"/>
            <w:vMerge w:val="continue"/>
            <w:vAlign w:val="center"/>
          </w:tcPr>
          <w:p w14:paraId="378A3DEF">
            <w:pPr>
              <w:spacing w:line="276" w:lineRule="auto"/>
              <w:jc w:val="left"/>
              <w:rPr>
                <w:rFonts w:hint="eastAsia" w:ascii="宋体" w:hAnsi="宋体"/>
                <w:szCs w:val="21"/>
              </w:rPr>
            </w:pPr>
          </w:p>
        </w:tc>
        <w:tc>
          <w:tcPr>
            <w:tcW w:w="5353" w:type="dxa"/>
            <w:vAlign w:val="center"/>
          </w:tcPr>
          <w:p w14:paraId="26B176DB">
            <w:pPr>
              <w:spacing w:line="276" w:lineRule="auto"/>
              <w:jc w:val="left"/>
              <w:rPr>
                <w:rFonts w:hint="eastAsia" w:ascii="宋体" w:hAnsi="宋体" w:cs="宋体"/>
                <w:color w:val="000000"/>
                <w:kern w:val="0"/>
                <w:szCs w:val="21"/>
              </w:rPr>
            </w:pPr>
            <w:r>
              <w:rPr>
                <w:rFonts w:hint="eastAsia" w:ascii="宋体" w:hAnsi="宋体"/>
                <w:szCs w:val="21"/>
              </w:rPr>
              <w:t>2.3.4系统支持和提供Web Service（符合WS-Security技术标准）接口、文件包或读写数据库等方式与其他系统交换数据。</w:t>
            </w:r>
          </w:p>
        </w:tc>
      </w:tr>
      <w:tr w14:paraId="559A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restart"/>
            <w:vAlign w:val="center"/>
          </w:tcPr>
          <w:p w14:paraId="646FDDE1">
            <w:pPr>
              <w:spacing w:line="276" w:lineRule="auto"/>
              <w:jc w:val="center"/>
              <w:rPr>
                <w:rFonts w:hint="eastAsia" w:ascii="宋体" w:hAnsi="宋体" w:cs="宋体"/>
                <w:bCs/>
                <w:color w:val="000000"/>
                <w:szCs w:val="21"/>
              </w:rPr>
            </w:pPr>
            <w:r>
              <w:rPr>
                <w:rFonts w:hint="eastAsia" w:ascii="宋体" w:hAnsi="宋体" w:cs="宋体"/>
                <w:bCs/>
                <w:color w:val="000000"/>
                <w:szCs w:val="21"/>
              </w:rPr>
              <w:t>3</w:t>
            </w:r>
          </w:p>
        </w:tc>
        <w:tc>
          <w:tcPr>
            <w:tcW w:w="1319" w:type="dxa"/>
            <w:vMerge w:val="restart"/>
            <w:vAlign w:val="center"/>
          </w:tcPr>
          <w:p w14:paraId="498AFFC7">
            <w:pPr>
              <w:widowControl/>
              <w:spacing w:line="276" w:lineRule="auto"/>
              <w:jc w:val="center"/>
              <w:rPr>
                <w:rFonts w:hint="eastAsia" w:ascii="宋体" w:hAnsi="宋体" w:cs="宋体"/>
                <w:b/>
                <w:color w:val="000000"/>
                <w:szCs w:val="21"/>
              </w:rPr>
            </w:pPr>
            <w:r>
              <w:rPr>
                <w:rFonts w:hint="eastAsia" w:ascii="宋体" w:hAnsi="宋体"/>
                <w:szCs w:val="21"/>
              </w:rPr>
              <w:t>性能要求</w:t>
            </w:r>
          </w:p>
        </w:tc>
        <w:tc>
          <w:tcPr>
            <w:tcW w:w="1483" w:type="dxa"/>
            <w:vAlign w:val="center"/>
          </w:tcPr>
          <w:p w14:paraId="6062B031">
            <w:pPr>
              <w:spacing w:line="276" w:lineRule="auto"/>
              <w:jc w:val="left"/>
              <w:rPr>
                <w:rFonts w:hint="eastAsia" w:ascii="宋体" w:hAnsi="宋体"/>
                <w:szCs w:val="21"/>
              </w:rPr>
            </w:pPr>
            <w:r>
              <w:rPr>
                <w:rFonts w:hint="eastAsia" w:ascii="宋体" w:hAnsi="宋体"/>
                <w:szCs w:val="21"/>
              </w:rPr>
              <w:t>3.1响应时间与并发访问</w:t>
            </w:r>
          </w:p>
        </w:tc>
        <w:tc>
          <w:tcPr>
            <w:tcW w:w="5353" w:type="dxa"/>
            <w:vAlign w:val="center"/>
          </w:tcPr>
          <w:p w14:paraId="742249A1">
            <w:pPr>
              <w:spacing w:line="276" w:lineRule="auto"/>
              <w:jc w:val="left"/>
              <w:rPr>
                <w:rFonts w:hint="eastAsia" w:ascii="宋体" w:hAnsi="宋体" w:cs="宋体"/>
                <w:color w:val="000000"/>
                <w:kern w:val="0"/>
                <w:szCs w:val="21"/>
              </w:rPr>
            </w:pPr>
            <w:r>
              <w:rPr>
                <w:rFonts w:hint="eastAsia" w:ascii="宋体" w:hAnsi="宋体"/>
                <w:szCs w:val="21"/>
              </w:rPr>
              <w:t>3.1.1后台管理系统支持最大并发量不小于100，同时在线人数不小于1000，系统运行流畅，具有良好的响应性能，用户日常操作的响应时间不大于3秒。</w:t>
            </w:r>
          </w:p>
        </w:tc>
      </w:tr>
      <w:tr w14:paraId="7B4C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389CFB6D">
            <w:pPr>
              <w:spacing w:line="276" w:lineRule="auto"/>
              <w:jc w:val="left"/>
              <w:rPr>
                <w:rFonts w:hint="eastAsia" w:ascii="宋体" w:hAnsi="宋体" w:cs="宋体"/>
                <w:b/>
                <w:color w:val="000000"/>
                <w:szCs w:val="21"/>
              </w:rPr>
            </w:pPr>
          </w:p>
        </w:tc>
        <w:tc>
          <w:tcPr>
            <w:tcW w:w="1319" w:type="dxa"/>
            <w:vMerge w:val="continue"/>
            <w:vAlign w:val="center"/>
          </w:tcPr>
          <w:p w14:paraId="797CFCA1">
            <w:pPr>
              <w:widowControl/>
              <w:spacing w:line="276" w:lineRule="auto"/>
              <w:jc w:val="center"/>
              <w:rPr>
                <w:rFonts w:hint="eastAsia" w:ascii="宋体" w:hAnsi="宋体" w:cs="宋体"/>
                <w:b/>
                <w:color w:val="000000"/>
                <w:szCs w:val="21"/>
              </w:rPr>
            </w:pPr>
          </w:p>
        </w:tc>
        <w:tc>
          <w:tcPr>
            <w:tcW w:w="1483" w:type="dxa"/>
            <w:vAlign w:val="center"/>
          </w:tcPr>
          <w:p w14:paraId="05BD3FEE">
            <w:pPr>
              <w:spacing w:line="276" w:lineRule="auto"/>
              <w:jc w:val="left"/>
              <w:rPr>
                <w:rFonts w:hint="eastAsia" w:ascii="宋体" w:hAnsi="宋体"/>
                <w:szCs w:val="21"/>
              </w:rPr>
            </w:pPr>
            <w:r>
              <w:rPr>
                <w:rFonts w:hint="eastAsia" w:ascii="宋体" w:hAnsi="宋体"/>
                <w:szCs w:val="21"/>
              </w:rPr>
              <w:t>3.2稳定性</w:t>
            </w:r>
          </w:p>
        </w:tc>
        <w:tc>
          <w:tcPr>
            <w:tcW w:w="5353" w:type="dxa"/>
            <w:vAlign w:val="center"/>
          </w:tcPr>
          <w:p w14:paraId="022ADF29">
            <w:pPr>
              <w:spacing w:line="276" w:lineRule="auto"/>
              <w:jc w:val="left"/>
              <w:rPr>
                <w:rFonts w:hint="eastAsia" w:ascii="宋体" w:hAnsi="宋体" w:cs="宋体"/>
                <w:color w:val="000000"/>
                <w:kern w:val="0"/>
                <w:szCs w:val="21"/>
              </w:rPr>
            </w:pPr>
            <w:r>
              <w:rPr>
                <w:rFonts w:hint="eastAsia" w:ascii="宋体" w:hAnsi="宋体"/>
                <w:szCs w:val="21"/>
              </w:rPr>
              <w:t>3.2.1通过良好的系统架构设计，可通过集群等软硬件设备的运用，通过与安全支撑平台的接口等多种手段，保证系统运行的稳定性</w:t>
            </w:r>
          </w:p>
        </w:tc>
      </w:tr>
      <w:tr w14:paraId="01E7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0CF0A077">
            <w:pPr>
              <w:spacing w:line="276" w:lineRule="auto"/>
              <w:jc w:val="left"/>
              <w:rPr>
                <w:rFonts w:hint="eastAsia" w:ascii="宋体" w:hAnsi="宋体" w:cs="宋体"/>
                <w:b/>
                <w:color w:val="000000"/>
                <w:szCs w:val="21"/>
              </w:rPr>
            </w:pPr>
          </w:p>
        </w:tc>
        <w:tc>
          <w:tcPr>
            <w:tcW w:w="1319" w:type="dxa"/>
            <w:vMerge w:val="continue"/>
            <w:vAlign w:val="center"/>
          </w:tcPr>
          <w:p w14:paraId="3652DD0E">
            <w:pPr>
              <w:widowControl/>
              <w:spacing w:line="276" w:lineRule="auto"/>
              <w:jc w:val="center"/>
              <w:rPr>
                <w:rFonts w:hint="eastAsia" w:ascii="宋体" w:hAnsi="宋体" w:cs="宋体"/>
                <w:b/>
                <w:color w:val="000000"/>
                <w:szCs w:val="21"/>
              </w:rPr>
            </w:pPr>
          </w:p>
        </w:tc>
        <w:tc>
          <w:tcPr>
            <w:tcW w:w="1483" w:type="dxa"/>
            <w:vAlign w:val="center"/>
          </w:tcPr>
          <w:p w14:paraId="4F2BC44C">
            <w:pPr>
              <w:spacing w:line="276" w:lineRule="auto"/>
              <w:jc w:val="left"/>
              <w:rPr>
                <w:rFonts w:hint="eastAsia" w:ascii="宋体" w:hAnsi="宋体"/>
                <w:szCs w:val="21"/>
              </w:rPr>
            </w:pPr>
            <w:r>
              <w:rPr>
                <w:rFonts w:hint="eastAsia" w:ascii="宋体" w:hAnsi="宋体"/>
                <w:szCs w:val="21"/>
              </w:rPr>
              <w:t>3.3不间断性</w:t>
            </w:r>
          </w:p>
        </w:tc>
        <w:tc>
          <w:tcPr>
            <w:tcW w:w="5353" w:type="dxa"/>
            <w:vAlign w:val="center"/>
          </w:tcPr>
          <w:p w14:paraId="0DA6173B">
            <w:pPr>
              <w:spacing w:line="276" w:lineRule="auto"/>
              <w:jc w:val="left"/>
              <w:rPr>
                <w:rFonts w:hint="eastAsia" w:ascii="宋体" w:hAnsi="宋体" w:cs="宋体"/>
                <w:color w:val="000000"/>
                <w:kern w:val="0"/>
                <w:szCs w:val="21"/>
              </w:rPr>
            </w:pPr>
            <w:r>
              <w:rPr>
                <w:rFonts w:hint="eastAsia" w:ascii="宋体" w:hAnsi="宋体"/>
                <w:szCs w:val="21"/>
              </w:rPr>
              <w:t>3.3.1为保证系统二十四小时提供不间断访问，支持在关键路径上实现冗余，关键点上实现热备或群集，并保证运行中的数据同步和故障发生时系统自动接管或切换。</w:t>
            </w:r>
          </w:p>
        </w:tc>
      </w:tr>
      <w:tr w14:paraId="6533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restart"/>
            <w:vAlign w:val="center"/>
          </w:tcPr>
          <w:p w14:paraId="34BA736A">
            <w:pPr>
              <w:spacing w:line="276" w:lineRule="auto"/>
              <w:jc w:val="center"/>
              <w:rPr>
                <w:rFonts w:hint="eastAsia" w:ascii="宋体" w:hAnsi="宋体" w:cs="宋体"/>
                <w:bCs/>
                <w:color w:val="000000"/>
                <w:szCs w:val="21"/>
              </w:rPr>
            </w:pPr>
            <w:r>
              <w:rPr>
                <w:rFonts w:hint="eastAsia" w:ascii="宋体" w:hAnsi="宋体" w:cs="宋体"/>
                <w:bCs/>
                <w:color w:val="000000"/>
                <w:szCs w:val="21"/>
              </w:rPr>
              <w:t>4</w:t>
            </w:r>
          </w:p>
        </w:tc>
        <w:tc>
          <w:tcPr>
            <w:tcW w:w="1319" w:type="dxa"/>
            <w:vMerge w:val="restart"/>
            <w:vAlign w:val="center"/>
          </w:tcPr>
          <w:p w14:paraId="10CBFEFF">
            <w:pPr>
              <w:widowControl/>
              <w:spacing w:line="276" w:lineRule="auto"/>
              <w:jc w:val="center"/>
              <w:rPr>
                <w:rFonts w:hint="eastAsia" w:ascii="宋体" w:hAnsi="宋体" w:cs="宋体"/>
                <w:b/>
                <w:color w:val="000000"/>
                <w:szCs w:val="21"/>
              </w:rPr>
            </w:pPr>
            <w:r>
              <w:rPr>
                <w:rFonts w:hint="eastAsia" w:ascii="宋体" w:hAnsi="宋体"/>
                <w:szCs w:val="21"/>
              </w:rPr>
              <w:t>清洗消毒</w:t>
            </w:r>
          </w:p>
        </w:tc>
        <w:tc>
          <w:tcPr>
            <w:tcW w:w="1483" w:type="dxa"/>
            <w:vMerge w:val="restart"/>
            <w:vAlign w:val="center"/>
          </w:tcPr>
          <w:p w14:paraId="7C241E4F">
            <w:pPr>
              <w:spacing w:line="276" w:lineRule="auto"/>
              <w:jc w:val="left"/>
              <w:rPr>
                <w:rFonts w:hint="eastAsia" w:ascii="宋体" w:hAnsi="宋体"/>
                <w:szCs w:val="21"/>
              </w:rPr>
            </w:pPr>
            <w:r>
              <w:rPr>
                <w:rFonts w:hint="eastAsia" w:ascii="宋体" w:hAnsi="宋体"/>
                <w:szCs w:val="21"/>
              </w:rPr>
              <w:t>4.1清洗消毒</w:t>
            </w:r>
          </w:p>
        </w:tc>
        <w:tc>
          <w:tcPr>
            <w:tcW w:w="5353" w:type="dxa"/>
            <w:vAlign w:val="center"/>
          </w:tcPr>
          <w:p w14:paraId="09B08DA7">
            <w:pPr>
              <w:spacing w:line="276" w:lineRule="auto"/>
              <w:jc w:val="left"/>
              <w:rPr>
                <w:rFonts w:hint="eastAsia" w:ascii="宋体" w:hAnsi="宋体" w:cs="宋体"/>
                <w:color w:val="000000"/>
                <w:kern w:val="0"/>
                <w:szCs w:val="21"/>
              </w:rPr>
            </w:pPr>
            <w:r>
              <w:rPr>
                <w:rFonts w:hint="eastAsia" w:ascii="宋体" w:hAnsi="宋体"/>
                <w:szCs w:val="21"/>
              </w:rPr>
              <w:t>4.1.1支持PC端，进行清洗消毒录入。</w:t>
            </w:r>
          </w:p>
        </w:tc>
      </w:tr>
      <w:tr w14:paraId="55A9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25B43F42">
            <w:pPr>
              <w:spacing w:line="276" w:lineRule="auto"/>
              <w:jc w:val="left"/>
              <w:rPr>
                <w:rFonts w:hint="eastAsia" w:ascii="宋体" w:hAnsi="宋体" w:cs="宋体"/>
                <w:b/>
                <w:color w:val="000000"/>
                <w:szCs w:val="21"/>
              </w:rPr>
            </w:pPr>
          </w:p>
        </w:tc>
        <w:tc>
          <w:tcPr>
            <w:tcW w:w="1319" w:type="dxa"/>
            <w:vMerge w:val="continue"/>
            <w:vAlign w:val="center"/>
          </w:tcPr>
          <w:p w14:paraId="40AEB924">
            <w:pPr>
              <w:widowControl/>
              <w:spacing w:line="276" w:lineRule="auto"/>
              <w:jc w:val="center"/>
              <w:rPr>
                <w:rFonts w:hint="eastAsia" w:ascii="宋体" w:hAnsi="宋体" w:cs="宋体"/>
                <w:b/>
                <w:color w:val="000000"/>
                <w:szCs w:val="21"/>
              </w:rPr>
            </w:pPr>
          </w:p>
        </w:tc>
        <w:tc>
          <w:tcPr>
            <w:tcW w:w="1483" w:type="dxa"/>
            <w:vMerge w:val="continue"/>
            <w:vAlign w:val="center"/>
          </w:tcPr>
          <w:p w14:paraId="090EB6D1">
            <w:pPr>
              <w:spacing w:line="276" w:lineRule="auto"/>
              <w:jc w:val="left"/>
              <w:rPr>
                <w:rFonts w:hint="eastAsia" w:ascii="宋体" w:hAnsi="宋体"/>
                <w:szCs w:val="21"/>
              </w:rPr>
            </w:pPr>
          </w:p>
        </w:tc>
        <w:tc>
          <w:tcPr>
            <w:tcW w:w="5353" w:type="dxa"/>
            <w:vAlign w:val="center"/>
          </w:tcPr>
          <w:p w14:paraId="228565AE">
            <w:pPr>
              <w:spacing w:line="276" w:lineRule="auto"/>
              <w:jc w:val="left"/>
              <w:rPr>
                <w:rFonts w:hint="eastAsia" w:ascii="宋体" w:hAnsi="宋体" w:cs="宋体"/>
                <w:color w:val="000000"/>
                <w:kern w:val="0"/>
                <w:szCs w:val="21"/>
              </w:rPr>
            </w:pPr>
            <w:r>
              <w:rPr>
                <w:rFonts w:hint="eastAsia" w:ascii="宋体" w:hAnsi="宋体"/>
                <w:szCs w:val="21"/>
              </w:rPr>
              <w:t>4.1.2支持中途增删物品。</w:t>
            </w:r>
          </w:p>
        </w:tc>
      </w:tr>
      <w:tr w14:paraId="6B6B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3B763E55">
            <w:pPr>
              <w:spacing w:line="276" w:lineRule="auto"/>
              <w:jc w:val="left"/>
              <w:rPr>
                <w:rFonts w:hint="eastAsia" w:ascii="宋体" w:hAnsi="宋体" w:cs="宋体"/>
                <w:b/>
                <w:color w:val="000000"/>
                <w:szCs w:val="21"/>
              </w:rPr>
            </w:pPr>
          </w:p>
        </w:tc>
        <w:tc>
          <w:tcPr>
            <w:tcW w:w="1319" w:type="dxa"/>
            <w:vMerge w:val="continue"/>
            <w:vAlign w:val="center"/>
          </w:tcPr>
          <w:p w14:paraId="13031B9E">
            <w:pPr>
              <w:widowControl/>
              <w:spacing w:line="276" w:lineRule="auto"/>
              <w:jc w:val="center"/>
              <w:rPr>
                <w:rFonts w:hint="eastAsia" w:ascii="宋体" w:hAnsi="宋体" w:cs="宋体"/>
                <w:b/>
                <w:color w:val="000000"/>
                <w:szCs w:val="21"/>
              </w:rPr>
            </w:pPr>
          </w:p>
        </w:tc>
        <w:tc>
          <w:tcPr>
            <w:tcW w:w="1483" w:type="dxa"/>
            <w:vMerge w:val="continue"/>
            <w:vAlign w:val="center"/>
          </w:tcPr>
          <w:p w14:paraId="17D8D114">
            <w:pPr>
              <w:spacing w:line="276" w:lineRule="auto"/>
              <w:jc w:val="left"/>
              <w:rPr>
                <w:rFonts w:hint="eastAsia" w:ascii="宋体" w:hAnsi="宋体"/>
                <w:szCs w:val="21"/>
              </w:rPr>
            </w:pPr>
          </w:p>
        </w:tc>
        <w:tc>
          <w:tcPr>
            <w:tcW w:w="5353" w:type="dxa"/>
            <w:vAlign w:val="center"/>
          </w:tcPr>
          <w:p w14:paraId="410EEE0C">
            <w:pPr>
              <w:spacing w:line="276" w:lineRule="auto"/>
              <w:rPr>
                <w:rFonts w:hint="eastAsia" w:ascii="宋体" w:hAnsi="宋体"/>
                <w:szCs w:val="21"/>
              </w:rPr>
            </w:pPr>
            <w:r>
              <w:rPr>
                <w:rFonts w:hint="eastAsia" w:ascii="宋体" w:hAnsi="宋体"/>
                <w:szCs w:val="21"/>
              </w:rPr>
              <w:t>4.1.3支持自动完成清洗任务。</w:t>
            </w:r>
          </w:p>
        </w:tc>
      </w:tr>
      <w:tr w14:paraId="37C9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446D4EC1">
            <w:pPr>
              <w:spacing w:line="276" w:lineRule="auto"/>
              <w:jc w:val="left"/>
              <w:rPr>
                <w:rFonts w:hint="eastAsia" w:ascii="宋体" w:hAnsi="宋体" w:cs="宋体"/>
                <w:b/>
                <w:color w:val="000000"/>
                <w:szCs w:val="21"/>
              </w:rPr>
            </w:pPr>
          </w:p>
        </w:tc>
        <w:tc>
          <w:tcPr>
            <w:tcW w:w="1319" w:type="dxa"/>
            <w:vMerge w:val="continue"/>
            <w:vAlign w:val="center"/>
          </w:tcPr>
          <w:p w14:paraId="53FD4D97">
            <w:pPr>
              <w:widowControl/>
              <w:spacing w:line="276" w:lineRule="auto"/>
              <w:jc w:val="center"/>
              <w:rPr>
                <w:rFonts w:hint="eastAsia" w:ascii="宋体" w:hAnsi="宋体" w:cs="宋体"/>
                <w:b/>
                <w:color w:val="000000"/>
                <w:szCs w:val="21"/>
              </w:rPr>
            </w:pPr>
          </w:p>
        </w:tc>
        <w:tc>
          <w:tcPr>
            <w:tcW w:w="1483" w:type="dxa"/>
            <w:vMerge w:val="continue"/>
            <w:vAlign w:val="center"/>
          </w:tcPr>
          <w:p w14:paraId="2AD68C59">
            <w:pPr>
              <w:spacing w:line="276" w:lineRule="auto"/>
              <w:jc w:val="left"/>
              <w:rPr>
                <w:rFonts w:hint="eastAsia" w:ascii="宋体" w:hAnsi="宋体"/>
                <w:szCs w:val="21"/>
              </w:rPr>
            </w:pPr>
          </w:p>
        </w:tc>
        <w:tc>
          <w:tcPr>
            <w:tcW w:w="5353" w:type="dxa"/>
            <w:vAlign w:val="center"/>
          </w:tcPr>
          <w:p w14:paraId="6659D9B1">
            <w:pPr>
              <w:spacing w:line="276" w:lineRule="auto"/>
              <w:jc w:val="left"/>
              <w:rPr>
                <w:rFonts w:hint="eastAsia" w:ascii="宋体" w:hAnsi="宋体" w:cs="宋体"/>
                <w:color w:val="000000"/>
                <w:kern w:val="0"/>
                <w:szCs w:val="21"/>
              </w:rPr>
            </w:pPr>
            <w:r>
              <w:rPr>
                <w:rFonts w:hint="eastAsia" w:ascii="宋体" w:hAnsi="宋体"/>
                <w:szCs w:val="21"/>
              </w:rPr>
              <w:t>4.1.4针对清洗不合格器械，可登记器械的清洗不合格记录。</w:t>
            </w:r>
          </w:p>
        </w:tc>
      </w:tr>
      <w:tr w14:paraId="00F5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restart"/>
            <w:vAlign w:val="center"/>
          </w:tcPr>
          <w:p w14:paraId="0A7C1FDF">
            <w:pPr>
              <w:spacing w:line="276" w:lineRule="auto"/>
              <w:jc w:val="center"/>
              <w:rPr>
                <w:rFonts w:hint="eastAsia" w:ascii="宋体" w:hAnsi="宋体" w:cs="宋体"/>
                <w:bCs/>
                <w:color w:val="000000"/>
                <w:szCs w:val="21"/>
              </w:rPr>
            </w:pPr>
            <w:r>
              <w:rPr>
                <w:rFonts w:hint="eastAsia" w:ascii="宋体" w:hAnsi="宋体" w:cs="宋体"/>
                <w:bCs/>
                <w:color w:val="000000"/>
                <w:szCs w:val="21"/>
              </w:rPr>
              <w:t>5</w:t>
            </w:r>
          </w:p>
        </w:tc>
        <w:tc>
          <w:tcPr>
            <w:tcW w:w="1319" w:type="dxa"/>
            <w:vMerge w:val="restart"/>
            <w:vAlign w:val="center"/>
          </w:tcPr>
          <w:p w14:paraId="5623725E">
            <w:pPr>
              <w:widowControl/>
              <w:spacing w:line="276" w:lineRule="auto"/>
              <w:jc w:val="center"/>
              <w:rPr>
                <w:rFonts w:hint="eastAsia" w:ascii="宋体" w:hAnsi="宋体" w:cs="宋体"/>
                <w:b/>
                <w:color w:val="000000"/>
                <w:szCs w:val="21"/>
              </w:rPr>
            </w:pPr>
            <w:r>
              <w:rPr>
                <w:rFonts w:hint="eastAsia" w:ascii="宋体" w:hAnsi="宋体"/>
                <w:szCs w:val="21"/>
              </w:rPr>
              <w:t>装配管理</w:t>
            </w:r>
          </w:p>
        </w:tc>
        <w:tc>
          <w:tcPr>
            <w:tcW w:w="1483" w:type="dxa"/>
            <w:vMerge w:val="restart"/>
            <w:vAlign w:val="center"/>
          </w:tcPr>
          <w:p w14:paraId="35A214D8">
            <w:pPr>
              <w:spacing w:line="276" w:lineRule="auto"/>
              <w:jc w:val="left"/>
              <w:rPr>
                <w:rFonts w:hint="eastAsia" w:ascii="宋体" w:hAnsi="宋体"/>
                <w:szCs w:val="21"/>
              </w:rPr>
            </w:pPr>
            <w:r>
              <w:rPr>
                <w:rFonts w:hint="eastAsia" w:ascii="宋体" w:hAnsi="宋体"/>
                <w:szCs w:val="21"/>
              </w:rPr>
              <w:t>5.1装配管理</w:t>
            </w:r>
          </w:p>
        </w:tc>
        <w:tc>
          <w:tcPr>
            <w:tcW w:w="5353" w:type="dxa"/>
            <w:vAlign w:val="center"/>
          </w:tcPr>
          <w:p w14:paraId="278359A2">
            <w:pPr>
              <w:spacing w:line="276" w:lineRule="auto"/>
              <w:jc w:val="left"/>
              <w:rPr>
                <w:rFonts w:hint="eastAsia" w:ascii="宋体" w:hAnsi="宋体" w:cs="宋体"/>
                <w:color w:val="000000"/>
                <w:kern w:val="0"/>
                <w:szCs w:val="21"/>
              </w:rPr>
            </w:pPr>
            <w:r>
              <w:rPr>
                <w:rFonts w:hint="eastAsia" w:ascii="宋体" w:hAnsi="宋体"/>
                <w:szCs w:val="21"/>
              </w:rPr>
              <w:t>5.1.1支持装配任务分组功能，不同分组的器械分开显示。负责对应分组的用户登录，只看到负责的装配任务，能区分物品装配任务，如手术器械只会在手术装配组显示。</w:t>
            </w:r>
          </w:p>
        </w:tc>
      </w:tr>
      <w:tr w14:paraId="09E2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6379FD92">
            <w:pPr>
              <w:spacing w:line="276" w:lineRule="auto"/>
              <w:jc w:val="center"/>
              <w:rPr>
                <w:rFonts w:hint="eastAsia" w:ascii="宋体" w:hAnsi="宋体" w:cs="宋体"/>
                <w:bCs/>
                <w:color w:val="000000"/>
                <w:szCs w:val="21"/>
              </w:rPr>
            </w:pPr>
          </w:p>
        </w:tc>
        <w:tc>
          <w:tcPr>
            <w:tcW w:w="1319" w:type="dxa"/>
            <w:vMerge w:val="continue"/>
            <w:vAlign w:val="center"/>
          </w:tcPr>
          <w:p w14:paraId="7A11438B">
            <w:pPr>
              <w:widowControl/>
              <w:spacing w:line="276" w:lineRule="auto"/>
              <w:jc w:val="center"/>
              <w:rPr>
                <w:rFonts w:hint="eastAsia" w:ascii="宋体" w:hAnsi="宋体" w:cs="宋体"/>
                <w:b/>
                <w:color w:val="000000"/>
                <w:szCs w:val="21"/>
              </w:rPr>
            </w:pPr>
          </w:p>
        </w:tc>
        <w:tc>
          <w:tcPr>
            <w:tcW w:w="1483" w:type="dxa"/>
            <w:vMerge w:val="continue"/>
            <w:vAlign w:val="center"/>
          </w:tcPr>
          <w:p w14:paraId="051BAD83">
            <w:pPr>
              <w:spacing w:line="276" w:lineRule="auto"/>
              <w:jc w:val="left"/>
              <w:rPr>
                <w:rFonts w:hint="eastAsia" w:ascii="宋体" w:hAnsi="宋体"/>
                <w:szCs w:val="21"/>
              </w:rPr>
            </w:pPr>
          </w:p>
        </w:tc>
        <w:tc>
          <w:tcPr>
            <w:tcW w:w="5353" w:type="dxa"/>
            <w:vAlign w:val="center"/>
          </w:tcPr>
          <w:p w14:paraId="69A59A07">
            <w:pPr>
              <w:spacing w:line="276" w:lineRule="auto"/>
              <w:jc w:val="left"/>
              <w:rPr>
                <w:rFonts w:hint="eastAsia" w:ascii="宋体" w:hAnsi="宋体" w:cs="宋体"/>
                <w:color w:val="000000"/>
                <w:kern w:val="0"/>
                <w:szCs w:val="21"/>
              </w:rPr>
            </w:pPr>
            <w:r>
              <w:rPr>
                <w:rFonts w:hint="eastAsia" w:ascii="宋体" w:hAnsi="宋体"/>
                <w:szCs w:val="21"/>
              </w:rPr>
              <w:t>5.1.2支持扫描配包人、审核人条码。</w:t>
            </w:r>
          </w:p>
        </w:tc>
      </w:tr>
      <w:tr w14:paraId="2D6D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463F1D9E">
            <w:pPr>
              <w:spacing w:line="276" w:lineRule="auto"/>
              <w:jc w:val="center"/>
              <w:rPr>
                <w:rFonts w:hint="eastAsia" w:ascii="宋体" w:hAnsi="宋体" w:cs="宋体"/>
                <w:bCs/>
                <w:color w:val="000000"/>
                <w:szCs w:val="21"/>
              </w:rPr>
            </w:pPr>
          </w:p>
        </w:tc>
        <w:tc>
          <w:tcPr>
            <w:tcW w:w="1319" w:type="dxa"/>
            <w:vMerge w:val="continue"/>
            <w:vAlign w:val="center"/>
          </w:tcPr>
          <w:p w14:paraId="20C85558">
            <w:pPr>
              <w:widowControl/>
              <w:spacing w:line="276" w:lineRule="auto"/>
              <w:jc w:val="center"/>
              <w:rPr>
                <w:rFonts w:hint="eastAsia" w:ascii="宋体" w:hAnsi="宋体" w:cs="宋体"/>
                <w:b/>
                <w:color w:val="000000"/>
                <w:szCs w:val="21"/>
              </w:rPr>
            </w:pPr>
          </w:p>
        </w:tc>
        <w:tc>
          <w:tcPr>
            <w:tcW w:w="1483" w:type="dxa"/>
            <w:vMerge w:val="continue"/>
            <w:vAlign w:val="center"/>
          </w:tcPr>
          <w:p w14:paraId="7FA345CC">
            <w:pPr>
              <w:spacing w:line="276" w:lineRule="auto"/>
              <w:jc w:val="left"/>
              <w:rPr>
                <w:rFonts w:hint="eastAsia" w:ascii="宋体" w:hAnsi="宋体"/>
                <w:szCs w:val="21"/>
              </w:rPr>
            </w:pPr>
          </w:p>
        </w:tc>
        <w:tc>
          <w:tcPr>
            <w:tcW w:w="5353" w:type="dxa"/>
            <w:vAlign w:val="center"/>
          </w:tcPr>
          <w:p w14:paraId="161897EA">
            <w:pPr>
              <w:spacing w:line="276" w:lineRule="auto"/>
              <w:jc w:val="left"/>
              <w:rPr>
                <w:rFonts w:hint="eastAsia" w:ascii="宋体" w:hAnsi="宋体" w:cs="宋体"/>
                <w:color w:val="000000"/>
                <w:kern w:val="0"/>
                <w:szCs w:val="21"/>
              </w:rPr>
            </w:pPr>
            <w:r>
              <w:rPr>
                <w:rFonts w:hint="eastAsia" w:ascii="宋体" w:hAnsi="宋体"/>
                <w:szCs w:val="21"/>
              </w:rPr>
              <w:t>5.1.3登记清洗不合格等质量监测记录。</w:t>
            </w:r>
          </w:p>
        </w:tc>
      </w:tr>
      <w:tr w14:paraId="5539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32A53B6F">
            <w:pPr>
              <w:spacing w:line="276" w:lineRule="auto"/>
              <w:jc w:val="center"/>
              <w:rPr>
                <w:rFonts w:hint="eastAsia" w:ascii="宋体" w:hAnsi="宋体" w:cs="宋体"/>
                <w:bCs/>
                <w:color w:val="000000"/>
                <w:szCs w:val="21"/>
              </w:rPr>
            </w:pPr>
          </w:p>
        </w:tc>
        <w:tc>
          <w:tcPr>
            <w:tcW w:w="1319" w:type="dxa"/>
            <w:vMerge w:val="continue"/>
            <w:vAlign w:val="center"/>
          </w:tcPr>
          <w:p w14:paraId="0B8416AF">
            <w:pPr>
              <w:widowControl/>
              <w:spacing w:line="276" w:lineRule="auto"/>
              <w:jc w:val="center"/>
              <w:rPr>
                <w:rFonts w:hint="eastAsia" w:ascii="宋体" w:hAnsi="宋体" w:cs="宋体"/>
                <w:b/>
                <w:color w:val="000000"/>
                <w:szCs w:val="21"/>
              </w:rPr>
            </w:pPr>
          </w:p>
        </w:tc>
        <w:tc>
          <w:tcPr>
            <w:tcW w:w="1483" w:type="dxa"/>
            <w:vMerge w:val="continue"/>
            <w:vAlign w:val="center"/>
          </w:tcPr>
          <w:p w14:paraId="30E0A79B">
            <w:pPr>
              <w:spacing w:line="276" w:lineRule="auto"/>
              <w:jc w:val="left"/>
              <w:rPr>
                <w:rFonts w:hint="eastAsia" w:ascii="宋体" w:hAnsi="宋体"/>
                <w:szCs w:val="21"/>
              </w:rPr>
            </w:pPr>
          </w:p>
        </w:tc>
        <w:tc>
          <w:tcPr>
            <w:tcW w:w="5353" w:type="dxa"/>
            <w:vAlign w:val="center"/>
          </w:tcPr>
          <w:p w14:paraId="3BD2A2F5">
            <w:pPr>
              <w:spacing w:line="276" w:lineRule="auto"/>
              <w:jc w:val="left"/>
              <w:rPr>
                <w:rFonts w:hint="eastAsia" w:ascii="宋体" w:hAnsi="宋体" w:cs="宋体"/>
                <w:color w:val="000000"/>
                <w:kern w:val="0"/>
                <w:szCs w:val="21"/>
              </w:rPr>
            </w:pPr>
            <w:r>
              <w:rPr>
                <w:rFonts w:hint="eastAsia" w:ascii="宋体" w:hAnsi="宋体"/>
                <w:szCs w:val="21"/>
              </w:rPr>
              <w:t>5.1.4用户完成装配后可以查看当天的历史装配记录，如果有标签损坏或者丢失可以通过该界面重新打印标签。</w:t>
            </w:r>
          </w:p>
        </w:tc>
      </w:tr>
      <w:tr w14:paraId="452F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72195CBC">
            <w:pPr>
              <w:spacing w:line="276" w:lineRule="auto"/>
              <w:jc w:val="center"/>
              <w:rPr>
                <w:rFonts w:hint="eastAsia" w:ascii="宋体" w:hAnsi="宋体" w:cs="宋体"/>
                <w:bCs/>
                <w:color w:val="000000"/>
                <w:szCs w:val="21"/>
              </w:rPr>
            </w:pPr>
          </w:p>
        </w:tc>
        <w:tc>
          <w:tcPr>
            <w:tcW w:w="1319" w:type="dxa"/>
            <w:vMerge w:val="continue"/>
            <w:vAlign w:val="center"/>
          </w:tcPr>
          <w:p w14:paraId="06C4AF22">
            <w:pPr>
              <w:widowControl/>
              <w:spacing w:line="276" w:lineRule="auto"/>
              <w:jc w:val="center"/>
              <w:rPr>
                <w:rFonts w:hint="eastAsia" w:ascii="宋体" w:hAnsi="宋体" w:cs="宋体"/>
                <w:b/>
                <w:color w:val="000000"/>
                <w:szCs w:val="21"/>
              </w:rPr>
            </w:pPr>
          </w:p>
        </w:tc>
        <w:tc>
          <w:tcPr>
            <w:tcW w:w="1483" w:type="dxa"/>
            <w:vMerge w:val="continue"/>
            <w:vAlign w:val="center"/>
          </w:tcPr>
          <w:p w14:paraId="0D7041A7">
            <w:pPr>
              <w:spacing w:line="276" w:lineRule="auto"/>
              <w:jc w:val="left"/>
              <w:rPr>
                <w:rFonts w:hint="eastAsia" w:ascii="宋体" w:hAnsi="宋体"/>
                <w:szCs w:val="21"/>
              </w:rPr>
            </w:pPr>
          </w:p>
        </w:tc>
        <w:tc>
          <w:tcPr>
            <w:tcW w:w="5353" w:type="dxa"/>
            <w:vAlign w:val="center"/>
          </w:tcPr>
          <w:p w14:paraId="29FBDB50">
            <w:pPr>
              <w:spacing w:line="276" w:lineRule="auto"/>
              <w:jc w:val="left"/>
              <w:rPr>
                <w:rFonts w:hint="eastAsia" w:ascii="宋体" w:hAnsi="宋体" w:cs="宋体"/>
                <w:color w:val="000000"/>
                <w:kern w:val="0"/>
                <w:szCs w:val="21"/>
              </w:rPr>
            </w:pPr>
            <w:r>
              <w:rPr>
                <w:rFonts w:hint="eastAsia" w:ascii="宋体" w:hAnsi="宋体"/>
                <w:szCs w:val="21"/>
              </w:rPr>
              <w:t>5.1.5可查看待装配的器械包的来源科室、回收时间、清洗机、清洗时间、清洗责任人等信息。</w:t>
            </w:r>
          </w:p>
        </w:tc>
      </w:tr>
      <w:tr w14:paraId="1149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3A5DC5CB">
            <w:pPr>
              <w:spacing w:line="276" w:lineRule="auto"/>
              <w:jc w:val="center"/>
              <w:rPr>
                <w:rFonts w:hint="eastAsia" w:ascii="宋体" w:hAnsi="宋体" w:cs="宋体"/>
                <w:bCs/>
                <w:color w:val="000000"/>
                <w:szCs w:val="21"/>
              </w:rPr>
            </w:pPr>
          </w:p>
        </w:tc>
        <w:tc>
          <w:tcPr>
            <w:tcW w:w="1319" w:type="dxa"/>
            <w:vMerge w:val="continue"/>
            <w:vAlign w:val="center"/>
          </w:tcPr>
          <w:p w14:paraId="4DA5CD3C">
            <w:pPr>
              <w:widowControl/>
              <w:spacing w:line="276" w:lineRule="auto"/>
              <w:jc w:val="center"/>
              <w:rPr>
                <w:rFonts w:hint="eastAsia" w:ascii="宋体" w:hAnsi="宋体" w:cs="宋体"/>
                <w:b/>
                <w:color w:val="000000"/>
                <w:szCs w:val="21"/>
              </w:rPr>
            </w:pPr>
          </w:p>
        </w:tc>
        <w:tc>
          <w:tcPr>
            <w:tcW w:w="1483" w:type="dxa"/>
            <w:vMerge w:val="continue"/>
            <w:vAlign w:val="center"/>
          </w:tcPr>
          <w:p w14:paraId="73755825">
            <w:pPr>
              <w:spacing w:line="276" w:lineRule="auto"/>
              <w:jc w:val="left"/>
              <w:rPr>
                <w:rFonts w:hint="eastAsia" w:ascii="宋体" w:hAnsi="宋体"/>
                <w:szCs w:val="21"/>
              </w:rPr>
            </w:pPr>
          </w:p>
        </w:tc>
        <w:tc>
          <w:tcPr>
            <w:tcW w:w="5353" w:type="dxa"/>
            <w:vAlign w:val="center"/>
          </w:tcPr>
          <w:p w14:paraId="00C7DA19">
            <w:pPr>
              <w:spacing w:line="276" w:lineRule="auto"/>
              <w:jc w:val="left"/>
              <w:rPr>
                <w:rFonts w:hint="eastAsia" w:ascii="宋体" w:hAnsi="宋体" w:cs="宋体"/>
                <w:color w:val="000000"/>
                <w:kern w:val="0"/>
                <w:szCs w:val="21"/>
              </w:rPr>
            </w:pPr>
            <w:r>
              <w:rPr>
                <w:rFonts w:hint="eastAsia" w:ascii="宋体" w:hAnsi="宋体"/>
                <w:szCs w:val="21"/>
              </w:rPr>
              <w:t>5.1.6系统支持丢失、报废器械的补充功能，补充时自动扣减器械材料库存。</w:t>
            </w:r>
          </w:p>
        </w:tc>
      </w:tr>
      <w:tr w14:paraId="357F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6E0FB990">
            <w:pPr>
              <w:spacing w:line="276" w:lineRule="auto"/>
              <w:jc w:val="center"/>
              <w:rPr>
                <w:rFonts w:hint="eastAsia" w:ascii="宋体" w:hAnsi="宋体" w:cs="宋体"/>
                <w:bCs/>
                <w:color w:val="000000"/>
                <w:szCs w:val="21"/>
              </w:rPr>
            </w:pPr>
          </w:p>
        </w:tc>
        <w:tc>
          <w:tcPr>
            <w:tcW w:w="1319" w:type="dxa"/>
            <w:vMerge w:val="continue"/>
            <w:vAlign w:val="center"/>
          </w:tcPr>
          <w:p w14:paraId="033A1045">
            <w:pPr>
              <w:widowControl/>
              <w:spacing w:line="276" w:lineRule="auto"/>
              <w:jc w:val="center"/>
              <w:rPr>
                <w:rFonts w:hint="eastAsia" w:ascii="宋体" w:hAnsi="宋体" w:cs="宋体"/>
                <w:b/>
                <w:color w:val="000000"/>
                <w:szCs w:val="21"/>
              </w:rPr>
            </w:pPr>
          </w:p>
        </w:tc>
        <w:tc>
          <w:tcPr>
            <w:tcW w:w="1483" w:type="dxa"/>
            <w:vMerge w:val="continue"/>
            <w:vAlign w:val="center"/>
          </w:tcPr>
          <w:p w14:paraId="4144C0C0">
            <w:pPr>
              <w:spacing w:line="276" w:lineRule="auto"/>
              <w:jc w:val="left"/>
              <w:rPr>
                <w:rFonts w:hint="eastAsia" w:ascii="宋体" w:hAnsi="宋体"/>
                <w:szCs w:val="21"/>
              </w:rPr>
            </w:pPr>
          </w:p>
        </w:tc>
        <w:tc>
          <w:tcPr>
            <w:tcW w:w="5353" w:type="dxa"/>
            <w:vAlign w:val="center"/>
          </w:tcPr>
          <w:p w14:paraId="4908FFDA">
            <w:pPr>
              <w:spacing w:line="276" w:lineRule="auto"/>
              <w:jc w:val="left"/>
              <w:rPr>
                <w:rFonts w:hint="eastAsia" w:ascii="宋体" w:hAnsi="宋体"/>
                <w:szCs w:val="21"/>
              </w:rPr>
            </w:pPr>
            <w:r>
              <w:rPr>
                <w:rFonts w:hint="eastAsia" w:ascii="宋体" w:hAnsi="宋体"/>
                <w:szCs w:val="21"/>
                <w:lang w:bidi="en-US"/>
              </w:rPr>
              <w:t>▲</w:t>
            </w:r>
            <w:r>
              <w:rPr>
                <w:rFonts w:hint="eastAsia" w:ascii="宋体" w:hAnsi="宋体"/>
                <w:szCs w:val="21"/>
              </w:rPr>
              <w:t>5.1.7支持口腔器械的聚合装配功能。回收的不同种类的器械，可根据实际情况，由用户自定义聚合装配成一个器械包。每次聚合材料的种类和数量都可以不同。</w:t>
            </w:r>
          </w:p>
        </w:tc>
      </w:tr>
      <w:tr w14:paraId="1C4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42305B7B">
            <w:pPr>
              <w:spacing w:line="276" w:lineRule="auto"/>
              <w:jc w:val="center"/>
              <w:rPr>
                <w:rFonts w:hint="eastAsia" w:ascii="宋体" w:hAnsi="宋体" w:cs="宋体"/>
                <w:bCs/>
                <w:color w:val="000000"/>
                <w:szCs w:val="21"/>
              </w:rPr>
            </w:pPr>
          </w:p>
        </w:tc>
        <w:tc>
          <w:tcPr>
            <w:tcW w:w="1319" w:type="dxa"/>
            <w:vMerge w:val="continue"/>
            <w:vAlign w:val="center"/>
          </w:tcPr>
          <w:p w14:paraId="50D3C6F5">
            <w:pPr>
              <w:widowControl/>
              <w:spacing w:line="276" w:lineRule="auto"/>
              <w:jc w:val="center"/>
              <w:rPr>
                <w:rFonts w:hint="eastAsia" w:ascii="宋体" w:hAnsi="宋体" w:cs="宋体"/>
                <w:b/>
                <w:color w:val="000000"/>
                <w:szCs w:val="21"/>
              </w:rPr>
            </w:pPr>
          </w:p>
        </w:tc>
        <w:tc>
          <w:tcPr>
            <w:tcW w:w="1483" w:type="dxa"/>
            <w:vMerge w:val="restart"/>
            <w:vAlign w:val="center"/>
          </w:tcPr>
          <w:p w14:paraId="117D633A">
            <w:pPr>
              <w:spacing w:line="276" w:lineRule="auto"/>
              <w:jc w:val="left"/>
              <w:rPr>
                <w:rFonts w:hint="eastAsia" w:ascii="宋体" w:hAnsi="宋体"/>
                <w:szCs w:val="21"/>
              </w:rPr>
            </w:pPr>
            <w:r>
              <w:rPr>
                <w:rFonts w:hint="eastAsia" w:ascii="宋体" w:hAnsi="宋体"/>
                <w:szCs w:val="21"/>
              </w:rPr>
              <w:t>5.2自定义装配</w:t>
            </w:r>
          </w:p>
        </w:tc>
        <w:tc>
          <w:tcPr>
            <w:tcW w:w="5353" w:type="dxa"/>
            <w:vAlign w:val="center"/>
          </w:tcPr>
          <w:p w14:paraId="18CA486D">
            <w:pPr>
              <w:spacing w:line="276" w:lineRule="auto"/>
              <w:jc w:val="left"/>
              <w:rPr>
                <w:rFonts w:hint="eastAsia" w:ascii="宋体" w:hAnsi="宋体" w:cs="宋体"/>
                <w:color w:val="000000"/>
                <w:kern w:val="0"/>
                <w:szCs w:val="21"/>
              </w:rPr>
            </w:pPr>
            <w:r>
              <w:rPr>
                <w:rFonts w:hint="eastAsia" w:ascii="宋体" w:hAnsi="宋体"/>
                <w:szCs w:val="21"/>
              </w:rPr>
              <w:t>5.2.1自定义装配器械包，针对特殊情况或增加供应室基数的情况，可以自选包名称进行装配并打印标签。</w:t>
            </w:r>
          </w:p>
        </w:tc>
      </w:tr>
      <w:tr w14:paraId="0C69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72BA1701">
            <w:pPr>
              <w:spacing w:line="276" w:lineRule="auto"/>
              <w:jc w:val="center"/>
              <w:rPr>
                <w:rFonts w:hint="eastAsia" w:ascii="宋体" w:hAnsi="宋体" w:cs="宋体"/>
                <w:bCs/>
                <w:color w:val="000000"/>
                <w:szCs w:val="21"/>
              </w:rPr>
            </w:pPr>
          </w:p>
        </w:tc>
        <w:tc>
          <w:tcPr>
            <w:tcW w:w="1319" w:type="dxa"/>
            <w:vMerge w:val="continue"/>
            <w:vAlign w:val="center"/>
          </w:tcPr>
          <w:p w14:paraId="7A8EBACA">
            <w:pPr>
              <w:widowControl/>
              <w:spacing w:line="276" w:lineRule="auto"/>
              <w:jc w:val="center"/>
              <w:rPr>
                <w:rFonts w:hint="eastAsia" w:ascii="宋体" w:hAnsi="宋体" w:cs="宋体"/>
                <w:b/>
                <w:color w:val="000000"/>
                <w:szCs w:val="21"/>
              </w:rPr>
            </w:pPr>
          </w:p>
        </w:tc>
        <w:tc>
          <w:tcPr>
            <w:tcW w:w="1483" w:type="dxa"/>
            <w:vMerge w:val="continue"/>
            <w:vAlign w:val="center"/>
          </w:tcPr>
          <w:p w14:paraId="4E34BFE1">
            <w:pPr>
              <w:spacing w:line="276" w:lineRule="auto"/>
              <w:jc w:val="left"/>
              <w:rPr>
                <w:rFonts w:hint="eastAsia" w:ascii="宋体" w:hAnsi="宋体"/>
                <w:szCs w:val="21"/>
              </w:rPr>
            </w:pPr>
          </w:p>
        </w:tc>
        <w:tc>
          <w:tcPr>
            <w:tcW w:w="5353" w:type="dxa"/>
            <w:vAlign w:val="center"/>
          </w:tcPr>
          <w:p w14:paraId="07F7B76F">
            <w:pPr>
              <w:spacing w:line="276" w:lineRule="auto"/>
              <w:jc w:val="left"/>
              <w:rPr>
                <w:rFonts w:hint="eastAsia" w:ascii="宋体" w:hAnsi="宋体" w:cs="宋体"/>
                <w:color w:val="000000"/>
                <w:kern w:val="0"/>
                <w:szCs w:val="21"/>
              </w:rPr>
            </w:pPr>
            <w:r>
              <w:rPr>
                <w:rFonts w:hint="eastAsia" w:ascii="宋体" w:hAnsi="宋体"/>
                <w:szCs w:val="21"/>
              </w:rPr>
              <w:t>5.2.2查询当日装配记录。</w:t>
            </w:r>
          </w:p>
        </w:tc>
      </w:tr>
      <w:tr w14:paraId="79C8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00D8E1EE">
            <w:pPr>
              <w:spacing w:line="276" w:lineRule="auto"/>
              <w:jc w:val="center"/>
              <w:rPr>
                <w:rFonts w:hint="eastAsia" w:ascii="宋体" w:hAnsi="宋体" w:cs="宋体"/>
                <w:bCs/>
                <w:color w:val="000000"/>
                <w:szCs w:val="21"/>
              </w:rPr>
            </w:pPr>
          </w:p>
        </w:tc>
        <w:tc>
          <w:tcPr>
            <w:tcW w:w="1319" w:type="dxa"/>
            <w:vMerge w:val="continue"/>
            <w:vAlign w:val="center"/>
          </w:tcPr>
          <w:p w14:paraId="00DEB459">
            <w:pPr>
              <w:widowControl/>
              <w:spacing w:line="276" w:lineRule="auto"/>
              <w:jc w:val="center"/>
              <w:rPr>
                <w:rFonts w:hint="eastAsia" w:ascii="宋体" w:hAnsi="宋体" w:cs="宋体"/>
                <w:b/>
                <w:color w:val="000000"/>
                <w:szCs w:val="21"/>
              </w:rPr>
            </w:pPr>
          </w:p>
        </w:tc>
        <w:tc>
          <w:tcPr>
            <w:tcW w:w="1483" w:type="dxa"/>
            <w:vMerge w:val="restart"/>
            <w:vAlign w:val="center"/>
          </w:tcPr>
          <w:p w14:paraId="1F9477D1">
            <w:pPr>
              <w:spacing w:line="276" w:lineRule="auto"/>
              <w:jc w:val="left"/>
              <w:rPr>
                <w:rFonts w:hint="eastAsia" w:ascii="宋体" w:hAnsi="宋体"/>
                <w:szCs w:val="21"/>
              </w:rPr>
            </w:pPr>
            <w:r>
              <w:rPr>
                <w:rFonts w:hint="eastAsia" w:ascii="宋体" w:hAnsi="宋体"/>
                <w:szCs w:val="21"/>
              </w:rPr>
              <w:t>5.3标签模板设计与打印</w:t>
            </w:r>
          </w:p>
        </w:tc>
        <w:tc>
          <w:tcPr>
            <w:tcW w:w="5353" w:type="dxa"/>
            <w:vAlign w:val="center"/>
          </w:tcPr>
          <w:p w14:paraId="0355115D">
            <w:pPr>
              <w:spacing w:line="276" w:lineRule="auto"/>
              <w:jc w:val="left"/>
              <w:rPr>
                <w:rFonts w:hint="eastAsia" w:ascii="宋体" w:hAnsi="宋体" w:cs="宋体"/>
                <w:color w:val="000000"/>
                <w:kern w:val="0"/>
                <w:szCs w:val="21"/>
              </w:rPr>
            </w:pPr>
            <w:r>
              <w:rPr>
                <w:rFonts w:hint="eastAsia" w:ascii="宋体" w:hAnsi="宋体"/>
                <w:szCs w:val="21"/>
              </w:rPr>
              <w:t>5.3.1支持可视化标签模板设计功能，用户可通过页面标签设计工具箱，采用所见即所得的方式，自行设计无菌物品包外标签所打印的信息和格式。</w:t>
            </w:r>
          </w:p>
        </w:tc>
      </w:tr>
      <w:tr w14:paraId="7F33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2CF8931F">
            <w:pPr>
              <w:spacing w:line="276" w:lineRule="auto"/>
              <w:jc w:val="center"/>
              <w:rPr>
                <w:rFonts w:hint="eastAsia" w:ascii="宋体" w:hAnsi="宋体" w:cs="宋体"/>
                <w:bCs/>
                <w:color w:val="000000"/>
                <w:szCs w:val="21"/>
              </w:rPr>
            </w:pPr>
          </w:p>
        </w:tc>
        <w:tc>
          <w:tcPr>
            <w:tcW w:w="1319" w:type="dxa"/>
            <w:vMerge w:val="continue"/>
            <w:vAlign w:val="center"/>
          </w:tcPr>
          <w:p w14:paraId="3C5CD75B">
            <w:pPr>
              <w:widowControl/>
              <w:spacing w:line="276" w:lineRule="auto"/>
              <w:jc w:val="center"/>
              <w:rPr>
                <w:rFonts w:hint="eastAsia" w:ascii="宋体" w:hAnsi="宋体" w:cs="宋体"/>
                <w:b/>
                <w:color w:val="000000"/>
                <w:szCs w:val="21"/>
              </w:rPr>
            </w:pPr>
          </w:p>
        </w:tc>
        <w:tc>
          <w:tcPr>
            <w:tcW w:w="1483" w:type="dxa"/>
            <w:vMerge w:val="continue"/>
            <w:vAlign w:val="center"/>
          </w:tcPr>
          <w:p w14:paraId="67B2FBDF">
            <w:pPr>
              <w:spacing w:line="276" w:lineRule="auto"/>
              <w:jc w:val="left"/>
              <w:rPr>
                <w:rFonts w:hint="eastAsia" w:ascii="宋体" w:hAnsi="宋体"/>
                <w:szCs w:val="21"/>
              </w:rPr>
            </w:pPr>
          </w:p>
        </w:tc>
        <w:tc>
          <w:tcPr>
            <w:tcW w:w="5353" w:type="dxa"/>
            <w:vAlign w:val="center"/>
          </w:tcPr>
          <w:p w14:paraId="6124A41A">
            <w:pPr>
              <w:spacing w:line="276" w:lineRule="auto"/>
              <w:jc w:val="left"/>
              <w:rPr>
                <w:rFonts w:hint="eastAsia" w:ascii="宋体" w:hAnsi="宋体" w:cs="宋体"/>
                <w:color w:val="000000"/>
                <w:kern w:val="0"/>
                <w:szCs w:val="21"/>
              </w:rPr>
            </w:pPr>
            <w:r>
              <w:rPr>
                <w:rFonts w:hint="eastAsia" w:ascii="宋体" w:hAnsi="宋体"/>
                <w:szCs w:val="21"/>
              </w:rPr>
              <w:t>5.3.2支持为不同规格的标签设计不同的标签模板。可配置的标签打印的内容可包括：物品名称、配包者、审核者、灭菌日期、失效日期、器械包唯一标识条码、包装类型、灭菌方式、灭菌程序等信息。</w:t>
            </w:r>
          </w:p>
        </w:tc>
      </w:tr>
      <w:tr w14:paraId="2761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05C438B3">
            <w:pPr>
              <w:spacing w:line="276" w:lineRule="auto"/>
              <w:jc w:val="center"/>
              <w:rPr>
                <w:rFonts w:hint="eastAsia" w:ascii="宋体" w:hAnsi="宋体" w:cs="宋体"/>
                <w:bCs/>
                <w:color w:val="000000"/>
                <w:szCs w:val="21"/>
              </w:rPr>
            </w:pPr>
          </w:p>
        </w:tc>
        <w:tc>
          <w:tcPr>
            <w:tcW w:w="1319" w:type="dxa"/>
            <w:vMerge w:val="continue"/>
            <w:vAlign w:val="center"/>
          </w:tcPr>
          <w:p w14:paraId="2DDE368A">
            <w:pPr>
              <w:widowControl/>
              <w:spacing w:line="276" w:lineRule="auto"/>
              <w:jc w:val="center"/>
              <w:rPr>
                <w:rFonts w:hint="eastAsia" w:ascii="宋体" w:hAnsi="宋体" w:cs="宋体"/>
                <w:b/>
                <w:color w:val="000000"/>
                <w:szCs w:val="21"/>
              </w:rPr>
            </w:pPr>
          </w:p>
        </w:tc>
        <w:tc>
          <w:tcPr>
            <w:tcW w:w="1483" w:type="dxa"/>
            <w:vMerge w:val="continue"/>
            <w:vAlign w:val="center"/>
          </w:tcPr>
          <w:p w14:paraId="76DEF915">
            <w:pPr>
              <w:spacing w:line="276" w:lineRule="auto"/>
              <w:jc w:val="left"/>
              <w:rPr>
                <w:rFonts w:hint="eastAsia" w:ascii="宋体" w:hAnsi="宋体"/>
                <w:szCs w:val="21"/>
              </w:rPr>
            </w:pPr>
          </w:p>
        </w:tc>
        <w:tc>
          <w:tcPr>
            <w:tcW w:w="5353" w:type="dxa"/>
            <w:vAlign w:val="center"/>
          </w:tcPr>
          <w:p w14:paraId="649DCC2A">
            <w:pPr>
              <w:spacing w:line="276" w:lineRule="auto"/>
              <w:jc w:val="left"/>
              <w:rPr>
                <w:rFonts w:hint="eastAsia" w:ascii="宋体" w:hAnsi="宋体" w:cs="宋体"/>
                <w:color w:val="000000"/>
                <w:kern w:val="0"/>
                <w:szCs w:val="21"/>
              </w:rPr>
            </w:pPr>
            <w:r>
              <w:rPr>
                <w:rFonts w:hint="eastAsia" w:ascii="宋体" w:hAnsi="宋体"/>
                <w:szCs w:val="21"/>
              </w:rPr>
              <w:t>5.3.3支持标签输出打印机设置，在一台电脑连接多台打印机的情况下，可设置不同规格的标签对应输出的打印机。</w:t>
            </w:r>
          </w:p>
        </w:tc>
      </w:tr>
      <w:tr w14:paraId="2931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0A793FB3">
            <w:pPr>
              <w:spacing w:line="276" w:lineRule="auto"/>
              <w:jc w:val="center"/>
              <w:rPr>
                <w:rFonts w:hint="eastAsia" w:ascii="宋体" w:hAnsi="宋体" w:cs="宋体"/>
                <w:bCs/>
                <w:color w:val="000000"/>
                <w:szCs w:val="21"/>
              </w:rPr>
            </w:pPr>
          </w:p>
        </w:tc>
        <w:tc>
          <w:tcPr>
            <w:tcW w:w="1319" w:type="dxa"/>
            <w:vMerge w:val="continue"/>
            <w:vAlign w:val="center"/>
          </w:tcPr>
          <w:p w14:paraId="4E9B2DB8">
            <w:pPr>
              <w:widowControl/>
              <w:spacing w:line="276" w:lineRule="auto"/>
              <w:jc w:val="center"/>
              <w:rPr>
                <w:rFonts w:hint="eastAsia" w:ascii="宋体" w:hAnsi="宋体" w:cs="宋体"/>
                <w:b/>
                <w:color w:val="000000"/>
                <w:szCs w:val="21"/>
              </w:rPr>
            </w:pPr>
          </w:p>
        </w:tc>
        <w:tc>
          <w:tcPr>
            <w:tcW w:w="1483" w:type="dxa"/>
            <w:vMerge w:val="restart"/>
            <w:vAlign w:val="center"/>
          </w:tcPr>
          <w:p w14:paraId="22C9A0C0">
            <w:pPr>
              <w:spacing w:line="276" w:lineRule="auto"/>
              <w:jc w:val="left"/>
              <w:rPr>
                <w:rFonts w:hint="eastAsia" w:ascii="宋体" w:hAnsi="宋体"/>
                <w:szCs w:val="21"/>
              </w:rPr>
            </w:pPr>
            <w:r>
              <w:rPr>
                <w:rFonts w:hint="eastAsia" w:ascii="宋体" w:hAnsi="宋体"/>
                <w:szCs w:val="21"/>
              </w:rPr>
              <w:t>5.4教学图片、教学视频</w:t>
            </w:r>
          </w:p>
        </w:tc>
        <w:tc>
          <w:tcPr>
            <w:tcW w:w="5353" w:type="dxa"/>
            <w:vAlign w:val="center"/>
          </w:tcPr>
          <w:p w14:paraId="7EE8CA70">
            <w:pPr>
              <w:spacing w:line="276" w:lineRule="auto"/>
              <w:jc w:val="left"/>
              <w:rPr>
                <w:rFonts w:hint="eastAsia" w:ascii="宋体" w:hAnsi="宋体" w:cs="宋体"/>
                <w:color w:val="000000"/>
                <w:kern w:val="0"/>
                <w:szCs w:val="21"/>
              </w:rPr>
            </w:pPr>
            <w:r>
              <w:rPr>
                <w:rFonts w:hint="eastAsia" w:ascii="宋体" w:hAnsi="宋体"/>
                <w:szCs w:val="21"/>
              </w:rPr>
              <w:t>5.4.1教学图片、教学视频资料维护。</w:t>
            </w:r>
          </w:p>
        </w:tc>
      </w:tr>
      <w:tr w14:paraId="4E3A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29157E5B">
            <w:pPr>
              <w:spacing w:line="276" w:lineRule="auto"/>
              <w:jc w:val="center"/>
              <w:rPr>
                <w:rFonts w:hint="eastAsia" w:ascii="宋体" w:hAnsi="宋体" w:cs="宋体"/>
                <w:bCs/>
                <w:color w:val="000000"/>
                <w:szCs w:val="21"/>
              </w:rPr>
            </w:pPr>
          </w:p>
        </w:tc>
        <w:tc>
          <w:tcPr>
            <w:tcW w:w="1319" w:type="dxa"/>
            <w:vMerge w:val="continue"/>
            <w:vAlign w:val="center"/>
          </w:tcPr>
          <w:p w14:paraId="3F9176E0">
            <w:pPr>
              <w:widowControl/>
              <w:spacing w:line="276" w:lineRule="auto"/>
              <w:jc w:val="center"/>
              <w:rPr>
                <w:rFonts w:hint="eastAsia" w:ascii="宋体" w:hAnsi="宋体" w:cs="宋体"/>
                <w:b/>
                <w:color w:val="000000"/>
                <w:szCs w:val="21"/>
              </w:rPr>
            </w:pPr>
          </w:p>
        </w:tc>
        <w:tc>
          <w:tcPr>
            <w:tcW w:w="1483" w:type="dxa"/>
            <w:vMerge w:val="continue"/>
            <w:vAlign w:val="center"/>
          </w:tcPr>
          <w:p w14:paraId="23D808C1">
            <w:pPr>
              <w:spacing w:line="276" w:lineRule="auto"/>
              <w:jc w:val="left"/>
              <w:rPr>
                <w:rFonts w:hint="eastAsia" w:ascii="宋体" w:hAnsi="宋体"/>
                <w:szCs w:val="21"/>
              </w:rPr>
            </w:pPr>
          </w:p>
        </w:tc>
        <w:tc>
          <w:tcPr>
            <w:tcW w:w="5353" w:type="dxa"/>
            <w:vAlign w:val="center"/>
          </w:tcPr>
          <w:p w14:paraId="6D10029F">
            <w:pPr>
              <w:spacing w:line="276" w:lineRule="auto"/>
              <w:jc w:val="left"/>
              <w:rPr>
                <w:rFonts w:hint="eastAsia" w:ascii="宋体" w:hAnsi="宋体" w:cs="宋体"/>
                <w:color w:val="000000"/>
                <w:kern w:val="0"/>
                <w:szCs w:val="21"/>
              </w:rPr>
            </w:pPr>
            <w:r>
              <w:rPr>
                <w:rFonts w:hint="eastAsia" w:ascii="宋体" w:hAnsi="宋体"/>
                <w:szCs w:val="21"/>
              </w:rPr>
              <w:t>5.4.2教学图片、教学视频模块，新的器械包或者不熟悉的器械包配包时可通过教学图片、教学视频快速了解器械包装配流程和特殊部位、注意事项等。</w:t>
            </w:r>
          </w:p>
        </w:tc>
      </w:tr>
      <w:tr w14:paraId="2624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restart"/>
            <w:vAlign w:val="center"/>
          </w:tcPr>
          <w:p w14:paraId="346AB512">
            <w:pPr>
              <w:spacing w:line="276" w:lineRule="auto"/>
              <w:jc w:val="center"/>
              <w:rPr>
                <w:rFonts w:hint="eastAsia" w:ascii="宋体" w:hAnsi="宋体" w:cs="宋体"/>
                <w:bCs/>
                <w:color w:val="000000"/>
                <w:szCs w:val="21"/>
              </w:rPr>
            </w:pPr>
            <w:r>
              <w:rPr>
                <w:rFonts w:hint="eastAsia" w:ascii="宋体" w:hAnsi="宋体" w:cs="宋体"/>
                <w:bCs/>
                <w:color w:val="000000"/>
                <w:szCs w:val="21"/>
              </w:rPr>
              <w:t>6</w:t>
            </w:r>
          </w:p>
        </w:tc>
        <w:tc>
          <w:tcPr>
            <w:tcW w:w="1319" w:type="dxa"/>
            <w:vMerge w:val="restart"/>
            <w:vAlign w:val="center"/>
          </w:tcPr>
          <w:p w14:paraId="49B49CCB">
            <w:pPr>
              <w:widowControl/>
              <w:spacing w:line="276" w:lineRule="auto"/>
              <w:jc w:val="center"/>
              <w:rPr>
                <w:rFonts w:hint="eastAsia" w:ascii="宋体" w:hAnsi="宋体" w:cs="宋体"/>
                <w:b/>
                <w:color w:val="000000"/>
                <w:szCs w:val="21"/>
              </w:rPr>
            </w:pPr>
            <w:r>
              <w:rPr>
                <w:rFonts w:hint="eastAsia" w:ascii="宋体" w:hAnsi="宋体"/>
                <w:szCs w:val="21"/>
              </w:rPr>
              <w:t>审核打包</w:t>
            </w:r>
          </w:p>
        </w:tc>
        <w:tc>
          <w:tcPr>
            <w:tcW w:w="1483" w:type="dxa"/>
            <w:vMerge w:val="restart"/>
            <w:vAlign w:val="center"/>
          </w:tcPr>
          <w:p w14:paraId="264AFC94">
            <w:pPr>
              <w:spacing w:line="276" w:lineRule="auto"/>
              <w:jc w:val="left"/>
              <w:rPr>
                <w:rFonts w:hint="eastAsia" w:ascii="宋体" w:hAnsi="宋体"/>
                <w:szCs w:val="21"/>
              </w:rPr>
            </w:pPr>
            <w:r>
              <w:rPr>
                <w:rFonts w:hint="eastAsia" w:ascii="宋体" w:hAnsi="宋体"/>
                <w:szCs w:val="21"/>
              </w:rPr>
              <w:t>6.1审核任务</w:t>
            </w:r>
          </w:p>
        </w:tc>
        <w:tc>
          <w:tcPr>
            <w:tcW w:w="5353" w:type="dxa"/>
            <w:vAlign w:val="center"/>
          </w:tcPr>
          <w:p w14:paraId="203DBFEB">
            <w:pPr>
              <w:spacing w:line="276" w:lineRule="auto"/>
              <w:jc w:val="left"/>
              <w:rPr>
                <w:rFonts w:hint="eastAsia" w:ascii="宋体" w:hAnsi="宋体" w:cs="宋体"/>
                <w:color w:val="000000"/>
                <w:kern w:val="0"/>
                <w:szCs w:val="21"/>
              </w:rPr>
            </w:pPr>
            <w:r>
              <w:rPr>
                <w:rFonts w:hint="eastAsia" w:ascii="宋体" w:hAnsi="宋体"/>
                <w:szCs w:val="21"/>
              </w:rPr>
              <w:t>6.1.1已装配的器械包进行审核。支持审核任务分组功能，不同分组的器械包分开显示。负责对应分组的用户登录，只看到自己负责的审核任务。</w:t>
            </w:r>
          </w:p>
        </w:tc>
      </w:tr>
      <w:tr w14:paraId="0413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01E9B9D8">
            <w:pPr>
              <w:spacing w:line="276" w:lineRule="auto"/>
              <w:jc w:val="center"/>
              <w:rPr>
                <w:rFonts w:hint="eastAsia" w:ascii="宋体" w:hAnsi="宋体" w:cs="宋体"/>
                <w:bCs/>
                <w:color w:val="000000"/>
                <w:szCs w:val="21"/>
              </w:rPr>
            </w:pPr>
          </w:p>
        </w:tc>
        <w:tc>
          <w:tcPr>
            <w:tcW w:w="1319" w:type="dxa"/>
            <w:vMerge w:val="continue"/>
            <w:vAlign w:val="center"/>
          </w:tcPr>
          <w:p w14:paraId="3AA515FE">
            <w:pPr>
              <w:widowControl/>
              <w:spacing w:line="276" w:lineRule="auto"/>
              <w:jc w:val="center"/>
              <w:rPr>
                <w:rFonts w:hint="eastAsia" w:ascii="宋体" w:hAnsi="宋体" w:cs="宋体"/>
                <w:b/>
                <w:color w:val="000000"/>
                <w:szCs w:val="21"/>
              </w:rPr>
            </w:pPr>
          </w:p>
        </w:tc>
        <w:tc>
          <w:tcPr>
            <w:tcW w:w="1483" w:type="dxa"/>
            <w:vMerge w:val="continue"/>
            <w:vAlign w:val="center"/>
          </w:tcPr>
          <w:p w14:paraId="4F781AD7">
            <w:pPr>
              <w:spacing w:line="276" w:lineRule="auto"/>
              <w:jc w:val="left"/>
              <w:rPr>
                <w:rFonts w:hint="eastAsia" w:ascii="宋体" w:hAnsi="宋体"/>
                <w:szCs w:val="21"/>
              </w:rPr>
            </w:pPr>
          </w:p>
        </w:tc>
        <w:tc>
          <w:tcPr>
            <w:tcW w:w="5353" w:type="dxa"/>
            <w:vAlign w:val="center"/>
          </w:tcPr>
          <w:p w14:paraId="7E4FB9CC">
            <w:pPr>
              <w:spacing w:line="276" w:lineRule="auto"/>
              <w:jc w:val="left"/>
              <w:rPr>
                <w:rFonts w:hint="eastAsia" w:ascii="宋体" w:hAnsi="宋体" w:cs="宋体"/>
                <w:color w:val="000000"/>
                <w:kern w:val="0"/>
                <w:szCs w:val="21"/>
              </w:rPr>
            </w:pPr>
            <w:r>
              <w:rPr>
                <w:rFonts w:hint="eastAsia" w:ascii="宋体" w:hAnsi="宋体"/>
                <w:szCs w:val="21"/>
              </w:rPr>
              <w:t>6.1.2支持审核的同时自动将物品放入灭菌筐，优化后续步骤扫描。入筐时，不同灭菌方式的包不能进入同一筐，系统需进行拦截阻止并提示。</w:t>
            </w:r>
          </w:p>
        </w:tc>
      </w:tr>
      <w:tr w14:paraId="2E86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466BF38E">
            <w:pPr>
              <w:spacing w:line="276" w:lineRule="auto"/>
              <w:jc w:val="center"/>
              <w:rPr>
                <w:rFonts w:hint="eastAsia" w:ascii="宋体" w:hAnsi="宋体" w:cs="宋体"/>
                <w:bCs/>
                <w:color w:val="000000"/>
                <w:szCs w:val="21"/>
              </w:rPr>
            </w:pPr>
          </w:p>
        </w:tc>
        <w:tc>
          <w:tcPr>
            <w:tcW w:w="1319" w:type="dxa"/>
            <w:vMerge w:val="continue"/>
            <w:vAlign w:val="center"/>
          </w:tcPr>
          <w:p w14:paraId="22DB8152">
            <w:pPr>
              <w:widowControl/>
              <w:spacing w:line="276" w:lineRule="auto"/>
              <w:jc w:val="center"/>
              <w:rPr>
                <w:rFonts w:hint="eastAsia" w:ascii="宋体" w:hAnsi="宋体" w:cs="宋体"/>
                <w:b/>
                <w:color w:val="000000"/>
                <w:szCs w:val="21"/>
              </w:rPr>
            </w:pPr>
          </w:p>
        </w:tc>
        <w:tc>
          <w:tcPr>
            <w:tcW w:w="1483" w:type="dxa"/>
            <w:vMerge w:val="continue"/>
            <w:vAlign w:val="center"/>
          </w:tcPr>
          <w:p w14:paraId="701DC406">
            <w:pPr>
              <w:spacing w:line="276" w:lineRule="auto"/>
              <w:jc w:val="left"/>
              <w:rPr>
                <w:rFonts w:hint="eastAsia" w:ascii="宋体" w:hAnsi="宋体"/>
                <w:szCs w:val="21"/>
              </w:rPr>
            </w:pPr>
          </w:p>
        </w:tc>
        <w:tc>
          <w:tcPr>
            <w:tcW w:w="5353" w:type="dxa"/>
            <w:vAlign w:val="center"/>
          </w:tcPr>
          <w:p w14:paraId="37F968B4">
            <w:pPr>
              <w:spacing w:line="276" w:lineRule="auto"/>
              <w:jc w:val="left"/>
              <w:rPr>
                <w:rFonts w:hint="eastAsia" w:ascii="宋体" w:hAnsi="宋体" w:cs="宋体"/>
                <w:color w:val="000000"/>
                <w:kern w:val="0"/>
                <w:szCs w:val="21"/>
              </w:rPr>
            </w:pPr>
            <w:r>
              <w:rPr>
                <w:rFonts w:hint="eastAsia" w:ascii="宋体" w:hAnsi="宋体"/>
                <w:szCs w:val="21"/>
              </w:rPr>
              <w:t>6.1.3查询当日审核记录。</w:t>
            </w:r>
          </w:p>
        </w:tc>
      </w:tr>
      <w:tr w14:paraId="50D7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76C426DE">
            <w:pPr>
              <w:spacing w:line="276" w:lineRule="auto"/>
              <w:jc w:val="center"/>
              <w:rPr>
                <w:rFonts w:hint="eastAsia" w:ascii="宋体" w:hAnsi="宋体" w:cs="宋体"/>
                <w:bCs/>
                <w:color w:val="000000"/>
                <w:szCs w:val="21"/>
              </w:rPr>
            </w:pPr>
          </w:p>
        </w:tc>
        <w:tc>
          <w:tcPr>
            <w:tcW w:w="1319" w:type="dxa"/>
            <w:vMerge w:val="continue"/>
            <w:vAlign w:val="center"/>
          </w:tcPr>
          <w:p w14:paraId="7955DE56">
            <w:pPr>
              <w:widowControl/>
              <w:spacing w:line="276" w:lineRule="auto"/>
              <w:jc w:val="center"/>
              <w:rPr>
                <w:rFonts w:hint="eastAsia" w:ascii="宋体" w:hAnsi="宋体" w:cs="宋体"/>
                <w:b/>
                <w:color w:val="000000"/>
                <w:szCs w:val="21"/>
              </w:rPr>
            </w:pPr>
          </w:p>
        </w:tc>
        <w:tc>
          <w:tcPr>
            <w:tcW w:w="1483" w:type="dxa"/>
            <w:vMerge w:val="continue"/>
            <w:vAlign w:val="center"/>
          </w:tcPr>
          <w:p w14:paraId="19C12CCD">
            <w:pPr>
              <w:spacing w:line="276" w:lineRule="auto"/>
              <w:jc w:val="left"/>
              <w:rPr>
                <w:rFonts w:hint="eastAsia" w:ascii="宋体" w:hAnsi="宋体"/>
                <w:szCs w:val="21"/>
              </w:rPr>
            </w:pPr>
          </w:p>
        </w:tc>
        <w:tc>
          <w:tcPr>
            <w:tcW w:w="5353" w:type="dxa"/>
            <w:vAlign w:val="center"/>
          </w:tcPr>
          <w:p w14:paraId="0E517241">
            <w:pPr>
              <w:spacing w:line="276" w:lineRule="auto"/>
              <w:jc w:val="left"/>
              <w:rPr>
                <w:rFonts w:hint="eastAsia" w:ascii="宋体" w:hAnsi="宋体" w:cs="宋体"/>
                <w:color w:val="000000"/>
                <w:kern w:val="0"/>
                <w:szCs w:val="21"/>
              </w:rPr>
            </w:pPr>
            <w:r>
              <w:rPr>
                <w:rFonts w:hint="eastAsia" w:ascii="宋体" w:hAnsi="宋体"/>
                <w:szCs w:val="21"/>
              </w:rPr>
              <w:t>6.1.4审核任务列表双击器械包名称可以查看器械包图片。同时也可以查看器械包的材料清单，点击材料名称可以查看材料图片。</w:t>
            </w:r>
          </w:p>
        </w:tc>
      </w:tr>
      <w:tr w14:paraId="06A6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restart"/>
            <w:vAlign w:val="center"/>
          </w:tcPr>
          <w:p w14:paraId="125991C3">
            <w:pPr>
              <w:spacing w:line="276" w:lineRule="auto"/>
              <w:jc w:val="center"/>
              <w:rPr>
                <w:rFonts w:hint="eastAsia" w:ascii="宋体" w:hAnsi="宋体" w:cs="宋体"/>
                <w:bCs/>
                <w:color w:val="000000"/>
                <w:szCs w:val="21"/>
              </w:rPr>
            </w:pPr>
            <w:r>
              <w:rPr>
                <w:rFonts w:hint="eastAsia" w:ascii="宋体" w:hAnsi="宋体" w:cs="宋体"/>
                <w:bCs/>
                <w:color w:val="000000"/>
                <w:szCs w:val="21"/>
              </w:rPr>
              <w:t>7</w:t>
            </w:r>
          </w:p>
        </w:tc>
        <w:tc>
          <w:tcPr>
            <w:tcW w:w="1319" w:type="dxa"/>
            <w:vMerge w:val="restart"/>
            <w:vAlign w:val="center"/>
          </w:tcPr>
          <w:p w14:paraId="30F0DBE1">
            <w:pPr>
              <w:widowControl/>
              <w:spacing w:line="276" w:lineRule="auto"/>
              <w:jc w:val="center"/>
              <w:rPr>
                <w:rFonts w:hint="eastAsia" w:ascii="宋体" w:hAnsi="宋体" w:cs="宋体"/>
                <w:b/>
                <w:color w:val="000000"/>
                <w:szCs w:val="21"/>
              </w:rPr>
            </w:pPr>
            <w:r>
              <w:rPr>
                <w:rFonts w:hint="eastAsia" w:ascii="宋体" w:hAnsi="宋体"/>
                <w:szCs w:val="21"/>
              </w:rPr>
              <w:t>灭菌管理</w:t>
            </w:r>
          </w:p>
        </w:tc>
        <w:tc>
          <w:tcPr>
            <w:tcW w:w="1483" w:type="dxa"/>
            <w:vMerge w:val="restart"/>
            <w:vAlign w:val="center"/>
          </w:tcPr>
          <w:p w14:paraId="14B69B73">
            <w:pPr>
              <w:spacing w:line="276" w:lineRule="auto"/>
              <w:jc w:val="left"/>
              <w:rPr>
                <w:rFonts w:hint="eastAsia" w:ascii="宋体" w:hAnsi="宋体"/>
                <w:szCs w:val="21"/>
              </w:rPr>
            </w:pPr>
            <w:r>
              <w:rPr>
                <w:rFonts w:hint="eastAsia" w:ascii="宋体" w:hAnsi="宋体"/>
                <w:szCs w:val="21"/>
              </w:rPr>
              <w:t>7.1灭菌管理</w:t>
            </w:r>
          </w:p>
        </w:tc>
        <w:tc>
          <w:tcPr>
            <w:tcW w:w="5353" w:type="dxa"/>
            <w:vAlign w:val="center"/>
          </w:tcPr>
          <w:p w14:paraId="47C76610">
            <w:pPr>
              <w:spacing w:line="276" w:lineRule="auto"/>
              <w:rPr>
                <w:rFonts w:hint="eastAsia" w:ascii="宋体" w:hAnsi="宋体"/>
                <w:szCs w:val="21"/>
              </w:rPr>
            </w:pPr>
            <w:r>
              <w:rPr>
                <w:rFonts w:hint="eastAsia" w:ascii="宋体" w:hAnsi="宋体"/>
                <w:szCs w:val="21"/>
              </w:rPr>
              <w:t>7.1.1登记灭菌记录，信息包含：灭菌人员、灭菌设备的炉号炉次信息、灭菌程序、灭菌物品明细等信息，支持炉次自动递增。</w:t>
            </w:r>
          </w:p>
        </w:tc>
      </w:tr>
      <w:tr w14:paraId="11AC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68B888F8">
            <w:pPr>
              <w:spacing w:line="276" w:lineRule="auto"/>
              <w:jc w:val="center"/>
              <w:rPr>
                <w:rFonts w:hint="eastAsia" w:ascii="宋体" w:hAnsi="宋体" w:cs="宋体"/>
                <w:bCs/>
                <w:color w:val="000000"/>
                <w:szCs w:val="21"/>
              </w:rPr>
            </w:pPr>
          </w:p>
        </w:tc>
        <w:tc>
          <w:tcPr>
            <w:tcW w:w="1319" w:type="dxa"/>
            <w:vMerge w:val="continue"/>
            <w:vAlign w:val="center"/>
          </w:tcPr>
          <w:p w14:paraId="60767E08">
            <w:pPr>
              <w:widowControl/>
              <w:spacing w:line="276" w:lineRule="auto"/>
              <w:jc w:val="center"/>
              <w:rPr>
                <w:rFonts w:hint="eastAsia" w:ascii="宋体" w:hAnsi="宋体" w:cs="宋体"/>
                <w:b/>
                <w:color w:val="000000"/>
                <w:szCs w:val="21"/>
              </w:rPr>
            </w:pPr>
          </w:p>
        </w:tc>
        <w:tc>
          <w:tcPr>
            <w:tcW w:w="1483" w:type="dxa"/>
            <w:vMerge w:val="continue"/>
            <w:vAlign w:val="center"/>
          </w:tcPr>
          <w:p w14:paraId="69176468">
            <w:pPr>
              <w:spacing w:line="276" w:lineRule="auto"/>
              <w:jc w:val="left"/>
              <w:rPr>
                <w:rFonts w:hint="eastAsia" w:ascii="宋体" w:hAnsi="宋体"/>
                <w:szCs w:val="21"/>
              </w:rPr>
            </w:pPr>
          </w:p>
        </w:tc>
        <w:tc>
          <w:tcPr>
            <w:tcW w:w="5353" w:type="dxa"/>
            <w:vAlign w:val="center"/>
          </w:tcPr>
          <w:p w14:paraId="10AA44A5">
            <w:pPr>
              <w:spacing w:line="276" w:lineRule="auto"/>
              <w:rPr>
                <w:rFonts w:hint="eastAsia" w:ascii="宋体" w:hAnsi="宋体"/>
                <w:szCs w:val="21"/>
              </w:rPr>
            </w:pPr>
            <w:r>
              <w:rPr>
                <w:rFonts w:hint="eastAsia" w:ascii="宋体" w:hAnsi="宋体"/>
                <w:szCs w:val="21"/>
              </w:rPr>
              <w:t>7.1.2记录物理监测、化学监测、生物监测结果。</w:t>
            </w:r>
          </w:p>
        </w:tc>
      </w:tr>
      <w:tr w14:paraId="5F61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6F02BF54">
            <w:pPr>
              <w:spacing w:line="276" w:lineRule="auto"/>
              <w:jc w:val="center"/>
              <w:rPr>
                <w:rFonts w:hint="eastAsia" w:ascii="宋体" w:hAnsi="宋体" w:cs="宋体"/>
                <w:bCs/>
                <w:color w:val="000000"/>
                <w:szCs w:val="21"/>
              </w:rPr>
            </w:pPr>
          </w:p>
        </w:tc>
        <w:tc>
          <w:tcPr>
            <w:tcW w:w="1319" w:type="dxa"/>
            <w:vMerge w:val="continue"/>
            <w:vAlign w:val="center"/>
          </w:tcPr>
          <w:p w14:paraId="441D3264">
            <w:pPr>
              <w:widowControl/>
              <w:spacing w:line="276" w:lineRule="auto"/>
              <w:jc w:val="center"/>
              <w:rPr>
                <w:rFonts w:hint="eastAsia" w:ascii="宋体" w:hAnsi="宋体" w:cs="宋体"/>
                <w:b/>
                <w:color w:val="000000"/>
                <w:szCs w:val="21"/>
              </w:rPr>
            </w:pPr>
          </w:p>
        </w:tc>
        <w:tc>
          <w:tcPr>
            <w:tcW w:w="1483" w:type="dxa"/>
            <w:vMerge w:val="continue"/>
            <w:vAlign w:val="center"/>
          </w:tcPr>
          <w:p w14:paraId="77753E46">
            <w:pPr>
              <w:spacing w:line="276" w:lineRule="auto"/>
              <w:jc w:val="left"/>
              <w:rPr>
                <w:rFonts w:hint="eastAsia" w:ascii="宋体" w:hAnsi="宋体"/>
                <w:szCs w:val="21"/>
              </w:rPr>
            </w:pPr>
          </w:p>
        </w:tc>
        <w:tc>
          <w:tcPr>
            <w:tcW w:w="5353" w:type="dxa"/>
            <w:vAlign w:val="center"/>
          </w:tcPr>
          <w:p w14:paraId="141CE58B">
            <w:pPr>
              <w:spacing w:line="276" w:lineRule="auto"/>
              <w:jc w:val="left"/>
              <w:rPr>
                <w:rFonts w:hint="eastAsia" w:ascii="宋体" w:hAnsi="宋体" w:cs="宋体"/>
                <w:color w:val="000000"/>
                <w:kern w:val="0"/>
                <w:szCs w:val="21"/>
              </w:rPr>
            </w:pPr>
            <w:r>
              <w:rPr>
                <w:rFonts w:hint="eastAsia" w:ascii="宋体" w:hAnsi="宋体"/>
                <w:szCs w:val="21"/>
              </w:rPr>
              <w:t>7.1.3支持上传灭菌过程图片，物理监测、生物监测、化学监测图片等参数。</w:t>
            </w:r>
          </w:p>
        </w:tc>
      </w:tr>
      <w:tr w14:paraId="0782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39DD437E">
            <w:pPr>
              <w:spacing w:line="276" w:lineRule="auto"/>
              <w:jc w:val="center"/>
              <w:rPr>
                <w:rFonts w:hint="eastAsia" w:ascii="宋体" w:hAnsi="宋体" w:cs="宋体"/>
                <w:bCs/>
                <w:color w:val="000000"/>
                <w:szCs w:val="21"/>
              </w:rPr>
            </w:pPr>
          </w:p>
        </w:tc>
        <w:tc>
          <w:tcPr>
            <w:tcW w:w="1319" w:type="dxa"/>
            <w:vMerge w:val="continue"/>
            <w:vAlign w:val="center"/>
          </w:tcPr>
          <w:p w14:paraId="1D19A58C">
            <w:pPr>
              <w:widowControl/>
              <w:spacing w:line="276" w:lineRule="auto"/>
              <w:jc w:val="center"/>
              <w:rPr>
                <w:rFonts w:hint="eastAsia" w:ascii="宋体" w:hAnsi="宋体" w:cs="宋体"/>
                <w:b/>
                <w:color w:val="000000"/>
                <w:szCs w:val="21"/>
              </w:rPr>
            </w:pPr>
          </w:p>
        </w:tc>
        <w:tc>
          <w:tcPr>
            <w:tcW w:w="1483" w:type="dxa"/>
            <w:vMerge w:val="continue"/>
            <w:vAlign w:val="center"/>
          </w:tcPr>
          <w:p w14:paraId="33EB665C">
            <w:pPr>
              <w:spacing w:line="276" w:lineRule="auto"/>
              <w:jc w:val="left"/>
              <w:rPr>
                <w:rFonts w:hint="eastAsia" w:ascii="宋体" w:hAnsi="宋体"/>
                <w:szCs w:val="21"/>
              </w:rPr>
            </w:pPr>
          </w:p>
        </w:tc>
        <w:tc>
          <w:tcPr>
            <w:tcW w:w="5353" w:type="dxa"/>
            <w:vAlign w:val="center"/>
          </w:tcPr>
          <w:p w14:paraId="0290948A">
            <w:pPr>
              <w:spacing w:line="276" w:lineRule="auto"/>
              <w:jc w:val="left"/>
              <w:rPr>
                <w:rFonts w:hint="eastAsia" w:ascii="宋体" w:hAnsi="宋体" w:cs="宋体"/>
                <w:color w:val="000000"/>
                <w:kern w:val="0"/>
                <w:szCs w:val="21"/>
              </w:rPr>
            </w:pPr>
            <w:r>
              <w:rPr>
                <w:rFonts w:hint="eastAsia" w:ascii="宋体" w:hAnsi="宋体"/>
                <w:szCs w:val="21"/>
              </w:rPr>
              <w:t>7.1.4系统支持登记灭菌中断情况，灭菌中断情况处理后可选择继续灭菌或灭菌失败。</w:t>
            </w:r>
          </w:p>
        </w:tc>
      </w:tr>
      <w:tr w14:paraId="0AB3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restart"/>
            <w:vAlign w:val="center"/>
          </w:tcPr>
          <w:p w14:paraId="3855E493">
            <w:pPr>
              <w:spacing w:line="276" w:lineRule="auto"/>
              <w:jc w:val="center"/>
              <w:rPr>
                <w:rFonts w:hint="eastAsia" w:ascii="宋体" w:hAnsi="宋体" w:cs="宋体"/>
                <w:bCs/>
                <w:color w:val="000000"/>
                <w:szCs w:val="21"/>
              </w:rPr>
            </w:pPr>
            <w:r>
              <w:rPr>
                <w:rFonts w:hint="eastAsia" w:ascii="宋体" w:hAnsi="宋体" w:cs="宋体"/>
                <w:bCs/>
                <w:color w:val="000000"/>
                <w:szCs w:val="21"/>
              </w:rPr>
              <w:t>8</w:t>
            </w:r>
          </w:p>
        </w:tc>
        <w:tc>
          <w:tcPr>
            <w:tcW w:w="1319" w:type="dxa"/>
            <w:vMerge w:val="restart"/>
            <w:vAlign w:val="center"/>
          </w:tcPr>
          <w:p w14:paraId="543E0177">
            <w:pPr>
              <w:widowControl/>
              <w:spacing w:line="276" w:lineRule="auto"/>
              <w:jc w:val="center"/>
              <w:rPr>
                <w:rFonts w:hint="eastAsia" w:ascii="宋体" w:hAnsi="宋体" w:cs="宋体"/>
                <w:b/>
                <w:color w:val="000000"/>
                <w:szCs w:val="21"/>
              </w:rPr>
            </w:pPr>
            <w:r>
              <w:rPr>
                <w:rFonts w:hint="eastAsia" w:ascii="宋体" w:hAnsi="宋体"/>
                <w:szCs w:val="21"/>
              </w:rPr>
              <w:t>召回/返消</w:t>
            </w:r>
          </w:p>
        </w:tc>
        <w:tc>
          <w:tcPr>
            <w:tcW w:w="1483" w:type="dxa"/>
            <w:vMerge w:val="restart"/>
            <w:vAlign w:val="center"/>
          </w:tcPr>
          <w:p w14:paraId="0CE18838">
            <w:pPr>
              <w:spacing w:line="276" w:lineRule="auto"/>
              <w:jc w:val="left"/>
              <w:rPr>
                <w:rFonts w:hint="eastAsia" w:ascii="宋体" w:hAnsi="宋体"/>
                <w:szCs w:val="21"/>
              </w:rPr>
            </w:pPr>
            <w:r>
              <w:rPr>
                <w:rFonts w:hint="eastAsia" w:ascii="宋体" w:hAnsi="宋体"/>
                <w:szCs w:val="21"/>
              </w:rPr>
              <w:t>8.1召回记录</w:t>
            </w:r>
          </w:p>
        </w:tc>
        <w:tc>
          <w:tcPr>
            <w:tcW w:w="5353" w:type="dxa"/>
            <w:vAlign w:val="center"/>
          </w:tcPr>
          <w:p w14:paraId="61498AED">
            <w:pPr>
              <w:spacing w:line="276" w:lineRule="auto"/>
              <w:jc w:val="left"/>
              <w:rPr>
                <w:rFonts w:hint="eastAsia" w:ascii="宋体" w:hAnsi="宋体" w:cs="宋体"/>
                <w:color w:val="000000"/>
                <w:kern w:val="0"/>
                <w:szCs w:val="21"/>
              </w:rPr>
            </w:pPr>
            <w:r>
              <w:rPr>
                <w:rFonts w:hint="eastAsia" w:ascii="宋体" w:hAnsi="宋体"/>
                <w:szCs w:val="21"/>
              </w:rPr>
              <w:t>8.1.1消毒供应中心在发现某一炉次的器械包质量不合格时可以发布召回信息，召回范围可根据科室、日期、灭菌炉、炉次灵活选择。可批量召回多批次物品，将不合格产品召回，以免造成医疗事故。</w:t>
            </w:r>
          </w:p>
        </w:tc>
      </w:tr>
      <w:tr w14:paraId="793C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4AC4F952">
            <w:pPr>
              <w:spacing w:line="276" w:lineRule="auto"/>
              <w:jc w:val="center"/>
              <w:rPr>
                <w:rFonts w:hint="eastAsia" w:ascii="宋体" w:hAnsi="宋体" w:cs="宋体"/>
                <w:bCs/>
                <w:color w:val="000000"/>
                <w:szCs w:val="21"/>
              </w:rPr>
            </w:pPr>
          </w:p>
        </w:tc>
        <w:tc>
          <w:tcPr>
            <w:tcW w:w="1319" w:type="dxa"/>
            <w:vMerge w:val="continue"/>
            <w:vAlign w:val="center"/>
          </w:tcPr>
          <w:p w14:paraId="7DBB7BDB">
            <w:pPr>
              <w:widowControl/>
              <w:spacing w:line="276" w:lineRule="auto"/>
              <w:jc w:val="center"/>
              <w:rPr>
                <w:rFonts w:hint="eastAsia" w:ascii="宋体" w:hAnsi="宋体" w:cs="宋体"/>
                <w:b/>
                <w:color w:val="000000"/>
                <w:szCs w:val="21"/>
              </w:rPr>
            </w:pPr>
          </w:p>
        </w:tc>
        <w:tc>
          <w:tcPr>
            <w:tcW w:w="1483" w:type="dxa"/>
            <w:vMerge w:val="continue"/>
            <w:vAlign w:val="center"/>
          </w:tcPr>
          <w:p w14:paraId="413DDABA">
            <w:pPr>
              <w:spacing w:line="276" w:lineRule="auto"/>
              <w:jc w:val="left"/>
              <w:rPr>
                <w:rFonts w:hint="eastAsia" w:ascii="宋体" w:hAnsi="宋体"/>
                <w:szCs w:val="21"/>
              </w:rPr>
            </w:pPr>
          </w:p>
        </w:tc>
        <w:tc>
          <w:tcPr>
            <w:tcW w:w="5353" w:type="dxa"/>
            <w:vAlign w:val="center"/>
          </w:tcPr>
          <w:p w14:paraId="2D9ED3C8">
            <w:pPr>
              <w:spacing w:line="276" w:lineRule="auto"/>
              <w:jc w:val="left"/>
              <w:rPr>
                <w:rFonts w:hint="eastAsia" w:ascii="宋体" w:hAnsi="宋体" w:cs="宋体"/>
                <w:color w:val="000000"/>
                <w:kern w:val="0"/>
                <w:szCs w:val="21"/>
              </w:rPr>
            </w:pPr>
            <w:r>
              <w:rPr>
                <w:rFonts w:hint="eastAsia" w:ascii="宋体" w:hAnsi="宋体"/>
                <w:szCs w:val="21"/>
              </w:rPr>
              <w:t>8.1.2在发布完召回信息之后，相关科室用户登录系统将会看到召回的信息，并且提示用户需要将特定的包退回，在完成召回之后消毒供应中心用户可以关闭召回信息。</w:t>
            </w:r>
          </w:p>
        </w:tc>
      </w:tr>
      <w:tr w14:paraId="1D45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683B3929">
            <w:pPr>
              <w:spacing w:line="276" w:lineRule="auto"/>
              <w:jc w:val="center"/>
              <w:rPr>
                <w:rFonts w:hint="eastAsia" w:ascii="宋体" w:hAnsi="宋体" w:cs="宋体"/>
                <w:bCs/>
                <w:color w:val="000000"/>
                <w:szCs w:val="21"/>
              </w:rPr>
            </w:pPr>
          </w:p>
        </w:tc>
        <w:tc>
          <w:tcPr>
            <w:tcW w:w="1319" w:type="dxa"/>
            <w:vMerge w:val="continue"/>
            <w:vAlign w:val="center"/>
          </w:tcPr>
          <w:p w14:paraId="35136CEE">
            <w:pPr>
              <w:widowControl/>
              <w:spacing w:line="276" w:lineRule="auto"/>
              <w:jc w:val="center"/>
              <w:rPr>
                <w:rFonts w:hint="eastAsia" w:ascii="宋体" w:hAnsi="宋体" w:cs="宋体"/>
                <w:b/>
                <w:color w:val="000000"/>
                <w:szCs w:val="21"/>
              </w:rPr>
            </w:pPr>
          </w:p>
        </w:tc>
        <w:tc>
          <w:tcPr>
            <w:tcW w:w="1483" w:type="dxa"/>
            <w:vMerge w:val="continue"/>
            <w:vAlign w:val="center"/>
          </w:tcPr>
          <w:p w14:paraId="4DE033CB">
            <w:pPr>
              <w:spacing w:line="276" w:lineRule="auto"/>
              <w:jc w:val="left"/>
              <w:rPr>
                <w:rFonts w:hint="eastAsia" w:ascii="宋体" w:hAnsi="宋体"/>
                <w:szCs w:val="21"/>
              </w:rPr>
            </w:pPr>
          </w:p>
        </w:tc>
        <w:tc>
          <w:tcPr>
            <w:tcW w:w="5353" w:type="dxa"/>
            <w:vAlign w:val="center"/>
          </w:tcPr>
          <w:p w14:paraId="6D42C9F9">
            <w:pPr>
              <w:spacing w:line="276" w:lineRule="auto"/>
              <w:jc w:val="left"/>
              <w:rPr>
                <w:rFonts w:hint="eastAsia" w:ascii="宋体" w:hAnsi="宋体" w:cs="宋体"/>
                <w:color w:val="000000"/>
                <w:kern w:val="0"/>
                <w:szCs w:val="21"/>
              </w:rPr>
            </w:pPr>
            <w:r>
              <w:rPr>
                <w:rFonts w:hint="eastAsia" w:ascii="宋体" w:hAnsi="宋体"/>
                <w:szCs w:val="21"/>
              </w:rPr>
              <w:t>8.1.3召回信息中的物品系统会进行使用拦截，不允许临床科室进行使用，并可以分科室打印召回清单。</w:t>
            </w:r>
          </w:p>
        </w:tc>
      </w:tr>
      <w:tr w14:paraId="0BC4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55E5E00E">
            <w:pPr>
              <w:spacing w:line="276" w:lineRule="auto"/>
              <w:jc w:val="center"/>
              <w:rPr>
                <w:rFonts w:hint="eastAsia" w:ascii="宋体" w:hAnsi="宋体" w:cs="宋体"/>
                <w:bCs/>
                <w:color w:val="000000"/>
                <w:szCs w:val="21"/>
              </w:rPr>
            </w:pPr>
          </w:p>
        </w:tc>
        <w:tc>
          <w:tcPr>
            <w:tcW w:w="1319" w:type="dxa"/>
            <w:vMerge w:val="continue"/>
            <w:vAlign w:val="center"/>
          </w:tcPr>
          <w:p w14:paraId="2C19CF57">
            <w:pPr>
              <w:widowControl/>
              <w:spacing w:line="276" w:lineRule="auto"/>
              <w:jc w:val="center"/>
              <w:rPr>
                <w:rFonts w:hint="eastAsia" w:ascii="宋体" w:hAnsi="宋体" w:cs="宋体"/>
                <w:b/>
                <w:color w:val="000000"/>
                <w:szCs w:val="21"/>
              </w:rPr>
            </w:pPr>
          </w:p>
        </w:tc>
        <w:tc>
          <w:tcPr>
            <w:tcW w:w="1483" w:type="dxa"/>
            <w:vAlign w:val="center"/>
          </w:tcPr>
          <w:p w14:paraId="560EBE7E">
            <w:pPr>
              <w:spacing w:line="276" w:lineRule="auto"/>
              <w:jc w:val="left"/>
              <w:rPr>
                <w:rFonts w:hint="eastAsia" w:ascii="宋体" w:hAnsi="宋体"/>
                <w:szCs w:val="21"/>
              </w:rPr>
            </w:pPr>
            <w:r>
              <w:rPr>
                <w:rFonts w:hint="eastAsia" w:ascii="宋体" w:hAnsi="宋体"/>
                <w:szCs w:val="21"/>
              </w:rPr>
              <w:t>8.2器械包返消</w:t>
            </w:r>
          </w:p>
        </w:tc>
        <w:tc>
          <w:tcPr>
            <w:tcW w:w="5353" w:type="dxa"/>
            <w:vAlign w:val="center"/>
          </w:tcPr>
          <w:p w14:paraId="127B30F2">
            <w:pPr>
              <w:spacing w:line="276" w:lineRule="auto"/>
              <w:jc w:val="left"/>
              <w:rPr>
                <w:rFonts w:hint="eastAsia" w:ascii="宋体" w:hAnsi="宋体" w:cs="宋体"/>
                <w:color w:val="000000"/>
                <w:kern w:val="0"/>
                <w:szCs w:val="21"/>
              </w:rPr>
            </w:pPr>
            <w:r>
              <w:rPr>
                <w:rFonts w:hint="eastAsia" w:ascii="宋体" w:hAnsi="宋体"/>
                <w:szCs w:val="21"/>
              </w:rPr>
              <w:t>8.2.1提供器械包过期返消</w:t>
            </w:r>
            <w:r>
              <w:rPr>
                <w:rFonts w:ascii="宋体" w:hAnsi="宋体"/>
                <w:szCs w:val="21"/>
              </w:rPr>
              <w:t>,临床科室器械包过期后处理流程。</w:t>
            </w:r>
          </w:p>
        </w:tc>
      </w:tr>
      <w:tr w14:paraId="44A4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restart"/>
            <w:vAlign w:val="center"/>
          </w:tcPr>
          <w:p w14:paraId="2729E6E2">
            <w:pPr>
              <w:spacing w:line="276" w:lineRule="auto"/>
              <w:jc w:val="center"/>
              <w:rPr>
                <w:rFonts w:hint="eastAsia" w:ascii="宋体" w:hAnsi="宋体" w:cs="宋体"/>
                <w:bCs/>
                <w:color w:val="000000"/>
                <w:szCs w:val="21"/>
              </w:rPr>
            </w:pPr>
            <w:r>
              <w:rPr>
                <w:rFonts w:hint="eastAsia" w:ascii="宋体" w:hAnsi="宋体" w:cs="宋体"/>
                <w:bCs/>
                <w:color w:val="000000"/>
                <w:szCs w:val="21"/>
              </w:rPr>
              <w:t>9</w:t>
            </w:r>
          </w:p>
        </w:tc>
        <w:tc>
          <w:tcPr>
            <w:tcW w:w="1319" w:type="dxa"/>
            <w:vMerge w:val="restart"/>
            <w:vAlign w:val="center"/>
          </w:tcPr>
          <w:p w14:paraId="7E49F2CF">
            <w:pPr>
              <w:widowControl/>
              <w:spacing w:line="276" w:lineRule="auto"/>
              <w:jc w:val="center"/>
              <w:rPr>
                <w:rFonts w:hint="eastAsia" w:ascii="宋体" w:hAnsi="宋体" w:cs="宋体"/>
                <w:b/>
                <w:color w:val="000000"/>
                <w:szCs w:val="21"/>
              </w:rPr>
            </w:pPr>
            <w:r>
              <w:rPr>
                <w:rFonts w:hint="eastAsia" w:ascii="宋体" w:hAnsi="宋体"/>
                <w:szCs w:val="21"/>
              </w:rPr>
              <w:t>运作监控管理</w:t>
            </w:r>
          </w:p>
        </w:tc>
        <w:tc>
          <w:tcPr>
            <w:tcW w:w="1483" w:type="dxa"/>
            <w:vMerge w:val="restart"/>
            <w:vAlign w:val="center"/>
          </w:tcPr>
          <w:p w14:paraId="6B4C15A4">
            <w:pPr>
              <w:spacing w:line="276" w:lineRule="auto"/>
              <w:jc w:val="left"/>
              <w:rPr>
                <w:rFonts w:hint="eastAsia" w:ascii="宋体" w:hAnsi="宋体"/>
                <w:szCs w:val="21"/>
              </w:rPr>
            </w:pPr>
            <w:r>
              <w:rPr>
                <w:rFonts w:hint="eastAsia" w:ascii="宋体" w:hAnsi="宋体"/>
                <w:szCs w:val="21"/>
                <w:lang w:bidi="en-US"/>
              </w:rPr>
              <w:t>▲</w:t>
            </w:r>
            <w:r>
              <w:rPr>
                <w:rFonts w:hint="eastAsia" w:ascii="宋体" w:hAnsi="宋体"/>
                <w:szCs w:val="21"/>
              </w:rPr>
              <w:t>9.1消毒供应中心运作监控</w:t>
            </w:r>
          </w:p>
        </w:tc>
        <w:tc>
          <w:tcPr>
            <w:tcW w:w="5353" w:type="dxa"/>
            <w:vAlign w:val="center"/>
          </w:tcPr>
          <w:p w14:paraId="27F9D572">
            <w:pPr>
              <w:spacing w:line="276" w:lineRule="auto"/>
              <w:rPr>
                <w:rFonts w:hint="eastAsia" w:ascii="宋体" w:hAnsi="宋体"/>
                <w:szCs w:val="21"/>
              </w:rPr>
            </w:pPr>
            <w:r>
              <w:rPr>
                <w:rFonts w:hint="eastAsia" w:ascii="宋体" w:hAnsi="宋体"/>
                <w:szCs w:val="21"/>
              </w:rPr>
              <w:t>9.1.1对消毒供应中心内部工作步骤，查询所有环节的数据。</w:t>
            </w:r>
          </w:p>
        </w:tc>
      </w:tr>
      <w:tr w14:paraId="7364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2AE95DC0">
            <w:pPr>
              <w:spacing w:line="276" w:lineRule="auto"/>
              <w:jc w:val="center"/>
              <w:rPr>
                <w:rFonts w:hint="eastAsia" w:ascii="宋体" w:hAnsi="宋体" w:cs="宋体"/>
                <w:bCs/>
                <w:color w:val="000000"/>
                <w:szCs w:val="21"/>
              </w:rPr>
            </w:pPr>
          </w:p>
        </w:tc>
        <w:tc>
          <w:tcPr>
            <w:tcW w:w="1319" w:type="dxa"/>
            <w:vMerge w:val="continue"/>
            <w:vAlign w:val="center"/>
          </w:tcPr>
          <w:p w14:paraId="05D9DC55">
            <w:pPr>
              <w:widowControl/>
              <w:spacing w:line="276" w:lineRule="auto"/>
              <w:jc w:val="center"/>
              <w:rPr>
                <w:rFonts w:hint="eastAsia" w:ascii="宋体" w:hAnsi="宋体" w:cs="宋体"/>
                <w:b/>
                <w:color w:val="000000"/>
                <w:szCs w:val="21"/>
              </w:rPr>
            </w:pPr>
          </w:p>
        </w:tc>
        <w:tc>
          <w:tcPr>
            <w:tcW w:w="1483" w:type="dxa"/>
            <w:vMerge w:val="continue"/>
            <w:vAlign w:val="center"/>
          </w:tcPr>
          <w:p w14:paraId="043DA0E4">
            <w:pPr>
              <w:spacing w:line="276" w:lineRule="auto"/>
              <w:jc w:val="left"/>
              <w:rPr>
                <w:rFonts w:hint="eastAsia" w:ascii="宋体" w:hAnsi="宋体"/>
                <w:szCs w:val="21"/>
              </w:rPr>
            </w:pPr>
          </w:p>
        </w:tc>
        <w:tc>
          <w:tcPr>
            <w:tcW w:w="5353" w:type="dxa"/>
            <w:vAlign w:val="center"/>
          </w:tcPr>
          <w:p w14:paraId="6DF02DC0">
            <w:pPr>
              <w:spacing w:line="276" w:lineRule="auto"/>
              <w:jc w:val="left"/>
              <w:rPr>
                <w:rFonts w:hint="eastAsia" w:ascii="宋体" w:hAnsi="宋体" w:cs="宋体"/>
                <w:color w:val="000000"/>
                <w:kern w:val="0"/>
                <w:szCs w:val="21"/>
              </w:rPr>
            </w:pPr>
            <w:r>
              <w:rPr>
                <w:rFonts w:hint="eastAsia" w:ascii="宋体" w:hAnsi="宋体"/>
                <w:szCs w:val="21"/>
              </w:rPr>
              <w:t>9.1.2通过物品名称，科室名称或者某个时间段查询供应室里器械包的运作情况，包括回收申请信息、清洗记录信息、装配信息、审核信息、灭菌信息、发货信息。</w:t>
            </w:r>
          </w:p>
        </w:tc>
      </w:tr>
      <w:tr w14:paraId="1201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6C2E38F3">
            <w:pPr>
              <w:spacing w:line="276" w:lineRule="auto"/>
              <w:jc w:val="center"/>
              <w:rPr>
                <w:rFonts w:hint="eastAsia" w:ascii="宋体" w:hAnsi="宋体" w:cs="宋体"/>
                <w:bCs/>
                <w:color w:val="000000"/>
                <w:szCs w:val="21"/>
              </w:rPr>
            </w:pPr>
          </w:p>
        </w:tc>
        <w:tc>
          <w:tcPr>
            <w:tcW w:w="1319" w:type="dxa"/>
            <w:vMerge w:val="continue"/>
            <w:vAlign w:val="center"/>
          </w:tcPr>
          <w:p w14:paraId="2669AE5B">
            <w:pPr>
              <w:widowControl/>
              <w:spacing w:line="276" w:lineRule="auto"/>
              <w:jc w:val="center"/>
              <w:rPr>
                <w:rFonts w:hint="eastAsia" w:ascii="宋体" w:hAnsi="宋体" w:cs="宋体"/>
                <w:b/>
                <w:color w:val="000000"/>
                <w:szCs w:val="21"/>
              </w:rPr>
            </w:pPr>
          </w:p>
        </w:tc>
        <w:tc>
          <w:tcPr>
            <w:tcW w:w="1483" w:type="dxa"/>
            <w:vAlign w:val="center"/>
          </w:tcPr>
          <w:p w14:paraId="7F240993">
            <w:pPr>
              <w:spacing w:line="276" w:lineRule="auto"/>
              <w:jc w:val="left"/>
              <w:rPr>
                <w:rFonts w:hint="eastAsia" w:ascii="宋体" w:hAnsi="宋体"/>
                <w:szCs w:val="21"/>
              </w:rPr>
            </w:pPr>
            <w:r>
              <w:rPr>
                <w:rFonts w:hint="eastAsia" w:ascii="宋体" w:hAnsi="宋体"/>
                <w:szCs w:val="21"/>
                <w:lang w:bidi="en-US"/>
              </w:rPr>
              <w:t>▲</w:t>
            </w:r>
            <w:r>
              <w:rPr>
                <w:rFonts w:hint="eastAsia" w:ascii="宋体" w:hAnsi="宋体"/>
                <w:szCs w:val="21"/>
              </w:rPr>
              <w:t>9.2消毒供应中心未完成工作列表</w:t>
            </w:r>
          </w:p>
        </w:tc>
        <w:tc>
          <w:tcPr>
            <w:tcW w:w="5353" w:type="dxa"/>
            <w:vAlign w:val="center"/>
          </w:tcPr>
          <w:p w14:paraId="1C4C3983">
            <w:pPr>
              <w:spacing w:line="276" w:lineRule="auto"/>
              <w:jc w:val="left"/>
              <w:rPr>
                <w:rFonts w:hint="eastAsia" w:ascii="宋体" w:hAnsi="宋体" w:cs="宋体"/>
                <w:color w:val="000000"/>
                <w:kern w:val="0"/>
                <w:szCs w:val="21"/>
              </w:rPr>
            </w:pPr>
            <w:r>
              <w:rPr>
                <w:rFonts w:hint="eastAsia" w:ascii="宋体" w:hAnsi="宋体"/>
                <w:szCs w:val="21"/>
              </w:rPr>
              <w:t>9.1.3对消毒供应中心内部工作步骤，查询所有环节未完成的数据。</w:t>
            </w:r>
          </w:p>
        </w:tc>
      </w:tr>
      <w:tr w14:paraId="0AD2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restart"/>
            <w:vAlign w:val="center"/>
          </w:tcPr>
          <w:p w14:paraId="0FEAEF9A">
            <w:pPr>
              <w:spacing w:line="276" w:lineRule="auto"/>
              <w:jc w:val="center"/>
              <w:rPr>
                <w:rFonts w:hint="eastAsia" w:ascii="宋体" w:hAnsi="宋体" w:cs="宋体"/>
                <w:bCs/>
                <w:color w:val="000000"/>
                <w:szCs w:val="21"/>
              </w:rPr>
            </w:pPr>
            <w:r>
              <w:rPr>
                <w:rFonts w:hint="eastAsia" w:ascii="宋体" w:hAnsi="宋体" w:cs="宋体"/>
                <w:bCs/>
                <w:color w:val="000000"/>
                <w:szCs w:val="21"/>
              </w:rPr>
              <w:t>10</w:t>
            </w:r>
          </w:p>
        </w:tc>
        <w:tc>
          <w:tcPr>
            <w:tcW w:w="1319" w:type="dxa"/>
            <w:vMerge w:val="restart"/>
            <w:vAlign w:val="center"/>
          </w:tcPr>
          <w:p w14:paraId="5D766566">
            <w:pPr>
              <w:widowControl/>
              <w:spacing w:line="276" w:lineRule="auto"/>
              <w:jc w:val="center"/>
              <w:rPr>
                <w:rFonts w:hint="eastAsia" w:ascii="宋体" w:hAnsi="宋体" w:cs="宋体"/>
                <w:b/>
                <w:color w:val="000000"/>
                <w:szCs w:val="21"/>
              </w:rPr>
            </w:pPr>
            <w:r>
              <w:rPr>
                <w:rFonts w:hint="eastAsia" w:ascii="宋体" w:hAnsi="宋体"/>
                <w:szCs w:val="21"/>
              </w:rPr>
              <w:t>满意度调查</w:t>
            </w:r>
          </w:p>
        </w:tc>
        <w:tc>
          <w:tcPr>
            <w:tcW w:w="1483" w:type="dxa"/>
            <w:vMerge w:val="restart"/>
            <w:vAlign w:val="center"/>
          </w:tcPr>
          <w:p w14:paraId="7A9F9DC6">
            <w:pPr>
              <w:spacing w:line="276" w:lineRule="auto"/>
              <w:jc w:val="left"/>
              <w:rPr>
                <w:rFonts w:hint="eastAsia" w:ascii="宋体" w:hAnsi="宋体"/>
                <w:szCs w:val="21"/>
              </w:rPr>
            </w:pPr>
            <w:r>
              <w:rPr>
                <w:rFonts w:hint="eastAsia" w:ascii="宋体" w:hAnsi="宋体"/>
                <w:szCs w:val="21"/>
                <w:lang w:bidi="en-US"/>
              </w:rPr>
              <w:t>▲</w:t>
            </w:r>
            <w:r>
              <w:rPr>
                <w:rFonts w:hint="eastAsia" w:ascii="宋体" w:hAnsi="宋体"/>
                <w:szCs w:val="21"/>
              </w:rPr>
              <w:t>10.1满意度调查</w:t>
            </w:r>
          </w:p>
        </w:tc>
        <w:tc>
          <w:tcPr>
            <w:tcW w:w="5353" w:type="dxa"/>
            <w:vAlign w:val="center"/>
          </w:tcPr>
          <w:p w14:paraId="76CDA2A6">
            <w:pPr>
              <w:spacing w:line="276" w:lineRule="auto"/>
              <w:jc w:val="left"/>
              <w:rPr>
                <w:rFonts w:hint="eastAsia" w:ascii="宋体" w:hAnsi="宋体" w:cs="宋体"/>
                <w:color w:val="000000"/>
                <w:kern w:val="0"/>
                <w:szCs w:val="21"/>
              </w:rPr>
            </w:pPr>
            <w:r>
              <w:rPr>
                <w:rFonts w:hint="eastAsia" w:ascii="宋体" w:hAnsi="宋体"/>
                <w:szCs w:val="21"/>
              </w:rPr>
              <w:t>10.1.1用户可自定义满意度调查的调查内容，对每项调查内容，可以自定义打分范围或者可选值。</w:t>
            </w:r>
          </w:p>
        </w:tc>
      </w:tr>
      <w:tr w14:paraId="3417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2CCFD90B">
            <w:pPr>
              <w:spacing w:line="276" w:lineRule="auto"/>
              <w:jc w:val="center"/>
              <w:rPr>
                <w:rFonts w:hint="eastAsia" w:ascii="宋体" w:hAnsi="宋体" w:cs="宋体"/>
                <w:bCs/>
                <w:color w:val="000000"/>
                <w:szCs w:val="21"/>
              </w:rPr>
            </w:pPr>
          </w:p>
        </w:tc>
        <w:tc>
          <w:tcPr>
            <w:tcW w:w="1319" w:type="dxa"/>
            <w:vMerge w:val="continue"/>
            <w:vAlign w:val="center"/>
          </w:tcPr>
          <w:p w14:paraId="293F3FFB">
            <w:pPr>
              <w:widowControl/>
              <w:spacing w:line="276" w:lineRule="auto"/>
              <w:jc w:val="center"/>
              <w:rPr>
                <w:rFonts w:hint="eastAsia" w:ascii="宋体" w:hAnsi="宋体" w:cs="宋体"/>
                <w:b/>
                <w:color w:val="000000"/>
                <w:szCs w:val="21"/>
              </w:rPr>
            </w:pPr>
          </w:p>
        </w:tc>
        <w:tc>
          <w:tcPr>
            <w:tcW w:w="1483" w:type="dxa"/>
            <w:vMerge w:val="continue"/>
            <w:vAlign w:val="center"/>
          </w:tcPr>
          <w:p w14:paraId="2151F5A3">
            <w:pPr>
              <w:spacing w:line="276" w:lineRule="auto"/>
              <w:jc w:val="left"/>
              <w:rPr>
                <w:rFonts w:hint="eastAsia" w:ascii="宋体" w:hAnsi="宋体"/>
                <w:szCs w:val="21"/>
              </w:rPr>
            </w:pPr>
          </w:p>
        </w:tc>
        <w:tc>
          <w:tcPr>
            <w:tcW w:w="5353" w:type="dxa"/>
            <w:vAlign w:val="center"/>
          </w:tcPr>
          <w:p w14:paraId="080B31B6">
            <w:pPr>
              <w:spacing w:line="276" w:lineRule="auto"/>
              <w:jc w:val="left"/>
              <w:rPr>
                <w:rFonts w:hint="eastAsia" w:ascii="宋体" w:hAnsi="宋体" w:cs="宋体"/>
                <w:color w:val="000000"/>
                <w:kern w:val="0"/>
                <w:szCs w:val="21"/>
              </w:rPr>
            </w:pPr>
            <w:r>
              <w:rPr>
                <w:rFonts w:hint="eastAsia" w:ascii="宋体" w:hAnsi="宋体"/>
                <w:szCs w:val="21"/>
              </w:rPr>
              <w:t>10.1.2可选择调查表的发放范围，支持同时发放多张不同格式的调查表给不同的部门，系统自动统计汇总调查结果。</w:t>
            </w:r>
          </w:p>
        </w:tc>
      </w:tr>
      <w:tr w14:paraId="68C4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restart"/>
            <w:vAlign w:val="center"/>
          </w:tcPr>
          <w:p w14:paraId="0D3BFC0F">
            <w:pPr>
              <w:spacing w:line="276" w:lineRule="auto"/>
              <w:jc w:val="center"/>
              <w:rPr>
                <w:rFonts w:hint="eastAsia" w:ascii="宋体" w:hAnsi="宋体" w:cs="宋体"/>
                <w:bCs/>
                <w:color w:val="000000"/>
                <w:szCs w:val="21"/>
              </w:rPr>
            </w:pPr>
            <w:r>
              <w:rPr>
                <w:rFonts w:hint="eastAsia" w:ascii="宋体" w:hAnsi="宋体" w:cs="宋体"/>
                <w:bCs/>
                <w:color w:val="000000"/>
                <w:szCs w:val="21"/>
              </w:rPr>
              <w:t>11</w:t>
            </w:r>
          </w:p>
        </w:tc>
        <w:tc>
          <w:tcPr>
            <w:tcW w:w="1319" w:type="dxa"/>
            <w:vMerge w:val="restart"/>
            <w:vAlign w:val="center"/>
          </w:tcPr>
          <w:p w14:paraId="40A461AC">
            <w:pPr>
              <w:widowControl/>
              <w:spacing w:line="276" w:lineRule="auto"/>
              <w:jc w:val="center"/>
              <w:rPr>
                <w:rFonts w:hint="eastAsia" w:ascii="宋体" w:hAnsi="宋体" w:cs="宋体"/>
                <w:b/>
                <w:color w:val="000000"/>
                <w:szCs w:val="21"/>
              </w:rPr>
            </w:pPr>
            <w:r>
              <w:rPr>
                <w:rFonts w:hint="eastAsia" w:ascii="宋体" w:hAnsi="宋体"/>
                <w:szCs w:val="21"/>
              </w:rPr>
              <w:t>报表管理</w:t>
            </w:r>
          </w:p>
        </w:tc>
        <w:tc>
          <w:tcPr>
            <w:tcW w:w="1483" w:type="dxa"/>
            <w:vAlign w:val="center"/>
          </w:tcPr>
          <w:p w14:paraId="2CF2B14F">
            <w:pPr>
              <w:spacing w:line="276" w:lineRule="auto"/>
              <w:jc w:val="left"/>
              <w:rPr>
                <w:rFonts w:hint="eastAsia" w:ascii="宋体" w:hAnsi="宋体"/>
                <w:szCs w:val="21"/>
              </w:rPr>
            </w:pPr>
            <w:r>
              <w:rPr>
                <w:rFonts w:hint="eastAsia" w:ascii="宋体" w:hAnsi="宋体"/>
                <w:szCs w:val="21"/>
              </w:rPr>
              <w:t>11.1工作量统计报表</w:t>
            </w:r>
          </w:p>
        </w:tc>
        <w:tc>
          <w:tcPr>
            <w:tcW w:w="5353" w:type="dxa"/>
            <w:vAlign w:val="center"/>
          </w:tcPr>
          <w:p w14:paraId="040E70D1">
            <w:pPr>
              <w:spacing w:line="276" w:lineRule="auto"/>
              <w:jc w:val="left"/>
              <w:rPr>
                <w:rFonts w:hint="eastAsia" w:ascii="宋体" w:hAnsi="宋体"/>
                <w:szCs w:val="21"/>
              </w:rPr>
            </w:pPr>
            <w:r>
              <w:rPr>
                <w:rFonts w:hint="eastAsia" w:ascii="宋体" w:hAnsi="宋体" w:cs="宋体"/>
                <w:kern w:val="0"/>
                <w:szCs w:val="21"/>
              </w:rPr>
              <w:t>11.1.1包括消毒供应中心年度工作量统计报表、消毒供应中心人员工作量统计报表、器械包工作量统计报表等</w:t>
            </w:r>
          </w:p>
        </w:tc>
      </w:tr>
      <w:tr w14:paraId="2611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2E118425">
            <w:pPr>
              <w:spacing w:line="276" w:lineRule="auto"/>
              <w:jc w:val="center"/>
              <w:rPr>
                <w:rFonts w:hint="eastAsia" w:ascii="宋体" w:hAnsi="宋体" w:cs="宋体"/>
                <w:bCs/>
                <w:color w:val="000000"/>
                <w:szCs w:val="21"/>
              </w:rPr>
            </w:pPr>
          </w:p>
        </w:tc>
        <w:tc>
          <w:tcPr>
            <w:tcW w:w="1319" w:type="dxa"/>
            <w:vMerge w:val="continue"/>
            <w:vAlign w:val="center"/>
          </w:tcPr>
          <w:p w14:paraId="28051211">
            <w:pPr>
              <w:widowControl/>
              <w:spacing w:line="276" w:lineRule="auto"/>
              <w:jc w:val="center"/>
              <w:rPr>
                <w:rFonts w:hint="eastAsia" w:ascii="宋体" w:hAnsi="宋体" w:cs="宋体"/>
                <w:b/>
                <w:color w:val="000000"/>
                <w:szCs w:val="21"/>
              </w:rPr>
            </w:pPr>
          </w:p>
        </w:tc>
        <w:tc>
          <w:tcPr>
            <w:tcW w:w="1483" w:type="dxa"/>
            <w:vAlign w:val="center"/>
          </w:tcPr>
          <w:p w14:paraId="15524753">
            <w:pPr>
              <w:spacing w:line="276" w:lineRule="auto"/>
              <w:jc w:val="left"/>
              <w:rPr>
                <w:rFonts w:hint="eastAsia" w:ascii="宋体" w:hAnsi="宋体"/>
                <w:szCs w:val="21"/>
              </w:rPr>
            </w:pPr>
            <w:r>
              <w:rPr>
                <w:rFonts w:hint="eastAsia" w:ascii="宋体" w:hAnsi="宋体"/>
                <w:szCs w:val="21"/>
              </w:rPr>
              <w:t>11.2质量监测报表</w:t>
            </w:r>
          </w:p>
        </w:tc>
        <w:tc>
          <w:tcPr>
            <w:tcW w:w="5353" w:type="dxa"/>
            <w:vAlign w:val="center"/>
          </w:tcPr>
          <w:p w14:paraId="04F1B1AA">
            <w:pPr>
              <w:spacing w:line="276" w:lineRule="auto"/>
              <w:jc w:val="left"/>
              <w:rPr>
                <w:rFonts w:hint="eastAsia" w:ascii="宋体" w:hAnsi="宋体"/>
                <w:szCs w:val="21"/>
              </w:rPr>
            </w:pPr>
            <w:r>
              <w:rPr>
                <w:rFonts w:hint="eastAsia" w:ascii="宋体" w:hAnsi="宋体" w:cs="宋体"/>
                <w:kern w:val="0"/>
                <w:szCs w:val="21"/>
              </w:rPr>
              <w:t>11.2.1包括消毒供应护理质量指标分析报表、清洗区工作量及不合格率报表、清洗区材料类型工作量统计报表等</w:t>
            </w:r>
          </w:p>
        </w:tc>
      </w:tr>
      <w:tr w14:paraId="1961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78D20368">
            <w:pPr>
              <w:spacing w:line="276" w:lineRule="auto"/>
              <w:jc w:val="center"/>
              <w:rPr>
                <w:rFonts w:hint="eastAsia" w:ascii="宋体" w:hAnsi="宋体" w:cs="宋体"/>
                <w:bCs/>
                <w:color w:val="000000"/>
                <w:szCs w:val="21"/>
              </w:rPr>
            </w:pPr>
          </w:p>
        </w:tc>
        <w:tc>
          <w:tcPr>
            <w:tcW w:w="1319" w:type="dxa"/>
            <w:vMerge w:val="continue"/>
            <w:vAlign w:val="center"/>
          </w:tcPr>
          <w:p w14:paraId="733F7C46">
            <w:pPr>
              <w:widowControl/>
              <w:spacing w:line="276" w:lineRule="auto"/>
              <w:jc w:val="center"/>
              <w:rPr>
                <w:rFonts w:hint="eastAsia" w:ascii="宋体" w:hAnsi="宋体" w:cs="宋体"/>
                <w:b/>
                <w:color w:val="000000"/>
                <w:szCs w:val="21"/>
              </w:rPr>
            </w:pPr>
          </w:p>
        </w:tc>
        <w:tc>
          <w:tcPr>
            <w:tcW w:w="1483" w:type="dxa"/>
            <w:vAlign w:val="center"/>
          </w:tcPr>
          <w:p w14:paraId="7AD84AE3">
            <w:pPr>
              <w:spacing w:line="276" w:lineRule="auto"/>
              <w:jc w:val="left"/>
              <w:rPr>
                <w:rFonts w:hint="eastAsia" w:ascii="宋体" w:hAnsi="宋体"/>
                <w:szCs w:val="21"/>
              </w:rPr>
            </w:pPr>
            <w:r>
              <w:rPr>
                <w:rFonts w:hint="eastAsia" w:ascii="宋体" w:hAnsi="宋体"/>
                <w:szCs w:val="21"/>
              </w:rPr>
              <w:t>11.3财务核算及物品发放报表</w:t>
            </w:r>
          </w:p>
        </w:tc>
        <w:tc>
          <w:tcPr>
            <w:tcW w:w="5353" w:type="dxa"/>
            <w:vAlign w:val="center"/>
          </w:tcPr>
          <w:p w14:paraId="77B9A49A">
            <w:pPr>
              <w:spacing w:line="276" w:lineRule="auto"/>
              <w:jc w:val="left"/>
              <w:rPr>
                <w:rFonts w:hint="eastAsia" w:ascii="宋体" w:hAnsi="宋体"/>
                <w:szCs w:val="21"/>
              </w:rPr>
            </w:pPr>
            <w:r>
              <w:rPr>
                <w:rFonts w:hint="eastAsia" w:ascii="宋体" w:hAnsi="宋体" w:cs="宋体"/>
                <w:kern w:val="0"/>
                <w:szCs w:val="21"/>
              </w:rPr>
              <w:t>11.3.1包括核算月报报表、明细核算月报报表、发放物品统计月报报表等</w:t>
            </w:r>
          </w:p>
        </w:tc>
      </w:tr>
      <w:tr w14:paraId="4CDA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restart"/>
            <w:vAlign w:val="center"/>
          </w:tcPr>
          <w:p w14:paraId="33FC958C">
            <w:pPr>
              <w:spacing w:line="276" w:lineRule="auto"/>
              <w:jc w:val="center"/>
              <w:rPr>
                <w:rFonts w:hint="eastAsia" w:ascii="宋体" w:hAnsi="宋体" w:cs="宋体"/>
                <w:bCs/>
                <w:color w:val="000000"/>
                <w:szCs w:val="21"/>
              </w:rPr>
            </w:pPr>
            <w:r>
              <w:rPr>
                <w:rFonts w:hint="eastAsia" w:ascii="宋体" w:hAnsi="宋体" w:cs="宋体"/>
                <w:bCs/>
                <w:color w:val="000000"/>
                <w:szCs w:val="21"/>
              </w:rPr>
              <w:t>12</w:t>
            </w:r>
          </w:p>
        </w:tc>
        <w:tc>
          <w:tcPr>
            <w:tcW w:w="1319" w:type="dxa"/>
            <w:vMerge w:val="restart"/>
            <w:vAlign w:val="center"/>
          </w:tcPr>
          <w:p w14:paraId="1360154E">
            <w:pPr>
              <w:widowControl/>
              <w:spacing w:line="276" w:lineRule="auto"/>
              <w:jc w:val="center"/>
              <w:rPr>
                <w:rFonts w:hint="eastAsia" w:ascii="宋体" w:hAnsi="宋体" w:cs="宋体"/>
                <w:kern w:val="0"/>
                <w:szCs w:val="21"/>
              </w:rPr>
            </w:pPr>
            <w:r>
              <w:rPr>
                <w:rFonts w:hint="eastAsia" w:ascii="宋体" w:hAnsi="宋体"/>
                <w:szCs w:val="21"/>
              </w:rPr>
              <w:t>PDA功能模块</w:t>
            </w:r>
          </w:p>
        </w:tc>
        <w:tc>
          <w:tcPr>
            <w:tcW w:w="1483" w:type="dxa"/>
            <w:vAlign w:val="center"/>
          </w:tcPr>
          <w:p w14:paraId="003D0209">
            <w:pPr>
              <w:spacing w:line="276" w:lineRule="auto"/>
              <w:jc w:val="left"/>
              <w:rPr>
                <w:rFonts w:hint="eastAsia" w:ascii="宋体" w:hAnsi="宋体" w:cs="宋体"/>
                <w:kern w:val="0"/>
                <w:szCs w:val="21"/>
              </w:rPr>
            </w:pPr>
            <w:r>
              <w:rPr>
                <w:rFonts w:hint="eastAsia" w:ascii="宋体" w:hAnsi="宋体"/>
                <w:szCs w:val="21"/>
              </w:rPr>
              <w:t>12.1PDA清洗任务</w:t>
            </w:r>
          </w:p>
        </w:tc>
        <w:tc>
          <w:tcPr>
            <w:tcW w:w="5353" w:type="dxa"/>
            <w:vAlign w:val="center"/>
          </w:tcPr>
          <w:p w14:paraId="4C2199C3">
            <w:pPr>
              <w:spacing w:line="276" w:lineRule="auto"/>
              <w:jc w:val="left"/>
              <w:rPr>
                <w:rFonts w:hint="eastAsia" w:ascii="宋体" w:hAnsi="宋体" w:cs="宋体"/>
                <w:kern w:val="0"/>
                <w:szCs w:val="21"/>
              </w:rPr>
            </w:pPr>
            <w:r>
              <w:rPr>
                <w:rFonts w:hint="eastAsia" w:ascii="宋体" w:hAnsi="宋体"/>
                <w:szCs w:val="21"/>
              </w:rPr>
              <w:t>12.1.1支持PDA端，进行清洗消毒录入。</w:t>
            </w:r>
          </w:p>
        </w:tc>
      </w:tr>
      <w:tr w14:paraId="6298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6C84FD10">
            <w:pPr>
              <w:spacing w:line="276" w:lineRule="auto"/>
              <w:jc w:val="center"/>
              <w:rPr>
                <w:rFonts w:hint="eastAsia" w:ascii="宋体" w:hAnsi="宋体" w:cs="宋体"/>
                <w:bCs/>
                <w:color w:val="000000"/>
                <w:szCs w:val="21"/>
              </w:rPr>
            </w:pPr>
          </w:p>
        </w:tc>
        <w:tc>
          <w:tcPr>
            <w:tcW w:w="1319" w:type="dxa"/>
            <w:vMerge w:val="continue"/>
            <w:vAlign w:val="center"/>
          </w:tcPr>
          <w:p w14:paraId="70FE5072">
            <w:pPr>
              <w:widowControl/>
              <w:spacing w:line="276" w:lineRule="auto"/>
              <w:jc w:val="center"/>
              <w:rPr>
                <w:rFonts w:hint="eastAsia" w:ascii="宋体" w:hAnsi="宋体" w:cs="宋体"/>
                <w:kern w:val="0"/>
                <w:szCs w:val="21"/>
              </w:rPr>
            </w:pPr>
          </w:p>
        </w:tc>
        <w:tc>
          <w:tcPr>
            <w:tcW w:w="1483" w:type="dxa"/>
            <w:vAlign w:val="center"/>
          </w:tcPr>
          <w:p w14:paraId="586E8AD6">
            <w:pPr>
              <w:spacing w:line="276" w:lineRule="auto"/>
              <w:jc w:val="left"/>
              <w:rPr>
                <w:rFonts w:hint="eastAsia" w:ascii="宋体" w:hAnsi="宋体" w:cs="宋体"/>
                <w:kern w:val="0"/>
                <w:szCs w:val="21"/>
              </w:rPr>
            </w:pPr>
            <w:r>
              <w:rPr>
                <w:rFonts w:hint="eastAsia" w:ascii="宋体" w:hAnsi="宋体"/>
                <w:szCs w:val="21"/>
              </w:rPr>
              <w:t>12.2PDA灭菌任务</w:t>
            </w:r>
          </w:p>
        </w:tc>
        <w:tc>
          <w:tcPr>
            <w:tcW w:w="5353" w:type="dxa"/>
            <w:vAlign w:val="center"/>
          </w:tcPr>
          <w:p w14:paraId="31A42228">
            <w:pPr>
              <w:spacing w:line="276" w:lineRule="auto"/>
              <w:jc w:val="left"/>
              <w:rPr>
                <w:rFonts w:hint="eastAsia" w:ascii="宋体" w:hAnsi="宋体" w:cs="宋体"/>
                <w:kern w:val="0"/>
                <w:szCs w:val="21"/>
              </w:rPr>
            </w:pPr>
            <w:r>
              <w:rPr>
                <w:rFonts w:hint="eastAsia" w:ascii="宋体" w:hAnsi="宋体"/>
                <w:szCs w:val="21"/>
              </w:rPr>
              <w:t>12.2.1通过PDA完成灭菌装载、灭菌管理、代理灭菌、灭菌后拍照。</w:t>
            </w:r>
          </w:p>
        </w:tc>
      </w:tr>
      <w:tr w14:paraId="6947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restart"/>
            <w:vAlign w:val="center"/>
          </w:tcPr>
          <w:p w14:paraId="42120805">
            <w:pPr>
              <w:spacing w:line="276" w:lineRule="auto"/>
              <w:jc w:val="center"/>
              <w:rPr>
                <w:rFonts w:hint="eastAsia" w:ascii="宋体" w:hAnsi="宋体" w:cs="宋体"/>
                <w:bCs/>
                <w:color w:val="000000"/>
                <w:szCs w:val="21"/>
              </w:rPr>
            </w:pPr>
            <w:r>
              <w:rPr>
                <w:rFonts w:hint="eastAsia" w:ascii="宋体" w:hAnsi="宋体" w:cs="宋体"/>
                <w:bCs/>
                <w:color w:val="000000"/>
                <w:szCs w:val="21"/>
              </w:rPr>
              <w:t>13</w:t>
            </w:r>
          </w:p>
        </w:tc>
        <w:tc>
          <w:tcPr>
            <w:tcW w:w="1319" w:type="dxa"/>
            <w:vMerge w:val="restart"/>
            <w:vAlign w:val="center"/>
          </w:tcPr>
          <w:p w14:paraId="124A6851">
            <w:pPr>
              <w:widowControl/>
              <w:spacing w:line="276" w:lineRule="auto"/>
              <w:jc w:val="center"/>
              <w:rPr>
                <w:rFonts w:hint="eastAsia" w:ascii="宋体" w:hAnsi="宋体" w:cs="宋体"/>
                <w:b/>
                <w:color w:val="000000"/>
                <w:szCs w:val="21"/>
              </w:rPr>
            </w:pPr>
            <w:r>
              <w:rPr>
                <w:rFonts w:hint="eastAsia" w:ascii="宋体" w:hAnsi="宋体" w:cs="宋体"/>
                <w:kern w:val="0"/>
                <w:szCs w:val="21"/>
              </w:rPr>
              <w:t>信息系统接口管理</w:t>
            </w:r>
          </w:p>
        </w:tc>
        <w:tc>
          <w:tcPr>
            <w:tcW w:w="1483" w:type="dxa"/>
            <w:vAlign w:val="center"/>
          </w:tcPr>
          <w:p w14:paraId="4A78C75E">
            <w:pPr>
              <w:spacing w:line="276" w:lineRule="auto"/>
              <w:jc w:val="left"/>
              <w:rPr>
                <w:rFonts w:hint="eastAsia" w:ascii="宋体" w:hAnsi="宋体"/>
                <w:szCs w:val="21"/>
              </w:rPr>
            </w:pPr>
            <w:r>
              <w:rPr>
                <w:rFonts w:hint="eastAsia" w:ascii="宋体" w:hAnsi="宋体" w:cs="宋体"/>
                <w:kern w:val="0"/>
                <w:szCs w:val="21"/>
              </w:rPr>
              <w:t>13.1科室、人员信息接口</w:t>
            </w:r>
          </w:p>
        </w:tc>
        <w:tc>
          <w:tcPr>
            <w:tcW w:w="5353" w:type="dxa"/>
            <w:vAlign w:val="center"/>
          </w:tcPr>
          <w:p w14:paraId="3061EA07">
            <w:pPr>
              <w:spacing w:line="276" w:lineRule="auto"/>
              <w:jc w:val="left"/>
              <w:rPr>
                <w:rFonts w:hint="eastAsia" w:ascii="宋体" w:hAnsi="宋体"/>
                <w:szCs w:val="21"/>
              </w:rPr>
            </w:pPr>
            <w:r>
              <w:rPr>
                <w:rFonts w:hint="eastAsia" w:ascii="宋体" w:hAnsi="宋体" w:cs="宋体"/>
                <w:kern w:val="0"/>
                <w:szCs w:val="21"/>
              </w:rPr>
              <w:t>13.1.1与医院HIS系统或者集成平台对接，获取或者接收医院的科室和人员信息，包括信息的新增和更新。支持数据库视图、Web Services、MQ等多种对接方式(需要厂商开放数据接口)</w:t>
            </w:r>
          </w:p>
        </w:tc>
      </w:tr>
      <w:tr w14:paraId="7665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Merge w:val="continue"/>
            <w:vAlign w:val="center"/>
          </w:tcPr>
          <w:p w14:paraId="1DB9C472">
            <w:pPr>
              <w:spacing w:line="276" w:lineRule="auto"/>
              <w:jc w:val="center"/>
              <w:rPr>
                <w:rFonts w:hint="eastAsia" w:ascii="宋体" w:hAnsi="宋体" w:cs="宋体"/>
                <w:bCs/>
                <w:color w:val="000000"/>
                <w:szCs w:val="21"/>
              </w:rPr>
            </w:pPr>
          </w:p>
        </w:tc>
        <w:tc>
          <w:tcPr>
            <w:tcW w:w="1319" w:type="dxa"/>
            <w:vMerge w:val="continue"/>
            <w:vAlign w:val="center"/>
          </w:tcPr>
          <w:p w14:paraId="36798B2E">
            <w:pPr>
              <w:widowControl/>
              <w:spacing w:line="276" w:lineRule="auto"/>
              <w:jc w:val="center"/>
              <w:rPr>
                <w:rFonts w:hint="eastAsia" w:ascii="宋体" w:hAnsi="宋体" w:cs="宋体"/>
                <w:b/>
                <w:color w:val="000000"/>
                <w:szCs w:val="21"/>
              </w:rPr>
            </w:pPr>
          </w:p>
        </w:tc>
        <w:tc>
          <w:tcPr>
            <w:tcW w:w="1483" w:type="dxa"/>
            <w:vAlign w:val="center"/>
          </w:tcPr>
          <w:p w14:paraId="7F3629D8">
            <w:pPr>
              <w:spacing w:line="276" w:lineRule="auto"/>
              <w:jc w:val="left"/>
              <w:rPr>
                <w:rFonts w:hint="eastAsia" w:ascii="宋体" w:hAnsi="宋体"/>
                <w:szCs w:val="21"/>
              </w:rPr>
            </w:pPr>
            <w:r>
              <w:rPr>
                <w:rFonts w:hint="eastAsia" w:ascii="宋体" w:hAnsi="宋体" w:cs="宋体"/>
                <w:kern w:val="0"/>
                <w:szCs w:val="21"/>
              </w:rPr>
              <w:t>13.2患者信息接口</w:t>
            </w:r>
          </w:p>
        </w:tc>
        <w:tc>
          <w:tcPr>
            <w:tcW w:w="5353" w:type="dxa"/>
            <w:vAlign w:val="center"/>
          </w:tcPr>
          <w:p w14:paraId="1287999F">
            <w:pPr>
              <w:spacing w:line="276" w:lineRule="auto"/>
              <w:jc w:val="left"/>
              <w:rPr>
                <w:rFonts w:hint="eastAsia" w:ascii="宋体" w:hAnsi="宋体"/>
                <w:szCs w:val="21"/>
              </w:rPr>
            </w:pPr>
            <w:r>
              <w:rPr>
                <w:rFonts w:hint="eastAsia" w:ascii="宋体" w:hAnsi="宋体" w:cs="宋体"/>
                <w:kern w:val="0"/>
                <w:szCs w:val="21"/>
              </w:rPr>
              <w:t>13.2.1与医院HIS系统或者集成平台对接，获取或者接收患者信息，包括门诊和住院患者信息。根据患者的门诊号或者住院号，或者手术患者腕带的二维码，获取或接收患者的门诊或者手术信息。支持数据库视图、Web Services、MQ等多种对接方式(需要厂商开放数据接口)</w:t>
            </w:r>
          </w:p>
        </w:tc>
      </w:tr>
    </w:tbl>
    <w:p w14:paraId="4636C428"/>
    <w:p w14:paraId="49E4BA50">
      <w:pPr>
        <w:pStyle w:val="4"/>
        <w:numPr>
          <w:ilvl w:val="0"/>
          <w:numId w:val="2"/>
        </w:numPr>
        <w:jc w:val="left"/>
      </w:pPr>
      <w:r>
        <w:rPr>
          <w:rFonts w:hint="eastAsia" w:ascii="宋体" w:hAnsi="宋体" w:cs="宋体"/>
          <w:szCs w:val="21"/>
        </w:rPr>
        <w:t>★</w:t>
      </w:r>
      <w:r>
        <w:rPr>
          <w:rFonts w:hint="eastAsia" w:asciiTheme="majorEastAsia" w:hAnsiTheme="majorEastAsia"/>
          <w:sz w:val="28"/>
          <w:szCs w:val="28"/>
        </w:rPr>
        <w:t>商务要求</w:t>
      </w:r>
    </w:p>
    <w:tbl>
      <w:tblPr>
        <w:tblStyle w:val="20"/>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6921"/>
      </w:tblGrid>
      <w:tr w14:paraId="2408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14:paraId="7AD2D316">
            <w:pPr>
              <w:spacing w:line="276" w:lineRule="auto"/>
              <w:jc w:val="center"/>
              <w:rPr>
                <w:rFonts w:hint="eastAsia" w:ascii="宋体" w:hAnsi="宋体" w:cs="宋体"/>
                <w:b/>
                <w:bCs/>
                <w:sz w:val="24"/>
              </w:rPr>
            </w:pPr>
            <w:r>
              <w:rPr>
                <w:rFonts w:hint="eastAsia" w:ascii="宋体" w:hAnsi="宋体" w:cs="宋体"/>
                <w:b/>
                <w:bCs/>
                <w:sz w:val="24"/>
              </w:rPr>
              <w:t>序号</w:t>
            </w:r>
          </w:p>
        </w:tc>
        <w:tc>
          <w:tcPr>
            <w:tcW w:w="1276" w:type="dxa"/>
            <w:vAlign w:val="center"/>
          </w:tcPr>
          <w:p w14:paraId="6238F349">
            <w:pPr>
              <w:spacing w:line="276" w:lineRule="auto"/>
              <w:jc w:val="center"/>
              <w:rPr>
                <w:rFonts w:hint="eastAsia" w:ascii="宋体" w:hAnsi="宋体" w:cs="宋体"/>
                <w:b/>
                <w:bCs/>
                <w:sz w:val="24"/>
              </w:rPr>
            </w:pPr>
            <w:r>
              <w:rPr>
                <w:rFonts w:hint="eastAsia" w:ascii="宋体" w:hAnsi="宋体" w:cs="宋体"/>
                <w:b/>
                <w:bCs/>
                <w:sz w:val="24"/>
              </w:rPr>
              <w:t>目录</w:t>
            </w:r>
          </w:p>
        </w:tc>
        <w:tc>
          <w:tcPr>
            <w:tcW w:w="6921" w:type="dxa"/>
            <w:vAlign w:val="center"/>
          </w:tcPr>
          <w:p w14:paraId="3021B192">
            <w:pPr>
              <w:spacing w:line="276" w:lineRule="auto"/>
              <w:jc w:val="center"/>
              <w:rPr>
                <w:rFonts w:hint="eastAsia" w:ascii="宋体" w:hAnsi="宋体" w:cs="宋体"/>
                <w:b/>
                <w:bCs/>
                <w:sz w:val="24"/>
              </w:rPr>
            </w:pPr>
            <w:r>
              <w:rPr>
                <w:rFonts w:hint="eastAsia" w:ascii="宋体" w:hAnsi="宋体" w:cs="宋体"/>
                <w:b/>
                <w:bCs/>
                <w:sz w:val="24"/>
              </w:rPr>
              <w:t>招标商务需求</w:t>
            </w:r>
          </w:p>
        </w:tc>
      </w:tr>
      <w:tr w14:paraId="0F95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46" w:type="dxa"/>
            <w:vAlign w:val="center"/>
          </w:tcPr>
          <w:p w14:paraId="0D5C87DC">
            <w:pPr>
              <w:tabs>
                <w:tab w:val="center" w:pos="5024"/>
              </w:tabs>
              <w:spacing w:line="276" w:lineRule="auto"/>
              <w:jc w:val="center"/>
              <w:rPr>
                <w:rFonts w:hint="eastAsia" w:ascii="宋体" w:hAnsi="宋体" w:cs="宋体"/>
                <w:szCs w:val="21"/>
                <w:highlight w:val="yellow"/>
              </w:rPr>
            </w:pPr>
            <w:r>
              <w:rPr>
                <w:rFonts w:hint="eastAsia" w:ascii="宋体" w:hAnsi="宋体" w:cs="宋体"/>
                <w:szCs w:val="21"/>
              </w:rPr>
              <w:t>1</w:t>
            </w:r>
          </w:p>
        </w:tc>
        <w:tc>
          <w:tcPr>
            <w:tcW w:w="1276" w:type="dxa"/>
            <w:vAlign w:val="center"/>
          </w:tcPr>
          <w:p w14:paraId="1504F184">
            <w:pPr>
              <w:tabs>
                <w:tab w:val="center" w:pos="5024"/>
              </w:tabs>
              <w:spacing w:line="276" w:lineRule="auto"/>
              <w:rPr>
                <w:rFonts w:hint="eastAsia" w:ascii="宋体" w:hAnsi="宋体" w:cs="宋体"/>
                <w:szCs w:val="21"/>
              </w:rPr>
            </w:pPr>
            <w:r>
              <w:rPr>
                <w:rFonts w:hint="eastAsia" w:ascii="宋体" w:hAnsi="宋体" w:cs="宋体"/>
                <w:szCs w:val="21"/>
              </w:rPr>
              <w:t>服务期限</w:t>
            </w:r>
          </w:p>
        </w:tc>
        <w:tc>
          <w:tcPr>
            <w:tcW w:w="6921" w:type="dxa"/>
            <w:vAlign w:val="center"/>
          </w:tcPr>
          <w:p w14:paraId="411B5DB0">
            <w:pPr>
              <w:tabs>
                <w:tab w:val="center" w:pos="5024"/>
              </w:tabs>
              <w:spacing w:line="276" w:lineRule="auto"/>
              <w:rPr>
                <w:rFonts w:hint="eastAsia" w:ascii="宋体" w:hAnsi="宋体" w:cs="宋体"/>
                <w:szCs w:val="21"/>
              </w:rPr>
            </w:pPr>
            <w:r>
              <w:rPr>
                <w:rFonts w:hint="eastAsia" w:ascii="宋体" w:hAnsi="宋体" w:cs="宋体"/>
                <w:szCs w:val="21"/>
              </w:rPr>
              <w:t>1.1本项目要求在</w:t>
            </w:r>
            <w:r>
              <w:rPr>
                <w:rFonts w:hint="eastAsia" w:ascii="宋体" w:hAnsi="宋体" w:cs="宋体"/>
                <w:szCs w:val="21"/>
                <w:highlight w:val="yellow"/>
              </w:rPr>
              <w:t>自签订合同之日起6个月内</w:t>
            </w:r>
            <w:r>
              <w:rPr>
                <w:rFonts w:hint="eastAsia" w:ascii="宋体" w:hAnsi="宋体" w:cs="宋体"/>
                <w:szCs w:val="21"/>
              </w:rPr>
              <w:t>完成项目验收。</w:t>
            </w:r>
          </w:p>
        </w:tc>
      </w:tr>
      <w:tr w14:paraId="09B7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43" w:type="dxa"/>
            <w:gridSpan w:val="3"/>
            <w:vAlign w:val="center"/>
          </w:tcPr>
          <w:p w14:paraId="7B5B8D8B">
            <w:pPr>
              <w:tabs>
                <w:tab w:val="center" w:pos="5024"/>
              </w:tabs>
              <w:spacing w:line="276" w:lineRule="auto"/>
              <w:rPr>
                <w:rFonts w:hint="eastAsia" w:ascii="宋体" w:hAnsi="宋体" w:cs="宋体"/>
                <w:szCs w:val="21"/>
              </w:rPr>
            </w:pPr>
            <w:r>
              <w:rPr>
                <w:rFonts w:hint="eastAsia" w:ascii="宋体" w:hAnsi="宋体" w:cs="宋体"/>
                <w:szCs w:val="21"/>
              </w:rPr>
              <w:t>（一）免费保修期内售后服务要求</w:t>
            </w:r>
            <w:r>
              <w:rPr>
                <w:rFonts w:hint="eastAsia" w:ascii="宋体" w:hAnsi="宋体" w:cs="宋体"/>
                <w:szCs w:val="21"/>
              </w:rPr>
              <w:tab/>
            </w:r>
          </w:p>
        </w:tc>
      </w:tr>
      <w:tr w14:paraId="0F6A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Merge w:val="restart"/>
            <w:vAlign w:val="center"/>
          </w:tcPr>
          <w:p w14:paraId="0EF1B26B">
            <w:pPr>
              <w:spacing w:line="276" w:lineRule="auto"/>
              <w:jc w:val="center"/>
              <w:rPr>
                <w:rFonts w:hint="eastAsia" w:ascii="宋体" w:hAnsi="宋体" w:cs="宋体"/>
                <w:szCs w:val="21"/>
              </w:rPr>
            </w:pPr>
            <w:r>
              <w:rPr>
                <w:rFonts w:hint="eastAsia" w:ascii="宋体" w:hAnsi="宋体" w:cs="宋体"/>
                <w:szCs w:val="21"/>
              </w:rPr>
              <w:t>2</w:t>
            </w:r>
          </w:p>
        </w:tc>
        <w:tc>
          <w:tcPr>
            <w:tcW w:w="1276" w:type="dxa"/>
            <w:vMerge w:val="restart"/>
            <w:vAlign w:val="center"/>
          </w:tcPr>
          <w:p w14:paraId="6BF90007">
            <w:pPr>
              <w:spacing w:line="276" w:lineRule="auto"/>
              <w:rPr>
                <w:rFonts w:hint="eastAsia" w:ascii="宋体" w:hAnsi="宋体" w:cs="宋体"/>
                <w:szCs w:val="21"/>
              </w:rPr>
            </w:pPr>
            <w:r>
              <w:rPr>
                <w:rFonts w:hint="eastAsia" w:ascii="宋体" w:hAnsi="宋体" w:cs="宋体"/>
                <w:szCs w:val="21"/>
              </w:rPr>
              <w:t>免费保修期</w:t>
            </w:r>
          </w:p>
        </w:tc>
        <w:tc>
          <w:tcPr>
            <w:tcW w:w="6921" w:type="dxa"/>
            <w:vAlign w:val="center"/>
          </w:tcPr>
          <w:p w14:paraId="6F5D1CAB">
            <w:pPr>
              <w:spacing w:line="276" w:lineRule="auto"/>
              <w:rPr>
                <w:rFonts w:hint="eastAsia" w:ascii="宋体" w:hAnsi="宋体" w:cs="宋体"/>
                <w:szCs w:val="21"/>
              </w:rPr>
            </w:pPr>
            <w:r>
              <w:rPr>
                <w:rFonts w:hint="eastAsia" w:ascii="宋体" w:hAnsi="宋体" w:cs="宋体"/>
                <w:szCs w:val="21"/>
              </w:rPr>
              <w:t>2.1 免费质保期</w:t>
            </w:r>
            <w:r>
              <w:rPr>
                <w:rFonts w:hint="eastAsia" w:ascii="宋体" w:hAnsi="宋体" w:cs="宋体"/>
                <w:szCs w:val="21"/>
                <w:highlight w:val="yellow"/>
              </w:rPr>
              <w:t>至少</w:t>
            </w:r>
            <w:r>
              <w:rPr>
                <w:rFonts w:hint="eastAsia" w:ascii="宋体" w:hAnsi="宋体" w:cs="宋体"/>
                <w:szCs w:val="21"/>
                <w:highlight w:val="yellow"/>
                <w:u w:val="single"/>
              </w:rPr>
              <w:t xml:space="preserve"> 2 </w:t>
            </w:r>
            <w:r>
              <w:rPr>
                <w:rFonts w:hint="eastAsia" w:ascii="宋体" w:hAnsi="宋体" w:cs="宋体"/>
                <w:szCs w:val="21"/>
                <w:highlight w:val="yellow"/>
              </w:rPr>
              <w:t>年</w:t>
            </w:r>
            <w:r>
              <w:rPr>
                <w:rFonts w:hint="eastAsia" w:ascii="宋体" w:hAnsi="宋体" w:cs="宋体"/>
                <w:szCs w:val="21"/>
              </w:rPr>
              <w:t>，</w:t>
            </w:r>
            <w:r>
              <w:rPr>
                <w:rFonts w:hint="eastAsia" w:ascii="宋体" w:hAnsi="宋体" w:cs="宋体"/>
                <w:bCs/>
                <w:szCs w:val="21"/>
              </w:rPr>
              <w:t>时间自最终验收合格并交付使用之日起计算</w:t>
            </w:r>
            <w:r>
              <w:rPr>
                <w:rFonts w:hint="eastAsia" w:ascii="宋体" w:hAnsi="宋体" w:cs="宋体"/>
                <w:szCs w:val="21"/>
              </w:rPr>
              <w:t>，由中标方提供验收文件。</w:t>
            </w:r>
          </w:p>
        </w:tc>
      </w:tr>
      <w:tr w14:paraId="6716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46" w:type="dxa"/>
            <w:vMerge w:val="continue"/>
            <w:vAlign w:val="center"/>
          </w:tcPr>
          <w:p w14:paraId="47EBF239">
            <w:pPr>
              <w:pStyle w:val="2"/>
              <w:spacing w:line="276" w:lineRule="auto"/>
              <w:jc w:val="center"/>
              <w:rPr>
                <w:rFonts w:hint="eastAsia" w:ascii="宋体" w:hAnsi="宋体" w:cs="宋体"/>
                <w:szCs w:val="21"/>
              </w:rPr>
            </w:pPr>
          </w:p>
        </w:tc>
        <w:tc>
          <w:tcPr>
            <w:tcW w:w="1276" w:type="dxa"/>
            <w:vMerge w:val="continue"/>
            <w:vAlign w:val="center"/>
          </w:tcPr>
          <w:p w14:paraId="1F6E35F4">
            <w:pPr>
              <w:pStyle w:val="2"/>
              <w:spacing w:line="276" w:lineRule="auto"/>
              <w:rPr>
                <w:rFonts w:hint="eastAsia" w:ascii="宋体" w:hAnsi="宋体" w:cs="宋体"/>
                <w:szCs w:val="21"/>
              </w:rPr>
            </w:pPr>
          </w:p>
        </w:tc>
        <w:tc>
          <w:tcPr>
            <w:tcW w:w="6921" w:type="dxa"/>
            <w:vAlign w:val="center"/>
          </w:tcPr>
          <w:p w14:paraId="0C2A0715">
            <w:pPr>
              <w:spacing w:line="276" w:lineRule="auto"/>
              <w:rPr>
                <w:rFonts w:hint="eastAsia" w:ascii="宋体" w:hAnsi="宋体" w:cs="宋体"/>
                <w:szCs w:val="21"/>
              </w:rPr>
            </w:pPr>
            <w:r>
              <w:rPr>
                <w:rFonts w:hint="eastAsia" w:ascii="宋体" w:hAnsi="宋体" w:cs="宋体"/>
                <w:szCs w:val="21"/>
              </w:rPr>
              <w:t>2.2 保修期内，提供7×24小时的远程技术支持，一旦</w:t>
            </w:r>
            <w:r>
              <w:rPr>
                <w:rFonts w:hint="eastAsia" w:ascii="宋体" w:hAnsi="宋体" w:cs="宋体"/>
                <w:szCs w:val="21"/>
                <w:u w:val="single"/>
              </w:rPr>
              <w:t>消毒供应追溯系统对接服务</w:t>
            </w:r>
            <w:r>
              <w:rPr>
                <w:rFonts w:hint="eastAsia" w:ascii="宋体" w:hAnsi="宋体" w:cs="宋体"/>
                <w:szCs w:val="21"/>
              </w:rPr>
              <w:t>发生质量问题，免费质保，中标方保证在接到通知后确保1小时内作出实质性响应，2小时内到达现场（如电话响应无法解决）；一般性故障4小时内修复，如在4小时内无法解决，则须提供应急解决方案，确保在12小时内恢复正常运行。</w:t>
            </w:r>
          </w:p>
        </w:tc>
      </w:tr>
      <w:tr w14:paraId="3C8E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46" w:type="dxa"/>
            <w:vMerge w:val="continue"/>
            <w:vAlign w:val="center"/>
          </w:tcPr>
          <w:p w14:paraId="1D3AE67D">
            <w:pPr>
              <w:pStyle w:val="2"/>
              <w:spacing w:line="276" w:lineRule="auto"/>
              <w:jc w:val="center"/>
              <w:rPr>
                <w:rFonts w:hint="eastAsia" w:ascii="宋体" w:hAnsi="宋体" w:cs="宋体"/>
                <w:szCs w:val="21"/>
              </w:rPr>
            </w:pPr>
          </w:p>
        </w:tc>
        <w:tc>
          <w:tcPr>
            <w:tcW w:w="1276" w:type="dxa"/>
            <w:vMerge w:val="continue"/>
            <w:vAlign w:val="center"/>
          </w:tcPr>
          <w:p w14:paraId="056942D2">
            <w:pPr>
              <w:pStyle w:val="2"/>
              <w:spacing w:line="276" w:lineRule="auto"/>
              <w:rPr>
                <w:rFonts w:hint="eastAsia" w:ascii="宋体" w:hAnsi="宋体" w:cs="宋体"/>
                <w:szCs w:val="21"/>
              </w:rPr>
            </w:pPr>
          </w:p>
        </w:tc>
        <w:tc>
          <w:tcPr>
            <w:tcW w:w="6921" w:type="dxa"/>
            <w:vAlign w:val="center"/>
          </w:tcPr>
          <w:p w14:paraId="39C558C1">
            <w:pPr>
              <w:pStyle w:val="2"/>
              <w:spacing w:line="276" w:lineRule="auto"/>
              <w:rPr>
                <w:rFonts w:hint="eastAsia" w:ascii="宋体" w:hAnsi="宋体" w:cs="宋体"/>
                <w:szCs w:val="21"/>
              </w:rPr>
            </w:pPr>
            <w:r>
              <w:rPr>
                <w:rFonts w:hint="eastAsia" w:ascii="宋体" w:hAnsi="宋体" w:cs="宋体"/>
                <w:szCs w:val="21"/>
              </w:rPr>
              <w:t>2.3所有系统质保服务方式均为中标方上门服务，即由中标方派员到系统使用现场维修，由此产生的一切费用均由中标方承担。</w:t>
            </w:r>
          </w:p>
        </w:tc>
      </w:tr>
      <w:tr w14:paraId="4FC7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46" w:type="dxa"/>
            <w:vAlign w:val="center"/>
          </w:tcPr>
          <w:p w14:paraId="34D78E7A">
            <w:pPr>
              <w:spacing w:line="276" w:lineRule="auto"/>
              <w:jc w:val="center"/>
              <w:rPr>
                <w:rFonts w:hint="eastAsia" w:ascii="宋体" w:hAnsi="宋体" w:cs="宋体"/>
                <w:szCs w:val="21"/>
              </w:rPr>
            </w:pPr>
            <w:r>
              <w:rPr>
                <w:rFonts w:hint="eastAsia" w:ascii="宋体" w:hAnsi="宋体" w:cs="宋体"/>
                <w:szCs w:val="21"/>
              </w:rPr>
              <w:t>3</w:t>
            </w:r>
          </w:p>
        </w:tc>
        <w:tc>
          <w:tcPr>
            <w:tcW w:w="1276" w:type="dxa"/>
            <w:vAlign w:val="center"/>
          </w:tcPr>
          <w:p w14:paraId="579C8A1F">
            <w:pPr>
              <w:spacing w:line="276" w:lineRule="auto"/>
              <w:rPr>
                <w:rFonts w:hint="eastAsia" w:ascii="宋体" w:hAnsi="宋体" w:cs="宋体"/>
                <w:szCs w:val="21"/>
              </w:rPr>
            </w:pPr>
            <w:r>
              <w:rPr>
                <w:rFonts w:hint="eastAsia" w:ascii="宋体" w:hAnsi="宋体" w:cs="宋体"/>
                <w:szCs w:val="21"/>
              </w:rPr>
              <w:t>安装调试</w:t>
            </w:r>
          </w:p>
        </w:tc>
        <w:tc>
          <w:tcPr>
            <w:tcW w:w="6921" w:type="dxa"/>
            <w:vAlign w:val="center"/>
          </w:tcPr>
          <w:p w14:paraId="1E764A2D">
            <w:pPr>
              <w:spacing w:line="276" w:lineRule="auto"/>
              <w:rPr>
                <w:rFonts w:hint="eastAsia" w:ascii="宋体" w:hAnsi="宋体" w:cs="宋体"/>
                <w:bCs/>
                <w:szCs w:val="21"/>
              </w:rPr>
            </w:pPr>
            <w:r>
              <w:rPr>
                <w:rFonts w:hint="eastAsia" w:ascii="宋体" w:hAnsi="宋体" w:cs="宋体"/>
                <w:bCs/>
                <w:szCs w:val="21"/>
              </w:rPr>
              <w:t>3.1 中标方</w:t>
            </w:r>
            <w:r>
              <w:rPr>
                <w:rFonts w:hint="eastAsia" w:ascii="宋体" w:hAnsi="宋体" w:cs="宋体"/>
                <w:szCs w:val="21"/>
              </w:rPr>
              <w:t>须在签订合同之日起6个月内完成软件部署、安装调试、培训、系统运行。</w:t>
            </w:r>
          </w:p>
        </w:tc>
      </w:tr>
      <w:tr w14:paraId="5CFF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46" w:type="dxa"/>
            <w:vMerge w:val="restart"/>
            <w:vAlign w:val="center"/>
          </w:tcPr>
          <w:p w14:paraId="7782D036">
            <w:pPr>
              <w:spacing w:line="276" w:lineRule="auto"/>
              <w:jc w:val="center"/>
              <w:rPr>
                <w:rFonts w:hint="eastAsia" w:ascii="宋体" w:hAnsi="宋体" w:cs="宋体"/>
                <w:szCs w:val="21"/>
              </w:rPr>
            </w:pPr>
            <w:r>
              <w:rPr>
                <w:rFonts w:hint="eastAsia" w:ascii="宋体" w:hAnsi="宋体" w:cs="宋体"/>
                <w:szCs w:val="21"/>
              </w:rPr>
              <w:t>4</w:t>
            </w:r>
          </w:p>
        </w:tc>
        <w:tc>
          <w:tcPr>
            <w:tcW w:w="1276" w:type="dxa"/>
            <w:vMerge w:val="restart"/>
            <w:vAlign w:val="center"/>
          </w:tcPr>
          <w:p w14:paraId="7F9D56C3">
            <w:pPr>
              <w:spacing w:line="276" w:lineRule="auto"/>
              <w:rPr>
                <w:rFonts w:hint="eastAsia" w:ascii="宋体" w:hAnsi="宋体" w:cs="宋体"/>
                <w:szCs w:val="21"/>
              </w:rPr>
            </w:pPr>
            <w:r>
              <w:rPr>
                <w:rFonts w:hint="eastAsia" w:ascii="宋体" w:hAnsi="宋体" w:cs="宋体"/>
                <w:szCs w:val="21"/>
              </w:rPr>
              <w:t>培训</w:t>
            </w:r>
          </w:p>
        </w:tc>
        <w:tc>
          <w:tcPr>
            <w:tcW w:w="6921" w:type="dxa"/>
            <w:vAlign w:val="center"/>
          </w:tcPr>
          <w:p w14:paraId="41A552A3">
            <w:pPr>
              <w:spacing w:line="276" w:lineRule="auto"/>
              <w:rPr>
                <w:rFonts w:hint="eastAsia" w:ascii="宋体" w:hAnsi="宋体" w:cs="宋体"/>
                <w:szCs w:val="21"/>
              </w:rPr>
            </w:pPr>
            <w:r>
              <w:rPr>
                <w:rFonts w:hint="eastAsia" w:ascii="宋体" w:hAnsi="宋体" w:cs="宋体"/>
                <w:szCs w:val="21"/>
              </w:rPr>
              <w:t>4.1安排专业人员免费在现场对采购单位使用科室人员进行专业的培训，并对维修工程师进行维护、维修培训。保证使用人员能够熟练掌握各种软件常规使用方法，以及小故障的判断与解决。</w:t>
            </w:r>
          </w:p>
        </w:tc>
      </w:tr>
      <w:tr w14:paraId="17E5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46" w:type="dxa"/>
            <w:vMerge w:val="continue"/>
            <w:vAlign w:val="center"/>
          </w:tcPr>
          <w:p w14:paraId="6631C85F">
            <w:pPr>
              <w:spacing w:line="276" w:lineRule="auto"/>
              <w:rPr>
                <w:rFonts w:hint="eastAsia" w:ascii="宋体" w:hAnsi="宋体" w:cs="宋体"/>
                <w:szCs w:val="21"/>
              </w:rPr>
            </w:pPr>
          </w:p>
        </w:tc>
        <w:tc>
          <w:tcPr>
            <w:tcW w:w="1276" w:type="dxa"/>
            <w:vMerge w:val="continue"/>
            <w:vAlign w:val="center"/>
          </w:tcPr>
          <w:p w14:paraId="71CA5CBF">
            <w:pPr>
              <w:spacing w:line="276" w:lineRule="auto"/>
              <w:rPr>
                <w:rFonts w:hint="eastAsia" w:ascii="宋体" w:hAnsi="宋体" w:cs="宋体"/>
                <w:szCs w:val="21"/>
              </w:rPr>
            </w:pPr>
          </w:p>
        </w:tc>
        <w:tc>
          <w:tcPr>
            <w:tcW w:w="6921" w:type="dxa"/>
            <w:vAlign w:val="center"/>
          </w:tcPr>
          <w:p w14:paraId="090187E2">
            <w:pPr>
              <w:spacing w:line="276" w:lineRule="auto"/>
              <w:rPr>
                <w:rFonts w:hint="eastAsia" w:ascii="宋体" w:hAnsi="宋体" w:cs="宋体"/>
                <w:szCs w:val="21"/>
              </w:rPr>
            </w:pPr>
            <w:r>
              <w:rPr>
                <w:rFonts w:hint="eastAsia" w:ascii="宋体" w:hAnsi="宋体" w:cs="宋体"/>
                <w:szCs w:val="21"/>
              </w:rPr>
              <w:t>4.2 现场培训：投标供应商应提供现场技术培训，保证使用人员正常使用系统的各种功能。</w:t>
            </w:r>
          </w:p>
        </w:tc>
      </w:tr>
      <w:tr w14:paraId="6EA5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43" w:type="dxa"/>
            <w:gridSpan w:val="3"/>
            <w:vAlign w:val="center"/>
          </w:tcPr>
          <w:p w14:paraId="3B33EAA5">
            <w:pPr>
              <w:spacing w:line="276" w:lineRule="auto"/>
              <w:rPr>
                <w:rFonts w:hint="eastAsia" w:ascii="宋体" w:hAnsi="宋体" w:cs="宋体"/>
                <w:szCs w:val="21"/>
              </w:rPr>
            </w:pPr>
            <w:r>
              <w:rPr>
                <w:rFonts w:hint="eastAsia" w:ascii="宋体" w:hAnsi="宋体" w:cs="宋体"/>
                <w:szCs w:val="21"/>
              </w:rPr>
              <w:t>（二）免费保修期外售后服务要求</w:t>
            </w:r>
          </w:p>
        </w:tc>
      </w:tr>
      <w:tr w14:paraId="47B7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46" w:type="dxa"/>
            <w:vAlign w:val="center"/>
          </w:tcPr>
          <w:p w14:paraId="58D71400">
            <w:pPr>
              <w:spacing w:line="276" w:lineRule="auto"/>
              <w:jc w:val="center"/>
              <w:rPr>
                <w:rFonts w:hint="eastAsia" w:ascii="宋体" w:hAnsi="宋体" w:cs="宋体"/>
                <w:szCs w:val="21"/>
              </w:rPr>
            </w:pPr>
            <w:r>
              <w:rPr>
                <w:rFonts w:hint="eastAsia" w:ascii="宋体" w:hAnsi="宋体" w:cs="宋体"/>
                <w:szCs w:val="21"/>
              </w:rPr>
              <w:t>1</w:t>
            </w:r>
          </w:p>
        </w:tc>
        <w:tc>
          <w:tcPr>
            <w:tcW w:w="1276" w:type="dxa"/>
            <w:vAlign w:val="center"/>
          </w:tcPr>
          <w:p w14:paraId="6368EB69">
            <w:pPr>
              <w:spacing w:line="276" w:lineRule="auto"/>
              <w:rPr>
                <w:rFonts w:hint="eastAsia" w:ascii="宋体" w:hAnsi="宋体" w:cs="宋体"/>
                <w:szCs w:val="21"/>
              </w:rPr>
            </w:pPr>
            <w:r>
              <w:rPr>
                <w:rFonts w:hint="eastAsia" w:ascii="宋体" w:hAnsi="宋体" w:cs="宋体"/>
                <w:szCs w:val="21"/>
              </w:rPr>
              <w:t>免费保修期外售后服务</w:t>
            </w:r>
          </w:p>
        </w:tc>
        <w:tc>
          <w:tcPr>
            <w:tcW w:w="6921" w:type="dxa"/>
            <w:vAlign w:val="center"/>
          </w:tcPr>
          <w:p w14:paraId="672B4126">
            <w:pPr>
              <w:spacing w:line="276" w:lineRule="auto"/>
              <w:rPr>
                <w:rFonts w:hint="eastAsia" w:ascii="宋体" w:hAnsi="宋体" w:cs="宋体"/>
                <w:szCs w:val="21"/>
              </w:rPr>
            </w:pPr>
            <w:r>
              <w:rPr>
                <w:rFonts w:hint="eastAsia" w:ascii="宋体" w:hAnsi="宋体" w:cs="宋体"/>
                <w:szCs w:val="21"/>
              </w:rPr>
              <w:t>免费质保期后继续支持运维工作，并按不超过合同总金额8%收取维保费。</w:t>
            </w:r>
          </w:p>
        </w:tc>
      </w:tr>
      <w:tr w14:paraId="1E0A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43" w:type="dxa"/>
            <w:gridSpan w:val="3"/>
            <w:vAlign w:val="center"/>
          </w:tcPr>
          <w:p w14:paraId="4130B942">
            <w:pPr>
              <w:spacing w:line="276" w:lineRule="auto"/>
              <w:rPr>
                <w:rFonts w:hint="eastAsia" w:ascii="宋体" w:hAnsi="宋体" w:cs="宋体"/>
                <w:szCs w:val="21"/>
              </w:rPr>
            </w:pPr>
            <w:r>
              <w:rPr>
                <w:rFonts w:hint="eastAsia" w:ascii="宋体" w:hAnsi="宋体" w:cs="宋体"/>
                <w:szCs w:val="21"/>
              </w:rPr>
              <w:t>（三）其他商务要求</w:t>
            </w:r>
          </w:p>
        </w:tc>
      </w:tr>
      <w:tr w14:paraId="4FD3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6" w:type="dxa"/>
            <w:vAlign w:val="center"/>
          </w:tcPr>
          <w:p w14:paraId="00732A71">
            <w:pPr>
              <w:spacing w:line="276" w:lineRule="auto"/>
              <w:jc w:val="center"/>
              <w:rPr>
                <w:rFonts w:hint="eastAsia" w:ascii="宋体" w:hAnsi="宋体" w:cs="宋体"/>
                <w:szCs w:val="21"/>
              </w:rPr>
            </w:pPr>
            <w:r>
              <w:rPr>
                <w:rFonts w:hint="eastAsia" w:ascii="宋体" w:hAnsi="宋体" w:cs="宋体"/>
                <w:szCs w:val="21"/>
              </w:rPr>
              <w:t>1</w:t>
            </w:r>
          </w:p>
        </w:tc>
        <w:tc>
          <w:tcPr>
            <w:tcW w:w="1276" w:type="dxa"/>
            <w:vAlign w:val="center"/>
          </w:tcPr>
          <w:p w14:paraId="067579DC">
            <w:pPr>
              <w:spacing w:line="276" w:lineRule="auto"/>
              <w:rPr>
                <w:rFonts w:hint="eastAsia" w:ascii="宋体" w:hAnsi="宋体" w:cs="宋体"/>
                <w:szCs w:val="21"/>
              </w:rPr>
            </w:pPr>
            <w:r>
              <w:rPr>
                <w:rFonts w:hint="eastAsia" w:ascii="宋体" w:hAnsi="宋体" w:cs="宋体"/>
                <w:szCs w:val="21"/>
              </w:rPr>
              <w:t>付款方式</w:t>
            </w:r>
          </w:p>
        </w:tc>
        <w:tc>
          <w:tcPr>
            <w:tcW w:w="6921" w:type="dxa"/>
            <w:vAlign w:val="center"/>
          </w:tcPr>
          <w:p w14:paraId="13C3B667">
            <w:pPr>
              <w:pStyle w:val="40"/>
              <w:spacing w:before="0" w:after="0" w:line="276" w:lineRule="auto"/>
              <w:rPr>
                <w:rFonts w:hint="eastAsia" w:ascii="宋体" w:hAnsi="宋体" w:cs="宋体"/>
                <w:sz w:val="21"/>
                <w:szCs w:val="21"/>
              </w:rPr>
            </w:pPr>
            <w:r>
              <w:rPr>
                <w:rFonts w:ascii="宋体" w:hAnsi="宋体"/>
                <w:color w:val="000000"/>
                <w:sz w:val="21"/>
                <w:szCs w:val="21"/>
              </w:rPr>
              <w:t>采购合同签订后，采购人自收到发票后10个工作日内支付40%的预付款给中标人；项目验收合格后，采购人自收到发票后10个工作日内支付</w:t>
            </w:r>
            <w:r>
              <w:rPr>
                <w:rFonts w:hint="eastAsia" w:ascii="宋体" w:hAnsi="宋体"/>
                <w:color w:val="000000"/>
                <w:sz w:val="21"/>
                <w:szCs w:val="21"/>
              </w:rPr>
              <w:t>60</w:t>
            </w:r>
            <w:r>
              <w:rPr>
                <w:rFonts w:ascii="宋体" w:hAnsi="宋体"/>
                <w:color w:val="000000"/>
                <w:sz w:val="21"/>
                <w:szCs w:val="21"/>
              </w:rPr>
              <w:t>%剩余款项给中标人。每次按合同支付款项前，中标人应向采购人提供与支付金额相符的有效发票，且收款方、出具发票方、合同乙方均必须与中标人名称一致。</w:t>
            </w:r>
          </w:p>
        </w:tc>
      </w:tr>
      <w:tr w14:paraId="6514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6" w:type="dxa"/>
            <w:vAlign w:val="center"/>
          </w:tcPr>
          <w:p w14:paraId="78CEB528">
            <w:pPr>
              <w:spacing w:line="276" w:lineRule="auto"/>
              <w:jc w:val="center"/>
              <w:rPr>
                <w:rFonts w:hint="eastAsia" w:ascii="宋体" w:hAnsi="宋体" w:cs="宋体"/>
                <w:szCs w:val="21"/>
              </w:rPr>
            </w:pPr>
            <w:r>
              <w:rPr>
                <w:rFonts w:hint="eastAsia" w:ascii="宋体" w:hAnsi="宋体" w:cs="宋体"/>
                <w:szCs w:val="21"/>
              </w:rPr>
              <w:t>2</w:t>
            </w:r>
          </w:p>
        </w:tc>
        <w:tc>
          <w:tcPr>
            <w:tcW w:w="1276" w:type="dxa"/>
            <w:vAlign w:val="center"/>
          </w:tcPr>
          <w:p w14:paraId="04D7863B">
            <w:pPr>
              <w:spacing w:line="276" w:lineRule="auto"/>
              <w:rPr>
                <w:rFonts w:hint="eastAsia" w:ascii="宋体" w:hAnsi="宋体" w:cs="宋体"/>
                <w:szCs w:val="21"/>
              </w:rPr>
            </w:pPr>
            <w:r>
              <w:rPr>
                <w:rFonts w:hint="eastAsia" w:ascii="宋体" w:hAnsi="宋体" w:cs="宋体"/>
                <w:szCs w:val="21"/>
              </w:rPr>
              <w:t>关于知识产权</w:t>
            </w:r>
          </w:p>
        </w:tc>
        <w:tc>
          <w:tcPr>
            <w:tcW w:w="6921" w:type="dxa"/>
            <w:vAlign w:val="center"/>
          </w:tcPr>
          <w:p w14:paraId="06B1AF19">
            <w:pPr>
              <w:spacing w:line="276" w:lineRule="auto"/>
              <w:rPr>
                <w:rFonts w:hint="eastAsia" w:ascii="宋体" w:hAnsi="宋体" w:cs="宋体"/>
                <w:szCs w:val="21"/>
              </w:rPr>
            </w:pPr>
            <w:r>
              <w:rPr>
                <w:rFonts w:hint="eastAsia" w:ascii="宋体" w:hAnsi="宋体" w:cs="宋体"/>
                <w:szCs w:val="21"/>
              </w:rPr>
              <w:t>2.1中标方所提供的产品必须符合国家有关软件产品方面的规定和软件标准规范，没有侵犯第三方的合法权利和涉及第三方的诉讼。</w:t>
            </w:r>
          </w:p>
          <w:p w14:paraId="59BDD3B3">
            <w:pPr>
              <w:pStyle w:val="40"/>
              <w:spacing w:before="0" w:after="0" w:line="276" w:lineRule="auto"/>
              <w:rPr>
                <w:rFonts w:hint="eastAsia" w:ascii="宋体" w:hAnsi="宋体" w:cs="宋体"/>
                <w:sz w:val="21"/>
                <w:szCs w:val="21"/>
              </w:rPr>
            </w:pPr>
            <w:r>
              <w:rPr>
                <w:rFonts w:hint="eastAsia" w:ascii="宋体" w:hAnsi="宋体" w:cs="宋体"/>
                <w:sz w:val="21"/>
                <w:szCs w:val="21"/>
              </w:rPr>
              <w:t>2.2采购方在中华人民共和国境内使用该产品或产品的任何一部分时，免受第三方提出的侵犯其专利权、商标权或工业设计权等知识产权的起诉或司法干预。如果发生上述起诉或干预，则其法律责任均由中标方负责。</w:t>
            </w:r>
          </w:p>
        </w:tc>
      </w:tr>
      <w:tr w14:paraId="178C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6" w:type="dxa"/>
            <w:vAlign w:val="center"/>
          </w:tcPr>
          <w:p w14:paraId="10E3CB04">
            <w:pPr>
              <w:spacing w:line="276" w:lineRule="auto"/>
              <w:jc w:val="center"/>
              <w:rPr>
                <w:rFonts w:hint="eastAsia" w:ascii="宋体" w:hAnsi="宋体" w:cs="宋体"/>
                <w:szCs w:val="21"/>
              </w:rPr>
            </w:pPr>
            <w:r>
              <w:rPr>
                <w:rFonts w:hint="eastAsia" w:ascii="宋体" w:hAnsi="宋体" w:cs="宋体"/>
                <w:szCs w:val="21"/>
              </w:rPr>
              <w:t>3</w:t>
            </w:r>
          </w:p>
        </w:tc>
        <w:tc>
          <w:tcPr>
            <w:tcW w:w="1276" w:type="dxa"/>
            <w:vAlign w:val="center"/>
          </w:tcPr>
          <w:p w14:paraId="17E537F9">
            <w:pPr>
              <w:spacing w:line="276" w:lineRule="auto"/>
              <w:rPr>
                <w:rFonts w:hint="eastAsia" w:ascii="宋体" w:hAnsi="宋体" w:cs="宋体"/>
                <w:szCs w:val="21"/>
              </w:rPr>
            </w:pPr>
            <w:r>
              <w:rPr>
                <w:rFonts w:hint="eastAsia" w:ascii="宋体" w:hAnsi="宋体" w:cs="宋体"/>
                <w:szCs w:val="21"/>
              </w:rPr>
              <w:t>关于验收</w:t>
            </w:r>
          </w:p>
        </w:tc>
        <w:tc>
          <w:tcPr>
            <w:tcW w:w="6921" w:type="dxa"/>
            <w:vAlign w:val="center"/>
          </w:tcPr>
          <w:p w14:paraId="3A7DEC01">
            <w:pPr>
              <w:pStyle w:val="40"/>
              <w:spacing w:before="0" w:after="0" w:line="276" w:lineRule="auto"/>
              <w:rPr>
                <w:rFonts w:hint="eastAsia" w:ascii="宋体" w:hAnsi="宋体" w:cs="宋体"/>
                <w:sz w:val="21"/>
                <w:szCs w:val="21"/>
              </w:rPr>
            </w:pPr>
            <w:r>
              <w:rPr>
                <w:rFonts w:hint="eastAsia" w:ascii="宋体" w:hAnsi="宋体" w:cs="宋体"/>
                <w:color w:val="000000" w:themeColor="text1"/>
                <w:sz w:val="21"/>
                <w:szCs w:val="21"/>
                <w14:textFill>
                  <w14:solidFill>
                    <w14:schemeClr w14:val="tx1"/>
                  </w14:solidFill>
                </w14:textFill>
              </w:rPr>
              <w:t>3.1必须符合有关国标的规定。响应文件提供的技术数据经实测证实是真实的。检验及质量保证期内达到的性能指标与要求一致，达到或优于相应标准。</w:t>
            </w:r>
          </w:p>
          <w:p w14:paraId="2C70259E">
            <w:pPr>
              <w:pStyle w:val="40"/>
              <w:spacing w:before="0" w:after="0" w:line="276" w:lineRule="auto"/>
              <w:rPr>
                <w:rFonts w:hint="eastAsia" w:ascii="宋体" w:hAnsi="宋体" w:cs="宋体"/>
                <w:sz w:val="21"/>
                <w:szCs w:val="21"/>
              </w:rPr>
            </w:pPr>
            <w:r>
              <w:rPr>
                <w:rFonts w:hint="eastAsia" w:ascii="宋体" w:hAnsi="宋体" w:cs="宋体"/>
                <w:color w:val="000000" w:themeColor="text1"/>
                <w:sz w:val="21"/>
                <w:szCs w:val="21"/>
                <w14:textFill>
                  <w14:solidFill>
                    <w14:schemeClr w14:val="tx1"/>
                  </w14:solidFill>
                </w14:textFill>
              </w:rPr>
              <w:t>3.2技术文件资料、备件等已按规定数量移交完毕。</w:t>
            </w:r>
          </w:p>
          <w:p w14:paraId="79781C03">
            <w:pPr>
              <w:spacing w:line="276" w:lineRule="auto"/>
              <w:rPr>
                <w:rFonts w:hint="eastAsia" w:ascii="宋体" w:hAnsi="宋体" w:cs="宋体"/>
                <w:szCs w:val="21"/>
              </w:rPr>
            </w:pPr>
            <w:r>
              <w:rPr>
                <w:rFonts w:hint="eastAsia" w:ascii="宋体" w:hAnsi="宋体" w:cs="宋体"/>
                <w:szCs w:val="21"/>
              </w:rPr>
              <w:t>3.3由采购方与中标方共同对项目进行验收，验收不合格，采购方有权要求中标方进行整改，中标方整改完成后再次组织验收，验收合格后交付采购方使收用。</w:t>
            </w:r>
          </w:p>
          <w:p w14:paraId="2CC6B216">
            <w:pPr>
              <w:spacing w:line="276" w:lineRule="auto"/>
              <w:rPr>
                <w:rFonts w:hint="eastAsia" w:ascii="宋体" w:hAnsi="宋体" w:cs="宋体"/>
                <w:szCs w:val="21"/>
              </w:rPr>
            </w:pPr>
            <w:r>
              <w:rPr>
                <w:rFonts w:hint="eastAsia" w:ascii="宋体" w:hAnsi="宋体" w:cs="宋体"/>
                <w:szCs w:val="21"/>
              </w:rPr>
              <w:t>3.4当满足以下条件时，采购方才向中标方签发验收报告：</w:t>
            </w:r>
          </w:p>
          <w:p w14:paraId="699ED90C">
            <w:pPr>
              <w:spacing w:line="276" w:lineRule="auto"/>
              <w:rPr>
                <w:rFonts w:hint="eastAsia" w:ascii="宋体" w:hAnsi="宋体" w:cs="宋体"/>
                <w:szCs w:val="21"/>
              </w:rPr>
            </w:pPr>
            <w:r>
              <w:rPr>
                <w:rFonts w:hint="eastAsia" w:ascii="宋体" w:hAnsi="宋体" w:cs="宋体"/>
                <w:szCs w:val="21"/>
              </w:rPr>
              <w:t>3.4.1中标方已按照合同规定提供了全部产品及完整的技术资料。</w:t>
            </w:r>
          </w:p>
          <w:p w14:paraId="60916D30">
            <w:pPr>
              <w:spacing w:line="276" w:lineRule="auto"/>
              <w:rPr>
                <w:rFonts w:hint="eastAsia" w:ascii="宋体" w:hAnsi="宋体" w:cs="宋体"/>
                <w:szCs w:val="21"/>
              </w:rPr>
            </w:pPr>
            <w:r>
              <w:rPr>
                <w:rFonts w:hint="eastAsia" w:ascii="宋体" w:hAnsi="宋体" w:cs="宋体"/>
                <w:szCs w:val="21"/>
              </w:rPr>
              <w:t>3.4.2产品符合招标文件技术规格书的要求，性能满足要求。</w:t>
            </w:r>
          </w:p>
          <w:p w14:paraId="1710FC8F">
            <w:pPr>
              <w:pStyle w:val="40"/>
              <w:spacing w:before="0" w:after="0" w:line="276" w:lineRule="auto"/>
              <w:rPr>
                <w:rFonts w:hint="eastAsia" w:ascii="宋体" w:hAnsi="宋体" w:cs="宋体"/>
                <w:bCs w:val="0"/>
                <w:spacing w:val="0"/>
                <w:kern w:val="2"/>
                <w:sz w:val="21"/>
                <w:szCs w:val="21"/>
              </w:rPr>
            </w:pPr>
            <w:r>
              <w:rPr>
                <w:rFonts w:hint="eastAsia" w:ascii="宋体" w:hAnsi="宋体" w:cs="宋体"/>
                <w:bCs w:val="0"/>
                <w:spacing w:val="0"/>
                <w:kern w:val="2"/>
                <w:sz w:val="21"/>
                <w:szCs w:val="21"/>
              </w:rPr>
              <w:t>3.4.3在招标文件服务范围内，具体功能以招标文件技术参数需求为准。</w:t>
            </w:r>
            <w:r>
              <w:rPr>
                <w:rFonts w:hint="eastAsia" w:ascii="宋体" w:hAnsi="宋体" w:cs="宋体"/>
                <w:bCs w:val="0"/>
                <w:spacing w:val="0"/>
                <w:kern w:val="2"/>
                <w:sz w:val="21"/>
                <w:szCs w:val="21"/>
              </w:rPr>
              <w:br w:type="textWrapping"/>
            </w:r>
            <w:r>
              <w:rPr>
                <w:rFonts w:hint="eastAsia" w:ascii="宋体" w:hAnsi="宋体" w:cs="宋体"/>
                <w:b/>
                <w:spacing w:val="0"/>
                <w:kern w:val="2"/>
                <w:sz w:val="21"/>
                <w:szCs w:val="21"/>
              </w:rPr>
              <w:t>3.4.</w:t>
            </w:r>
            <w:bookmarkStart w:id="1" w:name="OLE_LINK2"/>
            <w:r>
              <w:rPr>
                <w:rFonts w:hint="eastAsia" w:ascii="宋体" w:hAnsi="宋体" w:cs="宋体"/>
                <w:b/>
                <w:spacing w:val="0"/>
                <w:kern w:val="2"/>
                <w:sz w:val="21"/>
                <w:szCs w:val="21"/>
              </w:rPr>
              <w:t>4</w:t>
            </w:r>
            <w:r>
              <w:rPr>
                <w:rFonts w:hint="eastAsia" w:ascii="宋体" w:hAnsi="宋体" w:cs="宋体"/>
                <w:b/>
                <w:sz w:val="21"/>
                <w:szCs w:val="21"/>
              </w:rPr>
              <w:t>系统个性开发源代码以及产生的数据归采购方所有。</w:t>
            </w:r>
            <w:bookmarkEnd w:id="1"/>
          </w:p>
        </w:tc>
      </w:tr>
      <w:tr w14:paraId="06E1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6" w:type="dxa"/>
            <w:vAlign w:val="center"/>
          </w:tcPr>
          <w:p w14:paraId="5C9CE37F">
            <w:pPr>
              <w:spacing w:line="276" w:lineRule="auto"/>
              <w:jc w:val="center"/>
              <w:rPr>
                <w:rFonts w:hint="eastAsia" w:ascii="宋体" w:hAnsi="宋体" w:cs="宋体"/>
                <w:szCs w:val="21"/>
              </w:rPr>
            </w:pPr>
            <w:r>
              <w:rPr>
                <w:rFonts w:hint="eastAsia" w:ascii="宋体" w:hAnsi="宋体" w:cs="宋体"/>
                <w:szCs w:val="21"/>
              </w:rPr>
              <w:t>4</w:t>
            </w:r>
          </w:p>
        </w:tc>
        <w:tc>
          <w:tcPr>
            <w:tcW w:w="1276" w:type="dxa"/>
            <w:vAlign w:val="center"/>
          </w:tcPr>
          <w:p w14:paraId="5E548D14">
            <w:pPr>
              <w:spacing w:line="276" w:lineRule="auto"/>
              <w:rPr>
                <w:rFonts w:hint="eastAsia" w:ascii="宋体" w:hAnsi="宋体" w:cs="宋体"/>
                <w:szCs w:val="21"/>
              </w:rPr>
            </w:pPr>
            <w:r>
              <w:rPr>
                <w:rFonts w:hint="eastAsia" w:ascii="宋体" w:hAnsi="宋体" w:cs="宋体"/>
                <w:szCs w:val="21"/>
              </w:rPr>
              <w:t>基本要求</w:t>
            </w:r>
          </w:p>
        </w:tc>
        <w:tc>
          <w:tcPr>
            <w:tcW w:w="6921" w:type="dxa"/>
            <w:vAlign w:val="center"/>
          </w:tcPr>
          <w:p w14:paraId="538E2736">
            <w:pPr>
              <w:spacing w:line="276" w:lineRule="auto"/>
              <w:rPr>
                <w:rFonts w:hint="eastAsia" w:ascii="宋体" w:hAnsi="宋体" w:cs="宋体"/>
                <w:szCs w:val="21"/>
              </w:rPr>
            </w:pPr>
            <w:r>
              <w:rPr>
                <w:rFonts w:hint="eastAsia" w:ascii="宋体" w:hAnsi="宋体" w:cs="宋体"/>
                <w:szCs w:val="21"/>
              </w:rPr>
              <w:t>4.1中标方需在采购方规定的时间内完成项目交付。</w:t>
            </w:r>
          </w:p>
          <w:p w14:paraId="46AF6B8C">
            <w:pPr>
              <w:spacing w:line="276" w:lineRule="auto"/>
              <w:rPr>
                <w:rFonts w:hint="eastAsia" w:ascii="宋体" w:hAnsi="宋体" w:cs="宋体"/>
                <w:szCs w:val="21"/>
              </w:rPr>
            </w:pPr>
            <w:r>
              <w:rPr>
                <w:rFonts w:hint="eastAsia" w:ascii="宋体" w:hAnsi="宋体" w:cs="宋体"/>
                <w:szCs w:val="21"/>
              </w:rPr>
              <w:t>4.2采购方反复提出修改意见导致中标方工作不能按时完成时，可按延长时间顺延执行。</w:t>
            </w:r>
          </w:p>
        </w:tc>
      </w:tr>
      <w:tr w14:paraId="4921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043" w:type="dxa"/>
            <w:gridSpan w:val="3"/>
            <w:vAlign w:val="center"/>
          </w:tcPr>
          <w:p w14:paraId="6165E76B">
            <w:pPr>
              <w:spacing w:line="276" w:lineRule="auto"/>
              <w:rPr>
                <w:rFonts w:hint="eastAsia" w:ascii="宋体" w:hAnsi="宋体" w:cs="宋体"/>
                <w:szCs w:val="21"/>
              </w:rPr>
            </w:pPr>
            <w:r>
              <w:rPr>
                <w:rFonts w:hint="eastAsia" w:ascii="宋体" w:hAnsi="宋体" w:cs="宋体"/>
                <w:szCs w:val="21"/>
              </w:rPr>
              <w:t>（三）其他商务要求</w:t>
            </w:r>
          </w:p>
        </w:tc>
      </w:tr>
      <w:tr w14:paraId="41BB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6" w:type="dxa"/>
            <w:vAlign w:val="center"/>
          </w:tcPr>
          <w:p w14:paraId="5E57EE51">
            <w:pPr>
              <w:spacing w:line="276" w:lineRule="auto"/>
              <w:jc w:val="center"/>
              <w:rPr>
                <w:rFonts w:hint="eastAsia" w:ascii="宋体" w:hAnsi="宋体" w:cs="宋体"/>
                <w:szCs w:val="21"/>
              </w:rPr>
            </w:pPr>
            <w:r>
              <w:rPr>
                <w:rFonts w:hint="eastAsia" w:ascii="宋体" w:hAnsi="宋体" w:cs="宋体"/>
                <w:szCs w:val="21"/>
              </w:rPr>
              <w:t>1</w:t>
            </w:r>
          </w:p>
        </w:tc>
        <w:tc>
          <w:tcPr>
            <w:tcW w:w="1276" w:type="dxa"/>
            <w:vAlign w:val="center"/>
          </w:tcPr>
          <w:p w14:paraId="66E92551">
            <w:pPr>
              <w:spacing w:line="276" w:lineRule="auto"/>
              <w:rPr>
                <w:rFonts w:hint="eastAsia" w:ascii="宋体" w:hAnsi="宋体" w:cs="宋体"/>
                <w:szCs w:val="21"/>
              </w:rPr>
            </w:pPr>
            <w:r>
              <w:rPr>
                <w:rFonts w:hint="eastAsia" w:ascii="宋体" w:hAnsi="宋体" w:cs="宋体"/>
                <w:szCs w:val="21"/>
              </w:rPr>
              <w:t>关于违约</w:t>
            </w:r>
          </w:p>
        </w:tc>
        <w:tc>
          <w:tcPr>
            <w:tcW w:w="6921" w:type="dxa"/>
            <w:vAlign w:val="center"/>
          </w:tcPr>
          <w:p w14:paraId="1CC787C6">
            <w:pPr>
              <w:pStyle w:val="2"/>
              <w:spacing w:line="276" w:lineRule="auto"/>
              <w:rPr>
                <w:rFonts w:hint="eastAsia" w:ascii="宋体" w:hAnsi="宋体" w:cs="宋体"/>
                <w:szCs w:val="21"/>
              </w:rPr>
            </w:pPr>
            <w:r>
              <w:rPr>
                <w:rFonts w:hint="eastAsia" w:ascii="宋体" w:hAnsi="宋体" w:cs="宋体"/>
                <w:szCs w:val="21"/>
              </w:rPr>
              <w:t>1.1 中标方所交付产品不符合其投标承诺的或在投标阶段为了中标而盲目虚假承诺、低价恶性竞争，在履约阶段则通过偷工减料、以次充好而获取利润的，将扣除货款；并上报主管部门。</w:t>
            </w:r>
          </w:p>
        </w:tc>
      </w:tr>
    </w:tbl>
    <w:p w14:paraId="63EB76AA"/>
    <w:p w14:paraId="54000214">
      <w:pPr>
        <w:pStyle w:val="4"/>
        <w:numPr>
          <w:ilvl w:val="0"/>
          <w:numId w:val="3"/>
        </w:numPr>
        <w:jc w:val="left"/>
        <w:rPr>
          <w:rFonts w:hint="eastAsia" w:asciiTheme="majorEastAsia" w:hAnsiTheme="majorEastAsia"/>
          <w:sz w:val="28"/>
          <w:szCs w:val="28"/>
        </w:rPr>
      </w:pPr>
      <w:r>
        <w:rPr>
          <w:rFonts w:hint="eastAsia" w:asciiTheme="majorEastAsia" w:hAnsiTheme="majorEastAsia"/>
          <w:sz w:val="28"/>
          <w:szCs w:val="28"/>
        </w:rPr>
        <w:t>评审标准</w:t>
      </w:r>
      <w:r>
        <w:rPr>
          <w:rFonts w:hint="eastAsia" w:ascii="楷体_GB2312" w:hAnsi="楷体_GB2312" w:eastAsia="楷体_GB2312" w:cs="楷体_GB2312"/>
          <w:color w:val="auto"/>
          <w:highlight w:val="yellow"/>
        </w:rPr>
        <w:t>（综合得分60分以下的视为投标无效）</w:t>
      </w:r>
    </w:p>
    <w:tbl>
      <w:tblPr>
        <w:tblStyle w:val="20"/>
        <w:tblpPr w:leftFromText="180" w:rightFromText="180" w:vertAnchor="text" w:horzAnchor="page" w:tblpX="847" w:tblpY="228"/>
        <w:tblOverlap w:val="never"/>
        <w:tblW w:w="0" w:type="auto"/>
        <w:tblCellSpacing w:w="0" w:type="dxa"/>
        <w:tblInd w:w="0" w:type="dxa"/>
        <w:tblLayout w:type="fixed"/>
        <w:tblCellMar>
          <w:top w:w="45" w:type="dxa"/>
          <w:left w:w="45" w:type="dxa"/>
          <w:bottom w:w="45" w:type="dxa"/>
          <w:right w:w="45" w:type="dxa"/>
        </w:tblCellMar>
      </w:tblPr>
      <w:tblGrid>
        <w:gridCol w:w="9604"/>
      </w:tblGrid>
      <w:tr w14:paraId="6EBD5165">
        <w:tblPrEx>
          <w:tblCellMar>
            <w:top w:w="45" w:type="dxa"/>
            <w:left w:w="45" w:type="dxa"/>
            <w:bottom w:w="45" w:type="dxa"/>
            <w:right w:w="45" w:type="dxa"/>
          </w:tblCellMar>
        </w:tblPrEx>
        <w:trPr>
          <w:trHeight w:val="98" w:hRule="atLeast"/>
          <w:tblCellSpacing w:w="0" w:type="dxa"/>
        </w:trPr>
        <w:tc>
          <w:tcPr>
            <w:tcW w:w="9604" w:type="dxa"/>
            <w:tcBorders>
              <w:top w:val="nil"/>
              <w:left w:val="nil"/>
              <w:bottom w:val="nil"/>
              <w:right w:val="nil"/>
            </w:tcBorders>
            <w:vAlign w:val="center"/>
          </w:tcPr>
          <w:tbl>
            <w:tblPr>
              <w:tblStyle w:val="20"/>
              <w:tblpPr w:leftFromText="180" w:rightFromText="180" w:vertAnchor="text" w:horzAnchor="page" w:tblpX="-145" w:tblpY="341"/>
              <w:tblOverlap w:val="never"/>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827"/>
              <w:gridCol w:w="668"/>
              <w:gridCol w:w="1687"/>
              <w:gridCol w:w="847"/>
              <w:gridCol w:w="5436"/>
            </w:tblGrid>
            <w:tr w14:paraId="0BDE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728" w:hRule="atLeast"/>
              </w:trPr>
              <w:tc>
                <w:tcPr>
                  <w:tcW w:w="827" w:type="dxa"/>
                  <w:shd w:val="clear" w:color="auto" w:fill="E6EFFA"/>
                  <w:vAlign w:val="center"/>
                </w:tcPr>
                <w:p w14:paraId="2A53E754">
                  <w:pPr>
                    <w:widowControl/>
                    <w:spacing w:line="276"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kern w:val="0"/>
                      <w:szCs w:val="21"/>
                    </w:rPr>
                    <w:t>序号</w:t>
                  </w:r>
                </w:p>
              </w:tc>
              <w:tc>
                <w:tcPr>
                  <w:tcW w:w="3202" w:type="dxa"/>
                  <w:gridSpan w:val="3"/>
                  <w:shd w:val="clear" w:color="auto" w:fill="E6EFFA"/>
                  <w:vAlign w:val="center"/>
                </w:tcPr>
                <w:p w14:paraId="057F3FA5">
                  <w:pPr>
                    <w:widowControl/>
                    <w:wordWrap w:val="0"/>
                    <w:spacing w:line="276"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kern w:val="0"/>
                      <w:szCs w:val="21"/>
                    </w:rPr>
                    <w:t>评分项</w:t>
                  </w:r>
                </w:p>
              </w:tc>
              <w:tc>
                <w:tcPr>
                  <w:tcW w:w="5436" w:type="dxa"/>
                  <w:shd w:val="clear" w:color="auto" w:fill="E6EFFA"/>
                  <w:vAlign w:val="center"/>
                </w:tcPr>
                <w:p w14:paraId="4D0AFC1D">
                  <w:pPr>
                    <w:widowControl/>
                    <w:wordWrap w:val="0"/>
                    <w:spacing w:line="276"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kern w:val="0"/>
                      <w:szCs w:val="21"/>
                    </w:rPr>
                    <w:t>权重(%)</w:t>
                  </w:r>
                </w:p>
              </w:tc>
            </w:tr>
            <w:tr w14:paraId="5472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02" w:hRule="atLeast"/>
              </w:trPr>
              <w:tc>
                <w:tcPr>
                  <w:tcW w:w="827" w:type="dxa"/>
                  <w:vMerge w:val="restart"/>
                </w:tcPr>
                <w:p w14:paraId="78B878FC">
                  <w:pPr>
                    <w:widowControl/>
                    <w:wordWrap w:val="0"/>
                    <w:spacing w:line="276"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FF"/>
                      <w:kern w:val="0"/>
                      <w:szCs w:val="21"/>
                    </w:rPr>
                    <w:t>1</w:t>
                  </w:r>
                </w:p>
              </w:tc>
              <w:tc>
                <w:tcPr>
                  <w:tcW w:w="3202" w:type="dxa"/>
                  <w:gridSpan w:val="3"/>
                  <w:vMerge w:val="restart"/>
                </w:tcPr>
                <w:p w14:paraId="234B38E5">
                  <w:pPr>
                    <w:widowControl/>
                    <w:wordWrap w:val="0"/>
                    <w:spacing w:line="276"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FF"/>
                      <w:kern w:val="0"/>
                      <w:szCs w:val="21"/>
                    </w:rPr>
                    <w:t>价格</w:t>
                  </w:r>
                </w:p>
              </w:tc>
              <w:tc>
                <w:tcPr>
                  <w:tcW w:w="5436" w:type="dxa"/>
                </w:tcPr>
                <w:p w14:paraId="0AA24E3D">
                  <w:pPr>
                    <w:widowControl/>
                    <w:wordWrap w:val="0"/>
                    <w:spacing w:line="276"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FF"/>
                      <w:kern w:val="0"/>
                      <w:szCs w:val="21"/>
                    </w:rPr>
                    <w:t>20</w:t>
                  </w:r>
                </w:p>
              </w:tc>
            </w:tr>
            <w:tr w14:paraId="1132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02" w:hRule="atLeast"/>
              </w:trPr>
              <w:tc>
                <w:tcPr>
                  <w:tcW w:w="827" w:type="dxa"/>
                  <w:vMerge w:val="continue"/>
                </w:tcPr>
                <w:p w14:paraId="09D59338">
                  <w:pPr>
                    <w:widowControl/>
                    <w:wordWrap w:val="0"/>
                    <w:spacing w:line="276" w:lineRule="auto"/>
                    <w:jc w:val="center"/>
                    <w:rPr>
                      <w:rFonts w:hint="eastAsia" w:ascii="宋体" w:hAnsi="宋体" w:cs="宋体"/>
                      <w:b/>
                      <w:bCs/>
                      <w:color w:val="0000FF"/>
                      <w:kern w:val="0"/>
                      <w:szCs w:val="21"/>
                    </w:rPr>
                  </w:pPr>
                </w:p>
              </w:tc>
              <w:tc>
                <w:tcPr>
                  <w:tcW w:w="3202" w:type="dxa"/>
                  <w:gridSpan w:val="3"/>
                  <w:vMerge w:val="continue"/>
                </w:tcPr>
                <w:p w14:paraId="5A58DDB6">
                  <w:pPr>
                    <w:widowControl/>
                    <w:wordWrap w:val="0"/>
                    <w:spacing w:line="276" w:lineRule="auto"/>
                    <w:jc w:val="center"/>
                    <w:rPr>
                      <w:rFonts w:hint="eastAsia" w:ascii="宋体" w:hAnsi="宋体" w:cs="宋体"/>
                      <w:b/>
                      <w:bCs/>
                      <w:color w:val="0000FF"/>
                      <w:kern w:val="0"/>
                      <w:szCs w:val="21"/>
                    </w:rPr>
                  </w:pPr>
                </w:p>
              </w:tc>
              <w:tc>
                <w:tcPr>
                  <w:tcW w:w="5436" w:type="dxa"/>
                </w:tcPr>
                <w:p w14:paraId="2CE4D9D5">
                  <w:pPr>
                    <w:pStyle w:val="17"/>
                    <w:spacing w:line="240" w:lineRule="exact"/>
                    <w:rPr>
                      <w:rFonts w:hint="eastAsia" w:ascii="宋体" w:hAnsi="宋体" w:cs="宋体"/>
                      <w:sz w:val="21"/>
                      <w:szCs w:val="21"/>
                    </w:rPr>
                  </w:pPr>
                  <w:r>
                    <w:rPr>
                      <w:rFonts w:hint="eastAsia" w:ascii="宋体" w:hAnsi="宋体" w:cs="宋体"/>
                      <w:sz w:val="21"/>
                      <w:szCs w:val="21"/>
                    </w:rPr>
                    <w:t>采用低价优先法计算，即满足招标文件要求且投标价格最低的投标报价为评标基准价，其价格分为满分。其他投标人的价格分统一按照下列公式计算：</w:t>
                  </w:r>
                </w:p>
                <w:p w14:paraId="7D866561">
                  <w:pPr>
                    <w:widowControl/>
                    <w:wordWrap w:val="0"/>
                    <w:spacing w:line="276" w:lineRule="auto"/>
                    <w:jc w:val="center"/>
                    <w:rPr>
                      <w:rFonts w:hint="eastAsia" w:ascii="宋体" w:hAnsi="宋体" w:cs="宋体"/>
                      <w:b/>
                      <w:bCs/>
                      <w:color w:val="0000FF"/>
                      <w:kern w:val="0"/>
                      <w:szCs w:val="21"/>
                    </w:rPr>
                  </w:pPr>
                  <w:r>
                    <w:rPr>
                      <w:rFonts w:hint="eastAsia" w:ascii="宋体" w:hAnsi="宋体" w:cs="宋体"/>
                      <w:szCs w:val="21"/>
                    </w:rPr>
                    <w:t>投标报价得分=(评标基准价／投标报价)×价格权重</w:t>
                  </w:r>
                </w:p>
              </w:tc>
            </w:tr>
            <w:tr w14:paraId="6BD8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c>
                <w:tcPr>
                  <w:tcW w:w="827" w:type="dxa"/>
                  <w:vMerge w:val="restart"/>
                </w:tcPr>
                <w:p w14:paraId="0C888E89">
                  <w:pPr>
                    <w:widowControl/>
                    <w:wordWrap w:val="0"/>
                    <w:spacing w:line="276"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FF"/>
                      <w:kern w:val="0"/>
                      <w:szCs w:val="21"/>
                    </w:rPr>
                    <w:t>2</w:t>
                  </w:r>
                </w:p>
              </w:tc>
              <w:tc>
                <w:tcPr>
                  <w:tcW w:w="3202" w:type="dxa"/>
                  <w:gridSpan w:val="3"/>
                </w:tcPr>
                <w:p w14:paraId="05883D4D">
                  <w:pPr>
                    <w:widowControl/>
                    <w:wordWrap w:val="0"/>
                    <w:spacing w:line="276"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FF"/>
                      <w:kern w:val="0"/>
                      <w:szCs w:val="21"/>
                    </w:rPr>
                    <w:t>技术部分</w:t>
                  </w:r>
                </w:p>
              </w:tc>
              <w:tc>
                <w:tcPr>
                  <w:tcW w:w="5436" w:type="dxa"/>
                </w:tcPr>
                <w:p w14:paraId="18F752CE">
                  <w:pPr>
                    <w:widowControl/>
                    <w:wordWrap w:val="0"/>
                    <w:spacing w:line="276"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FF"/>
                      <w:kern w:val="0"/>
                      <w:szCs w:val="21"/>
                    </w:rPr>
                    <w:t>55</w:t>
                  </w:r>
                </w:p>
              </w:tc>
            </w:tr>
            <w:tr w14:paraId="16C9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c>
                <w:tcPr>
                  <w:tcW w:w="827" w:type="dxa"/>
                  <w:vMerge w:val="continue"/>
                  <w:shd w:val="clear" w:color="auto" w:fill="E6EFFA"/>
                  <w:vAlign w:val="center"/>
                </w:tcPr>
                <w:p w14:paraId="0E5AD9A2">
                  <w:pPr>
                    <w:widowControl/>
                    <w:spacing w:line="276" w:lineRule="auto"/>
                    <w:jc w:val="left"/>
                    <w:rPr>
                      <w:rFonts w:hint="eastAsia" w:ascii="宋体" w:hAnsi="宋体" w:cs="宋体"/>
                      <w:b/>
                      <w:bCs/>
                      <w:color w:val="000000" w:themeColor="text1"/>
                      <w:kern w:val="0"/>
                      <w:szCs w:val="21"/>
                      <w14:textFill>
                        <w14:solidFill>
                          <w14:schemeClr w14:val="tx1"/>
                        </w14:solidFill>
                      </w14:textFill>
                    </w:rPr>
                  </w:pPr>
                </w:p>
              </w:tc>
              <w:tc>
                <w:tcPr>
                  <w:tcW w:w="668" w:type="dxa"/>
                  <w:shd w:val="clear" w:color="auto" w:fill="E6EFFA"/>
                  <w:vAlign w:val="center"/>
                </w:tcPr>
                <w:p w14:paraId="26450FC8">
                  <w:pPr>
                    <w:widowControl/>
                    <w:wordWrap w:val="0"/>
                    <w:spacing w:line="276"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序号</w:t>
                  </w:r>
                </w:p>
              </w:tc>
              <w:tc>
                <w:tcPr>
                  <w:tcW w:w="1687" w:type="dxa"/>
                  <w:shd w:val="clear" w:color="auto" w:fill="E6EFFA"/>
                  <w:vAlign w:val="center"/>
                </w:tcPr>
                <w:p w14:paraId="34D62857">
                  <w:pPr>
                    <w:widowControl/>
                    <w:wordWrap w:val="0"/>
                    <w:spacing w:line="276"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评分因素</w:t>
                  </w:r>
                </w:p>
              </w:tc>
              <w:tc>
                <w:tcPr>
                  <w:tcW w:w="847" w:type="dxa"/>
                  <w:shd w:val="clear" w:color="auto" w:fill="E6EFFA"/>
                  <w:vAlign w:val="center"/>
                </w:tcPr>
                <w:p w14:paraId="31341C6F">
                  <w:pPr>
                    <w:widowControl/>
                    <w:wordWrap w:val="0"/>
                    <w:spacing w:line="276"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权重(%)</w:t>
                  </w:r>
                </w:p>
              </w:tc>
              <w:tc>
                <w:tcPr>
                  <w:tcW w:w="5436" w:type="dxa"/>
                  <w:shd w:val="clear" w:color="auto" w:fill="E6EFFA"/>
                  <w:vAlign w:val="center"/>
                </w:tcPr>
                <w:p w14:paraId="405FD8F0">
                  <w:pPr>
                    <w:widowControl/>
                    <w:wordWrap w:val="0"/>
                    <w:spacing w:line="276"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评分准则</w:t>
                  </w:r>
                </w:p>
              </w:tc>
            </w:tr>
            <w:tr w14:paraId="7002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c>
                <w:tcPr>
                  <w:tcW w:w="827" w:type="dxa"/>
                  <w:vMerge w:val="continue"/>
                  <w:vAlign w:val="center"/>
                </w:tcPr>
                <w:p w14:paraId="244F2459">
                  <w:pPr>
                    <w:widowControl/>
                    <w:spacing w:line="276" w:lineRule="auto"/>
                    <w:jc w:val="left"/>
                    <w:rPr>
                      <w:rFonts w:hint="eastAsia" w:ascii="宋体" w:hAnsi="宋体" w:cs="宋体"/>
                      <w:b/>
                      <w:bCs/>
                      <w:color w:val="000000" w:themeColor="text1"/>
                      <w:kern w:val="0"/>
                      <w:szCs w:val="21"/>
                      <w14:textFill>
                        <w14:solidFill>
                          <w14:schemeClr w14:val="tx1"/>
                        </w14:solidFill>
                      </w14:textFill>
                    </w:rPr>
                  </w:pPr>
                </w:p>
              </w:tc>
              <w:tc>
                <w:tcPr>
                  <w:tcW w:w="668" w:type="dxa"/>
                  <w:vAlign w:val="center"/>
                </w:tcPr>
                <w:p w14:paraId="0541EFEE">
                  <w:pPr>
                    <w:widowControl/>
                    <w:wordWrap w:val="0"/>
                    <w:spacing w:line="276"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1</w:t>
                  </w:r>
                </w:p>
              </w:tc>
              <w:tc>
                <w:tcPr>
                  <w:tcW w:w="1687" w:type="dxa"/>
                  <w:vAlign w:val="center"/>
                </w:tcPr>
                <w:p w14:paraId="10863C05">
                  <w:pPr>
                    <w:pStyle w:val="41"/>
                    <w:spacing w:line="276" w:lineRule="auto"/>
                    <w:ind w:left="101"/>
                    <w:jc w:val="center"/>
                    <w:rPr>
                      <w:rFonts w:hint="eastAsia"/>
                      <w:color w:val="000000" w:themeColor="text1"/>
                      <w:kern w:val="0"/>
                      <w:sz w:val="21"/>
                      <w:szCs w:val="21"/>
                      <w:lang w:eastAsia="zh-CN"/>
                      <w14:textFill>
                        <w14:solidFill>
                          <w14:schemeClr w14:val="tx1"/>
                        </w14:solidFill>
                      </w14:textFill>
                    </w:rPr>
                  </w:pPr>
                  <w:r>
                    <w:rPr>
                      <w:bCs/>
                      <w:szCs w:val="21"/>
                    </w:rPr>
                    <w:t>技术参数响应情况</w:t>
                  </w:r>
                </w:p>
              </w:tc>
              <w:tc>
                <w:tcPr>
                  <w:tcW w:w="847" w:type="dxa"/>
                  <w:vAlign w:val="center"/>
                </w:tcPr>
                <w:p w14:paraId="583838F4">
                  <w:pPr>
                    <w:pStyle w:val="41"/>
                    <w:spacing w:line="276" w:lineRule="auto"/>
                    <w:ind w:left="287"/>
                    <w:jc w:val="left"/>
                    <w:rPr>
                      <w:rFonts w:hint="eastAsia"/>
                      <w:color w:val="000000" w:themeColor="text1"/>
                      <w:kern w:val="0"/>
                      <w:sz w:val="21"/>
                      <w:szCs w:val="21"/>
                      <w:lang w:eastAsia="zh-CN"/>
                      <w14:textFill>
                        <w14:solidFill>
                          <w14:schemeClr w14:val="tx1"/>
                        </w14:solidFill>
                      </w14:textFill>
                    </w:rPr>
                  </w:pPr>
                  <w:r>
                    <w:rPr>
                      <w:rFonts w:hint="eastAsia"/>
                      <w:sz w:val="21"/>
                      <w:szCs w:val="21"/>
                      <w:lang w:eastAsia="zh-CN"/>
                    </w:rPr>
                    <w:t>25</w:t>
                  </w:r>
                </w:p>
              </w:tc>
              <w:tc>
                <w:tcPr>
                  <w:tcW w:w="5436" w:type="dxa"/>
                </w:tcPr>
                <w:p w14:paraId="3D565A0F">
                  <w:pPr>
                    <w:numPr>
                      <w:ilvl w:val="0"/>
                      <w:numId w:val="4"/>
                    </w:numPr>
                    <w:shd w:val="clear" w:color="auto" w:fill="FFFFFF"/>
                    <w:spacing w:line="276" w:lineRule="auto"/>
                    <w:rPr>
                      <w:rFonts w:hint="eastAsia" w:ascii="宋体" w:hAnsi="宋体" w:cs="宋体"/>
                      <w:b/>
                      <w:szCs w:val="21"/>
                    </w:rPr>
                  </w:pPr>
                  <w:r>
                    <w:rPr>
                      <w:rFonts w:hint="eastAsia" w:ascii="宋体" w:hAnsi="宋体" w:cs="宋体"/>
                      <w:b/>
                      <w:szCs w:val="21"/>
                    </w:rPr>
                    <w:t>评分内容</w:t>
                  </w:r>
                </w:p>
                <w:p w14:paraId="0E40C854">
                  <w:pPr>
                    <w:spacing w:line="276" w:lineRule="auto"/>
                    <w:rPr>
                      <w:rFonts w:hint="eastAsia" w:ascii="宋体" w:hAnsi="宋体"/>
                      <w:szCs w:val="21"/>
                    </w:rPr>
                  </w:pPr>
                  <w:r>
                    <w:rPr>
                      <w:rFonts w:hint="eastAsia" w:ascii="宋体" w:hAnsi="宋体"/>
                      <w:szCs w:val="21"/>
                    </w:rPr>
                    <w:t>1、</w:t>
                  </w:r>
                  <w:r>
                    <w:rPr>
                      <w:rFonts w:ascii="宋体" w:hAnsi="宋体"/>
                      <w:szCs w:val="21"/>
                    </w:rPr>
                    <w:t>投标人应如实填写《技术条款偏离表》</w:t>
                  </w:r>
                  <w:r>
                    <w:rPr>
                      <w:rFonts w:hint="eastAsia" w:ascii="宋体" w:hAnsi="宋体"/>
                      <w:szCs w:val="21"/>
                    </w:rPr>
                    <w:t>，</w:t>
                  </w:r>
                  <w:r>
                    <w:rPr>
                      <w:rFonts w:ascii="宋体" w:hAnsi="宋体"/>
                      <w:szCs w:val="21"/>
                    </w:rPr>
                    <w:t>所投产品技术规格必须符合招标文件技术指标、性能等相关要求：</w:t>
                  </w:r>
                  <w:r>
                    <w:rPr>
                      <w:rFonts w:hint="eastAsia" w:ascii="宋体" w:hAnsi="宋体"/>
                      <w:szCs w:val="21"/>
                    </w:rPr>
                    <w:t>加注“★”项为不可负偏离的重要项，如有负偏离则废标处理。</w:t>
                  </w:r>
                </w:p>
                <w:p w14:paraId="639B1959">
                  <w:pPr>
                    <w:spacing w:line="276" w:lineRule="auto"/>
                    <w:rPr>
                      <w:rFonts w:hint="eastAsia" w:ascii="宋体" w:hAnsi="宋体"/>
                      <w:szCs w:val="21"/>
                      <w:lang w:bidi="en-US"/>
                    </w:rPr>
                  </w:pPr>
                  <w:r>
                    <w:rPr>
                      <w:rFonts w:hint="eastAsia" w:ascii="宋体" w:hAnsi="宋体"/>
                      <w:szCs w:val="21"/>
                      <w:lang w:bidi="en-US"/>
                    </w:rPr>
                    <w:t>2、</w:t>
                  </w:r>
                  <w:r>
                    <w:rPr>
                      <w:rFonts w:hint="eastAsia" w:ascii="宋体" w:hAnsi="宋体" w:cstheme="minorEastAsia"/>
                      <w:szCs w:val="21"/>
                    </w:rPr>
                    <w:t>各项技术参数指标及要求全部满足的得25分，所有标注“▲”的重要参数每负偏离一项扣</w:t>
                  </w:r>
                  <w:r>
                    <w:rPr>
                      <w:rFonts w:hint="eastAsia" w:ascii="宋体" w:hAnsi="宋体" w:cstheme="minorEastAsia"/>
                      <w:szCs w:val="21"/>
                      <w:lang w:val="en-US" w:eastAsia="zh-CN"/>
                    </w:rPr>
                    <w:t>4</w:t>
                  </w:r>
                  <w:r>
                    <w:rPr>
                      <w:rFonts w:hint="eastAsia" w:ascii="宋体" w:hAnsi="宋体" w:cstheme="minorEastAsia"/>
                      <w:szCs w:val="21"/>
                    </w:rPr>
                    <w:t>分，一般参数每负偏离一条扣0.05分，扣完为止</w:t>
                  </w:r>
                  <w:r>
                    <w:rPr>
                      <w:rFonts w:ascii="宋体" w:hAnsi="宋体"/>
                      <w:szCs w:val="21"/>
                      <w:lang w:bidi="en-US"/>
                    </w:rPr>
                    <w:t>。</w:t>
                  </w:r>
                </w:p>
                <w:p w14:paraId="15A422B9">
                  <w:pPr>
                    <w:pStyle w:val="2"/>
                    <w:spacing w:line="276" w:lineRule="auto"/>
                    <w:rPr>
                      <w:rFonts w:hint="eastAsia" w:ascii="宋体" w:hAnsi="宋体"/>
                      <w:lang w:bidi="en-US"/>
                    </w:rPr>
                  </w:pPr>
                  <w:r>
                    <w:rPr>
                      <w:rFonts w:hint="eastAsia" w:ascii="宋体" w:hAnsi="宋体"/>
                      <w:szCs w:val="21"/>
                    </w:rPr>
                    <w:t>须按要求提供证明文件或截图佐证。</w:t>
                  </w:r>
                </w:p>
                <w:p w14:paraId="5E24A417">
                  <w:pPr>
                    <w:shd w:val="clear" w:color="auto" w:fill="FFFFFF"/>
                    <w:spacing w:line="276" w:lineRule="auto"/>
                    <w:rPr>
                      <w:rFonts w:hint="eastAsia" w:ascii="宋体" w:hAnsi="宋体" w:cs="宋体"/>
                      <w:b/>
                      <w:szCs w:val="21"/>
                    </w:rPr>
                  </w:pPr>
                  <w:r>
                    <w:rPr>
                      <w:rFonts w:hint="eastAsia" w:ascii="宋体" w:hAnsi="宋体" w:cs="宋体"/>
                      <w:b/>
                      <w:szCs w:val="21"/>
                    </w:rPr>
                    <w:t>（二）评分依据</w:t>
                  </w:r>
                </w:p>
                <w:p w14:paraId="3B340F0D">
                  <w:pPr>
                    <w:shd w:val="clear" w:color="auto" w:fill="FFFFFF"/>
                    <w:spacing w:line="276" w:lineRule="auto"/>
                    <w:rPr>
                      <w:rFonts w:hint="eastAsia" w:ascii="宋体" w:hAnsi="宋体" w:cs="宋体"/>
                      <w:color w:val="000000" w:themeColor="text1"/>
                      <w:kern w:val="0"/>
                      <w:szCs w:val="21"/>
                      <w14:textFill>
                        <w14:solidFill>
                          <w14:schemeClr w14:val="tx1"/>
                        </w14:solidFill>
                      </w14:textFill>
                    </w:rPr>
                  </w:pPr>
                  <w:r>
                    <w:rPr>
                      <w:rFonts w:hint="eastAsia" w:ascii="宋体" w:hAnsi="宋体"/>
                      <w:szCs w:val="21"/>
                    </w:rPr>
                    <w:t>根据投标人提供的《技术要求偏离表》的响应情况及技术部分要求提供的证明材料进行打分。技术条款有要求提供证明资料的，未提供证明资料或证明资料提供不符合要求的按负偏离处理。</w:t>
                  </w:r>
                </w:p>
              </w:tc>
            </w:tr>
            <w:tr w14:paraId="09A2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c>
                <w:tcPr>
                  <w:tcW w:w="827" w:type="dxa"/>
                  <w:vMerge w:val="continue"/>
                  <w:vAlign w:val="center"/>
                </w:tcPr>
                <w:p w14:paraId="6AD895E0">
                  <w:pPr>
                    <w:widowControl/>
                    <w:spacing w:line="276" w:lineRule="auto"/>
                    <w:jc w:val="left"/>
                    <w:rPr>
                      <w:rFonts w:hint="eastAsia" w:ascii="宋体" w:hAnsi="宋体" w:cs="宋体"/>
                      <w:b/>
                      <w:bCs/>
                      <w:color w:val="000000" w:themeColor="text1"/>
                      <w:kern w:val="0"/>
                      <w:szCs w:val="21"/>
                      <w14:textFill>
                        <w14:solidFill>
                          <w14:schemeClr w14:val="tx1"/>
                        </w14:solidFill>
                      </w14:textFill>
                    </w:rPr>
                  </w:pPr>
                </w:p>
              </w:tc>
              <w:tc>
                <w:tcPr>
                  <w:tcW w:w="668" w:type="dxa"/>
                  <w:vAlign w:val="center"/>
                </w:tcPr>
                <w:p w14:paraId="7DDAFE83">
                  <w:pPr>
                    <w:widowControl/>
                    <w:wordWrap w:val="0"/>
                    <w:spacing w:line="276"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2</w:t>
                  </w:r>
                </w:p>
              </w:tc>
              <w:tc>
                <w:tcPr>
                  <w:tcW w:w="1687" w:type="dxa"/>
                  <w:vAlign w:val="center"/>
                </w:tcPr>
                <w:p w14:paraId="57AEC170">
                  <w:pPr>
                    <w:spacing w:line="276" w:lineRule="auto"/>
                    <w:rPr>
                      <w:rFonts w:hint="eastAsia" w:ascii="宋体" w:hAnsi="宋体" w:cs="宋体"/>
                      <w:color w:val="000000" w:themeColor="text1"/>
                      <w:kern w:val="0"/>
                      <w:szCs w:val="21"/>
                      <w14:textFill>
                        <w14:solidFill>
                          <w14:schemeClr w14:val="tx1"/>
                        </w14:solidFill>
                      </w14:textFill>
                    </w:rPr>
                  </w:pPr>
                  <w:r>
                    <w:rPr>
                      <w:rFonts w:hint="eastAsia" w:ascii="宋体" w:hAnsi="宋体"/>
                      <w:szCs w:val="21"/>
                    </w:rPr>
                    <w:t>实施方案</w:t>
                  </w:r>
                </w:p>
              </w:tc>
              <w:tc>
                <w:tcPr>
                  <w:tcW w:w="847" w:type="dxa"/>
                  <w:vAlign w:val="center"/>
                </w:tcPr>
                <w:p w14:paraId="0F002C1D">
                  <w:pPr>
                    <w:spacing w:line="276"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szCs w:val="21"/>
                    </w:rPr>
                    <w:t>10</w:t>
                  </w:r>
                </w:p>
              </w:tc>
              <w:tc>
                <w:tcPr>
                  <w:tcW w:w="5436" w:type="dxa"/>
                </w:tcPr>
                <w:p w14:paraId="652B55F8">
                  <w:pPr>
                    <w:shd w:val="clear" w:color="auto" w:fill="FFFFFF"/>
                    <w:spacing w:line="276" w:lineRule="auto"/>
                    <w:rPr>
                      <w:rFonts w:hint="eastAsia" w:ascii="宋体" w:hAnsi="宋体" w:cs="宋体"/>
                      <w:b/>
                      <w:szCs w:val="21"/>
                    </w:rPr>
                  </w:pPr>
                  <w:r>
                    <w:rPr>
                      <w:rFonts w:hint="eastAsia" w:ascii="宋体" w:hAnsi="宋体" w:cs="宋体"/>
                      <w:b/>
                      <w:szCs w:val="21"/>
                    </w:rPr>
                    <w:t>（一）评分内容</w:t>
                  </w:r>
                </w:p>
                <w:p w14:paraId="7000A1F4">
                  <w:pPr>
                    <w:spacing w:line="276" w:lineRule="auto"/>
                    <w:rPr>
                      <w:rFonts w:hint="eastAsia" w:ascii="宋体" w:hAnsi="宋体" w:cstheme="minorEastAsia"/>
                      <w:szCs w:val="21"/>
                    </w:rPr>
                  </w:pPr>
                  <w:r>
                    <w:rPr>
                      <w:rFonts w:hint="eastAsia" w:ascii="宋体" w:hAnsi="宋体" w:cstheme="minorEastAsia"/>
                      <w:szCs w:val="21"/>
                    </w:rPr>
                    <w:t>投标人在投标文件中说明项目实施方案，要求包括但不限于：</w:t>
                  </w:r>
                </w:p>
                <w:p w14:paraId="7B9EDF79">
                  <w:pPr>
                    <w:spacing w:line="276" w:lineRule="auto"/>
                    <w:rPr>
                      <w:rFonts w:hint="eastAsia" w:ascii="宋体" w:hAnsi="宋体" w:cstheme="minorEastAsia"/>
                      <w:szCs w:val="21"/>
                    </w:rPr>
                  </w:pPr>
                  <w:r>
                    <w:rPr>
                      <w:rFonts w:hint="eastAsia" w:ascii="宋体" w:hAnsi="宋体" w:cstheme="minorEastAsia"/>
                      <w:szCs w:val="21"/>
                    </w:rPr>
                    <w:t xml:space="preserve">(1)整体方案设计; </w:t>
                  </w:r>
                </w:p>
                <w:p w14:paraId="017A3E90">
                  <w:pPr>
                    <w:spacing w:line="276" w:lineRule="auto"/>
                    <w:rPr>
                      <w:rFonts w:hint="eastAsia" w:ascii="宋体" w:hAnsi="宋体" w:cstheme="minorEastAsia"/>
                      <w:szCs w:val="21"/>
                    </w:rPr>
                  </w:pPr>
                  <w:r>
                    <w:rPr>
                      <w:rFonts w:hint="eastAsia" w:ascii="宋体" w:hAnsi="宋体" w:cstheme="minorEastAsia"/>
                      <w:szCs w:val="21"/>
                    </w:rPr>
                    <w:t>(2)项目管理流程；</w:t>
                  </w:r>
                </w:p>
                <w:p w14:paraId="1ED11C51">
                  <w:pPr>
                    <w:spacing w:line="276" w:lineRule="auto"/>
                    <w:rPr>
                      <w:rFonts w:hint="eastAsia" w:ascii="宋体" w:hAnsi="宋体" w:cstheme="minorEastAsia"/>
                      <w:spacing w:val="-2"/>
                      <w:szCs w:val="21"/>
                    </w:rPr>
                  </w:pPr>
                  <w:r>
                    <w:rPr>
                      <w:rFonts w:hint="eastAsia" w:ascii="宋体" w:hAnsi="宋体" w:cstheme="minorEastAsia"/>
                      <w:szCs w:val="21"/>
                    </w:rPr>
                    <w:t>(3)项目实施计划。</w:t>
                  </w:r>
                </w:p>
                <w:p w14:paraId="2BF7D5EC">
                  <w:pPr>
                    <w:shd w:val="clear" w:color="auto" w:fill="FFFFFF"/>
                    <w:spacing w:line="276" w:lineRule="auto"/>
                    <w:rPr>
                      <w:rFonts w:hint="eastAsia" w:ascii="宋体" w:hAnsi="宋体" w:cs="宋体"/>
                      <w:szCs w:val="21"/>
                    </w:rPr>
                  </w:pPr>
                  <w:r>
                    <w:rPr>
                      <w:rFonts w:hint="eastAsia" w:ascii="宋体" w:hAnsi="宋体" w:cs="宋体"/>
                      <w:b/>
                      <w:szCs w:val="21"/>
                    </w:rPr>
                    <w:t>（二）评分依据</w:t>
                  </w:r>
                </w:p>
                <w:p w14:paraId="2E6289CC">
                  <w:pPr>
                    <w:spacing w:line="276" w:lineRule="auto"/>
                    <w:rPr>
                      <w:rFonts w:hint="eastAsia" w:ascii="宋体" w:hAnsi="宋体" w:cstheme="minorEastAsia"/>
                      <w:szCs w:val="21"/>
                    </w:rPr>
                  </w:pPr>
                  <w:r>
                    <w:rPr>
                      <w:rFonts w:hint="eastAsia" w:ascii="宋体" w:hAnsi="宋体" w:cstheme="minorEastAsia"/>
                      <w:szCs w:val="21"/>
                    </w:rPr>
                    <w:t>方案包含以上三项内容得</w:t>
                  </w:r>
                  <w:r>
                    <w:rPr>
                      <w:rFonts w:hint="eastAsia" w:ascii="宋体" w:hAnsi="宋体" w:cstheme="minorEastAsia"/>
                      <w:szCs w:val="21"/>
                      <w:lang w:val="en-US" w:eastAsia="zh-CN"/>
                    </w:rPr>
                    <w:t>6</w:t>
                  </w:r>
                  <w:r>
                    <w:rPr>
                      <w:rFonts w:hint="eastAsia" w:ascii="宋体" w:hAnsi="宋体" w:cstheme="minorEastAsia"/>
                      <w:szCs w:val="21"/>
                    </w:rPr>
                    <w:t>分；每缺少一项扣</w:t>
                  </w:r>
                  <w:r>
                    <w:rPr>
                      <w:rFonts w:hint="eastAsia" w:ascii="宋体" w:hAnsi="宋体" w:cstheme="minorEastAsia"/>
                      <w:szCs w:val="21"/>
                      <w:lang w:val="en-US" w:eastAsia="zh-CN"/>
                    </w:rPr>
                    <w:t>2</w:t>
                  </w:r>
                  <w:r>
                    <w:rPr>
                      <w:rFonts w:hint="eastAsia" w:ascii="宋体" w:hAnsi="宋体" w:cstheme="minorEastAsia"/>
                      <w:szCs w:val="21"/>
                    </w:rPr>
                    <w:t>分，扣为完止。</w:t>
                  </w:r>
                </w:p>
                <w:p w14:paraId="01BC1D61">
                  <w:pPr>
                    <w:spacing w:line="276" w:lineRule="auto"/>
                    <w:rPr>
                      <w:rFonts w:hint="eastAsia" w:ascii="宋体" w:hAnsi="宋体" w:cstheme="minorEastAsia"/>
                      <w:szCs w:val="21"/>
                    </w:rPr>
                  </w:pPr>
                  <w:r>
                    <w:rPr>
                      <w:rFonts w:hint="eastAsia" w:ascii="宋体" w:hAnsi="宋体" w:cstheme="minorEastAsia"/>
                      <w:szCs w:val="21"/>
                    </w:rPr>
                    <w:t>在此基础上，根据方案响应情况进一步评审：</w:t>
                  </w:r>
                </w:p>
                <w:p w14:paraId="799E22D1">
                  <w:pPr>
                    <w:spacing w:line="276" w:lineRule="auto"/>
                    <w:rPr>
                      <w:rFonts w:hint="eastAsia" w:ascii="宋体" w:hAnsi="宋体" w:cstheme="minorEastAsia"/>
                      <w:szCs w:val="21"/>
                    </w:rPr>
                  </w:pPr>
                  <w:r>
                    <w:rPr>
                      <w:rFonts w:hint="eastAsia" w:ascii="宋体" w:hAnsi="宋体" w:cstheme="minorEastAsia"/>
                      <w:szCs w:val="21"/>
                    </w:rPr>
                    <w:t>1.方案内容详细完整、科学合理、可操作性及对采购人需求的针对性适用性强为优，加</w:t>
                  </w:r>
                  <w:r>
                    <w:rPr>
                      <w:rFonts w:hint="eastAsia" w:ascii="宋体" w:hAnsi="宋体" w:cstheme="minorEastAsia"/>
                      <w:szCs w:val="21"/>
                      <w:lang w:val="en-US" w:eastAsia="zh-CN"/>
                    </w:rPr>
                    <w:t>4</w:t>
                  </w:r>
                  <w:r>
                    <w:rPr>
                      <w:rFonts w:hint="eastAsia" w:ascii="宋体" w:hAnsi="宋体" w:cstheme="minorEastAsia"/>
                      <w:szCs w:val="21"/>
                    </w:rPr>
                    <w:t>分；</w:t>
                  </w:r>
                </w:p>
                <w:p w14:paraId="08753888">
                  <w:pPr>
                    <w:spacing w:line="276" w:lineRule="auto"/>
                    <w:rPr>
                      <w:rFonts w:hint="eastAsia" w:ascii="宋体" w:hAnsi="宋体" w:cstheme="minorEastAsia"/>
                      <w:szCs w:val="21"/>
                    </w:rPr>
                  </w:pPr>
                  <w:r>
                    <w:rPr>
                      <w:rFonts w:hint="eastAsia" w:ascii="宋体" w:hAnsi="宋体" w:cstheme="minorEastAsia"/>
                      <w:szCs w:val="21"/>
                    </w:rPr>
                    <w:t>2.方案内容基本完整、基本合理、基本满足采购人需求为良，加</w:t>
                  </w:r>
                  <w:r>
                    <w:rPr>
                      <w:rFonts w:hint="eastAsia" w:ascii="宋体" w:hAnsi="宋体" w:cstheme="minorEastAsia"/>
                      <w:szCs w:val="21"/>
                      <w:lang w:val="en-US" w:eastAsia="zh-CN"/>
                    </w:rPr>
                    <w:t>2</w:t>
                  </w:r>
                  <w:r>
                    <w:rPr>
                      <w:rFonts w:hint="eastAsia" w:ascii="宋体" w:hAnsi="宋体" w:cstheme="minorEastAsia"/>
                      <w:szCs w:val="21"/>
                    </w:rPr>
                    <w:t>分；</w:t>
                  </w:r>
                </w:p>
                <w:p w14:paraId="38B139D8">
                  <w:pPr>
                    <w:spacing w:line="276" w:lineRule="auto"/>
                    <w:rPr>
                      <w:rFonts w:hint="eastAsia" w:ascii="宋体" w:hAnsi="宋体" w:cstheme="minorEastAsia"/>
                      <w:szCs w:val="21"/>
                    </w:rPr>
                  </w:pPr>
                  <w:r>
                    <w:rPr>
                      <w:rFonts w:hint="eastAsia" w:ascii="宋体" w:hAnsi="宋体" w:cstheme="minorEastAsia"/>
                      <w:szCs w:val="21"/>
                    </w:rPr>
                    <w:t>3.方案内容不完整、思路不清晰、不能基本满足采购人需求为差，加0分；</w:t>
                  </w:r>
                </w:p>
                <w:p w14:paraId="2C227B4B">
                  <w:pPr>
                    <w:spacing w:line="276" w:lineRule="auto"/>
                    <w:rPr>
                      <w:rFonts w:hint="eastAsia" w:ascii="宋体" w:hAnsi="宋体" w:cs="宋体"/>
                      <w:color w:val="000000" w:themeColor="text1"/>
                      <w:szCs w:val="21"/>
                      <w14:textFill>
                        <w14:solidFill>
                          <w14:schemeClr w14:val="tx1"/>
                        </w14:solidFill>
                      </w14:textFill>
                    </w:rPr>
                  </w:pPr>
                  <w:r>
                    <w:rPr>
                      <w:rFonts w:hint="eastAsia" w:ascii="宋体" w:hAnsi="宋体" w:cstheme="minorEastAsia"/>
                      <w:szCs w:val="21"/>
                    </w:rPr>
                    <w:t>注：以上累计得分，最高得 10分。</w:t>
                  </w:r>
                </w:p>
              </w:tc>
            </w:tr>
            <w:tr w14:paraId="398E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c>
                <w:tcPr>
                  <w:tcW w:w="827" w:type="dxa"/>
                  <w:vMerge w:val="continue"/>
                  <w:vAlign w:val="center"/>
                </w:tcPr>
                <w:p w14:paraId="77C702E7">
                  <w:pPr>
                    <w:widowControl/>
                    <w:spacing w:line="276" w:lineRule="auto"/>
                    <w:jc w:val="left"/>
                    <w:rPr>
                      <w:rFonts w:hint="eastAsia" w:ascii="宋体" w:hAnsi="宋体" w:cs="宋体"/>
                      <w:b/>
                      <w:bCs/>
                      <w:color w:val="000000" w:themeColor="text1"/>
                      <w:kern w:val="0"/>
                      <w:szCs w:val="21"/>
                      <w14:textFill>
                        <w14:solidFill>
                          <w14:schemeClr w14:val="tx1"/>
                        </w14:solidFill>
                      </w14:textFill>
                    </w:rPr>
                  </w:pPr>
                </w:p>
              </w:tc>
              <w:tc>
                <w:tcPr>
                  <w:tcW w:w="668" w:type="dxa"/>
                  <w:vAlign w:val="center"/>
                </w:tcPr>
                <w:p w14:paraId="11C3608A">
                  <w:pPr>
                    <w:widowControl/>
                    <w:wordWrap w:val="0"/>
                    <w:spacing w:line="276"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3</w:t>
                  </w:r>
                </w:p>
              </w:tc>
              <w:tc>
                <w:tcPr>
                  <w:tcW w:w="1687" w:type="dxa"/>
                  <w:vAlign w:val="center"/>
                </w:tcPr>
                <w:p w14:paraId="3469D4E6">
                  <w:pPr>
                    <w:spacing w:line="276" w:lineRule="auto"/>
                    <w:rPr>
                      <w:rFonts w:hint="eastAsia" w:ascii="宋体" w:hAnsi="宋体" w:cs="宋体"/>
                      <w:color w:val="000000" w:themeColor="text1"/>
                      <w:kern w:val="0"/>
                      <w:szCs w:val="21"/>
                      <w14:textFill>
                        <w14:solidFill>
                          <w14:schemeClr w14:val="tx1"/>
                        </w14:solidFill>
                      </w14:textFill>
                    </w:rPr>
                  </w:pPr>
                  <w:r>
                    <w:rPr>
                      <w:rFonts w:hint="eastAsia" w:ascii="宋体" w:hAnsi="宋体"/>
                      <w:szCs w:val="21"/>
                    </w:rPr>
                    <w:t>售后服务方案</w:t>
                  </w:r>
                </w:p>
              </w:tc>
              <w:tc>
                <w:tcPr>
                  <w:tcW w:w="847" w:type="dxa"/>
                  <w:vAlign w:val="center"/>
                </w:tcPr>
                <w:p w14:paraId="59B4BB27">
                  <w:pPr>
                    <w:spacing w:line="276"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szCs w:val="21"/>
                    </w:rPr>
                    <w:t>10</w:t>
                  </w:r>
                </w:p>
              </w:tc>
              <w:tc>
                <w:tcPr>
                  <w:tcW w:w="5436" w:type="dxa"/>
                </w:tcPr>
                <w:p w14:paraId="4836D2E4">
                  <w:pPr>
                    <w:shd w:val="clear" w:color="auto" w:fill="FFFFFF"/>
                    <w:spacing w:line="276" w:lineRule="auto"/>
                    <w:rPr>
                      <w:rFonts w:hint="eastAsia" w:ascii="宋体" w:hAnsi="宋体" w:cs="宋体"/>
                      <w:b/>
                      <w:szCs w:val="21"/>
                    </w:rPr>
                  </w:pPr>
                  <w:r>
                    <w:rPr>
                      <w:rFonts w:hint="eastAsia" w:ascii="宋体" w:hAnsi="宋体" w:cs="宋体"/>
                      <w:b/>
                      <w:szCs w:val="21"/>
                    </w:rPr>
                    <w:t>（一）评分内容</w:t>
                  </w:r>
                </w:p>
                <w:p w14:paraId="56E21C14">
                  <w:pPr>
                    <w:spacing w:line="276" w:lineRule="auto"/>
                    <w:jc w:val="left"/>
                    <w:rPr>
                      <w:rFonts w:hint="eastAsia" w:ascii="宋体" w:hAnsi="宋体" w:cstheme="minorEastAsia"/>
                      <w:spacing w:val="-2"/>
                      <w:szCs w:val="21"/>
                    </w:rPr>
                  </w:pPr>
                  <w:r>
                    <w:rPr>
                      <w:rFonts w:hint="eastAsia" w:ascii="宋体" w:hAnsi="宋体" w:cstheme="minorEastAsia"/>
                      <w:spacing w:val="-2"/>
                      <w:szCs w:val="21"/>
                    </w:rPr>
                    <w:t>投标人在投标文件中说明项目售后服务方案，要求包括但不限于：</w:t>
                  </w:r>
                </w:p>
                <w:p w14:paraId="6E2BC9C2">
                  <w:pPr>
                    <w:spacing w:line="276" w:lineRule="auto"/>
                    <w:jc w:val="left"/>
                    <w:rPr>
                      <w:rFonts w:hint="eastAsia" w:ascii="宋体" w:hAnsi="宋体" w:cstheme="minorEastAsia"/>
                      <w:spacing w:val="-2"/>
                      <w:szCs w:val="21"/>
                    </w:rPr>
                  </w:pPr>
                  <w:r>
                    <w:rPr>
                      <w:rFonts w:hint="eastAsia" w:ascii="宋体" w:hAnsi="宋体" w:cstheme="minorEastAsia"/>
                      <w:spacing w:val="-2"/>
                      <w:szCs w:val="21"/>
                    </w:rPr>
                    <w:t xml:space="preserve">(1)售后服务内容; </w:t>
                  </w:r>
                </w:p>
                <w:p w14:paraId="318CB219">
                  <w:pPr>
                    <w:spacing w:line="276" w:lineRule="auto"/>
                    <w:jc w:val="left"/>
                    <w:rPr>
                      <w:rFonts w:hint="eastAsia" w:ascii="宋体" w:hAnsi="宋体" w:cstheme="minorEastAsia"/>
                      <w:spacing w:val="-2"/>
                      <w:szCs w:val="21"/>
                    </w:rPr>
                  </w:pPr>
                  <w:r>
                    <w:rPr>
                      <w:rFonts w:hint="eastAsia" w:ascii="宋体" w:hAnsi="宋体" w:cstheme="minorEastAsia"/>
                      <w:spacing w:val="-2"/>
                      <w:szCs w:val="21"/>
                    </w:rPr>
                    <w:t>(2)售后团队资质；</w:t>
                  </w:r>
                </w:p>
                <w:p w14:paraId="468E997C">
                  <w:pPr>
                    <w:spacing w:line="276" w:lineRule="auto"/>
                    <w:jc w:val="left"/>
                    <w:rPr>
                      <w:rFonts w:hint="eastAsia" w:ascii="宋体" w:hAnsi="宋体" w:cstheme="minorEastAsia"/>
                      <w:spacing w:val="-2"/>
                      <w:szCs w:val="21"/>
                    </w:rPr>
                  </w:pPr>
                  <w:r>
                    <w:rPr>
                      <w:rFonts w:hint="eastAsia" w:ascii="宋体" w:hAnsi="宋体" w:cstheme="minorEastAsia"/>
                      <w:spacing w:val="-2"/>
                      <w:szCs w:val="21"/>
                    </w:rPr>
                    <w:t>(3)售后响应机制；</w:t>
                  </w:r>
                </w:p>
                <w:p w14:paraId="77705E17">
                  <w:pPr>
                    <w:spacing w:line="276" w:lineRule="auto"/>
                    <w:jc w:val="left"/>
                    <w:rPr>
                      <w:rFonts w:hint="eastAsia" w:ascii="宋体" w:hAnsi="宋体" w:cstheme="minorEastAsia"/>
                      <w:spacing w:val="-2"/>
                      <w:szCs w:val="21"/>
                    </w:rPr>
                  </w:pPr>
                  <w:r>
                    <w:rPr>
                      <w:rFonts w:hint="eastAsia" w:ascii="宋体" w:hAnsi="宋体" w:cstheme="minorEastAsia"/>
                      <w:spacing w:val="-2"/>
                      <w:szCs w:val="21"/>
                    </w:rPr>
                    <w:t>(4)售后培训方案；</w:t>
                  </w:r>
                </w:p>
                <w:p w14:paraId="637D352E">
                  <w:pPr>
                    <w:spacing w:line="276" w:lineRule="auto"/>
                    <w:jc w:val="left"/>
                    <w:rPr>
                      <w:rFonts w:hint="eastAsia" w:ascii="宋体" w:hAnsi="宋体" w:cstheme="minorEastAsia"/>
                      <w:spacing w:val="-2"/>
                      <w:szCs w:val="21"/>
                    </w:rPr>
                  </w:pPr>
                  <w:r>
                    <w:rPr>
                      <w:rFonts w:hint="eastAsia" w:ascii="宋体" w:hAnsi="宋体" w:cstheme="minorEastAsia"/>
                      <w:spacing w:val="-2"/>
                      <w:szCs w:val="21"/>
                    </w:rPr>
                    <w:t>(5)应急预案。</w:t>
                  </w:r>
                </w:p>
                <w:p w14:paraId="3D6B911F">
                  <w:pPr>
                    <w:shd w:val="clear" w:color="auto" w:fill="FFFFFF"/>
                    <w:spacing w:line="276" w:lineRule="auto"/>
                    <w:rPr>
                      <w:rFonts w:hint="eastAsia" w:ascii="宋体" w:hAnsi="宋体" w:cs="宋体"/>
                      <w:szCs w:val="21"/>
                    </w:rPr>
                  </w:pPr>
                  <w:r>
                    <w:rPr>
                      <w:rFonts w:hint="eastAsia" w:ascii="宋体" w:hAnsi="宋体" w:cs="宋体"/>
                      <w:b/>
                      <w:szCs w:val="21"/>
                    </w:rPr>
                    <w:t>（二）评分依据</w:t>
                  </w:r>
                </w:p>
                <w:p w14:paraId="7B70B28D">
                  <w:pPr>
                    <w:spacing w:line="276" w:lineRule="auto"/>
                    <w:jc w:val="left"/>
                    <w:rPr>
                      <w:rFonts w:hint="eastAsia" w:ascii="宋体" w:hAnsi="宋体" w:cstheme="minorEastAsia"/>
                      <w:bCs/>
                      <w:spacing w:val="-2"/>
                      <w:szCs w:val="21"/>
                    </w:rPr>
                  </w:pPr>
                  <w:r>
                    <w:rPr>
                      <w:rFonts w:hint="eastAsia" w:ascii="宋体" w:hAnsi="宋体" w:cstheme="minorEastAsia"/>
                      <w:bCs/>
                      <w:spacing w:val="-2"/>
                      <w:szCs w:val="21"/>
                    </w:rPr>
                    <w:t>方案包含以上五项内容得</w:t>
                  </w:r>
                  <w:r>
                    <w:rPr>
                      <w:rFonts w:hint="eastAsia" w:ascii="宋体" w:hAnsi="宋体" w:cstheme="minorEastAsia"/>
                      <w:bCs/>
                      <w:spacing w:val="-2"/>
                      <w:szCs w:val="21"/>
                      <w:lang w:val="en-US" w:eastAsia="zh-CN"/>
                    </w:rPr>
                    <w:t>5</w:t>
                  </w:r>
                  <w:r>
                    <w:rPr>
                      <w:rFonts w:hint="eastAsia" w:ascii="宋体" w:hAnsi="宋体" w:cstheme="minorEastAsia"/>
                      <w:bCs/>
                      <w:spacing w:val="-2"/>
                      <w:szCs w:val="21"/>
                    </w:rPr>
                    <w:t>分；每缺少一项扣</w:t>
                  </w:r>
                  <w:r>
                    <w:rPr>
                      <w:rFonts w:hint="eastAsia" w:ascii="宋体" w:hAnsi="宋体" w:cstheme="minorEastAsia"/>
                      <w:bCs/>
                      <w:spacing w:val="-2"/>
                      <w:szCs w:val="21"/>
                      <w:lang w:val="en-US" w:eastAsia="zh-CN"/>
                    </w:rPr>
                    <w:t>1</w:t>
                  </w:r>
                  <w:r>
                    <w:rPr>
                      <w:rFonts w:hint="eastAsia" w:ascii="宋体" w:hAnsi="宋体" w:cstheme="minorEastAsia"/>
                      <w:bCs/>
                      <w:spacing w:val="-2"/>
                      <w:szCs w:val="21"/>
                    </w:rPr>
                    <w:t>分，扣完为止。</w:t>
                  </w:r>
                </w:p>
                <w:p w14:paraId="655D52D8">
                  <w:pPr>
                    <w:spacing w:line="276" w:lineRule="auto"/>
                    <w:jc w:val="left"/>
                    <w:rPr>
                      <w:rFonts w:hint="eastAsia" w:ascii="宋体" w:hAnsi="宋体" w:cstheme="minorEastAsia"/>
                      <w:bCs/>
                      <w:spacing w:val="-2"/>
                      <w:szCs w:val="21"/>
                    </w:rPr>
                  </w:pPr>
                  <w:r>
                    <w:rPr>
                      <w:rFonts w:hint="eastAsia" w:ascii="宋体" w:hAnsi="宋体" w:cstheme="minorEastAsia"/>
                      <w:bCs/>
                      <w:spacing w:val="-2"/>
                      <w:szCs w:val="21"/>
                    </w:rPr>
                    <w:t>在此基础上，根据方案响应情况进一步评审：</w:t>
                  </w:r>
                </w:p>
                <w:p w14:paraId="1FEDDC13">
                  <w:pPr>
                    <w:spacing w:line="276" w:lineRule="auto"/>
                    <w:jc w:val="left"/>
                    <w:rPr>
                      <w:rFonts w:hint="eastAsia" w:ascii="宋体" w:hAnsi="宋体" w:cstheme="minorEastAsia"/>
                      <w:bCs/>
                      <w:spacing w:val="-2"/>
                      <w:szCs w:val="21"/>
                    </w:rPr>
                  </w:pPr>
                  <w:r>
                    <w:rPr>
                      <w:rFonts w:hint="eastAsia" w:ascii="宋体" w:hAnsi="宋体" w:cstheme="minorEastAsia"/>
                      <w:bCs/>
                      <w:spacing w:val="-2"/>
                      <w:szCs w:val="21"/>
                    </w:rPr>
                    <w:t>1.方案内容详细完整、科学合理、可操作性及对采购人需求的针对性适用性强为优，加</w:t>
                  </w:r>
                  <w:r>
                    <w:rPr>
                      <w:rFonts w:hint="eastAsia" w:ascii="宋体" w:hAnsi="宋体" w:cstheme="minorEastAsia"/>
                      <w:bCs/>
                      <w:spacing w:val="-2"/>
                      <w:szCs w:val="21"/>
                      <w:lang w:val="en-US" w:eastAsia="zh-CN"/>
                    </w:rPr>
                    <w:t>5</w:t>
                  </w:r>
                  <w:r>
                    <w:rPr>
                      <w:rFonts w:hint="eastAsia" w:ascii="宋体" w:hAnsi="宋体" w:cstheme="minorEastAsia"/>
                      <w:bCs/>
                      <w:spacing w:val="-2"/>
                      <w:szCs w:val="21"/>
                    </w:rPr>
                    <w:t>分；</w:t>
                  </w:r>
                </w:p>
                <w:p w14:paraId="5D1F8C10">
                  <w:pPr>
                    <w:spacing w:line="276" w:lineRule="auto"/>
                    <w:jc w:val="left"/>
                    <w:rPr>
                      <w:rFonts w:hint="eastAsia" w:ascii="宋体" w:hAnsi="宋体" w:cstheme="minorEastAsia"/>
                      <w:bCs/>
                      <w:spacing w:val="-2"/>
                      <w:szCs w:val="21"/>
                    </w:rPr>
                  </w:pPr>
                  <w:r>
                    <w:rPr>
                      <w:rFonts w:hint="eastAsia" w:ascii="宋体" w:hAnsi="宋体" w:cstheme="minorEastAsia"/>
                      <w:bCs/>
                      <w:spacing w:val="-2"/>
                      <w:szCs w:val="21"/>
                    </w:rPr>
                    <w:t>2.方案内容基本完整、基本合理、基本满足采购人需求为良，加</w:t>
                  </w:r>
                  <w:r>
                    <w:rPr>
                      <w:rFonts w:hint="eastAsia" w:ascii="宋体" w:hAnsi="宋体" w:cstheme="minorEastAsia"/>
                      <w:bCs/>
                      <w:spacing w:val="-2"/>
                      <w:szCs w:val="21"/>
                      <w:lang w:val="en-US" w:eastAsia="zh-CN"/>
                    </w:rPr>
                    <w:t>2</w:t>
                  </w:r>
                  <w:r>
                    <w:rPr>
                      <w:rFonts w:hint="eastAsia" w:ascii="宋体" w:hAnsi="宋体" w:cstheme="minorEastAsia"/>
                      <w:bCs/>
                      <w:spacing w:val="-2"/>
                      <w:szCs w:val="21"/>
                    </w:rPr>
                    <w:t>分；</w:t>
                  </w:r>
                </w:p>
                <w:p w14:paraId="79EE105C">
                  <w:pPr>
                    <w:spacing w:line="276" w:lineRule="auto"/>
                    <w:jc w:val="left"/>
                    <w:rPr>
                      <w:rFonts w:hint="eastAsia" w:ascii="宋体" w:hAnsi="宋体" w:cstheme="minorEastAsia"/>
                      <w:bCs/>
                      <w:spacing w:val="-2"/>
                      <w:szCs w:val="21"/>
                    </w:rPr>
                  </w:pPr>
                  <w:r>
                    <w:rPr>
                      <w:rFonts w:hint="eastAsia" w:ascii="宋体" w:hAnsi="宋体" w:cstheme="minorEastAsia"/>
                      <w:bCs/>
                      <w:spacing w:val="-2"/>
                      <w:szCs w:val="21"/>
                    </w:rPr>
                    <w:t>3.方案内容不完整、思路不清晰、不能基本满足采购人需求为差，加0分；</w:t>
                  </w:r>
                </w:p>
                <w:p w14:paraId="3B6F65F7">
                  <w:pPr>
                    <w:spacing w:line="276" w:lineRule="auto"/>
                    <w:rPr>
                      <w:rFonts w:hint="eastAsia" w:ascii="宋体" w:hAnsi="宋体" w:cs="宋体"/>
                      <w:bCs/>
                      <w:color w:val="000000" w:themeColor="text1"/>
                      <w:szCs w:val="21"/>
                      <w14:textFill>
                        <w14:solidFill>
                          <w14:schemeClr w14:val="tx1"/>
                        </w14:solidFill>
                      </w14:textFill>
                    </w:rPr>
                  </w:pPr>
                  <w:r>
                    <w:rPr>
                      <w:rFonts w:hint="eastAsia" w:ascii="宋体" w:hAnsi="宋体" w:cstheme="minorEastAsia"/>
                      <w:bCs/>
                      <w:spacing w:val="-2"/>
                      <w:szCs w:val="21"/>
                    </w:rPr>
                    <w:t>注：以上累计得分，最高得 10分。</w:t>
                  </w:r>
                </w:p>
              </w:tc>
            </w:tr>
            <w:tr w14:paraId="5A60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c>
                <w:tcPr>
                  <w:tcW w:w="827" w:type="dxa"/>
                  <w:vMerge w:val="continue"/>
                  <w:vAlign w:val="center"/>
                </w:tcPr>
                <w:p w14:paraId="419135FE">
                  <w:pPr>
                    <w:widowControl/>
                    <w:spacing w:line="276" w:lineRule="auto"/>
                    <w:jc w:val="left"/>
                    <w:rPr>
                      <w:rFonts w:hint="eastAsia" w:ascii="宋体" w:hAnsi="宋体" w:cs="宋体"/>
                      <w:b/>
                      <w:bCs/>
                      <w:color w:val="000000" w:themeColor="text1"/>
                      <w:kern w:val="0"/>
                      <w:szCs w:val="21"/>
                      <w14:textFill>
                        <w14:solidFill>
                          <w14:schemeClr w14:val="tx1"/>
                        </w14:solidFill>
                      </w14:textFill>
                    </w:rPr>
                  </w:pPr>
                </w:p>
              </w:tc>
              <w:tc>
                <w:tcPr>
                  <w:tcW w:w="668" w:type="dxa"/>
                  <w:vAlign w:val="center"/>
                </w:tcPr>
                <w:p w14:paraId="01D645E6">
                  <w:pPr>
                    <w:widowControl/>
                    <w:wordWrap w:val="0"/>
                    <w:spacing w:line="276"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4</w:t>
                  </w:r>
                </w:p>
              </w:tc>
              <w:tc>
                <w:tcPr>
                  <w:tcW w:w="1687" w:type="dxa"/>
                  <w:vAlign w:val="center"/>
                </w:tcPr>
                <w:p w14:paraId="2602FE89">
                  <w:pPr>
                    <w:spacing w:line="276" w:lineRule="auto"/>
                    <w:rPr>
                      <w:rFonts w:hint="eastAsia" w:ascii="宋体" w:hAnsi="宋体" w:cs="宋体"/>
                      <w:color w:val="000000" w:themeColor="text1"/>
                      <w:kern w:val="0"/>
                      <w:szCs w:val="21"/>
                      <w14:textFill>
                        <w14:solidFill>
                          <w14:schemeClr w14:val="tx1"/>
                        </w14:solidFill>
                      </w14:textFill>
                    </w:rPr>
                  </w:pPr>
                  <w:r>
                    <w:rPr>
                      <w:rFonts w:hint="eastAsia" w:ascii="宋体" w:hAnsi="宋体"/>
                      <w:szCs w:val="21"/>
                    </w:rPr>
                    <w:t>培训方案</w:t>
                  </w:r>
                </w:p>
              </w:tc>
              <w:tc>
                <w:tcPr>
                  <w:tcW w:w="847" w:type="dxa"/>
                  <w:vAlign w:val="center"/>
                </w:tcPr>
                <w:p w14:paraId="4EE2B71C">
                  <w:pPr>
                    <w:spacing w:line="276"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5436" w:type="dxa"/>
                </w:tcPr>
                <w:p w14:paraId="13E454D7">
                  <w:pPr>
                    <w:shd w:val="clear" w:color="auto" w:fill="FFFFFF"/>
                    <w:spacing w:line="276" w:lineRule="auto"/>
                    <w:rPr>
                      <w:rFonts w:hint="eastAsia" w:ascii="宋体" w:hAnsi="宋体" w:cs="宋体"/>
                      <w:b/>
                      <w:szCs w:val="21"/>
                    </w:rPr>
                  </w:pPr>
                  <w:r>
                    <w:rPr>
                      <w:rFonts w:hint="eastAsia" w:ascii="宋体" w:hAnsi="宋体" w:cs="宋体"/>
                      <w:b/>
                      <w:szCs w:val="21"/>
                    </w:rPr>
                    <w:t>（一）评分内容</w:t>
                  </w:r>
                </w:p>
                <w:p w14:paraId="7F9E462A">
                  <w:pPr>
                    <w:spacing w:line="276" w:lineRule="auto"/>
                    <w:rPr>
                      <w:rFonts w:hint="eastAsia" w:ascii="宋体" w:hAnsi="宋体" w:cstheme="minorEastAsia"/>
                      <w:szCs w:val="21"/>
                    </w:rPr>
                  </w:pPr>
                  <w:r>
                    <w:rPr>
                      <w:rFonts w:hint="eastAsia" w:ascii="宋体" w:hAnsi="宋体" w:cstheme="minorEastAsia"/>
                      <w:szCs w:val="21"/>
                    </w:rPr>
                    <w:t>投标人在投标文件中说明项目培训方案，要求包括但不限于：</w:t>
                  </w:r>
                </w:p>
                <w:p w14:paraId="3FD10430">
                  <w:pPr>
                    <w:pStyle w:val="10"/>
                    <w:spacing w:line="276" w:lineRule="auto"/>
                    <w:rPr>
                      <w:rFonts w:hint="eastAsia" w:hAnsi="宋体" w:cs="宋体"/>
                      <w:szCs w:val="21"/>
                    </w:rPr>
                  </w:pPr>
                  <w:r>
                    <w:rPr>
                      <w:rFonts w:hAnsi="宋体" w:cs="宋体"/>
                      <w:szCs w:val="21"/>
                    </w:rPr>
                    <w:t>(1)</w:t>
                  </w:r>
                  <w:r>
                    <w:rPr>
                      <w:rFonts w:hint="eastAsia" w:hAnsi="宋体" w:cs="宋体"/>
                      <w:szCs w:val="21"/>
                    </w:rPr>
                    <w:t>培训目标和培训方式；</w:t>
                  </w:r>
                </w:p>
                <w:p w14:paraId="5036A6EF">
                  <w:pPr>
                    <w:pStyle w:val="10"/>
                    <w:spacing w:line="276" w:lineRule="auto"/>
                    <w:rPr>
                      <w:rFonts w:hint="eastAsia" w:hAnsi="宋体" w:cs="宋体"/>
                      <w:szCs w:val="21"/>
                    </w:rPr>
                  </w:pPr>
                  <w:r>
                    <w:rPr>
                      <w:rFonts w:hAnsi="宋体" w:cs="宋体"/>
                      <w:szCs w:val="21"/>
                    </w:rPr>
                    <w:t>(</w:t>
                  </w:r>
                  <w:r>
                    <w:rPr>
                      <w:rFonts w:hint="eastAsia" w:hAnsi="宋体" w:cs="宋体"/>
                      <w:szCs w:val="21"/>
                    </w:rPr>
                    <w:t>2</w:t>
                  </w:r>
                  <w:r>
                    <w:rPr>
                      <w:rFonts w:hAnsi="宋体" w:cs="宋体"/>
                      <w:szCs w:val="21"/>
                    </w:rPr>
                    <w:t>)</w:t>
                  </w:r>
                  <w:r>
                    <w:rPr>
                      <w:rFonts w:hint="eastAsia" w:hAnsi="宋体" w:cs="宋体"/>
                      <w:szCs w:val="21"/>
                    </w:rPr>
                    <w:t>培训时间；</w:t>
                  </w:r>
                </w:p>
                <w:p w14:paraId="5DB594DF">
                  <w:pPr>
                    <w:pStyle w:val="10"/>
                    <w:spacing w:line="276" w:lineRule="auto"/>
                    <w:rPr>
                      <w:rFonts w:hint="eastAsia" w:hAnsi="宋体" w:cs="宋体"/>
                      <w:szCs w:val="21"/>
                    </w:rPr>
                  </w:pPr>
                  <w:r>
                    <w:rPr>
                      <w:rFonts w:hAnsi="宋体" w:cs="宋体"/>
                      <w:szCs w:val="21"/>
                    </w:rPr>
                    <w:t>(</w:t>
                  </w:r>
                  <w:r>
                    <w:rPr>
                      <w:rFonts w:hint="eastAsia" w:hAnsi="宋体" w:cs="宋体"/>
                      <w:szCs w:val="21"/>
                    </w:rPr>
                    <w:t>3</w:t>
                  </w:r>
                  <w:r>
                    <w:rPr>
                      <w:rFonts w:hAnsi="宋体" w:cs="宋体"/>
                      <w:szCs w:val="21"/>
                    </w:rPr>
                    <w:t>)</w:t>
                  </w:r>
                  <w:r>
                    <w:rPr>
                      <w:rFonts w:hint="eastAsia" w:hAnsi="宋体" w:cs="宋体"/>
                      <w:szCs w:val="21"/>
                    </w:rPr>
                    <w:t>培训内容和培训计划；</w:t>
                  </w:r>
                </w:p>
                <w:p w14:paraId="5C81F701">
                  <w:pPr>
                    <w:shd w:val="clear" w:color="auto" w:fill="FFFFFF"/>
                    <w:spacing w:line="276" w:lineRule="auto"/>
                    <w:rPr>
                      <w:rFonts w:hint="eastAsia" w:ascii="宋体" w:hAnsi="宋体" w:cs="宋体"/>
                      <w:szCs w:val="21"/>
                    </w:rPr>
                  </w:pPr>
                  <w:r>
                    <w:rPr>
                      <w:rFonts w:hint="eastAsia" w:ascii="宋体" w:hAnsi="宋体" w:cs="宋体"/>
                      <w:b/>
                      <w:szCs w:val="21"/>
                    </w:rPr>
                    <w:t>（二）评分依据</w:t>
                  </w:r>
                </w:p>
                <w:p w14:paraId="10A0CDBD">
                  <w:pPr>
                    <w:spacing w:line="276" w:lineRule="auto"/>
                    <w:rPr>
                      <w:rFonts w:hint="eastAsia" w:ascii="宋体" w:hAnsi="宋体" w:cs="宋体"/>
                      <w:szCs w:val="21"/>
                    </w:rPr>
                  </w:pPr>
                  <w:r>
                    <w:rPr>
                      <w:rFonts w:hint="eastAsia" w:ascii="宋体" w:hAnsi="宋体" w:cs="宋体"/>
                      <w:szCs w:val="21"/>
                    </w:rPr>
                    <w:t>方案包含以上三项内容得</w:t>
                  </w:r>
                  <w:r>
                    <w:rPr>
                      <w:rFonts w:hint="eastAsia" w:ascii="宋体" w:hAnsi="宋体" w:cs="宋体"/>
                      <w:szCs w:val="21"/>
                      <w:lang w:val="en-US" w:eastAsia="zh-CN"/>
                    </w:rPr>
                    <w:t>6</w:t>
                  </w:r>
                  <w:r>
                    <w:rPr>
                      <w:rFonts w:hint="eastAsia" w:ascii="宋体" w:hAnsi="宋体" w:cs="宋体"/>
                      <w:szCs w:val="21"/>
                    </w:rPr>
                    <w:t>分；每缺少一项扣</w:t>
                  </w:r>
                  <w:r>
                    <w:rPr>
                      <w:rFonts w:hint="eastAsia" w:ascii="宋体" w:hAnsi="宋体" w:cs="宋体"/>
                      <w:szCs w:val="21"/>
                      <w:lang w:val="en-US" w:eastAsia="zh-CN"/>
                    </w:rPr>
                    <w:t>2</w:t>
                  </w:r>
                  <w:r>
                    <w:rPr>
                      <w:rFonts w:hint="eastAsia" w:ascii="宋体" w:hAnsi="宋体" w:cs="宋体"/>
                      <w:szCs w:val="21"/>
                    </w:rPr>
                    <w:t>分，扣为完止。</w:t>
                  </w:r>
                </w:p>
                <w:p w14:paraId="4E02DCA6">
                  <w:pPr>
                    <w:spacing w:line="276" w:lineRule="auto"/>
                    <w:rPr>
                      <w:rFonts w:hint="eastAsia" w:ascii="宋体" w:hAnsi="宋体" w:cs="宋体"/>
                      <w:szCs w:val="21"/>
                    </w:rPr>
                  </w:pPr>
                  <w:r>
                    <w:rPr>
                      <w:rFonts w:hint="eastAsia" w:ascii="宋体" w:hAnsi="宋体" w:cs="宋体"/>
                      <w:szCs w:val="21"/>
                    </w:rPr>
                    <w:t>在此基础上，根据方案响应情况进一步评审：</w:t>
                  </w:r>
                </w:p>
                <w:p w14:paraId="5E40D7E2">
                  <w:pPr>
                    <w:spacing w:line="276" w:lineRule="auto"/>
                    <w:rPr>
                      <w:rFonts w:hint="eastAsia" w:ascii="宋体" w:hAnsi="宋体" w:cs="宋体"/>
                      <w:szCs w:val="21"/>
                    </w:rPr>
                  </w:pPr>
                  <w:r>
                    <w:rPr>
                      <w:rFonts w:hint="eastAsia" w:ascii="宋体" w:hAnsi="宋体" w:cs="宋体"/>
                      <w:szCs w:val="21"/>
                    </w:rPr>
                    <w:t>1.方案内容详细完整、科学合理、可操作性及对采购人需求的针对性适用性强为优，加</w:t>
                  </w:r>
                  <w:r>
                    <w:rPr>
                      <w:rFonts w:hint="eastAsia" w:ascii="宋体" w:hAnsi="宋体" w:cs="宋体"/>
                      <w:szCs w:val="21"/>
                      <w:lang w:val="en-US" w:eastAsia="zh-CN"/>
                    </w:rPr>
                    <w:t>4</w:t>
                  </w:r>
                  <w:r>
                    <w:rPr>
                      <w:rFonts w:hint="eastAsia" w:ascii="宋体" w:hAnsi="宋体" w:cs="宋体"/>
                      <w:szCs w:val="21"/>
                    </w:rPr>
                    <w:t>分；</w:t>
                  </w:r>
                </w:p>
                <w:p w14:paraId="60BADD1C">
                  <w:pPr>
                    <w:spacing w:line="276" w:lineRule="auto"/>
                    <w:rPr>
                      <w:rFonts w:hint="eastAsia" w:ascii="宋体" w:hAnsi="宋体" w:cs="宋体"/>
                      <w:szCs w:val="21"/>
                    </w:rPr>
                  </w:pPr>
                  <w:r>
                    <w:rPr>
                      <w:rFonts w:hint="eastAsia" w:ascii="宋体" w:hAnsi="宋体" w:cs="宋体"/>
                      <w:szCs w:val="21"/>
                    </w:rPr>
                    <w:t>2.方案内容基本完整、基本合理、基本满足采购人需求为良，加</w:t>
                  </w:r>
                  <w:r>
                    <w:rPr>
                      <w:rFonts w:hint="eastAsia" w:ascii="宋体" w:hAnsi="宋体" w:cs="宋体"/>
                      <w:szCs w:val="21"/>
                      <w:lang w:val="en-US" w:eastAsia="zh-CN"/>
                    </w:rPr>
                    <w:t>2</w:t>
                  </w:r>
                  <w:r>
                    <w:rPr>
                      <w:rFonts w:hint="eastAsia" w:ascii="宋体" w:hAnsi="宋体" w:cs="宋体"/>
                      <w:szCs w:val="21"/>
                    </w:rPr>
                    <w:t>分；</w:t>
                  </w:r>
                </w:p>
                <w:p w14:paraId="73D7A5CC">
                  <w:pPr>
                    <w:spacing w:line="276" w:lineRule="auto"/>
                    <w:rPr>
                      <w:rFonts w:hint="eastAsia" w:ascii="宋体" w:hAnsi="宋体" w:cs="宋体"/>
                      <w:szCs w:val="21"/>
                    </w:rPr>
                  </w:pPr>
                  <w:r>
                    <w:rPr>
                      <w:rFonts w:hint="eastAsia" w:ascii="宋体" w:hAnsi="宋体" w:cs="宋体"/>
                      <w:szCs w:val="21"/>
                    </w:rPr>
                    <w:t>3.方案内容不完整、思路不清晰、不能基本满足采购人需求为差，加0分；</w:t>
                  </w:r>
                </w:p>
                <w:p w14:paraId="33161E0F">
                  <w:pPr>
                    <w:spacing w:line="276" w:lineRule="auto"/>
                    <w:rPr>
                      <w:rFonts w:hint="eastAsia" w:ascii="宋体" w:hAnsi="宋体"/>
                      <w:b/>
                      <w:bCs/>
                    </w:rPr>
                  </w:pPr>
                  <w:r>
                    <w:rPr>
                      <w:rFonts w:hint="eastAsia" w:ascii="宋体" w:hAnsi="宋体" w:cs="宋体"/>
                      <w:szCs w:val="21"/>
                    </w:rPr>
                    <w:t>注：以上累计得分，最高得 10分。</w:t>
                  </w:r>
                </w:p>
              </w:tc>
            </w:tr>
            <w:tr w14:paraId="45B4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c>
                <w:tcPr>
                  <w:tcW w:w="827" w:type="dxa"/>
                  <w:vMerge w:val="restart"/>
                </w:tcPr>
                <w:p w14:paraId="383CB7DE">
                  <w:pPr>
                    <w:widowControl/>
                    <w:wordWrap w:val="0"/>
                    <w:spacing w:line="276"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FF"/>
                      <w:kern w:val="0"/>
                      <w:szCs w:val="21"/>
                    </w:rPr>
                    <w:t>3</w:t>
                  </w:r>
                </w:p>
              </w:tc>
              <w:tc>
                <w:tcPr>
                  <w:tcW w:w="3202" w:type="dxa"/>
                  <w:gridSpan w:val="3"/>
                  <w:vAlign w:val="center"/>
                </w:tcPr>
                <w:p w14:paraId="77E0A93A">
                  <w:pPr>
                    <w:widowControl/>
                    <w:wordWrap w:val="0"/>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FF"/>
                      <w:kern w:val="0"/>
                      <w:szCs w:val="21"/>
                    </w:rPr>
                    <w:t>商务部分</w:t>
                  </w:r>
                </w:p>
              </w:tc>
              <w:tc>
                <w:tcPr>
                  <w:tcW w:w="5436" w:type="dxa"/>
                </w:tcPr>
                <w:p w14:paraId="3781CDE1">
                  <w:pPr>
                    <w:widowControl/>
                    <w:wordWrap w:val="0"/>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FF"/>
                      <w:kern w:val="0"/>
                      <w:szCs w:val="21"/>
                    </w:rPr>
                    <w:t>25</w:t>
                  </w:r>
                </w:p>
              </w:tc>
            </w:tr>
            <w:tr w14:paraId="1E89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c>
                <w:tcPr>
                  <w:tcW w:w="827" w:type="dxa"/>
                  <w:vMerge w:val="continue"/>
                  <w:vAlign w:val="center"/>
                </w:tcPr>
                <w:p w14:paraId="2903B549">
                  <w:pPr>
                    <w:widowControl/>
                    <w:spacing w:line="276" w:lineRule="auto"/>
                    <w:jc w:val="left"/>
                    <w:rPr>
                      <w:rFonts w:hint="eastAsia" w:ascii="宋体" w:hAnsi="宋体" w:cs="宋体"/>
                      <w:b/>
                      <w:bCs/>
                      <w:color w:val="000000" w:themeColor="text1"/>
                      <w:kern w:val="0"/>
                      <w:szCs w:val="21"/>
                      <w14:textFill>
                        <w14:solidFill>
                          <w14:schemeClr w14:val="tx1"/>
                        </w14:solidFill>
                      </w14:textFill>
                    </w:rPr>
                  </w:pPr>
                </w:p>
              </w:tc>
              <w:tc>
                <w:tcPr>
                  <w:tcW w:w="668" w:type="dxa"/>
                  <w:shd w:val="clear" w:color="auto" w:fill="E6EFFA"/>
                  <w:vAlign w:val="center"/>
                </w:tcPr>
                <w:p w14:paraId="7CD1C451">
                  <w:pPr>
                    <w:widowControl/>
                    <w:wordWrap w:val="0"/>
                    <w:spacing w:line="276"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kern w:val="0"/>
                      <w:szCs w:val="21"/>
                    </w:rPr>
                    <w:t>序号</w:t>
                  </w:r>
                </w:p>
              </w:tc>
              <w:tc>
                <w:tcPr>
                  <w:tcW w:w="1687" w:type="dxa"/>
                  <w:shd w:val="clear" w:color="auto" w:fill="E6EFFA"/>
                  <w:vAlign w:val="center"/>
                </w:tcPr>
                <w:p w14:paraId="0BAF5502">
                  <w:pPr>
                    <w:widowControl/>
                    <w:wordWrap w:val="0"/>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kern w:val="0"/>
                      <w:szCs w:val="21"/>
                    </w:rPr>
                    <w:t>评分因素</w:t>
                  </w:r>
                </w:p>
              </w:tc>
              <w:tc>
                <w:tcPr>
                  <w:tcW w:w="847" w:type="dxa"/>
                  <w:shd w:val="clear" w:color="auto" w:fill="E6EFFA"/>
                  <w:vAlign w:val="center"/>
                </w:tcPr>
                <w:p w14:paraId="0DD48E19">
                  <w:pPr>
                    <w:widowControl/>
                    <w:wordWrap w:val="0"/>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kern w:val="0"/>
                      <w:szCs w:val="21"/>
                    </w:rPr>
                    <w:t>权重(</w:t>
                  </w:r>
                  <w:r>
                    <w:rPr>
                      <w:rFonts w:hint="eastAsia" w:ascii="宋体" w:hAnsi="宋体" w:cs="宋体"/>
                      <w:spacing w:val="11"/>
                      <w:szCs w:val="21"/>
                    </w:rPr>
                    <w:t>%</w:t>
                  </w:r>
                  <w:r>
                    <w:rPr>
                      <w:rFonts w:hint="eastAsia" w:ascii="宋体" w:hAnsi="宋体" w:cs="宋体"/>
                      <w:kern w:val="0"/>
                      <w:szCs w:val="21"/>
                    </w:rPr>
                    <w:t>)</w:t>
                  </w:r>
                </w:p>
              </w:tc>
              <w:tc>
                <w:tcPr>
                  <w:tcW w:w="5436" w:type="dxa"/>
                  <w:shd w:val="clear" w:color="auto" w:fill="E6EFFA"/>
                  <w:vAlign w:val="center"/>
                </w:tcPr>
                <w:p w14:paraId="0A87BA7D">
                  <w:pPr>
                    <w:widowControl/>
                    <w:wordWrap w:val="0"/>
                    <w:spacing w:line="276"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kern w:val="0"/>
                      <w:szCs w:val="21"/>
                    </w:rPr>
                    <w:t>评分准则</w:t>
                  </w:r>
                </w:p>
              </w:tc>
            </w:tr>
            <w:tr w14:paraId="1974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rPr>
              <w:tc>
                <w:tcPr>
                  <w:tcW w:w="827" w:type="dxa"/>
                  <w:vMerge w:val="continue"/>
                  <w:shd w:val="clear" w:color="auto" w:fill="E6EFFA"/>
                  <w:vAlign w:val="center"/>
                </w:tcPr>
                <w:p w14:paraId="3544727E">
                  <w:pPr>
                    <w:widowControl/>
                    <w:spacing w:line="276" w:lineRule="auto"/>
                    <w:jc w:val="left"/>
                    <w:rPr>
                      <w:rFonts w:hint="eastAsia" w:ascii="宋体" w:hAnsi="宋体" w:cs="宋体"/>
                      <w:b/>
                      <w:bCs/>
                      <w:color w:val="000000" w:themeColor="text1"/>
                      <w:kern w:val="0"/>
                      <w:szCs w:val="21"/>
                      <w14:textFill>
                        <w14:solidFill>
                          <w14:schemeClr w14:val="tx1"/>
                        </w14:solidFill>
                      </w14:textFill>
                    </w:rPr>
                  </w:pPr>
                </w:p>
              </w:tc>
              <w:tc>
                <w:tcPr>
                  <w:tcW w:w="668" w:type="dxa"/>
                  <w:vAlign w:val="center"/>
                </w:tcPr>
                <w:p w14:paraId="29F3596C">
                  <w:pPr>
                    <w:pStyle w:val="10"/>
                    <w:spacing w:line="276" w:lineRule="auto"/>
                    <w:jc w:val="center"/>
                    <w:rPr>
                      <w:rFonts w:hint="eastAsia" w:hAnsi="宋体" w:cs="宋体"/>
                      <w:color w:val="000000" w:themeColor="text1"/>
                      <w:szCs w:val="21"/>
                      <w14:textFill>
                        <w14:solidFill>
                          <w14:schemeClr w14:val="tx1"/>
                        </w14:solidFill>
                      </w14:textFill>
                    </w:rPr>
                  </w:pPr>
                  <w:r>
                    <w:rPr>
                      <w:rFonts w:hint="eastAsia" w:hAnsi="宋体" w:cs="宋体"/>
                      <w:szCs w:val="21"/>
                    </w:rPr>
                    <w:t>1</w:t>
                  </w:r>
                </w:p>
              </w:tc>
              <w:tc>
                <w:tcPr>
                  <w:tcW w:w="1687" w:type="dxa"/>
                  <w:vAlign w:val="center"/>
                </w:tcPr>
                <w:p w14:paraId="50CDB06F">
                  <w:pPr>
                    <w:pStyle w:val="10"/>
                    <w:spacing w:line="276" w:lineRule="auto"/>
                    <w:rPr>
                      <w:rFonts w:hint="eastAsia" w:hAnsi="宋体" w:cs="宋体"/>
                      <w:color w:val="000000" w:themeColor="text1"/>
                      <w:spacing w:val="7"/>
                      <w:szCs w:val="21"/>
                      <w14:textFill>
                        <w14:solidFill>
                          <w14:schemeClr w14:val="tx1"/>
                        </w14:solidFill>
                      </w14:textFill>
                    </w:rPr>
                  </w:pPr>
                  <w:r>
                    <w:rPr>
                      <w:rFonts w:hint="eastAsia" w:hAnsi="宋体" w:cs="宋体"/>
                      <w:szCs w:val="21"/>
                    </w:rPr>
                    <w:t>管理体系认证</w:t>
                  </w:r>
                </w:p>
              </w:tc>
              <w:tc>
                <w:tcPr>
                  <w:tcW w:w="847" w:type="dxa"/>
                  <w:vAlign w:val="center"/>
                </w:tcPr>
                <w:p w14:paraId="79DB4023">
                  <w:pPr>
                    <w:pStyle w:val="10"/>
                    <w:spacing w:line="276" w:lineRule="auto"/>
                    <w:jc w:val="center"/>
                    <w:rPr>
                      <w:rFonts w:hint="eastAsia" w:hAnsi="宋体" w:cs="宋体"/>
                      <w:bCs/>
                      <w:color w:val="000000" w:themeColor="text1"/>
                      <w:szCs w:val="21"/>
                      <w14:textFill>
                        <w14:solidFill>
                          <w14:schemeClr w14:val="tx1"/>
                        </w14:solidFill>
                      </w14:textFill>
                    </w:rPr>
                  </w:pPr>
                  <w:r>
                    <w:rPr>
                      <w:rFonts w:hint="eastAsia" w:hAnsi="宋体" w:cs="宋体"/>
                      <w:szCs w:val="21"/>
                    </w:rPr>
                    <w:t>9</w:t>
                  </w:r>
                </w:p>
              </w:tc>
              <w:tc>
                <w:tcPr>
                  <w:tcW w:w="5436" w:type="dxa"/>
                  <w:vAlign w:val="center"/>
                </w:tcPr>
                <w:p w14:paraId="1786E425">
                  <w:pPr>
                    <w:pStyle w:val="10"/>
                    <w:spacing w:line="276" w:lineRule="auto"/>
                    <w:rPr>
                      <w:rFonts w:hint="eastAsia" w:hAnsi="宋体" w:cs="宋体"/>
                      <w:b/>
                      <w:bCs/>
                      <w:szCs w:val="21"/>
                    </w:rPr>
                  </w:pPr>
                  <w:r>
                    <w:rPr>
                      <w:rFonts w:hint="eastAsia" w:hAnsi="宋体" w:cs="宋体"/>
                      <w:b/>
                      <w:bCs/>
                      <w:szCs w:val="21"/>
                    </w:rPr>
                    <w:t>（一）评分内容</w:t>
                  </w:r>
                </w:p>
                <w:p w14:paraId="2C2A9128">
                  <w:pPr>
                    <w:pStyle w:val="42"/>
                    <w:spacing w:line="276" w:lineRule="auto"/>
                    <w:rPr>
                      <w:rFonts w:hint="eastAsia" w:ascii="宋体" w:hAnsi="宋体" w:cstheme="minorEastAsia"/>
                      <w:szCs w:val="21"/>
                    </w:rPr>
                  </w:pPr>
                  <w:r>
                    <w:rPr>
                      <w:rFonts w:hint="eastAsia" w:ascii="宋体" w:hAnsi="宋体" w:cstheme="minorEastAsia"/>
                      <w:szCs w:val="21"/>
                    </w:rPr>
                    <w:t>1.投标人具有质量管理体系认证证书；</w:t>
                  </w:r>
                </w:p>
                <w:p w14:paraId="6BB9BDF0">
                  <w:pPr>
                    <w:pStyle w:val="42"/>
                    <w:spacing w:line="276" w:lineRule="auto"/>
                    <w:rPr>
                      <w:rFonts w:hint="eastAsia" w:ascii="宋体" w:hAnsi="宋体" w:cstheme="minorEastAsia"/>
                      <w:szCs w:val="21"/>
                    </w:rPr>
                  </w:pPr>
                  <w:r>
                    <w:rPr>
                      <w:rFonts w:hint="eastAsia" w:ascii="宋体" w:hAnsi="宋体" w:cstheme="minorEastAsia"/>
                      <w:szCs w:val="21"/>
                    </w:rPr>
                    <w:t>2.投标人具有环境管理体系认证证书；</w:t>
                  </w:r>
                </w:p>
                <w:p w14:paraId="719D49D0">
                  <w:pPr>
                    <w:pStyle w:val="42"/>
                    <w:spacing w:line="276" w:lineRule="auto"/>
                    <w:rPr>
                      <w:rFonts w:hint="eastAsia" w:ascii="宋体" w:hAnsi="宋体" w:cstheme="minorEastAsia"/>
                      <w:szCs w:val="21"/>
                    </w:rPr>
                  </w:pPr>
                  <w:r>
                    <w:rPr>
                      <w:rFonts w:hint="eastAsia" w:ascii="宋体" w:hAnsi="宋体" w:cstheme="minorEastAsia"/>
                      <w:szCs w:val="21"/>
                    </w:rPr>
                    <w:t>3.投标人具有职业健康安全管理体系认证证书；</w:t>
                  </w:r>
                </w:p>
                <w:p w14:paraId="7FC44CB1">
                  <w:pPr>
                    <w:pStyle w:val="42"/>
                    <w:spacing w:line="276" w:lineRule="auto"/>
                    <w:rPr>
                      <w:rFonts w:hint="eastAsia" w:ascii="宋体" w:hAnsi="宋体" w:cstheme="minorEastAsia"/>
                      <w:szCs w:val="21"/>
                    </w:rPr>
                  </w:pPr>
                  <w:r>
                    <w:rPr>
                      <w:rFonts w:hint="eastAsia" w:ascii="宋体" w:hAnsi="宋体" w:cstheme="minorEastAsia"/>
                      <w:szCs w:val="21"/>
                    </w:rPr>
                    <w:t>每提供1个证书得3分，最高得9分。</w:t>
                  </w:r>
                </w:p>
                <w:p w14:paraId="068FB98C">
                  <w:pPr>
                    <w:pStyle w:val="10"/>
                    <w:spacing w:line="276" w:lineRule="auto"/>
                    <w:rPr>
                      <w:rFonts w:hint="eastAsia" w:hAnsi="宋体" w:cs="宋体"/>
                      <w:b/>
                      <w:bCs/>
                      <w:szCs w:val="21"/>
                    </w:rPr>
                  </w:pPr>
                  <w:r>
                    <w:rPr>
                      <w:rFonts w:hint="eastAsia" w:hAnsi="宋体" w:cs="宋体"/>
                      <w:b/>
                      <w:bCs/>
                      <w:szCs w:val="21"/>
                    </w:rPr>
                    <w:t>（二）评分依据</w:t>
                  </w:r>
                </w:p>
                <w:p w14:paraId="485A7F68">
                  <w:pPr>
                    <w:pStyle w:val="10"/>
                    <w:spacing w:line="276" w:lineRule="auto"/>
                    <w:rPr>
                      <w:rFonts w:hint="eastAsia" w:hAnsi="宋体" w:cs="宋体"/>
                      <w:szCs w:val="21"/>
                    </w:rPr>
                  </w:pPr>
                  <w:r>
                    <w:rPr>
                      <w:rFonts w:hint="eastAsia" w:hAnsi="宋体" w:cs="宋体"/>
                      <w:szCs w:val="21"/>
                    </w:rPr>
                    <w:t>1.要求提供所有有效的认证证书扫描件，及出具证书官网或全国认证认可信息公共服务平台（http://cx.cnca.cn/）的证书查询记录。认证证书在公开渠道无法查询的，需提供颁发机构的证明材料，证明证书真实有效。</w:t>
                  </w:r>
                  <w:r>
                    <w:rPr>
                      <w:rFonts w:hint="eastAsia" w:asciiTheme="minorEastAsia" w:hAnsiTheme="minorEastAsia" w:eastAsiaTheme="minorEastAsia" w:cstheme="minorEastAsia"/>
                      <w:szCs w:val="21"/>
                    </w:rPr>
                    <w:t>如投标人为新成立企业且成立时间不足三个月提供情况说明或证明材料即可得满分。</w:t>
                  </w:r>
                </w:p>
                <w:p w14:paraId="40BCA97E">
                  <w:pPr>
                    <w:pStyle w:val="10"/>
                    <w:spacing w:line="276" w:lineRule="auto"/>
                    <w:rPr>
                      <w:rFonts w:hint="eastAsia" w:hAnsi="宋体" w:cs="宋体"/>
                      <w:color w:val="000000" w:themeColor="text1"/>
                      <w:szCs w:val="21"/>
                      <w14:textFill>
                        <w14:solidFill>
                          <w14:schemeClr w14:val="tx1"/>
                        </w14:solidFill>
                      </w14:textFill>
                    </w:rPr>
                  </w:pPr>
                  <w:r>
                    <w:rPr>
                      <w:rFonts w:hint="eastAsia" w:hAnsi="宋体" w:cs="宋体"/>
                      <w:szCs w:val="21"/>
                    </w:rPr>
                    <w:t>2.提供以上证明文件扫描件，如涉及网站截图或照片等证明材料,需提供清晰图片。未按要求提供有效证明材料或提供不清晰导致评委无法识别的不计得分。</w:t>
                  </w:r>
                </w:p>
              </w:tc>
            </w:tr>
            <w:tr w14:paraId="65BE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rPr>
              <w:tc>
                <w:tcPr>
                  <w:tcW w:w="827" w:type="dxa"/>
                  <w:vMerge w:val="continue"/>
                  <w:shd w:val="clear" w:color="auto" w:fill="E6EFFA"/>
                  <w:vAlign w:val="center"/>
                </w:tcPr>
                <w:p w14:paraId="59F193A2">
                  <w:pPr>
                    <w:widowControl/>
                    <w:spacing w:line="276" w:lineRule="auto"/>
                    <w:jc w:val="left"/>
                    <w:rPr>
                      <w:rFonts w:hint="eastAsia" w:ascii="宋体" w:hAnsi="宋体" w:cs="宋体"/>
                      <w:b/>
                      <w:bCs/>
                      <w:color w:val="000000" w:themeColor="text1"/>
                      <w:kern w:val="0"/>
                      <w:szCs w:val="21"/>
                      <w14:textFill>
                        <w14:solidFill>
                          <w14:schemeClr w14:val="tx1"/>
                        </w14:solidFill>
                      </w14:textFill>
                    </w:rPr>
                  </w:pPr>
                </w:p>
              </w:tc>
              <w:tc>
                <w:tcPr>
                  <w:tcW w:w="668" w:type="dxa"/>
                  <w:vAlign w:val="center"/>
                </w:tcPr>
                <w:p w14:paraId="7A6DA62D">
                  <w:pPr>
                    <w:pStyle w:val="10"/>
                    <w:spacing w:line="276" w:lineRule="auto"/>
                    <w:jc w:val="center"/>
                    <w:rPr>
                      <w:rFonts w:hint="eastAsia" w:hAnsi="宋体" w:cs="宋体"/>
                      <w:szCs w:val="21"/>
                    </w:rPr>
                  </w:pPr>
                  <w:r>
                    <w:rPr>
                      <w:rFonts w:hint="eastAsia" w:hAnsi="宋体" w:cs="宋体"/>
                      <w:szCs w:val="21"/>
                    </w:rPr>
                    <w:t>2</w:t>
                  </w:r>
                </w:p>
              </w:tc>
              <w:tc>
                <w:tcPr>
                  <w:tcW w:w="1687" w:type="dxa"/>
                  <w:vAlign w:val="center"/>
                </w:tcPr>
                <w:p w14:paraId="7A954A5F">
                  <w:pPr>
                    <w:pStyle w:val="10"/>
                    <w:spacing w:line="276" w:lineRule="auto"/>
                    <w:rPr>
                      <w:rFonts w:hint="eastAsia" w:hAnsi="宋体" w:cs="宋体"/>
                      <w:szCs w:val="21"/>
                    </w:rPr>
                  </w:pPr>
                  <w:r>
                    <w:rPr>
                      <w:rFonts w:hint="eastAsia" w:hAnsi="宋体" w:cs="宋体"/>
                      <w:szCs w:val="21"/>
                    </w:rPr>
                    <w:t>软件著作权证书</w:t>
                  </w:r>
                </w:p>
              </w:tc>
              <w:tc>
                <w:tcPr>
                  <w:tcW w:w="847" w:type="dxa"/>
                  <w:vAlign w:val="center"/>
                </w:tcPr>
                <w:p w14:paraId="42378AF7">
                  <w:pPr>
                    <w:pStyle w:val="10"/>
                    <w:spacing w:line="276" w:lineRule="auto"/>
                    <w:jc w:val="center"/>
                    <w:rPr>
                      <w:rFonts w:hint="eastAsia" w:hAnsi="宋体" w:cs="宋体"/>
                      <w:szCs w:val="21"/>
                    </w:rPr>
                  </w:pPr>
                  <w:r>
                    <w:rPr>
                      <w:rFonts w:hint="eastAsia" w:hAnsi="宋体" w:cs="宋体"/>
                      <w:szCs w:val="21"/>
                    </w:rPr>
                    <w:t>10</w:t>
                  </w:r>
                </w:p>
              </w:tc>
              <w:tc>
                <w:tcPr>
                  <w:tcW w:w="5436" w:type="dxa"/>
                  <w:vAlign w:val="center"/>
                </w:tcPr>
                <w:p w14:paraId="14D0B72D">
                  <w:pPr>
                    <w:pStyle w:val="10"/>
                    <w:spacing w:line="276" w:lineRule="auto"/>
                    <w:rPr>
                      <w:rFonts w:hint="eastAsia" w:hAnsi="宋体" w:cs="宋体"/>
                      <w:b/>
                      <w:bCs/>
                      <w:szCs w:val="21"/>
                    </w:rPr>
                  </w:pPr>
                  <w:r>
                    <w:rPr>
                      <w:rFonts w:hint="eastAsia" w:hAnsi="宋体" w:cs="宋体"/>
                      <w:b/>
                      <w:bCs/>
                      <w:szCs w:val="21"/>
                    </w:rPr>
                    <w:t>（一）评分内容</w:t>
                  </w:r>
                </w:p>
                <w:p w14:paraId="21FAD01D">
                  <w:pPr>
                    <w:pStyle w:val="10"/>
                    <w:spacing w:line="276" w:lineRule="auto"/>
                    <w:rPr>
                      <w:rFonts w:hint="eastAsia" w:hAnsi="宋体" w:cs="宋体"/>
                      <w:szCs w:val="21"/>
                    </w:rPr>
                  </w:pPr>
                  <w:r>
                    <w:rPr>
                      <w:rFonts w:hint="eastAsia" w:hAnsi="宋体" w:cs="宋体"/>
                      <w:szCs w:val="21"/>
                    </w:rPr>
                    <w:t>投标人具有与项目相关的计算机软件著作权证书：与“消毒供应管理系统、智慧麻醉系统、设备数智物联采集平台、手术护理与安全管理系统、手术器械闭环信息管理系统”相关的软件著作权证书。</w:t>
                  </w:r>
                </w:p>
                <w:p w14:paraId="32AD6462">
                  <w:pPr>
                    <w:pStyle w:val="10"/>
                    <w:spacing w:line="276" w:lineRule="auto"/>
                    <w:rPr>
                      <w:rFonts w:hint="eastAsia" w:hAnsi="宋体" w:cs="宋体"/>
                      <w:szCs w:val="21"/>
                    </w:rPr>
                  </w:pPr>
                  <w:r>
                    <w:rPr>
                      <w:rFonts w:hint="eastAsia" w:hAnsi="宋体" w:cs="宋体"/>
                      <w:szCs w:val="21"/>
                    </w:rPr>
                    <w:t>每提供一类（种）得2分，最高得10分。</w:t>
                  </w:r>
                </w:p>
                <w:p w14:paraId="5EE5C5BB">
                  <w:pPr>
                    <w:pStyle w:val="10"/>
                    <w:spacing w:line="276" w:lineRule="auto"/>
                    <w:rPr>
                      <w:rFonts w:hint="eastAsia" w:hAnsi="宋体" w:cs="宋体"/>
                      <w:b/>
                      <w:bCs/>
                      <w:szCs w:val="21"/>
                    </w:rPr>
                  </w:pPr>
                  <w:r>
                    <w:rPr>
                      <w:rFonts w:hint="eastAsia" w:hAnsi="宋体" w:cs="宋体"/>
                      <w:b/>
                      <w:bCs/>
                      <w:szCs w:val="21"/>
                    </w:rPr>
                    <w:t>（二）评分依据</w:t>
                  </w:r>
                </w:p>
                <w:p w14:paraId="3E4A0B4A">
                  <w:pPr>
                    <w:pStyle w:val="10"/>
                    <w:spacing w:line="276" w:lineRule="auto"/>
                    <w:rPr>
                      <w:rFonts w:hint="eastAsia" w:hAnsi="宋体" w:cs="宋体"/>
                      <w:szCs w:val="21"/>
                    </w:rPr>
                  </w:pPr>
                  <w:r>
                    <w:rPr>
                      <w:rFonts w:hint="eastAsia" w:hAnsi="宋体" w:cs="宋体"/>
                      <w:szCs w:val="21"/>
                    </w:rPr>
                    <w:t>投标人须提供软件著作权证书复印件加盖公章和中国版权保护中心著作权登记系统检索查询（https://register.ccopyright.com.cn/query.html）网上查询结果截图。不提供或提供资料不符合要求不得分。</w:t>
                  </w:r>
                </w:p>
              </w:tc>
            </w:tr>
            <w:tr w14:paraId="319E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67" w:hRule="atLeast"/>
              </w:trPr>
              <w:tc>
                <w:tcPr>
                  <w:tcW w:w="827" w:type="dxa"/>
                  <w:vMerge w:val="continue"/>
                  <w:vAlign w:val="center"/>
                </w:tcPr>
                <w:p w14:paraId="738AA87D">
                  <w:pPr>
                    <w:widowControl/>
                    <w:spacing w:line="276" w:lineRule="auto"/>
                    <w:jc w:val="left"/>
                    <w:rPr>
                      <w:rFonts w:hint="eastAsia" w:ascii="宋体" w:hAnsi="宋体" w:cs="宋体"/>
                      <w:b/>
                      <w:bCs/>
                      <w:color w:val="000000" w:themeColor="text1"/>
                      <w:kern w:val="0"/>
                      <w:szCs w:val="21"/>
                      <w14:textFill>
                        <w14:solidFill>
                          <w14:schemeClr w14:val="tx1"/>
                        </w14:solidFill>
                      </w14:textFill>
                    </w:rPr>
                  </w:pPr>
                </w:p>
              </w:tc>
              <w:tc>
                <w:tcPr>
                  <w:tcW w:w="668" w:type="dxa"/>
                  <w:vAlign w:val="center"/>
                </w:tcPr>
                <w:p w14:paraId="252C554D">
                  <w:pPr>
                    <w:widowControl/>
                    <w:wordWrap w:val="0"/>
                    <w:spacing w:line="276" w:lineRule="auto"/>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szCs w:val="21"/>
                      <w:lang w:val="en-US" w:eastAsia="zh-CN"/>
                    </w:rPr>
                    <w:t>3</w:t>
                  </w:r>
                </w:p>
              </w:tc>
              <w:tc>
                <w:tcPr>
                  <w:tcW w:w="1687" w:type="dxa"/>
                  <w:vAlign w:val="center"/>
                </w:tcPr>
                <w:p w14:paraId="3939704D">
                  <w:pPr>
                    <w:spacing w:line="276" w:lineRule="auto"/>
                    <w:rPr>
                      <w:rFonts w:hint="eastAsia" w:ascii="宋体" w:hAnsi="宋体" w:cs="宋体"/>
                      <w:color w:val="000000" w:themeColor="text1"/>
                      <w:kern w:val="0"/>
                      <w:szCs w:val="21"/>
                      <w14:textFill>
                        <w14:solidFill>
                          <w14:schemeClr w14:val="tx1"/>
                        </w14:solidFill>
                      </w14:textFill>
                    </w:rPr>
                  </w:pPr>
                  <w:r>
                    <w:rPr>
                      <w:rFonts w:hint="eastAsia" w:ascii="宋体" w:hAnsi="宋体"/>
                      <w:szCs w:val="21"/>
                    </w:rPr>
                    <w:t>国家信创产品要求</w:t>
                  </w:r>
                </w:p>
              </w:tc>
              <w:tc>
                <w:tcPr>
                  <w:tcW w:w="847" w:type="dxa"/>
                  <w:vAlign w:val="center"/>
                </w:tcPr>
                <w:p w14:paraId="6F225276">
                  <w:pPr>
                    <w:spacing w:line="276" w:lineRule="auto"/>
                    <w:jc w:val="center"/>
                    <w:rPr>
                      <w:rFonts w:hint="eastAsia" w:ascii="宋体" w:hAnsi="宋体" w:eastAsia="宋体" w:cs="宋体"/>
                      <w:color w:val="000000" w:themeColor="text1"/>
                      <w:spacing w:val="-8"/>
                      <w:szCs w:val="21"/>
                      <w:lang w:eastAsia="zh-CN"/>
                      <w14:textFill>
                        <w14:solidFill>
                          <w14:schemeClr w14:val="tx1"/>
                        </w14:solidFill>
                      </w14:textFill>
                    </w:rPr>
                  </w:pPr>
                  <w:r>
                    <w:rPr>
                      <w:rFonts w:hint="eastAsia" w:ascii="宋体" w:hAnsi="宋体" w:cs="宋体"/>
                      <w:color w:val="000000" w:themeColor="text1"/>
                      <w:spacing w:val="-8"/>
                      <w:szCs w:val="21"/>
                      <w:lang w:val="en-US" w:eastAsia="zh-CN"/>
                      <w14:textFill>
                        <w14:solidFill>
                          <w14:schemeClr w14:val="tx1"/>
                        </w14:solidFill>
                      </w14:textFill>
                    </w:rPr>
                    <w:t>6</w:t>
                  </w:r>
                </w:p>
              </w:tc>
              <w:tc>
                <w:tcPr>
                  <w:tcW w:w="5436" w:type="dxa"/>
                  <w:vAlign w:val="center"/>
                </w:tcPr>
                <w:p w14:paraId="713F569E">
                  <w:pPr>
                    <w:shd w:val="clear" w:color="auto" w:fill="FFFFFF"/>
                    <w:spacing w:line="276" w:lineRule="auto"/>
                    <w:rPr>
                      <w:rFonts w:hint="eastAsia" w:ascii="宋体" w:hAnsi="宋体" w:cs="宋体"/>
                      <w:b/>
                      <w:szCs w:val="21"/>
                    </w:rPr>
                  </w:pPr>
                  <w:r>
                    <w:rPr>
                      <w:rFonts w:hint="eastAsia" w:ascii="宋体" w:hAnsi="宋体" w:cs="宋体"/>
                      <w:b/>
                      <w:szCs w:val="21"/>
                    </w:rPr>
                    <w:t>（一）评分内容</w:t>
                  </w:r>
                </w:p>
                <w:p w14:paraId="7BD6F322">
                  <w:pPr>
                    <w:spacing w:line="276" w:lineRule="auto"/>
                    <w:rPr>
                      <w:rFonts w:hint="eastAsia" w:ascii="宋体" w:hAnsi="宋体" w:cs="宋体"/>
                      <w:szCs w:val="21"/>
                    </w:rPr>
                  </w:pPr>
                  <w:r>
                    <w:rPr>
                      <w:rFonts w:hint="eastAsia" w:ascii="宋体" w:hAnsi="宋体" w:cs="宋体"/>
                      <w:szCs w:val="21"/>
                    </w:rPr>
                    <w:t>1、所投软件产品兼容国家提倡的国产芯片（飞腾芯片或华为海思或龙芯中科等厂家），并提供兼容性认证证书；</w:t>
                  </w:r>
                </w:p>
                <w:p w14:paraId="4A6E178B">
                  <w:pPr>
                    <w:spacing w:line="276" w:lineRule="auto"/>
                    <w:rPr>
                      <w:rFonts w:hint="eastAsia" w:ascii="宋体" w:hAnsi="宋体" w:cs="宋体"/>
                      <w:szCs w:val="21"/>
                    </w:rPr>
                  </w:pPr>
                  <w:r>
                    <w:rPr>
                      <w:rFonts w:hint="eastAsia" w:ascii="宋体" w:hAnsi="宋体" w:cs="宋体"/>
                      <w:szCs w:val="21"/>
                    </w:rPr>
                    <w:t>2、所投软件产品兼国家提倡的分布式统一存储数据平台（星辰天合或华为或中科星图等厂家），并提供兼容性认证证书；</w:t>
                  </w:r>
                </w:p>
                <w:p w14:paraId="7F9D5487">
                  <w:pPr>
                    <w:spacing w:line="276" w:lineRule="auto"/>
                    <w:rPr>
                      <w:rFonts w:hint="eastAsia" w:ascii="宋体" w:hAnsi="宋体" w:cs="宋体"/>
                      <w:szCs w:val="21"/>
                    </w:rPr>
                  </w:pPr>
                  <w:r>
                    <w:rPr>
                      <w:rFonts w:hint="eastAsia" w:ascii="宋体" w:hAnsi="宋体" w:cs="宋体"/>
                      <w:szCs w:val="21"/>
                    </w:rPr>
                    <w:t>3、所投软件产品兼容国家提倡的国产操作系统（中标麒麟或银河麒麟或普华或深度等厂家），并提供兼容性认证证书。</w:t>
                  </w:r>
                </w:p>
                <w:p w14:paraId="086FDC91">
                  <w:pPr>
                    <w:spacing w:line="276" w:lineRule="auto"/>
                    <w:rPr>
                      <w:rFonts w:hint="eastAsia" w:ascii="宋体" w:hAnsi="宋体"/>
                    </w:rPr>
                  </w:pPr>
                  <w:r>
                    <w:rPr>
                      <w:rFonts w:hint="eastAsia" w:ascii="宋体" w:hAnsi="宋体"/>
                    </w:rPr>
                    <w:t>每提供1项得</w:t>
                  </w:r>
                  <w:r>
                    <w:rPr>
                      <w:rFonts w:hint="eastAsia" w:ascii="宋体" w:hAnsi="宋体"/>
                      <w:lang w:val="en-US" w:eastAsia="zh-CN"/>
                    </w:rPr>
                    <w:t>2</w:t>
                  </w:r>
                  <w:r>
                    <w:rPr>
                      <w:rFonts w:hint="eastAsia" w:ascii="宋体" w:hAnsi="宋体"/>
                    </w:rPr>
                    <w:t>分，最高得</w:t>
                  </w:r>
                  <w:r>
                    <w:rPr>
                      <w:rFonts w:hint="eastAsia" w:ascii="宋体" w:hAnsi="宋体"/>
                      <w:lang w:val="en-US" w:eastAsia="zh-CN"/>
                    </w:rPr>
                    <w:t>6</w:t>
                  </w:r>
                  <w:r>
                    <w:rPr>
                      <w:rFonts w:hint="eastAsia" w:ascii="宋体" w:hAnsi="宋体"/>
                    </w:rPr>
                    <w:t>分。</w:t>
                  </w:r>
                </w:p>
                <w:p w14:paraId="766455E8">
                  <w:pPr>
                    <w:shd w:val="clear" w:color="auto" w:fill="FFFFFF"/>
                    <w:spacing w:line="276" w:lineRule="auto"/>
                    <w:rPr>
                      <w:rFonts w:hint="eastAsia" w:ascii="宋体" w:hAnsi="宋体" w:cs="宋体"/>
                      <w:szCs w:val="21"/>
                    </w:rPr>
                  </w:pPr>
                  <w:r>
                    <w:rPr>
                      <w:rFonts w:hint="eastAsia" w:ascii="宋体" w:hAnsi="宋体" w:cs="宋体"/>
                      <w:b/>
                      <w:szCs w:val="21"/>
                    </w:rPr>
                    <w:t>（二）评分依据</w:t>
                  </w:r>
                </w:p>
                <w:p w14:paraId="4B876DE9">
                  <w:pPr>
                    <w:widowControl/>
                    <w:spacing w:line="276" w:lineRule="auto"/>
                    <w:jc w:val="left"/>
                    <w:rPr>
                      <w:rFonts w:hint="eastAsia" w:ascii="宋体" w:hAnsi="宋体" w:cs="宋体"/>
                      <w:szCs w:val="21"/>
                    </w:rPr>
                  </w:pPr>
                  <w:r>
                    <w:rPr>
                      <w:rFonts w:hint="eastAsia" w:ascii="宋体" w:hAnsi="宋体" w:cs="宋体"/>
                      <w:szCs w:val="21"/>
                    </w:rPr>
                    <w:t>需提供国产芯片、国产分布式统一存储数据平台、国产操作系统厂商的兼容性认证证书扫描件。</w:t>
                  </w:r>
                </w:p>
              </w:tc>
            </w:tr>
          </w:tbl>
          <w:p w14:paraId="183C92AB">
            <w:pPr>
              <w:pStyle w:val="17"/>
              <w:spacing w:line="240" w:lineRule="exact"/>
              <w:rPr>
                <w:rFonts w:hint="eastAsia" w:ascii="宋体" w:hAnsi="宋体" w:cs="宋体"/>
                <w:sz w:val="21"/>
                <w:szCs w:val="21"/>
              </w:rPr>
            </w:pPr>
          </w:p>
          <w:p w14:paraId="2CCAF45A">
            <w:pPr>
              <w:pStyle w:val="17"/>
              <w:spacing w:line="324" w:lineRule="auto"/>
              <w:rPr>
                <w:rFonts w:hint="eastAsia" w:ascii="仿宋" w:hAnsi="仿宋" w:eastAsia="仿宋" w:cs="仿宋"/>
                <w:sz w:val="21"/>
                <w:szCs w:val="21"/>
              </w:rPr>
            </w:pPr>
          </w:p>
        </w:tc>
      </w:tr>
    </w:tbl>
    <w:p w14:paraId="463144F9">
      <w:pPr>
        <w:numPr>
          <w:ilvl w:val="255"/>
          <w:numId w:val="0"/>
        </w:numPr>
      </w:pPr>
    </w:p>
    <w:p w14:paraId="503F59C6"/>
    <w:p w14:paraId="06E6F3EE">
      <w:pPr>
        <w:numPr>
          <w:ilvl w:val="255"/>
          <w:numId w:val="0"/>
        </w:numPr>
        <w:tabs>
          <w:tab w:val="left" w:pos="1260"/>
        </w:tabs>
        <w:spacing w:line="360" w:lineRule="auto"/>
        <w:jc w:val="left"/>
        <w:rPr>
          <w:rFonts w:hint="eastAsia" w:ascii="宋体" w:hAnsi="宋体" w:cs="宋体"/>
          <w:sz w:val="24"/>
        </w:rPr>
      </w:pPr>
    </w:p>
    <w:p w14:paraId="1ECA41E6">
      <w:pPr>
        <w:pStyle w:val="19"/>
      </w:pPr>
    </w:p>
    <w:p w14:paraId="6564E8C6">
      <w:pPr>
        <w:widowControl/>
        <w:jc w:val="left"/>
        <w:rPr>
          <w:rFonts w:hint="eastAsia" w:ascii="宋体" w:hAnsi="宋体"/>
          <w:szCs w:val="21"/>
        </w:rPr>
      </w:pPr>
      <w:r>
        <w:rPr>
          <w:b/>
          <w:bCs/>
          <w:sz w:val="24"/>
        </w:rPr>
        <w:br w:type="page"/>
      </w:r>
      <w:bookmarkEnd w:id="0"/>
    </w:p>
    <w:sectPr>
      <w:headerReference r:id="rId3" w:type="default"/>
      <w:footerReference r:id="rId4" w:type="default"/>
      <w:pgSz w:w="11850" w:h="16783"/>
      <w:pgMar w:top="1440" w:right="1080" w:bottom="1440" w:left="1080" w:header="737" w:footer="680"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9BE0">
    <w:pPr>
      <w:pStyle w:val="15"/>
    </w:pPr>
    <w:r>
      <w:rPr>
        <w:rFonts w:hint="eastAsia"/>
        <w:b/>
        <w:i/>
      </w:rPr>
      <w:t xml:space="preserve">            </w:t>
    </w:r>
    <w:r>
      <w:rPr>
        <w:rFonts w:hint="eastAsia"/>
      </w:rPr>
      <w:t xml:space="preserve">                       </w:t>
    </w:r>
    <w:r>
      <w:rPr>
        <w:rFonts w:hint="eastAsia"/>
      </w:rPr>
      <w:tab/>
    </w:r>
    <w:r>
      <w:rPr>
        <w:rFonts w:hint="eastAsia"/>
      </w:rPr>
      <w:tab/>
    </w:r>
    <w:r>
      <w:rPr>
        <w:rFonts w:hint="eastAsia"/>
      </w:rPr>
      <w:t xml:space="preserve">   </w:t>
    </w:r>
    <w:r>
      <w:rPr>
        <w:rStyle w:val="23"/>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9487">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40552"/>
    <w:multiLevelType w:val="singleLevel"/>
    <w:tmpl w:val="98140552"/>
    <w:lvl w:ilvl="0" w:tentative="0">
      <w:start w:val="5"/>
      <w:numFmt w:val="chineseCounting"/>
      <w:suff w:val="nothing"/>
      <w:lvlText w:val="%1、"/>
      <w:lvlJc w:val="left"/>
      <w:rPr>
        <w:rFonts w:hint="eastAsia"/>
      </w:rPr>
    </w:lvl>
  </w:abstractNum>
  <w:abstractNum w:abstractNumId="1">
    <w:nsid w:val="D7A3C96D"/>
    <w:multiLevelType w:val="singleLevel"/>
    <w:tmpl w:val="D7A3C96D"/>
    <w:lvl w:ilvl="0" w:tentative="0">
      <w:start w:val="1"/>
      <w:numFmt w:val="chineseCounting"/>
      <w:suff w:val="nothing"/>
      <w:lvlText w:val="%1、"/>
      <w:lvlJc w:val="left"/>
      <w:rPr>
        <w:rFonts w:hint="eastAsia"/>
      </w:rPr>
    </w:lvl>
  </w:abstractNum>
  <w:abstractNum w:abstractNumId="2">
    <w:nsid w:val="E7962178"/>
    <w:multiLevelType w:val="singleLevel"/>
    <w:tmpl w:val="E7962178"/>
    <w:lvl w:ilvl="0" w:tentative="0">
      <w:start w:val="4"/>
      <w:numFmt w:val="chineseCounting"/>
      <w:suff w:val="nothing"/>
      <w:lvlText w:val="%1、"/>
      <w:lvlJc w:val="left"/>
      <w:rPr>
        <w:rFonts w:hint="eastAsia"/>
      </w:rPr>
    </w:lvl>
  </w:abstractNum>
  <w:abstractNum w:abstractNumId="3">
    <w:nsid w:val="2903B6E5"/>
    <w:multiLevelType w:val="singleLevel"/>
    <w:tmpl w:val="2903B6E5"/>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45"/>
    <w:rsid w:val="000028F4"/>
    <w:rsid w:val="000042AA"/>
    <w:rsid w:val="00005402"/>
    <w:rsid w:val="00016980"/>
    <w:rsid w:val="00024715"/>
    <w:rsid w:val="00030B9D"/>
    <w:rsid w:val="00040787"/>
    <w:rsid w:val="00062E78"/>
    <w:rsid w:val="00062EB3"/>
    <w:rsid w:val="00063F20"/>
    <w:rsid w:val="000700AB"/>
    <w:rsid w:val="00072352"/>
    <w:rsid w:val="0007283F"/>
    <w:rsid w:val="00074B7F"/>
    <w:rsid w:val="000758D3"/>
    <w:rsid w:val="0007713B"/>
    <w:rsid w:val="000844C3"/>
    <w:rsid w:val="0009436C"/>
    <w:rsid w:val="0009602A"/>
    <w:rsid w:val="000A1397"/>
    <w:rsid w:val="000A68D2"/>
    <w:rsid w:val="000C4E1B"/>
    <w:rsid w:val="000C52DF"/>
    <w:rsid w:val="000E7E1A"/>
    <w:rsid w:val="000F04B3"/>
    <w:rsid w:val="000F2F33"/>
    <w:rsid w:val="0010237A"/>
    <w:rsid w:val="00104408"/>
    <w:rsid w:val="00112C17"/>
    <w:rsid w:val="00114F27"/>
    <w:rsid w:val="00126B57"/>
    <w:rsid w:val="0013046C"/>
    <w:rsid w:val="0013467B"/>
    <w:rsid w:val="001406F5"/>
    <w:rsid w:val="00145BC7"/>
    <w:rsid w:val="001570A4"/>
    <w:rsid w:val="00172EAA"/>
    <w:rsid w:val="00173CCA"/>
    <w:rsid w:val="00184C67"/>
    <w:rsid w:val="001944AA"/>
    <w:rsid w:val="0019573B"/>
    <w:rsid w:val="00195BAC"/>
    <w:rsid w:val="001A47F1"/>
    <w:rsid w:val="001B5488"/>
    <w:rsid w:val="001B7B0A"/>
    <w:rsid w:val="001C0D6C"/>
    <w:rsid w:val="001C0FBC"/>
    <w:rsid w:val="001C19EE"/>
    <w:rsid w:val="001C4B82"/>
    <w:rsid w:val="001C5263"/>
    <w:rsid w:val="001C666E"/>
    <w:rsid w:val="001D6F07"/>
    <w:rsid w:val="001E054C"/>
    <w:rsid w:val="001E5A2C"/>
    <w:rsid w:val="001E7B34"/>
    <w:rsid w:val="001F1D23"/>
    <w:rsid w:val="001F240C"/>
    <w:rsid w:val="00214CC1"/>
    <w:rsid w:val="002167F1"/>
    <w:rsid w:val="002301D5"/>
    <w:rsid w:val="00236A84"/>
    <w:rsid w:val="00246FDB"/>
    <w:rsid w:val="0024789C"/>
    <w:rsid w:val="002531BE"/>
    <w:rsid w:val="002575C2"/>
    <w:rsid w:val="002677AF"/>
    <w:rsid w:val="0027245F"/>
    <w:rsid w:val="00277131"/>
    <w:rsid w:val="00280E5D"/>
    <w:rsid w:val="00296612"/>
    <w:rsid w:val="002A4C71"/>
    <w:rsid w:val="002A6F74"/>
    <w:rsid w:val="002B350C"/>
    <w:rsid w:val="002B53BF"/>
    <w:rsid w:val="002B6DFF"/>
    <w:rsid w:val="002C0BD9"/>
    <w:rsid w:val="002C3125"/>
    <w:rsid w:val="002D2421"/>
    <w:rsid w:val="002D47F2"/>
    <w:rsid w:val="002D50CA"/>
    <w:rsid w:val="002E025A"/>
    <w:rsid w:val="002E12A2"/>
    <w:rsid w:val="002F044D"/>
    <w:rsid w:val="002F7557"/>
    <w:rsid w:val="003138C0"/>
    <w:rsid w:val="00322AA7"/>
    <w:rsid w:val="00325FA1"/>
    <w:rsid w:val="00346706"/>
    <w:rsid w:val="003477A3"/>
    <w:rsid w:val="003536DB"/>
    <w:rsid w:val="00356A22"/>
    <w:rsid w:val="00362293"/>
    <w:rsid w:val="00362CEF"/>
    <w:rsid w:val="00363E4B"/>
    <w:rsid w:val="003651D7"/>
    <w:rsid w:val="0037444A"/>
    <w:rsid w:val="0037746A"/>
    <w:rsid w:val="0038506D"/>
    <w:rsid w:val="00387839"/>
    <w:rsid w:val="003A017A"/>
    <w:rsid w:val="003A058E"/>
    <w:rsid w:val="003B0C3F"/>
    <w:rsid w:val="003B4EBE"/>
    <w:rsid w:val="003C5CA3"/>
    <w:rsid w:val="003D4AF7"/>
    <w:rsid w:val="003E7D05"/>
    <w:rsid w:val="003F7BD5"/>
    <w:rsid w:val="004001D3"/>
    <w:rsid w:val="00413EB2"/>
    <w:rsid w:val="00416833"/>
    <w:rsid w:val="0043529C"/>
    <w:rsid w:val="00436830"/>
    <w:rsid w:val="004518CA"/>
    <w:rsid w:val="00453993"/>
    <w:rsid w:val="004751E7"/>
    <w:rsid w:val="00480984"/>
    <w:rsid w:val="004868A7"/>
    <w:rsid w:val="00486901"/>
    <w:rsid w:val="004874D5"/>
    <w:rsid w:val="0049040D"/>
    <w:rsid w:val="004911B3"/>
    <w:rsid w:val="004927AD"/>
    <w:rsid w:val="004976CF"/>
    <w:rsid w:val="004A09D4"/>
    <w:rsid w:val="004A2D12"/>
    <w:rsid w:val="004A7EBE"/>
    <w:rsid w:val="004B6764"/>
    <w:rsid w:val="004C278A"/>
    <w:rsid w:val="004C5C79"/>
    <w:rsid w:val="004D35C1"/>
    <w:rsid w:val="004D41B2"/>
    <w:rsid w:val="004E2CB6"/>
    <w:rsid w:val="004E4F17"/>
    <w:rsid w:val="004E64D1"/>
    <w:rsid w:val="004E65C5"/>
    <w:rsid w:val="004E7153"/>
    <w:rsid w:val="004E73C4"/>
    <w:rsid w:val="004F2A5D"/>
    <w:rsid w:val="004F46C3"/>
    <w:rsid w:val="004F74C5"/>
    <w:rsid w:val="004F75BC"/>
    <w:rsid w:val="0050260B"/>
    <w:rsid w:val="00502B52"/>
    <w:rsid w:val="005057DA"/>
    <w:rsid w:val="00507EEE"/>
    <w:rsid w:val="0053189A"/>
    <w:rsid w:val="0054027C"/>
    <w:rsid w:val="00543121"/>
    <w:rsid w:val="0055508E"/>
    <w:rsid w:val="005675F8"/>
    <w:rsid w:val="00580CA3"/>
    <w:rsid w:val="0058422D"/>
    <w:rsid w:val="0058758F"/>
    <w:rsid w:val="005A23B7"/>
    <w:rsid w:val="005A46D3"/>
    <w:rsid w:val="005A5D10"/>
    <w:rsid w:val="005B4D5D"/>
    <w:rsid w:val="005C0841"/>
    <w:rsid w:val="005C65D1"/>
    <w:rsid w:val="005D0201"/>
    <w:rsid w:val="005E2013"/>
    <w:rsid w:val="005E7317"/>
    <w:rsid w:val="005E758C"/>
    <w:rsid w:val="005F3B4D"/>
    <w:rsid w:val="005F4C66"/>
    <w:rsid w:val="005F54B9"/>
    <w:rsid w:val="00602EC6"/>
    <w:rsid w:val="0061122A"/>
    <w:rsid w:val="006142E5"/>
    <w:rsid w:val="0062067C"/>
    <w:rsid w:val="00623301"/>
    <w:rsid w:val="0063509C"/>
    <w:rsid w:val="00636F84"/>
    <w:rsid w:val="00665E33"/>
    <w:rsid w:val="006771D8"/>
    <w:rsid w:val="00690C3A"/>
    <w:rsid w:val="00692E7B"/>
    <w:rsid w:val="00695178"/>
    <w:rsid w:val="00695565"/>
    <w:rsid w:val="006A00C6"/>
    <w:rsid w:val="006B0D5E"/>
    <w:rsid w:val="006B2958"/>
    <w:rsid w:val="006B3BDF"/>
    <w:rsid w:val="006B5F33"/>
    <w:rsid w:val="006F4017"/>
    <w:rsid w:val="007114BB"/>
    <w:rsid w:val="00712055"/>
    <w:rsid w:val="00712A40"/>
    <w:rsid w:val="0072018D"/>
    <w:rsid w:val="00727FF5"/>
    <w:rsid w:val="00730B37"/>
    <w:rsid w:val="0073527F"/>
    <w:rsid w:val="007501A5"/>
    <w:rsid w:val="00751E62"/>
    <w:rsid w:val="007538A5"/>
    <w:rsid w:val="00754179"/>
    <w:rsid w:val="00755715"/>
    <w:rsid w:val="007613B4"/>
    <w:rsid w:val="0076252D"/>
    <w:rsid w:val="0077110B"/>
    <w:rsid w:val="00772B09"/>
    <w:rsid w:val="007751E0"/>
    <w:rsid w:val="00777531"/>
    <w:rsid w:val="0078104B"/>
    <w:rsid w:val="007835F4"/>
    <w:rsid w:val="00784F58"/>
    <w:rsid w:val="00786355"/>
    <w:rsid w:val="007956FD"/>
    <w:rsid w:val="007A0871"/>
    <w:rsid w:val="007A18AD"/>
    <w:rsid w:val="007B0D29"/>
    <w:rsid w:val="007C3877"/>
    <w:rsid w:val="007C39C6"/>
    <w:rsid w:val="007C5CDE"/>
    <w:rsid w:val="007C5D1E"/>
    <w:rsid w:val="007D4AE6"/>
    <w:rsid w:val="007D55AC"/>
    <w:rsid w:val="007F5278"/>
    <w:rsid w:val="007F7EF6"/>
    <w:rsid w:val="00814F8B"/>
    <w:rsid w:val="00815FBB"/>
    <w:rsid w:val="0082149E"/>
    <w:rsid w:val="00823A5E"/>
    <w:rsid w:val="00826A23"/>
    <w:rsid w:val="00827ED7"/>
    <w:rsid w:val="00830AA5"/>
    <w:rsid w:val="00837999"/>
    <w:rsid w:val="00837ECE"/>
    <w:rsid w:val="0084292E"/>
    <w:rsid w:val="00850C72"/>
    <w:rsid w:val="008544DE"/>
    <w:rsid w:val="008614C6"/>
    <w:rsid w:val="008631AF"/>
    <w:rsid w:val="00863F54"/>
    <w:rsid w:val="0087179A"/>
    <w:rsid w:val="00871C97"/>
    <w:rsid w:val="008914B7"/>
    <w:rsid w:val="008937EA"/>
    <w:rsid w:val="008A1555"/>
    <w:rsid w:val="008A28EC"/>
    <w:rsid w:val="008B1858"/>
    <w:rsid w:val="008B30CF"/>
    <w:rsid w:val="008B388C"/>
    <w:rsid w:val="008B38E2"/>
    <w:rsid w:val="008B3AC9"/>
    <w:rsid w:val="008B5660"/>
    <w:rsid w:val="008B7BDA"/>
    <w:rsid w:val="008B7F5F"/>
    <w:rsid w:val="008C0555"/>
    <w:rsid w:val="008C2B39"/>
    <w:rsid w:val="008C67CD"/>
    <w:rsid w:val="008C77C5"/>
    <w:rsid w:val="008C7B45"/>
    <w:rsid w:val="008D01C4"/>
    <w:rsid w:val="008D1B48"/>
    <w:rsid w:val="008E15F6"/>
    <w:rsid w:val="008E79B6"/>
    <w:rsid w:val="008F67AC"/>
    <w:rsid w:val="008F7133"/>
    <w:rsid w:val="00901024"/>
    <w:rsid w:val="009106B5"/>
    <w:rsid w:val="00916D31"/>
    <w:rsid w:val="00923B99"/>
    <w:rsid w:val="009259EC"/>
    <w:rsid w:val="00931422"/>
    <w:rsid w:val="00942A6A"/>
    <w:rsid w:val="00944495"/>
    <w:rsid w:val="00947DFC"/>
    <w:rsid w:val="009501F4"/>
    <w:rsid w:val="00952DEC"/>
    <w:rsid w:val="00956199"/>
    <w:rsid w:val="00961E75"/>
    <w:rsid w:val="00965A07"/>
    <w:rsid w:val="0097603C"/>
    <w:rsid w:val="009811CD"/>
    <w:rsid w:val="009902EB"/>
    <w:rsid w:val="00995737"/>
    <w:rsid w:val="009A74B7"/>
    <w:rsid w:val="009B176A"/>
    <w:rsid w:val="009B58B9"/>
    <w:rsid w:val="009C1097"/>
    <w:rsid w:val="009C767E"/>
    <w:rsid w:val="009E4A1F"/>
    <w:rsid w:val="009F702C"/>
    <w:rsid w:val="00A046A0"/>
    <w:rsid w:val="00A262BA"/>
    <w:rsid w:val="00A42857"/>
    <w:rsid w:val="00A4446F"/>
    <w:rsid w:val="00A44C62"/>
    <w:rsid w:val="00A45BF4"/>
    <w:rsid w:val="00A478A2"/>
    <w:rsid w:val="00A56D82"/>
    <w:rsid w:val="00A670E4"/>
    <w:rsid w:val="00A700D7"/>
    <w:rsid w:val="00A73311"/>
    <w:rsid w:val="00A911FD"/>
    <w:rsid w:val="00A91776"/>
    <w:rsid w:val="00A91DE5"/>
    <w:rsid w:val="00A94870"/>
    <w:rsid w:val="00AA02C2"/>
    <w:rsid w:val="00AA5FDA"/>
    <w:rsid w:val="00AB1337"/>
    <w:rsid w:val="00AB28EB"/>
    <w:rsid w:val="00AB300C"/>
    <w:rsid w:val="00AB3C59"/>
    <w:rsid w:val="00AC3634"/>
    <w:rsid w:val="00AD12A4"/>
    <w:rsid w:val="00AD24B7"/>
    <w:rsid w:val="00AE40D9"/>
    <w:rsid w:val="00AF0883"/>
    <w:rsid w:val="00AF4D40"/>
    <w:rsid w:val="00AF5EE3"/>
    <w:rsid w:val="00B119CA"/>
    <w:rsid w:val="00B22E8A"/>
    <w:rsid w:val="00B41163"/>
    <w:rsid w:val="00B469AD"/>
    <w:rsid w:val="00B51014"/>
    <w:rsid w:val="00B55B29"/>
    <w:rsid w:val="00B57A69"/>
    <w:rsid w:val="00B61E45"/>
    <w:rsid w:val="00B649D4"/>
    <w:rsid w:val="00B66838"/>
    <w:rsid w:val="00B76409"/>
    <w:rsid w:val="00B76547"/>
    <w:rsid w:val="00B875C5"/>
    <w:rsid w:val="00B87AA8"/>
    <w:rsid w:val="00B92A3F"/>
    <w:rsid w:val="00B978B4"/>
    <w:rsid w:val="00BB4B7F"/>
    <w:rsid w:val="00BB4FB2"/>
    <w:rsid w:val="00BC659C"/>
    <w:rsid w:val="00BD1835"/>
    <w:rsid w:val="00BD1A31"/>
    <w:rsid w:val="00BD7C0A"/>
    <w:rsid w:val="00BE11F0"/>
    <w:rsid w:val="00BE2155"/>
    <w:rsid w:val="00BE2C55"/>
    <w:rsid w:val="00BF3B4B"/>
    <w:rsid w:val="00BF7BBA"/>
    <w:rsid w:val="00C014FD"/>
    <w:rsid w:val="00C068FA"/>
    <w:rsid w:val="00C07F16"/>
    <w:rsid w:val="00C12B41"/>
    <w:rsid w:val="00C1376F"/>
    <w:rsid w:val="00C20535"/>
    <w:rsid w:val="00C217F5"/>
    <w:rsid w:val="00C23C00"/>
    <w:rsid w:val="00C262CA"/>
    <w:rsid w:val="00C505D0"/>
    <w:rsid w:val="00C52E1C"/>
    <w:rsid w:val="00C542DC"/>
    <w:rsid w:val="00C72E67"/>
    <w:rsid w:val="00C86271"/>
    <w:rsid w:val="00CA13ED"/>
    <w:rsid w:val="00CA1CDD"/>
    <w:rsid w:val="00CA6AB9"/>
    <w:rsid w:val="00CB0829"/>
    <w:rsid w:val="00CB6EBE"/>
    <w:rsid w:val="00CC2DCC"/>
    <w:rsid w:val="00CC50F1"/>
    <w:rsid w:val="00CE08F3"/>
    <w:rsid w:val="00CE11A3"/>
    <w:rsid w:val="00CE66D4"/>
    <w:rsid w:val="00D061F1"/>
    <w:rsid w:val="00D20361"/>
    <w:rsid w:val="00D332F9"/>
    <w:rsid w:val="00D37D39"/>
    <w:rsid w:val="00D44A76"/>
    <w:rsid w:val="00D453B6"/>
    <w:rsid w:val="00D5060F"/>
    <w:rsid w:val="00D5405E"/>
    <w:rsid w:val="00D54E89"/>
    <w:rsid w:val="00D642EB"/>
    <w:rsid w:val="00D67337"/>
    <w:rsid w:val="00D67A1D"/>
    <w:rsid w:val="00D755F6"/>
    <w:rsid w:val="00D86FD0"/>
    <w:rsid w:val="00D8784F"/>
    <w:rsid w:val="00D91449"/>
    <w:rsid w:val="00DD26D7"/>
    <w:rsid w:val="00DD3F8C"/>
    <w:rsid w:val="00DD78E7"/>
    <w:rsid w:val="00DE0037"/>
    <w:rsid w:val="00DE1260"/>
    <w:rsid w:val="00DE3BC9"/>
    <w:rsid w:val="00DE69B1"/>
    <w:rsid w:val="00E019C1"/>
    <w:rsid w:val="00E01E8F"/>
    <w:rsid w:val="00E020C5"/>
    <w:rsid w:val="00E02BAD"/>
    <w:rsid w:val="00E04EDF"/>
    <w:rsid w:val="00E0785C"/>
    <w:rsid w:val="00E1099A"/>
    <w:rsid w:val="00E12E70"/>
    <w:rsid w:val="00E13631"/>
    <w:rsid w:val="00E17FB0"/>
    <w:rsid w:val="00E35A96"/>
    <w:rsid w:val="00E36B93"/>
    <w:rsid w:val="00E457FD"/>
    <w:rsid w:val="00E46475"/>
    <w:rsid w:val="00E50B64"/>
    <w:rsid w:val="00E75FBF"/>
    <w:rsid w:val="00E81509"/>
    <w:rsid w:val="00E83446"/>
    <w:rsid w:val="00E83D10"/>
    <w:rsid w:val="00E862A1"/>
    <w:rsid w:val="00E92BA4"/>
    <w:rsid w:val="00EA09B9"/>
    <w:rsid w:val="00EA3745"/>
    <w:rsid w:val="00EC06C6"/>
    <w:rsid w:val="00EC0889"/>
    <w:rsid w:val="00EC3321"/>
    <w:rsid w:val="00ED55F7"/>
    <w:rsid w:val="00ED68CC"/>
    <w:rsid w:val="00EF49E9"/>
    <w:rsid w:val="00F007D0"/>
    <w:rsid w:val="00F04FB8"/>
    <w:rsid w:val="00F061D7"/>
    <w:rsid w:val="00F06508"/>
    <w:rsid w:val="00F12F06"/>
    <w:rsid w:val="00F1569F"/>
    <w:rsid w:val="00F15C1F"/>
    <w:rsid w:val="00F17D0A"/>
    <w:rsid w:val="00F23BAD"/>
    <w:rsid w:val="00F31CD8"/>
    <w:rsid w:val="00F34256"/>
    <w:rsid w:val="00F411DF"/>
    <w:rsid w:val="00F434E0"/>
    <w:rsid w:val="00F4429A"/>
    <w:rsid w:val="00F475E2"/>
    <w:rsid w:val="00F47A39"/>
    <w:rsid w:val="00F5107B"/>
    <w:rsid w:val="00F52AC3"/>
    <w:rsid w:val="00F5698C"/>
    <w:rsid w:val="00F56DA5"/>
    <w:rsid w:val="00F60773"/>
    <w:rsid w:val="00F62C70"/>
    <w:rsid w:val="00F65BF5"/>
    <w:rsid w:val="00F70CE0"/>
    <w:rsid w:val="00F72C46"/>
    <w:rsid w:val="00F7669D"/>
    <w:rsid w:val="00F77099"/>
    <w:rsid w:val="00F77EB3"/>
    <w:rsid w:val="00F83130"/>
    <w:rsid w:val="00F83470"/>
    <w:rsid w:val="00F94005"/>
    <w:rsid w:val="00F96B60"/>
    <w:rsid w:val="00F97718"/>
    <w:rsid w:val="00F97849"/>
    <w:rsid w:val="00FA186D"/>
    <w:rsid w:val="00FB39C8"/>
    <w:rsid w:val="00FC0694"/>
    <w:rsid w:val="00FC1691"/>
    <w:rsid w:val="00FC753D"/>
    <w:rsid w:val="00FD6BAB"/>
    <w:rsid w:val="00FD730A"/>
    <w:rsid w:val="00FF33F4"/>
    <w:rsid w:val="00FF56BA"/>
    <w:rsid w:val="00FF6634"/>
    <w:rsid w:val="0159726C"/>
    <w:rsid w:val="02FA082F"/>
    <w:rsid w:val="036443B3"/>
    <w:rsid w:val="049251C3"/>
    <w:rsid w:val="049A08F6"/>
    <w:rsid w:val="05793607"/>
    <w:rsid w:val="06A4180F"/>
    <w:rsid w:val="07666909"/>
    <w:rsid w:val="08070A00"/>
    <w:rsid w:val="08CA54C0"/>
    <w:rsid w:val="0983157E"/>
    <w:rsid w:val="09954E0D"/>
    <w:rsid w:val="09A6526C"/>
    <w:rsid w:val="0A273EFA"/>
    <w:rsid w:val="0B354AFA"/>
    <w:rsid w:val="0C711B61"/>
    <w:rsid w:val="0D2A53BF"/>
    <w:rsid w:val="0E63175A"/>
    <w:rsid w:val="0FA67D74"/>
    <w:rsid w:val="10702130"/>
    <w:rsid w:val="10A36062"/>
    <w:rsid w:val="10C8622C"/>
    <w:rsid w:val="119500A0"/>
    <w:rsid w:val="11D559F9"/>
    <w:rsid w:val="13767A5D"/>
    <w:rsid w:val="14074B59"/>
    <w:rsid w:val="1537321C"/>
    <w:rsid w:val="153D4CD7"/>
    <w:rsid w:val="15A72150"/>
    <w:rsid w:val="15DD2016"/>
    <w:rsid w:val="16D276A1"/>
    <w:rsid w:val="171F1A95"/>
    <w:rsid w:val="180B10BC"/>
    <w:rsid w:val="18445475"/>
    <w:rsid w:val="18845183"/>
    <w:rsid w:val="18BF3C55"/>
    <w:rsid w:val="19940409"/>
    <w:rsid w:val="1A5E5154"/>
    <w:rsid w:val="1B2B55D1"/>
    <w:rsid w:val="1B4F3C69"/>
    <w:rsid w:val="1B7E7DF7"/>
    <w:rsid w:val="1C6665F2"/>
    <w:rsid w:val="1EC71AB5"/>
    <w:rsid w:val="1F8310C6"/>
    <w:rsid w:val="1FA94D17"/>
    <w:rsid w:val="20716C85"/>
    <w:rsid w:val="24BF3B68"/>
    <w:rsid w:val="24C9693B"/>
    <w:rsid w:val="251D3512"/>
    <w:rsid w:val="25AE12D9"/>
    <w:rsid w:val="26E054C2"/>
    <w:rsid w:val="273870AC"/>
    <w:rsid w:val="27E5759F"/>
    <w:rsid w:val="280451E0"/>
    <w:rsid w:val="28093C65"/>
    <w:rsid w:val="286044C6"/>
    <w:rsid w:val="2A273408"/>
    <w:rsid w:val="2BC5737C"/>
    <w:rsid w:val="2C7C5EDD"/>
    <w:rsid w:val="2D3B5B48"/>
    <w:rsid w:val="2E1F6B96"/>
    <w:rsid w:val="2E8E45A1"/>
    <w:rsid w:val="2F2E7A55"/>
    <w:rsid w:val="3049232A"/>
    <w:rsid w:val="319F53A2"/>
    <w:rsid w:val="31BC6B2B"/>
    <w:rsid w:val="33721193"/>
    <w:rsid w:val="337E678E"/>
    <w:rsid w:val="340500A3"/>
    <w:rsid w:val="359E1065"/>
    <w:rsid w:val="35F745D6"/>
    <w:rsid w:val="36016B7B"/>
    <w:rsid w:val="37686C17"/>
    <w:rsid w:val="37D06A81"/>
    <w:rsid w:val="37F012DD"/>
    <w:rsid w:val="38301DBE"/>
    <w:rsid w:val="38641C50"/>
    <w:rsid w:val="38A37D53"/>
    <w:rsid w:val="38AF73EA"/>
    <w:rsid w:val="38F372D7"/>
    <w:rsid w:val="39F350B4"/>
    <w:rsid w:val="3AAB598F"/>
    <w:rsid w:val="3B1F2605"/>
    <w:rsid w:val="3BBA232E"/>
    <w:rsid w:val="3CF4186F"/>
    <w:rsid w:val="3D644C0E"/>
    <w:rsid w:val="3F782328"/>
    <w:rsid w:val="405451D7"/>
    <w:rsid w:val="40642868"/>
    <w:rsid w:val="40776A3F"/>
    <w:rsid w:val="41CC2DBB"/>
    <w:rsid w:val="43140575"/>
    <w:rsid w:val="437764B0"/>
    <w:rsid w:val="438E7C66"/>
    <w:rsid w:val="44421112"/>
    <w:rsid w:val="44464016"/>
    <w:rsid w:val="4465410B"/>
    <w:rsid w:val="448243AB"/>
    <w:rsid w:val="44F90A89"/>
    <w:rsid w:val="4521777E"/>
    <w:rsid w:val="45317BCE"/>
    <w:rsid w:val="45C25741"/>
    <w:rsid w:val="46724F2F"/>
    <w:rsid w:val="46737CA9"/>
    <w:rsid w:val="471952E9"/>
    <w:rsid w:val="47F03878"/>
    <w:rsid w:val="49325BF9"/>
    <w:rsid w:val="49425710"/>
    <w:rsid w:val="4B5F673A"/>
    <w:rsid w:val="4B7843DC"/>
    <w:rsid w:val="4B8D6B91"/>
    <w:rsid w:val="4BAB48A6"/>
    <w:rsid w:val="4C255EE1"/>
    <w:rsid w:val="4D19766B"/>
    <w:rsid w:val="4D645946"/>
    <w:rsid w:val="4DAE7818"/>
    <w:rsid w:val="4F5935B7"/>
    <w:rsid w:val="50860E67"/>
    <w:rsid w:val="511264FA"/>
    <w:rsid w:val="51200A2D"/>
    <w:rsid w:val="513D513B"/>
    <w:rsid w:val="51F83758"/>
    <w:rsid w:val="52516C94"/>
    <w:rsid w:val="52D60D2E"/>
    <w:rsid w:val="531A3C68"/>
    <w:rsid w:val="541A5CB0"/>
    <w:rsid w:val="5571253B"/>
    <w:rsid w:val="56701B0F"/>
    <w:rsid w:val="56813D1C"/>
    <w:rsid w:val="57C3726B"/>
    <w:rsid w:val="58404F46"/>
    <w:rsid w:val="588E4FEE"/>
    <w:rsid w:val="598C3104"/>
    <w:rsid w:val="59D06D8E"/>
    <w:rsid w:val="5A68536B"/>
    <w:rsid w:val="5B055AC7"/>
    <w:rsid w:val="5BAE65A3"/>
    <w:rsid w:val="5BF62AB6"/>
    <w:rsid w:val="5D1A4582"/>
    <w:rsid w:val="5D5C4B9B"/>
    <w:rsid w:val="5D63417B"/>
    <w:rsid w:val="5E6615F0"/>
    <w:rsid w:val="5EB91099"/>
    <w:rsid w:val="605C3074"/>
    <w:rsid w:val="61244ACF"/>
    <w:rsid w:val="620314E7"/>
    <w:rsid w:val="63032F4E"/>
    <w:rsid w:val="630F26B0"/>
    <w:rsid w:val="65506306"/>
    <w:rsid w:val="65657A8A"/>
    <w:rsid w:val="65B01354"/>
    <w:rsid w:val="661A1A97"/>
    <w:rsid w:val="674D6D61"/>
    <w:rsid w:val="676A158C"/>
    <w:rsid w:val="68943F59"/>
    <w:rsid w:val="68C73DE6"/>
    <w:rsid w:val="69DB27B6"/>
    <w:rsid w:val="6ADC731B"/>
    <w:rsid w:val="6ADF6E0B"/>
    <w:rsid w:val="6B3410B7"/>
    <w:rsid w:val="6B5B2936"/>
    <w:rsid w:val="6BF40694"/>
    <w:rsid w:val="6C5F1FB2"/>
    <w:rsid w:val="6D757091"/>
    <w:rsid w:val="6E3A0F28"/>
    <w:rsid w:val="6ED547AD"/>
    <w:rsid w:val="6EEF1D13"/>
    <w:rsid w:val="6F173018"/>
    <w:rsid w:val="6F2D45E9"/>
    <w:rsid w:val="6F5E0C47"/>
    <w:rsid w:val="6FE74798"/>
    <w:rsid w:val="6FED3D79"/>
    <w:rsid w:val="70F42B51"/>
    <w:rsid w:val="716871DC"/>
    <w:rsid w:val="717402AD"/>
    <w:rsid w:val="71B608C6"/>
    <w:rsid w:val="727F33AE"/>
    <w:rsid w:val="72C62D8B"/>
    <w:rsid w:val="73971ED2"/>
    <w:rsid w:val="73B057E9"/>
    <w:rsid w:val="74212243"/>
    <w:rsid w:val="76AA29C3"/>
    <w:rsid w:val="76B03803"/>
    <w:rsid w:val="77C836CF"/>
    <w:rsid w:val="781C24E2"/>
    <w:rsid w:val="7855353D"/>
    <w:rsid w:val="789E522D"/>
    <w:rsid w:val="79A87D37"/>
    <w:rsid w:val="79EB757B"/>
    <w:rsid w:val="7B0F7299"/>
    <w:rsid w:val="7B7F61CD"/>
    <w:rsid w:val="7BA23C69"/>
    <w:rsid w:val="7BDD7AD8"/>
    <w:rsid w:val="7CF91FAF"/>
    <w:rsid w:val="7DAE0FEB"/>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5"/>
    <w:next w:val="1"/>
    <w:link w:val="29"/>
    <w:qFormat/>
    <w:uiPriority w:val="9"/>
    <w:pPr>
      <w:spacing w:line="360" w:lineRule="auto"/>
      <w:outlineLvl w:val="0"/>
    </w:pPr>
    <w:rPr>
      <w:b/>
      <w:kern w:val="44"/>
    </w:rPr>
  </w:style>
  <w:style w:type="paragraph" w:styleId="6">
    <w:name w:val="heading 2"/>
    <w:basedOn w:val="5"/>
    <w:next w:val="7"/>
    <w:link w:val="32"/>
    <w:unhideWhenUsed/>
    <w:qFormat/>
    <w:uiPriority w:val="0"/>
    <w:pPr>
      <w:outlineLvl w:val="1"/>
    </w:pPr>
    <w:rPr>
      <w:rFonts w:ascii="Cambria" w:hAnsi="Cambria"/>
    </w:rPr>
  </w:style>
  <w:style w:type="paragraph" w:styleId="5">
    <w:name w:val="heading 3"/>
    <w:basedOn w:val="1"/>
    <w:next w:val="1"/>
    <w:link w:val="35"/>
    <w:unhideWhenUsed/>
    <w:qFormat/>
    <w:uiPriority w:val="9"/>
    <w:pPr>
      <w:keepNext/>
      <w:keepLines/>
      <w:spacing w:before="260" w:after="260" w:line="416" w:lineRule="auto"/>
      <w:outlineLvl w:val="2"/>
    </w:pPr>
    <w:rPr>
      <w:sz w:val="32"/>
      <w:szCs w:val="32"/>
    </w:rPr>
  </w:style>
  <w:style w:type="paragraph" w:styleId="7">
    <w:name w:val="heading 4"/>
    <w:basedOn w:val="1"/>
    <w:next w:val="1"/>
    <w:link w:val="3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37"/>
    <w:semiHidden/>
    <w:unhideWhenUsed/>
    <w:qFormat/>
    <w:uiPriority w:val="99"/>
    <w:pPr>
      <w:spacing w:after="120"/>
    </w:pPr>
    <w:rPr>
      <w:rFonts w:asciiTheme="minorHAnsi" w:hAnsiTheme="minorHAnsi" w:eastAsiaTheme="minorEastAsia" w:cstheme="minorBidi"/>
      <w:szCs w:val="24"/>
    </w:rPr>
  </w:style>
  <w:style w:type="paragraph" w:styleId="3">
    <w:name w:val="Body Text 2"/>
    <w:basedOn w:val="1"/>
    <w:qFormat/>
    <w:uiPriority w:val="0"/>
    <w:pPr>
      <w:spacing w:line="360" w:lineRule="auto"/>
    </w:pPr>
    <w:rPr>
      <w:sz w:val="24"/>
    </w:rPr>
  </w:style>
  <w:style w:type="paragraph" w:styleId="8">
    <w:name w:val="table of authorities"/>
    <w:basedOn w:val="1"/>
    <w:next w:val="1"/>
    <w:qFormat/>
    <w:uiPriority w:val="0"/>
    <w:pPr>
      <w:ind w:left="420" w:leftChars="200"/>
    </w:pPr>
  </w:style>
  <w:style w:type="paragraph" w:styleId="9">
    <w:name w:val="Normal Indent"/>
    <w:basedOn w:val="1"/>
    <w:qFormat/>
    <w:uiPriority w:val="0"/>
    <w:pPr>
      <w:adjustRightInd w:val="0"/>
      <w:spacing w:line="360" w:lineRule="atLeast"/>
      <w:ind w:firstLine="420"/>
      <w:jc w:val="left"/>
      <w:textAlignment w:val="baseline"/>
    </w:pPr>
    <w:rPr>
      <w:kern w:val="0"/>
      <w:sz w:val="24"/>
    </w:rPr>
  </w:style>
  <w:style w:type="paragraph" w:styleId="10">
    <w:name w:val="annotation text"/>
    <w:basedOn w:val="1"/>
    <w:next w:val="11"/>
    <w:link w:val="30"/>
    <w:unhideWhenUsed/>
    <w:qFormat/>
    <w:uiPriority w:val="99"/>
    <w:pPr>
      <w:jc w:val="left"/>
    </w:pPr>
  </w:style>
  <w:style w:type="paragraph" w:styleId="11">
    <w:name w:val="toc 5"/>
    <w:basedOn w:val="1"/>
    <w:next w:val="1"/>
    <w:semiHidden/>
    <w:qFormat/>
    <w:uiPriority w:val="0"/>
    <w:pPr>
      <w:ind w:left="840"/>
      <w:jc w:val="left"/>
    </w:pPr>
    <w:rPr>
      <w:szCs w:val="21"/>
    </w:rPr>
  </w:style>
  <w:style w:type="paragraph" w:styleId="12">
    <w:name w:val="Body Text Indent"/>
    <w:basedOn w:val="1"/>
    <w:qFormat/>
    <w:uiPriority w:val="0"/>
    <w:pPr>
      <w:spacing w:line="360" w:lineRule="auto"/>
      <w:ind w:firstLine="420" w:firstLineChars="200"/>
    </w:pPr>
  </w:style>
  <w:style w:type="paragraph" w:styleId="13">
    <w:name w:val="index 4"/>
    <w:basedOn w:val="1"/>
    <w:next w:val="1"/>
    <w:semiHidden/>
    <w:qFormat/>
    <w:uiPriority w:val="0"/>
    <w:pPr>
      <w:ind w:left="1260"/>
    </w:pPr>
  </w:style>
  <w:style w:type="paragraph" w:styleId="14">
    <w:name w:val="Balloon Text"/>
    <w:basedOn w:val="1"/>
    <w:link w:val="31"/>
    <w:semiHidden/>
    <w:unhideWhenUsed/>
    <w:qFormat/>
    <w:uiPriority w:val="99"/>
    <w:rPr>
      <w:sz w:val="18"/>
      <w:szCs w:val="18"/>
    </w:rPr>
  </w:style>
  <w:style w:type="paragraph" w:styleId="15">
    <w:name w:val="footer"/>
    <w:basedOn w:val="1"/>
    <w:link w:val="28"/>
    <w:unhideWhenUsed/>
    <w:qFormat/>
    <w:uiPriority w:val="0"/>
    <w:pPr>
      <w:tabs>
        <w:tab w:val="center" w:pos="4153"/>
        <w:tab w:val="right" w:pos="8306"/>
      </w:tabs>
      <w:snapToGrid w:val="0"/>
      <w:jc w:val="left"/>
    </w:pPr>
    <w:rPr>
      <w:sz w:val="18"/>
      <w:szCs w:val="18"/>
    </w:rPr>
  </w:style>
  <w:style w:type="paragraph" w:styleId="16">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99"/>
    <w:pPr>
      <w:spacing w:beforeAutospacing="1" w:afterAutospacing="1"/>
      <w:jc w:val="left"/>
    </w:pPr>
    <w:rPr>
      <w:kern w:val="0"/>
      <w:sz w:val="24"/>
    </w:rPr>
  </w:style>
  <w:style w:type="paragraph" w:styleId="18">
    <w:name w:val="annotation subject"/>
    <w:basedOn w:val="10"/>
    <w:next w:val="10"/>
    <w:link w:val="44"/>
    <w:semiHidden/>
    <w:unhideWhenUsed/>
    <w:qFormat/>
    <w:uiPriority w:val="99"/>
    <w:rPr>
      <w:b/>
      <w:bCs/>
    </w:rPr>
  </w:style>
  <w:style w:type="paragraph" w:styleId="19">
    <w:name w:val="Body Text First Indent 2"/>
    <w:basedOn w:val="12"/>
    <w:qFormat/>
    <w:uiPriority w:val="0"/>
    <w:rPr>
      <w:rFonts w:ascii="Calibri" w:hAnsi="Calibri"/>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nhideWhenUsed/>
    <w:qFormat/>
    <w:uiPriority w:val="99"/>
  </w:style>
  <w:style w:type="character" w:styleId="24">
    <w:name w:val="annotation reference"/>
    <w:qFormat/>
    <w:uiPriority w:val="0"/>
    <w:rPr>
      <w:sz w:val="21"/>
      <w:szCs w:val="21"/>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6">
    <w:name w:val="List Paragraph"/>
    <w:basedOn w:val="1"/>
    <w:link w:val="34"/>
    <w:qFormat/>
    <w:uiPriority w:val="34"/>
    <w:pPr>
      <w:ind w:firstLine="420" w:firstLineChars="200"/>
    </w:pPr>
  </w:style>
  <w:style w:type="character" w:customStyle="1" w:styleId="27">
    <w:name w:val="页眉 字符"/>
    <w:basedOn w:val="22"/>
    <w:link w:val="16"/>
    <w:qFormat/>
    <w:uiPriority w:val="99"/>
    <w:rPr>
      <w:sz w:val="18"/>
      <w:szCs w:val="18"/>
    </w:rPr>
  </w:style>
  <w:style w:type="character" w:customStyle="1" w:styleId="28">
    <w:name w:val="页脚 字符"/>
    <w:basedOn w:val="22"/>
    <w:link w:val="15"/>
    <w:qFormat/>
    <w:uiPriority w:val="99"/>
    <w:rPr>
      <w:sz w:val="18"/>
      <w:szCs w:val="18"/>
    </w:rPr>
  </w:style>
  <w:style w:type="character" w:customStyle="1" w:styleId="29">
    <w:name w:val="标题 1 字符"/>
    <w:basedOn w:val="22"/>
    <w:link w:val="4"/>
    <w:qFormat/>
    <w:uiPriority w:val="9"/>
    <w:rPr>
      <w:rFonts w:ascii="Times New Roman" w:hAnsi="Times New Roman" w:eastAsia="宋体" w:cs="Times New Roman"/>
      <w:b/>
      <w:kern w:val="44"/>
      <w:sz w:val="32"/>
      <w:szCs w:val="20"/>
    </w:rPr>
  </w:style>
  <w:style w:type="character" w:customStyle="1" w:styleId="30">
    <w:name w:val="批注文字 字符"/>
    <w:basedOn w:val="22"/>
    <w:link w:val="10"/>
    <w:qFormat/>
    <w:uiPriority w:val="99"/>
    <w:rPr>
      <w:rFonts w:ascii="Times New Roman" w:hAnsi="Times New Roman" w:eastAsia="宋体" w:cs="Times New Roman"/>
      <w:szCs w:val="20"/>
    </w:rPr>
  </w:style>
  <w:style w:type="character" w:customStyle="1" w:styleId="31">
    <w:name w:val="批注框文本 字符"/>
    <w:basedOn w:val="22"/>
    <w:link w:val="14"/>
    <w:semiHidden/>
    <w:qFormat/>
    <w:uiPriority w:val="99"/>
    <w:rPr>
      <w:rFonts w:ascii="Times New Roman" w:hAnsi="Times New Roman" w:eastAsia="宋体" w:cs="Times New Roman"/>
      <w:sz w:val="18"/>
      <w:szCs w:val="18"/>
    </w:rPr>
  </w:style>
  <w:style w:type="character" w:customStyle="1" w:styleId="32">
    <w:name w:val="标题 2 字符"/>
    <w:basedOn w:val="22"/>
    <w:link w:val="6"/>
    <w:qFormat/>
    <w:uiPriority w:val="0"/>
    <w:rPr>
      <w:rFonts w:ascii="Cambria" w:hAnsi="Cambria" w:eastAsia="宋体" w:cs="Times New Roman"/>
      <w:b/>
      <w:bCs/>
      <w:sz w:val="32"/>
      <w:szCs w:val="32"/>
    </w:rPr>
  </w:style>
  <w:style w:type="paragraph" w:customStyle="1" w:styleId="33">
    <w:name w:val="列出段落1"/>
    <w:basedOn w:val="1"/>
    <w:qFormat/>
    <w:uiPriority w:val="34"/>
    <w:pPr>
      <w:ind w:firstLine="420" w:firstLineChars="200"/>
    </w:pPr>
    <w:rPr>
      <w:sz w:val="24"/>
      <w:szCs w:val="24"/>
    </w:rPr>
  </w:style>
  <w:style w:type="character" w:customStyle="1" w:styleId="34">
    <w:name w:val="列表段落 字符"/>
    <w:link w:val="26"/>
    <w:qFormat/>
    <w:uiPriority w:val="34"/>
    <w:rPr>
      <w:rFonts w:ascii="Times New Roman" w:hAnsi="Times New Roman" w:eastAsia="宋体" w:cs="Times New Roman"/>
      <w:szCs w:val="20"/>
    </w:rPr>
  </w:style>
  <w:style w:type="character" w:customStyle="1" w:styleId="35">
    <w:name w:val="标题 3 字符"/>
    <w:basedOn w:val="22"/>
    <w:link w:val="5"/>
    <w:qFormat/>
    <w:uiPriority w:val="9"/>
    <w:rPr>
      <w:rFonts w:ascii="Times New Roman" w:hAnsi="Times New Roman" w:eastAsia="宋体" w:cs="Times New Roman"/>
      <w:b/>
      <w:bCs/>
      <w:sz w:val="32"/>
      <w:szCs w:val="32"/>
    </w:rPr>
  </w:style>
  <w:style w:type="character" w:customStyle="1" w:styleId="36">
    <w:name w:val="标题 4 字符"/>
    <w:basedOn w:val="22"/>
    <w:link w:val="7"/>
    <w:semiHidden/>
    <w:qFormat/>
    <w:uiPriority w:val="9"/>
    <w:rPr>
      <w:rFonts w:asciiTheme="majorHAnsi" w:hAnsiTheme="majorHAnsi" w:eastAsiaTheme="majorEastAsia" w:cstheme="majorBidi"/>
      <w:b/>
      <w:bCs/>
      <w:kern w:val="2"/>
      <w:sz w:val="28"/>
      <w:szCs w:val="28"/>
    </w:rPr>
  </w:style>
  <w:style w:type="character" w:customStyle="1" w:styleId="37">
    <w:name w:val="正文文本 字符"/>
    <w:basedOn w:val="22"/>
    <w:link w:val="2"/>
    <w:semiHidden/>
    <w:qFormat/>
    <w:uiPriority w:val="99"/>
    <w:rPr>
      <w:rFonts w:asciiTheme="minorHAnsi" w:hAnsiTheme="minorHAnsi" w:eastAsiaTheme="minorEastAsia" w:cstheme="minorBidi"/>
      <w:kern w:val="2"/>
      <w:sz w:val="21"/>
      <w:szCs w:val="24"/>
    </w:rPr>
  </w:style>
  <w:style w:type="paragraph" w:customStyle="1" w:styleId="38">
    <w:name w:val="标题1"/>
    <w:basedOn w:val="1"/>
    <w:qFormat/>
    <w:uiPriority w:val="0"/>
    <w:pPr>
      <w:widowControl/>
      <w:spacing w:line="360" w:lineRule="auto"/>
      <w:jc w:val="center"/>
    </w:pPr>
    <w:rPr>
      <w:rFonts w:ascii="黑体" w:eastAsia="黑体"/>
      <w:b/>
      <w:kern w:val="0"/>
      <w:sz w:val="44"/>
    </w:rPr>
  </w:style>
  <w:style w:type="paragraph" w:customStyle="1" w:styleId="39">
    <w:name w:val="列出段落2"/>
    <w:basedOn w:val="1"/>
    <w:qFormat/>
    <w:uiPriority w:val="34"/>
    <w:pPr>
      <w:ind w:firstLine="420" w:firstLineChars="200"/>
    </w:pPr>
    <w:rPr>
      <w:rFonts w:ascii="等线" w:hAnsi="等线" w:eastAsia="等线"/>
      <w:szCs w:val="22"/>
    </w:rPr>
  </w:style>
  <w:style w:type="paragraph" w:customStyle="1" w:styleId="40">
    <w:name w:val="表格文字"/>
    <w:basedOn w:val="1"/>
    <w:qFormat/>
    <w:uiPriority w:val="0"/>
    <w:pPr>
      <w:spacing w:before="25" w:after="25"/>
      <w:jc w:val="left"/>
    </w:pPr>
    <w:rPr>
      <w:bCs/>
      <w:spacing w:val="10"/>
      <w:kern w:val="0"/>
      <w:sz w:val="24"/>
    </w:rPr>
  </w:style>
  <w:style w:type="paragraph" w:customStyle="1" w:styleId="41">
    <w:name w:val="Table Text"/>
    <w:basedOn w:val="1"/>
    <w:semiHidden/>
    <w:qFormat/>
    <w:uiPriority w:val="0"/>
    <w:rPr>
      <w:rFonts w:ascii="宋体" w:hAnsi="宋体" w:cs="宋体"/>
      <w:sz w:val="20"/>
      <w:lang w:eastAsia="en-US"/>
    </w:rPr>
  </w:style>
  <w:style w:type="paragraph" w:styleId="42">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4">
    <w:name w:val="批注主题 字符"/>
    <w:basedOn w:val="30"/>
    <w:link w:val="18"/>
    <w:semiHidden/>
    <w:qFormat/>
    <w:uiPriority w:val="99"/>
    <w:rPr>
      <w:rFonts w:ascii="Times New Roman" w:hAnsi="Times New Roman" w:eastAsia="宋体" w:cs="Times New Roman"/>
      <w:b/>
      <w:bCs/>
      <w:kern w:val="2"/>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HaoXiTong.Com</Company>
  <Pages>11</Pages>
  <Words>7083</Words>
  <Characters>7810</Characters>
  <Lines>59</Lines>
  <Paragraphs>16</Paragraphs>
  <TotalTime>22</TotalTime>
  <ScaleCrop>false</ScaleCrop>
  <LinksUpToDate>false</LinksUpToDate>
  <CharactersWithSpaces>7836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2019-04-08T03:41:00Z</dcterms:created>
  <dc:creator>PC</dc:creator>
  <cp:lastModifiedBy>如意</cp:lastModifiedBy>
  <dcterms:modified xsi:type="dcterms:W3CDTF">2026-06-24T01:51:03Z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eyJoZGlkIjoiODg4YmUyZjVkMTRhYjZhNTA5MTQ0YjE5NThhODEwNjUiLCJ1c2VySWQiOiIxMDE4NjkxMTQ2In0=</vt:lpwstr>
  </property>
  <property fmtid="{D5CDD505-2E9C-101B-9397-08002B2CF9AE}" pid="4" name="ICV">
    <vt:lpwstr>938208F447C147D2842986A6BD477D0F_13</vt:lpwstr>
  </property>
</Properties>
</file>