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区政务和数据局关于区政协六届六次会议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第20260061号提案答复的函</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尊敬的陈盼莅委员：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val="en-US" w:eastAsia="zh-CN"/>
        </w:rPr>
        <w:t>首先衷心感谢您对龙岗区智慧社区建设工作以及社会建设事业的关心与支持。您在区政协六届六次会议上提出的第20260061号《关于高标准推进龙岗区智慧社区建设，打造民生幸福标杆城区的提案》已收悉。该提案紧扣当前社区治理与民生服务的现实痛点，提出了具有前瞻性与可操作性的建议。我局作为主办单位，高度重视，经会同区消防救援大队、区民政局、区住房和建设局、区城市管理和综合执法局等相关部门认真研究，现答复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一、以“一网统管”为核心，推进社区治理模式革新</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val="en-US" w:eastAsia="zh-CN"/>
        </w:rPr>
        <w:t>目前，全区已汇聚公安、城管、消防、水务、交通、教育、医院等多领域视频监控资源约30万路，统一接入“龙慧视”视频共享平台，实现跨部门视频资源的集中调阅与智能分析。依托上述视频资源，平台部署了多种智能算法，可自动识别垃圾桶满溢、违法摆卖、垃圾乱堆、消防车道占用以及小散工程中未佩戴安全帽等高频事件，实现问题的主动发现与告警。在此基础上，我区已建成全市首个接入粤政易的“一网统管”事件处置平台，汇聚152类事件来源渠道，依托4118项权责清单，所有事件在同一平台流转、按统一标准处置。平台率先应用AI大模</w:t>
      </w:r>
      <w:r>
        <w:rPr>
          <w:rFonts w:hint="eastAsia" w:ascii="Times New Roman" w:hAnsi="Times New Roman" w:eastAsia="仿宋_GB2312" w:cs="Times New Roman"/>
          <w:sz w:val="32"/>
          <w:szCs w:val="32"/>
          <w:lang w:val="en-US" w:eastAsia="zh-CN"/>
        </w:rPr>
        <w:t>型，推</w:t>
      </w:r>
      <w:r>
        <w:rPr>
          <w:rFonts w:hint="eastAsia" w:ascii="Times New Roman" w:hAnsi="Times New Roman" w:eastAsia="仿宋_GB2312" w:cs="Times New Roman"/>
          <w:color w:val="auto"/>
          <w:sz w:val="32"/>
          <w:szCs w:val="32"/>
          <w:lang w:val="en-US" w:eastAsia="zh-CN"/>
        </w:rPr>
        <w:t>出19项实用型AI应用，形成“感知—分拨—处置—分析—决策”的闭环治理体系。通过对平台汇聚的事件数据进行多维度分析，能够精准识别高频问题和多发区域，推动各部门提前介入、源头治理，实现从“被动处置”向“主动治理”转变，达成“未诉先办”的治理目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二、以“智能充电”为切入点，筑牢社区安全韧性基底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val="en-US" w:eastAsia="zh-CN"/>
        </w:rPr>
        <w:t>龙岗区高度重视电动自行车消防安全治理工作，依托“龙岗消防智慧监管平台”，</w:t>
      </w:r>
      <w:r>
        <w:rPr>
          <w:rFonts w:hint="eastAsia" w:ascii="Times New Roman" w:hAnsi="Times New Roman" w:eastAsia="仿宋_GB2312" w:cs="Times New Roman"/>
          <w:b w:val="0"/>
          <w:bCs w:val="0"/>
          <w:color w:val="auto"/>
          <w:sz w:val="32"/>
          <w:szCs w:val="32"/>
          <w:lang w:val="en-US" w:eastAsia="zh-CN"/>
        </w:rPr>
        <w:t>已实现充电设施智慧监管的全覆盖。据统计，全区已建成集中充放点1.6万余个、充电端口超过25万个，2025年新增充电端口3.3万余个，数据对接率达92.27%。该平台可对充电行为进行全天候动态监测，自动识别“过充”、“电池异常发热”等安全隐患并实时报警处置。针对老旧小区、城中村等空间受限区域，下一步计划推广智能换电柜模式，</w:t>
      </w:r>
      <w:r>
        <w:rPr>
          <w:rFonts w:hint="eastAsia" w:ascii="Times New Roman" w:hAnsi="Times New Roman" w:eastAsia="仿宋_GB2312" w:cs="Times New Roman"/>
          <w:color w:val="auto"/>
          <w:sz w:val="32"/>
          <w:szCs w:val="32"/>
          <w:lang w:val="en-US" w:eastAsia="zh-CN"/>
        </w:rPr>
        <w:t>单柜占地面积仅1平方米，换电过程约30秒，有效缓解了“充电难、充电险”的突出问题。我区将继续根据市民实际需求和消防管理要求，合理增设充电点位，探索面向居民及外卖从业人员的惠民换电套餐，从源头上消除“进楼入户”的火灾风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三、以“幸福邻里”为标杆，构建社区嵌入式智慧服务综合体</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我区虚拟社区平台自2025年6月在全区11个街道111个社区全面上线以来，已建设运营26个应用场景。截至目前，平台累计访问量2532万人次，</w:t>
      </w:r>
      <w:r>
        <w:rPr>
          <w:rFonts w:hint="eastAsia" w:ascii="Times New Roman" w:hAnsi="Times New Roman" w:eastAsia="仿宋_GB2312"/>
          <w:color w:val="auto"/>
          <w:sz w:val="32"/>
          <w:szCs w:val="32"/>
        </w:rPr>
        <w:t>整合全区超过1</w:t>
      </w:r>
      <w:r>
        <w:rPr>
          <w:rFonts w:hint="eastAsia" w:ascii="Times New Roman" w:hAnsi="Times New Roman" w:eastAsia="仿宋_GB2312"/>
          <w:color w:val="auto"/>
          <w:sz w:val="32"/>
          <w:szCs w:val="32"/>
          <w:lang w:val="en-US" w:eastAsia="zh-CN"/>
        </w:rPr>
        <w:t>295</w:t>
      </w:r>
      <w:r>
        <w:rPr>
          <w:rFonts w:hint="eastAsia" w:ascii="Times New Roman" w:hAnsi="Times New Roman" w:eastAsia="仿宋_GB2312"/>
          <w:color w:val="auto"/>
          <w:sz w:val="32"/>
          <w:szCs w:val="32"/>
        </w:rPr>
        <w:t>处</w:t>
      </w:r>
      <w:r>
        <w:rPr>
          <w:rFonts w:hint="eastAsia" w:ascii="Times New Roman" w:hAnsi="Times New Roman" w:eastAsia="仿宋_GB2312"/>
          <w:color w:val="auto"/>
          <w:sz w:val="32"/>
          <w:szCs w:val="32"/>
          <w:lang w:eastAsia="zh-CN"/>
        </w:rPr>
        <w:t>自习室、舞蹈室、</w:t>
      </w:r>
      <w:r>
        <w:rPr>
          <w:rFonts w:hint="eastAsia" w:ascii="Times New Roman" w:hAnsi="Times New Roman" w:eastAsia="仿宋_GB2312"/>
          <w:color w:val="auto"/>
          <w:sz w:val="32"/>
          <w:szCs w:val="32"/>
        </w:rPr>
        <w:t>校园场馆等共享空间资源，全部纳入在线预约系统，累计服务已超过1</w:t>
      </w:r>
      <w:r>
        <w:rPr>
          <w:rFonts w:hint="eastAsia" w:ascii="Times New Roman" w:hAnsi="Times New Roman" w:eastAsia="仿宋_GB2312"/>
          <w:color w:val="auto"/>
          <w:sz w:val="32"/>
          <w:szCs w:val="32"/>
          <w:lang w:val="en-US" w:eastAsia="zh-CN"/>
        </w:rPr>
        <w:t>29</w:t>
      </w:r>
      <w:r>
        <w:rPr>
          <w:rFonts w:hint="eastAsia" w:ascii="Times New Roman" w:hAnsi="Times New Roman" w:eastAsia="仿宋_GB2312"/>
          <w:color w:val="auto"/>
          <w:sz w:val="32"/>
          <w:szCs w:val="32"/>
        </w:rPr>
        <w:t>万人次，</w:t>
      </w:r>
      <w:r>
        <w:rPr>
          <w:rFonts w:hint="eastAsia" w:ascii="Times New Roman" w:hAnsi="Times New Roman" w:eastAsia="仿宋_GB2312" w:cs="Times New Roman"/>
          <w:color w:val="auto"/>
          <w:sz w:val="32"/>
          <w:szCs w:val="32"/>
          <w:lang w:val="en-US" w:eastAsia="zh-CN"/>
        </w:rPr>
        <w:t>成为居民获取社区服务的重要线上入口。累计发布“精彩活动”7.9万场，参与人数超272万人次。同时，平台聚焦居民日常生活需求，已接入养老、托育、医疗、教育、文体等多项惠民服务场景，实现“一个平台、一站式预约、资源全量共享”。居民可通过平台预约长者食堂、四点半课堂、亲子活动、健康义诊、法律咨询等各类服务，真正实现“数据多跑路、群众少跑腿”。例如，南湾街道康乐社区依托平台提供智慧养老服务，长者可通过平台预约健康监测、康养活动及助餐服务；龙城街道盛平社区“邻里书院”将优质教育课程上线平台，家长可为孩子报名亲子陪伴、素质拓展等精品课程；各社区还通过平台发布丰富多彩的文体活动，居民可一键报名参与，显著提升了社区生活的便利性与幸福感。在此基础上，为拓展社区文化服务供给、深挖全区共享资源潜力，我局前期组织开展了覆盖全区各街道的“一社一品”专题调研，开发上线“citywalk”板块，整合了全区商圈、户外、生态、科创等各类资源，方便居民了解探索，推动社区文旅资源线上化与品牌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四、下一步工作展望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下一步，我局将围绕龙岗区“十五五”规划方向及提案建议，重点推进三项工作：</w:t>
      </w:r>
      <w:r>
        <w:rPr>
          <w:rFonts w:hint="eastAsia"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color w:val="auto"/>
          <w:sz w:val="32"/>
          <w:szCs w:val="32"/>
          <w:lang w:val="en-US" w:eastAsia="zh-CN"/>
        </w:rPr>
        <w:t>持续深化“一网统管”数据汇聚与AI赋能，拓展视频算法覆盖场景，提升消防通道占用、电动车乱停乱放等高频事件的自动发现与处置能力，巩固主动治理、未诉先办成效。</w:t>
      </w:r>
      <w:r>
        <w:rPr>
          <w:rFonts w:hint="eastAsia"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color w:val="auto"/>
          <w:sz w:val="32"/>
          <w:szCs w:val="32"/>
          <w:lang w:val="en-US" w:eastAsia="zh-CN"/>
        </w:rPr>
        <w:t>推进充电设施增量提质与换电模式，提升本质安全水平。</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color w:val="auto"/>
          <w:sz w:val="32"/>
          <w:szCs w:val="32"/>
          <w:lang w:val="en-US" w:eastAsia="zh-CN"/>
        </w:rPr>
        <w:t>持续加大虚拟社区平台宣传力度，主动拓宽宣发渠道，扩大平台影响力，推动惠民利民的一站式服务平台在全区有效推广使用，使更多居民受益。同时，丰富虚拟社区惠民场景，优化社区智慧服务综合体功能，不断提升居民的获得感、幸福感与安全感，为高标准建设智慧社区、打造民生幸福标杆城区贡献应有力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再次感谢您对龙岗区智慧社区建设的关心与支持！</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专此函达。</w:t>
      </w:r>
    </w:p>
    <w:p>
      <w:pPr>
        <w:keepNext w:val="0"/>
        <w:keepLines w:val="0"/>
        <w:pageBreakBefore w:val="0"/>
        <w:widowControl w:val="0"/>
        <w:kinsoku/>
        <w:wordWrap w:val="0"/>
        <w:overflowPunct/>
        <w:topLinePunct w:val="0"/>
        <w:autoSpaceDE/>
        <w:autoSpaceDN/>
        <w:bidi w:val="0"/>
        <w:spacing w:line="560" w:lineRule="exact"/>
        <w:ind w:firstLine="640" w:firstLineChars="200"/>
        <w:jc w:val="right"/>
        <w:textAlignment w:val="auto"/>
        <w:outlineLvl w:val="9"/>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outlineLvl w:val="9"/>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val="0"/>
        <w:overflowPunct/>
        <w:topLinePunct w:val="0"/>
        <w:autoSpaceDE/>
        <w:autoSpaceDN/>
        <w:bidi w:val="0"/>
        <w:spacing w:line="560" w:lineRule="exact"/>
        <w:ind w:firstLine="640" w:firstLineChars="200"/>
        <w:jc w:val="center"/>
        <w:textAlignment w:val="auto"/>
        <w:outlineLvl w:val="9"/>
        <w:rPr>
          <w:rFonts w:hint="default" w:ascii="Times New Roman" w:hAnsi="Times New Roman" w:cs="Times New Roman"/>
          <w:kern w:val="2"/>
          <w:sz w:val="32"/>
          <w:szCs w:val="32"/>
          <w:highlight w:val="none"/>
          <w:lang w:val="en-US" w:eastAsia="zh-CN" w:bidi="ar"/>
        </w:rPr>
      </w:pPr>
      <w:r>
        <w:rPr>
          <w:rFonts w:hint="eastAsia" w:ascii="Times New Roman" w:hAnsi="Times New Roman" w:eastAsia="仿宋_GB2312" w:cs="Times New Roman"/>
          <w:sz w:val="32"/>
          <w:szCs w:val="32"/>
          <w:lang w:val="en-US" w:eastAsia="zh-CN"/>
        </w:rPr>
        <w:t xml:space="preserve">                   区政务和数据局</w:t>
      </w:r>
    </w:p>
    <w:p>
      <w:pPr>
        <w:keepNext w:val="0"/>
        <w:keepLines w:val="0"/>
        <w:pageBreakBefore w:val="0"/>
        <w:widowControl w:val="0"/>
        <w:kinsoku/>
        <w:wordWrap w:val="0"/>
        <w:overflowPunct/>
        <w:topLinePunct w:val="0"/>
        <w:autoSpaceDE/>
        <w:autoSpaceDN/>
        <w:bidi w:val="0"/>
        <w:spacing w:line="560" w:lineRule="exact"/>
        <w:ind w:firstLine="640" w:firstLineChars="200"/>
        <w:jc w:val="center"/>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2026年6月22日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Times New Roman" w:hAnsi="Times New Roman" w:eastAsia="仿宋_GB231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Times New Roman" w:hAnsi="Times New Roman" w:eastAsia="仿宋_GB2312" w:cs="Times New Roman"/>
          <w:sz w:val="32"/>
          <w:szCs w:val="32"/>
          <w:lang w:val="en-US" w:eastAsia="zh-CN"/>
        </w:rPr>
      </w:pPr>
      <w:bookmarkStart w:id="0" w:name="_GoBack"/>
      <w:bookmarkEnd w:id="0"/>
      <w:r>
        <w:rPr>
          <w:rFonts w:hint="eastAsia" w:ascii="Times New Roman" w:hAnsi="Times New Roman" w:eastAsia="仿宋_GB2312" w:cs="Times New Roman"/>
          <w:sz w:val="32"/>
          <w:szCs w:val="32"/>
          <w:lang w:val="en-US" w:eastAsia="zh-CN"/>
        </w:rPr>
        <w:br w:type="textWrapping"/>
      </w:r>
      <w:r>
        <w:rPr>
          <w:rFonts w:hint="eastAsia" w:ascii="Times New Roman" w:hAnsi="Times New Roman" w:eastAsia="仿宋_GB2312" w:cs="Times New Roman"/>
          <w:sz w:val="32"/>
          <w:szCs w:val="32"/>
          <w:lang w:val="en-US" w:eastAsia="zh-CN"/>
        </w:rPr>
        <w:br w:type="textWrapping"/>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公开方式：公开</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办理结果类型：A</w:t>
      </w:r>
    </w:p>
    <w:sectPr>
      <w:footerReference r:id="rId3" w:type="default"/>
      <w:pgSz w:w="11906" w:h="16838"/>
      <w:pgMar w:top="2041" w:right="1474" w:bottom="1984" w:left="1587"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2"/>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mNTA3NDcxNjU2ZDVkMzdlOWQ5NDVjYzYzY2NiOGEifQ=="/>
  </w:docVars>
  <w:rsids>
    <w:rsidRoot w:val="72D22C4E"/>
    <w:rsid w:val="0002117A"/>
    <w:rsid w:val="004C0647"/>
    <w:rsid w:val="020651C4"/>
    <w:rsid w:val="06986394"/>
    <w:rsid w:val="06C61153"/>
    <w:rsid w:val="086E0136"/>
    <w:rsid w:val="0911242E"/>
    <w:rsid w:val="0B882E7B"/>
    <w:rsid w:val="0C032502"/>
    <w:rsid w:val="10F82033"/>
    <w:rsid w:val="11475407"/>
    <w:rsid w:val="11561326"/>
    <w:rsid w:val="12CB18A0"/>
    <w:rsid w:val="138E4DA7"/>
    <w:rsid w:val="1B3A3A66"/>
    <w:rsid w:val="1F745799"/>
    <w:rsid w:val="1F7C63FB"/>
    <w:rsid w:val="1FB17467"/>
    <w:rsid w:val="21B46321"/>
    <w:rsid w:val="2366189C"/>
    <w:rsid w:val="26322643"/>
    <w:rsid w:val="26EF3957"/>
    <w:rsid w:val="27195B2D"/>
    <w:rsid w:val="27597BD0"/>
    <w:rsid w:val="28C80903"/>
    <w:rsid w:val="2D25018A"/>
    <w:rsid w:val="2E3E0F1F"/>
    <w:rsid w:val="3034687E"/>
    <w:rsid w:val="338D3667"/>
    <w:rsid w:val="36C53265"/>
    <w:rsid w:val="37164F30"/>
    <w:rsid w:val="3B716BD9"/>
    <w:rsid w:val="3BCF689E"/>
    <w:rsid w:val="3C3814A4"/>
    <w:rsid w:val="3CA26C79"/>
    <w:rsid w:val="3DB473A6"/>
    <w:rsid w:val="3F0C3D02"/>
    <w:rsid w:val="40827192"/>
    <w:rsid w:val="41C23CEA"/>
    <w:rsid w:val="425863FC"/>
    <w:rsid w:val="4307617B"/>
    <w:rsid w:val="431A1904"/>
    <w:rsid w:val="455928A0"/>
    <w:rsid w:val="45EC7588"/>
    <w:rsid w:val="467F664E"/>
    <w:rsid w:val="47094169"/>
    <w:rsid w:val="477E06B3"/>
    <w:rsid w:val="479C4FDD"/>
    <w:rsid w:val="47F15329"/>
    <w:rsid w:val="48111527"/>
    <w:rsid w:val="484E4529"/>
    <w:rsid w:val="49C04800"/>
    <w:rsid w:val="4AEBDFF3"/>
    <w:rsid w:val="4CAC7A71"/>
    <w:rsid w:val="4FA7484F"/>
    <w:rsid w:val="51BC723C"/>
    <w:rsid w:val="537B019D"/>
    <w:rsid w:val="540E1D67"/>
    <w:rsid w:val="555E1B24"/>
    <w:rsid w:val="55F14746"/>
    <w:rsid w:val="57923D07"/>
    <w:rsid w:val="5A7A2F5C"/>
    <w:rsid w:val="5AA120AE"/>
    <w:rsid w:val="5B3F5F54"/>
    <w:rsid w:val="5BB97AB4"/>
    <w:rsid w:val="5D7B0F5A"/>
    <w:rsid w:val="5F7F1015"/>
    <w:rsid w:val="6557538B"/>
    <w:rsid w:val="6BB9765C"/>
    <w:rsid w:val="6C16685D"/>
    <w:rsid w:val="6EEB3FD1"/>
    <w:rsid w:val="6FC0545D"/>
    <w:rsid w:val="71B11484"/>
    <w:rsid w:val="72346A28"/>
    <w:rsid w:val="72D22C4E"/>
    <w:rsid w:val="7338355D"/>
    <w:rsid w:val="77130569"/>
    <w:rsid w:val="775C43AB"/>
    <w:rsid w:val="777063CE"/>
    <w:rsid w:val="777D1E86"/>
    <w:rsid w:val="7A552C46"/>
    <w:rsid w:val="7F323556"/>
    <w:rsid w:val="BE6F02C0"/>
    <w:rsid w:val="F8BFC180"/>
    <w:rsid w:val="FEFBA1DE"/>
    <w:rsid w:val="FF37890A"/>
    <w:rsid w:val="FFFF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1012</Words>
  <Characters>1017</Characters>
  <Lines>0</Lines>
  <Paragraphs>0</Paragraphs>
  <TotalTime>8</TotalTime>
  <ScaleCrop>false</ScaleCrop>
  <LinksUpToDate>false</LinksUpToDate>
  <CharactersWithSpaces>1070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2021-04-02T20:31:00Z</dcterms:created>
  <dc:creator>欣欣一家人</dc:creator>
  <cp:lastModifiedBy>温静敏</cp:lastModifiedBy>
  <cp:lastPrinted>2024-04-25T09:24:00Z</cp:lastPrinted>
  <dcterms:modified xsi:type="dcterms:W3CDTF">2026-06-24T17:15:05Z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20726BDEEB7440859BCE149330379904_13</vt:lpwstr>
  </property>
  <property fmtid="{D5CDD505-2E9C-101B-9397-08002B2CF9AE}" pid="4" name="KSOTemplateDocerSaveRecord">
    <vt:lpwstr>eyJoZGlkIjoiZjQxMjVkYTQ1MDEwMTEwMDIxMTc2Yzc5YmVkNGUyZWUiLCJ1c2VySWQiOiI0NDE1NTU1MzEifQ==</vt:lpwstr>
  </property>
</Properties>
</file>