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8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金水桥工业区1号厂房房屋主体结构加固和维修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14CBB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2C5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一、物业基本情况</w:t>
      </w:r>
    </w:p>
    <w:p w14:paraId="0E7D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金水桥工业区1号厂房位于深圳市龙岗区坪地街道怡心社区吉祥二路10号,建成时间为1994年12月31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日，地上一层，无地下室，屋面为不上人屋面，檐口高为6.1m，屋脊高为7.8m，建筑总面积约4162㎡。该建筑物目前作为厂房使用。</w:t>
      </w:r>
    </w:p>
    <w:p w14:paraId="0092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建筑主体结构为混合结构，柱为钢筋混凝土柱，梁为H型钢梁，钢梁采用焊接方式与柱顶埋件连接，支承在钢筋混凝土柱上，屋面形式由C型钢檩条采用焊接方式连接于钢梁上翼缘，上铺压型钢板，混凝土柱间设有混凝土连系梁。</w:t>
      </w:r>
    </w:p>
    <w:p w14:paraId="0F7298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房屋鉴定情况</w:t>
      </w:r>
    </w:p>
    <w:p w14:paraId="6986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目前该处房屋根据《工业建筑可靠性鉴定标准》的鉴定结果为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Ⅳ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，具体情况详见下表。</w:t>
      </w:r>
    </w:p>
    <w:p w14:paraId="2699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表一、房屋鉴定结论一览表</w:t>
      </w:r>
    </w:p>
    <w:tbl>
      <w:tblPr>
        <w:tblStyle w:val="7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787"/>
        <w:gridCol w:w="790"/>
        <w:gridCol w:w="2176"/>
        <w:gridCol w:w="1631"/>
        <w:gridCol w:w="2772"/>
      </w:tblGrid>
      <w:tr w14:paraId="2DC6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53" w:type="dxa"/>
            <w:noWrap w:val="0"/>
            <w:vAlign w:val="center"/>
          </w:tcPr>
          <w:p w14:paraId="657B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房屋名称</w:t>
            </w:r>
          </w:p>
        </w:tc>
        <w:tc>
          <w:tcPr>
            <w:tcW w:w="1787" w:type="dxa"/>
            <w:noWrap w:val="0"/>
            <w:vAlign w:val="center"/>
          </w:tcPr>
          <w:p w14:paraId="5B59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可靠性鉴定</w:t>
            </w:r>
          </w:p>
        </w:tc>
        <w:tc>
          <w:tcPr>
            <w:tcW w:w="790" w:type="dxa"/>
            <w:noWrap w:val="0"/>
            <w:vAlign w:val="center"/>
          </w:tcPr>
          <w:p w14:paraId="2702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危标鉴定</w:t>
            </w:r>
          </w:p>
        </w:tc>
        <w:tc>
          <w:tcPr>
            <w:tcW w:w="2176" w:type="dxa"/>
            <w:noWrap w:val="0"/>
            <w:vAlign w:val="center"/>
          </w:tcPr>
          <w:p w14:paraId="522F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抗震鉴定</w:t>
            </w:r>
          </w:p>
        </w:tc>
        <w:tc>
          <w:tcPr>
            <w:tcW w:w="1631" w:type="dxa"/>
            <w:noWrap w:val="0"/>
            <w:vAlign w:val="center"/>
          </w:tcPr>
          <w:p w14:paraId="0BBD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鉴定总结论</w:t>
            </w:r>
          </w:p>
        </w:tc>
        <w:tc>
          <w:tcPr>
            <w:tcW w:w="2772" w:type="dxa"/>
            <w:noWrap w:val="0"/>
            <w:vAlign w:val="center"/>
          </w:tcPr>
          <w:p w14:paraId="473B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处理建议</w:t>
            </w:r>
          </w:p>
        </w:tc>
      </w:tr>
      <w:tr w14:paraId="00CA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noWrap w:val="0"/>
            <w:vAlign w:val="center"/>
          </w:tcPr>
          <w:p w14:paraId="02B4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金水桥工业区1号厂房</w:t>
            </w:r>
          </w:p>
        </w:tc>
        <w:tc>
          <w:tcPr>
            <w:tcW w:w="1787" w:type="dxa"/>
            <w:noWrap w:val="0"/>
            <w:vAlign w:val="center"/>
          </w:tcPr>
          <w:p w14:paraId="71F5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可靠性评定等级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</w:p>
          <w:p w14:paraId="4A46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FB5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176" w:type="dxa"/>
            <w:noWrap w:val="0"/>
            <w:vAlign w:val="center"/>
          </w:tcPr>
          <w:p w14:paraId="4A6826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该建筑位于7度抗震设防区，场地和地基基础方面未发现明显对抗震不利的因素，主体结构抗震承载能力验算结果不满足规范要求，结构抗震措施鉴定结果不满足规范要求，故该建筑物的综合抗震能力不满足7度抗震设防对丙类建筑的要求。</w:t>
            </w:r>
          </w:p>
        </w:tc>
        <w:tc>
          <w:tcPr>
            <w:tcW w:w="1631" w:type="dxa"/>
            <w:noWrap w:val="0"/>
            <w:vAlign w:val="center"/>
          </w:tcPr>
          <w:p w14:paraId="644ED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AE3F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综上所述，该建筑的整体结构不满足作为厂房的安全使用要求，且综合抗震性能不满足深圳7度抗震设防烈度对丙类建筑的要求。</w:t>
            </w:r>
          </w:p>
        </w:tc>
        <w:tc>
          <w:tcPr>
            <w:tcW w:w="2772" w:type="dxa"/>
            <w:noWrap w:val="0"/>
            <w:vAlign w:val="center"/>
          </w:tcPr>
          <w:p w14:paraId="6F71D1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1.应对承载力不满足要求的所有混凝土柱及钢梁、钢檩条构件进行加固处理，加固前应对该建筑进行停止使用，并向所在街道进行报备。</w:t>
            </w:r>
          </w:p>
          <w:p w14:paraId="47A6E3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2.在后续使用过程中，应加强该建筑物的日常检查和维护工作，如发现异常情况，应立即上报有关部门以便及时进行处理。</w:t>
            </w:r>
          </w:p>
        </w:tc>
      </w:tr>
    </w:tbl>
    <w:p w14:paraId="0590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727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b/>
          <w:color w:val="auto"/>
          <w:sz w:val="1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表2、建筑物安全性鉴定评级释义</w:t>
      </w:r>
    </w:p>
    <w:tbl>
      <w:tblPr>
        <w:tblStyle w:val="6"/>
        <w:tblW w:w="1047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546"/>
        <w:gridCol w:w="3760"/>
        <w:gridCol w:w="3312"/>
      </w:tblGrid>
      <w:tr w14:paraId="44B9B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5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E6B102">
            <w:pPr>
              <w:pStyle w:val="10"/>
              <w:spacing w:before="170"/>
              <w:ind w:left="503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鉴定对象</w:t>
            </w:r>
          </w:p>
        </w:tc>
        <w:tc>
          <w:tcPr>
            <w:tcW w:w="15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13CBB8">
            <w:pPr>
              <w:pStyle w:val="10"/>
              <w:spacing w:before="170"/>
              <w:ind w:left="225" w:right="19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等级</w:t>
            </w:r>
          </w:p>
        </w:tc>
        <w:tc>
          <w:tcPr>
            <w:tcW w:w="37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C20B88">
            <w:pPr>
              <w:pStyle w:val="10"/>
              <w:spacing w:before="170"/>
              <w:ind w:left="1199" w:right="117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分级标准</w:t>
            </w:r>
          </w:p>
        </w:tc>
        <w:tc>
          <w:tcPr>
            <w:tcW w:w="331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7B33277">
            <w:pPr>
              <w:pStyle w:val="10"/>
              <w:spacing w:before="170"/>
              <w:ind w:left="101" w:right="6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处理要求</w:t>
            </w:r>
          </w:p>
        </w:tc>
      </w:tr>
      <w:tr w14:paraId="4B45D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852" w:type="dxa"/>
            <w:vMerge w:val="restart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34B7C4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7642C096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242E97F4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45C22ADA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75772E50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21AF38AA">
            <w:pPr>
              <w:pStyle w:val="10"/>
              <w:spacing w:before="6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</w:p>
          <w:p w14:paraId="7E6011F2">
            <w:pPr>
              <w:pStyle w:val="10"/>
              <w:ind w:left="503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鉴定单元</w:t>
            </w: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0F4AFB">
            <w:pPr>
              <w:pStyle w:val="10"/>
              <w:spacing w:before="3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highlight w:val="none"/>
              </w:rPr>
            </w:pPr>
          </w:p>
          <w:p w14:paraId="23B4A9CA">
            <w:pPr>
              <w:pStyle w:val="10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EB5009">
            <w:pPr>
              <w:pStyle w:val="10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安全性符合标准对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级的要</w:t>
            </w:r>
          </w:p>
          <w:p w14:paraId="37A0E712">
            <w:pPr>
              <w:pStyle w:val="10"/>
              <w:spacing w:before="158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求，不影响整体承载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77C2D7">
            <w:pPr>
              <w:pStyle w:val="10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可能有极少数一般</w:t>
            </w:r>
          </w:p>
          <w:p w14:paraId="594C524F">
            <w:pPr>
              <w:pStyle w:val="10"/>
              <w:spacing w:before="158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构件应采取措施</w:t>
            </w:r>
          </w:p>
        </w:tc>
      </w:tr>
      <w:tr w14:paraId="141B2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3EB0AF04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CAF41D">
            <w:pPr>
              <w:pStyle w:val="10"/>
              <w:spacing w:before="247"/>
              <w:ind w:left="225" w:right="19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B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377771">
            <w:pPr>
              <w:pStyle w:val="10"/>
              <w:spacing w:line="295" w:lineRule="exact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highlight w:val="none"/>
              </w:rPr>
              <w:t xml:space="preserve">安全性略低于标准对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14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</w:t>
            </w:r>
          </w:p>
          <w:p w14:paraId="3D65A122">
            <w:pPr>
              <w:pStyle w:val="10"/>
              <w:spacing w:before="160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要求，尚不显著影响整体承载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87BC2F">
            <w:pPr>
              <w:pStyle w:val="10"/>
              <w:spacing w:line="295" w:lineRule="exact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可能有极少数构件</w:t>
            </w:r>
          </w:p>
          <w:p w14:paraId="3534AAD7">
            <w:pPr>
              <w:pStyle w:val="10"/>
              <w:spacing w:before="160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应采取措施</w:t>
            </w:r>
          </w:p>
        </w:tc>
      </w:tr>
      <w:tr w14:paraId="1EC74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2AFA4EEA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A31480">
            <w:pPr>
              <w:pStyle w:val="10"/>
              <w:spacing w:before="8"/>
              <w:rPr>
                <w:rFonts w:hint="eastAsia" w:ascii="仿宋_GB2312" w:hAnsi="仿宋_GB2312" w:eastAsia="仿宋_GB2312" w:cs="仿宋_GB2312"/>
                <w:b/>
                <w:color w:val="auto"/>
                <w:sz w:val="37"/>
                <w:highlight w:val="none"/>
              </w:rPr>
            </w:pPr>
          </w:p>
          <w:p w14:paraId="29C1A62E">
            <w:pPr>
              <w:pStyle w:val="10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C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701DDE">
            <w:pPr>
              <w:pStyle w:val="10"/>
              <w:spacing w:before="4"/>
              <w:rPr>
                <w:rFonts w:hint="eastAsia" w:ascii="仿宋_GB2312" w:hAnsi="仿宋_GB2312" w:eastAsia="仿宋_GB2312" w:cs="仿宋_GB2312"/>
                <w:b/>
                <w:color w:val="auto"/>
                <w:sz w:val="17"/>
                <w:highlight w:val="none"/>
              </w:rPr>
            </w:pPr>
          </w:p>
          <w:p w14:paraId="40A65FF5">
            <w:pPr>
              <w:pStyle w:val="10"/>
              <w:spacing w:line="364" w:lineRule="auto"/>
              <w:ind w:left="120" w:right="8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安全性不符合标准对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级的要求，显著影响整体承载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E1A19F">
            <w:pPr>
              <w:pStyle w:val="10"/>
              <w:spacing w:line="295" w:lineRule="exact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应采取措施，且可</w:t>
            </w:r>
          </w:p>
          <w:p w14:paraId="5447EB0E">
            <w:pPr>
              <w:pStyle w:val="10"/>
              <w:spacing w:before="8" w:line="460" w:lineRule="atLeast"/>
              <w:ind w:left="119" w:right="6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能有少数构件必须立即采取措施</w:t>
            </w:r>
          </w:p>
        </w:tc>
      </w:tr>
      <w:tr w14:paraId="3E154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62B3E5EB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E221C64">
            <w:pPr>
              <w:pStyle w:val="10"/>
              <w:spacing w:before="247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A9F651">
            <w:pPr>
              <w:pStyle w:val="10"/>
              <w:spacing w:line="295" w:lineRule="exact"/>
              <w:ind w:left="12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highlight w:val="none"/>
              </w:rPr>
              <w:t xml:space="preserve">安全性严重不符合标准对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</w:p>
          <w:p w14:paraId="7A57D88B">
            <w:pPr>
              <w:pStyle w:val="10"/>
              <w:spacing w:before="158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级的要求，严重影响整体承载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 w14:paraId="48AE3F83">
            <w:pPr>
              <w:pStyle w:val="10"/>
              <w:spacing w:before="2"/>
              <w:rPr>
                <w:rFonts w:hint="eastAsia" w:ascii="仿宋_GB2312" w:hAnsi="仿宋_GB2312" w:eastAsia="仿宋_GB2312" w:cs="仿宋_GB2312"/>
                <w:b/>
                <w:color w:val="auto"/>
                <w:sz w:val="17"/>
                <w:highlight w:val="none"/>
              </w:rPr>
            </w:pPr>
          </w:p>
          <w:p w14:paraId="6E7DADE2">
            <w:pPr>
              <w:pStyle w:val="10"/>
              <w:ind w:left="101" w:right="15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必须立即采取措施</w:t>
            </w:r>
          </w:p>
        </w:tc>
      </w:tr>
    </w:tbl>
    <w:p w14:paraId="4D3176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加固工程主要内容及费用估算</w:t>
      </w:r>
    </w:p>
    <w:p w14:paraId="2908DF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该建筑地基基础子单元安全性等级评为Bu级，使用性等级评为B级，可靠性等级评为B级;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上部承重结构子单元安全性等级评为Du级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，使用性等级评为B级，可靠性等级评为B级;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围护系统承重部分子单元安全性等级评为Du级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使用性等级评为B级，可靠性等级评为D级。依据《工业建筑可靠性鉴定标准》(GB50144-2019)的规定，该建筑物的整体结构可靠性等级评定为四级:即可靠性极不符合国家现行标准规范可靠性要求，已严重影响整体安全，必须立即采取措施。</w:t>
      </w:r>
    </w:p>
    <w:p w14:paraId="65023D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设计方案，拟采用加大截面法对混凝土柱进行加固处理，采用钢架钢梁加大截面、新增加钢斜撑、新增加檩条对上部承重钢结构进行加固，拟进行1号厂房1座屋顶铁皮翻新，以及1号厂房围墙整体涂刷翻新。以上具体加固方案以专业设计单位设计结果为准。</w:t>
      </w:r>
    </w:p>
    <w:p w14:paraId="1CFFDAE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1E965"/>
    <w:multiLevelType w:val="singleLevel"/>
    <w:tmpl w:val="AB91E9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E660DE6"/>
    <w:rsid w:val="172A662D"/>
    <w:rsid w:val="192759C8"/>
    <w:rsid w:val="1C0672A1"/>
    <w:rsid w:val="23292390"/>
    <w:rsid w:val="239F6615"/>
    <w:rsid w:val="25C553D3"/>
    <w:rsid w:val="29F30E61"/>
    <w:rsid w:val="2C2C15FD"/>
    <w:rsid w:val="2FEF6A2F"/>
    <w:rsid w:val="32457C58"/>
    <w:rsid w:val="33605570"/>
    <w:rsid w:val="34337490"/>
    <w:rsid w:val="3FCE0B01"/>
    <w:rsid w:val="46762627"/>
    <w:rsid w:val="482B334D"/>
    <w:rsid w:val="51283879"/>
    <w:rsid w:val="59537C18"/>
    <w:rsid w:val="5EF3645E"/>
    <w:rsid w:val="667F142D"/>
    <w:rsid w:val="6F5764A9"/>
    <w:rsid w:val="6F9E2FD7"/>
    <w:rsid w:val="72F00F8C"/>
    <w:rsid w:val="756D0465"/>
    <w:rsid w:val="76E66A47"/>
    <w:rsid w:val="776D1085"/>
    <w:rsid w:val="7F1D7FC7"/>
    <w:rsid w:val="9D7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1230</Characters>
  <Lines>0</Lines>
  <Paragraphs>0</Paragraphs>
  <TotalTime>2</TotalTime>
  <ScaleCrop>false</ScaleCrop>
  <LinksUpToDate>false</LinksUpToDate>
  <CharactersWithSpaces>1271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2025-04-11T17:06:00Z</dcterms:created>
  <dc:creator>卢明星</dc:creator>
  <cp:lastModifiedBy>實誠</cp:lastModifiedBy>
  <dcterms:modified xsi:type="dcterms:W3CDTF">2026-06-24T14:32:23Z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