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280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金水桥工业区1号厂房房屋主体结构加固和维修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项目概况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14CBBA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p w14:paraId="52C58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一、物业基本情况</w:t>
      </w:r>
    </w:p>
    <w:p w14:paraId="0E7D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金水桥工业区1号厂房位于深圳市龙岗区坪地街道怡心社区吉祥二路10号,建成时间为1994年12月31 日，地上一层，无地下室，屋面为不上人屋面，檐口高为6.1m，屋脊高为7.8m，建筑总面积约4162㎡。该建筑物目前作为厂房使用。</w:t>
      </w:r>
    </w:p>
    <w:p w14:paraId="00927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建筑主体结构为混合结构，柱为钢筋混凝土柱，梁为H型钢梁，钢梁采用焊接方式与柱顶埋件连接，支承在钢筋混凝土柱上，屋面形式由C型钢檩条采用焊接方式连接于钢梁上翼缘，上铺压型钢板，混凝土柱间设有混凝土连系梁。</w:t>
      </w:r>
    </w:p>
    <w:p w14:paraId="0F7298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房屋鉴定情况</w:t>
      </w:r>
    </w:p>
    <w:p w14:paraId="6986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目前该处房屋根据《工业建筑可靠性鉴定标准》的鉴定结果为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vertAlign w:val="baseline"/>
          <w:lang w:val="en-US" w:eastAsia="zh-CN"/>
        </w:rPr>
        <w:t>Ⅳ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vertAlign w:val="baseli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，具体情况详见下表。</w:t>
      </w:r>
    </w:p>
    <w:p w14:paraId="2699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表一、房屋鉴定结论一览表</w:t>
      </w:r>
    </w:p>
    <w:tbl>
      <w:tblPr>
        <w:tblStyle w:val="7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787"/>
        <w:gridCol w:w="790"/>
        <w:gridCol w:w="2176"/>
        <w:gridCol w:w="1631"/>
        <w:gridCol w:w="2772"/>
      </w:tblGrid>
      <w:tr w14:paraId="2DC6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53" w:type="dxa"/>
            <w:noWrap w:val="0"/>
            <w:vAlign w:val="center"/>
          </w:tcPr>
          <w:p w14:paraId="657B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房屋名称</w:t>
            </w:r>
          </w:p>
        </w:tc>
        <w:tc>
          <w:tcPr>
            <w:tcW w:w="1787" w:type="dxa"/>
            <w:noWrap w:val="0"/>
            <w:vAlign w:val="center"/>
          </w:tcPr>
          <w:p w14:paraId="5B59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可靠性鉴定</w:t>
            </w:r>
          </w:p>
        </w:tc>
        <w:tc>
          <w:tcPr>
            <w:tcW w:w="790" w:type="dxa"/>
            <w:noWrap w:val="0"/>
            <w:vAlign w:val="center"/>
          </w:tcPr>
          <w:p w14:paraId="2702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危标鉴定</w:t>
            </w:r>
          </w:p>
        </w:tc>
        <w:tc>
          <w:tcPr>
            <w:tcW w:w="2176" w:type="dxa"/>
            <w:noWrap w:val="0"/>
            <w:vAlign w:val="center"/>
          </w:tcPr>
          <w:p w14:paraId="522F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抗震鉴定</w:t>
            </w:r>
          </w:p>
        </w:tc>
        <w:tc>
          <w:tcPr>
            <w:tcW w:w="1631" w:type="dxa"/>
            <w:noWrap w:val="0"/>
            <w:vAlign w:val="center"/>
          </w:tcPr>
          <w:p w14:paraId="0BBD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鉴定总结论</w:t>
            </w:r>
          </w:p>
        </w:tc>
        <w:tc>
          <w:tcPr>
            <w:tcW w:w="2772" w:type="dxa"/>
            <w:noWrap w:val="0"/>
            <w:vAlign w:val="center"/>
          </w:tcPr>
          <w:p w14:paraId="473B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处理建议</w:t>
            </w:r>
          </w:p>
        </w:tc>
      </w:tr>
      <w:tr w14:paraId="00CA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noWrap w:val="0"/>
            <w:vAlign w:val="center"/>
          </w:tcPr>
          <w:p w14:paraId="02B4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金水桥工业区1号厂房</w:t>
            </w:r>
          </w:p>
        </w:tc>
        <w:tc>
          <w:tcPr>
            <w:tcW w:w="1787" w:type="dxa"/>
            <w:noWrap w:val="0"/>
            <w:vAlign w:val="center"/>
          </w:tcPr>
          <w:p w14:paraId="71F5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可靠性评定等级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</w:p>
          <w:p w14:paraId="4A46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FB5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176" w:type="dxa"/>
            <w:noWrap w:val="0"/>
            <w:vAlign w:val="center"/>
          </w:tcPr>
          <w:p w14:paraId="4A6826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该建筑位于7度抗震设防区，场地和地基基础方面未发现明显对抗震不利的因素，主体结构抗震承载能力验算结果不满足规范要求，结构抗震措施鉴定结果不满足规范要求，故该建筑物的综合抗震能力不满足7度抗震设防对丙类建筑的要求。</w:t>
            </w:r>
          </w:p>
        </w:tc>
        <w:tc>
          <w:tcPr>
            <w:tcW w:w="1631" w:type="dxa"/>
            <w:noWrap w:val="0"/>
            <w:vAlign w:val="center"/>
          </w:tcPr>
          <w:p w14:paraId="644EDE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9AE3F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综上所述，该建筑的整体结构不满足作为厂房的安全使用要求，且综合抗震性能不满足深圳7度抗震设防烈度对丙类建筑的要求。</w:t>
            </w:r>
          </w:p>
        </w:tc>
        <w:tc>
          <w:tcPr>
            <w:tcW w:w="2772" w:type="dxa"/>
            <w:noWrap w:val="0"/>
            <w:vAlign w:val="center"/>
          </w:tcPr>
          <w:p w14:paraId="6F71D1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1.应对承载力不满足要求的所有混凝土柱及钢梁、钢檩条构件进行加固处理，加固前应对该建筑进行停止使用，并向所在街道进行报备。</w:t>
            </w:r>
          </w:p>
          <w:p w14:paraId="47A6E3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2.在后续使用过程中，应加强该建筑物的日常检查和维护工作，如发现异常情况，应立即上报有关部门以便及时进行处理。</w:t>
            </w:r>
          </w:p>
        </w:tc>
      </w:tr>
    </w:tbl>
    <w:p w14:paraId="0590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727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b/>
          <w:color w:val="auto"/>
          <w:sz w:val="1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表2、建筑物安全性鉴定评级释义</w:t>
      </w:r>
    </w:p>
    <w:tbl>
      <w:tblPr>
        <w:tblStyle w:val="6"/>
        <w:tblW w:w="1047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1546"/>
        <w:gridCol w:w="3760"/>
        <w:gridCol w:w="3312"/>
      </w:tblGrid>
      <w:tr w14:paraId="44B9B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52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E6B102">
            <w:pPr>
              <w:pStyle w:val="10"/>
              <w:spacing w:before="170"/>
              <w:ind w:left="503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鉴定对象</w:t>
            </w:r>
          </w:p>
        </w:tc>
        <w:tc>
          <w:tcPr>
            <w:tcW w:w="15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13CBB8">
            <w:pPr>
              <w:pStyle w:val="10"/>
              <w:spacing w:before="170"/>
              <w:ind w:left="225" w:right="19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等级</w:t>
            </w:r>
          </w:p>
        </w:tc>
        <w:tc>
          <w:tcPr>
            <w:tcW w:w="37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C20B88">
            <w:pPr>
              <w:pStyle w:val="10"/>
              <w:spacing w:before="170"/>
              <w:ind w:left="1199" w:right="117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分级标准</w:t>
            </w:r>
          </w:p>
        </w:tc>
        <w:tc>
          <w:tcPr>
            <w:tcW w:w="3312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7B33277">
            <w:pPr>
              <w:pStyle w:val="10"/>
              <w:spacing w:before="170"/>
              <w:ind w:left="101" w:right="6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处理要求</w:t>
            </w:r>
          </w:p>
        </w:tc>
      </w:tr>
      <w:tr w14:paraId="4B45D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852" w:type="dxa"/>
            <w:vMerge w:val="restart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34B7C4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7642C096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242E97F4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45C22ADA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75772E50">
            <w:pPr>
              <w:pStyle w:val="1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  <w:p w14:paraId="21AF38AA">
            <w:pPr>
              <w:pStyle w:val="10"/>
              <w:spacing w:before="6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highlight w:val="none"/>
              </w:rPr>
            </w:pPr>
          </w:p>
          <w:p w14:paraId="7E6011F2">
            <w:pPr>
              <w:pStyle w:val="10"/>
              <w:ind w:left="503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鉴定单元</w:t>
            </w: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0F4AFB">
            <w:pPr>
              <w:pStyle w:val="10"/>
              <w:spacing w:before="3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highlight w:val="none"/>
              </w:rPr>
            </w:pPr>
          </w:p>
          <w:p w14:paraId="23B4A9CA">
            <w:pPr>
              <w:pStyle w:val="10"/>
              <w:ind w:left="223" w:right="196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7EB5009">
            <w:pPr>
              <w:pStyle w:val="10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安全性符合标准对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</w:rPr>
              <w:t>级的要</w:t>
            </w:r>
          </w:p>
          <w:p w14:paraId="37A0E712">
            <w:pPr>
              <w:pStyle w:val="10"/>
              <w:spacing w:before="158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求，不影响整体承载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77C2D7">
            <w:pPr>
              <w:pStyle w:val="10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可能有极少数一般</w:t>
            </w:r>
          </w:p>
          <w:p w14:paraId="594C524F">
            <w:pPr>
              <w:pStyle w:val="10"/>
              <w:spacing w:before="158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构件应采取措施</w:t>
            </w:r>
          </w:p>
        </w:tc>
      </w:tr>
      <w:tr w14:paraId="141B2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3EB0AF04">
            <w:pPr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8CAF41D">
            <w:pPr>
              <w:pStyle w:val="10"/>
              <w:spacing w:before="247"/>
              <w:ind w:left="225" w:right="19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B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377771">
            <w:pPr>
              <w:pStyle w:val="10"/>
              <w:spacing w:line="295" w:lineRule="exact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highlight w:val="none"/>
              </w:rPr>
              <w:t xml:space="preserve">安全性略低于标准对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14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</w:rPr>
              <w:t>级的</w:t>
            </w:r>
          </w:p>
          <w:p w14:paraId="3D65A122">
            <w:pPr>
              <w:pStyle w:val="10"/>
              <w:spacing w:before="160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要求，尚不显著影响整体承载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87BC2F">
            <w:pPr>
              <w:pStyle w:val="10"/>
              <w:spacing w:line="295" w:lineRule="exact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可能有极少数构件</w:t>
            </w:r>
          </w:p>
          <w:p w14:paraId="3534AAD7">
            <w:pPr>
              <w:pStyle w:val="10"/>
              <w:spacing w:before="160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应采取措施</w:t>
            </w:r>
          </w:p>
        </w:tc>
      </w:tr>
      <w:tr w14:paraId="1EC74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2AFA4EEA">
            <w:pPr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A31480">
            <w:pPr>
              <w:pStyle w:val="10"/>
              <w:spacing w:before="8"/>
              <w:rPr>
                <w:rFonts w:hint="eastAsia" w:ascii="仿宋_GB2312" w:hAnsi="仿宋_GB2312" w:eastAsia="仿宋_GB2312" w:cs="仿宋_GB2312"/>
                <w:b/>
                <w:color w:val="auto"/>
                <w:sz w:val="37"/>
                <w:highlight w:val="none"/>
              </w:rPr>
            </w:pPr>
          </w:p>
          <w:p w14:paraId="29C1A62E">
            <w:pPr>
              <w:pStyle w:val="10"/>
              <w:ind w:left="223" w:right="196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C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701DDE">
            <w:pPr>
              <w:pStyle w:val="10"/>
              <w:spacing w:before="4"/>
              <w:rPr>
                <w:rFonts w:hint="eastAsia" w:ascii="仿宋_GB2312" w:hAnsi="仿宋_GB2312" w:eastAsia="仿宋_GB2312" w:cs="仿宋_GB2312"/>
                <w:b/>
                <w:color w:val="auto"/>
                <w:sz w:val="17"/>
                <w:highlight w:val="none"/>
              </w:rPr>
            </w:pPr>
          </w:p>
          <w:p w14:paraId="40A65FF5">
            <w:pPr>
              <w:pStyle w:val="10"/>
              <w:spacing w:line="364" w:lineRule="auto"/>
              <w:ind w:left="120" w:right="8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安全性不符合标准对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vertAlign w:val="baseline"/>
              </w:rPr>
              <w:t>级的要求，显著影响整体承载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E1A19F">
            <w:pPr>
              <w:pStyle w:val="10"/>
              <w:spacing w:line="295" w:lineRule="exact"/>
              <w:ind w:left="11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应采取措施，且可</w:t>
            </w:r>
          </w:p>
          <w:p w14:paraId="5447EB0E">
            <w:pPr>
              <w:pStyle w:val="10"/>
              <w:spacing w:before="8" w:line="460" w:lineRule="atLeast"/>
              <w:ind w:left="119" w:right="6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能有少数构件必须立即采取措施</w:t>
            </w:r>
          </w:p>
        </w:tc>
      </w:tr>
      <w:tr w14:paraId="3E154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62B3E5EB">
            <w:pPr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E221C64">
            <w:pPr>
              <w:pStyle w:val="10"/>
              <w:spacing w:before="247"/>
              <w:ind w:left="223" w:right="196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position w:val="3"/>
                <w:sz w:val="24"/>
                <w:highlight w:val="none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6"/>
                <w:highlight w:val="none"/>
              </w:rPr>
              <w:t>su</w:t>
            </w:r>
          </w:p>
        </w:tc>
        <w:tc>
          <w:tcPr>
            <w:tcW w:w="376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A9F651">
            <w:pPr>
              <w:pStyle w:val="10"/>
              <w:spacing w:line="295" w:lineRule="exact"/>
              <w:ind w:left="12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highlight w:val="none"/>
              </w:rPr>
              <w:t xml:space="preserve">安全性严重不符合标准对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  <w:vertAlign w:val="subscript"/>
              </w:rPr>
              <w:t>su</w:t>
            </w:r>
          </w:p>
          <w:p w14:paraId="7A57D88B">
            <w:pPr>
              <w:pStyle w:val="10"/>
              <w:spacing w:before="158"/>
              <w:ind w:left="12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级的要求，严重影响整体承载</w:t>
            </w:r>
          </w:p>
        </w:tc>
        <w:tc>
          <w:tcPr>
            <w:tcW w:w="3312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 w14:paraId="48AE3F83">
            <w:pPr>
              <w:pStyle w:val="10"/>
              <w:spacing w:before="2"/>
              <w:rPr>
                <w:rFonts w:hint="eastAsia" w:ascii="仿宋_GB2312" w:hAnsi="仿宋_GB2312" w:eastAsia="仿宋_GB2312" w:cs="仿宋_GB2312"/>
                <w:b/>
                <w:color w:val="auto"/>
                <w:sz w:val="17"/>
                <w:highlight w:val="none"/>
              </w:rPr>
            </w:pPr>
          </w:p>
          <w:p w14:paraId="6E7DADE2">
            <w:pPr>
              <w:pStyle w:val="10"/>
              <w:ind w:left="101" w:right="15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必须立即采取措施</w:t>
            </w:r>
          </w:p>
        </w:tc>
      </w:tr>
    </w:tbl>
    <w:p w14:paraId="4D3176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加固工程主要内容及费用估算</w:t>
      </w:r>
    </w:p>
    <w:p w14:paraId="2908DF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该建筑地基基础子单元安全性等级评为Bu级，使用性等级评为B级，可靠性等级评为B级;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上部承重结构子单元安全性等级评为Du级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，使用性等级评为B级，可靠性等级评为B级;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围护系统承重部分子单元安全性等级评为Du级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使用性等级评为B级，可靠性等级评为D级。依据《工业建筑可靠性鉴定标准》(GB50144-2019)的规定，该建筑物的整体结构可靠性等级评定为四级:即可靠性极不符合国家现行标准规范可靠性要求，已严重影响整体安全，必须立即采取措施。</w:t>
      </w:r>
    </w:p>
    <w:p w14:paraId="65023D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设计方案，拟采用加大截面法对混凝土柱进行加固处理，采用钢架钢梁加大截面、新增加钢斜撑、新增加檩条对上部承重钢结构进行加固，拟进行1号厂房1座屋顶铁皮翻新，以及1号厂房围墙整体涂刷翻新。以上具体加固方案以专业设计单位设计结果为准。</w:t>
      </w:r>
    </w:p>
    <w:p w14:paraId="1CFFDAEF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5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0BBE7AE2">
      <w:pPr>
        <w:pStyle w:val="5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1E965"/>
    <w:multiLevelType w:val="singleLevel"/>
    <w:tmpl w:val="AB91E9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25325BC"/>
    <w:rsid w:val="0E660DE6"/>
    <w:rsid w:val="172A662D"/>
    <w:rsid w:val="192759C8"/>
    <w:rsid w:val="1C0672A1"/>
    <w:rsid w:val="23292390"/>
    <w:rsid w:val="239F6615"/>
    <w:rsid w:val="25C553D3"/>
    <w:rsid w:val="29F30E61"/>
    <w:rsid w:val="2C2C15FD"/>
    <w:rsid w:val="2FEF6A2F"/>
    <w:rsid w:val="32457C58"/>
    <w:rsid w:val="33605570"/>
    <w:rsid w:val="34337490"/>
    <w:rsid w:val="3FCE0B01"/>
    <w:rsid w:val="46762627"/>
    <w:rsid w:val="482B334D"/>
    <w:rsid w:val="51283879"/>
    <w:rsid w:val="59537C18"/>
    <w:rsid w:val="5EF3645E"/>
    <w:rsid w:val="667F142D"/>
    <w:rsid w:val="6F5764A9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Body Text"/>
    <w:basedOn w:val="4"/>
    <w:next w:val="4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styleId="5">
    <w:name w:val="Plain Text"/>
    <w:basedOn w:val="1"/>
    <w:unhideWhenUsed/>
    <w:qFormat/>
    <w:uiPriority w:val="99"/>
    <w:rPr>
      <w:rFonts w:ascii="宋体" w:cs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1230</Characters>
  <Lines>0</Lines>
  <Paragraphs>0</Paragraphs>
  <TotalTime>2</TotalTime>
  <ScaleCrop>false</ScaleCrop>
  <LinksUpToDate>false</LinksUpToDate>
  <CharactersWithSpaces>1271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Administrator</cp:lastModifiedBy>
  <dcterms:modified xsi:type="dcterms:W3CDTF">2026-06-16T09:01:59Z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EAA75F19CEE54C3C83ABDE336EFC92CB_13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