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C9D3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eastAsia" w:eastAsia="PingFang SC Regular"/>
          <w:sz w:val="36"/>
          <w:szCs w:val="36"/>
          <w:u w:color="000000"/>
          <w:lang w:val="en-US" w:eastAsia="zh-CN"/>
        </w:rPr>
      </w:pPr>
      <w:r>
        <w:rPr>
          <w:rFonts w:hint="eastAsia" w:eastAsia="宋体"/>
          <w:b/>
          <w:bCs/>
          <w:sz w:val="36"/>
          <w:szCs w:val="36"/>
          <w:u w:color="000000"/>
          <w:lang w:val="zh-CN" w:eastAsia="zh-CN"/>
        </w:rPr>
        <w:t>物业财产一切险</w:t>
      </w:r>
      <w:r>
        <w:rPr>
          <w:rFonts w:hint="eastAsia" w:eastAsia="PingFang SC Regular"/>
          <w:b/>
          <w:bCs/>
          <w:sz w:val="36"/>
          <w:szCs w:val="36"/>
          <w:u w:color="000000"/>
          <w:lang w:val="zh-CN" w:eastAsia="zh-CN"/>
        </w:rPr>
        <w:t>采购项目</w:t>
      </w:r>
      <w:r>
        <w:rPr>
          <w:rFonts w:hint="eastAsia" w:eastAsia="PingFang SC Regular"/>
          <w:b/>
          <w:bCs/>
          <w:sz w:val="36"/>
          <w:szCs w:val="36"/>
          <w:u w:color="000000"/>
          <w:lang w:val="en-US" w:eastAsia="zh-CN"/>
        </w:rPr>
        <w:t xml:space="preserve"> </w:t>
      </w:r>
      <w:r>
        <w:rPr>
          <w:rFonts w:hint="eastAsia" w:eastAsia="PingFang SC Regular"/>
          <w:sz w:val="36"/>
          <w:szCs w:val="36"/>
          <w:u w:color="000000"/>
          <w:lang w:val="en-US" w:eastAsia="zh-CN"/>
        </w:rPr>
        <w:t xml:space="preserve">                   </w:t>
      </w:r>
    </w:p>
    <w:p w14:paraId="5A8B664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default" w:eastAsia="PingFang SC Regular"/>
          <w:kern w:val="2"/>
          <w:sz w:val="36"/>
          <w:szCs w:val="36"/>
          <w:u w:color="000000"/>
        </w:rPr>
      </w:pPr>
      <w:r>
        <w:rPr>
          <w:rFonts w:eastAsia="PingFang SC Regular"/>
          <w:kern w:val="2"/>
          <w:sz w:val="36"/>
          <w:szCs w:val="36"/>
          <w:u w:color="000000"/>
        </w:rPr>
        <w:t>综合评分表</w:t>
      </w:r>
    </w:p>
    <w:tbl>
      <w:tblPr>
        <w:tblStyle w:val="6"/>
        <w:tblW w:w="1069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556"/>
        <w:gridCol w:w="795"/>
        <w:gridCol w:w="4277"/>
        <w:gridCol w:w="1382"/>
        <w:gridCol w:w="750"/>
        <w:gridCol w:w="772"/>
        <w:gridCol w:w="750"/>
        <w:gridCol w:w="796"/>
        <w:gridCol w:w="615"/>
      </w:tblGrid>
      <w:tr w14:paraId="73B85B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620" w:hRule="atLeast"/>
          <w:tblHeader/>
          <w:jc w:val="center"/>
        </w:trPr>
        <w:tc>
          <w:tcPr>
            <w:tcW w:w="556" w:type="dxa"/>
            <w:tcBorders>
              <w:top w:val="single" w:color="000000" w:sz="12" w:space="0"/>
              <w:left w:val="single" w:color="000000" w:sz="12"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65038BD0">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序号</w:t>
            </w:r>
          </w:p>
        </w:tc>
        <w:tc>
          <w:tcPr>
            <w:tcW w:w="795"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2747B3E9">
            <w:pPr>
              <w:tabs>
                <w:tab w:val="left" w:pos="420"/>
              </w:tabs>
              <w:spacing w:before="0" w:line="20" w:lineRule="atLeast"/>
              <w:jc w:val="center"/>
              <w:rPr>
                <w:rFonts w:hint="eastAsia" w:ascii="仿宋" w:hAnsi="仿宋" w:eastAsia="仿宋" w:cs="仿宋"/>
                <w:b/>
                <w:bCs/>
                <w:kern w:val="2"/>
                <w:sz w:val="21"/>
                <w:szCs w:val="21"/>
                <w:u w:color="000000"/>
              </w:rPr>
            </w:pPr>
            <w:r>
              <w:rPr>
                <w:rFonts w:ascii="仿宋" w:hAnsi="仿宋" w:eastAsia="仿宋" w:cs="仿宋"/>
                <w:b/>
                <w:bCs/>
                <w:kern w:val="2"/>
                <w:sz w:val="21"/>
                <w:szCs w:val="21"/>
                <w:u w:color="000000"/>
              </w:rPr>
              <w:t>评审</w:t>
            </w:r>
          </w:p>
          <w:p w14:paraId="369BA857">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项目</w:t>
            </w:r>
          </w:p>
        </w:tc>
        <w:tc>
          <w:tcPr>
            <w:tcW w:w="4277"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22E807C5">
            <w:pPr>
              <w:tabs>
                <w:tab w:val="left" w:pos="420"/>
                <w:tab w:val="left" w:pos="840"/>
                <w:tab w:val="left" w:pos="1260"/>
                <w:tab w:val="left" w:pos="1680"/>
                <w:tab w:val="left" w:pos="2100"/>
                <w:tab w:val="left" w:pos="2520"/>
                <w:tab w:val="left" w:pos="2940"/>
                <w:tab w:val="left" w:pos="336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评审标准</w:t>
            </w:r>
          </w:p>
        </w:tc>
        <w:tc>
          <w:tcPr>
            <w:tcW w:w="1382"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48330EFE">
            <w:pPr>
              <w:tabs>
                <w:tab w:val="left" w:pos="420"/>
                <w:tab w:val="left" w:pos="840"/>
                <w:tab w:val="left" w:pos="126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证明材料</w:t>
            </w:r>
          </w:p>
        </w:tc>
        <w:tc>
          <w:tcPr>
            <w:tcW w:w="750"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799BE9DF">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分值</w:t>
            </w:r>
          </w:p>
        </w:tc>
        <w:tc>
          <w:tcPr>
            <w:tcW w:w="772"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40CDA55C">
            <w:pPr>
              <w:tabs>
                <w:tab w:val="left" w:pos="420"/>
                <w:tab w:val="left" w:pos="84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单位</w:t>
            </w:r>
            <w:r>
              <w:rPr>
                <w:rFonts w:ascii="仿宋" w:hAnsi="仿宋" w:eastAsia="仿宋" w:cs="仿宋"/>
                <w:b/>
                <w:bCs/>
                <w:kern w:val="2"/>
                <w:sz w:val="21"/>
                <w:szCs w:val="21"/>
                <w:u w:color="000000"/>
                <w:lang w:val="en-US"/>
              </w:rPr>
              <w:t>A</w:t>
            </w:r>
          </w:p>
        </w:tc>
        <w:tc>
          <w:tcPr>
            <w:tcW w:w="750"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4A2B38BA">
            <w:pPr>
              <w:tabs>
                <w:tab w:val="left" w:pos="420"/>
                <w:tab w:val="left" w:pos="84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单位</w:t>
            </w:r>
            <w:r>
              <w:rPr>
                <w:rFonts w:ascii="仿宋" w:hAnsi="仿宋" w:eastAsia="仿宋" w:cs="仿宋"/>
                <w:b/>
                <w:bCs/>
                <w:kern w:val="2"/>
                <w:sz w:val="21"/>
                <w:szCs w:val="21"/>
                <w:u w:color="000000"/>
                <w:lang w:val="en-US"/>
              </w:rPr>
              <w:t>B</w:t>
            </w:r>
          </w:p>
        </w:tc>
        <w:tc>
          <w:tcPr>
            <w:tcW w:w="796" w:type="dxa"/>
            <w:tcBorders>
              <w:top w:val="single" w:color="000000" w:sz="12" w:space="0"/>
              <w:left w:val="single" w:color="000000" w:sz="4" w:space="0"/>
              <w:bottom w:val="single" w:color="000000" w:sz="4" w:space="0"/>
              <w:right w:val="single" w:color="000000" w:sz="12" w:space="0"/>
            </w:tcBorders>
            <w:shd w:val="clear" w:color="auto" w:fill="DEEAF6"/>
            <w:tcMar>
              <w:top w:w="80" w:type="dxa"/>
              <w:left w:w="80" w:type="dxa"/>
              <w:bottom w:w="80" w:type="dxa"/>
              <w:right w:w="80" w:type="dxa"/>
            </w:tcMar>
            <w:vAlign w:val="center"/>
          </w:tcPr>
          <w:p w14:paraId="2730C963">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单位</w:t>
            </w:r>
            <w:r>
              <w:rPr>
                <w:rFonts w:ascii="仿宋" w:hAnsi="仿宋" w:eastAsia="仿宋" w:cs="仿宋"/>
                <w:b/>
                <w:bCs/>
                <w:kern w:val="2"/>
                <w:sz w:val="21"/>
                <w:szCs w:val="21"/>
                <w:u w:color="000000"/>
                <w:lang w:val="en-US"/>
              </w:rPr>
              <w:t>C</w:t>
            </w:r>
          </w:p>
        </w:tc>
        <w:tc>
          <w:tcPr>
            <w:tcW w:w="615" w:type="dxa"/>
            <w:tcBorders>
              <w:top w:val="single" w:color="000000" w:sz="12" w:space="0"/>
              <w:left w:val="single" w:color="000000" w:sz="4" w:space="0"/>
              <w:bottom w:val="single" w:color="000000" w:sz="4" w:space="0"/>
              <w:right w:val="single" w:color="000000" w:sz="12" w:space="0"/>
            </w:tcBorders>
            <w:shd w:val="clear" w:color="auto" w:fill="DEEAF6"/>
            <w:tcMar>
              <w:top w:w="80" w:type="dxa"/>
              <w:left w:w="80" w:type="dxa"/>
              <w:bottom w:w="80" w:type="dxa"/>
              <w:right w:w="80" w:type="dxa"/>
            </w:tcMar>
            <w:vAlign w:val="center"/>
          </w:tcPr>
          <w:p w14:paraId="089DD048">
            <w:pPr>
              <w:tabs>
                <w:tab w:val="left" w:pos="420"/>
              </w:tabs>
              <w:spacing w:before="0" w:line="20" w:lineRule="atLeast"/>
              <w:jc w:val="center"/>
              <w:rPr>
                <w:rFonts w:hint="default" w:ascii="仿宋" w:hAnsi="仿宋" w:eastAsia="仿宋" w:cs="仿宋"/>
                <w:b/>
                <w:bCs/>
                <w:kern w:val="2"/>
                <w:sz w:val="21"/>
                <w:szCs w:val="21"/>
                <w:u w:color="000000"/>
                <w:lang w:val="en-US" w:eastAsia="zh-CN"/>
              </w:rPr>
            </w:pPr>
            <w:r>
              <w:rPr>
                <w:rFonts w:hint="eastAsia" w:ascii="仿宋" w:hAnsi="仿宋" w:eastAsia="仿宋" w:cs="仿宋"/>
                <w:b/>
                <w:bCs/>
                <w:kern w:val="2"/>
                <w:sz w:val="21"/>
                <w:szCs w:val="21"/>
                <w:u w:color="000000"/>
                <w:lang w:val="en-US" w:eastAsia="zh-CN"/>
              </w:rPr>
              <w:t>....</w:t>
            </w:r>
          </w:p>
        </w:tc>
      </w:tr>
      <w:tr w14:paraId="3B0BD1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4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73C2EA">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7AC7CF">
            <w:pPr>
              <w:widowControl w:val="0"/>
              <w:tabs>
                <w:tab w:val="left" w:pos="420"/>
              </w:tabs>
              <w:spacing w:before="0" w:line="20" w:lineRule="atLeast"/>
              <w:jc w:val="center"/>
              <w:rPr>
                <w:rFonts w:hint="eastAsia" w:ascii="仿宋" w:hAnsi="仿宋" w:eastAsia="仿宋" w:cs="仿宋"/>
                <w:kern w:val="2"/>
                <w:sz w:val="21"/>
                <w:szCs w:val="21"/>
                <w:u w:color="000000"/>
                <w:lang w:val="en-US"/>
              </w:rPr>
            </w:pPr>
            <w:r>
              <w:rPr>
                <w:rFonts w:ascii="仿宋" w:hAnsi="仿宋" w:eastAsia="仿宋" w:cs="仿宋"/>
                <w:kern w:val="2"/>
                <w:sz w:val="21"/>
                <w:szCs w:val="21"/>
                <w:u w:color="000000"/>
                <w:lang w:val="en-US"/>
              </w:rPr>
              <w:t>报价</w:t>
            </w:r>
          </w:p>
          <w:p w14:paraId="68682515">
            <w:pPr>
              <w:widowControl w:val="0"/>
              <w:tabs>
                <w:tab w:val="left" w:pos="420"/>
              </w:tabs>
              <w:spacing w:before="0" w:line="20" w:lineRule="atLeast"/>
              <w:jc w:val="center"/>
              <w:rPr>
                <w:rFonts w:hint="eastAsia" w:ascii="仿宋" w:hAnsi="仿宋" w:eastAsia="仿宋" w:cs="仿宋"/>
                <w:color w:val="000000"/>
                <w:kern w:val="2"/>
                <w:sz w:val="21"/>
                <w:szCs w:val="21"/>
                <w:u w:color="000000"/>
                <w:lang w:val="en-US" w:eastAsia="zh-CN" w:bidi="ar-SA"/>
              </w:rPr>
            </w:pPr>
            <w:r>
              <w:rPr>
                <w:rFonts w:ascii="仿宋" w:hAnsi="仿宋" w:eastAsia="仿宋" w:cs="仿宋"/>
                <w:kern w:val="2"/>
                <w:sz w:val="21"/>
                <w:szCs w:val="21"/>
                <w:u w:color="000000"/>
                <w:lang w:val="en-US"/>
              </w:rPr>
              <w:t>得分</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B3F5E">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rPr>
            </w:pPr>
            <w:r>
              <w:rPr>
                <w:rFonts w:ascii="仿宋" w:hAnsi="仿宋" w:eastAsia="仿宋" w:cs="仿宋"/>
                <w:kern w:val="2"/>
                <w:sz w:val="21"/>
                <w:szCs w:val="21"/>
                <w:u w:color="000000"/>
                <w:lang w:val="en-US"/>
              </w:rPr>
              <w:t>符合要求且最低的响应报价为基准价，其价格分为满分。</w:t>
            </w:r>
          </w:p>
          <w:p w14:paraId="445D99CC">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ascii="仿宋" w:hAnsi="仿宋" w:eastAsia="仿宋" w:cs="仿宋"/>
                <w:kern w:val="2"/>
                <w:sz w:val="21"/>
                <w:szCs w:val="21"/>
                <w:u w:color="000000"/>
                <w:lang w:val="en-US"/>
              </w:rPr>
              <w:t>其他响应</w:t>
            </w:r>
            <w:r>
              <w:rPr>
                <w:rFonts w:hint="eastAsia" w:ascii="仿宋" w:hAnsi="仿宋" w:eastAsia="仿宋" w:cs="仿宋"/>
                <w:kern w:val="2"/>
                <w:sz w:val="21"/>
                <w:szCs w:val="21"/>
                <w:u w:color="000000"/>
                <w:lang w:val="en-US" w:eastAsia="zh-CN"/>
              </w:rPr>
              <w:t>单位</w:t>
            </w:r>
            <w:r>
              <w:rPr>
                <w:rFonts w:ascii="仿宋" w:hAnsi="仿宋" w:eastAsia="仿宋" w:cs="仿宋"/>
                <w:kern w:val="2"/>
                <w:sz w:val="21"/>
                <w:szCs w:val="21"/>
                <w:u w:color="000000"/>
                <w:lang w:val="en-US"/>
              </w:rPr>
              <w:t>的价格分统一按照报价得分=(基准价/响应报价)×</w:t>
            </w:r>
            <w:r>
              <w:rPr>
                <w:rFonts w:hint="eastAsia" w:ascii="仿宋" w:hAnsi="仿宋" w:eastAsia="仿宋" w:cs="仿宋"/>
                <w:kern w:val="2"/>
                <w:sz w:val="21"/>
                <w:szCs w:val="21"/>
                <w:u w:color="000000"/>
                <w:lang w:val="en-US" w:eastAsia="zh-CN"/>
              </w:rPr>
              <w:t>20分</w:t>
            </w:r>
            <w:r>
              <w:rPr>
                <w:rFonts w:ascii="仿宋" w:hAnsi="仿宋" w:eastAsia="仿宋" w:cs="仿宋"/>
                <w:kern w:val="2"/>
                <w:sz w:val="21"/>
                <w:szCs w:val="21"/>
                <w:u w:color="000000"/>
                <w:lang w:val="en-US"/>
              </w:rPr>
              <w:t>计算。</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E6E8E">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ascii="仿宋" w:hAnsi="仿宋" w:eastAsia="仿宋" w:cs="仿宋"/>
                <w:kern w:val="2"/>
                <w:sz w:val="21"/>
                <w:szCs w:val="21"/>
                <w:u w:color="000000"/>
                <w:lang w:val="en-US"/>
              </w:rPr>
              <w:t>提供响应报价，并加盖公章</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83CD4D">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20</w:t>
            </w:r>
            <w:r>
              <w:rPr>
                <w:rFonts w:ascii="仿宋" w:hAnsi="仿宋" w:eastAsia="仿宋" w:cs="仿宋"/>
                <w:kern w:val="2"/>
                <w:sz w:val="21"/>
                <w:szCs w:val="21"/>
                <w:u w:color="000000"/>
                <w:lang w:val="en-US"/>
              </w:rPr>
              <w:t>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11E9B">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zh-TW" w:eastAsia="zh-TW"/>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271C7">
            <w:pPr>
              <w:rPr>
                <w:rFonts w:hint="default" w:ascii="仿宋" w:hAnsi="仿宋" w:eastAsia="仿宋" w:cs="仿宋"/>
                <w:color w:val="000000"/>
                <w:sz w:val="21"/>
                <w:szCs w:val="21"/>
                <w:lang w:val="en-US" w:eastAsia="zh-CN" w:bidi="ar-SA"/>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CB33D2F">
            <w:pPr>
              <w:rPr>
                <w:rFonts w:hint="eastAsia" w:ascii="仿宋" w:hAnsi="仿宋" w:eastAsia="仿宋" w:cs="仿宋"/>
                <w:color w:val="000000"/>
                <w:sz w:val="21"/>
                <w:szCs w:val="21"/>
                <w:lang w:val="zh-TW" w:eastAsia="zh-TW" w:bidi="ar-SA"/>
              </w:rPr>
            </w:pPr>
            <w:bookmarkStart w:id="0" w:name="_GoBack"/>
            <w:bookmarkEnd w:id="0"/>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62576C4">
            <w:pPr>
              <w:rPr>
                <w:rFonts w:hint="eastAsia" w:ascii="仿宋" w:hAnsi="仿宋" w:eastAsia="仿宋" w:cs="仿宋"/>
                <w:color w:val="000000"/>
                <w:sz w:val="21"/>
                <w:szCs w:val="21"/>
                <w:lang w:val="zh-TW" w:eastAsia="zh-TW" w:bidi="ar-SA"/>
              </w:rPr>
            </w:pPr>
          </w:p>
        </w:tc>
      </w:tr>
      <w:tr w14:paraId="2970B3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45"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5B095">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6A7F3">
            <w:pPr>
              <w:adjustRightInd w:val="0"/>
              <w:snapToGrid w:val="0"/>
              <w:spacing w:line="400" w:lineRule="exact"/>
              <w:jc w:val="center"/>
              <w:rPr>
                <w:rFonts w:ascii="仿宋" w:hAnsi="仿宋" w:eastAsia="仿宋" w:cs="仿宋"/>
                <w:color w:val="auto"/>
                <w:kern w:val="0"/>
                <w:sz w:val="21"/>
                <w:szCs w:val="21"/>
              </w:rPr>
            </w:pPr>
            <w:r>
              <w:rPr>
                <w:rFonts w:hint="eastAsia" w:ascii="仿宋" w:hAnsi="仿宋" w:eastAsia="仿宋" w:cs="仿宋"/>
                <w:color w:val="auto"/>
                <w:kern w:val="0"/>
                <w:sz w:val="21"/>
                <w:szCs w:val="21"/>
              </w:rPr>
              <w:t>国际评级</w:t>
            </w:r>
          </w:p>
          <w:p w14:paraId="16EEA9C8">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38823">
            <w:pPr>
              <w:spacing w:line="300" w:lineRule="exact"/>
              <w:jc w:val="left"/>
              <w:rPr>
                <w:rFonts w:ascii="仿宋" w:hAnsi="仿宋" w:eastAsia="仿宋" w:cs="仿宋"/>
                <w:sz w:val="21"/>
                <w:szCs w:val="21"/>
              </w:rPr>
            </w:pPr>
            <w:r>
              <w:rPr>
                <w:rFonts w:hint="eastAsia" w:ascii="仿宋" w:hAnsi="仿宋" w:eastAsia="仿宋" w:cs="仿宋"/>
                <w:sz w:val="21"/>
                <w:szCs w:val="21"/>
              </w:rPr>
              <w:t>根据供应商提供的国际三大</w:t>
            </w:r>
            <w:r>
              <w:rPr>
                <w:rFonts w:ascii="仿宋" w:hAnsi="仿宋" w:eastAsia="仿宋" w:cs="仿宋"/>
                <w:sz w:val="21"/>
                <w:szCs w:val="21"/>
              </w:rPr>
              <w:t>评级</w:t>
            </w:r>
            <w:r>
              <w:rPr>
                <w:rFonts w:hint="eastAsia" w:ascii="仿宋" w:hAnsi="仿宋" w:eastAsia="仿宋" w:cs="仿宋"/>
                <w:sz w:val="21"/>
                <w:szCs w:val="21"/>
              </w:rPr>
              <w:t>机构（标准</w:t>
            </w:r>
            <w:r>
              <w:rPr>
                <w:rFonts w:ascii="仿宋" w:hAnsi="仿宋" w:eastAsia="仿宋" w:cs="仿宋"/>
                <w:sz w:val="21"/>
                <w:szCs w:val="21"/>
              </w:rPr>
              <w:t>普尔、穆迪、惠誉国际</w:t>
            </w:r>
            <w:r>
              <w:rPr>
                <w:rFonts w:hint="eastAsia" w:ascii="仿宋" w:hAnsi="仿宋" w:eastAsia="仿宋" w:cs="仿宋"/>
                <w:sz w:val="21"/>
                <w:szCs w:val="21"/>
              </w:rPr>
              <w:t>）</w:t>
            </w:r>
            <w:r>
              <w:rPr>
                <w:rFonts w:ascii="仿宋" w:hAnsi="仿宋" w:eastAsia="仿宋" w:cs="仿宋"/>
                <w:sz w:val="21"/>
                <w:szCs w:val="21"/>
              </w:rPr>
              <w:t>出具</w:t>
            </w:r>
            <w:r>
              <w:rPr>
                <w:rFonts w:hint="eastAsia" w:ascii="仿宋" w:hAnsi="仿宋" w:eastAsia="仿宋" w:cs="仿宋"/>
                <w:sz w:val="21"/>
                <w:szCs w:val="21"/>
              </w:rPr>
              <w:t>的评级报告，202</w:t>
            </w:r>
            <w:r>
              <w:rPr>
                <w:rFonts w:hint="eastAsia" w:ascii="仿宋" w:hAnsi="仿宋" w:eastAsia="仿宋" w:cs="仿宋"/>
                <w:sz w:val="21"/>
                <w:szCs w:val="21"/>
                <w:lang w:val="en-US" w:eastAsia="zh-CN"/>
              </w:rPr>
              <w:t>5</w:t>
            </w:r>
            <w:r>
              <w:rPr>
                <w:rFonts w:hint="eastAsia" w:ascii="仿宋" w:hAnsi="仿宋" w:eastAsia="仿宋" w:cs="仿宋"/>
                <w:sz w:val="21"/>
                <w:szCs w:val="21"/>
              </w:rPr>
              <w:t>年度的</w:t>
            </w:r>
            <w:r>
              <w:rPr>
                <w:rFonts w:hint="eastAsia" w:ascii="仿宋" w:hAnsi="仿宋" w:eastAsia="仿宋" w:cs="仿宋"/>
                <w:kern w:val="0"/>
                <w:sz w:val="21"/>
                <w:szCs w:val="21"/>
              </w:rPr>
              <w:t>国际评级</w:t>
            </w:r>
            <w:r>
              <w:rPr>
                <w:rFonts w:hint="eastAsia" w:ascii="仿宋" w:hAnsi="仿宋" w:eastAsia="仿宋" w:cs="仿宋"/>
                <w:sz w:val="21"/>
                <w:szCs w:val="21"/>
              </w:rPr>
              <w:t>进行评审：</w:t>
            </w:r>
          </w:p>
          <w:p w14:paraId="0057F37C">
            <w:pPr>
              <w:adjustRightInd w:val="0"/>
              <w:snapToGrid w:val="0"/>
              <w:spacing w:line="300" w:lineRule="exact"/>
              <w:jc w:val="left"/>
              <w:rPr>
                <w:rFonts w:ascii="仿宋" w:hAnsi="仿宋" w:eastAsia="仿宋" w:cs="仿宋"/>
                <w:kern w:val="0"/>
                <w:sz w:val="21"/>
                <w:szCs w:val="21"/>
              </w:rPr>
            </w:pPr>
            <w:r>
              <w:rPr>
                <w:rFonts w:hint="eastAsia" w:ascii="仿宋" w:hAnsi="仿宋" w:eastAsia="仿宋" w:cs="仿宋"/>
                <w:kern w:val="0"/>
                <w:sz w:val="21"/>
                <w:szCs w:val="21"/>
              </w:rPr>
              <w:t>（1）供应商在评级中获得</w:t>
            </w:r>
            <w:r>
              <w:rPr>
                <w:rFonts w:ascii="仿宋" w:hAnsi="仿宋" w:eastAsia="仿宋" w:cs="仿宋"/>
                <w:kern w:val="0"/>
                <w:sz w:val="21"/>
                <w:szCs w:val="21"/>
              </w:rPr>
              <w:t>A级</w:t>
            </w:r>
            <w:r>
              <w:rPr>
                <w:rFonts w:hint="eastAsia" w:ascii="仿宋" w:hAnsi="仿宋" w:eastAsia="仿宋" w:cs="仿宋"/>
                <w:kern w:val="0"/>
                <w:sz w:val="21"/>
                <w:szCs w:val="21"/>
              </w:rPr>
              <w:t>及A级</w:t>
            </w:r>
            <w:r>
              <w:rPr>
                <w:rFonts w:ascii="仿宋" w:hAnsi="仿宋" w:eastAsia="仿宋" w:cs="仿宋"/>
                <w:kern w:val="0"/>
                <w:sz w:val="21"/>
                <w:szCs w:val="21"/>
              </w:rPr>
              <w:t>以上</w:t>
            </w:r>
            <w:r>
              <w:rPr>
                <w:rFonts w:hint="eastAsia" w:ascii="仿宋" w:hAnsi="仿宋" w:eastAsia="仿宋" w:cs="仿宋"/>
                <w:kern w:val="0"/>
                <w:sz w:val="21"/>
                <w:szCs w:val="21"/>
              </w:rPr>
              <w:t>评价的，得</w:t>
            </w:r>
            <w:r>
              <w:rPr>
                <w:rFonts w:hint="eastAsia" w:ascii="仿宋" w:hAnsi="仿宋" w:eastAsia="仿宋" w:cs="仿宋"/>
                <w:kern w:val="0"/>
                <w:sz w:val="21"/>
                <w:szCs w:val="21"/>
                <w:lang w:val="en-US" w:eastAsia="zh-CN"/>
              </w:rPr>
              <w:t>5</w:t>
            </w:r>
            <w:r>
              <w:rPr>
                <w:rFonts w:ascii="仿宋" w:hAnsi="仿宋" w:eastAsia="仿宋" w:cs="仿宋"/>
                <w:kern w:val="0"/>
                <w:sz w:val="21"/>
                <w:szCs w:val="21"/>
              </w:rPr>
              <w:t>分</w:t>
            </w:r>
          </w:p>
          <w:p w14:paraId="42B6E776">
            <w:pPr>
              <w:adjustRightInd w:val="0"/>
              <w:snapToGrid w:val="0"/>
              <w:spacing w:line="300" w:lineRule="exact"/>
              <w:jc w:val="left"/>
              <w:rPr>
                <w:rFonts w:ascii="仿宋" w:hAnsi="仿宋" w:eastAsia="仿宋" w:cs="仿宋"/>
                <w:kern w:val="0"/>
                <w:sz w:val="21"/>
                <w:szCs w:val="21"/>
              </w:rPr>
            </w:pPr>
            <w:r>
              <w:rPr>
                <w:rFonts w:hint="eastAsia" w:ascii="仿宋" w:hAnsi="仿宋" w:eastAsia="仿宋" w:cs="仿宋"/>
                <w:kern w:val="0"/>
                <w:sz w:val="21"/>
                <w:szCs w:val="21"/>
              </w:rPr>
              <w:t>（2）供应商在风险综合评级中获得</w:t>
            </w:r>
            <w:r>
              <w:rPr>
                <w:rFonts w:ascii="仿宋" w:hAnsi="仿宋" w:eastAsia="仿宋" w:cs="仿宋"/>
                <w:kern w:val="0"/>
                <w:sz w:val="21"/>
                <w:szCs w:val="21"/>
              </w:rPr>
              <w:t>B</w:t>
            </w:r>
            <w:r>
              <w:rPr>
                <w:rFonts w:hint="eastAsia" w:ascii="仿宋" w:hAnsi="仿宋" w:eastAsia="仿宋" w:cs="仿宋"/>
                <w:kern w:val="0"/>
                <w:sz w:val="21"/>
                <w:szCs w:val="21"/>
              </w:rPr>
              <w:t>级评价的，得</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分；</w:t>
            </w:r>
          </w:p>
          <w:p w14:paraId="05BF6C16">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0"/>
                <w:sz w:val="21"/>
                <w:szCs w:val="21"/>
              </w:rPr>
              <w:t>（3）其他情况或未提供证明文件者不得分。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4033D7">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提供信用评级证书或其他证明文件的复印件加盖投标人公章。未按要求提供或资料不清晰导致专家无法判定的不得分。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06613">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5分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BAF239">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AF718">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6D06980">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59101968">
            <w:pPr>
              <w:rPr>
                <w:rFonts w:hint="eastAsia" w:ascii="仿宋" w:hAnsi="仿宋" w:eastAsia="仿宋" w:cs="仿宋"/>
                <w:sz w:val="21"/>
                <w:szCs w:val="21"/>
              </w:rPr>
            </w:pPr>
          </w:p>
        </w:tc>
      </w:tr>
      <w:tr w14:paraId="0600AD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76"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965D1">
            <w:pPr>
              <w:tabs>
                <w:tab w:val="left" w:pos="42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5CFE98">
            <w:pPr>
              <w:widowControl w:val="0"/>
              <w:tabs>
                <w:tab w:val="left" w:pos="42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合规经营</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D6544">
            <w:pPr>
              <w:widowControl w:val="0"/>
              <w:numPr>
                <w:ilvl w:val="0"/>
                <w:numId w:val="1"/>
              </w:numPr>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近 3 年无违法违规、行政处罚记录，得3分；每有一个记录扣1.5分，最多扣3分；</w:t>
            </w:r>
          </w:p>
          <w:p w14:paraId="0DD316C5">
            <w:pPr>
              <w:widowControl w:val="0"/>
              <w:numPr>
                <w:ilvl w:val="0"/>
                <w:numId w:val="1"/>
              </w:numPr>
              <w:tabs>
                <w:tab w:val="left" w:pos="420"/>
                <w:tab w:val="left" w:pos="840"/>
                <w:tab w:val="left" w:pos="1260"/>
              </w:tabs>
              <w:spacing w:before="0" w:line="20" w:lineRule="atLeast"/>
              <w:jc w:val="left"/>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2025年度亿元保费投诉量低于0.5件/亿元，得2分。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DA54FE">
            <w:pPr>
              <w:widowControl w:val="0"/>
              <w:tabs>
                <w:tab w:val="left" w:pos="420"/>
                <w:tab w:val="left" w:pos="840"/>
                <w:tab w:val="left" w:pos="126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提供真实的证明文件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79595">
            <w:pPr>
              <w:widowControl w:val="0"/>
              <w:tabs>
                <w:tab w:val="left" w:pos="420"/>
                <w:tab w:val="left" w:pos="840"/>
                <w:tab w:val="left" w:pos="126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5分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846875">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BB04B">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7028AB5">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4063A46">
            <w:pPr>
              <w:rPr>
                <w:rFonts w:hint="eastAsia" w:ascii="仿宋" w:hAnsi="仿宋" w:eastAsia="仿宋" w:cs="仿宋"/>
                <w:sz w:val="21"/>
                <w:szCs w:val="21"/>
              </w:rPr>
            </w:pPr>
          </w:p>
        </w:tc>
      </w:tr>
      <w:tr w14:paraId="6972A4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9BAA7">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DF5FCC">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保险业绩</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27ADE5">
            <w:pPr>
              <w:widowControl w:val="0"/>
              <w:tabs>
                <w:tab w:val="left" w:pos="420"/>
                <w:tab w:val="left" w:pos="840"/>
                <w:tab w:val="left" w:pos="1260"/>
              </w:tabs>
              <w:spacing w:before="0" w:line="20" w:lineRule="atLeast"/>
              <w:jc w:val="left"/>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近</w:t>
            </w:r>
            <w:r>
              <w:rPr>
                <w:rFonts w:hint="eastAsia" w:ascii="仿宋" w:hAnsi="仿宋" w:eastAsia="仿宋" w:cs="仿宋"/>
                <w:kern w:val="2"/>
                <w:sz w:val="21"/>
                <w:szCs w:val="21"/>
                <w:u w:color="000000"/>
                <w:lang w:val="en-US" w:eastAsia="zh-CN"/>
              </w:rPr>
              <w:t>三</w:t>
            </w:r>
            <w:r>
              <w:rPr>
                <w:rFonts w:hint="eastAsia" w:ascii="仿宋" w:hAnsi="仿宋" w:eastAsia="仿宋" w:cs="仿宋"/>
                <w:kern w:val="2"/>
                <w:sz w:val="21"/>
                <w:szCs w:val="21"/>
                <w:u w:color="000000"/>
                <w:lang w:eastAsia="zh-CN"/>
              </w:rPr>
              <w:t>年（合同公告日倒算）响应单位的物业财产保险中，单一保单保额大于</w:t>
            </w:r>
            <w:r>
              <w:rPr>
                <w:rFonts w:hint="eastAsia" w:ascii="仿宋" w:hAnsi="仿宋" w:eastAsia="仿宋" w:cs="仿宋"/>
                <w:kern w:val="2"/>
                <w:sz w:val="21"/>
                <w:szCs w:val="21"/>
                <w:u w:color="000000"/>
                <w:lang w:val="en-US" w:eastAsia="zh-CN"/>
              </w:rPr>
              <w:t>50亿元的业绩（同一项目视同一个业绩），每有1个业绩得2分， 最高得10分。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51892">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提供保单或合同，加盖公章。</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FA3B1">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10分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07933">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8D4005">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A6C2D03">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A8E64E8">
            <w:pPr>
              <w:rPr>
                <w:rFonts w:hint="eastAsia" w:ascii="仿宋" w:hAnsi="仿宋" w:eastAsia="仿宋" w:cs="仿宋"/>
                <w:sz w:val="21"/>
                <w:szCs w:val="21"/>
              </w:rPr>
            </w:pPr>
          </w:p>
        </w:tc>
      </w:tr>
      <w:tr w14:paraId="1AACB3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14"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87128">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283D33">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保险偿付能力</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4AD4B6">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投标人（如投标人为分公司的，则以总公司的核心偿付能力充足率为准）2024年第四季度至2025年第三季度的核心偿付能力充足率情况：</w:t>
            </w:r>
          </w:p>
          <w:p w14:paraId="128F51B4">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1、核心偿付能力充足率≥200%，得15分；</w:t>
            </w:r>
          </w:p>
          <w:p w14:paraId="5FF6BA86">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2、170%≤核心偿付能力充足率＜200%，得9分；</w:t>
            </w:r>
          </w:p>
          <w:p w14:paraId="7344CE42">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3、100%≤核心偿付能力充足率＜170%，得6分；</w:t>
            </w:r>
          </w:p>
          <w:p w14:paraId="5B5C2C0A">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4、其他情况不得分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9738A">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提供偿付能力证明</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71EF7A">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15分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D79633">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B9ACF6">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8C30BAB">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F51D8D4">
            <w:pPr>
              <w:rPr>
                <w:rFonts w:hint="eastAsia" w:ascii="仿宋" w:hAnsi="仿宋" w:eastAsia="仿宋" w:cs="仿宋"/>
                <w:sz w:val="21"/>
                <w:szCs w:val="21"/>
              </w:rPr>
            </w:pPr>
          </w:p>
        </w:tc>
      </w:tr>
      <w:tr w14:paraId="2EA9A2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95"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94D2B">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F800EE">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eastAsia="zh-CN"/>
              </w:rPr>
            </w:pPr>
            <w:r>
              <w:rPr>
                <w:rFonts w:hint="eastAsia" w:ascii="仿宋" w:hAnsi="仿宋" w:eastAsia="仿宋" w:cs="仿宋"/>
                <w:kern w:val="2"/>
                <w:sz w:val="21"/>
                <w:szCs w:val="21"/>
                <w:u w:color="000000"/>
                <w:lang w:val="en-US" w:eastAsia="zh-CN"/>
              </w:rPr>
              <w:t>风险综合评级</w:t>
            </w:r>
          </w:p>
          <w:p w14:paraId="12418A35">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0AC4AD">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最新一期风险综合评级为A类及以上得3分；B类得1分；C类及以下0分。</w:t>
            </w:r>
          </w:p>
          <w:p w14:paraId="63B0196F">
            <w:pPr>
              <w:widowControl w:val="0"/>
              <w:tabs>
                <w:tab w:val="left" w:pos="420"/>
                <w:tab w:val="left" w:pos="840"/>
                <w:tab w:val="left" w:pos="1260"/>
              </w:tabs>
              <w:spacing w:before="0" w:line="20" w:lineRule="atLeast"/>
              <w:jc w:val="left"/>
              <w:rPr>
                <w:rFonts w:hint="default" w:ascii="仿宋" w:hAnsi="仿宋" w:eastAsia="仿宋" w:cs="仿宋"/>
                <w:kern w:val="2"/>
                <w:sz w:val="21"/>
                <w:szCs w:val="21"/>
                <w:u w:color="000000"/>
                <w:lang w:val="en-US" w:eastAsia="zh-CN"/>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CB50EF">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提供银保监会或行业协会发布的评级结果截图加盖公章</w:t>
            </w:r>
          </w:p>
          <w:p w14:paraId="6DC42619">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zh-TW" w:eastAsia="zh-TW"/>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A8CED3">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3分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AAB34">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DDDB3F">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F96E1AA">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4E3A570">
            <w:pPr>
              <w:rPr>
                <w:rFonts w:hint="eastAsia" w:ascii="仿宋" w:hAnsi="仿宋" w:eastAsia="仿宋" w:cs="仿宋"/>
                <w:sz w:val="21"/>
                <w:szCs w:val="21"/>
              </w:rPr>
            </w:pPr>
          </w:p>
        </w:tc>
      </w:tr>
      <w:tr w14:paraId="015C06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32"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87321">
            <w:pPr>
              <w:widowControl w:val="0"/>
              <w:tabs>
                <w:tab w:val="left" w:pos="420"/>
                <w:tab w:val="left" w:pos="840"/>
                <w:tab w:val="left" w:pos="126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2D78C5">
            <w:pPr>
              <w:widowControl w:val="0"/>
              <w:tabs>
                <w:tab w:val="left" w:pos="420"/>
                <w:tab w:val="left" w:pos="840"/>
                <w:tab w:val="left" w:pos="126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保单扩展条款</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7AD6E5">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响应单位增加有利于采购人的扩展条款：</w:t>
            </w:r>
          </w:p>
          <w:p w14:paraId="549346E2">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1、有扩展玻璃破碎条款、地震损失条款、自动喷淋水拓展条款、水箱及水管破损拓展条款的，得4分；</w:t>
            </w:r>
          </w:p>
          <w:p w14:paraId="617F2F6E">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2、其他扩展条款由供应商自主提供，由评审人员根据响应单位拓展条款方案进行评审，</w:t>
            </w:r>
          </w:p>
          <w:p w14:paraId="7B9D460B">
            <w:pPr>
              <w:widowControl w:val="0"/>
              <w:tabs>
                <w:tab w:val="left" w:pos="420"/>
                <w:tab w:val="left" w:pos="840"/>
                <w:tab w:val="left" w:pos="1260"/>
              </w:tabs>
              <w:spacing w:before="0" w:line="20" w:lineRule="atLeast"/>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额外增加有利于采购人的扩展条款，每增加1条得0.5分，最高得6分。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19C22">
            <w:pPr>
              <w:widowControl w:val="0"/>
              <w:tabs>
                <w:tab w:val="left" w:pos="420"/>
                <w:tab w:val="left" w:pos="840"/>
                <w:tab w:val="left" w:pos="126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提供拓展条款方案</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12134">
            <w:pPr>
              <w:widowControl w:val="0"/>
              <w:tabs>
                <w:tab w:val="left" w:pos="420"/>
                <w:tab w:val="left" w:pos="840"/>
                <w:tab w:val="left" w:pos="1260"/>
              </w:tabs>
              <w:spacing w:before="0" w:line="20" w:lineRule="atLeast"/>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10分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5AEF12">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9DE658">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5B159F99">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9029FC1">
            <w:pPr>
              <w:rPr>
                <w:rFonts w:hint="eastAsia" w:ascii="仿宋" w:hAnsi="仿宋" w:eastAsia="仿宋" w:cs="仿宋"/>
                <w:sz w:val="21"/>
                <w:szCs w:val="21"/>
              </w:rPr>
            </w:pPr>
          </w:p>
        </w:tc>
      </w:tr>
      <w:tr w14:paraId="1081C8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54"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86499C">
            <w:pPr>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858A12">
            <w:pPr>
              <w:widowControl w:val="0"/>
              <w:tabs>
                <w:tab w:val="left" w:pos="420"/>
              </w:tabs>
              <w:spacing w:before="0" w:line="20" w:lineRule="atLeast"/>
              <w:jc w:val="center"/>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保险理赔服务方案</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BC1067">
            <w:pPr>
              <w:keepNext w:val="0"/>
              <w:keepLines w:val="0"/>
              <w:widowControl/>
              <w:suppressLineNumbers w:val="0"/>
              <w:jc w:val="left"/>
              <w:rPr>
                <w:rFonts w:hint="eastAsia" w:ascii="仿宋" w:hAnsi="仿宋" w:eastAsia="仿宋" w:cs="仿宋"/>
                <w:kern w:val="2"/>
                <w:sz w:val="21"/>
                <w:szCs w:val="21"/>
                <w:u w:color="000000"/>
                <w:lang w:eastAsia="zh-CN"/>
              </w:rPr>
            </w:pPr>
            <w:r>
              <w:rPr>
                <w:rFonts w:hint="eastAsia" w:ascii="仿宋" w:hAnsi="仿宋" w:eastAsia="仿宋" w:cs="仿宋"/>
                <w:kern w:val="2"/>
                <w:sz w:val="21"/>
                <w:szCs w:val="21"/>
                <w:u w:color="000000"/>
                <w:lang w:eastAsia="zh-CN"/>
              </w:rPr>
              <w:t>综合比较投标人的项目服务方案，横向对比保险理赔报案及理赔方案（含流程）、勘察定损方案（幕墙玻璃定损方案）、定损及理赔费用拨付的时效性相关承诺</w:t>
            </w:r>
            <w:r>
              <w:rPr>
                <w:rFonts w:hint="eastAsia" w:ascii="仿宋" w:hAnsi="仿宋" w:eastAsia="仿宋" w:cs="仿宋"/>
                <w:kern w:val="2"/>
                <w:sz w:val="21"/>
                <w:szCs w:val="21"/>
                <w:u w:color="000000"/>
                <w:lang w:val="en-US" w:eastAsia="zh-CN"/>
              </w:rPr>
              <w:t>(包括但不限于特色理赔服务、绿色通道、预付赔款等增值服务)</w:t>
            </w:r>
            <w:r>
              <w:rPr>
                <w:rFonts w:hint="eastAsia" w:ascii="仿宋" w:hAnsi="仿宋" w:eastAsia="仿宋" w:cs="仿宋"/>
                <w:kern w:val="2"/>
                <w:sz w:val="21"/>
                <w:szCs w:val="21"/>
                <w:u w:color="000000"/>
                <w:lang w:eastAsia="zh-CN"/>
              </w:rPr>
              <w:t>等进行打分：</w:t>
            </w:r>
          </w:p>
          <w:p w14:paraId="45748426">
            <w:pPr>
              <w:keepNext w:val="0"/>
              <w:keepLines w:val="0"/>
              <w:widowControl/>
              <w:suppressLineNumbers w:val="0"/>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优：方案及流程齐全，符合项目实际，可行性强，时效快、</w:t>
            </w:r>
            <w:r>
              <w:rPr>
                <w:rFonts w:hint="eastAsia" w:ascii="仿宋" w:hAnsi="仿宋" w:eastAsia="仿宋" w:cs="仿宋"/>
                <w:kern w:val="2"/>
                <w:sz w:val="21"/>
                <w:szCs w:val="21"/>
                <w:u w:color="000000"/>
                <w:lang w:val="en-US" w:eastAsia="zh-CN"/>
              </w:rPr>
              <w:t>服务性强</w:t>
            </w:r>
            <w:r>
              <w:rPr>
                <w:rFonts w:hint="eastAsia" w:ascii="仿宋" w:hAnsi="仿宋" w:eastAsia="仿宋" w:cs="仿宋"/>
                <w:kern w:val="2"/>
                <w:sz w:val="21"/>
                <w:szCs w:val="21"/>
                <w:u w:color="000000"/>
                <w:lang w:eastAsia="zh-CN"/>
              </w:rPr>
              <w:t>，得</w:t>
            </w:r>
            <w:r>
              <w:rPr>
                <w:rFonts w:hint="eastAsia" w:ascii="仿宋" w:hAnsi="仿宋" w:eastAsia="仿宋" w:cs="仿宋"/>
                <w:kern w:val="2"/>
                <w:sz w:val="21"/>
                <w:szCs w:val="21"/>
                <w:u w:color="000000"/>
                <w:lang w:val="en-US" w:eastAsia="zh-CN"/>
              </w:rPr>
              <w:t>11-15分；</w:t>
            </w:r>
          </w:p>
          <w:p w14:paraId="11F85D3E">
            <w:pPr>
              <w:keepNext w:val="0"/>
              <w:keepLines w:val="0"/>
              <w:widowControl/>
              <w:suppressLineNumbers w:val="0"/>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一般：内容完整，较符合实际，可行性一般、服务一般，得</w:t>
            </w:r>
            <w:r>
              <w:rPr>
                <w:rFonts w:hint="eastAsia" w:ascii="仿宋" w:hAnsi="仿宋" w:eastAsia="仿宋" w:cs="仿宋"/>
                <w:kern w:val="2"/>
                <w:sz w:val="21"/>
                <w:szCs w:val="21"/>
                <w:u w:color="000000"/>
                <w:lang w:val="en-US" w:eastAsia="zh-CN"/>
              </w:rPr>
              <w:t>6-10分；</w:t>
            </w:r>
          </w:p>
          <w:p w14:paraId="2541A02A">
            <w:pPr>
              <w:keepNext w:val="0"/>
              <w:keepLines w:val="0"/>
              <w:widowControl/>
              <w:suppressLineNumbers w:val="0"/>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差：未提供资料或提供的内容不完整，针对性差，得0-5分；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B5D6D4">
            <w:pPr>
              <w:keepNext w:val="0"/>
              <w:keepLines w:val="0"/>
              <w:widowControl/>
              <w:suppressLineNumbers w:val="0"/>
              <w:jc w:val="left"/>
              <w:rPr>
                <w:rFonts w:hint="eastAsia" w:ascii="仿宋" w:hAnsi="仿宋" w:eastAsia="仿宋" w:cs="仿宋"/>
                <w:kern w:val="2"/>
                <w:sz w:val="21"/>
                <w:szCs w:val="21"/>
                <w:u w:color="000000"/>
                <w:lang w:eastAsia="zh-CN"/>
              </w:rPr>
            </w:pPr>
            <w:r>
              <w:rPr>
                <w:rFonts w:hint="eastAsia" w:ascii="仿宋" w:hAnsi="仿宋" w:eastAsia="仿宋" w:cs="仿宋"/>
                <w:kern w:val="2"/>
                <w:sz w:val="21"/>
                <w:szCs w:val="21"/>
                <w:u w:color="000000"/>
                <w:lang w:eastAsia="zh-CN"/>
              </w:rPr>
              <w:t>提供项目相关服务方案及响应承诺</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344C43">
            <w:pPr>
              <w:keepNext w:val="0"/>
              <w:keepLines w:val="0"/>
              <w:widowControl/>
              <w:suppressLineNumbers w:val="0"/>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15分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502552">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2C5053">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31D5C39">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20DB970">
            <w:pPr>
              <w:rPr>
                <w:rFonts w:hint="eastAsia" w:ascii="仿宋" w:hAnsi="仿宋" w:eastAsia="仿宋" w:cs="仿宋"/>
                <w:sz w:val="21"/>
                <w:szCs w:val="21"/>
              </w:rPr>
            </w:pPr>
          </w:p>
        </w:tc>
      </w:tr>
      <w:tr w14:paraId="0396F0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4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4F574">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EED6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eastAsia="zh-CN"/>
              </w:rPr>
              <w:t>免赔额</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BC273">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一、一般事故免赔额部分</w:t>
            </w:r>
          </w:p>
          <w:p w14:paraId="5C5AE396">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w:t>
            </w:r>
            <w:r>
              <w:rPr>
                <w:rFonts w:hint="eastAsia" w:ascii="仿宋" w:hAnsi="仿宋" w:eastAsia="仿宋" w:cs="仿宋"/>
                <w:kern w:val="2"/>
                <w:sz w:val="21"/>
                <w:szCs w:val="21"/>
                <w:u w:color="000000"/>
                <w:lang w:eastAsia="zh-CN"/>
              </w:rPr>
              <w:t>单次事故</w:t>
            </w:r>
            <w:r>
              <w:rPr>
                <w:rFonts w:hint="eastAsia" w:ascii="仿宋" w:hAnsi="仿宋" w:eastAsia="仿宋" w:cs="仿宋"/>
                <w:kern w:val="2"/>
                <w:sz w:val="21"/>
                <w:szCs w:val="21"/>
                <w:u w:color="000000"/>
                <w:lang w:val="en-US" w:eastAsia="zh-CN"/>
              </w:rPr>
              <w:t>免赔额最高</w:t>
            </w:r>
            <w:r>
              <w:rPr>
                <w:rFonts w:hint="eastAsia" w:ascii="仿宋" w:hAnsi="仿宋" w:eastAsia="仿宋" w:cs="仿宋"/>
                <w:kern w:val="2"/>
                <w:sz w:val="21"/>
                <w:szCs w:val="21"/>
                <w:u w:color="000000"/>
                <w:lang w:eastAsia="zh-CN"/>
              </w:rPr>
              <w:t>为</w:t>
            </w:r>
            <w:r>
              <w:rPr>
                <w:rFonts w:hint="eastAsia" w:ascii="仿宋" w:hAnsi="仿宋" w:eastAsia="仿宋" w:cs="仿宋"/>
                <w:kern w:val="2"/>
                <w:sz w:val="21"/>
                <w:szCs w:val="21"/>
                <w:u w:color="000000"/>
                <w:lang w:val="en-US" w:eastAsia="zh-CN"/>
              </w:rPr>
              <w:t>1000元或损失金额的5%（以较高值为准），满足该条件的，得3分，不满足该条款，不得分。</w:t>
            </w:r>
          </w:p>
          <w:p w14:paraId="3084324D">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2、免赔额低于前款条件的，每降低10%，加0.5分，最高加2分。</w:t>
            </w:r>
          </w:p>
          <w:p w14:paraId="2C9A1674">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二、地震免赔额部分</w:t>
            </w:r>
          </w:p>
          <w:p w14:paraId="60A11C9F">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1、有地震拓展条款，且地震单次事故免赔额最高为 200000 元或损失金额的 20%，两者以高者为准，满足该条件的，得3分；</w:t>
            </w:r>
          </w:p>
          <w:p w14:paraId="13A08B8D">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2、免赔额低于前款条件的，每降低10%，加0.5分，最高加2分。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E884A">
            <w:pPr>
              <w:widowControl w:val="0"/>
              <w:tabs>
                <w:tab w:val="left" w:pos="420"/>
                <w:tab w:val="left" w:pos="840"/>
                <w:tab w:val="left" w:pos="1260"/>
              </w:tabs>
              <w:spacing w:before="0" w:line="20" w:lineRule="atLeast"/>
              <w:jc w:val="center"/>
              <w:rPr>
                <w:rFonts w:hint="eastAsia" w:ascii="仿宋" w:hAnsi="仿宋" w:eastAsia="仿宋" w:cs="仿宋"/>
                <w:sz w:val="21"/>
                <w:szCs w:val="21"/>
                <w:lang w:eastAsia="zh-CN"/>
              </w:rPr>
            </w:pPr>
            <w:r>
              <w:rPr>
                <w:rFonts w:hint="eastAsia" w:ascii="仿宋" w:hAnsi="仿宋" w:eastAsia="仿宋" w:cs="仿宋"/>
                <w:sz w:val="21"/>
                <w:szCs w:val="21"/>
                <w:u w:color="000000"/>
                <w:lang w:eastAsia="zh-CN"/>
              </w:rPr>
              <w:t>提供免赔额方案</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4FA0C">
            <w:pPr>
              <w:widowControl w:val="0"/>
              <w:tabs>
                <w:tab w:val="left" w:pos="420"/>
              </w:tabs>
              <w:spacing w:before="0" w:line="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10分</w:t>
            </w:r>
          </w:p>
          <w:p w14:paraId="57C96E84">
            <w:pPr>
              <w:widowControl w:val="0"/>
              <w:tabs>
                <w:tab w:val="left" w:pos="420"/>
              </w:tabs>
              <w:spacing w:before="0" w:line="20" w:lineRule="atLeast"/>
              <w:jc w:val="center"/>
              <w:rPr>
                <w:rFonts w:hint="eastAsia" w:ascii="仿宋" w:hAnsi="仿宋" w:eastAsia="仿宋" w:cs="仿宋"/>
                <w:sz w:val="21"/>
                <w:szCs w:val="21"/>
                <w:lang w:val="en-US" w:eastAsia="zh-CN"/>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2F942">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7D616D">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63F2090">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4CC0D91">
            <w:pPr>
              <w:rPr>
                <w:rFonts w:hint="eastAsia" w:ascii="仿宋" w:hAnsi="仿宋" w:eastAsia="仿宋" w:cs="仿宋"/>
                <w:sz w:val="21"/>
                <w:szCs w:val="21"/>
              </w:rPr>
            </w:pPr>
          </w:p>
        </w:tc>
      </w:tr>
      <w:tr w14:paraId="596A67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56"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4BA501">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99F8E">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增值服务</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13503">
            <w:pPr>
              <w:widowControl w:val="0"/>
              <w:numPr>
                <w:ilvl w:val="0"/>
                <w:numId w:val="2"/>
              </w:numPr>
              <w:tabs>
                <w:tab w:val="left" w:pos="420"/>
                <w:tab w:val="left" w:pos="840"/>
                <w:tab w:val="left" w:pos="1260"/>
                <w:tab w:val="left" w:pos="1680"/>
                <w:tab w:val="left" w:pos="2100"/>
                <w:tab w:val="left" w:pos="2520"/>
                <w:tab w:val="left" w:pos="2940"/>
                <w:tab w:val="left" w:pos="3360"/>
              </w:tabs>
              <w:spacing w:before="0" w:line="360" w:lineRule="auto"/>
              <w:jc w:val="left"/>
              <w:rPr>
                <w:rFonts w:hint="eastAsia"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投标人提供风险排查服务，并出具风险排查方案；</w:t>
            </w:r>
          </w:p>
          <w:p w14:paraId="20D5F809">
            <w:pPr>
              <w:widowControl w:val="0"/>
              <w:numPr>
                <w:ilvl w:val="0"/>
                <w:numId w:val="2"/>
              </w:numPr>
              <w:tabs>
                <w:tab w:val="left" w:pos="420"/>
                <w:tab w:val="left" w:pos="840"/>
                <w:tab w:val="left" w:pos="1260"/>
                <w:tab w:val="left" w:pos="1680"/>
                <w:tab w:val="left" w:pos="2100"/>
                <w:tab w:val="left" w:pos="2520"/>
                <w:tab w:val="left" w:pos="2940"/>
                <w:tab w:val="left" w:pos="3360"/>
              </w:tabs>
              <w:spacing w:before="0" w:line="360" w:lineRule="auto"/>
              <w:jc w:val="left"/>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投标人提供安全风险培训服务，并出具培训方案。横向对比投标人提供的服务和方案.</w:t>
            </w:r>
            <w:r>
              <w:rPr>
                <w:rFonts w:hint="eastAsia" w:ascii="仿宋" w:hAnsi="仿宋" w:eastAsia="仿宋" w:cs="仿宋"/>
                <w:color w:val="auto"/>
                <w:sz w:val="21"/>
                <w:szCs w:val="21"/>
                <w:highlight w:val="none"/>
                <w:lang w:eastAsia="zh-CN"/>
              </w:rPr>
              <w:t>优</w:t>
            </w:r>
            <w:r>
              <w:rPr>
                <w:rFonts w:hint="eastAsia" w:ascii="仿宋" w:hAnsi="仿宋" w:eastAsia="仿宋" w:cs="仿宋"/>
                <w:kern w:val="2"/>
                <w:sz w:val="21"/>
                <w:szCs w:val="21"/>
                <w:u w:color="000000"/>
                <w:lang w:val="en-US" w:eastAsia="zh-CN"/>
              </w:rPr>
              <w:t>：得2分；中：得1分；差：不得分。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6D3DD1">
            <w:pPr>
              <w:widowControl w:val="0"/>
              <w:tabs>
                <w:tab w:val="left" w:pos="420"/>
                <w:tab w:val="left" w:pos="840"/>
                <w:tab w:val="left" w:pos="1260"/>
              </w:tabs>
              <w:spacing w:before="0" w:line="20" w:lineRule="atLeast"/>
              <w:jc w:val="center"/>
              <w:rPr>
                <w:rFonts w:hint="default" w:ascii="仿宋" w:hAnsi="仿宋" w:eastAsia="仿宋" w:cs="仿宋"/>
                <w:sz w:val="21"/>
                <w:szCs w:val="21"/>
                <w:u w:color="000000"/>
                <w:lang w:val="en-US" w:eastAsia="zh-CN"/>
              </w:rPr>
            </w:pPr>
            <w:r>
              <w:rPr>
                <w:rFonts w:hint="eastAsia" w:ascii="仿宋" w:hAnsi="仿宋" w:eastAsia="仿宋" w:cs="仿宋"/>
                <w:sz w:val="21"/>
                <w:szCs w:val="21"/>
                <w:u w:color="000000"/>
                <w:lang w:val="en-US" w:eastAsia="zh-CN"/>
              </w:rPr>
              <w:t>提供方案</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E5B9E">
            <w:pPr>
              <w:widowControl w:val="0"/>
              <w:tabs>
                <w:tab w:val="left" w:pos="420"/>
              </w:tabs>
              <w:spacing w:before="0" w:line="20" w:lineRule="atLeas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2分</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B0747">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B5770">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4E96DC">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DBFDCBE">
            <w:pPr>
              <w:rPr>
                <w:rFonts w:hint="eastAsia" w:ascii="仿宋" w:hAnsi="仿宋" w:eastAsia="仿宋" w:cs="仿宋"/>
                <w:sz w:val="21"/>
                <w:szCs w:val="21"/>
              </w:rPr>
            </w:pPr>
          </w:p>
        </w:tc>
      </w:tr>
      <w:tr w14:paraId="62AA25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02"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3E6FFE">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仿宋" w:hAnsi="仿宋" w:eastAsia="仿宋" w:cs="仿宋"/>
                <w:kern w:val="2"/>
                <w:sz w:val="21"/>
                <w:szCs w:val="21"/>
                <w:u w:color="000000"/>
                <w:lang w:val="en-US" w:eastAsia="zh-CN"/>
              </w:rPr>
            </w:pPr>
            <w:r>
              <w:rPr>
                <w:rFonts w:hint="eastAsia" w:ascii="仿宋" w:hAnsi="仿宋" w:eastAsia="仿宋" w:cs="仿宋"/>
                <w:kern w:val="2"/>
                <w:sz w:val="21"/>
                <w:szCs w:val="21"/>
                <w:u w:color="000000"/>
                <w:lang w:val="en-US" w:eastAsia="zh-CN"/>
              </w:rPr>
              <w:t>11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7E3C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仿宋" w:hAnsi="仿宋" w:eastAsia="仿宋" w:cs="仿宋"/>
                <w:kern w:val="2"/>
                <w:sz w:val="21"/>
                <w:szCs w:val="21"/>
                <w:u w:color="000000"/>
                <w:lang w:eastAsia="zh-CN"/>
              </w:rPr>
            </w:pPr>
            <w:r>
              <w:rPr>
                <w:rFonts w:hint="eastAsia" w:ascii="仿宋" w:hAnsi="仿宋" w:eastAsia="仿宋" w:cs="仿宋"/>
                <w:sz w:val="21"/>
                <w:szCs w:val="21"/>
                <w:highlight w:val="none"/>
                <w:lang w:eastAsia="zh-CN"/>
              </w:rPr>
              <w:t>服务便利性</w:t>
            </w:r>
          </w:p>
        </w:tc>
        <w:tc>
          <w:tcPr>
            <w:tcW w:w="42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1F03B">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1、投标人</w:t>
            </w:r>
            <w:r>
              <w:rPr>
                <w:rFonts w:hint="eastAsia" w:ascii="仿宋" w:hAnsi="仿宋" w:eastAsia="仿宋" w:cs="仿宋"/>
                <w:color w:val="auto"/>
                <w:sz w:val="21"/>
                <w:szCs w:val="21"/>
                <w:highlight w:val="none"/>
                <w:lang w:eastAsia="zh-CN"/>
              </w:rPr>
              <w:t>在龙岗区设有固定营业网点、全职</w:t>
            </w:r>
            <w:r>
              <w:rPr>
                <w:rFonts w:hint="eastAsia" w:ascii="仿宋" w:hAnsi="仿宋" w:eastAsia="仿宋" w:cs="仿宋"/>
                <w:color w:val="auto"/>
                <w:sz w:val="21"/>
                <w:szCs w:val="21"/>
                <w:highlight w:val="none"/>
                <w:lang w:val="en-US" w:eastAsia="zh-CN"/>
              </w:rPr>
              <w:t>定损</w:t>
            </w:r>
            <w:r>
              <w:rPr>
                <w:rFonts w:hint="eastAsia" w:ascii="仿宋" w:hAnsi="仿宋" w:eastAsia="仿宋" w:cs="仿宋"/>
                <w:color w:val="auto"/>
                <w:sz w:val="21"/>
                <w:szCs w:val="21"/>
                <w:highlight w:val="none"/>
                <w:lang w:eastAsia="zh-CN"/>
              </w:rPr>
              <w:t>理赔团队</w:t>
            </w:r>
            <w:r>
              <w:rPr>
                <w:rFonts w:hint="eastAsia" w:ascii="仿宋" w:hAnsi="仿宋" w:eastAsia="仿宋" w:cs="仿宋"/>
                <w:color w:val="auto"/>
                <w:sz w:val="21"/>
                <w:szCs w:val="21"/>
                <w:highlight w:val="none"/>
                <w:lang w:val="en-US" w:eastAsia="zh-CN"/>
              </w:rPr>
              <w:t>的，得2分。</w:t>
            </w:r>
          </w:p>
          <w:p w14:paraId="4A2A82A2">
            <w:pPr>
              <w:widowControl w:val="0"/>
              <w:tabs>
                <w:tab w:val="left" w:pos="420"/>
                <w:tab w:val="left" w:pos="840"/>
                <w:tab w:val="left" w:pos="1260"/>
                <w:tab w:val="left" w:pos="1680"/>
                <w:tab w:val="left" w:pos="2100"/>
                <w:tab w:val="left" w:pos="2520"/>
                <w:tab w:val="left" w:pos="2940"/>
                <w:tab w:val="left" w:pos="3360"/>
              </w:tabs>
              <w:spacing w:before="0" w:line="360" w:lineRule="auto"/>
              <w:jc w:val="left"/>
              <w:rPr>
                <w:rFonts w:hint="default" w:ascii="仿宋" w:hAnsi="仿宋" w:eastAsia="仿宋" w:cs="仿宋"/>
                <w:kern w:val="2"/>
                <w:sz w:val="21"/>
                <w:szCs w:val="21"/>
                <w:u w:color="000000"/>
                <w:lang w:val="en-US" w:eastAsia="zh-CN"/>
              </w:rPr>
            </w:pPr>
            <w:r>
              <w:rPr>
                <w:rFonts w:hint="eastAsia" w:ascii="仿宋" w:hAnsi="仿宋" w:eastAsia="仿宋" w:cs="仿宋"/>
                <w:color w:val="auto"/>
                <w:sz w:val="21"/>
                <w:szCs w:val="21"/>
                <w:highlight w:val="none"/>
                <w:lang w:val="en-US" w:eastAsia="zh-CN"/>
              </w:rPr>
              <w:t>2、根据</w:t>
            </w:r>
            <w:r>
              <w:rPr>
                <w:rFonts w:hint="eastAsia" w:ascii="仿宋" w:hAnsi="仿宋" w:eastAsia="仿宋" w:cs="仿宋"/>
                <w:color w:val="auto"/>
                <w:sz w:val="21"/>
                <w:szCs w:val="21"/>
                <w:highlight w:val="none"/>
                <w:lang w:eastAsia="zh-CN"/>
              </w:rPr>
              <w:t>投标人承诺</w:t>
            </w:r>
            <w:r>
              <w:rPr>
                <w:rFonts w:hint="eastAsia" w:ascii="仿宋" w:hAnsi="仿宋" w:eastAsia="仿宋" w:cs="仿宋"/>
                <w:color w:val="auto"/>
                <w:sz w:val="21"/>
                <w:szCs w:val="21"/>
                <w:highlight w:val="none"/>
                <w:lang w:val="en-US" w:eastAsia="zh-CN"/>
              </w:rPr>
              <w:t>在保险范围内的任一</w:t>
            </w:r>
            <w:r>
              <w:rPr>
                <w:rFonts w:hint="eastAsia" w:ascii="仿宋" w:hAnsi="仿宋" w:eastAsia="仿宋" w:cs="仿宋"/>
                <w:color w:val="auto"/>
                <w:sz w:val="21"/>
                <w:szCs w:val="21"/>
                <w:highlight w:val="none"/>
                <w:lang w:eastAsia="zh-CN"/>
              </w:rPr>
              <w:t>园区报案后</w:t>
            </w:r>
            <w:r>
              <w:rPr>
                <w:rFonts w:hint="eastAsia" w:ascii="仿宋" w:hAnsi="仿宋" w:eastAsia="仿宋" w:cs="仿宋"/>
                <w:color w:val="auto"/>
                <w:sz w:val="21"/>
                <w:szCs w:val="21"/>
                <w:highlight w:val="none"/>
                <w:lang w:val="en-US" w:eastAsia="zh-CN"/>
              </w:rPr>
              <w:t>的响应时间及到场查验定损时效，从时效性进行横向对比</w:t>
            </w:r>
            <w:r>
              <w:rPr>
                <w:rFonts w:hint="eastAsia" w:ascii="仿宋" w:hAnsi="仿宋" w:eastAsia="仿宋" w:cs="仿宋"/>
                <w:color w:val="auto"/>
                <w:sz w:val="21"/>
                <w:szCs w:val="21"/>
                <w:highlight w:val="none"/>
                <w:lang w:eastAsia="zh-CN"/>
              </w:rPr>
              <w:t>，</w:t>
            </w:r>
            <w:r>
              <w:rPr>
                <w:rFonts w:hint="eastAsia" w:ascii="仿宋" w:hAnsi="仿宋" w:eastAsia="仿宋" w:cs="仿宋"/>
                <w:kern w:val="2"/>
                <w:sz w:val="21"/>
                <w:szCs w:val="21"/>
                <w:u w:color="000000"/>
                <w:lang w:val="en-US" w:eastAsia="zh-CN"/>
              </w:rPr>
              <w:t>优：得3分；中：得1分；差：不得分。</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CD1C7B">
            <w:pPr>
              <w:widowControl w:val="0"/>
              <w:tabs>
                <w:tab w:val="left" w:pos="420"/>
                <w:tab w:val="left" w:pos="840"/>
                <w:tab w:val="left" w:pos="1260"/>
              </w:tabs>
              <w:spacing w:before="0" w:line="20" w:lineRule="atLeast"/>
              <w:jc w:val="center"/>
              <w:rPr>
                <w:rFonts w:hint="default" w:ascii="仿宋" w:hAnsi="仿宋" w:eastAsia="仿宋" w:cs="仿宋"/>
                <w:sz w:val="21"/>
                <w:szCs w:val="21"/>
                <w:u w:color="000000"/>
                <w:lang w:val="en-US" w:eastAsia="zh-CN"/>
              </w:rPr>
            </w:pPr>
            <w:r>
              <w:rPr>
                <w:rFonts w:hint="eastAsia" w:ascii="仿宋" w:hAnsi="仿宋" w:eastAsia="仿宋" w:cs="仿宋"/>
                <w:sz w:val="21"/>
                <w:szCs w:val="21"/>
                <w:u w:color="000000"/>
                <w:lang w:eastAsia="zh-CN"/>
              </w:rPr>
              <w:t>提供服务团队人员信息（</w:t>
            </w:r>
            <w:r>
              <w:rPr>
                <w:rFonts w:hint="eastAsia" w:ascii="仿宋" w:hAnsi="仿宋" w:eastAsia="仿宋" w:cs="仿宋"/>
                <w:sz w:val="21"/>
                <w:szCs w:val="21"/>
                <w:u w:color="000000"/>
                <w:lang w:val="en-US" w:eastAsia="zh-CN"/>
              </w:rPr>
              <w:t>含社保</w:t>
            </w:r>
            <w:r>
              <w:rPr>
                <w:rFonts w:hint="eastAsia" w:ascii="仿宋" w:hAnsi="仿宋" w:eastAsia="仿宋" w:cs="仿宋"/>
                <w:sz w:val="21"/>
                <w:szCs w:val="21"/>
                <w:u w:color="000000"/>
                <w:lang w:eastAsia="zh-CN"/>
              </w:rPr>
              <w:t>）及</w:t>
            </w:r>
            <w:r>
              <w:rPr>
                <w:rFonts w:hint="eastAsia" w:ascii="仿宋" w:hAnsi="仿宋" w:eastAsia="仿宋" w:cs="仿宋"/>
                <w:sz w:val="21"/>
                <w:szCs w:val="21"/>
                <w:u w:color="000000"/>
                <w:lang w:val="en-US" w:eastAsia="zh-CN"/>
              </w:rPr>
              <w:t>时效性承诺</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BB283">
            <w:pPr>
              <w:widowControl w:val="0"/>
              <w:tabs>
                <w:tab w:val="left" w:pos="420"/>
              </w:tabs>
              <w:spacing w:before="0" w:line="2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5分</w:t>
            </w:r>
            <w:r>
              <w:rPr>
                <w:rFonts w:hint="eastAsia" w:ascii="仿宋" w:hAnsi="仿宋" w:eastAsia="仿宋" w:cs="仿宋"/>
                <w:sz w:val="21"/>
                <w:szCs w:val="21"/>
                <w:lang w:val="en-US" w:eastAsia="zh-CN"/>
              </w:rPr>
              <w:br w:type="textWrapping"/>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207D7">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3722F">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F7DE570">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7EFA71A">
            <w:pPr>
              <w:rPr>
                <w:rFonts w:hint="eastAsia" w:ascii="仿宋" w:hAnsi="仿宋" w:eastAsia="仿宋" w:cs="仿宋"/>
                <w:sz w:val="21"/>
                <w:szCs w:val="21"/>
              </w:rPr>
            </w:pPr>
          </w:p>
        </w:tc>
      </w:tr>
      <w:tr w14:paraId="49C829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7010" w:type="dxa"/>
            <w:gridSpan w:val="4"/>
            <w:tcBorders>
              <w:top w:val="single" w:color="000000" w:sz="4" w:space="0"/>
              <w:left w:val="single" w:color="000000" w:sz="12"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243B8B7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eastAsia" w:ascii="仿宋" w:hAnsi="仿宋" w:eastAsia="仿宋" w:cs="仿宋"/>
                <w:sz w:val="21"/>
                <w:szCs w:val="21"/>
              </w:rPr>
            </w:pPr>
            <w:r>
              <w:rPr>
                <w:rFonts w:ascii="仿宋" w:hAnsi="仿宋" w:eastAsia="仿宋" w:cs="仿宋"/>
                <w:kern w:val="2"/>
                <w:sz w:val="21"/>
                <w:szCs w:val="21"/>
                <w:u w:color="000000"/>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712F2CD8">
            <w:pPr>
              <w:tabs>
                <w:tab w:val="left" w:pos="420"/>
              </w:tabs>
              <w:spacing w:before="0" w:line="20" w:lineRule="atLeast"/>
              <w:jc w:val="center"/>
              <w:rPr>
                <w:rFonts w:hint="eastAsia" w:ascii="仿宋" w:hAnsi="仿宋" w:eastAsia="仿宋" w:cs="仿宋"/>
                <w:sz w:val="21"/>
                <w:szCs w:val="21"/>
              </w:rPr>
            </w:pPr>
            <w:r>
              <w:rPr>
                <w:rFonts w:ascii="仿宋" w:hAnsi="仿宋" w:eastAsia="仿宋" w:cs="仿宋"/>
                <w:kern w:val="2"/>
                <w:sz w:val="21"/>
                <w:szCs w:val="21"/>
                <w:u w:color="000000"/>
                <w:lang w:val="en-US"/>
              </w:rPr>
              <w:t>100</w:t>
            </w:r>
            <w:r>
              <w:rPr>
                <w:rFonts w:ascii="仿宋" w:hAnsi="仿宋" w:eastAsia="仿宋" w:cs="仿宋"/>
                <w:kern w:val="2"/>
                <w:sz w:val="21"/>
                <w:szCs w:val="21"/>
                <w:u w:color="000000"/>
              </w:rPr>
              <w:t>分</w:t>
            </w:r>
          </w:p>
        </w:tc>
        <w:tc>
          <w:tcPr>
            <w:tcW w:w="772" w:type="dxa"/>
            <w:tcBorders>
              <w:top w:val="single" w:color="000000" w:sz="4"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435B8CA3">
            <w:pPr>
              <w:rPr>
                <w:rFonts w:hint="eastAsia" w:ascii="仿宋" w:hAnsi="仿宋" w:eastAsia="仿宋" w:cs="仿宋"/>
                <w:sz w:val="21"/>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0883DFEE">
            <w:pPr>
              <w:rPr>
                <w:rFonts w:hint="eastAsia" w:ascii="仿宋" w:hAnsi="仿宋" w:eastAsia="仿宋" w:cs="仿宋"/>
                <w:sz w:val="21"/>
                <w:szCs w:val="21"/>
              </w:rPr>
            </w:pPr>
          </w:p>
        </w:tc>
        <w:tc>
          <w:tcPr>
            <w:tcW w:w="796" w:type="dxa"/>
            <w:tcBorders>
              <w:top w:val="single" w:color="000000" w:sz="4" w:space="0"/>
              <w:left w:val="single" w:color="000000" w:sz="4" w:space="0"/>
              <w:bottom w:val="single" w:color="000000" w:sz="4" w:space="0"/>
              <w:right w:val="single" w:color="000000" w:sz="12" w:space="0"/>
            </w:tcBorders>
            <w:shd w:val="clear" w:color="auto" w:fill="CCECFE" w:themeFill="accent1" w:themeFillTint="33"/>
            <w:tcMar>
              <w:top w:w="80" w:type="dxa"/>
              <w:left w:w="80" w:type="dxa"/>
              <w:bottom w:w="80" w:type="dxa"/>
              <w:right w:w="80" w:type="dxa"/>
            </w:tcMar>
            <w:vAlign w:val="center"/>
          </w:tcPr>
          <w:p w14:paraId="3B7046A3">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CCECFE" w:themeFill="accent1" w:themeFillTint="33"/>
            <w:tcMar>
              <w:top w:w="80" w:type="dxa"/>
              <w:left w:w="80" w:type="dxa"/>
              <w:bottom w:w="80" w:type="dxa"/>
              <w:right w:w="80" w:type="dxa"/>
            </w:tcMar>
            <w:vAlign w:val="center"/>
          </w:tcPr>
          <w:p w14:paraId="328810E7">
            <w:pPr>
              <w:rPr>
                <w:rFonts w:hint="eastAsia" w:ascii="仿宋" w:hAnsi="仿宋" w:eastAsia="仿宋" w:cs="仿宋"/>
                <w:sz w:val="21"/>
                <w:szCs w:val="21"/>
              </w:rPr>
            </w:pPr>
          </w:p>
        </w:tc>
      </w:tr>
      <w:tr w14:paraId="2E61D5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7010" w:type="dxa"/>
            <w:gridSpan w:val="4"/>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BB2759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eastAsia" w:ascii="仿宋" w:hAnsi="仿宋" w:eastAsia="仿宋" w:cs="仿宋"/>
                <w:sz w:val="21"/>
                <w:szCs w:val="21"/>
              </w:rPr>
            </w:pPr>
            <w:r>
              <w:rPr>
                <w:rFonts w:ascii="仿宋" w:hAnsi="仿宋" w:eastAsia="仿宋" w:cs="仿宋"/>
                <w:b/>
                <w:bCs/>
                <w:kern w:val="2"/>
                <w:sz w:val="21"/>
                <w:szCs w:val="21"/>
                <w:u w:color="000000"/>
              </w:rPr>
              <w:t>拟推荐成交候选供应商（原则推荐评审综合得分最高的单位）</w:t>
            </w:r>
          </w:p>
        </w:tc>
        <w:tc>
          <w:tcPr>
            <w:tcW w:w="3068" w:type="dxa"/>
            <w:gridSpan w:val="4"/>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31049826">
            <w:pPr>
              <w:rPr>
                <w:rFonts w:hint="eastAsia" w:ascii="仿宋" w:hAnsi="仿宋" w:eastAsia="仿宋" w:cs="仿宋"/>
                <w:sz w:val="21"/>
                <w:szCs w:val="21"/>
              </w:rPr>
            </w:pPr>
          </w:p>
        </w:tc>
        <w:tc>
          <w:tcPr>
            <w:tcW w:w="615"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28428E96">
            <w:pPr>
              <w:rPr>
                <w:rFonts w:hint="eastAsia" w:ascii="仿宋" w:hAnsi="仿宋" w:eastAsia="仿宋" w:cs="仿宋"/>
                <w:sz w:val="21"/>
                <w:szCs w:val="21"/>
              </w:rPr>
            </w:pPr>
          </w:p>
        </w:tc>
      </w:tr>
    </w:tbl>
    <w:p w14:paraId="34D5E3B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u w:color="000000"/>
        </w:rPr>
      </w:pPr>
    </w:p>
    <w:p w14:paraId="78F82F1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u w:color="000000"/>
        </w:rPr>
      </w:pPr>
      <w:r>
        <w:rPr>
          <w:rFonts w:ascii="黑体" w:hAnsi="黑体" w:eastAsia="黑体" w:cs="黑体"/>
          <w:kern w:val="2"/>
          <w:sz w:val="21"/>
          <w:szCs w:val="21"/>
          <w:u w:color="000000"/>
        </w:rPr>
        <w:t>备注：</w:t>
      </w:r>
      <w:r>
        <w:rPr>
          <w:rFonts w:ascii="黑体" w:hAnsi="黑体" w:eastAsia="黑体" w:cs="黑体"/>
          <w:kern w:val="2"/>
          <w:sz w:val="21"/>
          <w:szCs w:val="21"/>
          <w:u w:color="000000"/>
          <w:lang w:val="en-US"/>
        </w:rPr>
        <w:t>1.</w:t>
      </w:r>
      <w:r>
        <w:rPr>
          <w:rFonts w:ascii="黑体" w:hAnsi="黑体" w:eastAsia="黑体" w:cs="黑体"/>
          <w:kern w:val="2"/>
          <w:sz w:val="21"/>
          <w:szCs w:val="21"/>
          <w:u w:color="000000"/>
        </w:rPr>
        <w:t>各项评审打分按照四舍五入，小数点后保留</w:t>
      </w:r>
      <w:r>
        <w:rPr>
          <w:rFonts w:ascii="黑体" w:hAnsi="黑体" w:eastAsia="黑体" w:cs="黑体"/>
          <w:kern w:val="2"/>
          <w:sz w:val="21"/>
          <w:szCs w:val="21"/>
          <w:u w:color="000000"/>
          <w:lang w:val="en-US"/>
        </w:rPr>
        <w:t>2</w:t>
      </w:r>
      <w:r>
        <w:rPr>
          <w:rFonts w:ascii="黑体" w:hAnsi="黑体" w:eastAsia="黑体" w:cs="黑体"/>
          <w:kern w:val="2"/>
          <w:sz w:val="21"/>
          <w:szCs w:val="21"/>
          <w:u w:color="000000"/>
        </w:rPr>
        <w:t>位进行计算；</w:t>
      </w:r>
    </w:p>
    <w:p w14:paraId="697C1425">
      <w:pPr>
        <w:widowControl w:val="0"/>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clear" w:pos="312"/>
        </w:tabs>
        <w:spacing w:before="0"/>
        <w:ind w:left="1050" w:leftChars="0" w:firstLine="0" w:firstLineChars="0"/>
        <w:jc w:val="both"/>
        <w:rPr>
          <w:rFonts w:ascii="黑体" w:hAnsi="黑体" w:eastAsia="黑体" w:cs="黑体"/>
          <w:kern w:val="2"/>
          <w:sz w:val="21"/>
          <w:szCs w:val="21"/>
          <w:u w:color="000000"/>
        </w:rPr>
      </w:pPr>
      <w:r>
        <w:rPr>
          <w:rFonts w:ascii="黑体" w:hAnsi="黑体" w:eastAsia="黑体" w:cs="黑体"/>
          <w:kern w:val="2"/>
          <w:sz w:val="21"/>
          <w:szCs w:val="21"/>
          <w:u w:color="000000"/>
        </w:rPr>
        <w:t>若出现拟推荐成交候选供应商票数相同的情况，以未推荐上述单位的评审专家对并列第一的候选供应商既定打分排序作为最终选定依据。</w:t>
      </w:r>
    </w:p>
    <w:p w14:paraId="37B695AF">
      <w:pPr>
        <w:widowControl w:val="0"/>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clear" w:pos="312"/>
        </w:tabs>
        <w:spacing w:before="0"/>
        <w:ind w:left="1050" w:leftChars="0" w:firstLine="0" w:firstLineChars="0"/>
        <w:jc w:val="both"/>
        <w:rPr>
          <w:rFonts w:hint="default" w:ascii="黑体" w:hAnsi="黑体" w:eastAsia="黑体" w:cs="黑体"/>
          <w:kern w:val="2"/>
          <w:sz w:val="21"/>
          <w:szCs w:val="21"/>
          <w:u w:color="000000"/>
        </w:rPr>
      </w:pPr>
      <w:r>
        <w:rPr>
          <w:rFonts w:hint="eastAsia" w:ascii="黑体" w:hAnsi="黑体" w:eastAsia="黑体" w:cs="黑体"/>
          <w:kern w:val="2"/>
          <w:sz w:val="21"/>
          <w:szCs w:val="21"/>
          <w:u w:color="000000"/>
          <w:lang w:val="en-US" w:eastAsia="zh-CN"/>
        </w:rPr>
        <w:t>以分公司名义投标的，应取得总公司授权。</w:t>
      </w:r>
    </w:p>
    <w:sectPr>
      <w:headerReference r:id="rId4" w:type="default"/>
      <w:footerReference r:id="rId5" w:type="default"/>
      <w:pgSz w:w="11906" w:h="16838"/>
      <w:pgMar w:top="1134" w:right="1134" w:bottom="1134" w:left="1134" w:header="709" w:footer="85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0"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93811">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06A1E">
    <w:pP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1B29B"/>
    <w:multiLevelType w:val="singleLevel"/>
    <w:tmpl w:val="1AD1B29B"/>
    <w:lvl w:ilvl="0" w:tentative="0">
      <w:start w:val="1"/>
      <w:numFmt w:val="decimal"/>
      <w:suff w:val="nothing"/>
      <w:lvlText w:val="%1、"/>
      <w:lvlJc w:val="left"/>
    </w:lvl>
  </w:abstractNum>
  <w:abstractNum w:abstractNumId="1">
    <w:nsid w:val="5593C93F"/>
    <w:multiLevelType w:val="singleLevel"/>
    <w:tmpl w:val="5593C93F"/>
    <w:lvl w:ilvl="0" w:tentative="0">
      <w:start w:val="2"/>
      <w:numFmt w:val="decimal"/>
      <w:lvlText w:val="%1."/>
      <w:lvlJc w:val="left"/>
      <w:pPr>
        <w:tabs>
          <w:tab w:val="left" w:pos="312"/>
        </w:tabs>
        <w:ind w:left="1050" w:leftChars="0" w:firstLine="0" w:firstLineChars="0"/>
      </w:pPr>
    </w:lvl>
  </w:abstractNum>
  <w:abstractNum w:abstractNumId="2">
    <w:nsid w:val="72A760FB"/>
    <w:multiLevelType w:val="singleLevel"/>
    <w:tmpl w:val="72A760FB"/>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kZjQ3OTQ2Zjc3NjA5ZjgwZjYwMGNhZGMzOGM4NTQifQ=="/>
  </w:docVars>
  <w:rsids>
    <w:rsidRoot w:val="00495DF8"/>
    <w:rsid w:val="00495DF8"/>
    <w:rsid w:val="00826958"/>
    <w:rsid w:val="00C74CA0"/>
    <w:rsid w:val="00F03ADC"/>
    <w:rsid w:val="00FF3EB1"/>
    <w:rsid w:val="01B05D91"/>
    <w:rsid w:val="022565C3"/>
    <w:rsid w:val="02792278"/>
    <w:rsid w:val="03303F04"/>
    <w:rsid w:val="07A846E1"/>
    <w:rsid w:val="091D5E89"/>
    <w:rsid w:val="0A4A5805"/>
    <w:rsid w:val="0B5F43AA"/>
    <w:rsid w:val="0D2722E2"/>
    <w:rsid w:val="0D554FDF"/>
    <w:rsid w:val="0F9712A6"/>
    <w:rsid w:val="116A6D7C"/>
    <w:rsid w:val="1217369D"/>
    <w:rsid w:val="122F52ED"/>
    <w:rsid w:val="154947A3"/>
    <w:rsid w:val="15AD39A2"/>
    <w:rsid w:val="173D31C8"/>
    <w:rsid w:val="18F87776"/>
    <w:rsid w:val="196D18BD"/>
    <w:rsid w:val="19E33AAB"/>
    <w:rsid w:val="1AB86343"/>
    <w:rsid w:val="1C6857BA"/>
    <w:rsid w:val="1D0E2EE1"/>
    <w:rsid w:val="1DB75F8E"/>
    <w:rsid w:val="1E8559B0"/>
    <w:rsid w:val="1EB36510"/>
    <w:rsid w:val="1F9C2EC5"/>
    <w:rsid w:val="1FE5029E"/>
    <w:rsid w:val="211540F0"/>
    <w:rsid w:val="220B0C00"/>
    <w:rsid w:val="2280797B"/>
    <w:rsid w:val="23AD493A"/>
    <w:rsid w:val="241D73C0"/>
    <w:rsid w:val="263022A3"/>
    <w:rsid w:val="26813670"/>
    <w:rsid w:val="270218DC"/>
    <w:rsid w:val="28064B56"/>
    <w:rsid w:val="289E773E"/>
    <w:rsid w:val="29923E25"/>
    <w:rsid w:val="29964A08"/>
    <w:rsid w:val="29A602E4"/>
    <w:rsid w:val="2A4F2CEC"/>
    <w:rsid w:val="2A8C0497"/>
    <w:rsid w:val="2B981630"/>
    <w:rsid w:val="2BFA7C62"/>
    <w:rsid w:val="2C541DFF"/>
    <w:rsid w:val="2D3E50E7"/>
    <w:rsid w:val="2E082E63"/>
    <w:rsid w:val="2F03631E"/>
    <w:rsid w:val="2FB44EEF"/>
    <w:rsid w:val="308F0B1D"/>
    <w:rsid w:val="30E85FBB"/>
    <w:rsid w:val="31A3629F"/>
    <w:rsid w:val="321333C8"/>
    <w:rsid w:val="33693BCB"/>
    <w:rsid w:val="372E4027"/>
    <w:rsid w:val="376307AA"/>
    <w:rsid w:val="377E2DF3"/>
    <w:rsid w:val="37DC7428"/>
    <w:rsid w:val="39D61D1E"/>
    <w:rsid w:val="3A1F4227"/>
    <w:rsid w:val="3B7F11A2"/>
    <w:rsid w:val="3BBB0933"/>
    <w:rsid w:val="3BC06ADB"/>
    <w:rsid w:val="3D221A9D"/>
    <w:rsid w:val="41A037AD"/>
    <w:rsid w:val="428A0583"/>
    <w:rsid w:val="42B21633"/>
    <w:rsid w:val="43372D08"/>
    <w:rsid w:val="43DF6845"/>
    <w:rsid w:val="44C46EDA"/>
    <w:rsid w:val="44F01A33"/>
    <w:rsid w:val="496E2CD9"/>
    <w:rsid w:val="4A3046FF"/>
    <w:rsid w:val="4AF43D81"/>
    <w:rsid w:val="4B7C34F8"/>
    <w:rsid w:val="4D001B20"/>
    <w:rsid w:val="4E3D7492"/>
    <w:rsid w:val="50A626FC"/>
    <w:rsid w:val="51352406"/>
    <w:rsid w:val="515F0B34"/>
    <w:rsid w:val="517C662B"/>
    <w:rsid w:val="5199169B"/>
    <w:rsid w:val="53E45333"/>
    <w:rsid w:val="5430212F"/>
    <w:rsid w:val="54BF230B"/>
    <w:rsid w:val="57031AF6"/>
    <w:rsid w:val="57562C67"/>
    <w:rsid w:val="58764CCC"/>
    <w:rsid w:val="587E3787"/>
    <w:rsid w:val="58C022AF"/>
    <w:rsid w:val="5C0C162C"/>
    <w:rsid w:val="5C1A2750"/>
    <w:rsid w:val="5D5C103F"/>
    <w:rsid w:val="5E4575EA"/>
    <w:rsid w:val="5E522330"/>
    <w:rsid w:val="5F815717"/>
    <w:rsid w:val="5FA8354E"/>
    <w:rsid w:val="61EC7774"/>
    <w:rsid w:val="652F0DE7"/>
    <w:rsid w:val="657A2E68"/>
    <w:rsid w:val="66B723BE"/>
    <w:rsid w:val="67B722A2"/>
    <w:rsid w:val="69437E1B"/>
    <w:rsid w:val="6ACA7C59"/>
    <w:rsid w:val="6B722D11"/>
    <w:rsid w:val="6C0A4F1F"/>
    <w:rsid w:val="6C3A5FCA"/>
    <w:rsid w:val="6CF05300"/>
    <w:rsid w:val="6E4B0621"/>
    <w:rsid w:val="6E620375"/>
    <w:rsid w:val="6EF66B7F"/>
    <w:rsid w:val="71C628C1"/>
    <w:rsid w:val="73200C89"/>
    <w:rsid w:val="76400CBC"/>
    <w:rsid w:val="76B539EA"/>
    <w:rsid w:val="77164B27"/>
    <w:rsid w:val="787768D5"/>
    <w:rsid w:val="79C91802"/>
    <w:rsid w:val="7AC90E48"/>
    <w:rsid w:val="7BBE2922"/>
    <w:rsid w:val="7EDC2F6E"/>
    <w:rsid w:val="7F0E3B00"/>
    <w:rsid w:val="7F66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before="160"/>
    </w:pPr>
    <w:rPr>
      <w:rFonts w:hint="eastAsia" w:ascii="Arial Unicode MS" w:hAnsi="Arial Unicode MS" w:eastAsia="Helvetica Neue" w:cs="Arial Unicode MS"/>
      <w:color w:val="000000"/>
      <w:sz w:val="24"/>
      <w:szCs w:val="24"/>
      <w:lang w:val="zh-TW" w:eastAsia="zh-TW"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3</Pages>
  <Words>1583</Words>
  <Characters>1663</Characters>
  <Lines>6</Lines>
  <Paragraphs>1</Paragraphs>
  <TotalTime>227</TotalTime>
  <ScaleCrop>false</ScaleCrop>
  <LinksUpToDate>false</LinksUpToDate>
  <CharactersWithSpaces>1689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2020-11-30T01:41:00Z</dcterms:created>
  <dc:creator>user</dc:creator>
  <cp:lastModifiedBy>SS</cp:lastModifiedBy>
  <dcterms:modified xsi:type="dcterms:W3CDTF">2026-06-17T06:13:26Z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BBDBDC97BD764DA1AB0F956B8D56D26F_13</vt:lpwstr>
  </property>
  <property fmtid="{D5CDD505-2E9C-101B-9397-08002B2CF9AE}" pid="4" name="KSOTemplateDocerSaveRecord">
    <vt:lpwstr>eyJoZGlkIjoiNzA2OTNiNGM2NDIzNDRhMzNjNGZiMzk0MGVmZTFkYmMiLCJ1c2VySWQiOiIyODc0MDc4MDkifQ==</vt:lpwstr>
  </property>
</Properties>
</file>