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bookmarkStart w:id="0" w:name="_Toc28359007"/>
      <w:bookmarkStart w:id="1" w:name="_Toc35393794"/>
      <w:bookmarkStart w:id="2" w:name="_Toc28359084"/>
      <w:bookmarkStart w:id="3" w:name="_Toc35393625"/>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pPr>
        <w:pStyle w:val="21"/>
        <w:rPr>
          <w:rFonts w:hint="eastAsia" w:ascii="仿宋_GB2312" w:eastAsia="仿宋_GB2312"/>
          <w:bCs/>
        </w:rPr>
      </w:pPr>
    </w:p>
    <w:p>
      <w:pPr>
        <w:pStyle w:val="21"/>
        <w:rPr>
          <w:rFonts w:hint="eastAsia" w:ascii="仿宋_GB2312" w:eastAsia="仿宋_GB2312"/>
          <w:bCs/>
          <w:lang w:val="zh-CN"/>
        </w:rPr>
      </w:pPr>
    </w:p>
    <w:p>
      <w:pPr>
        <w:ind w:left="0"/>
        <w:jc w:val="center"/>
        <w:rPr>
          <w:rFonts w:hint="eastAsia" w:cs="华文中宋"/>
          <w:b/>
          <w:sz w:val="52"/>
          <w:szCs w:val="52"/>
          <w:lang w:val="zh-CN"/>
        </w:rPr>
      </w:pPr>
      <w:r>
        <w:rPr>
          <w:rFonts w:hint="eastAsia" w:cs="华文中宋"/>
          <w:b/>
          <w:sz w:val="52"/>
          <w:szCs w:val="52"/>
          <w:lang w:val="zh-CN"/>
        </w:rPr>
        <w:t>深圳市龙岗区耳鼻咽喉医院</w:t>
      </w:r>
    </w:p>
    <w:p>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pPr>
        <w:autoSpaceDE w:val="0"/>
        <w:autoSpaceDN w:val="0"/>
        <w:adjustRightInd w:val="0"/>
        <w:jc w:val="both"/>
        <w:outlineLvl w:val="0"/>
        <w:rPr>
          <w:rFonts w:ascii="方正小标宋简体" w:eastAsia="方正小标宋简体" w:cs="宋体"/>
          <w:bCs/>
          <w:sz w:val="44"/>
          <w:szCs w:val="44"/>
          <w:lang w:val="zh-CN"/>
        </w:rPr>
      </w:pPr>
    </w:p>
    <w:p>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pPr>
        <w:ind w:firstLine="723" w:firstLineChars="200"/>
        <w:jc w:val="both"/>
        <w:rPr>
          <w:rFonts w:hint="default"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val="en-US" w:eastAsia="zh-CN"/>
        </w:rPr>
        <w:t>****</w:t>
      </w:r>
    </w:p>
    <w:p>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、医用组织胶水</w:t>
      </w:r>
    </w:p>
    <w:p>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pPr>
        <w:pStyle w:val="21"/>
        <w:rPr>
          <w:rFonts w:hint="eastAsia" w:ascii="宋体" w:hAnsi="宋体" w:eastAsia="宋体" w:cs="宋体"/>
          <w:b/>
          <w:bCs/>
          <w:kern w:val="2"/>
          <w:sz w:val="32"/>
          <w:szCs w:val="32"/>
          <w:lang w:val="en-US" w:eastAsia="zh-CN" w:bidi="ar-SA"/>
        </w:rPr>
      </w:pPr>
    </w:p>
    <w:p>
      <w:pPr>
        <w:pStyle w:val="21"/>
        <w:rPr>
          <w:rFonts w:hint="eastAsia" w:ascii="宋体" w:hAnsi="宋体" w:eastAsia="宋体" w:cs="宋体"/>
          <w:b/>
          <w:bCs/>
          <w:kern w:val="2"/>
          <w:sz w:val="32"/>
          <w:szCs w:val="32"/>
          <w:lang w:val="en-US" w:eastAsia="zh-CN" w:bidi="ar-SA"/>
        </w:rPr>
      </w:pPr>
    </w:p>
    <w:p>
      <w:pPr>
        <w:pStyle w:val="21"/>
        <w:rPr>
          <w:rFonts w:hint="eastAsia" w:ascii="宋体" w:hAnsi="宋体" w:eastAsia="宋体" w:cs="宋体"/>
          <w:b/>
          <w:bCs/>
          <w:kern w:val="2"/>
          <w:sz w:val="32"/>
          <w:szCs w:val="32"/>
          <w:lang w:val="zh-CN" w:eastAsia="zh-CN" w:bidi="ar-SA"/>
        </w:rPr>
      </w:pP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pPr>
        <w:ind w:left="0" w:leftChars="0" w:firstLine="0" w:firstLineChars="0"/>
        <w:rPr>
          <w:rFonts w:hint="eastAsia" w:ascii="仿宋_GB2312" w:eastAsia="仿宋_GB2312"/>
          <w:bCs/>
        </w:rPr>
      </w:pPr>
    </w:p>
    <w:p>
      <w:pPr>
        <w:ind w:left="0" w:leftChars="0" w:firstLine="0" w:firstLineChars="0"/>
        <w:rPr>
          <w:rFonts w:hint="eastAsia" w:ascii="仿宋_GB2312" w:eastAsia="仿宋_GB2312"/>
          <w:bCs/>
        </w:rPr>
      </w:pPr>
    </w:p>
    <w:p>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pPr>
        <w:rPr>
          <w:rFonts w:hint="eastAsia"/>
          <w:sz w:val="24"/>
          <w:szCs w:val="24"/>
          <w:u w:val="single"/>
        </w:rPr>
      </w:pPr>
      <w:r>
        <w:rPr>
          <w:rFonts w:hint="eastAsia"/>
          <w:sz w:val="24"/>
          <w:szCs w:val="24"/>
        </w:rPr>
        <w:t>地    址：</w:t>
      </w:r>
      <w:r>
        <w:rPr>
          <w:rFonts w:hint="eastAsia"/>
          <w:sz w:val="24"/>
          <w:szCs w:val="24"/>
          <w:u w:val="single"/>
        </w:rPr>
        <w:t xml:space="preserve">                                           </w:t>
      </w:r>
    </w:p>
    <w:p>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pPr>
        <w:rPr>
          <w:rFonts w:hint="eastAsia"/>
          <w:sz w:val="24"/>
          <w:szCs w:val="24"/>
        </w:rPr>
      </w:pPr>
      <w:r>
        <w:rPr>
          <w:rFonts w:hint="eastAsia"/>
          <w:sz w:val="24"/>
          <w:szCs w:val="24"/>
        </w:rPr>
        <w:t>特此证明</w:t>
      </w:r>
    </w:p>
    <w:p>
      <w:pPr>
        <w:rPr>
          <w:rFonts w:hint="eastAsia"/>
          <w:sz w:val="24"/>
          <w:szCs w:val="24"/>
        </w:rPr>
      </w:pPr>
    </w:p>
    <w:p>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pPr>
        <w:rPr>
          <w:rFonts w:hint="eastAsia"/>
          <w:b/>
          <w:sz w:val="24"/>
          <w:szCs w:val="24"/>
        </w:rPr>
      </w:pPr>
    </w:p>
    <w:p>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pPr>
        <w:pStyle w:val="5"/>
        <w:spacing w:line="560" w:lineRule="exact"/>
        <w:rPr>
          <w:rFonts w:hint="eastAsia" w:ascii="宋体" w:hAnsi="宋体" w:eastAsia="宋体" w:cs="宋体"/>
          <w:sz w:val="24"/>
          <w:szCs w:val="24"/>
        </w:rPr>
      </w:pPr>
      <w:r>
        <w:rPr>
          <w:rFonts w:hint="eastAsia" w:ascii="宋体" w:hAnsi="宋体" w:cs="宋体"/>
          <w:sz w:val="24"/>
          <w:szCs w:val="24"/>
          <w:lang w:eastAsia="zh-CN"/>
        </w:rPr>
        <w:t>深圳市龙岗区耳鼻咽喉医院</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cs="宋体"/>
          <w:sz w:val="24"/>
          <w:szCs w:val="24"/>
          <w:lang w:eastAsia="zh-CN"/>
        </w:rPr>
        <w:t>深圳市龙岗区耳鼻咽喉医院</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pPr>
        <w:rPr>
          <w:rFonts w:ascii="Times New Roman" w:hAnsi="Times New Roman" w:eastAsia="仿宋_GB2312"/>
          <w:sz w:val="32"/>
          <w:szCs w:val="32"/>
        </w:rPr>
      </w:pPr>
      <w:r>
        <w:rPr>
          <w:rFonts w:hint="eastAsia" w:ascii="宋体" w:hAnsi="宋体" w:eastAsia="宋体" w:cs="宋体"/>
          <w:sz w:val="24"/>
          <w:szCs w:val="24"/>
          <w:lang w:eastAsia="zh-CN"/>
        </w:rPr>
        <w:t>公司盖章：</w:t>
      </w:r>
    </w:p>
    <w:p>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v:textbox>
              </v:rect>
            </w:pict>
          </mc:Fallback>
        </mc:AlternateContent>
      </w: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rPr>
          <w:rFonts w:hint="eastAsia" w:ascii="宋体" w:hAnsi="宋体" w:eastAsia="宋体" w:cs="宋体"/>
          <w:b/>
          <w:sz w:val="24"/>
          <w:szCs w:val="24"/>
        </w:rPr>
      </w:pPr>
    </w:p>
    <w:p>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pPr>
        <w:rPr>
          <w:rFonts w:hint="eastAsia" w:ascii="宋体" w:hAnsi="宋体" w:eastAsia="宋体" w:cs="宋体"/>
          <w:sz w:val="24"/>
          <w:szCs w:val="24"/>
        </w:rPr>
      </w:pPr>
    </w:p>
    <w:p>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p>
    <w:p>
      <w:pPr>
        <w:rPr>
          <w:rFonts w:hint="eastAsia" w:ascii="仿宋" w:hAnsi="仿宋" w:eastAsia="仿宋" w:cs="仿宋"/>
          <w:sz w:val="28"/>
          <w:szCs w:val="28"/>
        </w:rPr>
      </w:pPr>
    </w:p>
    <w:p>
      <w:pPr>
        <w:pStyle w:val="5"/>
        <w:rPr>
          <w:rFonts w:hint="eastAsia" w:ascii="仿宋" w:hAnsi="仿宋" w:eastAsia="仿宋" w:cs="仿宋"/>
          <w:sz w:val="28"/>
          <w:szCs w:val="28"/>
        </w:rPr>
      </w:pPr>
    </w:p>
    <w:p>
      <w:pPr>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pPr>
        <w:spacing w:line="560" w:lineRule="exact"/>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pStyle w:val="19"/>
        <w:rPr>
          <w:rFonts w:hint="eastAsia" w:ascii="仿宋_GB2312" w:hAnsi="Times New Roman" w:eastAsia="仿宋_GB2312"/>
          <w:sz w:val="32"/>
          <w:szCs w:val="32"/>
        </w:rPr>
      </w:pPr>
    </w:p>
    <w:p>
      <w:pPr>
        <w:pStyle w:val="19"/>
        <w:rPr>
          <w:rFonts w:hint="eastAsia" w:ascii="仿宋_GB2312" w:hAnsi="Times New Roman" w:eastAsia="仿宋_GB2312"/>
          <w:sz w:val="32"/>
          <w:szCs w:val="32"/>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3"/>
        <w:widowControl/>
        <w:ind w:leftChars="0"/>
        <w:jc w:val="both"/>
        <w:rPr>
          <w:b/>
          <w:sz w:val="52"/>
          <w:szCs w:val="52"/>
          <w:lang w:val="zh-CN"/>
        </w:rPr>
        <w:sectPr>
          <w:footerReference r:id="rId3" w:type="default"/>
          <w:pgSz w:w="11906" w:h="16838"/>
          <w:pgMar w:top="850" w:right="1797" w:bottom="567" w:left="1797" w:header="851" w:footer="992" w:gutter="0"/>
          <w:cols w:space="0" w:num="1"/>
          <w:rtlGutter w:val="0"/>
          <w:docGrid w:type="lines" w:linePitch="316" w:charSpace="0"/>
        </w:sectPr>
      </w:pPr>
    </w:p>
    <w:p>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pPr>
              <w:widowControl/>
              <w:ind w:left="0"/>
              <w:jc w:val="center"/>
              <w:rPr>
                <w:rFonts w:cs="宋体"/>
                <w:color w:val="000000"/>
                <w:sz w:val="18"/>
                <w:szCs w:val="18"/>
              </w:rPr>
            </w:pPr>
            <w:r>
              <w:rPr>
                <w:rFonts w:hint="eastAsia" w:cs="宋体"/>
                <w:color w:val="000000"/>
                <w:sz w:val="18"/>
                <w:szCs w:val="18"/>
              </w:rPr>
              <w:t>厂家是否具备ISO认证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pPr>
              <w:ind w:left="0"/>
            </w:pPr>
            <w:r>
              <w:rPr>
                <w:rFonts w:hint="eastAsia" w:cs="宋体"/>
                <w:color w:val="FF0000"/>
                <w:sz w:val="18"/>
                <w:szCs w:val="18"/>
              </w:rPr>
              <w:t>xxx</w:t>
            </w:r>
          </w:p>
        </w:tc>
        <w:tc>
          <w:tcPr>
            <w:tcW w:w="1086" w:type="dxa"/>
            <w:vMerge w:val="restart"/>
            <w:vAlign w:val="center"/>
          </w:tcPr>
          <w:p>
            <w:pPr>
              <w:ind w:left="0"/>
            </w:pPr>
            <w:r>
              <w:rPr>
                <w:rFonts w:hint="eastAsia" w:cs="宋体"/>
                <w:color w:val="FF0000"/>
                <w:sz w:val="18"/>
                <w:szCs w:val="18"/>
              </w:rPr>
              <w:t>xxx</w:t>
            </w:r>
          </w:p>
        </w:tc>
        <w:tc>
          <w:tcPr>
            <w:tcW w:w="756" w:type="dxa"/>
            <w:vMerge w:val="restart"/>
            <w:vAlign w:val="center"/>
          </w:tcPr>
          <w:p>
            <w:pPr>
              <w:ind w:left="0"/>
              <w:jc w:val="center"/>
              <w:rPr>
                <w:color w:val="FF0000"/>
                <w:sz w:val="18"/>
                <w:szCs w:val="18"/>
              </w:rPr>
            </w:pPr>
            <w:r>
              <w:rPr>
                <w:rFonts w:hint="eastAsia"/>
                <w:color w:val="FF0000"/>
                <w:sz w:val="18"/>
                <w:szCs w:val="18"/>
              </w:rPr>
              <w:t>否</w:t>
            </w:r>
          </w:p>
        </w:tc>
        <w:tc>
          <w:tcPr>
            <w:tcW w:w="1134" w:type="dxa"/>
            <w:vMerge w:val="restart"/>
            <w:vAlign w:val="center"/>
          </w:tcPr>
          <w:p>
            <w:pPr>
              <w:ind w:left="0"/>
              <w:jc w:val="center"/>
              <w:rPr>
                <w:color w:val="FF0000"/>
                <w:sz w:val="18"/>
                <w:szCs w:val="18"/>
              </w:rPr>
            </w:pPr>
            <w:r>
              <w:rPr>
                <w:rFonts w:hint="eastAsia"/>
                <w:color w:val="FF0000"/>
                <w:sz w:val="18"/>
                <w:szCs w:val="18"/>
              </w:rPr>
              <w:t>否</w:t>
            </w:r>
          </w:p>
        </w:tc>
        <w:tc>
          <w:tcPr>
            <w:tcW w:w="567" w:type="dxa"/>
            <w:vAlign w:val="center"/>
          </w:tcPr>
          <w:p>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pPr>
              <w:widowControl/>
              <w:ind w:left="0"/>
              <w:jc w:val="center"/>
              <w:rPr>
                <w:rFonts w:cs="宋体"/>
                <w:color w:val="FF0000"/>
                <w:sz w:val="18"/>
                <w:szCs w:val="18"/>
              </w:rPr>
            </w:pPr>
            <w:r>
              <w:rPr>
                <w:rFonts w:hint="eastAsia" w:cs="宋体"/>
                <w:color w:val="FF000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pPr>
              <w:widowControl/>
              <w:ind w:left="0"/>
              <w:jc w:val="center"/>
              <w:rPr>
                <w:rFonts w:cs="宋体"/>
                <w:color w:val="FF0000"/>
                <w:sz w:val="18"/>
                <w:szCs w:val="18"/>
              </w:rPr>
            </w:pPr>
            <w:r>
              <w:rPr>
                <w:rFonts w:hint="eastAsia" w:cs="宋体"/>
                <w:color w:val="FF000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pPr>
              <w:widowControl/>
              <w:ind w:left="0"/>
              <w:jc w:val="center"/>
              <w:rPr>
                <w:rFonts w:cs="宋体"/>
                <w:color w:val="FF0000"/>
                <w:sz w:val="18"/>
                <w:szCs w:val="18"/>
              </w:rPr>
            </w:pPr>
            <w:r>
              <w:rPr>
                <w:rFonts w:cs="宋体"/>
                <w:color w:val="FF0000"/>
                <w:sz w:val="18"/>
                <w:szCs w:val="18"/>
              </w:rPr>
              <w:t>……</w:t>
            </w:r>
          </w:p>
        </w:tc>
        <w:tc>
          <w:tcPr>
            <w:tcW w:w="2978" w:type="dxa"/>
            <w:vAlign w:val="center"/>
          </w:tcPr>
          <w:p>
            <w:pPr>
              <w:widowControl/>
              <w:ind w:left="0"/>
              <w:jc w:val="center"/>
              <w:rPr>
                <w:rFonts w:cs="宋体"/>
                <w:color w:val="FF0000"/>
                <w:sz w:val="18"/>
                <w:szCs w:val="18"/>
              </w:rPr>
            </w:pPr>
            <w:r>
              <w:rPr>
                <w:rFonts w:cs="宋体"/>
                <w:color w:val="FF0000"/>
                <w:sz w:val="18"/>
                <w:szCs w:val="18"/>
              </w:rPr>
              <w:t>……</w:t>
            </w:r>
          </w:p>
        </w:tc>
        <w:tc>
          <w:tcPr>
            <w:tcW w:w="1313" w:type="dxa"/>
            <w:vAlign w:val="center"/>
          </w:tcPr>
          <w:p>
            <w:pPr>
              <w:widowControl/>
              <w:ind w:left="0"/>
              <w:jc w:val="center"/>
              <w:rPr>
                <w:rFonts w:cs="宋体"/>
                <w:color w:val="FF0000"/>
                <w:sz w:val="18"/>
                <w:szCs w:val="18"/>
              </w:rPr>
            </w:pPr>
            <w:r>
              <w:rPr>
                <w:rFonts w:cs="宋体"/>
                <w:color w:val="FF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pPr>
              <w:widowControl/>
              <w:ind w:left="0"/>
              <w:jc w:val="center"/>
              <w:rPr>
                <w:rFonts w:cs="宋体"/>
                <w:color w:val="FF0000"/>
                <w:sz w:val="18"/>
                <w:szCs w:val="18"/>
              </w:rPr>
            </w:pPr>
            <w:r>
              <w:rPr>
                <w:rFonts w:cs="宋体"/>
                <w:color w:val="FF0000"/>
                <w:sz w:val="18"/>
                <w:szCs w:val="18"/>
              </w:rPr>
              <w:t>……</w:t>
            </w:r>
          </w:p>
        </w:tc>
        <w:tc>
          <w:tcPr>
            <w:tcW w:w="2978" w:type="dxa"/>
            <w:vAlign w:val="center"/>
          </w:tcPr>
          <w:p>
            <w:pPr>
              <w:widowControl/>
              <w:ind w:left="0"/>
              <w:jc w:val="center"/>
              <w:rPr>
                <w:rFonts w:cs="宋体"/>
                <w:color w:val="FF0000"/>
                <w:sz w:val="18"/>
                <w:szCs w:val="18"/>
              </w:rPr>
            </w:pPr>
            <w:r>
              <w:rPr>
                <w:rFonts w:cs="宋体"/>
                <w:color w:val="FF0000"/>
                <w:sz w:val="18"/>
                <w:szCs w:val="18"/>
              </w:rPr>
              <w:t>……</w:t>
            </w:r>
          </w:p>
        </w:tc>
        <w:tc>
          <w:tcPr>
            <w:tcW w:w="1313" w:type="dxa"/>
            <w:vAlign w:val="center"/>
          </w:tcPr>
          <w:p>
            <w:pPr>
              <w:widowControl/>
              <w:ind w:left="0"/>
              <w:jc w:val="center"/>
              <w:rPr>
                <w:rFonts w:cs="宋体"/>
                <w:color w:val="FF0000"/>
                <w:sz w:val="18"/>
                <w:szCs w:val="18"/>
              </w:rPr>
            </w:pPr>
            <w:r>
              <w:rPr>
                <w:rFonts w:cs="宋体"/>
                <w:color w:val="FF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pPr>
          </w:p>
        </w:tc>
        <w:tc>
          <w:tcPr>
            <w:tcW w:w="1134" w:type="dxa"/>
            <w:vMerge w:val="continue"/>
            <w:vAlign w:val="center"/>
          </w:tcPr>
          <w:p>
            <w:pPr>
              <w:ind w:left="0"/>
              <w:jc w:val="center"/>
            </w:pPr>
          </w:p>
        </w:tc>
        <w:tc>
          <w:tcPr>
            <w:tcW w:w="567" w:type="dxa"/>
            <w:vAlign w:val="center"/>
          </w:tcPr>
          <w:p>
            <w:pPr>
              <w:ind w:left="0"/>
              <w:jc w:val="center"/>
            </w:pPr>
            <w:r>
              <w:rPr>
                <w:rFonts w:cs="宋体"/>
                <w:color w:val="FF0000"/>
                <w:sz w:val="18"/>
                <w:szCs w:val="18"/>
              </w:rPr>
              <w:t>…</w:t>
            </w:r>
          </w:p>
        </w:tc>
        <w:tc>
          <w:tcPr>
            <w:tcW w:w="1276" w:type="dxa"/>
            <w:vAlign w:val="center"/>
          </w:tcPr>
          <w:p>
            <w:pPr>
              <w:ind w:left="0"/>
              <w:jc w:val="center"/>
            </w:pPr>
            <w:r>
              <w:rPr>
                <w:rFonts w:cs="宋体"/>
                <w:color w:val="FF0000"/>
                <w:sz w:val="18"/>
                <w:szCs w:val="18"/>
              </w:rPr>
              <w:t>……</w:t>
            </w:r>
          </w:p>
        </w:tc>
        <w:tc>
          <w:tcPr>
            <w:tcW w:w="1321" w:type="dxa"/>
            <w:vAlign w:val="center"/>
          </w:tcPr>
          <w:p>
            <w:pPr>
              <w:ind w:left="0"/>
              <w:jc w:val="center"/>
            </w:pPr>
            <w:r>
              <w:rPr>
                <w:rFonts w:cs="宋体"/>
                <w:color w:val="FF0000"/>
                <w:sz w:val="18"/>
                <w:szCs w:val="18"/>
              </w:rPr>
              <w:t>……</w:t>
            </w:r>
          </w:p>
        </w:tc>
        <w:tc>
          <w:tcPr>
            <w:tcW w:w="1984" w:type="dxa"/>
            <w:vAlign w:val="center"/>
          </w:tcPr>
          <w:p>
            <w:pPr>
              <w:ind w:left="0"/>
              <w:jc w:val="center"/>
            </w:pPr>
            <w:r>
              <w:rPr>
                <w:rFonts w:cs="宋体"/>
                <w:color w:val="FF0000"/>
                <w:sz w:val="18"/>
                <w:szCs w:val="18"/>
              </w:rPr>
              <w:t>……</w:t>
            </w:r>
          </w:p>
        </w:tc>
        <w:tc>
          <w:tcPr>
            <w:tcW w:w="2978" w:type="dxa"/>
            <w:vAlign w:val="center"/>
          </w:tcPr>
          <w:p>
            <w:pPr>
              <w:ind w:left="0"/>
              <w:jc w:val="center"/>
            </w:pPr>
            <w:r>
              <w:rPr>
                <w:rFonts w:cs="宋体"/>
                <w:color w:val="FF0000"/>
                <w:sz w:val="18"/>
                <w:szCs w:val="18"/>
              </w:rPr>
              <w:t>……</w:t>
            </w:r>
          </w:p>
        </w:tc>
        <w:tc>
          <w:tcPr>
            <w:tcW w:w="1313" w:type="dxa"/>
            <w:vAlign w:val="center"/>
          </w:tcPr>
          <w:p>
            <w:pPr>
              <w:ind w:left="0"/>
              <w:jc w:val="center"/>
            </w:pPr>
            <w:r>
              <w:rPr>
                <w:rFonts w:cs="宋体"/>
                <w:color w:val="FF0000"/>
                <w:sz w:val="18"/>
                <w:szCs w:val="18"/>
              </w:rPr>
              <w:t>……</w:t>
            </w:r>
          </w:p>
        </w:tc>
      </w:tr>
    </w:tbl>
    <w:p>
      <w:pPr>
        <w:ind w:left="-247" w:leftChars="-118" w:hanging="1"/>
        <w:rPr>
          <w:rFonts w:hint="eastAsia"/>
        </w:rPr>
      </w:pPr>
    </w:p>
    <w:p>
      <w:pPr>
        <w:ind w:left="-247" w:leftChars="-118" w:hanging="1"/>
      </w:pPr>
      <w:r>
        <w:rPr>
          <w:rFonts w:hint="eastAsia"/>
        </w:rPr>
        <w:t>备注：</w:t>
      </w:r>
    </w:p>
    <w:p>
      <w:pPr>
        <w:ind w:left="-247" w:leftChars="-118" w:hanging="1"/>
      </w:pPr>
      <w:r>
        <w:rPr>
          <w:rFonts w:hint="eastAsia"/>
        </w:rPr>
        <w:t>1、以上部分为举例说明，供参考。</w:t>
      </w:r>
    </w:p>
    <w:p>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深圳市龙岗区耳鼻咽喉医院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874"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844"/>
        <w:gridCol w:w="1050"/>
        <w:gridCol w:w="1684"/>
        <w:gridCol w:w="2350"/>
        <w:gridCol w:w="967"/>
        <w:gridCol w:w="783"/>
        <w:gridCol w:w="1200"/>
        <w:gridCol w:w="784"/>
        <w:gridCol w:w="1302"/>
        <w:gridCol w:w="825"/>
        <w:gridCol w:w="1080"/>
        <w:gridCol w:w="1080"/>
        <w:gridCol w:w="1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包号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使用科室</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pPr>
        <w:pStyle w:val="21"/>
        <w:numPr>
          <w:ilvl w:val="0"/>
          <w:numId w:val="1"/>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pPr>
        <w:pStyle w:val="21"/>
        <w:ind w:left="0" w:leftChars="0" w:firstLine="0" w:firstLineChars="0"/>
        <w:rPr>
          <w:rFonts w:hint="eastAsia"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深圳市龙岗区耳鼻咽喉医院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3"/>
        <w:gridCol w:w="863"/>
        <w:gridCol w:w="783"/>
        <w:gridCol w:w="1084"/>
        <w:gridCol w:w="1133"/>
        <w:gridCol w:w="767"/>
        <w:gridCol w:w="760"/>
        <w:gridCol w:w="927"/>
        <w:gridCol w:w="750"/>
        <w:gridCol w:w="1037"/>
        <w:gridCol w:w="470"/>
        <w:gridCol w:w="1080"/>
        <w:gridCol w:w="930"/>
        <w:gridCol w:w="930"/>
        <w:gridCol w:w="885"/>
        <w:gridCol w:w="915"/>
        <w:gridCol w:w="915"/>
        <w:gridCol w:w="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包号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使用科室</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1"/>
        <w:ind w:left="0" w:leftChars="0" w:firstLine="0" w:firstLineChars="0"/>
        <w:rPr>
          <w:rFonts w:hint="eastAsia" w:ascii="宋体" w:hAnsi="宋体"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pPr>
        <w:pStyle w:val="21"/>
        <w:ind w:left="0" w:leftChars="0" w:firstLine="0" w:firstLineChars="0"/>
        <w:rPr>
          <w:rFonts w:hint="eastAsia"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pPr>
        <w:pStyle w:val="18"/>
      </w:pPr>
    </w:p>
    <w:p>
      <w:pPr>
        <w:pStyle w:val="18"/>
      </w:pPr>
    </w:p>
    <w:p>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pPr>
        <w:tabs>
          <w:tab w:val="left" w:pos="4860"/>
          <w:tab w:val="left" w:pos="5400"/>
          <w:tab w:val="left" w:pos="5580"/>
        </w:tabs>
        <w:ind w:left="0"/>
        <w:rPr>
          <w:rFonts w:hint="eastAsia" w:ascii="仿宋_GB2312" w:eastAsia="仿宋_GB2312"/>
          <w:bCs/>
        </w:rPr>
      </w:pPr>
    </w:p>
    <w:p>
      <w:pPr>
        <w:pStyle w:val="19"/>
        <w:rPr>
          <w:rFonts w:hint="eastAsia" w:ascii="仿宋_GB2312" w:eastAsia="仿宋_GB2312"/>
          <w:bCs/>
        </w:rPr>
      </w:pPr>
    </w:p>
    <w:p>
      <w:pPr>
        <w:pStyle w:val="19"/>
        <w:rPr>
          <w:rFonts w:hint="eastAsia" w:ascii="仿宋_GB2312" w:eastAsia="仿宋_GB2312"/>
          <w:bCs/>
        </w:rPr>
      </w:pPr>
    </w:p>
    <w:p>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pPr>
        <w:tabs>
          <w:tab w:val="left" w:pos="4860"/>
          <w:tab w:val="left" w:pos="5400"/>
          <w:tab w:val="left" w:pos="5580"/>
        </w:tabs>
        <w:ind w:left="0"/>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pPr>
        <w:snapToGrid w:val="0"/>
        <w:ind w:firstLine="482" w:firstLineChars="200"/>
        <w:rPr>
          <w:rFonts w:ascii="宋体" w:hAnsi="宋体" w:cs="宋体"/>
          <w:b/>
          <w:bCs/>
          <w:sz w:val="24"/>
        </w:rPr>
      </w:pPr>
    </w:p>
    <w:p>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深圳市龙岗区耳鼻咽喉医院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pPr>
        <w:spacing w:line="500" w:lineRule="atLeast"/>
        <w:rPr>
          <w:rFonts w:ascii="宋体" w:hAnsi="宋体" w:cs="宋体"/>
          <w:sz w:val="24"/>
        </w:rPr>
      </w:pPr>
    </w:p>
    <w:p>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pPr>
        <w:spacing w:line="500" w:lineRule="atLeast"/>
        <w:jc w:val="both"/>
        <w:rPr>
          <w:rFonts w:hint="eastAsia" w:ascii="宋体" w:hAnsi="宋体" w:cs="宋体"/>
          <w:sz w:val="24"/>
        </w:rPr>
      </w:pPr>
    </w:p>
    <w:p>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pPr>
        <w:pStyle w:val="21"/>
      </w:pPr>
    </w:p>
    <w:p>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cs="宋体"/>
          <w:sz w:val="21"/>
          <w:szCs w:val="21"/>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pPr>
        <w:spacing w:line="500" w:lineRule="atLeast"/>
        <w:ind w:firstLine="482" w:firstLineChars="200"/>
        <w:rPr>
          <w:rFonts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auto"/>
          <w:sz w:val="24"/>
          <w:szCs w:val="24"/>
        </w:rPr>
        <w:t>我公司保证遵守贵院的供应商管理规定，并承担我公司供应贵院所有产品的医院供应链延伸服务管理费用。</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pPr>
        <w:adjustRightInd w:val="0"/>
        <w:ind w:left="0" w:right="1049"/>
        <w:rPr>
          <w:rFonts w:hint="eastAsia" w:ascii="仿宋_GB2312" w:eastAsia="仿宋_GB2312"/>
          <w:bCs/>
          <w:lang w:eastAsia="zh-CN"/>
        </w:rPr>
      </w:pPr>
    </w:p>
    <w:p>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pPr>
        <w:spacing w:line="500" w:lineRule="atLeast"/>
        <w:ind w:firstLine="482" w:firstLineChars="200"/>
        <w:rPr>
          <w:rFonts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w:t>
      </w:r>
      <w:r>
        <w:rPr>
          <w:rFonts w:hint="eastAsia"/>
          <w:color w:val="FF0000"/>
          <w:sz w:val="24"/>
          <w:szCs w:val="24"/>
          <w:highlight w:val="none"/>
          <w:lang w:val="en-US" w:eastAsia="zh-CN"/>
        </w:rPr>
        <w:t>****</w:t>
      </w:r>
      <w:r>
        <w:rPr>
          <w:rFonts w:hint="eastAsia" w:ascii="宋体" w:hAnsi="宋体" w:eastAsia="宋体" w:cs="宋体"/>
          <w:color w:val="FF0000"/>
          <w:sz w:val="24"/>
          <w:szCs w:val="24"/>
          <w:highlight w:val="none"/>
          <w:lang w:val="en-US" w:eastAsia="zh-CN"/>
        </w:rPr>
        <w:t>的</w:t>
      </w:r>
      <w:r>
        <w:rPr>
          <w:rFonts w:hint="eastAsia" w:ascii="宋体" w:hAnsi="宋体" w:cs="宋体"/>
          <w:color w:val="FF0000"/>
          <w:sz w:val="24"/>
          <w:szCs w:val="24"/>
          <w:highlight w:val="none"/>
          <w:u w:val="none"/>
          <w:lang w:val="en-US" w:eastAsia="zh-CN"/>
        </w:rPr>
        <w:t>项目</w:t>
      </w:r>
      <w:r>
        <w:rPr>
          <w:rFonts w:hint="eastAsia" w:ascii="宋体" w:hAnsi="宋体" w:cs="宋体"/>
          <w:color w:val="FF0000"/>
          <w:sz w:val="24"/>
          <w:szCs w:val="24"/>
          <w:highlight w:val="none"/>
          <w:lang w:val="en-US" w:eastAsia="zh-CN"/>
        </w:rPr>
        <w:t>，</w:t>
      </w:r>
      <w:r>
        <w:rPr>
          <w:rFonts w:hint="eastAsia" w:ascii="宋体" w:hAnsi="宋体" w:cs="宋体"/>
          <w:sz w:val="24"/>
          <w:szCs w:val="24"/>
          <w:lang w:val="en-US" w:eastAsia="zh-CN"/>
        </w:rPr>
        <w:t>提供以下质量保证并承担相应的法律责任：</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pPr>
        <w:pStyle w:val="7"/>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pStyle w:val="18"/>
        <w:rPr>
          <w:rFonts w:hint="eastAsia" w:ascii="宋体" w:hAnsi="宋体" w:cs="宋体"/>
          <w:sz w:val="24"/>
        </w:rPr>
      </w:pPr>
    </w:p>
    <w:p>
      <w:pPr>
        <w:pStyle w:val="18"/>
        <w:rPr>
          <w:rFonts w:hint="eastAsia" w:ascii="宋体" w:hAnsi="宋体" w:cs="宋体"/>
          <w:sz w:val="24"/>
        </w:rPr>
      </w:pPr>
    </w:p>
    <w:p>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pPr>
        <w:tabs>
          <w:tab w:val="left" w:pos="4860"/>
          <w:tab w:val="left" w:pos="5400"/>
          <w:tab w:val="left" w:pos="5580"/>
        </w:tabs>
        <w:spacing w:line="480" w:lineRule="auto"/>
        <w:ind w:left="0"/>
        <w:rPr>
          <w:rFonts w:hint="eastAsia" w:ascii="仿宋_GB2312" w:eastAsia="仿宋_GB2312"/>
          <w:bCs/>
        </w:rPr>
      </w:pPr>
    </w:p>
    <w:p>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pPr>
        <w:widowControl/>
        <w:tabs>
          <w:tab w:val="left" w:pos="709"/>
        </w:tabs>
        <w:ind w:left="0" w:right="120"/>
        <w:rPr>
          <w:rFonts w:hint="eastAsia" w:ascii="仿宋_GB2312" w:eastAsia="仿宋_GB2312"/>
          <w:bCs/>
        </w:rPr>
      </w:pPr>
    </w:p>
    <w:p>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pStyle w:val="4"/>
        <w:rPr>
          <w:rFonts w:hint="eastAsia" w:ascii="仿宋_GB2312" w:eastAsia="仿宋_GB2312"/>
          <w:bCs/>
          <w:lang w:eastAsia="zh-CN"/>
        </w:rPr>
      </w:pPr>
    </w:p>
    <w:p>
      <w:pPr>
        <w:pStyle w:val="5"/>
        <w:rPr>
          <w:rFonts w:hint="eastAsia" w:ascii="仿宋_GB2312" w:eastAsia="仿宋_GB2312"/>
          <w:bCs/>
          <w:lang w:eastAsia="zh-CN"/>
        </w:rPr>
      </w:pPr>
    </w:p>
    <w:p>
      <w:pPr>
        <w:pStyle w:val="6"/>
        <w:rPr>
          <w:rFonts w:hint="eastAsia"/>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pPr>
        <w:numPr>
          <w:ilvl w:val="0"/>
          <w:numId w:val="0"/>
        </w:numPr>
        <w:jc w:val="both"/>
        <w:rPr>
          <w:rFonts w:hint="eastAsia" w:ascii="Calibri" w:hAnsi="Calibri" w:cs="宋体"/>
          <w:b/>
          <w:bCs/>
          <w:sz w:val="44"/>
          <w:szCs w:val="44"/>
          <w:lang w:val="en-US" w:eastAsia="zh-CN"/>
        </w:rPr>
      </w:pPr>
    </w:p>
    <w:p>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pPr>
        <w:jc w:val="center"/>
        <w:rPr>
          <w:rFonts w:hint="eastAsia" w:ascii="宋体" w:hAnsi="宋体" w:eastAsia="宋体" w:cs="宋体"/>
          <w:b/>
          <w:bCs/>
          <w:sz w:val="32"/>
          <w:szCs w:val="32"/>
          <w:lang w:val="en-US" w:eastAsia="zh-CN"/>
        </w:rPr>
      </w:pP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我司承诺若本次深圳市龙岗区耳鼻咽喉医院医用耗材公开遴选项目</w:t>
      </w:r>
      <w:r>
        <w:rPr>
          <w:rFonts w:hint="eastAsia" w:ascii="仿宋" w:hAnsi="仿宋" w:eastAsia="仿宋" w:cs="仿宋"/>
          <w:bCs/>
          <w:color w:val="FF0000"/>
          <w:spacing w:val="10"/>
          <w:kern w:val="0"/>
          <w:sz w:val="32"/>
          <w:szCs w:val="32"/>
          <w:lang w:val="en-US" w:eastAsia="zh-CN" w:bidi="ar-SA"/>
        </w:rPr>
        <w:t>（编号：*****）</w:t>
      </w:r>
      <w:r>
        <w:rPr>
          <w:rFonts w:hint="eastAsia" w:ascii="仿宋" w:hAnsi="仿宋" w:eastAsia="仿宋" w:cs="仿宋"/>
          <w:bCs/>
          <w:spacing w:val="10"/>
          <w:kern w:val="0"/>
          <w:sz w:val="32"/>
          <w:szCs w:val="32"/>
          <w:lang w:val="en-US" w:eastAsia="zh-CN" w:bidi="ar-SA"/>
        </w:rPr>
        <w:t>中选后将严格按照深圳市医保局要求，所有中选产品必须在30天内在深圳医用耗材阳光交易和监管平台与深圳市龙岗区耳鼻咽喉医院签订合同（非医疗器械除外）。</w:t>
      </w:r>
    </w:p>
    <w:p>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等原因未能在规定时间内成功签订合同，同意深圳市龙岗区耳鼻咽喉医院取消我司中选资格，原合同可自动失效，医院可无责启用备选供应商产品并自愿承担由此引起的被列入黑名单管理风险等相应后果。</w:t>
      </w:r>
    </w:p>
    <w:p>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pPr>
        <w:rPr>
          <w:rFonts w:hint="eastAsia"/>
        </w:rPr>
      </w:pPr>
    </w:p>
    <w:p>
      <w:pPr>
        <w:rPr>
          <w:b/>
          <w:bCs/>
        </w:rPr>
      </w:pPr>
      <w:r>
        <w:rPr>
          <w:rFonts w:hint="eastAsia"/>
          <w:b/>
          <w:bCs/>
          <w:szCs w:val="21"/>
          <w:u w:val="single"/>
          <w:lang w:eastAsia="zh-CN"/>
        </w:rPr>
        <w:t>深圳市龙岗区耳鼻咽喉医院</w:t>
      </w:r>
      <w:r>
        <w:rPr>
          <w:rFonts w:hint="eastAsia"/>
          <w:b/>
          <w:bCs/>
        </w:rPr>
        <w:t>：</w:t>
      </w:r>
    </w:p>
    <w:p>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color w:val="FF0000"/>
        </w:rPr>
        <w:t>发布</w:t>
      </w:r>
      <w:r>
        <w:rPr>
          <w:color w:val="FF0000"/>
          <w:u w:val="single"/>
        </w:rPr>
        <w:t xml:space="preserve"> </w:t>
      </w:r>
      <w:r>
        <w:rPr>
          <w:rFonts w:hint="eastAsia"/>
          <w:color w:val="FF0000"/>
          <w:u w:val="single"/>
          <w:lang w:val="en-US" w:eastAsia="zh-CN"/>
        </w:rPr>
        <w:t>******</w:t>
      </w:r>
      <w:r>
        <w:rPr>
          <w:color w:val="FF0000"/>
          <w:u w:val="single"/>
        </w:rPr>
        <w:t xml:space="preserve"> </w:t>
      </w:r>
      <w:r>
        <w:rPr>
          <w:rFonts w:hint="eastAsia"/>
          <w:color w:val="FF0000"/>
        </w:rPr>
        <w:t>（</w:t>
      </w:r>
      <w:r>
        <w:rPr>
          <w:rFonts w:hint="eastAsia"/>
          <w:color w:val="FF0000"/>
          <w:lang w:val="en-US" w:eastAsia="zh-CN"/>
        </w:rPr>
        <w:t>遴选</w:t>
      </w:r>
      <w:r>
        <w:rPr>
          <w:rFonts w:hint="eastAsia"/>
          <w:color w:val="FF0000"/>
        </w:rPr>
        <w:t>编号：</w:t>
      </w:r>
      <w:r>
        <w:rPr>
          <w:rFonts w:hint="eastAsia" w:cs="Times New Roman"/>
          <w:color w:val="FF0000"/>
          <w:lang w:val="en-US" w:eastAsia="zh-CN"/>
        </w:rPr>
        <w:t>***</w:t>
      </w:r>
      <w:r>
        <w:rPr>
          <w:rFonts w:hint="eastAsia"/>
          <w:color w:val="FF0000"/>
        </w:rPr>
        <w:t>）</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pPr>
        <w:ind w:firstLine="420"/>
        <w:rPr>
          <w:rFonts w:hint="eastAsia"/>
        </w:rPr>
      </w:pPr>
      <w:r>
        <w:rPr>
          <w:rFonts w:hint="eastAsia"/>
        </w:rPr>
        <w:t>一、本公司已充分知悉“隐瞒真实情况，提供虚假资料”的法定情形，相关情形包括但不限于：</w:t>
      </w:r>
    </w:p>
    <w:p>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pPr>
        <w:ind w:firstLine="420"/>
        <w:rPr>
          <w:rFonts w:hint="eastAsia"/>
        </w:rPr>
      </w:pPr>
      <w:r>
        <w:rPr>
          <w:rFonts w:hint="eastAsia"/>
        </w:rPr>
        <w:t>（三）项目负责人或者主要技术人员不是本单位人员的。</w:t>
      </w:r>
    </w:p>
    <w:p>
      <w:pPr>
        <w:ind w:firstLine="420"/>
        <w:rPr>
          <w:rFonts w:hint="eastAsia"/>
        </w:rPr>
      </w:pPr>
      <w:r>
        <w:rPr>
          <w:rFonts w:hint="eastAsia"/>
        </w:rPr>
        <w:t>（</w:t>
      </w:r>
      <w:r>
        <w:rPr>
          <w:rFonts w:hint="eastAsia"/>
          <w:lang w:eastAsia="zh-CN"/>
        </w:rPr>
        <w:t>四</w:t>
      </w:r>
      <w:r>
        <w:rPr>
          <w:rFonts w:hint="eastAsia"/>
        </w:rPr>
        <w:t>）其他隐瞒真实情况、提供虚假资料的行为。</w:t>
      </w:r>
    </w:p>
    <w:p>
      <w:pPr>
        <w:ind w:firstLine="420"/>
        <w:rPr>
          <w:rFonts w:hint="eastAsia"/>
        </w:rPr>
      </w:pPr>
      <w:r>
        <w:rPr>
          <w:rFonts w:hint="eastAsia"/>
        </w:rPr>
        <w:t>二、本公司已充分知悉“与其他采购参加人串通投标”的法定情形，相关情形包括但不限于：</w:t>
      </w:r>
    </w:p>
    <w:p>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pPr>
        <w:ind w:firstLine="420"/>
        <w:rPr>
          <w:rFonts w:hint="eastAsia"/>
        </w:rPr>
      </w:pPr>
      <w:r>
        <w:rPr>
          <w:rFonts w:hint="eastAsia"/>
        </w:rPr>
        <w:t>（七）不同</w:t>
      </w:r>
      <w:r>
        <w:rPr>
          <w:rFonts w:hint="eastAsia"/>
          <w:lang w:val="en-US" w:eastAsia="zh-CN"/>
        </w:rPr>
        <w:t>报名公司</w:t>
      </w:r>
      <w:r>
        <w:rPr>
          <w:rFonts w:hint="eastAsia"/>
        </w:rPr>
        <w:t>的报价呈规律性差异。</w:t>
      </w:r>
    </w:p>
    <w:p>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pPr>
        <w:ind w:firstLine="420"/>
        <w:rPr>
          <w:rFonts w:hint="eastAsia"/>
        </w:rPr>
      </w:pPr>
      <w:r>
        <w:rPr>
          <w:rFonts w:hint="eastAsia"/>
        </w:rPr>
        <w:t>四、本公司已充分知悉违法、违规行为的法律后果。</w:t>
      </w:r>
    </w:p>
    <w:p>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pPr>
        <w:rPr>
          <w:rFonts w:hint="eastAsia"/>
        </w:rPr>
      </w:pPr>
    </w:p>
    <w:p>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pPr>
        <w:pStyle w:val="21"/>
        <w:rPr>
          <w:rFonts w:hint="eastAsia"/>
          <w:szCs w:val="21"/>
          <w:u w:val="single"/>
        </w:rPr>
      </w:pPr>
      <w:r>
        <w:rPr>
          <w:rFonts w:hint="eastAsia"/>
          <w:szCs w:val="21"/>
          <w:u w:val="single"/>
        </w:rPr>
        <w:t xml:space="preserve">                                                        </w:t>
      </w:r>
    </w:p>
    <w:p>
      <w:pPr>
        <w:pStyle w:val="21"/>
        <w:rPr>
          <w:rFonts w:hint="eastAsia"/>
        </w:rPr>
      </w:pPr>
      <w:r>
        <w:rPr>
          <w:rFonts w:hint="eastAsia"/>
          <w:szCs w:val="21"/>
          <w:u w:val="single"/>
        </w:rPr>
        <w:t xml:space="preserve">                                                        </w:t>
      </w:r>
    </w:p>
    <w:p>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pPr>
        <w:rPr>
          <w:rFonts w:hint="eastAsia"/>
        </w:rPr>
      </w:pPr>
      <w:r>
        <w:rPr>
          <w:rFonts w:hint="eastAsia"/>
          <w:u w:val="single"/>
        </w:rPr>
        <w:br w:type="page"/>
      </w:r>
    </w:p>
    <w:p>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rFonts w:ascii="仿宋_GB2312" w:eastAsia="仿宋_GB2312"/>
          <w:bCs/>
        </w:rPr>
      </w:pPr>
    </w:p>
    <w:p>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pPr>
        <w:pStyle w:val="18"/>
        <w:ind w:left="0" w:leftChars="0" w:firstLine="0" w:firstLineChars="0"/>
      </w:pPr>
    </w:p>
    <w:p>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深圳市龙岗区耳鼻咽喉医院</w:t>
      </w:r>
      <w:r>
        <w:rPr>
          <w:rFonts w:hint="eastAsia" w:ascii="宋体" w:hAnsi="宋体" w:eastAsia="宋体" w:cs="宋体"/>
          <w:b/>
          <w:bCs/>
          <w:sz w:val="24"/>
          <w:highlight w:val="none"/>
        </w:rPr>
        <w:t>：</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pPr>
        <w:adjustRightInd w:val="0"/>
        <w:snapToGrid w:val="0"/>
        <w:spacing w:line="240" w:lineRule="auto"/>
        <w:rPr>
          <w:rFonts w:hint="eastAsia" w:ascii="宋体" w:hAnsi="宋体" w:eastAsia="宋体" w:cs="宋体"/>
          <w:sz w:val="24"/>
          <w:highlight w:val="none"/>
        </w:rPr>
      </w:pPr>
    </w:p>
    <w:p>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pStyle w:val="5"/>
        <w:rPr>
          <w:rFonts w:hint="eastAsia" w:ascii="宋体" w:hAnsi="宋体" w:eastAsia="宋体" w:cs="宋体"/>
          <w:sz w:val="24"/>
          <w:highlight w:val="none"/>
        </w:rPr>
      </w:pPr>
    </w:p>
    <w:p>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pPr>
        <w:jc w:val="both"/>
        <w:rPr>
          <w:rFonts w:hint="eastAsia" w:asciiTheme="majorEastAsia" w:hAnsiTheme="majorEastAsia" w:eastAsiaTheme="majorEastAsia" w:cstheme="majorEastAsia"/>
          <w:b/>
          <w:bCs/>
          <w:sz w:val="44"/>
          <w:szCs w:val="44"/>
        </w:rPr>
      </w:pPr>
    </w:p>
    <w:p>
      <w:pPr>
        <w:adjustRightInd w:val="0"/>
        <w:ind w:left="0" w:right="104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jc w:val="left"/>
        <w:rPr>
          <w:rFonts w:ascii="仿宋" w:hAnsi="仿宋" w:eastAsia="仿宋" w:cs="仿宋"/>
          <w:sz w:val="32"/>
          <w:szCs w:val="32"/>
        </w:rPr>
      </w:pP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pPr>
        <w:jc w:val="center"/>
        <w:rPr>
          <w:rFonts w:ascii="仿宋" w:hAnsi="仿宋" w:eastAsia="仿宋" w:cs="仿宋"/>
          <w:sz w:val="32"/>
          <w:szCs w:val="32"/>
        </w:rPr>
      </w:pPr>
      <w:r>
        <w:rPr>
          <w:rFonts w:hint="eastAsia" w:ascii="仿宋" w:hAnsi="仿宋" w:eastAsia="仿宋" w:cs="仿宋"/>
          <w:sz w:val="32"/>
          <w:szCs w:val="32"/>
        </w:rPr>
        <w:t>（仅供参考）</w:t>
      </w:r>
    </w:p>
    <w:p>
      <w:pPr>
        <w:jc w:val="center"/>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t>一、信用中国查询操作指南</w:t>
      </w:r>
    </w:p>
    <w:p>
      <w:pPr>
        <w:numPr>
          <w:ilvl w:val="0"/>
          <w:numId w:val="3"/>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pPr>
        <w:numPr>
          <w:ilvl w:val="0"/>
          <w:numId w:val="3"/>
        </w:numPr>
        <w:jc w:val="left"/>
        <w:rPr>
          <w:rFonts w:ascii="仿宋" w:hAnsi="仿宋" w:eastAsia="仿宋" w:cs="仿宋"/>
          <w:sz w:val="32"/>
          <w:szCs w:val="32"/>
        </w:rPr>
      </w:pPr>
      <w:r>
        <w:rPr>
          <w:rFonts w:hint="eastAsia" w:ascii="仿宋" w:hAnsi="仿宋" w:eastAsia="仿宋" w:cs="仿宋"/>
          <w:sz w:val="32"/>
          <w:szCs w:val="32"/>
        </w:rPr>
        <w:t>输入供应商名称点击查询</w:t>
      </w:r>
    </w:p>
    <w:p>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pPr>
        <w:numPr>
          <w:ilvl w:val="0"/>
          <w:numId w:val="3"/>
        </w:numPr>
        <w:jc w:val="left"/>
        <w:rPr>
          <w:rFonts w:ascii="仿宋" w:hAnsi="仿宋" w:eastAsia="仿宋" w:cs="仿宋"/>
          <w:sz w:val="32"/>
          <w:szCs w:val="32"/>
        </w:rPr>
      </w:pPr>
      <w:r>
        <w:rPr>
          <w:rFonts w:hint="eastAsia" w:ascii="仿宋" w:hAnsi="仿宋" w:eastAsia="仿宋" w:cs="仿宋"/>
          <w:sz w:val="32"/>
          <w:szCs w:val="32"/>
        </w:rPr>
        <w:t>下载信用信息</w:t>
      </w:r>
    </w:p>
    <w:p>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pPr>
        <w:numPr>
          <w:ilvl w:val="0"/>
          <w:numId w:val="4"/>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pPr>
        <w:numPr>
          <w:ilvl w:val="0"/>
          <w:numId w:val="4"/>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3、输入供应商名称点击查询</w:t>
      </w:r>
    </w:p>
    <w:p>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4、直接打印查询结果页面</w:t>
      </w:r>
    </w:p>
    <w:p>
      <w:pPr>
        <w:rPr>
          <w:rFonts w:hint="eastAsia" w:ascii="仿宋" w:hAnsi="仿宋" w:eastAsia="仿宋" w:cs="仿宋"/>
          <w:sz w:val="32"/>
          <w:szCs w:val="32"/>
        </w:rPr>
      </w:pPr>
      <w:r>
        <w:rPr>
          <w:rFonts w:hint="eastAsia" w:ascii="仿宋" w:hAnsi="仿宋" w:eastAsia="仿宋" w:cs="仿宋"/>
          <w:sz w:val="32"/>
          <w:szCs w:val="32"/>
        </w:rPr>
        <w:br w:type="page"/>
      </w:r>
    </w:p>
    <w:p>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pPr>
        <w:jc w:val="left"/>
        <w:rPr>
          <w:rFonts w:ascii="仿宋" w:hAnsi="仿宋" w:eastAsia="仿宋" w:cs="仿宋"/>
          <w:sz w:val="32"/>
          <w:szCs w:val="32"/>
        </w:rPr>
      </w:pPr>
      <w:r>
        <w:rPr>
          <w:rFonts w:hint="eastAsia" w:ascii="仿宋" w:hAnsi="仿宋" w:eastAsia="仿宋" w:cs="仿宋"/>
          <w:sz w:val="32"/>
          <w:szCs w:val="32"/>
        </w:rPr>
        <w:t>2、点击进入采购监管专栏</w:t>
      </w:r>
    </w:p>
    <w:p>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pPr>
        <w:jc w:val="left"/>
        <w:rPr>
          <w:rFonts w:ascii="仿宋" w:hAnsi="仿宋" w:eastAsia="仿宋" w:cs="仿宋"/>
          <w:sz w:val="32"/>
          <w:szCs w:val="32"/>
        </w:rPr>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numPr>
          <w:ilvl w:val="0"/>
          <w:numId w:val="0"/>
        </w:numPr>
        <w:ind w:leftChars="0"/>
        <w:rPr>
          <w:rFonts w:hint="default"/>
          <w:lang w:val="en-US" w:eastAsia="zh-CN"/>
        </w:rPr>
      </w:pPr>
    </w:p>
    <w:p>
      <w:pPr>
        <w:jc w:val="left"/>
        <w:rPr>
          <w:rFonts w:ascii="仿宋" w:hAnsi="仿宋" w:eastAsia="仿宋" w:cs="仿宋"/>
          <w:sz w:val="32"/>
          <w:szCs w:val="32"/>
        </w:rPr>
      </w:pPr>
    </w:p>
    <w:p>
      <w:pPr>
        <w:pStyle w:val="4"/>
      </w:pPr>
    </w:p>
    <w:p>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bookmarkStart w:id="7" w:name="_GoBack"/>
            <w:bookmarkEnd w:id="7"/>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cs="宋体"/>
                <w:sz w:val="20"/>
                <w:szCs w:val="20"/>
                <w:lang w:val="en-US" w:eastAsia="zh-CN"/>
              </w:rPr>
              <w:t>仓库位置设置合理</w:t>
            </w:r>
            <w:r>
              <w:rPr>
                <w:rFonts w:hint="eastAsia" w:cs="宋体"/>
                <w:sz w:val="20"/>
                <w:szCs w:val="20"/>
              </w:rPr>
              <w:t>，保证货源充足</w:t>
            </w:r>
            <w:r>
              <w:rPr>
                <w:rFonts w:hint="eastAsia" w:cs="宋体"/>
                <w:sz w:val="20"/>
                <w:szCs w:val="20"/>
                <w:lang w:eastAsia="zh-CN"/>
              </w:rPr>
              <w:t>，</w:t>
            </w:r>
            <w:r>
              <w:rPr>
                <w:rFonts w:hint="eastAsia" w:cs="宋体"/>
                <w:sz w:val="20"/>
                <w:szCs w:val="20"/>
                <w:lang w:val="en-US" w:eastAsia="zh-CN"/>
              </w:rPr>
              <w:t>且一般医用耗材自订货之日起3天内送到，最长不超过5天完成配送。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bl>
    <w:p>
      <w:pPr>
        <w:pStyle w:val="21"/>
        <w:numPr>
          <w:ilvl w:val="0"/>
          <w:numId w:val="0"/>
        </w:numPr>
        <w:rPr>
          <w:rFonts w:ascii="宋体" w:hAnsi="宋体" w:eastAsia="宋体" w:cs="宋体"/>
          <w:sz w:val="24"/>
          <w:szCs w:val="24"/>
        </w:rPr>
      </w:pPr>
    </w:p>
    <w:p>
      <w:pPr>
        <w:pStyle w:val="21"/>
        <w:numPr>
          <w:ilvl w:val="0"/>
          <w:numId w:val="0"/>
        </w:numPr>
        <w:rPr>
          <w:rFonts w:ascii="宋体" w:hAnsi="宋体" w:eastAsia="宋体" w:cs="宋体"/>
          <w:sz w:val="24"/>
          <w:szCs w:val="24"/>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w:t>
      </w:r>
      <w:r>
        <w:rPr>
          <w:rFonts w:hint="eastAsia" w:ascii="楷体" w:hAnsi="楷体" w:eastAsia="楷体" w:cs="楷体"/>
          <w:sz w:val="24"/>
          <w:szCs w:val="24"/>
          <w:highlight w:val="yellow"/>
          <w:lang w:val="en-US" w:eastAsia="zh-CN"/>
        </w:rPr>
        <w:t>2025年度</w:t>
      </w:r>
      <w:r>
        <w:rPr>
          <w:rFonts w:hint="eastAsia" w:ascii="楷体" w:hAnsi="楷体" w:eastAsia="楷体" w:cs="楷体"/>
          <w:sz w:val="24"/>
          <w:szCs w:val="24"/>
          <w:lang w:val="en-US" w:eastAsia="zh-CN"/>
        </w:rPr>
        <w:t>在深圳市最低有效交易价格。</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pPr>
        <w:pStyle w:val="21"/>
        <w:keepNext w:val="0"/>
        <w:keepLines w:val="0"/>
        <w:pageBreakBefore w:val="0"/>
        <w:widowControl w:val="0"/>
        <w:numPr>
          <w:ilvl w:val="0"/>
          <w:numId w:val="5"/>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pPr>
        <w:pStyle w:val="21"/>
        <w:keepNext w:val="0"/>
        <w:keepLines w:val="0"/>
        <w:pageBreakBefore w:val="0"/>
        <w:widowControl w:val="0"/>
        <w:numPr>
          <w:ilvl w:val="0"/>
          <w:numId w:val="5"/>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30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70</w:t>
            </w:r>
            <w:r>
              <w:rPr>
                <w:rFonts w:hint="eastAsia" w:ascii="宋体" w:hAnsi="宋体" w:eastAsia="宋体" w:cs="宋体"/>
                <w:b/>
                <w:i w:val="0"/>
                <w:color w:val="000000"/>
                <w:kern w:val="0"/>
                <w:sz w:val="22"/>
                <w:szCs w:val="22"/>
                <w:u w:val="none"/>
                <w:lang w:val="en-US" w:eastAsia="zh-CN" w:bidi="ar"/>
              </w:rPr>
              <w:t>分</w:t>
            </w:r>
          </w:p>
        </w:tc>
      </w:tr>
      <w:tr>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30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 xml:space="preserve">进行打分。优 </w:t>
            </w:r>
            <w:r>
              <w:rPr>
                <w:rFonts w:hint="eastAsia" w:ascii="宋体" w:hAnsi="宋体" w:cs="宋体"/>
                <w:i w:val="0"/>
                <w:color w:val="000000"/>
                <w:kern w:val="0"/>
                <w:sz w:val="22"/>
                <w:szCs w:val="22"/>
                <w:u w:val="none"/>
                <w:lang w:val="en-US" w:eastAsia="zh-CN" w:bidi="ar"/>
              </w:rPr>
              <w:t>21-30</w:t>
            </w:r>
            <w:r>
              <w:rPr>
                <w:rFonts w:hint="eastAsia" w:ascii="宋体" w:hAnsi="宋体" w:eastAsia="宋体" w:cs="宋体"/>
                <w:i w:val="0"/>
                <w:color w:val="000000"/>
                <w:kern w:val="0"/>
                <w:sz w:val="22"/>
                <w:szCs w:val="22"/>
                <w:u w:val="none"/>
                <w:lang w:val="en-US" w:eastAsia="zh-CN" w:bidi="ar"/>
              </w:rPr>
              <w:t>分，良</w:t>
            </w:r>
            <w:r>
              <w:rPr>
                <w:rFonts w:hint="eastAsia" w:ascii="宋体" w:hAnsi="宋体" w:cs="宋体"/>
                <w:i w:val="0"/>
                <w:color w:val="000000"/>
                <w:kern w:val="0"/>
                <w:sz w:val="22"/>
                <w:szCs w:val="22"/>
                <w:u w:val="none"/>
                <w:lang w:val="en-US" w:eastAsia="zh-CN" w:bidi="ar"/>
              </w:rPr>
              <w:t>11-20</w:t>
            </w:r>
            <w:r>
              <w:rPr>
                <w:rFonts w:hint="eastAsia" w:ascii="宋体" w:hAnsi="宋体" w:eastAsia="宋体" w:cs="宋体"/>
                <w:i w:val="0"/>
                <w:color w:val="000000"/>
                <w:kern w:val="0"/>
                <w:sz w:val="22"/>
                <w:szCs w:val="22"/>
                <w:u w:val="none"/>
                <w:lang w:val="en-US" w:eastAsia="zh-CN" w:bidi="ar"/>
              </w:rPr>
              <w:t>分，一般</w:t>
            </w:r>
            <w:r>
              <w:rPr>
                <w:rFonts w:hint="eastAsia" w:ascii="宋体" w:hAnsi="宋体" w:cs="宋体"/>
                <w:i w:val="0"/>
                <w:color w:val="000000"/>
                <w:kern w:val="0"/>
                <w:sz w:val="22"/>
                <w:szCs w:val="22"/>
                <w:u w:val="none"/>
                <w:lang w:val="en-US" w:eastAsia="zh-CN" w:bidi="ar"/>
              </w:rPr>
              <w:t>1-10</w:t>
            </w:r>
            <w:r>
              <w:rPr>
                <w:rFonts w:hint="eastAsia" w:ascii="宋体" w:hAnsi="宋体" w:eastAsia="宋体" w:cs="宋体"/>
                <w:i w:val="0"/>
                <w:color w:val="000000"/>
                <w:kern w:val="0"/>
                <w:sz w:val="22"/>
                <w:szCs w:val="22"/>
                <w:u w:val="none"/>
                <w:lang w:val="en-US" w:eastAsia="zh-CN" w:bidi="ar"/>
              </w:rPr>
              <w:t>分，差</w:t>
            </w:r>
            <w:r>
              <w:rPr>
                <w:rFonts w:hint="eastAsia" w:ascii="宋体" w:hAnsi="宋体"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分。</w:t>
            </w:r>
          </w:p>
        </w:tc>
      </w:tr>
      <w:tr>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p>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满分21分，三甲医院1家/3分。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bl>
    <w:p>
      <w:pPr>
        <w:rPr>
          <w:rFonts w:hint="eastAsia" w:ascii="楷体_GB2312" w:eastAsia="楷体_GB2312"/>
          <w:b/>
          <w:bCs/>
          <w:sz w:val="24"/>
          <w:lang w:eastAsia="zh-CN"/>
        </w:rPr>
      </w:pPr>
    </w:p>
    <w:p>
      <w:pPr>
        <w:pStyle w:val="18"/>
        <w:ind w:left="0" w:leftChars="0" w:firstLine="0" w:firstLineChars="0"/>
        <w:rPr>
          <w:rFonts w:hint="eastAsia" w:ascii="楷体_GB2312" w:eastAsia="楷体_GB2312"/>
          <w:b/>
          <w:bCs/>
          <w:sz w:val="2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BD04BF-D84B-489D-BDD7-79FA3474A2A3}"/>
  </w:font>
  <w:font w:name="Courier New">
    <w:panose1 w:val="02070309020205020404"/>
    <w:charset w:val="01"/>
    <w:family w:val="modern"/>
    <w:pitch w:val="default"/>
    <w:sig w:usb0="E0002EFF" w:usb1="C0007843" w:usb2="00000009" w:usb3="00000000" w:csb0="400001FF" w:csb1="FFFF0000"/>
    <w:embedRegular r:id="rId2" w:fontKey="{F62FC2FA-6F7C-4274-8577-E1C4FBE7A4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4DD992A-5A6D-4425-972E-78C70293BA6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C1C2AE69-5221-49F6-8AB6-045BA7988536}"/>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C09B2954-2C92-4464-81D6-A865135A7810}"/>
  </w:font>
  <w:font w:name="方正小标宋简体">
    <w:panose1 w:val="02000000000000000000"/>
    <w:charset w:val="86"/>
    <w:family w:val="script"/>
    <w:pitch w:val="default"/>
    <w:sig w:usb0="A00002BF" w:usb1="184F6CFA" w:usb2="00000012" w:usb3="00000000" w:csb0="00040001" w:csb1="00000000"/>
    <w:embedRegular r:id="rId6" w:fontKey="{57735167-933D-47F2-BAB3-4F5BF8148AC6}"/>
  </w:font>
  <w:font w:name="楷体_GB2312">
    <w:panose1 w:val="02010609030101010101"/>
    <w:charset w:val="86"/>
    <w:family w:val="modern"/>
    <w:pitch w:val="default"/>
    <w:sig w:usb0="00000001" w:usb1="080E0000" w:usb2="00000000" w:usb3="00000000" w:csb0="00040000" w:csb1="00000000"/>
    <w:embedRegular r:id="rId7" w:fontKey="{A1BE0144-F3EB-4FCC-AE9D-754C8A80EB9F}"/>
  </w:font>
  <w:font w:name="楷体">
    <w:panose1 w:val="02010609060101010101"/>
    <w:charset w:val="86"/>
    <w:family w:val="auto"/>
    <w:pitch w:val="default"/>
    <w:sig w:usb0="800002BF" w:usb1="38CF7CFA" w:usb2="00000016" w:usb3="00000000" w:csb0="00040001" w:csb1="00000000"/>
    <w:embedRegular r:id="rId8" w:fontKey="{C5B38EF3-746B-4755-8690-642FA7EB1461}"/>
  </w:font>
  <w:font w:name="新宋体">
    <w:panose1 w:val="02010609030101010101"/>
    <w:charset w:val="86"/>
    <w:family w:val="modern"/>
    <w:pitch w:val="default"/>
    <w:sig w:usb0="00000203" w:usb1="288F0000" w:usb2="00000006" w:usb3="00000000" w:csb0="00040001" w:csb1="00000000"/>
    <w:embedRegular r:id="rId9" w:fontKey="{B913B179-A33D-4198-B0C0-F86E999DCDD3}"/>
  </w:font>
  <w:font w:name="仿宋">
    <w:panose1 w:val="02010609060101010101"/>
    <w:charset w:val="86"/>
    <w:family w:val="auto"/>
    <w:pitch w:val="default"/>
    <w:sig w:usb0="800002BF" w:usb1="38CF7CFA" w:usb2="00000016" w:usb3="00000000" w:csb0="00040001" w:csb1="00000000"/>
    <w:embedRegular r:id="rId10" w:fontKey="{1ECD0095-B2C0-4F70-AEBD-4E657B5E11AA}"/>
  </w:font>
  <w:font w:name="方正仿宋_GBK">
    <w:panose1 w:val="02000000000000000000"/>
    <w:charset w:val="86"/>
    <w:family w:val="auto"/>
    <w:pitch w:val="default"/>
    <w:sig w:usb0="A00002BF" w:usb1="38CF7CFA" w:usb2="00082016" w:usb3="00000000" w:csb0="00040001" w:csb1="00000000"/>
    <w:embedRegular r:id="rId11" w:fontKey="{943A10CA-9CB4-4168-8ECC-1923B5C514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1989F1A"/>
    <w:multiLevelType w:val="singleLevel"/>
    <w:tmpl w:val="11989F1A"/>
    <w:lvl w:ilvl="0" w:tentative="0">
      <w:start w:val="2"/>
      <w:numFmt w:val="decimal"/>
      <w:suff w:val="nothing"/>
      <w:lvlText w:val="%1、"/>
      <w:lvlJc w:val="left"/>
    </w:lvl>
  </w:abstractNum>
  <w:abstractNum w:abstractNumId="2">
    <w:nsid w:val="18A1AFE5"/>
    <w:multiLevelType w:val="singleLevel"/>
    <w:tmpl w:val="18A1AFE5"/>
    <w:lvl w:ilvl="0" w:tentative="0">
      <w:start w:val="1"/>
      <w:numFmt w:val="decimal"/>
      <w:suff w:val="nothing"/>
      <w:lvlText w:val="%1、"/>
      <w:lvlJc w:val="left"/>
    </w:lvl>
  </w:abstractNum>
  <w:abstractNum w:abstractNumId="3">
    <w:nsid w:val="5C3716E2"/>
    <w:multiLevelType w:val="singleLevel"/>
    <w:tmpl w:val="5C3716E2"/>
    <w:lvl w:ilvl="0" w:tentative="0">
      <w:start w:val="1"/>
      <w:numFmt w:val="chineseCounting"/>
      <w:suff w:val="nothing"/>
      <w:lvlText w:val="（%1）"/>
      <w:lvlJc w:val="left"/>
      <w:rPr>
        <w:rFonts w:hint="eastAsia"/>
      </w:rPr>
    </w:lvl>
  </w:abstractNum>
  <w:abstractNum w:abstractNumId="4">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9C3C62"/>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463D63"/>
    <w:rsid w:val="17566335"/>
    <w:rsid w:val="18340100"/>
    <w:rsid w:val="186E04C6"/>
    <w:rsid w:val="18AB5F80"/>
    <w:rsid w:val="18B9306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5D94FA6"/>
    <w:rsid w:val="268C6486"/>
    <w:rsid w:val="26AF008C"/>
    <w:rsid w:val="27E050B2"/>
    <w:rsid w:val="28120E48"/>
    <w:rsid w:val="28522F1A"/>
    <w:rsid w:val="28653758"/>
    <w:rsid w:val="28D97579"/>
    <w:rsid w:val="28FD2511"/>
    <w:rsid w:val="290F465E"/>
    <w:rsid w:val="291348CF"/>
    <w:rsid w:val="296B0B7A"/>
    <w:rsid w:val="29EF2227"/>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3947EE"/>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B6C6D0D"/>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344A7E"/>
    <w:rsid w:val="7A6115E2"/>
    <w:rsid w:val="7AA1186E"/>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pPr>
    <w:rPr>
      <w:szCs w:val="20"/>
    </w:rPr>
  </w:style>
  <w:style w:type="paragraph" w:styleId="5">
    <w:name w:val="Body Text"/>
    <w:basedOn w:val="1"/>
    <w:next w:val="6"/>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qFormat/>
    <w:uiPriority w:val="0"/>
    <w:pPr>
      <w:tabs>
        <w:tab w:val="left" w:pos="426"/>
      </w:tabs>
      <w:ind w:left="2100"/>
    </w:pPr>
  </w:style>
  <w:style w:type="paragraph" w:styleId="8">
    <w:name w:val="Plain Text"/>
    <w:basedOn w:val="1"/>
    <w:link w:val="25"/>
    <w:qFormat/>
    <w:uiPriority w:val="0"/>
    <w:rPr>
      <w:rFonts w:ascii="宋体" w:hAnsi="Courier New" w:eastAsiaTheme="minorEastAsia" w:cstheme="minorBidi"/>
      <w:szCs w:val="20"/>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unhideWhenUsed/>
    <w:qFormat/>
    <w:uiPriority w:val="99"/>
    <w:pPr>
      <w:spacing w:after="120" w:line="480" w:lineRule="auto"/>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paragraph" w:customStyle="1" w:styleId="18">
    <w:name w:val="_Style 1"/>
    <w:basedOn w:val="1"/>
    <w:qFormat/>
    <w:uiPriority w:val="99"/>
    <w:pPr>
      <w:ind w:firstLine="420" w:firstLineChars="200"/>
    </w:pPr>
  </w:style>
  <w:style w:type="paragraph" w:customStyle="1" w:styleId="19">
    <w:name w:val="纯文本1"/>
    <w:basedOn w:val="1"/>
    <w:qFormat/>
    <w:uiPriority w:val="0"/>
    <w:rPr>
      <w:rFonts w:ascii="宋体" w:hAnsi="Courier New"/>
      <w:szCs w:val="20"/>
    </w:rPr>
  </w:style>
  <w:style w:type="paragraph" w:customStyle="1" w:styleId="20">
    <w:name w:val="Default"/>
    <w:next w:val="7"/>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qFormat/>
    <w:uiPriority w:val="0"/>
    <w:pPr>
      <w:spacing w:before="25" w:after="25" w:line="240" w:lineRule="auto"/>
      <w:ind w:firstLine="0"/>
      <w:jc w:val="left"/>
    </w:pPr>
    <w:rPr>
      <w:bCs/>
      <w:spacing w:val="10"/>
      <w:kern w:val="0"/>
      <w:sz w:val="24"/>
    </w:rPr>
  </w:style>
  <w:style w:type="paragraph" w:customStyle="1" w:styleId="22">
    <w:name w:val="表格文字（两侧对齐）"/>
    <w:basedOn w:val="1"/>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qFormat/>
    <w:uiPriority w:val="99"/>
    <w:rPr>
      <w:sz w:val="18"/>
      <w:szCs w:val="18"/>
    </w:rPr>
  </w:style>
  <w:style w:type="character" w:customStyle="1" w:styleId="24">
    <w:name w:val="页脚 Char"/>
    <w:basedOn w:val="15"/>
    <w:link w:val="9"/>
    <w:qFormat/>
    <w:uiPriority w:val="99"/>
    <w:rPr>
      <w:sz w:val="18"/>
      <w:szCs w:val="18"/>
    </w:rPr>
  </w:style>
  <w:style w:type="character" w:customStyle="1" w:styleId="25">
    <w:name w:val="纯文本 Char"/>
    <w:basedOn w:val="15"/>
    <w:link w:val="8"/>
    <w:qFormat/>
    <w:uiPriority w:val="0"/>
    <w:rPr>
      <w:rFonts w:ascii="宋体" w:hAnsi="Courier New"/>
      <w:szCs w:val="20"/>
    </w:rPr>
  </w:style>
  <w:style w:type="paragraph" w:customStyle="1" w:styleId="26">
    <w:name w:val="表格"/>
    <w:basedOn w:val="1"/>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qFormat/>
    <w:uiPriority w:val="0"/>
    <w:rPr>
      <w:rFonts w:ascii="Times New Roman" w:hAnsi="Arial" w:eastAsia="宋体" w:cs="Times New Roman"/>
      <w:b/>
      <w:kern w:val="0"/>
      <w:sz w:val="32"/>
      <w:szCs w:val="24"/>
    </w:rPr>
  </w:style>
  <w:style w:type="paragraph" w:styleId="28">
    <w:name w:val="List Paragraph"/>
    <w:basedOn w:val="1"/>
    <w:qFormat/>
    <w:uiPriority w:val="34"/>
    <w:pPr>
      <w:ind w:firstLine="420" w:firstLineChars="200"/>
    </w:p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qFormat/>
    <w:uiPriority w:val="0"/>
    <w:rPr>
      <w:rFonts w:hint="eastAsia" w:ascii="宋体" w:hAnsi="宋体" w:eastAsia="宋体" w:cs="宋体"/>
      <w:color w:val="000000"/>
      <w:sz w:val="22"/>
      <w:szCs w:val="22"/>
      <w:u w:val="none"/>
    </w:rPr>
  </w:style>
  <w:style w:type="character" w:customStyle="1" w:styleId="31">
    <w:name w:val="font31"/>
    <w:basedOn w:val="15"/>
    <w:qFormat/>
    <w:uiPriority w:val="0"/>
    <w:rPr>
      <w:rFonts w:hint="eastAsia" w:ascii="宋体" w:hAnsi="宋体" w:eastAsia="宋体" w:cs="宋体"/>
      <w:color w:val="FF0000"/>
      <w:sz w:val="22"/>
      <w:szCs w:val="22"/>
      <w:u w:val="none"/>
    </w:rPr>
  </w:style>
  <w:style w:type="character" w:customStyle="1" w:styleId="32">
    <w:name w:val="font21"/>
    <w:basedOn w:val="15"/>
    <w:qFormat/>
    <w:uiPriority w:val="0"/>
    <w:rPr>
      <w:rFonts w:hint="eastAsia" w:ascii="宋体" w:hAnsi="宋体" w:eastAsia="宋体" w:cs="宋体"/>
      <w:color w:val="000000"/>
      <w:sz w:val="20"/>
      <w:szCs w:val="20"/>
      <w:u w:val="none"/>
    </w:rPr>
  </w:style>
  <w:style w:type="character" w:customStyle="1" w:styleId="33">
    <w:name w:val="font01"/>
    <w:basedOn w:val="15"/>
    <w:qFormat/>
    <w:uiPriority w:val="0"/>
    <w:rPr>
      <w:rFonts w:hint="default" w:ascii="Times New Roman" w:hAnsi="Times New Roman" w:cs="Times New Roman"/>
      <w:color w:val="000000"/>
      <w:sz w:val="20"/>
      <w:szCs w:val="20"/>
      <w:u w:val="none"/>
    </w:rPr>
  </w:style>
  <w:style w:type="character" w:customStyle="1" w:styleId="34">
    <w:name w:val="font81"/>
    <w:basedOn w:val="15"/>
    <w:qFormat/>
    <w:uiPriority w:val="0"/>
    <w:rPr>
      <w:rFonts w:ascii="Calibri" w:hAnsi="Calibri" w:cs="Calibri"/>
      <w:color w:val="000000"/>
      <w:sz w:val="20"/>
      <w:szCs w:val="20"/>
      <w:u w:val="none"/>
    </w:rPr>
  </w:style>
  <w:style w:type="character" w:customStyle="1" w:styleId="35">
    <w:name w:val="font71"/>
    <w:basedOn w:val="15"/>
    <w:qFormat/>
    <w:uiPriority w:val="0"/>
    <w:rPr>
      <w:rFonts w:ascii="Calibri" w:hAnsi="Calibri" w:cs="Calibri"/>
      <w:color w:val="000000"/>
      <w:sz w:val="20"/>
      <w:szCs w:val="20"/>
      <w:u w:val="none"/>
    </w:rPr>
  </w:style>
  <w:style w:type="character" w:customStyle="1" w:styleId="36">
    <w:name w:val="font91"/>
    <w:basedOn w:val="15"/>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10535</Words>
  <Characters>11445</Characters>
  <Lines>64</Lines>
  <Paragraphs>18</Paragraphs>
  <TotalTime>20</TotalTime>
  <ScaleCrop>false</ScaleCrop>
  <LinksUpToDate>false</LinksUpToDate>
  <CharactersWithSpaces>12064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巫碧玉</cp:lastModifiedBy>
  <cp:lastPrinted>2024-09-11T02:35:00Z</cp:lastPrinted>
  <dcterms:modified xsi:type="dcterms:W3CDTF">2026-06-08T02:57:05Z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