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黑体" w:hAnsi="黑体" w:eastAsia="黑体" w:cs="黑体"/>
          <w:color w:val="auto"/>
          <w:kern w:val="2"/>
          <w:sz w:val="32"/>
          <w:szCs w:val="36"/>
          <w:u w:val="none"/>
          <w:lang w:eastAsia="zh-CN" w:bidi="ar-SA"/>
        </w:rPr>
      </w:pPr>
      <w:r>
        <w:rPr>
          <w:rFonts w:hint="eastAsia" w:ascii="黑体" w:hAnsi="黑体" w:eastAsia="黑体" w:cs="黑体"/>
          <w:color w:val="auto"/>
          <w:sz w:val="32"/>
          <w:szCs w:val="36"/>
          <w:u w:val="none"/>
        </w:rPr>
        <w:t>附件</w:t>
      </w:r>
      <w:r>
        <w:rPr>
          <w:rFonts w:hint="default" w:ascii="黑体" w:hAnsi="黑体" w:eastAsia="黑体" w:cs="黑体"/>
          <w:color w:val="auto"/>
          <w:sz w:val="32"/>
          <w:szCs w:val="36"/>
          <w:u w:val="none"/>
        </w:rPr>
        <w:t>1</w:t>
      </w:r>
    </w:p>
    <w:p>
      <w:pPr>
        <w:spacing w:line="560" w:lineRule="exact"/>
        <w:jc w:val="center"/>
        <w:rPr>
          <w:rFonts w:hint="eastAsia" w:ascii="仿宋_GB2312" w:hAnsi="仿宋_GB2312" w:eastAsia="仿宋_GB2312" w:cs="仿宋_GB2312"/>
          <w:color w:val="auto"/>
          <w:kern w:val="2"/>
          <w:sz w:val="32"/>
          <w:szCs w:val="36"/>
          <w:u w:val="none"/>
          <w:lang w:eastAsia="zh-CN" w:bidi="ar-SA"/>
        </w:rPr>
      </w:pPr>
      <w:r>
        <w:rPr>
          <w:rFonts w:hint="default" w:ascii="仿宋_GB2312" w:hAnsi="仿宋_GB2312" w:eastAsia="仿宋_GB2312" w:cs="仿宋_GB2312"/>
          <w:color w:val="auto"/>
          <w:kern w:val="2"/>
          <w:sz w:val="32"/>
          <w:szCs w:val="36"/>
          <w:u w:val="none"/>
          <w:lang w:eastAsia="zh-CN" w:bidi="ar-SA"/>
        </w:rPr>
        <w:t>参与</w:t>
      </w:r>
      <w:r>
        <w:rPr>
          <w:rFonts w:hint="eastAsia" w:ascii="仿宋_GB2312" w:hAnsi="仿宋_GB2312" w:eastAsia="仿宋_GB2312" w:cs="仿宋_GB2312"/>
          <w:color w:val="auto"/>
          <w:kern w:val="2"/>
          <w:sz w:val="32"/>
          <w:szCs w:val="36"/>
          <w:u w:val="none"/>
          <w:lang w:eastAsia="zh-CN" w:bidi="ar-SA"/>
        </w:rPr>
        <w:t>政府采购投标及履约承诺函</w:t>
      </w:r>
    </w:p>
    <w:p>
      <w:pPr>
        <w:spacing w:line="560" w:lineRule="exact"/>
        <w:jc w:val="both"/>
        <w:rPr>
          <w:rFonts w:hint="eastAsia" w:ascii="仿宋_GB2312" w:hAnsi="仿宋_GB2312" w:eastAsia="仿宋_GB2312" w:cs="仿宋_GB2312"/>
          <w:color w:val="auto"/>
          <w:kern w:val="2"/>
          <w:sz w:val="32"/>
          <w:szCs w:val="36"/>
          <w:u w:val="none"/>
          <w:lang w:eastAsia="zh-CN" w:bidi="ar-SA"/>
        </w:rPr>
      </w:pPr>
      <w:r>
        <w:rPr>
          <w:rFonts w:hint="eastAsia" w:ascii="仿宋_GB2312" w:hAnsi="仿宋_GB2312" w:eastAsia="仿宋_GB2312" w:cs="仿宋_GB2312"/>
          <w:color w:val="auto"/>
          <w:kern w:val="2"/>
          <w:sz w:val="32"/>
          <w:szCs w:val="36"/>
          <w:u w:val="none"/>
          <w:lang w:eastAsia="zh-CN" w:bidi="ar-SA"/>
        </w:rPr>
        <w:t>深圳市龙岗区应急管理局：</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参与深圳市龙岗区应急管理局XX项目（以下简称本项目”）政府采购活动，承诺：</w:t>
      </w:r>
    </w:p>
    <w:p>
      <w:pPr>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eastAsia="zh-CN" w:bidi="ar-SA"/>
        </w:rPr>
        <w:t>1.</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参与本项目所提供的货物或服务未侵犯知识产权。</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参加本项目政府采购活动时，不存在《中华人民共和国政府采购法实施条例》第十八条规定的与</w:t>
      </w:r>
      <w:r>
        <w:rPr>
          <w:rFonts w:hint="eastAsia" w:ascii="仿宋_GB2312" w:hAnsi="仿宋_GB2312" w:eastAsia="仿宋_GB2312" w:cs="仿宋_GB2312"/>
          <w:color w:val="auto"/>
          <w:kern w:val="2"/>
          <w:sz w:val="32"/>
          <w:szCs w:val="32"/>
          <w:lang w:eastAsia="zh-CN" w:bidi="ar-SA"/>
        </w:rPr>
        <w:t>参加同一项目的</w:t>
      </w:r>
      <w:r>
        <w:rPr>
          <w:rFonts w:hint="eastAsia" w:ascii="仿宋_GB2312" w:hAnsi="仿宋_GB2312" w:eastAsia="仿宋_GB2312" w:cs="仿宋_GB2312"/>
          <w:b w:val="0"/>
          <w:bCs w:val="0"/>
          <w:color w:val="auto"/>
          <w:kern w:val="2"/>
          <w:sz w:val="32"/>
          <w:szCs w:val="32"/>
          <w:lang w:val="en-US" w:eastAsia="zh-CN" w:bidi="ar-SA"/>
        </w:rPr>
        <w:t>其他供应商“</w:t>
      </w:r>
      <w:r>
        <w:rPr>
          <w:rFonts w:hint="eastAsia" w:ascii="仿宋_GB2312" w:hAnsi="仿宋_GB2312" w:eastAsia="仿宋_GB2312" w:cs="仿宋_GB2312"/>
          <w:color w:val="auto"/>
          <w:kern w:val="2"/>
          <w:sz w:val="32"/>
          <w:szCs w:val="32"/>
          <w:lang w:val="en-US" w:eastAsia="zh-CN" w:bidi="ar-SA"/>
        </w:rPr>
        <w:t>单位负责人为同一人或者存在直接控股、管理关系”的情形</w:t>
      </w:r>
      <w:r>
        <w:rPr>
          <w:rFonts w:hint="eastAsia" w:ascii="仿宋_GB2312" w:hAnsi="仿宋_GB2312" w:eastAsia="仿宋_GB2312" w:cs="仿宋_GB2312"/>
          <w:color w:val="auto"/>
          <w:kern w:val="2"/>
          <w:sz w:val="32"/>
          <w:szCs w:val="32"/>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color w:val="auto"/>
          <w:kern w:val="2"/>
          <w:sz w:val="32"/>
          <w:szCs w:val="32"/>
          <w:lang w:val="en-US" w:eastAsia="zh-CN" w:bidi="ar-SA"/>
        </w:rPr>
        <w:t>。</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参与本项目政府采购活动前三年内，在经营活动中没有《中华人民共和国政府采购法实施条例》第十九条规定的重大违法记录。</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参与本项目政府采购活动时不存在被有关部门禁止参与政府采购活动且在有效期内的情况。</w:t>
      </w:r>
    </w:p>
    <w:p>
      <w:pPr>
        <w:pageBreakBefore w:val="0"/>
        <w:widowControl w:val="0"/>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具备《中华人民共和国政府采购法》第二十二条第一款规定的六项条件。</w:t>
      </w:r>
    </w:p>
    <w:p>
      <w:pPr>
        <w:pageBreakBefore w:val="0"/>
        <w:widowControl w:val="0"/>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未被列</w:t>
      </w:r>
      <w:r>
        <w:rPr>
          <w:rFonts w:hint="default" w:ascii="仿宋_GB2312" w:hAnsi="仿宋_GB2312" w:eastAsia="仿宋_GB2312" w:cs="仿宋_GB2312"/>
          <w:b w:val="0"/>
          <w:bCs w:val="0"/>
          <w:color w:val="auto"/>
          <w:kern w:val="2"/>
          <w:sz w:val="32"/>
          <w:szCs w:val="32"/>
          <w:lang w:eastAsia="zh-CN" w:bidi="ar-SA"/>
        </w:rPr>
        <w:t>为</w:t>
      </w:r>
      <w:r>
        <w:rPr>
          <w:rFonts w:hint="eastAsia" w:ascii="仿宋_GB2312" w:hAnsi="仿宋_GB2312" w:eastAsia="仿宋_GB2312" w:cs="仿宋_GB2312"/>
          <w:b w:val="0"/>
          <w:bCs w:val="0"/>
          <w:color w:val="auto"/>
          <w:kern w:val="2"/>
          <w:sz w:val="32"/>
          <w:szCs w:val="32"/>
          <w:lang w:val="en-US" w:eastAsia="zh-CN" w:bidi="ar-SA"/>
        </w:rPr>
        <w:t>失信被执行人</w:t>
      </w:r>
      <w:r>
        <w:rPr>
          <w:rFonts w:hint="default" w:ascii="仿宋_GB2312" w:hAnsi="仿宋_GB2312" w:eastAsia="仿宋_GB2312" w:cs="仿宋_GB2312"/>
          <w:b w:val="0"/>
          <w:bCs w:val="0"/>
          <w:color w:val="auto"/>
          <w:kern w:val="2"/>
          <w:sz w:val="32"/>
          <w:szCs w:val="32"/>
          <w:lang w:eastAsia="zh-CN" w:bidi="ar-SA"/>
        </w:rPr>
        <w:t>，未被列入</w:t>
      </w:r>
      <w:r>
        <w:rPr>
          <w:rFonts w:hint="eastAsia" w:ascii="仿宋_GB2312" w:hAnsi="仿宋_GB2312" w:eastAsia="仿宋_GB2312" w:cs="仿宋_GB2312"/>
          <w:b w:val="0"/>
          <w:bCs w:val="0"/>
          <w:color w:val="auto"/>
          <w:kern w:val="2"/>
          <w:sz w:val="32"/>
          <w:szCs w:val="32"/>
          <w:lang w:val="en-US" w:eastAsia="zh-CN" w:bidi="ar-SA"/>
        </w:rPr>
        <w:t>重大税收违法案件当事人名单、政府采购严重违法失信行为记录名单</w:t>
      </w:r>
      <w:r>
        <w:rPr>
          <w:rFonts w:hint="default" w:ascii="仿宋_GB2312" w:hAnsi="仿宋_GB2312" w:eastAsia="仿宋_GB2312" w:cs="仿宋_GB2312"/>
          <w:b w:val="0"/>
          <w:bCs w:val="0"/>
          <w:color w:val="auto"/>
          <w:kern w:val="2"/>
          <w:sz w:val="32"/>
          <w:szCs w:val="32"/>
          <w:lang w:eastAsia="zh-CN" w:bidi="ar-SA"/>
        </w:rPr>
        <w:t>及其他失信联合惩戒对象名单</w:t>
      </w:r>
      <w:r>
        <w:rPr>
          <w:rFonts w:hint="eastAsia" w:ascii="仿宋_GB2312" w:hAnsi="仿宋_GB2312" w:eastAsia="仿宋_GB2312" w:cs="仿宋_GB2312"/>
          <w:b w:val="0"/>
          <w:bCs w:val="0"/>
          <w:color w:val="auto"/>
          <w:kern w:val="2"/>
          <w:sz w:val="32"/>
          <w:szCs w:val="32"/>
          <w:lang w:val="en-US" w:eastAsia="zh-CN" w:bidi="ar-SA"/>
        </w:rPr>
        <w:t>。</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7.</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参与本项目政府采购活动，严格遵守政府采购相关法律，做到诚实，不造假，不围标、串标、陪标。</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已清楚，如违反上述要求，将作无效响应处理，被列入不良记录名单并在网上曝光，同时将被提请政府采购监督管理部门给予一定年限内禁止参与政府采购活动或其他处罚。</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8.</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如果成为本项目成交供应商，做到守信，不偷工减料，依照本项目采购文件需求内容、签署的采购合同及本</w:t>
      </w:r>
      <w:r>
        <w:rPr>
          <w:rFonts w:hint="default" w:ascii="仿宋_GB2312" w:hAnsi="仿宋_GB2312" w:eastAsia="仿宋_GB2312" w:cs="仿宋_GB2312"/>
          <w:b w:val="0"/>
          <w:bCs w:val="0"/>
          <w:color w:val="auto"/>
          <w:kern w:val="2"/>
          <w:sz w:val="32"/>
          <w:szCs w:val="32"/>
          <w:lang w:eastAsia="zh-CN" w:bidi="ar-SA"/>
        </w:rPr>
        <w:t>单位</w:t>
      </w:r>
      <w:r>
        <w:rPr>
          <w:rFonts w:hint="eastAsia" w:ascii="仿宋_GB2312" w:hAnsi="仿宋_GB2312" w:eastAsia="仿宋_GB2312" w:cs="仿宋_GB2312"/>
          <w:b w:val="0"/>
          <w:bCs w:val="0"/>
          <w:color w:val="auto"/>
          <w:kern w:val="2"/>
          <w:sz w:val="32"/>
          <w:szCs w:val="32"/>
          <w:lang w:val="en-US" w:eastAsia="zh-CN" w:bidi="ar-SA"/>
        </w:rPr>
        <w:t>在参与政府采购活动时所作的一切响应和承诺进行履约。在合同履约期间，如</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因违法行为被禁止参与政府采购活动或者存在其他重大违法行为的，采购人可以提前解除合同或者不予续签合同。</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9.</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承诺本项目的报价不低于</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的成本价，否则，</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清楚将面临投标无效的风险；</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承诺不恶意低价谋取成交；</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对本项目的报价负责，成交后将严格按照本项目采购文件需求、签署的采购合同及</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在报价响应中所作的全部承诺履行。</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清楚，若</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以“报价太低而无法履约”为理由放弃本项目成交资格时，愿意接受政府采购监督管理部门的处理。若</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成为本项目成交供应商，</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的报价明显低于其他参与政府采购供应商的报价时，</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清楚，本项目将成为重点监管、重点验收项目，</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将按时保质保量完成，并全力配合有关监管、验收工作；若</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未按上述要求履约，</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愿意接受政府采购监督管理部门的处理。</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10.</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已认真核实了报价响应文件的全部内容，所有资料均为真实资料。</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对报价响应文件中全部资料的真实性负责，如被证实</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的报价响应文件中存在虚假资料的，则视为</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隐瞒真实情况、提供虚假资料，</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愿意接受政府采购监督管理部门作出的行政处罚。</w:t>
      </w:r>
    </w:p>
    <w:p>
      <w:pPr>
        <w:keepNext w:val="0"/>
        <w:keepLines w:val="0"/>
        <w:pageBreakBefore w:val="0"/>
        <w:widowControl/>
        <w:kinsoku/>
        <w:wordWrap/>
        <w:overflowPunct/>
        <w:topLinePunct w:val="0"/>
        <w:autoSpaceDE/>
        <w:autoSpaceDN/>
        <w:bidi w:val="0"/>
        <w:adjustRightInd/>
        <w:snapToGrid/>
        <w:spacing w:beforeLines="0" w:afterLines="0" w:line="560" w:lineRule="exact"/>
        <w:ind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11.</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承诺不非法转包、分包。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以上承诺，如有违反，愿依照国家相关法律法规处理，并承担由此给采购人带来的损失。</w:t>
      </w:r>
    </w:p>
    <w:p>
      <w:pPr>
        <w:spacing w:line="560" w:lineRule="exact"/>
        <w:jc w:val="center"/>
        <w:rPr>
          <w:rFonts w:hint="eastAsia" w:ascii="仿宋_GB2312" w:hAnsi="仿宋_GB2312" w:eastAsia="仿宋_GB2312" w:cs="仿宋_GB2312"/>
          <w:color w:val="auto"/>
          <w:kern w:val="2"/>
          <w:sz w:val="32"/>
          <w:szCs w:val="36"/>
          <w:u w:val="none"/>
          <w:lang w:eastAsia="zh-CN" w:bidi="ar-SA"/>
        </w:rPr>
      </w:pPr>
    </w:p>
    <w:p>
      <w:pPr>
        <w:spacing w:line="560" w:lineRule="exact"/>
        <w:jc w:val="center"/>
        <w:rPr>
          <w:rFonts w:hint="eastAsia" w:ascii="仿宋_GB2312" w:hAnsi="仿宋_GB2312" w:eastAsia="仿宋_GB2312" w:cs="仿宋_GB2312"/>
          <w:color w:val="auto"/>
          <w:kern w:val="2"/>
          <w:sz w:val="32"/>
          <w:szCs w:val="36"/>
          <w:u w:val="none"/>
          <w:lang w:eastAsia="zh-CN" w:bidi="ar-SA"/>
        </w:rPr>
      </w:pPr>
    </w:p>
    <w:p>
      <w:pPr>
        <w:spacing w:line="560" w:lineRule="exact"/>
        <w:jc w:val="center"/>
        <w:rPr>
          <w:rFonts w:hint="eastAsia" w:ascii="仿宋_GB2312" w:hAnsi="仿宋_GB2312" w:eastAsia="仿宋_GB2312" w:cs="仿宋_GB2312"/>
          <w:color w:val="auto"/>
          <w:kern w:val="2"/>
          <w:sz w:val="32"/>
          <w:szCs w:val="36"/>
          <w:u w:val="none"/>
          <w:lang w:eastAsia="zh-CN" w:bidi="ar-SA"/>
        </w:rPr>
      </w:pPr>
      <w:r>
        <w:rPr>
          <w:rFonts w:hint="eastAsia" w:ascii="仿宋_GB2312" w:hAnsi="仿宋_GB2312" w:eastAsia="仿宋_GB2312" w:cs="仿宋_GB2312"/>
          <w:color w:val="auto"/>
          <w:kern w:val="2"/>
          <w:sz w:val="32"/>
          <w:szCs w:val="36"/>
          <w:u w:val="none"/>
          <w:lang w:eastAsia="zh-CN" w:bidi="ar-SA"/>
        </w:rPr>
        <w:t xml:space="preserve">           供应商：</w:t>
      </w:r>
    </w:p>
    <w:p>
      <w:pPr>
        <w:rPr>
          <w:color w:val="auto"/>
        </w:rPr>
      </w:pPr>
      <w:r>
        <w:rPr>
          <w:rFonts w:hint="eastAsia" w:ascii="仿宋_GB2312" w:hAnsi="仿宋_GB2312" w:eastAsia="仿宋_GB2312" w:cs="仿宋_GB2312"/>
          <w:color w:val="auto"/>
          <w:kern w:val="2"/>
          <w:sz w:val="32"/>
          <w:szCs w:val="36"/>
          <w:u w:val="none"/>
          <w:lang w:val="en-US" w:eastAsia="zh-CN" w:bidi="ar-SA"/>
        </w:rPr>
        <w:t xml:space="preserve">                             </w:t>
      </w:r>
      <w:r>
        <w:rPr>
          <w:rFonts w:hint="eastAsia" w:ascii="仿宋_GB2312" w:hAnsi="仿宋_GB2312" w:eastAsia="仿宋_GB2312" w:cs="仿宋_GB2312"/>
          <w:color w:val="auto"/>
          <w:kern w:val="2"/>
          <w:sz w:val="32"/>
          <w:szCs w:val="36"/>
          <w:u w:val="none"/>
          <w:lang w:eastAsia="zh-CN" w:bidi="ar-SA"/>
        </w:rPr>
        <w:t>日期：    年   月   日</w:t>
      </w:r>
    </w:p>
    <w:p>
      <w:pPr>
        <w:pStyle w:val="10"/>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8"/>
        <w:rPr>
          <w:rFonts w:hint="eastAsia" w:ascii="仿宋_GB2312" w:hAnsi="仿宋_GB2312" w:eastAsia="仿宋_GB2312" w:cs="仿宋_GB2312"/>
          <w:color w:val="auto"/>
          <w:sz w:val="32"/>
          <w:szCs w:val="32"/>
        </w:rPr>
      </w:pPr>
      <w:bookmarkStart w:id="0" w:name="_GoBack"/>
      <w:bookmarkEnd w:id="0"/>
    </w:p>
    <w:sectPr>
      <w:footerReference r:id="rId3" w:type="default"/>
      <w:pgSz w:w="11906" w:h="16838"/>
      <w:pgMar w:top="2098" w:right="1474" w:bottom="1984" w:left="158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QpMREywEAAJIDAAAOAAAAZHJz&#10;L2Uyb0RvYy54bWytU0tu2zAQ3RfIHQjuY8lu0LqC5aCAkaBA0QZIewCaoiwC/GGGtuQeoL1BV910&#10;33P5HBnq4xTJJotsqBkO+ea9x9HqurOGHRSg9q7k81nOmXLSV9rtSv79283lkjOMwlXCeKdKflTI&#10;r9cXb1ZtKNTCN95UChiBOCzaUPImxlBkGcpGWYEzH5SjYu3Bikgp7LIKREvo1mSLPH+XtR6qAF4q&#10;RNrdDEU+IsJLAH1da6k2Xu6tcnFABWVEJEnY6IB83bOtayXj17pGFZkpOSmN/UpNKN6mNVuvRLED&#10;ERotRwriJRSeaLJCO2p6htqIKNge9DMoqyV49HWcSW+zQUjvCKmY50+8uW9EUL0WshrD2XR8PVj5&#10;5XAHTFclv8o/vOfMCUtvfvr96/Tn3+nvT/Y2OdQGLOjgfbiDMUMKk9yuBpu+JIR1vavHs6uqi0zS&#10;5ny5WC5zMlxSbUoIJ3u8HgDjrfKWpaDkQM/WuykOnzEOR6cjqZtxaXX+RhszVNNOlmgOxFIUu203&#10;st366kgqaegJvPHwg7OWnrzkjiacM/PJkaNpOqYApmA7BcJJuljygReGj/tI7XtuqdnQYeRAT9Wr&#10;G8cqzcL/eX/q8Vda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C5dblS0AAAAAUBAAAPAAAAAAAA&#10;AAEAIAAAADgAAABkcnMvZG93bnJldi54bWxQSwECFAAUAAAACACHTuJAEKTERMsBAACSAwAADgAA&#10;AAAAAAABACAAAAA1AQAAZHJzL2Uyb0RvYy54bWxQSwUGAAAAAAYABgBZAQAAcg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A8"/>
    <w:rsid w:val="004B2B21"/>
    <w:rsid w:val="006F56E3"/>
    <w:rsid w:val="00817072"/>
    <w:rsid w:val="008A59A8"/>
    <w:rsid w:val="008E14AB"/>
    <w:rsid w:val="00E13486"/>
    <w:rsid w:val="00E36FC5"/>
    <w:rsid w:val="00F125F2"/>
    <w:rsid w:val="01671BDD"/>
    <w:rsid w:val="02441F1E"/>
    <w:rsid w:val="02E132C9"/>
    <w:rsid w:val="045A09FE"/>
    <w:rsid w:val="048B7990"/>
    <w:rsid w:val="050551FA"/>
    <w:rsid w:val="05D04016"/>
    <w:rsid w:val="07D91E6C"/>
    <w:rsid w:val="08E14130"/>
    <w:rsid w:val="0A030C44"/>
    <w:rsid w:val="0E122ED0"/>
    <w:rsid w:val="0F770FCE"/>
    <w:rsid w:val="105B4E4C"/>
    <w:rsid w:val="115F642C"/>
    <w:rsid w:val="12464420"/>
    <w:rsid w:val="132A332F"/>
    <w:rsid w:val="139D3726"/>
    <w:rsid w:val="14CA62B3"/>
    <w:rsid w:val="150443FD"/>
    <w:rsid w:val="15F94154"/>
    <w:rsid w:val="19240EE0"/>
    <w:rsid w:val="1AC92B69"/>
    <w:rsid w:val="1B2907FE"/>
    <w:rsid w:val="1B4D5548"/>
    <w:rsid w:val="1DF75C3F"/>
    <w:rsid w:val="1F55654F"/>
    <w:rsid w:val="1FA55DFC"/>
    <w:rsid w:val="2027280B"/>
    <w:rsid w:val="22E54E3C"/>
    <w:rsid w:val="22E75D67"/>
    <w:rsid w:val="23447230"/>
    <w:rsid w:val="23BA5744"/>
    <w:rsid w:val="27F76F67"/>
    <w:rsid w:val="2AAA4765"/>
    <w:rsid w:val="2CBE6FAC"/>
    <w:rsid w:val="2CDE729D"/>
    <w:rsid w:val="2D4F4C29"/>
    <w:rsid w:val="2DB33930"/>
    <w:rsid w:val="2FA87A6F"/>
    <w:rsid w:val="316A69FC"/>
    <w:rsid w:val="31C12394"/>
    <w:rsid w:val="3290699F"/>
    <w:rsid w:val="329D74BE"/>
    <w:rsid w:val="334735BF"/>
    <w:rsid w:val="33FE8F05"/>
    <w:rsid w:val="34C26F5B"/>
    <w:rsid w:val="36184DFE"/>
    <w:rsid w:val="362D1DA6"/>
    <w:rsid w:val="3655159F"/>
    <w:rsid w:val="37FDC75F"/>
    <w:rsid w:val="38FC32F5"/>
    <w:rsid w:val="39030A9D"/>
    <w:rsid w:val="397E388A"/>
    <w:rsid w:val="3EFB0880"/>
    <w:rsid w:val="3EFFC37D"/>
    <w:rsid w:val="3FBBD1C2"/>
    <w:rsid w:val="426C1EA8"/>
    <w:rsid w:val="429F5DD9"/>
    <w:rsid w:val="436D5ED7"/>
    <w:rsid w:val="442E1B0B"/>
    <w:rsid w:val="451F76A5"/>
    <w:rsid w:val="46EE10DD"/>
    <w:rsid w:val="47462CC7"/>
    <w:rsid w:val="49B065B3"/>
    <w:rsid w:val="49CA4084"/>
    <w:rsid w:val="4BF504FA"/>
    <w:rsid w:val="4F4F20B8"/>
    <w:rsid w:val="508F3931"/>
    <w:rsid w:val="522462FB"/>
    <w:rsid w:val="531B14AC"/>
    <w:rsid w:val="53807561"/>
    <w:rsid w:val="53FE6827"/>
    <w:rsid w:val="55603AEE"/>
    <w:rsid w:val="577D2067"/>
    <w:rsid w:val="59114FB0"/>
    <w:rsid w:val="5A7F67C4"/>
    <w:rsid w:val="5ACE03F2"/>
    <w:rsid w:val="5AF076C2"/>
    <w:rsid w:val="5C77A56D"/>
    <w:rsid w:val="5D776614"/>
    <w:rsid w:val="5DF50278"/>
    <w:rsid w:val="5E1F3838"/>
    <w:rsid w:val="5FC817F6"/>
    <w:rsid w:val="5FFF129F"/>
    <w:rsid w:val="60040B39"/>
    <w:rsid w:val="60352C54"/>
    <w:rsid w:val="64AB5B07"/>
    <w:rsid w:val="64CB0DF9"/>
    <w:rsid w:val="658729D1"/>
    <w:rsid w:val="65BD2897"/>
    <w:rsid w:val="66DA6050"/>
    <w:rsid w:val="67676150"/>
    <w:rsid w:val="67B8FE61"/>
    <w:rsid w:val="68EF0FB9"/>
    <w:rsid w:val="6B8E4AB9"/>
    <w:rsid w:val="6BC513B3"/>
    <w:rsid w:val="6DDA1748"/>
    <w:rsid w:val="6DFE458F"/>
    <w:rsid w:val="6DFE995D"/>
    <w:rsid w:val="6F524678"/>
    <w:rsid w:val="6F7D757A"/>
    <w:rsid w:val="71E35433"/>
    <w:rsid w:val="71E55761"/>
    <w:rsid w:val="76944F4E"/>
    <w:rsid w:val="773721AD"/>
    <w:rsid w:val="787A05B6"/>
    <w:rsid w:val="7A3A5E0C"/>
    <w:rsid w:val="7B3B1EE7"/>
    <w:rsid w:val="7BF96B7A"/>
    <w:rsid w:val="7C9D5DDB"/>
    <w:rsid w:val="7CDB9D1B"/>
    <w:rsid w:val="7D3E4C55"/>
    <w:rsid w:val="7D4551F4"/>
    <w:rsid w:val="7DB7F111"/>
    <w:rsid w:val="7DFEBF78"/>
    <w:rsid w:val="7DFF6BC9"/>
    <w:rsid w:val="7EFAF23E"/>
    <w:rsid w:val="7F0C5FC9"/>
    <w:rsid w:val="7F2A9200"/>
    <w:rsid w:val="7F6B6C17"/>
    <w:rsid w:val="7FDFEC69"/>
    <w:rsid w:val="7FEFA2FF"/>
    <w:rsid w:val="7FFD1022"/>
    <w:rsid w:val="7FFFD20A"/>
    <w:rsid w:val="87BB71DF"/>
    <w:rsid w:val="8996877F"/>
    <w:rsid w:val="8F6E6BA1"/>
    <w:rsid w:val="9FCB43C2"/>
    <w:rsid w:val="ABFF4ED4"/>
    <w:rsid w:val="B9FFD579"/>
    <w:rsid w:val="BDFEFE18"/>
    <w:rsid w:val="BE16791C"/>
    <w:rsid w:val="BF4BA45F"/>
    <w:rsid w:val="BFFF2AD4"/>
    <w:rsid w:val="D7FF2354"/>
    <w:rsid w:val="DEF79F9C"/>
    <w:rsid w:val="DF9BC9F3"/>
    <w:rsid w:val="DFD3D284"/>
    <w:rsid w:val="DFFF7FFF"/>
    <w:rsid w:val="E4F6F071"/>
    <w:rsid w:val="E7FF0D5A"/>
    <w:rsid w:val="E7FF810C"/>
    <w:rsid w:val="EBFB1C57"/>
    <w:rsid w:val="EEFF40B3"/>
    <w:rsid w:val="EEFFA752"/>
    <w:rsid w:val="EFAEF2BB"/>
    <w:rsid w:val="EFE61C77"/>
    <w:rsid w:val="F3F35E8D"/>
    <w:rsid w:val="F4BCC0B4"/>
    <w:rsid w:val="F6FBD1B6"/>
    <w:rsid w:val="F6FF89EF"/>
    <w:rsid w:val="F7FFEB20"/>
    <w:rsid w:val="F8CB257B"/>
    <w:rsid w:val="F8FFE5EB"/>
    <w:rsid w:val="F9E64780"/>
    <w:rsid w:val="FB628A82"/>
    <w:rsid w:val="FDDFFA73"/>
    <w:rsid w:val="FDF14F4A"/>
    <w:rsid w:val="FFBBC9EE"/>
    <w:rsid w:val="FFDF7BAC"/>
    <w:rsid w:val="FFEF84B0"/>
    <w:rsid w:val="FFF72732"/>
    <w:rsid w:val="FFFF549F"/>
    <w:rsid w:val="FFFFD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340" w:after="330" w:line="360" w:lineRule="auto"/>
      <w:jc w:val="center"/>
      <w:outlineLvl w:val="0"/>
    </w:pPr>
    <w:rPr>
      <w:rFonts w:eastAsia="宋体"/>
      <w:kern w:val="44"/>
      <w:sz w:val="44"/>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pPr>
  </w:style>
  <w:style w:type="paragraph" w:styleId="4">
    <w:name w:val="Body Text"/>
    <w:basedOn w:val="1"/>
    <w:next w:val="1"/>
    <w:qFormat/>
    <w:uiPriority w:val="0"/>
    <w:pPr>
      <w:spacing w:after="120"/>
    </w:p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szCs w:val="21"/>
    </w:rPr>
  </w:style>
  <w:style w:type="paragraph" w:styleId="7">
    <w:name w:val="Date"/>
    <w:basedOn w:val="1"/>
    <w:next w:val="1"/>
    <w:link w:val="21"/>
    <w:qFormat/>
    <w:uiPriority w:val="0"/>
    <w:pPr>
      <w:ind w:left="100" w:leftChars="250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0"/>
    <w:pPr>
      <w:spacing w:before="100" w:beforeAutospacing="1" w:after="100" w:afterAutospacing="1"/>
      <w:jc w:val="left"/>
    </w:pPr>
    <w:rPr>
      <w:kern w:val="0"/>
      <w:sz w:val="24"/>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_Style 1"/>
    <w:basedOn w:val="1"/>
    <w:qFormat/>
    <w:uiPriority w:val="34"/>
    <w:pPr>
      <w:ind w:firstLine="420" w:firstLineChars="200"/>
    </w:pPr>
  </w:style>
  <w:style w:type="paragraph" w:customStyle="1" w:styleId="17">
    <w:name w:val="列表段落1"/>
    <w:basedOn w:val="1"/>
    <w:qFormat/>
    <w:uiPriority w:val="34"/>
    <w:pPr>
      <w:ind w:firstLine="420" w:firstLineChars="200"/>
    </w:pPr>
  </w:style>
  <w:style w:type="character" w:customStyle="1" w:styleId="18">
    <w:name w:val="页眉 字符"/>
    <w:basedOn w:val="15"/>
    <w:link w:val="9"/>
    <w:qFormat/>
    <w:uiPriority w:val="0"/>
    <w:rPr>
      <w:rFonts w:ascii="Calibri" w:hAnsi="Calibri"/>
      <w:kern w:val="2"/>
      <w:sz w:val="18"/>
      <w:szCs w:val="18"/>
    </w:rPr>
  </w:style>
  <w:style w:type="character" w:customStyle="1" w:styleId="19">
    <w:name w:val="页脚 字符"/>
    <w:basedOn w:val="15"/>
    <w:link w:val="8"/>
    <w:qFormat/>
    <w:uiPriority w:val="0"/>
    <w:rPr>
      <w:rFonts w:ascii="Calibri" w:hAnsi="Calibri"/>
      <w:kern w:val="2"/>
      <w:sz w:val="18"/>
      <w:szCs w:val="18"/>
    </w:rPr>
  </w:style>
  <w:style w:type="paragraph" w:customStyle="1" w:styleId="20">
    <w:name w:val="Body text|1"/>
    <w:basedOn w:val="1"/>
    <w:qFormat/>
    <w:uiPriority w:val="0"/>
    <w:pPr>
      <w:spacing w:line="444" w:lineRule="auto"/>
      <w:ind w:firstLine="400"/>
    </w:pPr>
    <w:rPr>
      <w:rFonts w:ascii="宋体" w:hAnsi="宋体" w:cs="宋体"/>
      <w:sz w:val="28"/>
      <w:szCs w:val="28"/>
      <w:lang w:val="zh-TW" w:eastAsia="zh-TW" w:bidi="zh-TW"/>
    </w:rPr>
  </w:style>
  <w:style w:type="character" w:customStyle="1" w:styleId="21">
    <w:name w:val="日期 字符"/>
    <w:basedOn w:val="15"/>
    <w:link w:val="7"/>
    <w:qFormat/>
    <w:uiPriority w:val="0"/>
    <w:rPr>
      <w:rFonts w:ascii="Calibri" w:hAnsi="Calibri"/>
      <w:kern w:val="2"/>
      <w:sz w:val="21"/>
      <w:szCs w:val="22"/>
    </w:rPr>
  </w:style>
  <w:style w:type="paragraph" w:customStyle="1" w:styleId="22">
    <w:name w:val="列出段落1"/>
    <w:basedOn w:val="1"/>
    <w:qFormat/>
    <w:uiPriority w:val="0"/>
    <w:pPr>
      <w:ind w:firstLine="420" w:firstLineChars="200"/>
    </w:pPr>
  </w:style>
  <w:style w:type="paragraph" w:customStyle="1" w:styleId="23">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4954</Words>
  <Characters>5035</Characters>
  <Lines>115</Lines>
  <Paragraphs>111</Paragraphs>
  <TotalTime>3</TotalTime>
  <ScaleCrop>false</ScaleCrop>
  <LinksUpToDate>false</LinksUpToDate>
  <CharactersWithSpaces>5100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2022-05-01T02:31:00Z</dcterms:created>
  <dc:creator>Administrator</dc:creator>
  <cp:lastModifiedBy>林巧明</cp:lastModifiedBy>
  <cp:lastPrinted>2025-06-16T06:31:00Z</cp:lastPrinted>
  <dcterms:modified xsi:type="dcterms:W3CDTF">2026-06-09T09:39:44Z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E943AF66B97A403185E7E7C90DA0FED7_13</vt:lpwstr>
  </property>
  <property fmtid="{D5CDD505-2E9C-101B-9397-08002B2CF9AE}" pid="4" name="KSOTemplateDocerSaveRecord">
    <vt:lpwstr>eyJoZGlkIjoiMmZmMzhmZDdjMTA5M2M4ZmNmNjM5MDIxZWM0MDcwYjIiLCJ1c2VySWQiOiIyOTIzNjUyMjMifQ==</vt:lpwstr>
  </property>
</Properties>
</file>