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88E4E">
      <w:pPr>
        <w:jc w:val="center"/>
        <w:rPr>
          <w:rFonts w:hint="eastAsia"/>
          <w:sz w:val="32"/>
          <w:szCs w:val="40"/>
          <w:lang w:eastAsia="zh-CN"/>
        </w:rPr>
      </w:pPr>
      <w:r>
        <w:rPr>
          <w:rFonts w:hint="eastAsia"/>
          <w:sz w:val="32"/>
          <w:szCs w:val="40"/>
          <w:lang w:eastAsia="zh-CN"/>
        </w:rPr>
        <w:t>冰蓄冷中央空调</w:t>
      </w:r>
      <w:r>
        <w:rPr>
          <w:rFonts w:hint="eastAsia"/>
          <w:sz w:val="32"/>
          <w:szCs w:val="40"/>
          <w:lang w:val="en-US" w:eastAsia="zh-CN"/>
        </w:rPr>
        <w:t>末端设备运营管理服务</w:t>
      </w:r>
      <w:r>
        <w:rPr>
          <w:rFonts w:hint="eastAsia"/>
          <w:sz w:val="32"/>
          <w:szCs w:val="40"/>
          <w:lang w:eastAsia="zh-CN"/>
        </w:rPr>
        <w:t>项目综合评分表</w:t>
      </w:r>
    </w:p>
    <w:tbl>
      <w:tblPr>
        <w:tblStyle w:val="5"/>
        <w:tblW w:w="8868"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Layout w:type="fixed"/>
        <w:tblCellMar>
          <w:top w:w="0" w:type="dxa"/>
          <w:left w:w="0" w:type="dxa"/>
          <w:bottom w:w="0" w:type="dxa"/>
          <w:right w:w="0" w:type="dxa"/>
        </w:tblCellMar>
      </w:tblPr>
      <w:tblGrid>
        <w:gridCol w:w="711"/>
        <w:gridCol w:w="855"/>
        <w:gridCol w:w="4890"/>
        <w:gridCol w:w="1485"/>
        <w:gridCol w:w="927"/>
      </w:tblGrid>
      <w:tr w14:paraId="06A18DB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8868" w:type="dxa"/>
            <w:gridSpan w:val="5"/>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3DE9B11">
            <w:pPr>
              <w:keepNext w:val="0"/>
              <w:keepLines w:val="0"/>
              <w:widowControl/>
              <w:suppressLineNumbers w:val="0"/>
              <w:jc w:val="center"/>
              <w:rPr>
                <w:rFonts w:ascii="宋体" w:hAnsi="宋体" w:eastAsia="宋体" w:cs="宋体"/>
                <w:b w:val="0"/>
                <w:bCs w:val="0"/>
                <w:kern w:val="2"/>
                <w:sz w:val="22"/>
                <w:szCs w:val="22"/>
              </w:rPr>
            </w:pPr>
            <w:r>
              <w:rPr>
                <w:rFonts w:eastAsia="PingFang SC Regular"/>
                <w:kern w:val="2"/>
                <w:sz w:val="40"/>
                <w:szCs w:val="40"/>
              </w:rPr>
              <w:t>综合评分表</w:t>
            </w:r>
          </w:p>
        </w:tc>
      </w:tr>
      <w:tr w14:paraId="7EA4DE8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711" w:type="dxa"/>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C2765C1">
            <w:pPr>
              <w:tabs>
                <w:tab w:val="left" w:pos="420"/>
              </w:tabs>
              <w:spacing w:before="0" w:line="20" w:lineRule="atLeast"/>
              <w:jc w:val="center"/>
              <w:rPr>
                <w:rFonts w:hint="default"/>
                <w:sz w:val="22"/>
                <w:szCs w:val="28"/>
              </w:rPr>
            </w:pPr>
            <w:r>
              <w:rPr>
                <w:rFonts w:ascii="宋体" w:hAnsi="宋体" w:eastAsia="宋体" w:cs="宋体"/>
                <w:b/>
                <w:bCs/>
                <w:kern w:val="2"/>
                <w:sz w:val="22"/>
                <w:szCs w:val="22"/>
              </w:rPr>
              <w:t>序号</w:t>
            </w:r>
          </w:p>
        </w:tc>
        <w:tc>
          <w:tcPr>
            <w:tcW w:w="85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6008DF2">
            <w:pPr>
              <w:tabs>
                <w:tab w:val="left" w:pos="420"/>
              </w:tabs>
              <w:spacing w:before="0" w:line="20" w:lineRule="atLeast"/>
              <w:jc w:val="center"/>
              <w:rPr>
                <w:rFonts w:hint="default" w:ascii="宋体" w:hAnsi="宋体" w:eastAsia="宋体" w:cs="宋体"/>
                <w:b/>
                <w:bCs/>
                <w:kern w:val="2"/>
                <w:sz w:val="22"/>
                <w:szCs w:val="22"/>
              </w:rPr>
            </w:pPr>
            <w:r>
              <w:rPr>
                <w:rFonts w:ascii="宋体" w:hAnsi="宋体" w:eastAsia="宋体" w:cs="宋体"/>
                <w:b/>
                <w:bCs/>
                <w:kern w:val="2"/>
                <w:sz w:val="22"/>
                <w:szCs w:val="22"/>
              </w:rPr>
              <w:t>评审</w:t>
            </w:r>
          </w:p>
          <w:p w14:paraId="18E8280F">
            <w:pPr>
              <w:tabs>
                <w:tab w:val="left" w:pos="420"/>
              </w:tabs>
              <w:spacing w:before="0" w:line="20" w:lineRule="atLeast"/>
              <w:jc w:val="center"/>
              <w:rPr>
                <w:rFonts w:hint="default"/>
                <w:sz w:val="22"/>
                <w:szCs w:val="28"/>
              </w:rPr>
            </w:pPr>
            <w:r>
              <w:rPr>
                <w:rFonts w:ascii="宋体" w:hAnsi="宋体" w:eastAsia="宋体" w:cs="宋体"/>
                <w:b/>
                <w:bCs/>
                <w:kern w:val="2"/>
                <w:sz w:val="22"/>
                <w:szCs w:val="22"/>
              </w:rPr>
              <w:t>项目</w:t>
            </w:r>
          </w:p>
        </w:tc>
        <w:tc>
          <w:tcPr>
            <w:tcW w:w="4890"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78427F8">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sz w:val="22"/>
                <w:szCs w:val="28"/>
              </w:rPr>
            </w:pPr>
            <w:r>
              <w:rPr>
                <w:rFonts w:ascii="宋体" w:hAnsi="宋体" w:eastAsia="宋体" w:cs="宋体"/>
                <w:b/>
                <w:bCs/>
                <w:kern w:val="2"/>
                <w:sz w:val="22"/>
                <w:szCs w:val="22"/>
              </w:rPr>
              <w:t>评审标准</w:t>
            </w:r>
          </w:p>
        </w:tc>
        <w:tc>
          <w:tcPr>
            <w:tcW w:w="148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0686D0C">
            <w:pPr>
              <w:tabs>
                <w:tab w:val="left" w:pos="420"/>
                <w:tab w:val="left" w:pos="840"/>
                <w:tab w:val="left" w:pos="1260"/>
              </w:tabs>
              <w:spacing w:before="0" w:line="20" w:lineRule="atLeast"/>
              <w:jc w:val="center"/>
              <w:rPr>
                <w:rFonts w:hint="default"/>
                <w:sz w:val="22"/>
                <w:szCs w:val="28"/>
              </w:rPr>
            </w:pPr>
            <w:r>
              <w:rPr>
                <w:rFonts w:ascii="宋体" w:hAnsi="宋体" w:eastAsia="宋体" w:cs="宋体"/>
                <w:b/>
                <w:bCs/>
                <w:kern w:val="2"/>
                <w:sz w:val="22"/>
                <w:szCs w:val="22"/>
              </w:rPr>
              <w:t>证明材料</w:t>
            </w:r>
          </w:p>
        </w:tc>
        <w:tc>
          <w:tcPr>
            <w:tcW w:w="927"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972FFAC">
            <w:pPr>
              <w:tabs>
                <w:tab w:val="left" w:pos="420"/>
              </w:tabs>
              <w:spacing w:before="0" w:line="20" w:lineRule="atLeast"/>
              <w:jc w:val="center"/>
              <w:rPr>
                <w:rFonts w:hint="default"/>
                <w:sz w:val="22"/>
                <w:szCs w:val="28"/>
              </w:rPr>
            </w:pPr>
            <w:r>
              <w:rPr>
                <w:rFonts w:ascii="宋体" w:hAnsi="宋体" w:eastAsia="宋体" w:cs="宋体"/>
                <w:b/>
                <w:bCs/>
                <w:kern w:val="2"/>
                <w:sz w:val="22"/>
                <w:szCs w:val="22"/>
              </w:rPr>
              <w:t>分值</w:t>
            </w:r>
          </w:p>
        </w:tc>
      </w:tr>
      <w:tr w14:paraId="70D4011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8965DFD">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E500481">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报价</w:t>
            </w:r>
          </w:p>
          <w:p w14:paraId="3304170A">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得分</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C98FE26">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符合要求且报价最低的为基准报价，其价格分为满分。</w:t>
            </w:r>
          </w:p>
          <w:p w14:paraId="7A345BB9">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其他响应承包商的价格分统一按照报价得分=(基准报价/响应报价)×30计算。</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B44EB50">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提供响应下浮率，并加盖公章</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2F0E870">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30分</w:t>
            </w:r>
          </w:p>
        </w:tc>
      </w:tr>
      <w:tr w14:paraId="67DBBE9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5AC5184">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3385DDF">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企业</w:t>
            </w:r>
          </w:p>
          <w:p w14:paraId="0292D87B">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资信</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1E24DBE">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近3年内（从公告截止之日起倒算）在无行政处罚记录；</w:t>
            </w:r>
          </w:p>
          <w:p w14:paraId="64AC4C36">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近3年内（从公告截止之日起倒算）响应单位或者其法定代表人在中国裁判文书网查询没有行贿犯罪记录；</w:t>
            </w:r>
          </w:p>
          <w:p w14:paraId="0AAA3D72">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近3年内响应单位未成为合同被告方的；</w:t>
            </w:r>
          </w:p>
          <w:p w14:paraId="17CB2AF1">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以上每符合一项得3分，未提供则不得分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E338566">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提供相关系统中查询的信息</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C2EA46A">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9分</w:t>
            </w:r>
          </w:p>
        </w:tc>
      </w:tr>
      <w:tr w14:paraId="0896C94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2923719">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02E91C8">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体系认证</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24A382E">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default" w:ascii="宋体" w:hAnsi="宋体" w:eastAsia="宋体" w:cs="宋体"/>
                <w:kern w:val="2"/>
                <w:sz w:val="22"/>
                <w:szCs w:val="22"/>
                <w:lang w:val="en-US" w:eastAsia="zh-CN"/>
              </w:rPr>
              <w:t>企业拥有</w:t>
            </w:r>
            <w:r>
              <w:rPr>
                <w:rFonts w:hint="eastAsia" w:ascii="宋体" w:hAnsi="宋体" w:eastAsia="宋体" w:cs="宋体"/>
                <w:kern w:val="2"/>
                <w:sz w:val="22"/>
                <w:szCs w:val="22"/>
                <w:lang w:val="en-US" w:eastAsia="zh-CN"/>
              </w:rPr>
              <w:t>中国职业健康安全管理体系认证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环境管理体系认证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质量管理体系认证的数量，每拥有一个认证，得2分，最高得6分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A7A85B8">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668004B">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14:paraId="6F8F2C4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036A4E9">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5903A7D">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技术方案与服务方案</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6CD0B18">
            <w:pPr>
              <w:widowControl w:val="0"/>
              <w:numPr>
                <w:ilvl w:val="0"/>
                <w:numId w:val="2"/>
              </w:numPr>
              <w:tabs>
                <w:tab w:val="left" w:pos="420"/>
                <w:tab w:val="left" w:pos="840"/>
                <w:tab w:val="left" w:pos="1260"/>
              </w:tabs>
              <w:spacing w:before="0" w:line="20" w:lineRule="atLeast"/>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 xml:space="preserve"> 末端运维管理方案：符合招标要求，巡检流程、异常处理机制、公共区域辅助管理措施完善，可操作性强，得8-10分；基本符合要求，措施较完善，得4-7分；不符合要求，措施简单，得0-3分。</w:t>
            </w:r>
          </w:p>
          <w:p w14:paraId="04D3F252">
            <w:pPr>
              <w:widowControl w:val="0"/>
              <w:numPr>
                <w:ilvl w:val="0"/>
                <w:numId w:val="2"/>
              </w:numPr>
              <w:tabs>
                <w:tab w:val="left" w:pos="420"/>
                <w:tab w:val="left" w:pos="840"/>
                <w:tab w:val="left" w:pos="1260"/>
              </w:tabs>
              <w:spacing w:before="0" w:line="20" w:lineRule="atLeast"/>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公共能耗管理方案：能耗监测、统计、异常排查及节能优化措施科学合理，能有效控制能耗，得7-9分；基本可行，节能措施一般，得3-6分；不可行，无有效节能措施，得0-2分。</w:t>
            </w:r>
          </w:p>
          <w:p w14:paraId="1066EDAE">
            <w:pPr>
              <w:widowControl w:val="0"/>
              <w:numPr>
                <w:ilvl w:val="0"/>
                <w:numId w:val="2"/>
              </w:numPr>
              <w:tabs>
                <w:tab w:val="left" w:pos="420"/>
                <w:tab w:val="left" w:pos="840"/>
                <w:tab w:val="left" w:pos="1260"/>
              </w:tabs>
              <w:spacing w:before="0" w:line="20" w:lineRule="atLeast"/>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末端收费管理方案：抄表、账单派发、费用催缴、票据管理流程规范，数据核对机制完善，得6-8分；流程基本规范，机制较完善，得2-5分；流程混乱，机制缺失，得0-1分。</w:t>
            </w:r>
          </w:p>
          <w:p w14:paraId="05970173">
            <w:pPr>
              <w:widowControl w:val="0"/>
              <w:numPr>
                <w:ilvl w:val="0"/>
                <w:numId w:val="2"/>
              </w:numPr>
              <w:tabs>
                <w:tab w:val="left" w:pos="420"/>
                <w:tab w:val="left" w:pos="840"/>
                <w:tab w:val="left" w:pos="1260"/>
              </w:tabs>
              <w:spacing w:before="0" w:line="20" w:lineRule="atLeast"/>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客户投诉与改造跟踪方案：投诉受理、处理、反馈机制健全，改造跟踪、质量监督、验收归档流程清晰，得6-8分；机制基本健全，流程基本清晰，得2-5分；机制缺失，流程混乱，得0-1分。</w:t>
            </w:r>
          </w:p>
          <w:p w14:paraId="5740CBE5">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F16F58F">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提供服务方案</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C3A2704">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35分</w:t>
            </w:r>
          </w:p>
        </w:tc>
      </w:tr>
      <w:tr w14:paraId="39174E2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3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0270D3F">
            <w:pPr>
              <w:tabs>
                <w:tab w:val="left" w:pos="420"/>
              </w:tabs>
              <w:spacing w:before="0" w:line="20" w:lineRule="atLeast"/>
              <w:jc w:val="center"/>
              <w:rPr>
                <w:rFonts w:hint="eastAsia" w:eastAsia="宋体"/>
                <w:sz w:val="22"/>
                <w:szCs w:val="28"/>
                <w:lang w:eastAsia="zh-CN"/>
              </w:rPr>
            </w:pPr>
            <w:r>
              <w:rPr>
                <w:rFonts w:hint="eastAsia" w:ascii="宋体" w:hAnsi="宋体" w:eastAsia="宋体" w:cs="宋体"/>
                <w:kern w:val="2"/>
                <w:sz w:val="22"/>
                <w:szCs w:val="22"/>
                <w:lang w:val="en-US" w:eastAsia="zh-CN"/>
              </w:rPr>
              <w:t>5</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B16E11B">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服务团队和人员配置</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5A12B33">
            <w:pPr>
              <w:widowControl w:val="0"/>
              <w:numPr>
                <w:ilvl w:val="0"/>
                <w:numId w:val="3"/>
              </w:numPr>
              <w:tabs>
                <w:tab w:val="left" w:pos="420"/>
                <w:tab w:val="left" w:pos="840"/>
                <w:tab w:val="left" w:pos="1260"/>
              </w:tabs>
              <w:spacing w:before="0" w:line="20" w:lineRule="atLeast"/>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 xml:space="preserve"> 项目负责人具备5年以上同类项目管理经验，持有相关专业资格证书（如机电工程师证），得5分；有3-5年同类经验，无资格证书，得3分；3年以下经验，不得分。</w:t>
            </w:r>
          </w:p>
          <w:p w14:paraId="2A97B964">
            <w:pPr>
              <w:widowControl w:val="0"/>
              <w:numPr>
                <w:ilvl w:val="0"/>
                <w:numId w:val="3"/>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运维团队人员配置充足，持证上岗（如电工证、制冷工证）；人员不足或无证上岗，本项不得分。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8380BFD">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提供员工社保清单</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CA4F9D5">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5分</w:t>
            </w:r>
          </w:p>
        </w:tc>
      </w:tr>
      <w:tr w14:paraId="6647524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51F520D">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4B5EAB7">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服务承诺与保障措施</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434BB53">
            <w:pPr>
              <w:widowControl w:val="0"/>
              <w:numPr>
                <w:ilvl w:val="0"/>
                <w:numId w:val="4"/>
              </w:numPr>
              <w:tabs>
                <w:tab w:val="left" w:pos="420"/>
                <w:tab w:val="left" w:pos="840"/>
                <w:tab w:val="left" w:pos="1260"/>
              </w:tabs>
              <w:spacing w:before="0" w:line="20" w:lineRule="atLeast"/>
              <w:ind w:left="220" w:leftChars="0" w:firstLine="0" w:firstLineChars="0"/>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 xml:space="preserve"> 横向对比承诺服务响应时限（故障响应≤2小时、投诉处理≤24小时）和服务效率，</w:t>
            </w:r>
            <w:r>
              <w:rPr>
                <w:rFonts w:hint="eastAsia" w:ascii="宋体" w:hAnsi="宋体" w:eastAsia="宋体" w:cs="宋体"/>
                <w:kern w:val="2"/>
                <w:sz w:val="22"/>
                <w:szCs w:val="22"/>
                <w:u w:color="000000"/>
                <w:lang w:val="en-US" w:eastAsia="zh-CN"/>
              </w:rPr>
              <w:t>优秀得6分，良好得3分，一般得1分，差不得分。</w:t>
            </w:r>
          </w:p>
          <w:p w14:paraId="4002C929">
            <w:pPr>
              <w:widowControl w:val="0"/>
              <w:numPr>
                <w:ilvl w:val="0"/>
                <w:numId w:val="4"/>
              </w:numPr>
              <w:tabs>
                <w:tab w:val="left" w:pos="420"/>
                <w:tab w:val="left" w:pos="840"/>
                <w:tab w:val="left" w:pos="1260"/>
              </w:tabs>
              <w:spacing w:before="0" w:line="20" w:lineRule="atLeast"/>
              <w:ind w:left="220" w:leftChars="0" w:firstLine="0" w:firstLineChars="0"/>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 xml:space="preserve"> 有完善的应急保障方案（如突发供冷中断、设备故障应急处理），方案可行，得3分；方案基本可行，得1分；无方案，不得分。</w:t>
            </w:r>
          </w:p>
          <w:p w14:paraId="6591F1F9">
            <w:pPr>
              <w:widowControl w:val="0"/>
              <w:numPr>
                <w:ilvl w:val="0"/>
                <w:numId w:val="4"/>
              </w:numPr>
              <w:tabs>
                <w:tab w:val="left" w:pos="420"/>
                <w:tab w:val="left" w:pos="840"/>
                <w:tab w:val="left" w:pos="1260"/>
              </w:tabs>
              <w:spacing w:before="0" w:line="20" w:lineRule="atLeast"/>
              <w:ind w:left="220" w:leftChars="0" w:firstLine="0" w:firstLineChars="0"/>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承诺达到的服务质量标准，承诺合理、可考核，得2分；承诺不合理或不可考核，得1分；无承诺，不得分。</w:t>
            </w:r>
          </w:p>
          <w:p w14:paraId="7F81C630">
            <w:pPr>
              <w:widowControl w:val="0"/>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DA0D2AF">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提供人员证件</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FB2BF34">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11</w:t>
            </w:r>
            <w:bookmarkStart w:id="0" w:name="_GoBack"/>
            <w:bookmarkEnd w:id="0"/>
            <w:r>
              <w:rPr>
                <w:rFonts w:hint="eastAsia" w:ascii="宋体" w:hAnsi="宋体" w:eastAsia="宋体" w:cs="宋体"/>
                <w:kern w:val="2"/>
                <w:sz w:val="22"/>
                <w:szCs w:val="22"/>
                <w:lang w:val="en-US" w:eastAsia="zh-CN"/>
              </w:rPr>
              <w:t>分</w:t>
            </w:r>
          </w:p>
        </w:tc>
      </w:tr>
      <w:tr w14:paraId="0DB306B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09C96E8">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7</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E36CA56">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w:t>
            </w:r>
          </w:p>
          <w:p w14:paraId="7E5EECAE">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案例</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AAAA65E">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每拥有1项冰蓄冷投资建设或运营管理业绩的，得2分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BF47F39">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提供项目合同</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7E72C9D">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4分</w:t>
            </w:r>
          </w:p>
        </w:tc>
      </w:tr>
      <w:tr w14:paraId="2AB2268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34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AF4F1FF">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合计</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3BCE923">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100分</w:t>
            </w:r>
          </w:p>
        </w:tc>
      </w:tr>
      <w:tr w14:paraId="7F315AF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76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3D25D60">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b/>
                <w:bCs/>
                <w:kern w:val="2"/>
                <w:sz w:val="22"/>
                <w:szCs w:val="22"/>
                <w:lang w:val="en-US" w:eastAsia="zh-CN"/>
              </w:rPr>
              <w:t>拟推荐成交候选供应商（原则推荐评审综合得分最高的单位）</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6C920AD">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p>
        </w:tc>
      </w:tr>
    </w:tbl>
    <w:p w14:paraId="4A65CBFB">
      <w:pPr>
        <w:jc w:val="center"/>
        <w:rPr>
          <w:rFonts w:hint="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大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CFC11"/>
    <w:multiLevelType w:val="singleLevel"/>
    <w:tmpl w:val="863CFC11"/>
    <w:lvl w:ilvl="0" w:tentative="0">
      <w:start w:val="1"/>
      <w:numFmt w:val="decimal"/>
      <w:suff w:val="space"/>
      <w:lvlText w:val="%1."/>
      <w:lvlJc w:val="left"/>
      <w:pPr>
        <w:ind w:left="220" w:leftChars="0" w:firstLine="0" w:firstLineChars="0"/>
      </w:pPr>
    </w:lvl>
  </w:abstractNum>
  <w:abstractNum w:abstractNumId="1">
    <w:nsid w:val="E322C589"/>
    <w:multiLevelType w:val="singleLevel"/>
    <w:tmpl w:val="E322C589"/>
    <w:lvl w:ilvl="0" w:tentative="0">
      <w:start w:val="1"/>
      <w:numFmt w:val="decimal"/>
      <w:suff w:val="nothing"/>
      <w:lvlText w:val="%1、"/>
      <w:lvlJc w:val="left"/>
    </w:lvl>
  </w:abstractNum>
  <w:abstractNum w:abstractNumId="2">
    <w:nsid w:val="068F97F2"/>
    <w:multiLevelType w:val="singleLevel"/>
    <w:tmpl w:val="068F97F2"/>
    <w:lvl w:ilvl="0" w:tentative="0">
      <w:start w:val="1"/>
      <w:numFmt w:val="decimal"/>
      <w:suff w:val="space"/>
      <w:lvlText w:val="%1."/>
      <w:lvlJc w:val="left"/>
    </w:lvl>
  </w:abstractNum>
  <w:abstractNum w:abstractNumId="3">
    <w:nsid w:val="58DD58B3"/>
    <w:multiLevelType w:val="singleLevel"/>
    <w:tmpl w:val="58DD58B3"/>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jQ3OTQ2Zjc3NjA5ZjgwZjYwMGNhZGMzOGM4NTQifQ=="/>
  </w:docVars>
  <w:rsids>
    <w:rsidRoot w:val="00000000"/>
    <w:rsid w:val="09734036"/>
    <w:rsid w:val="0CCF1A94"/>
    <w:rsid w:val="11475A71"/>
    <w:rsid w:val="27873685"/>
    <w:rsid w:val="2A9E2ED5"/>
    <w:rsid w:val="306D54B6"/>
    <w:rsid w:val="3BFE407D"/>
    <w:rsid w:val="425E4BDE"/>
    <w:rsid w:val="4FD9151E"/>
    <w:rsid w:val="53ED3E81"/>
    <w:rsid w:val="5D9E3405"/>
    <w:rsid w:val="7D07430D"/>
    <w:rsid w:val="7D3C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952</Characters>
  <Lines>0</Lines>
  <Paragraphs>0</Paragraphs>
  <TotalTime>14</TotalTime>
  <ScaleCrop>false</ScaleCrop>
  <LinksUpToDate>false</LinksUpToDate>
  <CharactersWithSpaces>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2023-04-26T11:31:00Z</dcterms:created>
  <dc:creator>Administrator</dc:creator>
  <cp:lastModifiedBy>SS</cp:lastModifiedBy>
  <dcterms:modified xsi:type="dcterms:W3CDTF">2026-03-15T13:03:26Z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46F803D8590A4CDFB6F358D38012E4A8_13</vt:lpwstr>
  </property>
  <property fmtid="{D5CDD505-2E9C-101B-9397-08002B2CF9AE}" pid="4" name="KSOTemplateDocerSaveRecord">
    <vt:lpwstr>eyJoZGlkIjoiNDMxODVlMzIyZGQxZTVmY2UyNGFiZjQ2MWE1MTA3ZDEiLCJ1c2VySWQiOiIyODc0MDc4MDkifQ==</vt:lpwstr>
  </property>
</Properties>
</file>