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F6A12C">
      <w:pPr>
        <w:widowControl w:val="0"/>
        <w:autoSpaceDE w:val="0"/>
        <w:autoSpaceDN w:val="0"/>
        <w:adjustRightInd w:val="0"/>
        <w:snapToGrid w:val="0"/>
        <w:ind w:firstLine="0" w:firstLineChars="0"/>
        <w:jc w:val="center"/>
        <w:outlineLvl w:val="0"/>
        <w:rPr>
          <w:rFonts w:hint="eastAsia" w:ascii="宋体" w:hAnsi="宋体"/>
          <w:b/>
          <w:sz w:val="52"/>
          <w:szCs w:val="52"/>
        </w:rPr>
      </w:pPr>
      <w:bookmarkStart w:id="0" w:name="_Toc23739"/>
      <w:bookmarkStart w:id="1" w:name="_Toc29085"/>
      <w:bookmarkStart w:id="2" w:name="_Toc407023750"/>
      <w:r>
        <w:rPr>
          <w:rFonts w:hint="eastAsia" w:ascii="宋体" w:hAnsi="宋体"/>
          <w:b/>
          <w:sz w:val="52"/>
          <w:szCs w:val="52"/>
        </w:rPr>
        <w:t>龙岗城投信息化基础提升-基础架构及应用提升集成项目需求书</w:t>
      </w:r>
    </w:p>
    <w:p w14:paraId="6B91D233">
      <w:pPr>
        <w:widowControl w:val="0"/>
        <w:autoSpaceDN w:val="0"/>
        <w:adjustRightInd w:val="0"/>
        <w:snapToGrid w:val="0"/>
        <w:ind w:firstLine="0" w:firstLineChars="0"/>
        <w:jc w:val="center"/>
        <w:outlineLvl w:val="1"/>
        <w:rPr>
          <w:rFonts w:hint="eastAsia" w:ascii="宋体" w:hAnsi="宋体"/>
          <w:b/>
          <w:sz w:val="32"/>
        </w:rPr>
      </w:pPr>
      <w:bookmarkStart w:id="3" w:name="_Toc8746"/>
      <w:bookmarkStart w:id="4" w:name="_Toc32160"/>
      <w:r>
        <w:rPr>
          <w:rFonts w:hint="eastAsia" w:ascii="宋体" w:hAnsi="宋体"/>
          <w:b/>
          <w:sz w:val="32"/>
        </w:rPr>
        <w:t>第一节 项目需求</w:t>
      </w:r>
      <w:bookmarkEnd w:id="3"/>
      <w:bookmarkEnd w:id="4"/>
    </w:p>
    <w:p w14:paraId="5439D7BA">
      <w:pPr>
        <w:widowControl w:val="0"/>
        <w:numPr>
          <w:ilvl w:val="0"/>
          <w:numId w:val="3"/>
        </w:numPr>
        <w:autoSpaceDE w:val="0"/>
        <w:autoSpaceDN w:val="0"/>
        <w:adjustRightInd w:val="0"/>
        <w:snapToGrid w:val="0"/>
        <w:spacing w:after="0"/>
        <w:ind w:left="0" w:firstLine="422"/>
        <w:jc w:val="left"/>
        <w:outlineLvl w:val="2"/>
        <w:rPr>
          <w:rFonts w:hint="eastAsia" w:ascii="宋体" w:hAnsi="宋体"/>
          <w:b/>
          <w:bCs/>
          <w:szCs w:val="21"/>
        </w:rPr>
      </w:pPr>
      <w:bookmarkStart w:id="5" w:name="_Toc406669471"/>
      <w:r>
        <w:rPr>
          <w:rFonts w:hint="eastAsia" w:ascii="宋体" w:hAnsi="宋体"/>
          <w:b/>
          <w:bCs/>
          <w:szCs w:val="21"/>
        </w:rPr>
        <w:t>项目</w:t>
      </w:r>
      <w:bookmarkEnd w:id="5"/>
      <w:r>
        <w:rPr>
          <w:rFonts w:hint="eastAsia" w:ascii="宋体" w:hAnsi="宋体"/>
          <w:b/>
          <w:bCs/>
          <w:szCs w:val="21"/>
        </w:rPr>
        <w:t>背景</w:t>
      </w:r>
    </w:p>
    <w:p w14:paraId="468CD54F">
      <w:pPr>
        <w:pStyle w:val="446"/>
        <w:ind w:firstLine="420"/>
        <w:rPr>
          <w:rFonts w:hint="eastAsia"/>
          <w:sz w:val="21"/>
          <w:szCs w:val="21"/>
        </w:rPr>
      </w:pPr>
      <w:r>
        <w:rPr>
          <w:rFonts w:hint="eastAsia"/>
          <w:sz w:val="21"/>
          <w:szCs w:val="21"/>
        </w:rPr>
        <w:t>在国家及深圳市国资委多层次政策推动、全球数字经济蓬勃发展的大背景下，数字化转型已成为企业发展的必选项，全面推进数字化转型是实现集团发展战略的内在要求。面对复杂的内外部环境变化，提出构建 “传统＋战新” 业务双轮驱动模式，对数字化建设提出更高要求。为此，集团启动信息化基础提升工程，围绕信息化基础设施建设、数据要素赋能、数字化业务场景等核心任务，全面提升运营与管理效能，夯实数字化基石，助力龙岗区在粤港澳大湾区和深圳先行示范区建设中发挥更大引领作用。</w:t>
      </w:r>
    </w:p>
    <w:p w14:paraId="22C985FD">
      <w:pPr>
        <w:widowControl w:val="0"/>
        <w:numPr>
          <w:ilvl w:val="0"/>
          <w:numId w:val="3"/>
        </w:numPr>
        <w:autoSpaceDE w:val="0"/>
        <w:autoSpaceDN w:val="0"/>
        <w:adjustRightInd w:val="0"/>
        <w:snapToGrid w:val="0"/>
        <w:spacing w:after="0"/>
        <w:ind w:left="0" w:firstLine="422"/>
        <w:jc w:val="left"/>
        <w:outlineLvl w:val="2"/>
        <w:rPr>
          <w:rFonts w:hint="eastAsia" w:ascii="宋体" w:hAnsi="宋体"/>
          <w:b/>
          <w:bCs/>
          <w:szCs w:val="21"/>
        </w:rPr>
      </w:pPr>
      <w:bookmarkStart w:id="6" w:name="_Toc406669472"/>
      <w:bookmarkStart w:id="7" w:name="_Toc404195400"/>
      <w:r>
        <w:rPr>
          <w:rFonts w:hint="eastAsia" w:ascii="宋体" w:hAnsi="宋体"/>
          <w:b/>
          <w:bCs/>
          <w:szCs w:val="21"/>
        </w:rPr>
        <w:t>项目服务</w:t>
      </w:r>
      <w:bookmarkEnd w:id="6"/>
      <w:bookmarkEnd w:id="7"/>
      <w:r>
        <w:rPr>
          <w:rFonts w:hint="eastAsia" w:ascii="宋体" w:hAnsi="宋体"/>
          <w:b/>
          <w:bCs/>
          <w:szCs w:val="21"/>
        </w:rPr>
        <w:t>内容</w:t>
      </w:r>
    </w:p>
    <w:p w14:paraId="691C746D">
      <w:pPr>
        <w:pStyle w:val="446"/>
        <w:ind w:firstLine="420"/>
        <w:rPr>
          <w:rFonts w:hint="eastAsia"/>
          <w:sz w:val="21"/>
          <w:szCs w:val="21"/>
        </w:rPr>
      </w:pPr>
      <w:r>
        <w:rPr>
          <w:rFonts w:hint="eastAsia"/>
          <w:sz w:val="21"/>
          <w:szCs w:val="21"/>
        </w:rPr>
        <w:t>本项目服务内容包含6部分：</w:t>
      </w:r>
    </w:p>
    <w:p w14:paraId="1DE00661">
      <w:pPr>
        <w:pStyle w:val="446"/>
        <w:ind w:firstLine="420"/>
        <w:rPr>
          <w:rFonts w:hint="eastAsia"/>
          <w:sz w:val="21"/>
          <w:szCs w:val="21"/>
        </w:rPr>
      </w:pPr>
      <w:r>
        <w:rPr>
          <w:rFonts w:hint="eastAsia"/>
          <w:sz w:val="21"/>
          <w:szCs w:val="21"/>
        </w:rPr>
        <w:t>1.基础设施建设：</w:t>
      </w:r>
    </w:p>
    <w:p w14:paraId="60ADC982">
      <w:pPr>
        <w:pStyle w:val="446"/>
        <w:ind w:firstLine="420"/>
        <w:rPr>
          <w:rFonts w:hint="eastAsia"/>
          <w:sz w:val="21"/>
          <w:szCs w:val="21"/>
        </w:rPr>
      </w:pPr>
      <w:r>
        <w:rPr>
          <w:rFonts w:hint="eastAsia"/>
          <w:sz w:val="21"/>
          <w:szCs w:val="21"/>
        </w:rPr>
        <w:t>（1）</w:t>
      </w:r>
      <w:r>
        <w:rPr>
          <w:rFonts w:hint="eastAsia"/>
          <w:sz w:val="21"/>
          <w:szCs w:val="21"/>
          <w:lang w:val="en-US" w:eastAsia="zh-CN"/>
        </w:rPr>
        <w:t>在建成城投一张网基础上，</w:t>
      </w:r>
      <w:r>
        <w:rPr>
          <w:rFonts w:hint="eastAsia"/>
          <w:sz w:val="21"/>
          <w:szCs w:val="21"/>
        </w:rPr>
        <w:t>针对网络安全问题，在充分利旧安全设备基础上，新增负载均衡、防火墙、抗DDoS等设备，通过优化整合与统一调度，有效提升集团整体网络安全防护能力。同时采购网络安全服务保障，建立 7×24 小时主动运营的网络安全保障体系，实现网络、终端、云端联动协同，持续开展安全监测与风险处置，降低安全事件发生概率，为集团数字化业务保驾护航。</w:t>
      </w:r>
    </w:p>
    <w:p w14:paraId="4B8E79D8">
      <w:pPr>
        <w:pStyle w:val="446"/>
        <w:ind w:firstLine="420"/>
        <w:rPr>
          <w:rFonts w:hint="eastAsia"/>
          <w:sz w:val="21"/>
          <w:szCs w:val="21"/>
        </w:rPr>
      </w:pPr>
      <w:r>
        <w:rPr>
          <w:rFonts w:hint="eastAsia"/>
          <w:sz w:val="21"/>
          <w:szCs w:val="21"/>
        </w:rPr>
        <w:t>（2）目前，集团IT资源分布于集团及各园区，缺乏统一管理手段，IT 资产盘点耗时费力，存在无法统一运维、IT资源利用率低等问题。通过打造信息化资源统一纳管平台，全面梳理集团及各园区现有 IT 资源底数、打破资源孤岛，</w:t>
      </w:r>
      <w:r>
        <w:rPr>
          <w:rFonts w:hint="eastAsia"/>
          <w:sz w:val="21"/>
          <w:szCs w:val="21"/>
          <w:lang w:val="en-US" w:eastAsia="zh-CN"/>
        </w:rPr>
        <w:t>进行初始化归档整理实施服务，</w:t>
      </w:r>
      <w:r>
        <w:rPr>
          <w:rFonts w:hint="eastAsia"/>
          <w:sz w:val="21"/>
          <w:szCs w:val="21"/>
        </w:rPr>
        <w:t>实现集团级IT资源可视化全局管控。</w:t>
      </w:r>
    </w:p>
    <w:p w14:paraId="397B9309">
      <w:pPr>
        <w:pStyle w:val="446"/>
        <w:ind w:firstLine="420"/>
        <w:rPr>
          <w:rFonts w:hint="eastAsia"/>
          <w:sz w:val="21"/>
          <w:szCs w:val="21"/>
        </w:rPr>
      </w:pPr>
      <w:r>
        <w:rPr>
          <w:rFonts w:hint="eastAsia"/>
          <w:sz w:val="21"/>
          <w:szCs w:val="21"/>
        </w:rPr>
        <w:t>基础设施建设详细建设内容见技术要求：表1《基础设施建设清单》。</w:t>
      </w:r>
    </w:p>
    <w:p w14:paraId="5977FD44">
      <w:pPr>
        <w:pStyle w:val="446"/>
        <w:ind w:firstLine="420"/>
        <w:rPr>
          <w:rFonts w:hint="eastAsia"/>
          <w:sz w:val="21"/>
          <w:szCs w:val="21"/>
        </w:rPr>
      </w:pPr>
      <w:r>
        <w:rPr>
          <w:rFonts w:hint="eastAsia"/>
          <w:sz w:val="21"/>
          <w:szCs w:val="21"/>
        </w:rPr>
        <w:t>2.数据要素赋能</w:t>
      </w:r>
    </w:p>
    <w:p w14:paraId="091E40C0">
      <w:pPr>
        <w:pStyle w:val="446"/>
        <w:ind w:firstLine="420"/>
        <w:rPr>
          <w:rFonts w:hint="eastAsia"/>
          <w:sz w:val="21"/>
          <w:szCs w:val="21"/>
        </w:rPr>
      </w:pPr>
      <w:r>
        <w:rPr>
          <w:rFonts w:hint="eastAsia"/>
          <w:sz w:val="21"/>
          <w:szCs w:val="21"/>
        </w:rPr>
        <w:t>（1）目前集团数据治理体系处于多源分散、标准割裂、平台重复的初级阶段，数据无法汇聚形成资产，价值难以转化为决策支撑能力。通过构建数据治理服务体系，沿集团主要业务场景打通信息链和数据流，提升数据质量，实现数据“清洁”、“高质量”、“高价值”，形成数据要素，以支撑运营效率提升和经营结果的真实呈现，实现智慧数据驱动有效价值增长，充分实现数据价值。</w:t>
      </w:r>
    </w:p>
    <w:p w14:paraId="2B8BF7C8">
      <w:pPr>
        <w:pStyle w:val="446"/>
        <w:ind w:firstLine="420"/>
        <w:rPr>
          <w:rFonts w:hint="eastAsia"/>
          <w:sz w:val="21"/>
          <w:szCs w:val="21"/>
        </w:rPr>
      </w:pPr>
      <w:r>
        <w:rPr>
          <w:rFonts w:hint="eastAsia"/>
          <w:sz w:val="21"/>
          <w:szCs w:val="21"/>
        </w:rPr>
        <w:t>（2）目前集团初步实现了部分数据大屏可视化，中屏和小屏的可视化建设欠缺。通过搭建数据资产应用门户平台，打造统一门户，支持多维度，多视角，分权限的数据可视化，实现数据资产“可见、可懂、可用、可运营”。同时优化大屏可视化，同步补齐中屏、小屏的可视化能力建设，展示内容包括但不限于保障房、园区空间资产信息、集团IT资产信息、园区运营信息等。</w:t>
      </w:r>
    </w:p>
    <w:p w14:paraId="64E46605">
      <w:pPr>
        <w:pStyle w:val="446"/>
        <w:ind w:firstLine="420"/>
        <w:rPr>
          <w:rFonts w:hint="eastAsia"/>
          <w:sz w:val="21"/>
          <w:szCs w:val="21"/>
        </w:rPr>
      </w:pPr>
      <w:r>
        <w:rPr>
          <w:rFonts w:hint="eastAsia"/>
          <w:sz w:val="21"/>
          <w:szCs w:val="21"/>
        </w:rPr>
        <w:t>详细建设内容见技术要求：表2《数据要素赋能建设清单》。</w:t>
      </w:r>
    </w:p>
    <w:p w14:paraId="3AC38B51">
      <w:pPr>
        <w:pStyle w:val="446"/>
        <w:ind w:firstLine="420"/>
        <w:rPr>
          <w:rFonts w:hint="eastAsia"/>
          <w:sz w:val="21"/>
          <w:szCs w:val="21"/>
        </w:rPr>
      </w:pPr>
      <w:r>
        <w:rPr>
          <w:rFonts w:hint="eastAsia"/>
          <w:sz w:val="21"/>
          <w:szCs w:val="21"/>
        </w:rPr>
        <w:t>3.AI+数字化业务应用</w:t>
      </w:r>
    </w:p>
    <w:p w14:paraId="7986A730">
      <w:pPr>
        <w:pStyle w:val="446"/>
        <w:ind w:firstLine="420"/>
        <w:rPr>
          <w:rFonts w:hint="eastAsia"/>
          <w:sz w:val="21"/>
          <w:szCs w:val="21"/>
        </w:rPr>
      </w:pPr>
      <w:r>
        <w:rPr>
          <w:rFonts w:hint="eastAsia"/>
          <w:sz w:val="21"/>
          <w:szCs w:val="21"/>
        </w:rPr>
        <w:t>基于集团业务部门需求，结合集团数字化转型战略，聚焦AI+数字化场景，通过AI赋能，为后续各类智能应用的快速部署奠定坚实基础，同时为各业务部门提质增效。本次建设内容包括园区安全管家系统、案件管理系统、智能审计系统、合规智能体、智能档案管理系统。</w:t>
      </w:r>
    </w:p>
    <w:p w14:paraId="168FD42F">
      <w:pPr>
        <w:pStyle w:val="446"/>
        <w:numPr>
          <w:ilvl w:val="0"/>
          <w:numId w:val="4"/>
        </w:numPr>
        <w:ind w:firstLineChars="0"/>
        <w:rPr>
          <w:rFonts w:hint="eastAsia"/>
          <w:sz w:val="21"/>
          <w:szCs w:val="21"/>
        </w:rPr>
      </w:pPr>
      <w:r>
        <w:rPr>
          <w:rFonts w:hint="eastAsia"/>
          <w:sz w:val="21"/>
          <w:szCs w:val="21"/>
        </w:rPr>
        <w:t>园区安全管家系统</w:t>
      </w:r>
    </w:p>
    <w:p w14:paraId="3020EC0D">
      <w:pPr>
        <w:pStyle w:val="446"/>
        <w:ind w:firstLine="420"/>
        <w:rPr>
          <w:rFonts w:hint="eastAsia"/>
          <w:sz w:val="21"/>
          <w:szCs w:val="21"/>
        </w:rPr>
      </w:pPr>
      <w:r>
        <w:rPr>
          <w:rFonts w:hint="eastAsia"/>
          <w:sz w:val="21"/>
          <w:szCs w:val="21"/>
        </w:rPr>
        <w:t>园区安全管理系统通过整合园区安全知识库与AI智能体，实现对安全隐患、安全事件及安全事故的全流程闭环管理；同时通过安全培训管理提升人员安全素养，并依托园区安全预警移动端提供实时风险推送与移动化处置能力，形成覆盖预防、监控、响应与持续改进的一体化园区安全管控体系。</w:t>
      </w:r>
    </w:p>
    <w:p w14:paraId="09A748E2">
      <w:pPr>
        <w:pStyle w:val="446"/>
        <w:numPr>
          <w:ilvl w:val="0"/>
          <w:numId w:val="4"/>
        </w:numPr>
        <w:ind w:firstLineChars="0"/>
        <w:rPr>
          <w:rFonts w:hint="eastAsia"/>
          <w:sz w:val="21"/>
          <w:szCs w:val="21"/>
        </w:rPr>
      </w:pPr>
      <w:r>
        <w:rPr>
          <w:rFonts w:hint="eastAsia"/>
          <w:sz w:val="21"/>
          <w:szCs w:val="21"/>
        </w:rPr>
        <w:t>案件管理系统</w:t>
      </w:r>
    </w:p>
    <w:p w14:paraId="180AC8F7">
      <w:pPr>
        <w:pStyle w:val="446"/>
        <w:ind w:firstLineChars="0"/>
        <w:rPr>
          <w:rFonts w:hint="eastAsia"/>
          <w:sz w:val="21"/>
          <w:szCs w:val="21"/>
        </w:rPr>
      </w:pPr>
      <w:r>
        <w:rPr>
          <w:rFonts w:hint="eastAsia"/>
          <w:sz w:val="21"/>
          <w:szCs w:val="21"/>
        </w:rPr>
        <w:t>案件管理系统提供法务代理、风险（案件）预报、电子卷宗、千万案件自动报表、智能提醒等主要业务模块，完成案件全生命周期的案件信息管理，“案前-受理-审理-执行-结案-总结提升”各节点业务场景、业务流程及智能化应用。</w:t>
      </w:r>
    </w:p>
    <w:p w14:paraId="4F00A6D8">
      <w:pPr>
        <w:pStyle w:val="446"/>
        <w:numPr>
          <w:ilvl w:val="0"/>
          <w:numId w:val="4"/>
        </w:numPr>
        <w:ind w:firstLineChars="0"/>
        <w:rPr>
          <w:rFonts w:hint="eastAsia"/>
          <w:sz w:val="21"/>
          <w:szCs w:val="21"/>
        </w:rPr>
      </w:pPr>
      <w:r>
        <w:rPr>
          <w:rFonts w:hint="eastAsia"/>
          <w:sz w:val="21"/>
          <w:szCs w:val="21"/>
        </w:rPr>
        <w:t>智能审计系统</w:t>
      </w:r>
    </w:p>
    <w:p w14:paraId="3BB98B38">
      <w:pPr>
        <w:pStyle w:val="446"/>
        <w:ind w:firstLineChars="0"/>
        <w:rPr>
          <w:rFonts w:hint="eastAsia"/>
          <w:sz w:val="21"/>
          <w:szCs w:val="21"/>
        </w:rPr>
      </w:pPr>
      <w:r>
        <w:rPr>
          <w:rFonts w:hint="eastAsia"/>
          <w:sz w:val="21"/>
          <w:szCs w:val="21"/>
        </w:rPr>
        <w:t>智能审计系统是集团审计治理与风险控制的核心软件单元，利用集团OA、业务数据、人工智能（AI）和业务流程，实现对审计业务智能化管理。其核心价值在于从事后审计向事中预警、事前预防转变，提升审计效率，精准识别风险，并赋能审计决策。</w:t>
      </w:r>
    </w:p>
    <w:p w14:paraId="0EB059A6">
      <w:pPr>
        <w:pStyle w:val="446"/>
        <w:numPr>
          <w:ilvl w:val="0"/>
          <w:numId w:val="4"/>
        </w:numPr>
        <w:ind w:firstLineChars="0"/>
        <w:rPr>
          <w:rFonts w:hint="eastAsia"/>
          <w:sz w:val="21"/>
          <w:szCs w:val="21"/>
        </w:rPr>
      </w:pPr>
      <w:r>
        <w:rPr>
          <w:rFonts w:hint="eastAsia"/>
          <w:sz w:val="21"/>
          <w:szCs w:val="21"/>
        </w:rPr>
        <w:t>合规智能体</w:t>
      </w:r>
    </w:p>
    <w:p w14:paraId="2BC8A2DC">
      <w:pPr>
        <w:pStyle w:val="446"/>
        <w:ind w:firstLineChars="0"/>
        <w:rPr>
          <w:rFonts w:hint="eastAsia"/>
          <w:sz w:val="21"/>
          <w:szCs w:val="21"/>
        </w:rPr>
      </w:pPr>
      <w:r>
        <w:rPr>
          <w:rFonts w:hint="eastAsia"/>
          <w:sz w:val="21"/>
          <w:szCs w:val="21"/>
        </w:rPr>
        <w:t>合规智能体系统提供从合同文档结构解析、专业知识库管理到审查类型配置、文档审查执行及可视化规则引擎的一体化智能合规审查能力，能够提升审计效率和深度，有效识别潜在风险，强化内部监督。</w:t>
      </w:r>
    </w:p>
    <w:p w14:paraId="587A18BE">
      <w:pPr>
        <w:pStyle w:val="446"/>
        <w:numPr>
          <w:ilvl w:val="0"/>
          <w:numId w:val="4"/>
        </w:numPr>
        <w:ind w:firstLineChars="0"/>
        <w:rPr>
          <w:rFonts w:hint="eastAsia"/>
          <w:sz w:val="21"/>
          <w:szCs w:val="21"/>
        </w:rPr>
      </w:pPr>
      <w:r>
        <w:rPr>
          <w:rFonts w:hint="eastAsia"/>
          <w:sz w:val="21"/>
          <w:szCs w:val="21"/>
        </w:rPr>
        <w:t>智能档案管理系统</w:t>
      </w:r>
    </w:p>
    <w:p w14:paraId="6FE81E14">
      <w:pPr>
        <w:pStyle w:val="446"/>
        <w:ind w:firstLineChars="0"/>
        <w:rPr>
          <w:rFonts w:hint="eastAsia"/>
          <w:sz w:val="21"/>
          <w:szCs w:val="21"/>
        </w:rPr>
      </w:pPr>
      <w:r>
        <w:rPr>
          <w:rFonts w:hint="eastAsia"/>
          <w:sz w:val="21"/>
          <w:szCs w:val="21"/>
        </w:rPr>
        <w:t>以《广东省企业数字档案室建设评价标准》（粤档发〔2022〕14号）为建设基础，结合集团现有档案管理现状与中长期数字化规划，搭建集团一体化档案知识库，搭载本地化AI智能模块，构建档案收集、整理、保管、利用、鉴定、销毁、统计、移交全流程闭环管理体系。</w:t>
      </w:r>
    </w:p>
    <w:p w14:paraId="3C756DBB">
      <w:pPr>
        <w:pStyle w:val="446"/>
        <w:ind w:firstLine="420"/>
        <w:rPr>
          <w:rFonts w:hint="eastAsia"/>
          <w:sz w:val="21"/>
          <w:szCs w:val="21"/>
        </w:rPr>
      </w:pPr>
      <w:r>
        <w:rPr>
          <w:rFonts w:hint="eastAsia"/>
          <w:sz w:val="21"/>
          <w:szCs w:val="21"/>
        </w:rPr>
        <w:t>详细建设内容见技术要求：表3《AI+数字化业务应用建设清单》。</w:t>
      </w:r>
    </w:p>
    <w:p w14:paraId="1C870271">
      <w:pPr>
        <w:pStyle w:val="446"/>
        <w:ind w:firstLine="420"/>
        <w:rPr>
          <w:rFonts w:hint="eastAsia"/>
          <w:sz w:val="21"/>
          <w:szCs w:val="21"/>
        </w:rPr>
      </w:pPr>
      <w:r>
        <w:rPr>
          <w:rFonts w:hint="eastAsia"/>
          <w:sz w:val="21"/>
          <w:szCs w:val="21"/>
        </w:rPr>
        <w:t>4.数转技术架构提升</w:t>
      </w:r>
    </w:p>
    <w:p w14:paraId="26DEEF80">
      <w:pPr>
        <w:pStyle w:val="446"/>
        <w:ind w:firstLine="420"/>
        <w:rPr>
          <w:rFonts w:hint="eastAsia"/>
          <w:sz w:val="21"/>
          <w:szCs w:val="21"/>
        </w:rPr>
      </w:pPr>
      <w:r>
        <w:rPr>
          <w:rFonts w:hint="eastAsia"/>
          <w:sz w:val="21"/>
          <w:szCs w:val="21"/>
        </w:rPr>
        <w:t>目前集团的业务系统烟囱式建设，存在业务系统孤岛严重，业务协同效率低下、系统扩展性与可维护性差、系统集成复杂度高，接口开发成本高昂等问题。通过建设集团接口总线平台，制定不同业务系统间的标准化集成规范，将原有烟囱式业务系统打通，实现集团不同业务系统的互联互通，打破信息孤岛，促进数据共享，提升IT架构灵活性。同时避免新建业务系统的重复开发和技术兼容风险。</w:t>
      </w:r>
    </w:p>
    <w:p w14:paraId="45E7428C">
      <w:pPr>
        <w:pStyle w:val="446"/>
        <w:ind w:firstLine="420"/>
        <w:rPr>
          <w:rFonts w:hint="eastAsia"/>
          <w:sz w:val="21"/>
          <w:szCs w:val="21"/>
        </w:rPr>
      </w:pPr>
      <w:r>
        <w:rPr>
          <w:rFonts w:hint="eastAsia"/>
          <w:sz w:val="21"/>
          <w:szCs w:val="21"/>
        </w:rPr>
        <w:t>详细建设内容见技术要求：表</w:t>
      </w:r>
      <w:r>
        <w:rPr>
          <w:rFonts w:hint="eastAsia"/>
          <w:sz w:val="21"/>
          <w:szCs w:val="21"/>
          <w:lang w:val="en-US" w:eastAsia="zh-CN"/>
        </w:rPr>
        <w:t>4</w:t>
      </w:r>
      <w:r>
        <w:rPr>
          <w:rFonts w:hint="eastAsia"/>
          <w:sz w:val="21"/>
          <w:szCs w:val="21"/>
        </w:rPr>
        <w:t>《数转技术架构提升建设清单》。</w:t>
      </w:r>
    </w:p>
    <w:p w14:paraId="5A554917">
      <w:pPr>
        <w:pStyle w:val="446"/>
        <w:numPr>
          <w:ilvl w:val="0"/>
          <w:numId w:val="0"/>
        </w:numPr>
        <w:ind w:firstLine="420" w:firstLineChars="200"/>
        <w:rPr>
          <w:rStyle w:val="62"/>
          <w:rFonts w:hint="eastAsia"/>
        </w:rPr>
      </w:pPr>
      <w:r>
        <w:rPr>
          <w:rFonts w:hint="eastAsia"/>
          <w:sz w:val="21"/>
          <w:szCs w:val="21"/>
          <w:lang w:val="en-US" w:eastAsia="zh-CN"/>
        </w:rPr>
        <w:t>5.</w:t>
      </w:r>
      <w:r>
        <w:rPr>
          <w:rFonts w:hint="eastAsia"/>
          <w:sz w:val="21"/>
          <w:szCs w:val="21"/>
        </w:rPr>
        <w:t>系统集成服务</w:t>
      </w:r>
    </w:p>
    <w:p w14:paraId="19B4D950">
      <w:pPr>
        <w:ind w:firstLine="420"/>
        <w:rPr>
          <w:rStyle w:val="62"/>
          <w:rFonts w:hint="eastAsia"/>
          <w:lang w:val="en-US" w:eastAsia="zh-CN"/>
        </w:rPr>
      </w:pPr>
      <w:r>
        <w:rPr>
          <w:rStyle w:val="62"/>
          <w:rFonts w:hint="eastAsia"/>
        </w:rPr>
        <w:t>随着集团信息化建设向纵向深化、横向拓展持续推进，以集团接口总线平台为核心支撑，统筹梳理城投集团既有存量业务系统与本项目新增业务系统的核心接口资源，构建标准化、可迭代、易维护的集成服务体系。对内，重点支撑跨系统业务数据高效调度、多终端多屏数据可视化呈现，实现业务流程协同联动；对外，顺畅完成与政务OA等外部系统的对接互通，打破信息壁垒。通过该集成服务，推动各业务系统实现松耦合、高内聚的有机协同，有效降低系统运维成本与管理复杂度，助力集团数字化架构的整体优化、效能提升与可持续演进，为集团数字化转型筑牢技术根基。</w:t>
      </w:r>
      <w:r>
        <w:rPr>
          <w:rStyle w:val="62"/>
          <w:rFonts w:hint="eastAsia"/>
          <w:lang w:val="en-US" w:eastAsia="zh-CN"/>
        </w:rPr>
        <w:t>本次项目新建信息化系统统一与集团现有的OA系统集成实现单点登录，基于集团接口总线平台将新建设的信息化系统与智慧园区管理系统（IPark）、数据中台等原信息化系统通过接口形式统一集成并完成调试。</w:t>
      </w:r>
    </w:p>
    <w:p w14:paraId="696C6889">
      <w:pPr>
        <w:ind w:firstLine="420"/>
        <w:rPr>
          <w:rStyle w:val="62"/>
          <w:rFonts w:hint="eastAsia"/>
        </w:rPr>
      </w:pPr>
      <w:r>
        <w:rPr>
          <w:rStyle w:val="62"/>
          <w:rFonts w:hint="eastAsia"/>
        </w:rPr>
        <w:t>详细建设内容见技术要求：表</w:t>
      </w:r>
      <w:r>
        <w:rPr>
          <w:rStyle w:val="62"/>
          <w:rFonts w:hint="eastAsia"/>
          <w:lang w:val="en-US" w:eastAsia="zh-CN"/>
        </w:rPr>
        <w:t>5</w:t>
      </w:r>
      <w:r>
        <w:rPr>
          <w:rStyle w:val="62"/>
          <w:rFonts w:hint="eastAsia"/>
        </w:rPr>
        <w:t>《系统集成服务清单》。</w:t>
      </w:r>
    </w:p>
    <w:p w14:paraId="51951BA0">
      <w:pPr>
        <w:spacing w:after="0"/>
        <w:ind w:firstLine="422"/>
        <w:jc w:val="center"/>
        <w:rPr>
          <w:rFonts w:hint="eastAsia" w:ascii="宋体" w:hAnsi="宋体"/>
          <w:b/>
          <w:bCs/>
        </w:rPr>
      </w:pPr>
    </w:p>
    <w:p w14:paraId="318B93DC">
      <w:pPr>
        <w:widowControl w:val="0"/>
        <w:autoSpaceDN w:val="0"/>
        <w:adjustRightInd w:val="0"/>
        <w:snapToGrid w:val="0"/>
        <w:ind w:firstLine="0" w:firstLineChars="0"/>
        <w:jc w:val="center"/>
        <w:outlineLvl w:val="1"/>
        <w:rPr>
          <w:rFonts w:hint="eastAsia" w:ascii="宋体" w:hAnsi="宋体"/>
          <w:b/>
          <w:sz w:val="32"/>
        </w:rPr>
      </w:pPr>
      <w:r>
        <w:rPr>
          <w:rFonts w:hint="eastAsia" w:ascii="宋体" w:hAnsi="宋体"/>
          <w:b/>
          <w:sz w:val="32"/>
        </w:rPr>
        <w:t>第二节 商务条款</w:t>
      </w:r>
    </w:p>
    <w:p w14:paraId="52B430AB">
      <w:pPr>
        <w:widowControl w:val="0"/>
        <w:numPr>
          <w:ilvl w:val="0"/>
          <w:numId w:val="5"/>
        </w:numPr>
        <w:autoSpaceDE w:val="0"/>
        <w:autoSpaceDN w:val="0"/>
        <w:adjustRightInd w:val="0"/>
        <w:snapToGrid w:val="0"/>
        <w:spacing w:after="0"/>
        <w:ind w:left="0" w:firstLine="422"/>
        <w:jc w:val="left"/>
        <w:outlineLvl w:val="2"/>
        <w:rPr>
          <w:rFonts w:hint="eastAsia" w:ascii="宋体" w:hAnsi="宋体"/>
          <w:b/>
          <w:bCs/>
          <w:szCs w:val="21"/>
        </w:rPr>
      </w:pPr>
      <w:r>
        <w:rPr>
          <w:rFonts w:hint="eastAsia" w:ascii="宋体" w:hAnsi="宋体"/>
          <w:b/>
          <w:bCs/>
          <w:szCs w:val="21"/>
        </w:rPr>
        <w:t>项目概况</w:t>
      </w:r>
    </w:p>
    <w:p w14:paraId="440802C8">
      <w:pPr>
        <w:pStyle w:val="2"/>
        <w:rPr>
          <w:rFonts w:hint="eastAsia"/>
        </w:rPr>
      </w:pPr>
      <w:r>
        <w:rPr>
          <w:rFonts w:hint="eastAsia"/>
        </w:rPr>
        <w:t>在国家及深圳市国资委多层次政策推动、全球数字经济蓬勃发展的大背景下，面对复杂的内外部环境变化，集团提出构建 “传统＋战新” 业务双轮驱动模式，对数字化建设提出更高要求。为此，集团启动信息化基础提升工程，围绕信息化基础设施建设网络安全保障体系及信息化资源统一管理，通过数据治理服务支撑数据资产可视化从而实现行数据要素赋能，并在多个关键业务场景探索AI+数字化业务系统应用，对整个集团数字化技术架构进行整体梳理，全面提升运营与管理效能，夯实数字化基石。</w:t>
      </w:r>
    </w:p>
    <w:p w14:paraId="65BBF07A">
      <w:pPr>
        <w:widowControl w:val="0"/>
        <w:numPr>
          <w:ilvl w:val="0"/>
          <w:numId w:val="5"/>
        </w:numPr>
        <w:autoSpaceDE w:val="0"/>
        <w:autoSpaceDN w:val="0"/>
        <w:adjustRightInd w:val="0"/>
        <w:snapToGrid w:val="0"/>
        <w:spacing w:after="0"/>
        <w:ind w:left="0" w:firstLine="422"/>
        <w:jc w:val="left"/>
        <w:outlineLvl w:val="2"/>
        <w:rPr>
          <w:rFonts w:hint="eastAsia" w:ascii="宋体" w:hAnsi="宋体"/>
          <w:b/>
          <w:bCs/>
          <w:szCs w:val="21"/>
        </w:rPr>
      </w:pPr>
      <w:r>
        <w:rPr>
          <w:rFonts w:hint="eastAsia" w:ascii="宋体" w:hAnsi="宋体"/>
          <w:b/>
          <w:bCs/>
          <w:szCs w:val="21"/>
        </w:rPr>
        <w:t>合同履行期限</w:t>
      </w:r>
    </w:p>
    <w:p w14:paraId="760568C9">
      <w:pPr>
        <w:pStyle w:val="47"/>
        <w:spacing w:after="0"/>
        <w:ind w:firstLine="420"/>
        <w:rPr>
          <w:rFonts w:hint="eastAsia"/>
          <w:lang w:eastAsia="zh-CN"/>
        </w:rPr>
      </w:pPr>
      <w:r>
        <w:rPr>
          <w:rFonts w:hint="eastAsia"/>
          <w:lang w:eastAsia="zh-CN"/>
        </w:rPr>
        <w:t>合同签订后，</w:t>
      </w:r>
      <w:r>
        <w:rPr>
          <w:rFonts w:hint="eastAsia"/>
          <w:lang w:val="en-US" w:eastAsia="zh-CN"/>
        </w:rPr>
        <w:t>12</w:t>
      </w:r>
      <w:r>
        <w:rPr>
          <w:rFonts w:hint="eastAsia"/>
          <w:lang w:eastAsia="zh-CN"/>
        </w:rPr>
        <w:t>个月内实现项目初验。</w:t>
      </w:r>
    </w:p>
    <w:p w14:paraId="4891D982">
      <w:pPr>
        <w:pStyle w:val="47"/>
        <w:spacing w:after="0"/>
        <w:ind w:firstLine="420"/>
        <w:rPr>
          <w:rFonts w:hint="eastAsia"/>
          <w:lang w:eastAsia="zh-CN"/>
        </w:rPr>
      </w:pPr>
      <w:r>
        <w:rPr>
          <w:rFonts w:hint="eastAsia"/>
          <w:lang w:eastAsia="zh-CN"/>
        </w:rPr>
        <w:t>项目验收之日起，提供1年的软件质保服务，3年的硬件质保服务。</w:t>
      </w:r>
    </w:p>
    <w:p w14:paraId="1E523F0C">
      <w:pPr>
        <w:widowControl w:val="0"/>
        <w:numPr>
          <w:ilvl w:val="0"/>
          <w:numId w:val="5"/>
        </w:numPr>
        <w:autoSpaceDE w:val="0"/>
        <w:autoSpaceDN w:val="0"/>
        <w:adjustRightInd w:val="0"/>
        <w:snapToGrid w:val="0"/>
        <w:spacing w:after="0"/>
        <w:ind w:left="0" w:firstLine="422"/>
        <w:jc w:val="left"/>
        <w:outlineLvl w:val="2"/>
        <w:rPr>
          <w:rFonts w:hint="eastAsia" w:ascii="宋体" w:hAnsi="宋体"/>
          <w:b/>
          <w:bCs/>
          <w:szCs w:val="21"/>
        </w:rPr>
      </w:pPr>
      <w:r>
        <w:rPr>
          <w:rFonts w:hint="eastAsia" w:ascii="宋体" w:hAnsi="宋体"/>
          <w:b/>
          <w:bCs/>
          <w:szCs w:val="21"/>
        </w:rPr>
        <w:t>服务地点</w:t>
      </w:r>
    </w:p>
    <w:p w14:paraId="54497BA3">
      <w:pPr>
        <w:pStyle w:val="47"/>
        <w:spacing w:after="0"/>
        <w:ind w:firstLine="420"/>
        <w:rPr>
          <w:rFonts w:hint="eastAsia"/>
          <w:lang w:eastAsia="zh-CN"/>
        </w:rPr>
      </w:pPr>
      <w:r>
        <w:rPr>
          <w:rFonts w:hint="eastAsia"/>
          <w:lang w:eastAsia="zh-CN"/>
        </w:rPr>
        <w:t>客户指定地点。</w:t>
      </w:r>
    </w:p>
    <w:p w14:paraId="2218F29C">
      <w:pPr>
        <w:widowControl w:val="0"/>
        <w:numPr>
          <w:ilvl w:val="0"/>
          <w:numId w:val="5"/>
        </w:numPr>
        <w:autoSpaceDE w:val="0"/>
        <w:autoSpaceDN w:val="0"/>
        <w:adjustRightInd w:val="0"/>
        <w:snapToGrid w:val="0"/>
        <w:spacing w:after="0"/>
        <w:ind w:left="0" w:firstLine="422"/>
        <w:jc w:val="left"/>
        <w:outlineLvl w:val="2"/>
        <w:rPr>
          <w:rFonts w:hint="eastAsia" w:ascii="宋体" w:hAnsi="宋体"/>
          <w:b/>
          <w:bCs/>
          <w:szCs w:val="21"/>
        </w:rPr>
      </w:pPr>
      <w:bookmarkStart w:id="8" w:name="_Toc406669475"/>
      <w:bookmarkStart w:id="9" w:name="_Toc404195403"/>
      <w:r>
        <w:rPr>
          <w:rFonts w:hint="eastAsia" w:ascii="宋体" w:hAnsi="宋体"/>
          <w:b/>
          <w:bCs/>
          <w:szCs w:val="21"/>
        </w:rPr>
        <w:t>报价方式</w:t>
      </w:r>
      <w:bookmarkEnd w:id="8"/>
      <w:bookmarkEnd w:id="9"/>
    </w:p>
    <w:p w14:paraId="32200EB5">
      <w:pPr>
        <w:pStyle w:val="47"/>
        <w:spacing w:after="0"/>
        <w:ind w:firstLine="420"/>
        <w:rPr>
          <w:rFonts w:hint="eastAsia"/>
          <w:lang w:eastAsia="zh-CN"/>
        </w:rPr>
      </w:pPr>
      <w:r>
        <w:rPr>
          <w:rFonts w:hint="eastAsia"/>
          <w:lang w:eastAsia="zh-CN"/>
        </w:rPr>
        <w:t>详见询价回执。</w:t>
      </w:r>
    </w:p>
    <w:p w14:paraId="12E10CE6">
      <w:pPr>
        <w:widowControl w:val="0"/>
        <w:numPr>
          <w:ilvl w:val="0"/>
          <w:numId w:val="5"/>
        </w:numPr>
        <w:autoSpaceDE w:val="0"/>
        <w:autoSpaceDN w:val="0"/>
        <w:adjustRightInd w:val="0"/>
        <w:snapToGrid w:val="0"/>
        <w:spacing w:after="0"/>
        <w:ind w:left="0" w:firstLine="422"/>
        <w:jc w:val="left"/>
        <w:outlineLvl w:val="2"/>
        <w:rPr>
          <w:rFonts w:hint="eastAsia" w:ascii="宋体" w:hAnsi="宋体"/>
          <w:b/>
          <w:bCs/>
          <w:szCs w:val="21"/>
        </w:rPr>
      </w:pPr>
      <w:r>
        <w:rPr>
          <w:rFonts w:hint="eastAsia" w:ascii="宋体" w:hAnsi="宋体"/>
          <w:b/>
          <w:bCs/>
          <w:szCs w:val="21"/>
        </w:rPr>
        <w:t>质保服务要求</w:t>
      </w:r>
    </w:p>
    <w:p w14:paraId="50FE35AB">
      <w:pPr>
        <w:widowControl w:val="0"/>
        <w:autoSpaceDE w:val="0"/>
        <w:autoSpaceDN w:val="0"/>
        <w:adjustRightInd w:val="0"/>
        <w:snapToGrid w:val="0"/>
        <w:spacing w:after="0"/>
        <w:ind w:firstLine="420" w:firstLineChars="0"/>
        <w:jc w:val="left"/>
        <w:rPr>
          <w:rFonts w:hint="eastAsia" w:ascii="宋体" w:hAnsi="宋体"/>
          <w:b/>
          <w:bCs/>
          <w:szCs w:val="21"/>
        </w:rPr>
      </w:pPr>
      <w:r>
        <w:rPr>
          <w:rFonts w:hint="eastAsia"/>
        </w:rPr>
        <w:t>本项目验收之后，提供3年硬件免费质保，1年软件免费质保。</w:t>
      </w:r>
    </w:p>
    <w:p w14:paraId="435DCA3F">
      <w:pPr>
        <w:pStyle w:val="348"/>
        <w:widowControl w:val="0"/>
        <w:numPr>
          <w:ilvl w:val="0"/>
          <w:numId w:val="6"/>
        </w:numPr>
        <w:autoSpaceDE w:val="0"/>
        <w:autoSpaceDN w:val="0"/>
        <w:adjustRightInd w:val="0"/>
        <w:snapToGrid w:val="0"/>
        <w:spacing w:after="0"/>
        <w:ind w:firstLineChars="0"/>
      </w:pPr>
      <w:r>
        <w:t>故障分类定义</w:t>
      </w:r>
    </w:p>
    <w:p w14:paraId="0024A6A9">
      <w:pPr>
        <w:widowControl w:val="0"/>
        <w:autoSpaceDE w:val="0"/>
        <w:autoSpaceDN w:val="0"/>
        <w:adjustRightInd w:val="0"/>
        <w:snapToGrid w:val="0"/>
        <w:spacing w:after="0"/>
        <w:ind w:firstLine="420"/>
      </w:pPr>
      <w:r>
        <w:t>一般故障：指没有影响应用系统正常运行的故障。</w:t>
      </w:r>
    </w:p>
    <w:p w14:paraId="191A57B8">
      <w:pPr>
        <w:widowControl w:val="0"/>
        <w:autoSpaceDE w:val="0"/>
        <w:autoSpaceDN w:val="0"/>
        <w:adjustRightInd w:val="0"/>
        <w:snapToGrid w:val="0"/>
        <w:spacing w:after="0"/>
        <w:ind w:firstLine="420"/>
      </w:pPr>
      <w:r>
        <w:t>紧急故障：指影响应用系统正常运行的故障。</w:t>
      </w:r>
    </w:p>
    <w:p w14:paraId="22A3FBC6">
      <w:pPr>
        <w:pStyle w:val="348"/>
        <w:widowControl w:val="0"/>
        <w:numPr>
          <w:ilvl w:val="0"/>
          <w:numId w:val="6"/>
        </w:numPr>
        <w:autoSpaceDE w:val="0"/>
        <w:autoSpaceDN w:val="0"/>
        <w:adjustRightInd w:val="0"/>
        <w:snapToGrid w:val="0"/>
        <w:spacing w:after="0"/>
        <w:ind w:firstLineChars="0"/>
      </w:pPr>
      <w:r>
        <w:t>服务时限要求：</w:t>
      </w:r>
    </w:p>
    <w:p w14:paraId="07FE992E">
      <w:pPr>
        <w:widowControl w:val="0"/>
        <w:autoSpaceDE w:val="0"/>
        <w:autoSpaceDN w:val="0"/>
        <w:adjustRightInd w:val="0"/>
        <w:snapToGrid w:val="0"/>
        <w:spacing w:after="0"/>
        <w:ind w:firstLine="420"/>
      </w:pPr>
      <w:r>
        <w:t>日常期间，提供7 * 24小时的故障受理服务；应急响应期间（指突然发生的自然灾害、事故灾难等突发事件、重大安全检查、重大活动、区级以上演练等期间），乙方安排人员7 *24小时现场值守。</w:t>
      </w:r>
    </w:p>
    <w:p w14:paraId="4D4732E1">
      <w:pPr>
        <w:widowControl w:val="0"/>
        <w:autoSpaceDE w:val="0"/>
        <w:autoSpaceDN w:val="0"/>
        <w:adjustRightInd w:val="0"/>
        <w:snapToGrid w:val="0"/>
        <w:spacing w:after="0"/>
        <w:ind w:firstLine="420"/>
        <w:rPr>
          <w:rFonts w:hint="eastAsia"/>
        </w:rPr>
      </w:pPr>
      <w:r>
        <w:t>一般故障：乙方必须在接到故障报告后30分钟内响应，4小时内完成修复</w:t>
      </w:r>
      <w:r>
        <w:rPr>
          <w:rFonts w:hint="eastAsia"/>
        </w:rPr>
        <w:t>(更换设备、重大故障除外)</w:t>
      </w:r>
      <w:r>
        <w:t>。</w:t>
      </w:r>
    </w:p>
    <w:p w14:paraId="5243BADB">
      <w:pPr>
        <w:widowControl w:val="0"/>
        <w:autoSpaceDE w:val="0"/>
        <w:autoSpaceDN w:val="0"/>
        <w:adjustRightInd w:val="0"/>
        <w:snapToGrid w:val="0"/>
        <w:spacing w:after="0"/>
        <w:ind w:firstLine="420"/>
        <w:rPr>
          <w:rFonts w:hint="eastAsia" w:ascii="宋体" w:hAnsi="宋体"/>
          <w:b/>
          <w:sz w:val="32"/>
        </w:rPr>
      </w:pPr>
      <w:r>
        <w:t>紧急故障：乙方必须保证接到报障后10分钟内响应，1小时内确认故障情况及处理办法，2小时内采取紧急措施（包括系统切换）处理，确保受到影响的业务恢复正常运行。若确认故障在2小时内无法解决的情况下，应启用备品备件，确保受到影响的业务恢复正常运行。乙方必须保证接到报障后72小时内修复设备。</w:t>
      </w:r>
    </w:p>
    <w:p w14:paraId="472738F5">
      <w:pPr>
        <w:widowControl w:val="0"/>
        <w:numPr>
          <w:ilvl w:val="0"/>
          <w:numId w:val="5"/>
        </w:numPr>
        <w:autoSpaceDE w:val="0"/>
        <w:autoSpaceDN w:val="0"/>
        <w:adjustRightInd w:val="0"/>
        <w:snapToGrid w:val="0"/>
        <w:spacing w:after="0"/>
        <w:ind w:left="0" w:firstLine="422"/>
        <w:jc w:val="left"/>
        <w:outlineLvl w:val="2"/>
        <w:rPr>
          <w:rFonts w:hint="eastAsia" w:ascii="宋体" w:hAnsi="宋体" w:eastAsia="宋体" w:cs="Times New Roman"/>
          <w:b/>
          <w:bCs/>
          <w:kern w:val="2"/>
          <w:sz w:val="21"/>
          <w:szCs w:val="21"/>
          <w:lang w:val="en-US" w:eastAsia="zh-CN" w:bidi="ar-SA"/>
        </w:rPr>
      </w:pPr>
      <w:r>
        <w:rPr>
          <w:rFonts w:hint="eastAsia" w:ascii="宋体" w:hAnsi="宋体" w:cs="Times New Roman"/>
          <w:b/>
          <w:bCs/>
          <w:kern w:val="2"/>
          <w:sz w:val="21"/>
          <w:szCs w:val="21"/>
          <w:lang w:val="en-US" w:eastAsia="zh-CN" w:bidi="ar-SA"/>
        </w:rPr>
        <w:t>人员数量要求</w:t>
      </w:r>
    </w:p>
    <w:p w14:paraId="443DDB2F">
      <w:pPr>
        <w:bidi w:val="0"/>
        <w:rPr>
          <w:rFonts w:hint="eastAsia"/>
          <w:highlight w:val="none"/>
          <w:lang w:val="en-US" w:eastAsia="zh-CN"/>
        </w:rPr>
      </w:pPr>
      <w:r>
        <w:rPr>
          <w:rFonts w:hint="eastAsia"/>
          <w:highlight w:val="none"/>
          <w:lang w:val="en-US" w:eastAsia="zh-CN"/>
        </w:rPr>
        <w:t>投标人须提供不低于10人的技术团队人员，其中至少包含项目负责人、技术负责人各1名，其余人员包含系统功能技术开发、系统实施、数据处理服务等相关技术人员。</w:t>
      </w:r>
    </w:p>
    <w:p w14:paraId="0B6C1090">
      <w:pPr>
        <w:rPr>
          <w:rFonts w:hint="eastAsia" w:ascii="宋体" w:hAnsi="宋体"/>
          <w:b/>
          <w:sz w:val="32"/>
        </w:rPr>
      </w:pPr>
      <w:r>
        <w:rPr>
          <w:rFonts w:hint="eastAsia" w:ascii="宋体" w:hAnsi="宋体"/>
          <w:b/>
          <w:sz w:val="32"/>
        </w:rPr>
        <w:br w:type="page"/>
      </w:r>
    </w:p>
    <w:p w14:paraId="0B6440D9">
      <w:pPr>
        <w:widowControl w:val="0"/>
        <w:autoSpaceDN w:val="0"/>
        <w:adjustRightInd w:val="0"/>
        <w:snapToGrid w:val="0"/>
        <w:ind w:firstLine="0" w:firstLineChars="0"/>
        <w:jc w:val="center"/>
        <w:outlineLvl w:val="1"/>
        <w:rPr>
          <w:rFonts w:hint="eastAsia" w:ascii="宋体" w:hAnsi="宋体"/>
          <w:b/>
          <w:sz w:val="32"/>
        </w:rPr>
      </w:pPr>
      <w:r>
        <w:rPr>
          <w:rFonts w:hint="eastAsia" w:ascii="宋体" w:hAnsi="宋体"/>
          <w:b/>
          <w:sz w:val="32"/>
        </w:rPr>
        <w:t>第三节 技术要求</w:t>
      </w:r>
      <w:bookmarkEnd w:id="0"/>
      <w:bookmarkEnd w:id="1"/>
      <w:bookmarkEnd w:id="2"/>
    </w:p>
    <w:p w14:paraId="62D08A92">
      <w:pPr>
        <w:widowControl w:val="0"/>
        <w:numPr>
          <w:ilvl w:val="0"/>
          <w:numId w:val="7"/>
        </w:numPr>
        <w:autoSpaceDE w:val="0"/>
        <w:autoSpaceDN w:val="0"/>
        <w:adjustRightInd w:val="0"/>
        <w:snapToGrid w:val="0"/>
        <w:spacing w:after="0"/>
        <w:ind w:firstLineChars="0"/>
        <w:jc w:val="left"/>
        <w:outlineLvl w:val="2"/>
        <w:rPr>
          <w:rFonts w:hint="eastAsia" w:ascii="宋体" w:hAnsi="宋体"/>
          <w:b/>
          <w:bCs/>
          <w:szCs w:val="21"/>
        </w:rPr>
      </w:pPr>
      <w:r>
        <w:rPr>
          <w:rFonts w:hint="eastAsia" w:ascii="宋体" w:hAnsi="宋体"/>
          <w:b/>
          <w:bCs/>
          <w:szCs w:val="21"/>
        </w:rPr>
        <w:t>基础设施建设</w:t>
      </w:r>
    </w:p>
    <w:p w14:paraId="2CB7F81B">
      <w:pPr>
        <w:pStyle w:val="446"/>
        <w:ind w:firstLine="480"/>
        <w:rPr>
          <w:rFonts w:hint="eastAsia"/>
        </w:rPr>
      </w:pPr>
    </w:p>
    <w:p w14:paraId="2654B33D">
      <w:pPr>
        <w:pStyle w:val="17"/>
        <w:keepNext/>
        <w:ind w:firstLine="400"/>
        <w:jc w:val="center"/>
        <w:rPr>
          <w:rFonts w:ascii="宋体" w:hAnsi="宋体" w:eastAsia="宋体"/>
        </w:rPr>
      </w:pPr>
      <w:r>
        <w:rPr>
          <w:rFonts w:hint="eastAsia" w:ascii="宋体" w:hAnsi="宋体" w:eastAsia="宋体"/>
        </w:rPr>
        <w:t xml:space="preserve">表 </w:t>
      </w:r>
      <w:r>
        <w:rPr>
          <w:rFonts w:ascii="宋体" w:hAnsi="宋体" w:eastAsia="宋体"/>
        </w:rPr>
        <w:fldChar w:fldCharType="begin"/>
      </w:r>
      <w:r>
        <w:rPr>
          <w:rFonts w:ascii="宋体" w:hAnsi="宋体" w:eastAsia="宋体"/>
        </w:rPr>
        <w:instrText xml:space="preserve"> </w:instrText>
      </w:r>
      <w:r>
        <w:rPr>
          <w:rFonts w:hint="eastAsia" w:ascii="宋体" w:hAnsi="宋体" w:eastAsia="宋体"/>
        </w:rPr>
        <w:instrText xml:space="preserve">SEQ 表 \* ARABIC</w:instrText>
      </w:r>
      <w:r>
        <w:rPr>
          <w:rFonts w:ascii="宋体" w:hAnsi="宋体" w:eastAsia="宋体"/>
        </w:rPr>
        <w:instrText xml:space="preserve"> </w:instrText>
      </w:r>
      <w:r>
        <w:rPr>
          <w:rFonts w:ascii="宋体" w:hAnsi="宋体" w:eastAsia="宋体"/>
        </w:rPr>
        <w:fldChar w:fldCharType="separate"/>
      </w:r>
      <w:r>
        <w:rPr>
          <w:rFonts w:ascii="宋体" w:hAnsi="宋体" w:eastAsia="宋体"/>
        </w:rPr>
        <w:t>1</w:t>
      </w:r>
      <w:r>
        <w:rPr>
          <w:rFonts w:ascii="宋体" w:hAnsi="宋体" w:eastAsia="宋体"/>
        </w:rPr>
        <w:fldChar w:fldCharType="end"/>
      </w:r>
      <w:r>
        <w:rPr>
          <w:rFonts w:hint="eastAsia" w:ascii="宋体" w:hAnsi="宋体" w:eastAsia="宋体"/>
        </w:rPr>
        <w:t xml:space="preserve"> </w:t>
      </w:r>
      <w:r>
        <w:rPr>
          <w:rFonts w:hint="eastAsia" w:ascii="宋体" w:hAnsi="宋体" w:eastAsia="宋体"/>
        </w:rPr>
        <w:tab/>
      </w:r>
      <w:r>
        <w:rPr>
          <w:rFonts w:hint="eastAsia" w:ascii="宋体" w:hAnsi="宋体" w:eastAsia="宋体"/>
        </w:rPr>
        <w:t>基础设施建设清单</w:t>
      </w:r>
    </w:p>
    <w:tbl>
      <w:tblPr>
        <w:tblStyle w:val="54"/>
        <w:tblW w:w="5000" w:type="pct"/>
        <w:tblInd w:w="0" w:type="dxa"/>
        <w:tblLayout w:type="autofit"/>
        <w:tblCellMar>
          <w:top w:w="0" w:type="dxa"/>
          <w:left w:w="108" w:type="dxa"/>
          <w:bottom w:w="0" w:type="dxa"/>
          <w:right w:w="108" w:type="dxa"/>
        </w:tblCellMar>
      </w:tblPr>
      <w:tblGrid>
        <w:gridCol w:w="447"/>
        <w:gridCol w:w="1212"/>
        <w:gridCol w:w="4956"/>
        <w:gridCol w:w="786"/>
        <w:gridCol w:w="448"/>
        <w:gridCol w:w="673"/>
      </w:tblGrid>
      <w:tr w14:paraId="234E7723">
        <w:tblPrEx>
          <w:tblCellMar>
            <w:top w:w="0" w:type="dxa"/>
            <w:left w:w="108" w:type="dxa"/>
            <w:bottom w:w="0" w:type="dxa"/>
            <w:right w:w="108" w:type="dxa"/>
          </w:tblCellMar>
        </w:tblPrEx>
        <w:trPr>
          <w:trHeight w:val="280" w:hRule="atLeast"/>
          <w:tblHeader/>
        </w:trPr>
        <w:tc>
          <w:tcPr>
            <w:tcW w:w="262" w:type="pct"/>
            <w:tcBorders>
              <w:top w:val="single" w:color="auto" w:sz="4" w:space="0"/>
              <w:left w:val="single" w:color="auto" w:sz="4" w:space="0"/>
              <w:bottom w:val="single" w:color="auto" w:sz="4" w:space="0"/>
              <w:right w:val="single" w:color="auto" w:sz="4" w:space="0"/>
            </w:tcBorders>
            <w:vAlign w:val="center"/>
          </w:tcPr>
          <w:p w14:paraId="4DAFD654">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序号</w:t>
            </w:r>
          </w:p>
        </w:tc>
        <w:tc>
          <w:tcPr>
            <w:tcW w:w="711" w:type="pct"/>
            <w:tcBorders>
              <w:top w:val="single" w:color="auto" w:sz="4" w:space="0"/>
              <w:left w:val="nil"/>
              <w:bottom w:val="single" w:color="auto" w:sz="4" w:space="0"/>
              <w:right w:val="single" w:color="auto" w:sz="4" w:space="0"/>
            </w:tcBorders>
            <w:vAlign w:val="center"/>
          </w:tcPr>
          <w:p w14:paraId="6DBE2596">
            <w:pPr>
              <w:spacing w:after="0" w:line="240" w:lineRule="auto"/>
              <w:ind w:firstLine="0" w:firstLineChars="0"/>
              <w:jc w:val="left"/>
              <w:rPr>
                <w:rFonts w:hint="eastAsia" w:ascii="宋体" w:hAnsi="宋体" w:cs="宋体"/>
                <w:b/>
                <w:bCs/>
                <w:kern w:val="0"/>
                <w:sz w:val="22"/>
                <w:szCs w:val="22"/>
              </w:rPr>
            </w:pPr>
            <w:r>
              <w:rPr>
                <w:rFonts w:hint="eastAsia" w:ascii="宋体" w:hAnsi="宋体" w:cs="宋体"/>
                <w:b/>
                <w:bCs/>
                <w:kern w:val="0"/>
                <w:sz w:val="22"/>
                <w:szCs w:val="22"/>
              </w:rPr>
              <w:t>名称</w:t>
            </w:r>
          </w:p>
        </w:tc>
        <w:tc>
          <w:tcPr>
            <w:tcW w:w="2907" w:type="pct"/>
            <w:tcBorders>
              <w:top w:val="single" w:color="auto" w:sz="4" w:space="0"/>
              <w:left w:val="nil"/>
              <w:bottom w:val="single" w:color="auto" w:sz="4" w:space="0"/>
              <w:right w:val="single" w:color="auto" w:sz="4" w:space="0"/>
            </w:tcBorders>
            <w:vAlign w:val="center"/>
          </w:tcPr>
          <w:p w14:paraId="32B4E554">
            <w:pPr>
              <w:spacing w:after="0" w:line="240" w:lineRule="auto"/>
              <w:ind w:firstLine="0" w:firstLineChars="0"/>
              <w:jc w:val="left"/>
              <w:rPr>
                <w:rFonts w:hint="eastAsia" w:ascii="宋体" w:hAnsi="宋体" w:cs="宋体"/>
                <w:b/>
                <w:bCs/>
                <w:kern w:val="0"/>
                <w:sz w:val="22"/>
                <w:szCs w:val="22"/>
              </w:rPr>
            </w:pPr>
            <w:r>
              <w:rPr>
                <w:rFonts w:hint="eastAsia" w:ascii="宋体" w:hAnsi="宋体" w:cs="宋体"/>
                <w:b/>
                <w:bCs/>
                <w:kern w:val="0"/>
                <w:sz w:val="22"/>
                <w:szCs w:val="22"/>
              </w:rPr>
              <w:t>规格</w:t>
            </w:r>
          </w:p>
        </w:tc>
        <w:tc>
          <w:tcPr>
            <w:tcW w:w="461" w:type="pct"/>
            <w:tcBorders>
              <w:top w:val="single" w:color="auto" w:sz="4" w:space="0"/>
              <w:left w:val="nil"/>
              <w:bottom w:val="single" w:color="auto" w:sz="4" w:space="0"/>
              <w:right w:val="single" w:color="auto" w:sz="4" w:space="0"/>
            </w:tcBorders>
            <w:vAlign w:val="center"/>
          </w:tcPr>
          <w:p w14:paraId="60CE887A">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数量</w:t>
            </w:r>
          </w:p>
        </w:tc>
        <w:tc>
          <w:tcPr>
            <w:tcW w:w="262" w:type="pct"/>
            <w:tcBorders>
              <w:top w:val="single" w:color="auto" w:sz="4" w:space="0"/>
              <w:left w:val="nil"/>
              <w:bottom w:val="single" w:color="auto" w:sz="4" w:space="0"/>
              <w:right w:val="single" w:color="auto" w:sz="4" w:space="0"/>
            </w:tcBorders>
            <w:vAlign w:val="center"/>
          </w:tcPr>
          <w:p w14:paraId="6E569CAA">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单位</w:t>
            </w:r>
          </w:p>
        </w:tc>
        <w:tc>
          <w:tcPr>
            <w:tcW w:w="394" w:type="pct"/>
            <w:tcBorders>
              <w:top w:val="single" w:color="auto" w:sz="4" w:space="0"/>
              <w:left w:val="nil"/>
              <w:bottom w:val="single" w:color="auto" w:sz="4" w:space="0"/>
              <w:right w:val="single" w:color="auto" w:sz="4" w:space="0"/>
            </w:tcBorders>
            <w:vAlign w:val="center"/>
          </w:tcPr>
          <w:p w14:paraId="0BC518A0">
            <w:pPr>
              <w:spacing w:after="0" w:line="240" w:lineRule="auto"/>
              <w:ind w:firstLine="0" w:firstLineChars="0"/>
              <w:jc w:val="left"/>
              <w:rPr>
                <w:rFonts w:hint="eastAsia" w:ascii="宋体" w:hAnsi="宋体" w:cs="宋体"/>
                <w:b/>
                <w:bCs/>
                <w:kern w:val="0"/>
                <w:sz w:val="22"/>
                <w:szCs w:val="22"/>
              </w:rPr>
            </w:pPr>
            <w:r>
              <w:rPr>
                <w:rFonts w:hint="eastAsia" w:ascii="宋体" w:hAnsi="宋体" w:cs="宋体"/>
                <w:b/>
                <w:bCs/>
                <w:kern w:val="0"/>
                <w:sz w:val="22"/>
                <w:szCs w:val="22"/>
              </w:rPr>
              <w:t>备注</w:t>
            </w:r>
          </w:p>
        </w:tc>
      </w:tr>
      <w:tr w14:paraId="1955C97A">
        <w:tblPrEx>
          <w:tblCellMar>
            <w:top w:w="0" w:type="dxa"/>
            <w:left w:w="108" w:type="dxa"/>
            <w:bottom w:w="0" w:type="dxa"/>
            <w:right w:w="108" w:type="dxa"/>
          </w:tblCellMar>
        </w:tblPrEx>
        <w:trPr>
          <w:trHeight w:val="280" w:hRule="atLeast"/>
        </w:trPr>
        <w:tc>
          <w:tcPr>
            <w:tcW w:w="262" w:type="pct"/>
            <w:tcBorders>
              <w:top w:val="nil"/>
              <w:left w:val="single" w:color="auto" w:sz="4" w:space="0"/>
              <w:bottom w:val="single" w:color="auto" w:sz="4" w:space="0"/>
              <w:right w:val="single" w:color="auto" w:sz="4" w:space="0"/>
            </w:tcBorders>
            <w:noWrap/>
            <w:vAlign w:val="center"/>
          </w:tcPr>
          <w:p w14:paraId="3703AC79">
            <w:pPr>
              <w:spacing w:after="0" w:line="240" w:lineRule="auto"/>
              <w:ind w:firstLine="0" w:firstLineChars="0"/>
              <w:jc w:val="center"/>
              <w:rPr>
                <w:rFonts w:hint="eastAsia" w:ascii="宋体" w:hAnsi="宋体" w:eastAsia="宋体" w:cs="宋体"/>
                <w:b/>
                <w:bCs/>
                <w:kern w:val="0"/>
                <w:sz w:val="22"/>
                <w:szCs w:val="22"/>
                <w:lang w:eastAsia="zh-CN"/>
              </w:rPr>
            </w:pPr>
            <w:r>
              <w:rPr>
                <w:rFonts w:hint="eastAsia" w:ascii="宋体" w:hAnsi="宋体" w:cs="宋体"/>
                <w:b/>
                <w:bCs/>
                <w:kern w:val="0"/>
                <w:sz w:val="22"/>
                <w:szCs w:val="22"/>
                <w:lang w:val="en-US" w:eastAsia="zh-CN"/>
              </w:rPr>
              <w:t>一</w:t>
            </w:r>
          </w:p>
        </w:tc>
        <w:tc>
          <w:tcPr>
            <w:tcW w:w="4342" w:type="pct"/>
            <w:gridSpan w:val="4"/>
            <w:tcBorders>
              <w:top w:val="single" w:color="auto" w:sz="4" w:space="0"/>
              <w:left w:val="nil"/>
              <w:bottom w:val="single" w:color="auto" w:sz="4" w:space="0"/>
              <w:right w:val="single" w:color="auto" w:sz="4" w:space="0"/>
            </w:tcBorders>
            <w:vAlign w:val="center"/>
          </w:tcPr>
          <w:p w14:paraId="22FC806A">
            <w:pPr>
              <w:spacing w:after="0" w:line="240" w:lineRule="auto"/>
              <w:ind w:firstLine="0" w:firstLineChars="0"/>
              <w:jc w:val="left"/>
              <w:rPr>
                <w:rFonts w:hint="eastAsia" w:ascii="宋体" w:hAnsi="宋体" w:cs="宋体"/>
                <w:b/>
                <w:bCs/>
                <w:kern w:val="0"/>
                <w:sz w:val="22"/>
                <w:szCs w:val="22"/>
              </w:rPr>
            </w:pPr>
            <w:r>
              <w:rPr>
                <w:rFonts w:hint="eastAsia" w:ascii="宋体" w:hAnsi="宋体" w:cs="宋体"/>
                <w:b/>
                <w:bCs/>
                <w:kern w:val="0"/>
                <w:sz w:val="22"/>
                <w:szCs w:val="22"/>
              </w:rPr>
              <w:t>网络安全保障服务</w:t>
            </w:r>
          </w:p>
        </w:tc>
        <w:tc>
          <w:tcPr>
            <w:tcW w:w="394" w:type="pct"/>
            <w:tcBorders>
              <w:top w:val="nil"/>
              <w:left w:val="nil"/>
              <w:bottom w:val="single" w:color="auto" w:sz="4" w:space="0"/>
              <w:right w:val="single" w:color="auto" w:sz="4" w:space="0"/>
            </w:tcBorders>
            <w:noWrap/>
            <w:vAlign w:val="center"/>
          </w:tcPr>
          <w:p w14:paraId="4BD72FE9">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　</w:t>
            </w:r>
          </w:p>
        </w:tc>
      </w:tr>
      <w:tr w14:paraId="3106CE1C">
        <w:tblPrEx>
          <w:tblCellMar>
            <w:top w:w="0" w:type="dxa"/>
            <w:left w:w="108" w:type="dxa"/>
            <w:bottom w:w="0" w:type="dxa"/>
            <w:right w:w="108" w:type="dxa"/>
          </w:tblCellMar>
        </w:tblPrEx>
        <w:trPr>
          <w:trHeight w:val="90" w:hRule="atLeast"/>
        </w:trPr>
        <w:tc>
          <w:tcPr>
            <w:tcW w:w="262" w:type="pct"/>
            <w:tcBorders>
              <w:top w:val="nil"/>
              <w:left w:val="single" w:color="auto" w:sz="4" w:space="0"/>
              <w:bottom w:val="single" w:color="auto" w:sz="4" w:space="0"/>
              <w:right w:val="single" w:color="auto" w:sz="4" w:space="0"/>
            </w:tcBorders>
            <w:vAlign w:val="center"/>
          </w:tcPr>
          <w:p w14:paraId="0B1EF9E8">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711" w:type="pct"/>
            <w:tcBorders>
              <w:top w:val="nil"/>
              <w:left w:val="nil"/>
              <w:bottom w:val="single" w:color="auto" w:sz="4" w:space="0"/>
              <w:right w:val="single" w:color="auto" w:sz="4" w:space="0"/>
            </w:tcBorders>
            <w:vAlign w:val="center"/>
          </w:tcPr>
          <w:p w14:paraId="3E65EFAE">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负载均衡</w:t>
            </w:r>
          </w:p>
        </w:tc>
        <w:tc>
          <w:tcPr>
            <w:tcW w:w="2907" w:type="pct"/>
            <w:tcBorders>
              <w:top w:val="nil"/>
              <w:left w:val="nil"/>
              <w:bottom w:val="single" w:color="auto" w:sz="4" w:space="0"/>
              <w:right w:val="single" w:color="auto" w:sz="4" w:space="0"/>
            </w:tcBorders>
            <w:vAlign w:val="center"/>
          </w:tcPr>
          <w:p w14:paraId="67A8BB1A">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1、四层吞吐量≥20Gbps；四层并发连接数≥800万；四层新建能力（CPS）≥21万；七层新建能力（RPS）≥35万;DNS性能（QPS）≥60万；</w:t>
            </w:r>
            <w:r>
              <w:rPr>
                <w:rFonts w:hint="eastAsia" w:ascii="宋体" w:hAnsi="宋体" w:cs="宋体"/>
                <w:kern w:val="0"/>
                <w:sz w:val="22"/>
                <w:szCs w:val="22"/>
              </w:rPr>
              <w:br w:type="textWrapping"/>
            </w:r>
            <w:r>
              <w:rPr>
                <w:rFonts w:hint="eastAsia" w:ascii="宋体" w:hAnsi="宋体" w:cs="宋体"/>
                <w:kern w:val="0"/>
                <w:sz w:val="22"/>
                <w:szCs w:val="22"/>
              </w:rPr>
              <w:t>2、单一设备可同时支持包括链路负载均衡、全局负载均衡和服务器负载均衡的功能。三种功能同时处于激活可使用状态，无需额外购买相应授权；</w:t>
            </w:r>
            <w:r>
              <w:rPr>
                <w:rFonts w:hint="eastAsia" w:ascii="宋体" w:hAnsi="宋体" w:cs="宋体"/>
                <w:kern w:val="0"/>
                <w:sz w:val="22"/>
                <w:szCs w:val="22"/>
              </w:rPr>
              <w:br w:type="textWrapping"/>
            </w:r>
            <w:r>
              <w:rPr>
                <w:rFonts w:hint="eastAsia" w:ascii="宋体" w:hAnsi="宋体" w:cs="宋体"/>
                <w:kern w:val="0"/>
                <w:sz w:val="22"/>
                <w:szCs w:val="22"/>
              </w:rPr>
              <w:t>3、支持静态IP和PPPOE两种线路接入方式；</w:t>
            </w:r>
            <w:r>
              <w:rPr>
                <w:rFonts w:hint="eastAsia" w:ascii="宋体" w:hAnsi="宋体" w:cs="宋体"/>
                <w:kern w:val="0"/>
                <w:sz w:val="22"/>
                <w:szCs w:val="22"/>
              </w:rPr>
              <w:br w:type="textWrapping"/>
            </w:r>
            <w:r>
              <w:rPr>
                <w:rFonts w:hint="eastAsia" w:ascii="宋体" w:hAnsi="宋体" w:cs="宋体"/>
                <w:kern w:val="0"/>
                <w:sz w:val="22"/>
                <w:szCs w:val="22"/>
              </w:rPr>
              <w:t>4、支持基于管理员自定义的时间计划来进行出站访问的流量调度分发；</w:t>
            </w:r>
            <w:r>
              <w:rPr>
                <w:rFonts w:hint="eastAsia" w:ascii="宋体" w:hAnsi="宋体" w:cs="宋体"/>
                <w:kern w:val="0"/>
                <w:sz w:val="22"/>
                <w:szCs w:val="22"/>
              </w:rPr>
              <w:br w:type="textWrapping"/>
            </w:r>
            <w:r>
              <w:rPr>
                <w:rFonts w:hint="eastAsia" w:ascii="宋体" w:hAnsi="宋体" w:cs="宋体"/>
                <w:kern w:val="0"/>
                <w:sz w:val="22"/>
                <w:szCs w:val="22"/>
              </w:rPr>
              <w:t>5、内置完备的IP地址库，无需手动导入并支持自动全网更新，可查看并编辑国内各省份的IP地址段、国内各大运营商IP地址段和国外各个国家IP地址段，并可灵活匹配IP地址库进行流量调度分发，实现链路负载功能；</w:t>
            </w:r>
            <w:r>
              <w:rPr>
                <w:rFonts w:hint="eastAsia" w:ascii="宋体" w:hAnsi="宋体" w:cs="宋体"/>
                <w:kern w:val="0"/>
                <w:sz w:val="22"/>
                <w:szCs w:val="22"/>
              </w:rPr>
              <w:br w:type="textWrapping"/>
            </w:r>
            <w:r>
              <w:rPr>
                <w:rFonts w:hint="eastAsia" w:ascii="宋体" w:hAnsi="宋体" w:cs="宋体"/>
                <w:kern w:val="0"/>
                <w:sz w:val="22"/>
                <w:szCs w:val="22"/>
              </w:rPr>
              <w:t>6、支持基于URL的链路调度功能，内置不少于10万条的国外URL网址库，无需手动导入并支持自动更新，管理员可查看。可根据URL将访问国外网站的请求调度到指定线路；</w:t>
            </w:r>
            <w:r>
              <w:rPr>
                <w:rFonts w:hint="eastAsia" w:ascii="宋体" w:hAnsi="宋体" w:cs="宋体"/>
                <w:kern w:val="0"/>
                <w:sz w:val="22"/>
                <w:szCs w:val="22"/>
              </w:rPr>
              <w:br w:type="textWrapping"/>
            </w:r>
            <w:r>
              <w:rPr>
                <w:rFonts w:hint="eastAsia" w:ascii="宋体" w:hAnsi="宋体" w:cs="宋体"/>
                <w:kern w:val="0"/>
                <w:sz w:val="22"/>
                <w:szCs w:val="22"/>
              </w:rPr>
              <w:t>7、支持轮询、加权轮询、按主机加权轮询、加权最小连接、按主机加权最小连接、动态反馈、最快响应时间、加权最小流量、最小流量、最少连接、主机-最小流量、主机-最少连接调度、动态反馈、按主机加权最小流量、源IP源端口哈希、源IP哈希、URI哈希和HOST哈希等；</w:t>
            </w:r>
            <w:r>
              <w:rPr>
                <w:rFonts w:hint="eastAsia" w:ascii="宋体" w:hAnsi="宋体" w:cs="宋体"/>
                <w:kern w:val="0"/>
                <w:sz w:val="22"/>
                <w:szCs w:val="22"/>
              </w:rPr>
              <w:br w:type="textWrapping"/>
            </w:r>
            <w:r>
              <w:rPr>
                <w:rFonts w:hint="eastAsia" w:ascii="宋体" w:hAnsi="宋体" w:cs="宋体"/>
                <w:kern w:val="0"/>
                <w:sz w:val="22"/>
                <w:szCs w:val="22"/>
              </w:rPr>
              <w:t>8、支持常见的主动式健康检查功能，提供基于SNMP、ICMP、SIP、ICMPv6、TCP、UDP、FTP、HTTP、DNS、RADIUS、HTTPS、LDAP、HTTP2、ORACLE、MSSQL、MYSQL数据库等多种类型的探测判断机制；</w:t>
            </w:r>
            <w:r>
              <w:rPr>
                <w:rFonts w:hint="eastAsia" w:ascii="宋体" w:hAnsi="宋体" w:cs="宋体"/>
                <w:kern w:val="0"/>
                <w:sz w:val="22"/>
                <w:szCs w:val="22"/>
              </w:rPr>
              <w:br w:type="textWrapping"/>
            </w:r>
            <w:r>
              <w:rPr>
                <w:rFonts w:hint="eastAsia" w:ascii="宋体" w:hAnsi="宋体" w:cs="宋体"/>
                <w:kern w:val="0"/>
                <w:sz w:val="22"/>
                <w:szCs w:val="22"/>
              </w:rPr>
              <w:t>9、支持虚拟服务地图方式展示VS和Pool与Memeber的关联关系以及对应的状态信息，可按虚拟服务名称或者状态来进行排序，同时也能根据虚拟服务/节点池/节点/主机的状态来进行过滤展示，可在不跳转页面的情况下通过对象名称快捷查看其详细配置信息，以及虚拟服务的性能压力统计数据；</w:t>
            </w:r>
          </w:p>
        </w:tc>
        <w:tc>
          <w:tcPr>
            <w:tcW w:w="461" w:type="pct"/>
            <w:tcBorders>
              <w:top w:val="nil"/>
              <w:left w:val="nil"/>
              <w:bottom w:val="single" w:color="auto" w:sz="4" w:space="0"/>
              <w:right w:val="single" w:color="auto" w:sz="4" w:space="0"/>
            </w:tcBorders>
            <w:vAlign w:val="center"/>
          </w:tcPr>
          <w:p w14:paraId="4F1ECCEE">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2</w:t>
            </w:r>
          </w:p>
        </w:tc>
        <w:tc>
          <w:tcPr>
            <w:tcW w:w="262" w:type="pct"/>
            <w:tcBorders>
              <w:top w:val="nil"/>
              <w:left w:val="nil"/>
              <w:bottom w:val="single" w:color="auto" w:sz="4" w:space="0"/>
              <w:right w:val="single" w:color="auto" w:sz="4" w:space="0"/>
            </w:tcBorders>
            <w:vAlign w:val="center"/>
          </w:tcPr>
          <w:p w14:paraId="6BA8A34B">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台</w:t>
            </w:r>
          </w:p>
        </w:tc>
        <w:tc>
          <w:tcPr>
            <w:tcW w:w="394" w:type="pct"/>
            <w:tcBorders>
              <w:top w:val="nil"/>
              <w:left w:val="nil"/>
              <w:bottom w:val="single" w:color="auto" w:sz="4" w:space="0"/>
              <w:right w:val="single" w:color="auto" w:sz="4" w:space="0"/>
            </w:tcBorders>
            <w:vAlign w:val="center"/>
          </w:tcPr>
          <w:p w14:paraId="3F8D7679">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　</w:t>
            </w:r>
            <w:bookmarkStart w:id="10" w:name="_GoBack"/>
            <w:bookmarkEnd w:id="10"/>
          </w:p>
        </w:tc>
      </w:tr>
      <w:tr w14:paraId="57C976A7">
        <w:tblPrEx>
          <w:tblCellMar>
            <w:top w:w="0" w:type="dxa"/>
            <w:left w:w="108" w:type="dxa"/>
            <w:bottom w:w="0" w:type="dxa"/>
            <w:right w:w="108" w:type="dxa"/>
          </w:tblCellMar>
        </w:tblPrEx>
        <w:trPr>
          <w:trHeight w:val="90" w:hRule="atLeast"/>
        </w:trPr>
        <w:tc>
          <w:tcPr>
            <w:tcW w:w="262" w:type="pct"/>
            <w:tcBorders>
              <w:top w:val="nil"/>
              <w:left w:val="single" w:color="auto" w:sz="4" w:space="0"/>
              <w:bottom w:val="single" w:color="auto" w:sz="4" w:space="0"/>
              <w:right w:val="single" w:color="auto" w:sz="4" w:space="0"/>
            </w:tcBorders>
            <w:vAlign w:val="center"/>
          </w:tcPr>
          <w:p w14:paraId="6D1DCCF4">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2</w:t>
            </w:r>
          </w:p>
        </w:tc>
        <w:tc>
          <w:tcPr>
            <w:tcW w:w="711" w:type="pct"/>
            <w:tcBorders>
              <w:top w:val="nil"/>
              <w:left w:val="nil"/>
              <w:bottom w:val="single" w:color="auto" w:sz="4" w:space="0"/>
              <w:right w:val="single" w:color="auto" w:sz="4" w:space="0"/>
            </w:tcBorders>
            <w:vAlign w:val="center"/>
          </w:tcPr>
          <w:p w14:paraId="2B4CA31B">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出口防火墙</w:t>
            </w:r>
          </w:p>
        </w:tc>
        <w:tc>
          <w:tcPr>
            <w:tcW w:w="2907" w:type="pct"/>
            <w:tcBorders>
              <w:top w:val="nil"/>
              <w:left w:val="nil"/>
              <w:bottom w:val="single" w:color="auto" w:sz="4" w:space="0"/>
              <w:right w:val="single" w:color="auto" w:sz="4" w:space="0"/>
            </w:tcBorders>
            <w:vAlign w:val="center"/>
          </w:tcPr>
          <w:p w14:paraId="0D5796A6">
            <w:pPr>
              <w:numPr>
                <w:ilvl w:val="0"/>
                <w:numId w:val="8"/>
              </w:num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网络层吞吐量≥35Gbps，应用层吞吐量≥20Gbps，并发连接数≥800万，每秒新建连接数≥18万；配置不少于16个千兆电口，6个万兆光口SFP+，配置冗余电源；</w:t>
            </w:r>
            <w:r>
              <w:rPr>
                <w:rFonts w:hint="eastAsia" w:ascii="宋体" w:hAnsi="宋体" w:cs="宋体"/>
                <w:kern w:val="0"/>
                <w:sz w:val="22"/>
                <w:szCs w:val="22"/>
              </w:rPr>
              <w:br w:type="textWrapping"/>
            </w:r>
            <w:r>
              <w:rPr>
                <w:rFonts w:hint="eastAsia" w:ascii="宋体" w:hAnsi="宋体" w:cs="宋体"/>
                <w:kern w:val="0"/>
                <w:sz w:val="22"/>
                <w:szCs w:val="22"/>
              </w:rPr>
              <w:t>2.支持路由模式、透明模式、虚拟网线模式、旁路镜像模式等多种部署方式；</w:t>
            </w:r>
            <w:r>
              <w:rPr>
                <w:rFonts w:hint="eastAsia" w:ascii="宋体" w:hAnsi="宋体" w:cs="宋体"/>
                <w:kern w:val="0"/>
                <w:sz w:val="22"/>
                <w:szCs w:val="22"/>
              </w:rPr>
              <w:br w:type="textWrapping"/>
            </w:r>
            <w:r>
              <w:rPr>
                <w:rFonts w:hint="eastAsia" w:ascii="宋体" w:hAnsi="宋体" w:cs="宋体"/>
                <w:kern w:val="0"/>
                <w:sz w:val="22"/>
                <w:szCs w:val="22"/>
              </w:rPr>
              <w:t>3.支持不少于9000种应用的识别和控制，应用类型包括游戏、购物、图书百科、工作招聘、P2P下载、聊天工具、旅游出行、股票软件等类型应用进行检测与控制；</w:t>
            </w:r>
            <w:r>
              <w:rPr>
                <w:rFonts w:hint="eastAsia" w:ascii="宋体" w:hAnsi="宋体" w:cs="宋体"/>
                <w:kern w:val="0"/>
                <w:sz w:val="22"/>
                <w:szCs w:val="22"/>
              </w:rPr>
              <w:br w:type="textWrapping"/>
            </w:r>
            <w:r>
              <w:rPr>
                <w:rFonts w:hint="eastAsia" w:ascii="宋体" w:hAnsi="宋体" w:cs="宋体"/>
                <w:kern w:val="0"/>
                <w:sz w:val="22"/>
                <w:szCs w:val="22"/>
              </w:rPr>
              <w:t>4.内置超过16000种漏洞规则，同时支持在控制台界面通过漏洞ID、漏洞名称、危险等级、漏洞CVE标识、漏洞描述等条件查询漏洞特征信息，支持用户自定义IPS规则；</w:t>
            </w:r>
          </w:p>
          <w:p w14:paraId="3619FD07">
            <w:pPr>
              <w:numPr>
                <w:ilvl w:val="0"/>
                <w:numId w:val="8"/>
              </w:num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5.具备独立的勒索病毒防护模块，非普通防病毒功能，支持对特定的业务进行勒索风险自动化评估，并依据评估结果自动生成防护策略。6.支持扩展云威胁情报网关技术，实现对威胁流量就近进行实时检测&amp;拦截，实现失陷外联实时阻断，保护资产安全；</w:t>
            </w:r>
            <w:r>
              <w:rPr>
                <w:rFonts w:hint="eastAsia" w:ascii="宋体" w:hAnsi="宋体" w:cs="宋体"/>
                <w:kern w:val="0"/>
                <w:sz w:val="22"/>
                <w:szCs w:val="22"/>
                <w:lang w:eastAsia="zh-CN"/>
              </w:rPr>
              <w:t xml:space="preserve">      </w:t>
            </w:r>
            <w:r>
              <w:rPr>
                <w:rFonts w:hint="eastAsia" w:ascii="宋体" w:hAnsi="宋体" w:cs="宋体"/>
                <w:kern w:val="0"/>
                <w:sz w:val="22"/>
                <w:szCs w:val="22"/>
              </w:rPr>
              <w:br w:type="textWrapping"/>
            </w:r>
            <w:r>
              <w:rPr>
                <w:rFonts w:hint="eastAsia" w:ascii="宋体" w:hAnsi="宋体" w:cs="宋体"/>
                <w:kern w:val="0"/>
                <w:sz w:val="22"/>
                <w:szCs w:val="22"/>
              </w:rPr>
              <w:t>7.当主机故障时，双机切换时不丢包，并可实现双机部署下升级不断网；</w:t>
            </w:r>
            <w:r>
              <w:rPr>
                <w:rFonts w:hint="eastAsia" w:ascii="宋体" w:hAnsi="宋体" w:cs="宋体"/>
                <w:kern w:val="0"/>
                <w:sz w:val="22"/>
                <w:szCs w:val="22"/>
              </w:rPr>
              <w:br w:type="textWrapping"/>
            </w:r>
            <w:r>
              <w:rPr>
                <w:rFonts w:hint="eastAsia" w:ascii="宋体" w:hAnsi="宋体" w:cs="宋体"/>
                <w:kern w:val="0"/>
                <w:sz w:val="22"/>
                <w:szCs w:val="22"/>
              </w:rPr>
              <w:t>8.支持与本项目终端安全软件联动管理，在防火墙完成终端安全策略设置和内网终端安全软件的统一管理，支持检测到某主机有僵木蠕毒的C2通信时，手动或自动化将恶意域名信息下发到终端安全软件做C2通信的封锁遏制，支持管理员下发一键隔离指令，对终端恶意文件进行隔离；</w:t>
            </w:r>
          </w:p>
        </w:tc>
        <w:tc>
          <w:tcPr>
            <w:tcW w:w="461" w:type="pct"/>
            <w:tcBorders>
              <w:top w:val="nil"/>
              <w:left w:val="nil"/>
              <w:bottom w:val="single" w:color="auto" w:sz="4" w:space="0"/>
              <w:right w:val="single" w:color="auto" w:sz="4" w:space="0"/>
            </w:tcBorders>
            <w:vAlign w:val="center"/>
          </w:tcPr>
          <w:p w14:paraId="1E0CD48E">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2</w:t>
            </w:r>
          </w:p>
        </w:tc>
        <w:tc>
          <w:tcPr>
            <w:tcW w:w="262" w:type="pct"/>
            <w:tcBorders>
              <w:top w:val="nil"/>
              <w:left w:val="nil"/>
              <w:bottom w:val="single" w:color="auto" w:sz="4" w:space="0"/>
              <w:right w:val="single" w:color="auto" w:sz="4" w:space="0"/>
            </w:tcBorders>
            <w:vAlign w:val="center"/>
          </w:tcPr>
          <w:p w14:paraId="6D430B59">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台</w:t>
            </w:r>
          </w:p>
        </w:tc>
        <w:tc>
          <w:tcPr>
            <w:tcW w:w="394" w:type="pct"/>
            <w:tcBorders>
              <w:top w:val="nil"/>
              <w:left w:val="nil"/>
              <w:bottom w:val="single" w:color="auto" w:sz="4" w:space="0"/>
              <w:right w:val="single" w:color="auto" w:sz="4" w:space="0"/>
            </w:tcBorders>
            <w:vAlign w:val="center"/>
          </w:tcPr>
          <w:p w14:paraId="40174546">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　</w:t>
            </w:r>
          </w:p>
        </w:tc>
      </w:tr>
      <w:tr w14:paraId="50E5BCC8">
        <w:tblPrEx>
          <w:tblCellMar>
            <w:top w:w="0" w:type="dxa"/>
            <w:left w:w="108" w:type="dxa"/>
            <w:bottom w:w="0" w:type="dxa"/>
            <w:right w:w="108" w:type="dxa"/>
          </w:tblCellMar>
        </w:tblPrEx>
        <w:trPr>
          <w:trHeight w:val="1105" w:hRule="atLeast"/>
        </w:trPr>
        <w:tc>
          <w:tcPr>
            <w:tcW w:w="262" w:type="pct"/>
            <w:tcBorders>
              <w:top w:val="nil"/>
              <w:left w:val="single" w:color="auto" w:sz="4" w:space="0"/>
              <w:bottom w:val="single" w:color="auto" w:sz="4" w:space="0"/>
              <w:right w:val="single" w:color="auto" w:sz="4" w:space="0"/>
            </w:tcBorders>
            <w:vAlign w:val="center"/>
          </w:tcPr>
          <w:p w14:paraId="66D9D7E8">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3</w:t>
            </w:r>
          </w:p>
        </w:tc>
        <w:tc>
          <w:tcPr>
            <w:tcW w:w="711" w:type="pct"/>
            <w:tcBorders>
              <w:top w:val="nil"/>
              <w:left w:val="nil"/>
              <w:bottom w:val="single" w:color="auto" w:sz="4" w:space="0"/>
              <w:right w:val="single" w:color="auto" w:sz="4" w:space="0"/>
            </w:tcBorders>
            <w:vAlign w:val="center"/>
          </w:tcPr>
          <w:p w14:paraId="4E3CC70E">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上网行为管理</w:t>
            </w:r>
          </w:p>
        </w:tc>
        <w:tc>
          <w:tcPr>
            <w:tcW w:w="2907" w:type="pct"/>
            <w:tcBorders>
              <w:top w:val="nil"/>
              <w:left w:val="nil"/>
              <w:bottom w:val="single" w:color="auto" w:sz="4" w:space="0"/>
              <w:right w:val="single" w:color="auto" w:sz="4" w:space="0"/>
            </w:tcBorders>
            <w:vAlign w:val="center"/>
          </w:tcPr>
          <w:p w14:paraId="0CAD53E2">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1.网络层吞吐量≥10Gbps，应用层吞吐量≥1.5Gbps，带宽性能≥1Gbps，用户数≥1500，新建连接数≥14000，并发连接数600000XX万；配置不少于6个千兆电口，2个千兆光口SFP；提供≥480G SSD；</w:t>
            </w:r>
            <w:r>
              <w:rPr>
                <w:rFonts w:hint="eastAsia" w:ascii="宋体" w:hAnsi="宋体" w:cs="宋体"/>
                <w:kern w:val="0"/>
                <w:sz w:val="22"/>
                <w:szCs w:val="22"/>
              </w:rPr>
              <w:br w:type="textWrapping"/>
            </w:r>
            <w:r>
              <w:rPr>
                <w:rFonts w:hint="eastAsia" w:ascii="宋体" w:hAnsi="宋体" w:cs="宋体"/>
                <w:kern w:val="0"/>
                <w:sz w:val="22"/>
                <w:szCs w:val="22"/>
              </w:rPr>
              <w:t>2.支持路由模式、单臂模式、网桥模式、旁路模式；支持多主模式，允许两台及两台以上设备同时做主机的部署模式；</w:t>
            </w:r>
            <w:r>
              <w:rPr>
                <w:rFonts w:hint="eastAsia" w:ascii="宋体" w:hAnsi="宋体" w:cs="宋体"/>
                <w:kern w:val="0"/>
                <w:sz w:val="22"/>
                <w:szCs w:val="22"/>
              </w:rPr>
              <w:br w:type="textWrapping"/>
            </w:r>
            <w:r>
              <w:rPr>
                <w:rFonts w:hint="eastAsia" w:ascii="宋体" w:hAnsi="宋体" w:cs="宋体"/>
                <w:kern w:val="0"/>
                <w:sz w:val="22"/>
                <w:szCs w:val="22"/>
              </w:rPr>
              <w:t>3.支持在设置流量策略后，根据整体线路或者某流量通道内的空闲情况，自动启用和停止使用流量控制策略，以提升带宽的高使用率；线路空闲值可自定义；</w:t>
            </w:r>
            <w:r>
              <w:rPr>
                <w:rFonts w:hint="eastAsia" w:ascii="宋体" w:hAnsi="宋体" w:cs="宋体"/>
                <w:kern w:val="0"/>
                <w:sz w:val="22"/>
                <w:szCs w:val="22"/>
              </w:rPr>
              <w:br w:type="textWrapping"/>
            </w:r>
            <w:r>
              <w:rPr>
                <w:rFonts w:hint="eastAsia" w:ascii="宋体" w:hAnsi="宋体" w:cs="宋体"/>
                <w:kern w:val="0"/>
                <w:sz w:val="22"/>
                <w:szCs w:val="22"/>
              </w:rPr>
              <w:t>4.支持通过抑制P2P的下行丢包，来减缓P2P的下行流量，从而解决网络出口在做流控后仍然压力较大的问题；</w:t>
            </w:r>
            <w:r>
              <w:rPr>
                <w:rFonts w:hint="eastAsia" w:ascii="宋体" w:hAnsi="宋体" w:cs="宋体"/>
                <w:kern w:val="0"/>
                <w:sz w:val="22"/>
                <w:szCs w:val="22"/>
              </w:rPr>
              <w:br w:type="textWrapping"/>
            </w:r>
            <w:r>
              <w:rPr>
                <w:rFonts w:hint="eastAsia" w:ascii="宋体" w:hAnsi="宋体" w:cs="宋体"/>
                <w:kern w:val="0"/>
                <w:sz w:val="22"/>
                <w:szCs w:val="22"/>
              </w:rPr>
              <w:t>5.设备内置应用识别规则库，支持超过9000种以上应用规则数、支持超过6000种以上的应用；支持根据标签选择应用，并支持给每个应用自定义标签；支持根据标签选择一类应用做控制；</w:t>
            </w:r>
            <w:r>
              <w:rPr>
                <w:rFonts w:hint="eastAsia" w:ascii="宋体" w:hAnsi="宋体" w:cs="宋体"/>
                <w:kern w:val="0"/>
                <w:sz w:val="22"/>
                <w:szCs w:val="22"/>
                <w:lang w:eastAsia="zh-CN"/>
              </w:rPr>
              <w:t xml:space="preserve">      </w:t>
            </w:r>
            <w:r>
              <w:rPr>
                <w:rFonts w:hint="eastAsia" w:ascii="宋体" w:hAnsi="宋体" w:cs="宋体"/>
                <w:kern w:val="0"/>
                <w:sz w:val="22"/>
                <w:szCs w:val="22"/>
              </w:rPr>
              <w:br w:type="textWrapping"/>
            </w:r>
            <w:r>
              <w:rPr>
                <w:rFonts w:hint="eastAsia" w:ascii="宋体" w:hAnsi="宋体" w:cs="宋体"/>
                <w:kern w:val="0"/>
                <w:sz w:val="22"/>
                <w:szCs w:val="22"/>
              </w:rPr>
              <w:t>6.支持记录全部或者指定类别URL、网页标题、网页内容等信息，支持网页内容审计后的网页快照功能；</w:t>
            </w:r>
            <w:r>
              <w:rPr>
                <w:rFonts w:hint="eastAsia" w:ascii="宋体" w:hAnsi="宋体" w:cs="宋体"/>
                <w:kern w:val="0"/>
                <w:sz w:val="22"/>
                <w:szCs w:val="22"/>
              </w:rPr>
              <w:br w:type="textWrapping"/>
            </w:r>
            <w:r>
              <w:rPr>
                <w:rFonts w:hint="eastAsia" w:ascii="宋体" w:hAnsi="宋体" w:cs="宋体"/>
                <w:kern w:val="0"/>
                <w:sz w:val="22"/>
                <w:szCs w:val="22"/>
              </w:rPr>
              <w:t>7.支持SSL加密网页的内容检查，可对SSL加密网页进行解密并识别、过滤其内容，针对加密后的钓鱼网站、非法网站，可对用户进行重定向告警；</w:t>
            </w:r>
          </w:p>
          <w:p w14:paraId="7077B8E0">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8.支持与防火墙系统实现认证联动，可以转发用户认证信息到防火墙，实现单点登录；</w:t>
            </w:r>
          </w:p>
        </w:tc>
        <w:tc>
          <w:tcPr>
            <w:tcW w:w="461" w:type="pct"/>
            <w:tcBorders>
              <w:top w:val="nil"/>
              <w:left w:val="nil"/>
              <w:bottom w:val="single" w:color="auto" w:sz="4" w:space="0"/>
              <w:right w:val="single" w:color="auto" w:sz="4" w:space="0"/>
            </w:tcBorders>
            <w:vAlign w:val="center"/>
          </w:tcPr>
          <w:p w14:paraId="3BFC56EC">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2</w:t>
            </w:r>
          </w:p>
        </w:tc>
        <w:tc>
          <w:tcPr>
            <w:tcW w:w="262" w:type="pct"/>
            <w:tcBorders>
              <w:top w:val="nil"/>
              <w:left w:val="nil"/>
              <w:bottom w:val="single" w:color="auto" w:sz="4" w:space="0"/>
              <w:right w:val="single" w:color="auto" w:sz="4" w:space="0"/>
            </w:tcBorders>
            <w:vAlign w:val="center"/>
          </w:tcPr>
          <w:p w14:paraId="5A9F64CA">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台</w:t>
            </w:r>
          </w:p>
        </w:tc>
        <w:tc>
          <w:tcPr>
            <w:tcW w:w="394" w:type="pct"/>
            <w:tcBorders>
              <w:top w:val="nil"/>
              <w:left w:val="nil"/>
              <w:bottom w:val="single" w:color="auto" w:sz="4" w:space="0"/>
              <w:right w:val="single" w:color="auto" w:sz="4" w:space="0"/>
            </w:tcBorders>
            <w:vAlign w:val="center"/>
          </w:tcPr>
          <w:p w14:paraId="2FEA770B">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　</w:t>
            </w:r>
          </w:p>
        </w:tc>
      </w:tr>
      <w:tr w14:paraId="73135752">
        <w:tblPrEx>
          <w:tblCellMar>
            <w:top w:w="0" w:type="dxa"/>
            <w:left w:w="108" w:type="dxa"/>
            <w:bottom w:w="0" w:type="dxa"/>
            <w:right w:w="108" w:type="dxa"/>
          </w:tblCellMar>
        </w:tblPrEx>
        <w:trPr>
          <w:trHeight w:val="3640" w:hRule="atLeast"/>
        </w:trPr>
        <w:tc>
          <w:tcPr>
            <w:tcW w:w="262" w:type="pct"/>
            <w:tcBorders>
              <w:top w:val="nil"/>
              <w:left w:val="single" w:color="auto" w:sz="4" w:space="0"/>
              <w:bottom w:val="single" w:color="auto" w:sz="4" w:space="0"/>
              <w:right w:val="single" w:color="auto" w:sz="4" w:space="0"/>
            </w:tcBorders>
            <w:vAlign w:val="center"/>
          </w:tcPr>
          <w:p w14:paraId="7BFF2BC0">
            <w:pPr>
              <w:spacing w:after="0" w:line="240" w:lineRule="auto"/>
              <w:ind w:firstLine="0" w:firstLineChars="0"/>
              <w:jc w:val="center"/>
              <w:rPr>
                <w:rFonts w:hint="eastAsia" w:ascii="宋体" w:hAnsi="宋体" w:eastAsia="宋体" w:cs="宋体"/>
                <w:kern w:val="0"/>
                <w:sz w:val="22"/>
                <w:szCs w:val="22"/>
                <w:lang w:eastAsia="zh-CN"/>
              </w:rPr>
            </w:pPr>
            <w:r>
              <w:rPr>
                <w:rFonts w:hint="eastAsia" w:ascii="宋体" w:hAnsi="宋体" w:cs="宋体"/>
                <w:kern w:val="0"/>
                <w:sz w:val="22"/>
                <w:szCs w:val="22"/>
                <w:lang w:val="en-US" w:eastAsia="zh-CN"/>
              </w:rPr>
              <w:t>4</w:t>
            </w:r>
          </w:p>
        </w:tc>
        <w:tc>
          <w:tcPr>
            <w:tcW w:w="711" w:type="pct"/>
            <w:tcBorders>
              <w:top w:val="nil"/>
              <w:left w:val="nil"/>
              <w:bottom w:val="single" w:color="auto" w:sz="4" w:space="0"/>
              <w:right w:val="single" w:color="auto" w:sz="4" w:space="0"/>
            </w:tcBorders>
            <w:vAlign w:val="center"/>
          </w:tcPr>
          <w:p w14:paraId="073E6388">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WAF</w:t>
            </w:r>
          </w:p>
        </w:tc>
        <w:tc>
          <w:tcPr>
            <w:tcW w:w="2907" w:type="pct"/>
            <w:tcBorders>
              <w:top w:val="nil"/>
              <w:left w:val="nil"/>
              <w:bottom w:val="single" w:color="auto" w:sz="4" w:space="0"/>
              <w:right w:val="single" w:color="auto" w:sz="4" w:space="0"/>
            </w:tcBorders>
            <w:vAlign w:val="center"/>
          </w:tcPr>
          <w:p w14:paraId="7F7D18C4">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1.网络层吞吐量≥20Gbps，HTTP应用层吞吐量（WAF）≥800Mbps，HTTP新建连接数≥10万，每秒新建连接数≥350万；配置不少于8个千兆电口，2个万兆光口SFP+；</w:t>
            </w:r>
            <w:r>
              <w:rPr>
                <w:rFonts w:hint="eastAsia" w:ascii="宋体" w:hAnsi="宋体" w:cs="宋体"/>
                <w:kern w:val="0"/>
                <w:sz w:val="22"/>
                <w:szCs w:val="22"/>
              </w:rPr>
              <w:br w:type="textWrapping"/>
            </w:r>
            <w:r>
              <w:rPr>
                <w:rFonts w:hint="eastAsia" w:ascii="宋体" w:hAnsi="宋体" w:cs="宋体"/>
                <w:kern w:val="0"/>
                <w:sz w:val="22"/>
                <w:szCs w:val="22"/>
              </w:rPr>
              <w:t>2.支持路由模式、透明模式、虚拟网线模式、旁路镜像模式等多种部署方式；</w:t>
            </w:r>
            <w:r>
              <w:rPr>
                <w:rFonts w:hint="eastAsia" w:ascii="宋体" w:hAnsi="宋体" w:cs="宋体"/>
                <w:kern w:val="0"/>
                <w:sz w:val="22"/>
                <w:szCs w:val="22"/>
              </w:rPr>
              <w:br w:type="textWrapping"/>
            </w:r>
            <w:r>
              <w:rPr>
                <w:rFonts w:hint="eastAsia" w:ascii="宋体" w:hAnsi="宋体" w:cs="宋体"/>
                <w:kern w:val="0"/>
                <w:sz w:val="22"/>
                <w:szCs w:val="22"/>
              </w:rPr>
              <w:t>3.支持路由类型、协议类型、网络对象、国家地区等条件进行自动选路的策略路由，支持不少于3种的调度算法，至少包括带宽比例、加权流量、线路优先等；</w:t>
            </w:r>
            <w:r>
              <w:rPr>
                <w:rFonts w:hint="eastAsia" w:ascii="宋体" w:hAnsi="宋体" w:cs="宋体"/>
                <w:kern w:val="0"/>
                <w:sz w:val="22"/>
                <w:szCs w:val="22"/>
              </w:rPr>
              <w:br w:type="textWrapping"/>
            </w:r>
            <w:r>
              <w:rPr>
                <w:rFonts w:hint="eastAsia" w:ascii="宋体" w:hAnsi="宋体" w:cs="宋体"/>
                <w:kern w:val="0"/>
                <w:sz w:val="22"/>
                <w:szCs w:val="22"/>
              </w:rPr>
              <w:t>4.支持链路连通性检查功能，支持基于3种以上协议对链路连通性进行探测，探测协议至少包括DNS解析、ARP探测、PING和BFD等方式；</w:t>
            </w:r>
            <w:r>
              <w:rPr>
                <w:rFonts w:hint="eastAsia" w:ascii="宋体" w:hAnsi="宋体" w:cs="宋体"/>
                <w:kern w:val="0"/>
                <w:sz w:val="22"/>
                <w:szCs w:val="22"/>
              </w:rPr>
              <w:br w:type="textWrapping"/>
            </w:r>
            <w:r>
              <w:rPr>
                <w:rFonts w:hint="eastAsia" w:ascii="宋体" w:hAnsi="宋体" w:cs="宋体"/>
                <w:kern w:val="0"/>
                <w:sz w:val="22"/>
                <w:szCs w:val="22"/>
              </w:rPr>
              <w:t>5.支持对压缩病毒文件进行检测和拦截，压缩层数支持15层及以上；</w:t>
            </w:r>
            <w:r>
              <w:rPr>
                <w:rFonts w:hint="eastAsia" w:ascii="宋体" w:hAnsi="宋体" w:cs="宋体"/>
                <w:kern w:val="0"/>
                <w:sz w:val="22"/>
                <w:szCs w:val="22"/>
              </w:rPr>
              <w:br w:type="textWrapping"/>
            </w:r>
            <w:r>
              <w:rPr>
                <w:rFonts w:hint="eastAsia" w:ascii="宋体" w:hAnsi="宋体" w:cs="宋体"/>
                <w:kern w:val="0"/>
                <w:sz w:val="22"/>
                <w:szCs w:val="22"/>
              </w:rPr>
              <w:t>6.内置超过4500种WEB应用攻击特征，支持对跨站脚本（XSS）攻击、SQL注入、文件包含攻击、信息泄露击、WEBSHELL、网站扫描、网页木马等攻击类型进行防护；</w:t>
            </w:r>
            <w:r>
              <w:rPr>
                <w:rFonts w:hint="eastAsia" w:ascii="宋体" w:hAnsi="宋体" w:cs="宋体"/>
                <w:kern w:val="0"/>
                <w:sz w:val="22"/>
                <w:szCs w:val="22"/>
                <w:lang w:eastAsia="zh-CN"/>
              </w:rPr>
              <w:t xml:space="preserve">  </w:t>
            </w:r>
            <w:r>
              <w:rPr>
                <w:rFonts w:hint="eastAsia" w:ascii="宋体" w:hAnsi="宋体" w:cs="宋体"/>
                <w:kern w:val="0"/>
                <w:sz w:val="22"/>
                <w:szCs w:val="22"/>
              </w:rPr>
              <w:br w:type="textWrapping"/>
            </w:r>
            <w:r>
              <w:rPr>
                <w:rFonts w:hint="eastAsia" w:ascii="宋体" w:hAnsi="宋体" w:cs="宋体"/>
                <w:kern w:val="0"/>
                <w:sz w:val="22"/>
                <w:szCs w:val="22"/>
              </w:rPr>
              <w:t>7.支持服务器漏洞防扫描功能，并对扫描源IP进行日志记录和联动封锁；</w:t>
            </w:r>
            <w:r>
              <w:rPr>
                <w:rFonts w:hint="eastAsia" w:ascii="宋体" w:hAnsi="宋体" w:cs="宋体"/>
                <w:kern w:val="0"/>
                <w:sz w:val="22"/>
                <w:szCs w:val="22"/>
                <w:lang w:eastAsia="zh-CN"/>
              </w:rPr>
              <w:t xml:space="preserve">      </w:t>
            </w:r>
            <w:r>
              <w:rPr>
                <w:rFonts w:hint="eastAsia" w:ascii="宋体" w:hAnsi="宋体" w:cs="宋体"/>
                <w:kern w:val="0"/>
                <w:sz w:val="22"/>
                <w:szCs w:val="22"/>
              </w:rPr>
              <w:br w:type="textWrapping"/>
            </w:r>
            <w:r>
              <w:rPr>
                <w:rFonts w:hint="eastAsia" w:ascii="宋体" w:hAnsi="宋体" w:cs="宋体"/>
                <w:kern w:val="0"/>
                <w:sz w:val="22"/>
                <w:szCs w:val="22"/>
              </w:rPr>
              <w:t>8.当主机故障时，双机切换时不丢包，并可实现双机部署下升级不断网。</w:t>
            </w:r>
          </w:p>
        </w:tc>
        <w:tc>
          <w:tcPr>
            <w:tcW w:w="461" w:type="pct"/>
            <w:tcBorders>
              <w:top w:val="nil"/>
              <w:left w:val="nil"/>
              <w:bottom w:val="single" w:color="auto" w:sz="4" w:space="0"/>
              <w:right w:val="single" w:color="auto" w:sz="4" w:space="0"/>
            </w:tcBorders>
            <w:vAlign w:val="center"/>
          </w:tcPr>
          <w:p w14:paraId="7D2C1887">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2</w:t>
            </w:r>
          </w:p>
        </w:tc>
        <w:tc>
          <w:tcPr>
            <w:tcW w:w="262" w:type="pct"/>
            <w:tcBorders>
              <w:top w:val="nil"/>
              <w:left w:val="nil"/>
              <w:bottom w:val="single" w:color="auto" w:sz="4" w:space="0"/>
              <w:right w:val="single" w:color="auto" w:sz="4" w:space="0"/>
            </w:tcBorders>
            <w:vAlign w:val="center"/>
          </w:tcPr>
          <w:p w14:paraId="1FB5E0AA">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台</w:t>
            </w:r>
          </w:p>
        </w:tc>
        <w:tc>
          <w:tcPr>
            <w:tcW w:w="394" w:type="pct"/>
            <w:tcBorders>
              <w:top w:val="nil"/>
              <w:left w:val="nil"/>
              <w:bottom w:val="single" w:color="auto" w:sz="4" w:space="0"/>
              <w:right w:val="single" w:color="auto" w:sz="4" w:space="0"/>
            </w:tcBorders>
            <w:vAlign w:val="center"/>
          </w:tcPr>
          <w:p w14:paraId="1F78A9B5">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　</w:t>
            </w:r>
          </w:p>
        </w:tc>
      </w:tr>
      <w:tr w14:paraId="402D953E">
        <w:trPr>
          <w:trHeight w:val="3920" w:hRule="atLeast"/>
        </w:trPr>
        <w:tc>
          <w:tcPr>
            <w:tcW w:w="262" w:type="pct"/>
            <w:tcBorders>
              <w:top w:val="nil"/>
              <w:left w:val="single" w:color="auto" w:sz="4" w:space="0"/>
              <w:bottom w:val="single" w:color="auto" w:sz="4" w:space="0"/>
              <w:right w:val="single" w:color="auto" w:sz="4" w:space="0"/>
            </w:tcBorders>
            <w:vAlign w:val="center"/>
          </w:tcPr>
          <w:p w14:paraId="4809EB6F">
            <w:pPr>
              <w:spacing w:after="0" w:line="240" w:lineRule="auto"/>
              <w:ind w:firstLine="0" w:firstLineChars="0"/>
              <w:jc w:val="center"/>
              <w:rPr>
                <w:rFonts w:hint="eastAsia" w:ascii="宋体" w:hAnsi="宋体" w:eastAsia="宋体" w:cs="宋体"/>
                <w:kern w:val="0"/>
                <w:sz w:val="22"/>
                <w:szCs w:val="22"/>
                <w:lang w:eastAsia="zh-CN"/>
              </w:rPr>
            </w:pPr>
            <w:r>
              <w:rPr>
                <w:rFonts w:hint="eastAsia" w:ascii="宋体" w:hAnsi="宋体" w:cs="宋体"/>
                <w:kern w:val="0"/>
                <w:sz w:val="22"/>
                <w:szCs w:val="22"/>
                <w:lang w:val="en-US" w:eastAsia="zh-CN"/>
              </w:rPr>
              <w:t>5</w:t>
            </w:r>
          </w:p>
        </w:tc>
        <w:tc>
          <w:tcPr>
            <w:tcW w:w="711" w:type="pct"/>
            <w:tcBorders>
              <w:top w:val="nil"/>
              <w:left w:val="nil"/>
              <w:bottom w:val="single" w:color="auto" w:sz="4" w:space="0"/>
              <w:right w:val="single" w:color="auto" w:sz="4" w:space="0"/>
            </w:tcBorders>
            <w:vAlign w:val="center"/>
          </w:tcPr>
          <w:p w14:paraId="3F99EAE6">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终端安全管理系统</w:t>
            </w:r>
          </w:p>
        </w:tc>
        <w:tc>
          <w:tcPr>
            <w:tcW w:w="2907" w:type="pct"/>
            <w:tcBorders>
              <w:top w:val="nil"/>
              <w:left w:val="nil"/>
              <w:bottom w:val="single" w:color="auto" w:sz="4" w:space="0"/>
              <w:right w:val="single" w:color="auto" w:sz="4" w:space="0"/>
            </w:tcBorders>
            <w:vAlign w:val="center"/>
          </w:tcPr>
          <w:p w14:paraId="0ED550C6">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1.包含管理控制中心软件及终端客户端软件；本次提供PC客户端安全防护软件不少于300套，服务器客户端安全防护软件不少于50套；</w:t>
            </w:r>
            <w:r>
              <w:rPr>
                <w:rFonts w:hint="eastAsia" w:ascii="宋体" w:hAnsi="宋体" w:cs="宋体"/>
                <w:kern w:val="0"/>
                <w:sz w:val="22"/>
                <w:szCs w:val="22"/>
              </w:rPr>
              <w:br w:type="textWrapping"/>
            </w:r>
            <w:r>
              <w:rPr>
                <w:rFonts w:hint="eastAsia" w:ascii="宋体" w:hAnsi="宋体" w:cs="宋体"/>
                <w:kern w:val="0"/>
                <w:sz w:val="22"/>
                <w:szCs w:val="22"/>
              </w:rPr>
              <w:t>2.单一管理控制中心可统一管理分别部署在国产化服务器、Linux服务器、以及WindowsPC、Windows服务器的客户端软件；</w:t>
            </w:r>
            <w:r>
              <w:rPr>
                <w:rFonts w:hint="eastAsia" w:ascii="宋体" w:hAnsi="宋体" w:cs="宋体"/>
                <w:kern w:val="0"/>
                <w:sz w:val="22"/>
                <w:szCs w:val="22"/>
              </w:rPr>
              <w:br w:type="textWrapping"/>
            </w:r>
            <w:r>
              <w:rPr>
                <w:rFonts w:hint="eastAsia" w:ascii="宋体" w:hAnsi="宋体" w:cs="宋体"/>
                <w:kern w:val="0"/>
                <w:sz w:val="22"/>
                <w:szCs w:val="22"/>
              </w:rPr>
              <w:t>3.支持安全策略一体化配置，通过单一策略即可实现不同安全功能的配置，包括：终端病毒查杀的文件扫描配置、文件实时监控的参数配置、桌面管控的功能设置；</w:t>
            </w:r>
            <w:r>
              <w:rPr>
                <w:rFonts w:hint="eastAsia" w:ascii="宋体" w:hAnsi="宋体" w:cs="宋体"/>
                <w:kern w:val="0"/>
                <w:sz w:val="22"/>
                <w:szCs w:val="22"/>
              </w:rPr>
              <w:br w:type="textWrapping"/>
            </w:r>
            <w:r>
              <w:rPr>
                <w:rFonts w:hint="eastAsia" w:ascii="宋体" w:hAnsi="宋体" w:cs="宋体"/>
                <w:kern w:val="0"/>
                <w:sz w:val="22"/>
                <w:szCs w:val="22"/>
              </w:rPr>
              <w:t>4.支持客户端的错峰升级，可根据实际情况控制客户端同时升级的最大数量，避免大量终端程序同时更新造成网络拥堵或I/O风暴；</w:t>
            </w:r>
            <w:r>
              <w:rPr>
                <w:rFonts w:hint="eastAsia" w:ascii="宋体" w:hAnsi="宋体" w:cs="宋体"/>
                <w:kern w:val="0"/>
                <w:sz w:val="22"/>
                <w:szCs w:val="22"/>
                <w:lang w:eastAsia="zh-CN"/>
              </w:rPr>
              <w:t xml:space="preserve">  </w:t>
            </w:r>
            <w:r>
              <w:rPr>
                <w:rFonts w:hint="eastAsia" w:ascii="宋体" w:hAnsi="宋体" w:cs="宋体"/>
                <w:kern w:val="0"/>
                <w:sz w:val="22"/>
                <w:szCs w:val="22"/>
              </w:rPr>
              <w:br w:type="textWrapping"/>
            </w:r>
            <w:r>
              <w:rPr>
                <w:rFonts w:hint="eastAsia" w:ascii="宋体" w:hAnsi="宋体" w:cs="宋体"/>
                <w:kern w:val="0"/>
                <w:sz w:val="22"/>
                <w:szCs w:val="22"/>
              </w:rPr>
              <w:t>5.支持显示攻击事件命中的ATT&amp;CK相关技术，并对此技术做简要说明。便于用户了解攻击者的操作行为和目的，评估整体影响面；</w:t>
            </w:r>
            <w:r>
              <w:rPr>
                <w:rFonts w:hint="eastAsia" w:ascii="宋体" w:hAnsi="宋体" w:cs="宋体"/>
                <w:kern w:val="0"/>
                <w:sz w:val="22"/>
                <w:szCs w:val="22"/>
                <w:lang w:eastAsia="zh-CN"/>
              </w:rPr>
              <w:t xml:space="preserve">  </w:t>
            </w:r>
            <w:r>
              <w:rPr>
                <w:rFonts w:hint="eastAsia" w:ascii="宋体" w:hAnsi="宋体" w:cs="宋体"/>
                <w:kern w:val="0"/>
                <w:sz w:val="22"/>
                <w:szCs w:val="22"/>
              </w:rPr>
              <w:br w:type="textWrapping"/>
            </w:r>
            <w:r>
              <w:rPr>
                <w:rFonts w:hint="eastAsia" w:ascii="宋体" w:hAnsi="宋体" w:cs="宋体"/>
                <w:kern w:val="0"/>
                <w:sz w:val="22"/>
                <w:szCs w:val="22"/>
              </w:rPr>
              <w:t>6.支持在管理平台下发终端漏洞扫描任务，并针对已发现的漏洞提供相应的修复建议；</w:t>
            </w:r>
            <w:r>
              <w:rPr>
                <w:rFonts w:hint="eastAsia" w:ascii="宋体" w:hAnsi="宋体" w:cs="宋体"/>
                <w:kern w:val="0"/>
                <w:sz w:val="22"/>
                <w:szCs w:val="22"/>
              </w:rPr>
              <w:br w:type="textWrapping"/>
            </w:r>
            <w:r>
              <w:rPr>
                <w:rFonts w:hint="eastAsia" w:ascii="宋体" w:hAnsi="宋体" w:cs="宋体"/>
                <w:kern w:val="0"/>
                <w:sz w:val="22"/>
                <w:szCs w:val="22"/>
              </w:rPr>
              <w:t>7.支持与网络防火墙进行安全联动，管理员可以在网络防火墙管理界面下发快速查杀任务，并查看任务状态、结果并进行处置，支持在管理平台查询和统计联动信息；</w:t>
            </w:r>
            <w:r>
              <w:rPr>
                <w:rFonts w:hint="eastAsia" w:ascii="宋体" w:hAnsi="宋体" w:cs="宋体"/>
                <w:kern w:val="0"/>
                <w:sz w:val="22"/>
                <w:szCs w:val="22"/>
                <w:lang w:eastAsia="zh-CN"/>
              </w:rPr>
              <w:t xml:space="preserve">  </w:t>
            </w:r>
          </w:p>
        </w:tc>
        <w:tc>
          <w:tcPr>
            <w:tcW w:w="461" w:type="pct"/>
            <w:tcBorders>
              <w:top w:val="nil"/>
              <w:left w:val="nil"/>
              <w:bottom w:val="single" w:color="auto" w:sz="4" w:space="0"/>
              <w:right w:val="single" w:color="auto" w:sz="4" w:space="0"/>
            </w:tcBorders>
            <w:vAlign w:val="center"/>
          </w:tcPr>
          <w:p w14:paraId="28887FE4">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262" w:type="pct"/>
            <w:tcBorders>
              <w:top w:val="nil"/>
              <w:left w:val="nil"/>
              <w:bottom w:val="single" w:color="auto" w:sz="4" w:space="0"/>
              <w:right w:val="single" w:color="auto" w:sz="4" w:space="0"/>
            </w:tcBorders>
            <w:vAlign w:val="center"/>
          </w:tcPr>
          <w:p w14:paraId="179F1E01">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套</w:t>
            </w:r>
          </w:p>
        </w:tc>
        <w:tc>
          <w:tcPr>
            <w:tcW w:w="394" w:type="pct"/>
            <w:tcBorders>
              <w:top w:val="nil"/>
              <w:left w:val="nil"/>
              <w:bottom w:val="single" w:color="auto" w:sz="4" w:space="0"/>
              <w:right w:val="single" w:color="auto" w:sz="4" w:space="0"/>
            </w:tcBorders>
            <w:vAlign w:val="center"/>
          </w:tcPr>
          <w:p w14:paraId="4E4ECD7A">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原有授权数不足，需要扩容</w:t>
            </w:r>
            <w:r>
              <w:rPr>
                <w:rFonts w:hint="eastAsia" w:ascii="宋体" w:hAnsi="宋体" w:cs="宋体"/>
                <w:kern w:val="0"/>
                <w:sz w:val="22"/>
                <w:szCs w:val="22"/>
                <w:lang w:eastAsia="zh-CN"/>
              </w:rPr>
              <w:t>，</w:t>
            </w:r>
            <w:r>
              <w:rPr>
                <w:rFonts w:hint="eastAsia" w:ascii="宋体" w:hAnsi="宋体" w:cs="宋体"/>
                <w:kern w:val="0"/>
                <w:sz w:val="22"/>
                <w:szCs w:val="22"/>
                <w:lang w:val="en-US" w:eastAsia="zh-CN"/>
              </w:rPr>
              <w:t>不含</w:t>
            </w:r>
            <w:r>
              <w:rPr>
                <w:rFonts w:hint="eastAsia" w:ascii="宋体" w:hAnsi="宋体" w:cs="宋体"/>
                <w:kern w:val="0"/>
                <w:sz w:val="22"/>
                <w:szCs w:val="22"/>
              </w:rPr>
              <w:t>硬件设备</w:t>
            </w:r>
          </w:p>
        </w:tc>
      </w:tr>
      <w:tr w14:paraId="7A6D5512">
        <w:tblPrEx>
          <w:tblCellMar>
            <w:top w:w="0" w:type="dxa"/>
            <w:left w:w="108" w:type="dxa"/>
            <w:bottom w:w="0" w:type="dxa"/>
            <w:right w:w="108" w:type="dxa"/>
          </w:tblCellMar>
        </w:tblPrEx>
        <w:trPr>
          <w:trHeight w:val="1192" w:hRule="atLeast"/>
        </w:trPr>
        <w:tc>
          <w:tcPr>
            <w:tcW w:w="262" w:type="pct"/>
            <w:tcBorders>
              <w:top w:val="nil"/>
              <w:left w:val="single" w:color="auto" w:sz="4" w:space="0"/>
              <w:bottom w:val="single" w:color="auto" w:sz="4" w:space="0"/>
              <w:right w:val="single" w:color="auto" w:sz="4" w:space="0"/>
            </w:tcBorders>
            <w:vAlign w:val="center"/>
          </w:tcPr>
          <w:p w14:paraId="6E4BDAFB">
            <w:pPr>
              <w:spacing w:after="0" w:line="240" w:lineRule="auto"/>
              <w:ind w:firstLine="0" w:firstLineChars="0"/>
              <w:jc w:val="center"/>
              <w:rPr>
                <w:rFonts w:hint="eastAsia" w:ascii="宋体" w:hAnsi="宋体" w:eastAsia="宋体" w:cs="宋体"/>
                <w:kern w:val="0"/>
                <w:sz w:val="22"/>
                <w:szCs w:val="22"/>
                <w:lang w:eastAsia="zh-CN"/>
              </w:rPr>
            </w:pPr>
            <w:r>
              <w:rPr>
                <w:rFonts w:hint="eastAsia" w:ascii="宋体" w:hAnsi="宋体" w:cs="宋体"/>
                <w:kern w:val="0"/>
                <w:sz w:val="22"/>
                <w:szCs w:val="22"/>
                <w:lang w:val="en-US" w:eastAsia="zh-CN"/>
              </w:rPr>
              <w:t>6</w:t>
            </w:r>
          </w:p>
        </w:tc>
        <w:tc>
          <w:tcPr>
            <w:tcW w:w="711" w:type="pct"/>
            <w:tcBorders>
              <w:top w:val="nil"/>
              <w:left w:val="nil"/>
              <w:bottom w:val="single" w:color="auto" w:sz="4" w:space="0"/>
              <w:right w:val="single" w:color="auto" w:sz="4" w:space="0"/>
            </w:tcBorders>
            <w:vAlign w:val="center"/>
          </w:tcPr>
          <w:p w14:paraId="6F1CC74B">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堡垒机</w:t>
            </w:r>
          </w:p>
        </w:tc>
        <w:tc>
          <w:tcPr>
            <w:tcW w:w="2907" w:type="pct"/>
            <w:tcBorders>
              <w:top w:val="nil"/>
              <w:left w:val="nil"/>
              <w:bottom w:val="single" w:color="auto" w:sz="4" w:space="0"/>
              <w:right w:val="single" w:color="auto" w:sz="4" w:space="0"/>
            </w:tcBorders>
            <w:vAlign w:val="center"/>
          </w:tcPr>
          <w:p w14:paraId="3E1668AE">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1.提供运维授权数≥50，最大可扩展至≥150；图形运维并发数≥100，字符运维并发数≥200；配置不少于6个千兆电口，内存大小≥8G，硬盘容量≥4TB SATA；</w:t>
            </w:r>
            <w:r>
              <w:rPr>
                <w:rFonts w:hint="eastAsia" w:ascii="宋体" w:hAnsi="宋体" w:cs="宋体"/>
                <w:kern w:val="0"/>
                <w:sz w:val="22"/>
                <w:szCs w:val="22"/>
              </w:rPr>
              <w:br w:type="textWrapping"/>
            </w:r>
            <w:r>
              <w:rPr>
                <w:rFonts w:hint="eastAsia" w:ascii="宋体" w:hAnsi="宋体" w:cs="宋体"/>
                <w:kern w:val="0"/>
                <w:sz w:val="22"/>
                <w:szCs w:val="22"/>
              </w:rPr>
              <w:t>2.支持多种协议，字符协议：SSHv1、SSHv2、TELNET；图形协议：RDP、VNC；文件传输协议：FTP、SFTP、RDP磁盘映射、RDP剪切板；</w:t>
            </w:r>
            <w:r>
              <w:rPr>
                <w:rFonts w:hint="eastAsia" w:ascii="宋体" w:hAnsi="宋体" w:cs="宋体"/>
                <w:kern w:val="0"/>
                <w:sz w:val="22"/>
                <w:szCs w:val="22"/>
              </w:rPr>
              <w:br w:type="textWrapping"/>
            </w:r>
            <w:r>
              <w:rPr>
                <w:rFonts w:hint="eastAsia" w:ascii="宋体" w:hAnsi="宋体" w:cs="宋体"/>
                <w:kern w:val="0"/>
                <w:sz w:val="22"/>
                <w:szCs w:val="22"/>
              </w:rPr>
              <w:t>3.支持通过动作流配置提供广泛的应用接入支持，无论被接入的资源如何设计登录动作，通过动作流配置都可以实现单点登录和审计接入；</w:t>
            </w:r>
            <w:r>
              <w:rPr>
                <w:rFonts w:hint="eastAsia" w:ascii="宋体" w:hAnsi="宋体" w:cs="宋体"/>
                <w:kern w:val="0"/>
                <w:sz w:val="22"/>
                <w:szCs w:val="22"/>
                <w:lang w:eastAsia="zh-CN"/>
              </w:rPr>
              <w:t xml:space="preserve">  </w:t>
            </w:r>
            <w:r>
              <w:rPr>
                <w:rFonts w:hint="eastAsia" w:ascii="宋体" w:hAnsi="宋体" w:cs="宋体"/>
                <w:kern w:val="0"/>
                <w:sz w:val="22"/>
                <w:szCs w:val="22"/>
              </w:rPr>
              <w:br w:type="textWrapping"/>
            </w:r>
            <w:r>
              <w:rPr>
                <w:rFonts w:hint="eastAsia" w:ascii="宋体" w:hAnsi="宋体" w:cs="宋体"/>
                <w:kern w:val="0"/>
                <w:sz w:val="22"/>
                <w:szCs w:val="22"/>
              </w:rPr>
              <w:t>4.内置三员角色的同时支持角色灵活自定义，可根据用户实际的管理特性或特殊的安全管理组织架构，划分管理角色的管理范畴；</w:t>
            </w:r>
            <w:r>
              <w:rPr>
                <w:rFonts w:hint="eastAsia" w:ascii="宋体" w:hAnsi="宋体" w:cs="宋体"/>
                <w:kern w:val="0"/>
                <w:sz w:val="22"/>
                <w:szCs w:val="22"/>
              </w:rPr>
              <w:br w:type="textWrapping"/>
            </w:r>
            <w:r>
              <w:rPr>
                <w:rFonts w:hint="eastAsia" w:ascii="宋体" w:hAnsi="宋体" w:cs="宋体"/>
                <w:kern w:val="0"/>
                <w:sz w:val="22"/>
                <w:szCs w:val="22"/>
              </w:rPr>
              <w:t>5.支持SQL语句阻断，对select、delete、drop等SQL语句执行进行阻断；</w:t>
            </w:r>
            <w:r>
              <w:rPr>
                <w:rFonts w:hint="eastAsia" w:ascii="宋体" w:hAnsi="宋体" w:cs="宋体"/>
                <w:kern w:val="0"/>
                <w:sz w:val="22"/>
                <w:szCs w:val="22"/>
              </w:rPr>
              <w:br w:type="textWrapping"/>
            </w:r>
            <w:r>
              <w:rPr>
                <w:rFonts w:hint="eastAsia" w:ascii="宋体" w:hAnsi="宋体" w:cs="宋体"/>
                <w:kern w:val="0"/>
                <w:sz w:val="22"/>
                <w:szCs w:val="22"/>
              </w:rPr>
              <w:t>6.支持在授权基础上自定义访问审批流程，可设置一级或多级审批人，每级审批可指定通过投票数，需逐级审批通过才可最终发起运维操作；</w:t>
            </w:r>
            <w:r>
              <w:rPr>
                <w:rFonts w:hint="eastAsia" w:ascii="宋体" w:hAnsi="宋体" w:cs="宋体"/>
                <w:kern w:val="0"/>
                <w:sz w:val="22"/>
                <w:szCs w:val="22"/>
                <w:lang w:eastAsia="zh-CN"/>
              </w:rPr>
              <w:t xml:space="preserve">  </w:t>
            </w:r>
            <w:r>
              <w:rPr>
                <w:rFonts w:hint="eastAsia" w:ascii="宋体" w:hAnsi="宋体" w:cs="宋体"/>
                <w:kern w:val="0"/>
                <w:sz w:val="22"/>
                <w:szCs w:val="22"/>
              </w:rPr>
              <w:br w:type="textWrapping"/>
            </w:r>
            <w:r>
              <w:rPr>
                <w:rFonts w:hint="eastAsia" w:ascii="宋体" w:hAnsi="宋体" w:cs="宋体"/>
                <w:kern w:val="0"/>
                <w:sz w:val="22"/>
                <w:szCs w:val="22"/>
              </w:rPr>
              <w:t>7.支持命令审批规则，用户执行高危命令时需要管理员审批后才允许执行；命令审批规则可以指定运维人员、访问设备、设备账号及命令审批人；</w:t>
            </w:r>
            <w:r>
              <w:rPr>
                <w:rFonts w:hint="eastAsia" w:ascii="宋体" w:hAnsi="宋体" w:cs="宋体"/>
                <w:kern w:val="0"/>
                <w:sz w:val="22"/>
                <w:szCs w:val="22"/>
                <w:lang w:eastAsia="zh-CN"/>
              </w:rPr>
              <w:t xml:space="preserve">  </w:t>
            </w:r>
            <w:r>
              <w:rPr>
                <w:rFonts w:hint="eastAsia" w:ascii="宋体" w:hAnsi="宋体" w:cs="宋体"/>
                <w:kern w:val="0"/>
                <w:sz w:val="22"/>
                <w:szCs w:val="22"/>
              </w:rPr>
              <w:br w:type="textWrapping"/>
            </w:r>
            <w:r>
              <w:rPr>
                <w:rFonts w:hint="eastAsia" w:ascii="宋体" w:hAnsi="宋体" w:cs="宋体"/>
                <w:kern w:val="0"/>
                <w:sz w:val="22"/>
                <w:szCs w:val="22"/>
              </w:rPr>
              <w:t>8.支持标准SNMP v1、v2、v3管理协议，支持syslog等标准日志格式外发；</w:t>
            </w:r>
          </w:p>
        </w:tc>
        <w:tc>
          <w:tcPr>
            <w:tcW w:w="461" w:type="pct"/>
            <w:tcBorders>
              <w:top w:val="nil"/>
              <w:left w:val="nil"/>
              <w:bottom w:val="single" w:color="auto" w:sz="4" w:space="0"/>
              <w:right w:val="single" w:color="auto" w:sz="4" w:space="0"/>
            </w:tcBorders>
            <w:vAlign w:val="center"/>
          </w:tcPr>
          <w:p w14:paraId="7CBAAC5B">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262" w:type="pct"/>
            <w:tcBorders>
              <w:top w:val="nil"/>
              <w:left w:val="nil"/>
              <w:bottom w:val="single" w:color="auto" w:sz="4" w:space="0"/>
              <w:right w:val="single" w:color="auto" w:sz="4" w:space="0"/>
            </w:tcBorders>
            <w:vAlign w:val="center"/>
          </w:tcPr>
          <w:p w14:paraId="20731466">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台</w:t>
            </w:r>
          </w:p>
        </w:tc>
        <w:tc>
          <w:tcPr>
            <w:tcW w:w="394" w:type="pct"/>
            <w:tcBorders>
              <w:top w:val="nil"/>
              <w:left w:val="nil"/>
              <w:bottom w:val="single" w:color="auto" w:sz="4" w:space="0"/>
              <w:right w:val="single" w:color="auto" w:sz="4" w:space="0"/>
            </w:tcBorders>
            <w:vAlign w:val="center"/>
          </w:tcPr>
          <w:p w14:paraId="79E251E9">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　</w:t>
            </w:r>
          </w:p>
        </w:tc>
      </w:tr>
      <w:tr w14:paraId="35D01E45">
        <w:tblPrEx>
          <w:tblCellMar>
            <w:top w:w="0" w:type="dxa"/>
            <w:left w:w="108" w:type="dxa"/>
            <w:bottom w:w="0" w:type="dxa"/>
            <w:right w:w="108" w:type="dxa"/>
          </w:tblCellMar>
        </w:tblPrEx>
        <w:trPr>
          <w:trHeight w:val="1385" w:hRule="atLeast"/>
        </w:trPr>
        <w:tc>
          <w:tcPr>
            <w:tcW w:w="262" w:type="pct"/>
            <w:tcBorders>
              <w:top w:val="nil"/>
              <w:left w:val="single" w:color="auto" w:sz="4" w:space="0"/>
              <w:bottom w:val="single" w:color="auto" w:sz="4" w:space="0"/>
              <w:right w:val="single" w:color="auto" w:sz="4" w:space="0"/>
            </w:tcBorders>
            <w:vAlign w:val="center"/>
          </w:tcPr>
          <w:p w14:paraId="4F659670">
            <w:pPr>
              <w:spacing w:after="0" w:line="240" w:lineRule="auto"/>
              <w:ind w:firstLine="0" w:firstLineChars="0"/>
              <w:jc w:val="center"/>
              <w:rPr>
                <w:rFonts w:hint="eastAsia" w:ascii="宋体" w:hAnsi="宋体" w:eastAsia="宋体" w:cs="宋体"/>
                <w:kern w:val="0"/>
                <w:sz w:val="22"/>
                <w:szCs w:val="22"/>
                <w:lang w:eastAsia="zh-CN"/>
              </w:rPr>
            </w:pPr>
            <w:r>
              <w:rPr>
                <w:rFonts w:hint="eastAsia" w:ascii="宋体" w:hAnsi="宋体" w:cs="宋体"/>
                <w:kern w:val="0"/>
                <w:sz w:val="22"/>
                <w:szCs w:val="22"/>
                <w:lang w:val="en-US" w:eastAsia="zh-CN"/>
              </w:rPr>
              <w:t>7</w:t>
            </w:r>
          </w:p>
        </w:tc>
        <w:tc>
          <w:tcPr>
            <w:tcW w:w="711" w:type="pct"/>
            <w:tcBorders>
              <w:top w:val="nil"/>
              <w:left w:val="nil"/>
              <w:bottom w:val="single" w:color="auto" w:sz="4" w:space="0"/>
              <w:right w:val="single" w:color="auto" w:sz="4" w:space="0"/>
            </w:tcBorders>
            <w:vAlign w:val="center"/>
          </w:tcPr>
          <w:p w14:paraId="07492D1E">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SSL VPN</w:t>
            </w:r>
          </w:p>
        </w:tc>
        <w:tc>
          <w:tcPr>
            <w:tcW w:w="2907" w:type="pct"/>
            <w:tcBorders>
              <w:top w:val="nil"/>
              <w:left w:val="nil"/>
              <w:bottom w:val="single" w:color="auto" w:sz="4" w:space="0"/>
              <w:right w:val="single" w:color="auto" w:sz="4" w:space="0"/>
            </w:tcBorders>
            <w:vAlign w:val="center"/>
          </w:tcPr>
          <w:p w14:paraId="1D5496FE">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1.SSL加密流量≥480Mbps，SSL并发用户数≥800个；IPSEC加密流量≥135Mbps；配置≥300个用户接入授权；</w:t>
            </w:r>
            <w:r>
              <w:rPr>
                <w:rFonts w:hint="eastAsia" w:ascii="宋体" w:hAnsi="宋体" w:cs="宋体"/>
                <w:kern w:val="0"/>
                <w:sz w:val="22"/>
                <w:szCs w:val="22"/>
              </w:rPr>
              <w:br w:type="textWrapping"/>
            </w:r>
            <w:r>
              <w:rPr>
                <w:rFonts w:hint="eastAsia" w:ascii="宋体" w:hAnsi="宋体" w:cs="宋体"/>
                <w:kern w:val="0"/>
                <w:sz w:val="22"/>
                <w:szCs w:val="22"/>
              </w:rPr>
              <w:t>配置不少于8个千兆电口，2个万兆光口SFP+；提供≥128G SSD；</w:t>
            </w:r>
            <w:r>
              <w:rPr>
                <w:rFonts w:hint="eastAsia" w:ascii="宋体" w:hAnsi="宋体" w:cs="宋体"/>
                <w:kern w:val="0"/>
                <w:sz w:val="22"/>
                <w:szCs w:val="22"/>
              </w:rPr>
              <w:br w:type="textWrapping"/>
            </w:r>
            <w:r>
              <w:rPr>
                <w:rFonts w:hint="eastAsia" w:ascii="宋体" w:hAnsi="宋体" w:cs="宋体"/>
                <w:kern w:val="0"/>
                <w:sz w:val="22"/>
                <w:szCs w:val="22"/>
              </w:rPr>
              <w:t>2.支持配置点击工作台的业务应用即可直接拉起对应的CS程序进行访问，包括但不限于浏览器、远程桌面或其他指定程序，支持Windows、macOS、统信UOS、麒麟kylin、中科方德、Ubuntu等主流操作系统；针对Windows系统，还应支持拉起CS应用时携带启动参数，自动访问管理员设定的地址；</w:t>
            </w:r>
            <w:r>
              <w:rPr>
                <w:rFonts w:hint="eastAsia" w:ascii="宋体" w:hAnsi="宋体" w:cs="宋体"/>
                <w:kern w:val="0"/>
                <w:sz w:val="22"/>
                <w:szCs w:val="22"/>
              </w:rPr>
              <w:br w:type="textWrapping"/>
            </w:r>
            <w:r>
              <w:rPr>
                <w:rFonts w:hint="eastAsia" w:ascii="宋体" w:hAnsi="宋体" w:cs="宋体"/>
                <w:kern w:val="0"/>
                <w:sz w:val="22"/>
                <w:szCs w:val="22"/>
              </w:rPr>
              <w:t xml:space="preserve">3.在当前业务系统已经有第三方统一身份认证系统的场景下，零信任系统支持通过票据共享的方式跟统一身份认证系统进行单点登录对接，以间接实现业务系统的单点登录对接。为了适应多种身份认证系统获取票据的方式，票据共享应至少支持反向OAuth对接及票据注入等模式，不改变用户原有访问习惯； </w:t>
            </w:r>
            <w:r>
              <w:rPr>
                <w:rFonts w:hint="eastAsia" w:ascii="宋体" w:hAnsi="宋体" w:cs="宋体"/>
                <w:kern w:val="0"/>
                <w:sz w:val="22"/>
                <w:szCs w:val="22"/>
              </w:rPr>
              <w:br w:type="textWrapping"/>
            </w:r>
            <w:r>
              <w:rPr>
                <w:rFonts w:hint="eastAsia" w:ascii="宋体" w:hAnsi="宋体" w:cs="宋体"/>
                <w:kern w:val="0"/>
                <w:sz w:val="22"/>
                <w:szCs w:val="22"/>
              </w:rPr>
              <w:t>4.平台需提供单包授权能力（SPA），支持UDP+TCP组合的单包授权技术，未授权用户无法连接零信任设备，无法扫描到服务端口，不会出现敲门放大漏洞；</w:t>
            </w:r>
            <w:r>
              <w:rPr>
                <w:rFonts w:hint="eastAsia" w:ascii="宋体" w:hAnsi="宋体" w:cs="宋体"/>
                <w:kern w:val="0"/>
                <w:sz w:val="22"/>
                <w:szCs w:val="22"/>
              </w:rPr>
              <w:br w:type="textWrapping"/>
            </w:r>
            <w:r>
              <w:rPr>
                <w:rFonts w:hint="eastAsia" w:ascii="宋体" w:hAnsi="宋体" w:cs="宋体"/>
                <w:kern w:val="0"/>
                <w:sz w:val="22"/>
                <w:szCs w:val="22"/>
              </w:rPr>
              <w:t>5.支持禁止对WEB应用禁止复制、禁止打印、禁止下载、禁止鼠标右键、禁止浏览器调试，以保护应用的数据安全也应用安全；</w:t>
            </w:r>
            <w:r>
              <w:rPr>
                <w:rFonts w:hint="eastAsia" w:ascii="宋体" w:hAnsi="宋体" w:cs="宋体"/>
                <w:kern w:val="0"/>
                <w:sz w:val="22"/>
                <w:szCs w:val="22"/>
                <w:lang w:eastAsia="zh-CN"/>
              </w:rPr>
              <w:t xml:space="preserve">  </w:t>
            </w:r>
            <w:r>
              <w:rPr>
                <w:rFonts w:hint="eastAsia" w:ascii="宋体" w:hAnsi="宋体" w:cs="宋体"/>
                <w:kern w:val="0"/>
                <w:sz w:val="22"/>
                <w:szCs w:val="22"/>
              </w:rPr>
              <w:br w:type="textWrapping"/>
            </w:r>
            <w:r>
              <w:rPr>
                <w:rFonts w:hint="eastAsia" w:ascii="宋体" w:hAnsi="宋体" w:cs="宋体"/>
                <w:kern w:val="0"/>
                <w:sz w:val="22"/>
                <w:szCs w:val="22"/>
              </w:rPr>
              <w:t>6.需支持在满足条件的情况下，可配置成即使是关机重启，也能自动拉起客户端并自动登录一键上线（强制注销情况除外），可配置的条件包括但不限于：授信终端、Windows域环境、自定义网络环境等；</w:t>
            </w:r>
            <w:r>
              <w:rPr>
                <w:rFonts w:hint="eastAsia" w:ascii="宋体" w:hAnsi="宋体" w:cs="宋体"/>
                <w:kern w:val="0"/>
                <w:sz w:val="22"/>
                <w:szCs w:val="22"/>
              </w:rPr>
              <w:br w:type="textWrapping"/>
            </w:r>
            <w:r>
              <w:rPr>
                <w:rFonts w:hint="eastAsia" w:ascii="宋体" w:hAnsi="宋体" w:cs="宋体"/>
                <w:kern w:val="0"/>
                <w:sz w:val="22"/>
                <w:szCs w:val="22"/>
              </w:rPr>
              <w:t>7.支持对设备自身的安全状态和策略配置进行巡检，对设备的整体状态进行打分，统计所有检查的正常项、异常项和告警项，并输出巡检报告；</w:t>
            </w:r>
            <w:r>
              <w:rPr>
                <w:rFonts w:hint="eastAsia" w:ascii="宋体" w:hAnsi="宋体" w:cs="宋体"/>
                <w:kern w:val="0"/>
                <w:sz w:val="22"/>
                <w:szCs w:val="22"/>
              </w:rPr>
              <w:br w:type="textWrapping"/>
            </w:r>
            <w:r>
              <w:rPr>
                <w:rFonts w:hint="eastAsia" w:ascii="宋体" w:hAnsi="宋体" w:cs="宋体"/>
                <w:kern w:val="0"/>
                <w:sz w:val="22"/>
                <w:szCs w:val="22"/>
              </w:rPr>
              <w:t>8.支持配置动态访问规则，可配置化的ACL规则引擎，可以灵活地将终端环境、用户身份、处置动作等进行配置，为单位不同业务不同部门提供灵活丰富的访问控制策略；</w:t>
            </w:r>
          </w:p>
        </w:tc>
        <w:tc>
          <w:tcPr>
            <w:tcW w:w="461" w:type="pct"/>
            <w:tcBorders>
              <w:top w:val="nil"/>
              <w:left w:val="nil"/>
              <w:bottom w:val="single" w:color="auto" w:sz="4" w:space="0"/>
              <w:right w:val="single" w:color="auto" w:sz="4" w:space="0"/>
            </w:tcBorders>
            <w:vAlign w:val="center"/>
          </w:tcPr>
          <w:p w14:paraId="51313F80">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262" w:type="pct"/>
            <w:tcBorders>
              <w:top w:val="nil"/>
              <w:left w:val="nil"/>
              <w:bottom w:val="single" w:color="auto" w:sz="4" w:space="0"/>
              <w:right w:val="single" w:color="auto" w:sz="4" w:space="0"/>
            </w:tcBorders>
            <w:vAlign w:val="center"/>
          </w:tcPr>
          <w:p w14:paraId="695DF84D">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台</w:t>
            </w:r>
          </w:p>
        </w:tc>
        <w:tc>
          <w:tcPr>
            <w:tcW w:w="394" w:type="pct"/>
            <w:tcBorders>
              <w:top w:val="nil"/>
              <w:left w:val="nil"/>
              <w:bottom w:val="single" w:color="auto" w:sz="4" w:space="0"/>
              <w:right w:val="single" w:color="auto" w:sz="4" w:space="0"/>
            </w:tcBorders>
            <w:vAlign w:val="center"/>
          </w:tcPr>
          <w:p w14:paraId="550B83E7">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　</w:t>
            </w:r>
          </w:p>
        </w:tc>
      </w:tr>
      <w:tr w14:paraId="1D3C1468">
        <w:tblPrEx>
          <w:tblCellMar>
            <w:top w:w="0" w:type="dxa"/>
            <w:left w:w="108" w:type="dxa"/>
            <w:bottom w:w="0" w:type="dxa"/>
            <w:right w:w="108" w:type="dxa"/>
          </w:tblCellMar>
        </w:tblPrEx>
        <w:trPr>
          <w:trHeight w:val="4200" w:hRule="atLeast"/>
        </w:trPr>
        <w:tc>
          <w:tcPr>
            <w:tcW w:w="262" w:type="pct"/>
            <w:tcBorders>
              <w:top w:val="nil"/>
              <w:left w:val="single" w:color="auto" w:sz="4" w:space="0"/>
              <w:bottom w:val="single" w:color="auto" w:sz="4" w:space="0"/>
              <w:right w:val="single" w:color="auto" w:sz="4" w:space="0"/>
            </w:tcBorders>
            <w:vAlign w:val="center"/>
          </w:tcPr>
          <w:p w14:paraId="0C25FF62">
            <w:pPr>
              <w:spacing w:after="0" w:line="240" w:lineRule="auto"/>
              <w:ind w:firstLine="0" w:firstLineChars="0"/>
              <w:jc w:val="center"/>
              <w:rPr>
                <w:rFonts w:hint="eastAsia" w:ascii="宋体" w:hAnsi="宋体" w:eastAsia="宋体" w:cs="宋体"/>
                <w:kern w:val="0"/>
                <w:sz w:val="22"/>
                <w:szCs w:val="22"/>
                <w:lang w:eastAsia="zh-CN"/>
              </w:rPr>
            </w:pPr>
            <w:r>
              <w:rPr>
                <w:rFonts w:hint="eastAsia" w:ascii="宋体" w:hAnsi="宋体" w:cs="宋体"/>
                <w:kern w:val="0"/>
                <w:sz w:val="22"/>
                <w:szCs w:val="22"/>
                <w:lang w:val="en-US" w:eastAsia="zh-CN"/>
              </w:rPr>
              <w:t>8</w:t>
            </w:r>
          </w:p>
        </w:tc>
        <w:tc>
          <w:tcPr>
            <w:tcW w:w="711" w:type="pct"/>
            <w:tcBorders>
              <w:top w:val="nil"/>
              <w:left w:val="nil"/>
              <w:bottom w:val="single" w:color="auto" w:sz="4" w:space="0"/>
              <w:right w:val="single" w:color="auto" w:sz="4" w:space="0"/>
            </w:tcBorders>
            <w:vAlign w:val="center"/>
          </w:tcPr>
          <w:p w14:paraId="28C2FC90">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抗DDOS设备</w:t>
            </w:r>
          </w:p>
        </w:tc>
        <w:tc>
          <w:tcPr>
            <w:tcW w:w="2907" w:type="pct"/>
            <w:tcBorders>
              <w:top w:val="nil"/>
              <w:left w:val="nil"/>
              <w:bottom w:val="single" w:color="auto" w:sz="4" w:space="0"/>
              <w:right w:val="single" w:color="auto" w:sz="4" w:space="0"/>
            </w:tcBorders>
            <w:vAlign w:val="center"/>
          </w:tcPr>
          <w:p w14:paraId="5B5FEF5C">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1.规格≥1U，配置不少于8个千兆电口，且具备Bypass功能；DDoS清洗性能（64字节）≥2Gbps；HTTP新建事务能力（TPS）≥26000/s；</w:t>
            </w:r>
            <w:r>
              <w:rPr>
                <w:rFonts w:hint="eastAsia" w:ascii="宋体" w:hAnsi="宋体" w:cs="宋体"/>
                <w:kern w:val="0"/>
                <w:sz w:val="22"/>
                <w:szCs w:val="22"/>
              </w:rPr>
              <w:br w:type="textWrapping"/>
            </w:r>
            <w:r>
              <w:rPr>
                <w:rFonts w:hint="eastAsia" w:ascii="宋体" w:hAnsi="宋体" w:cs="宋体"/>
                <w:kern w:val="0"/>
                <w:sz w:val="22"/>
                <w:szCs w:val="22"/>
              </w:rPr>
              <w:t>2.支持防护资产安全状态展示，可针对资产的TCP，UDP,ICMP/ICMP6，RAW-IP,HTTP.DNS等进行统计，统计的数据包括检测bytes，清洗bytes以及并发连接数，新建链接数等数据，并可根据攻击次数，定义资产的今日安全等级；</w:t>
            </w:r>
            <w:r>
              <w:rPr>
                <w:rFonts w:hint="eastAsia" w:ascii="宋体" w:hAnsi="宋体" w:cs="宋体"/>
                <w:kern w:val="0"/>
                <w:sz w:val="22"/>
                <w:szCs w:val="22"/>
                <w:lang w:eastAsia="zh-CN"/>
              </w:rPr>
              <w:t xml:space="preserve">  </w:t>
            </w:r>
            <w:r>
              <w:rPr>
                <w:rFonts w:hint="eastAsia" w:ascii="宋体" w:hAnsi="宋体" w:cs="宋体"/>
                <w:kern w:val="0"/>
                <w:sz w:val="22"/>
                <w:szCs w:val="22"/>
              </w:rPr>
              <w:br w:type="textWrapping"/>
            </w:r>
            <w:r>
              <w:rPr>
                <w:rFonts w:hint="eastAsia" w:ascii="宋体" w:hAnsi="宋体" w:cs="宋体"/>
                <w:kern w:val="0"/>
                <w:sz w:val="22"/>
                <w:szCs w:val="22"/>
              </w:rPr>
              <w:t>3.支持攻击态势大屏实时展示，可通过自带的实时态势监测模块进行检测流量波形图展示，包含对攻击源、攻击类型以及攻击地域的动画统计；</w:t>
            </w:r>
            <w:r>
              <w:rPr>
                <w:rFonts w:hint="eastAsia" w:ascii="宋体" w:hAnsi="宋体" w:cs="宋体"/>
                <w:kern w:val="0"/>
                <w:sz w:val="22"/>
                <w:szCs w:val="22"/>
                <w:lang w:eastAsia="zh-CN"/>
              </w:rPr>
              <w:t xml:space="preserve">  </w:t>
            </w:r>
            <w:r>
              <w:rPr>
                <w:rFonts w:hint="eastAsia" w:ascii="宋体" w:hAnsi="宋体" w:cs="宋体"/>
                <w:kern w:val="0"/>
                <w:sz w:val="22"/>
                <w:szCs w:val="22"/>
              </w:rPr>
              <w:br w:type="textWrapping"/>
            </w:r>
            <w:r>
              <w:rPr>
                <w:rFonts w:hint="eastAsia" w:ascii="宋体" w:hAnsi="宋体" w:cs="宋体"/>
                <w:kern w:val="0"/>
                <w:sz w:val="22"/>
                <w:szCs w:val="22"/>
              </w:rPr>
              <w:t>4.支持检测并抵御IP，TCP，UDP，ICMP，DNS，HTTP协议的20多种DDoS攻击类型；</w:t>
            </w:r>
            <w:r>
              <w:rPr>
                <w:rFonts w:hint="eastAsia" w:ascii="宋体" w:hAnsi="宋体" w:cs="宋体"/>
                <w:kern w:val="0"/>
                <w:sz w:val="22"/>
                <w:szCs w:val="22"/>
                <w:lang w:eastAsia="zh-CN"/>
              </w:rPr>
              <w:t xml:space="preserve">  </w:t>
            </w:r>
            <w:r>
              <w:rPr>
                <w:rFonts w:hint="eastAsia" w:ascii="宋体" w:hAnsi="宋体" w:cs="宋体"/>
                <w:kern w:val="0"/>
                <w:sz w:val="22"/>
                <w:szCs w:val="22"/>
              </w:rPr>
              <w:br w:type="textWrapping"/>
            </w:r>
            <w:r>
              <w:rPr>
                <w:rFonts w:hint="eastAsia" w:ascii="宋体" w:hAnsi="宋体" w:cs="宋体"/>
                <w:kern w:val="0"/>
                <w:sz w:val="22"/>
                <w:szCs w:val="22"/>
              </w:rPr>
              <w:t>5.支持检测TCP并发链接数，TCP新建链接数，TCP带宽（c2s），UDP带宽（c2s），ICMP带宽（c2s），HTTP GET 速率，HTTP POST 速率，HTTP 其他请求速率，DNS 查询请求速率，并发IP数量等单用户和总量进行自定义阈值配置；</w:t>
            </w:r>
            <w:r>
              <w:rPr>
                <w:rFonts w:hint="eastAsia" w:ascii="宋体" w:hAnsi="宋体" w:cs="宋体"/>
                <w:kern w:val="0"/>
                <w:sz w:val="22"/>
                <w:szCs w:val="22"/>
                <w:lang w:eastAsia="zh-CN"/>
              </w:rPr>
              <w:t xml:space="preserve">  </w:t>
            </w:r>
            <w:r>
              <w:rPr>
                <w:rFonts w:hint="eastAsia" w:ascii="宋体" w:hAnsi="宋体" w:cs="宋体"/>
                <w:kern w:val="0"/>
                <w:sz w:val="22"/>
                <w:szCs w:val="22"/>
              </w:rPr>
              <w:br w:type="textWrapping"/>
            </w:r>
            <w:r>
              <w:rPr>
                <w:rFonts w:hint="eastAsia" w:ascii="宋体" w:hAnsi="宋体" w:cs="宋体"/>
                <w:kern w:val="0"/>
                <w:sz w:val="22"/>
                <w:szCs w:val="22"/>
              </w:rPr>
              <w:t>6.支持非法URL外联检测功能，针对特定外联URL进行监控或阻断，并且支持自定义URL地址；</w:t>
            </w:r>
            <w:r>
              <w:rPr>
                <w:rFonts w:hint="eastAsia" w:ascii="宋体" w:hAnsi="宋体" w:cs="宋体"/>
                <w:kern w:val="0"/>
                <w:sz w:val="22"/>
                <w:szCs w:val="22"/>
              </w:rPr>
              <w:br w:type="textWrapping"/>
            </w:r>
            <w:r>
              <w:rPr>
                <w:rFonts w:hint="eastAsia" w:ascii="宋体" w:hAnsi="宋体" w:cs="宋体"/>
                <w:kern w:val="0"/>
                <w:sz w:val="22"/>
                <w:szCs w:val="22"/>
              </w:rPr>
              <w:t>7.支持日志综合统计分析，可对源IP、目的IP，源地域，攻击类型，级别，处理动作，协议类型，客户端设备类型，客户端操作系统，客户端浏览器类型进行综合统计分析，并通过饼图、曲线图及柱图等对分析结果进行图形化统计</w:t>
            </w:r>
            <w:r>
              <w:rPr>
                <w:rFonts w:hint="eastAsia" w:ascii="宋体" w:hAnsi="宋体" w:cs="宋体"/>
                <w:kern w:val="0"/>
                <w:sz w:val="22"/>
                <w:szCs w:val="22"/>
              </w:rPr>
              <w:br w:type="textWrapping"/>
            </w:r>
            <w:r>
              <w:rPr>
                <w:rFonts w:hint="eastAsia" w:ascii="宋体" w:hAnsi="宋体" w:cs="宋体"/>
                <w:kern w:val="0"/>
                <w:sz w:val="22"/>
                <w:szCs w:val="22"/>
              </w:rPr>
              <w:t>8.支持自定义分析维度进行报表导出，分析维度包括攻击趋势，攻击严重级别，被攻击资产，被攻击IP，攻击源IP，攻击源地域等；</w:t>
            </w:r>
          </w:p>
        </w:tc>
        <w:tc>
          <w:tcPr>
            <w:tcW w:w="461" w:type="pct"/>
            <w:tcBorders>
              <w:top w:val="nil"/>
              <w:left w:val="nil"/>
              <w:bottom w:val="single" w:color="auto" w:sz="4" w:space="0"/>
              <w:right w:val="single" w:color="auto" w:sz="4" w:space="0"/>
            </w:tcBorders>
            <w:vAlign w:val="center"/>
          </w:tcPr>
          <w:p w14:paraId="0A6E8E77">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262" w:type="pct"/>
            <w:tcBorders>
              <w:top w:val="nil"/>
              <w:left w:val="nil"/>
              <w:bottom w:val="single" w:color="auto" w:sz="4" w:space="0"/>
              <w:right w:val="single" w:color="auto" w:sz="4" w:space="0"/>
            </w:tcBorders>
            <w:vAlign w:val="center"/>
          </w:tcPr>
          <w:p w14:paraId="4E5C303D">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台</w:t>
            </w:r>
          </w:p>
        </w:tc>
        <w:tc>
          <w:tcPr>
            <w:tcW w:w="394" w:type="pct"/>
            <w:tcBorders>
              <w:top w:val="nil"/>
              <w:left w:val="nil"/>
              <w:bottom w:val="single" w:color="auto" w:sz="4" w:space="0"/>
              <w:right w:val="single" w:color="auto" w:sz="4" w:space="0"/>
            </w:tcBorders>
            <w:vAlign w:val="center"/>
          </w:tcPr>
          <w:p w14:paraId="41B3792A">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　</w:t>
            </w:r>
          </w:p>
        </w:tc>
      </w:tr>
      <w:tr w14:paraId="10C4B24E">
        <w:tblPrEx>
          <w:tblCellMar>
            <w:top w:w="0" w:type="dxa"/>
            <w:left w:w="108" w:type="dxa"/>
            <w:bottom w:w="0" w:type="dxa"/>
            <w:right w:w="108" w:type="dxa"/>
          </w:tblCellMar>
        </w:tblPrEx>
        <w:trPr>
          <w:trHeight w:val="280" w:hRule="atLeast"/>
        </w:trPr>
        <w:tc>
          <w:tcPr>
            <w:tcW w:w="262" w:type="pct"/>
            <w:tcBorders>
              <w:top w:val="nil"/>
              <w:left w:val="single" w:color="auto" w:sz="4" w:space="0"/>
              <w:bottom w:val="single" w:color="auto" w:sz="4" w:space="0"/>
              <w:right w:val="single" w:color="auto" w:sz="4" w:space="0"/>
            </w:tcBorders>
            <w:vAlign w:val="center"/>
          </w:tcPr>
          <w:p w14:paraId="24E78C96">
            <w:pPr>
              <w:spacing w:after="0" w:line="240" w:lineRule="auto"/>
              <w:ind w:firstLine="0" w:firstLineChars="0"/>
              <w:jc w:val="center"/>
              <w:rPr>
                <w:rFonts w:hint="eastAsia" w:ascii="宋体" w:hAnsi="宋体" w:eastAsia="宋体" w:cs="宋体"/>
                <w:kern w:val="0"/>
                <w:sz w:val="22"/>
                <w:szCs w:val="22"/>
                <w:lang w:eastAsia="zh-CN"/>
              </w:rPr>
            </w:pPr>
            <w:r>
              <w:rPr>
                <w:rFonts w:hint="eastAsia" w:ascii="宋体" w:hAnsi="宋体" w:cs="宋体"/>
                <w:kern w:val="0"/>
                <w:sz w:val="22"/>
                <w:szCs w:val="22"/>
                <w:lang w:val="en-US" w:eastAsia="zh-CN"/>
              </w:rPr>
              <w:t>9</w:t>
            </w:r>
          </w:p>
        </w:tc>
        <w:tc>
          <w:tcPr>
            <w:tcW w:w="711" w:type="pct"/>
            <w:tcBorders>
              <w:top w:val="nil"/>
              <w:left w:val="nil"/>
              <w:bottom w:val="single" w:color="auto" w:sz="4" w:space="0"/>
              <w:right w:val="single" w:color="auto" w:sz="4" w:space="0"/>
            </w:tcBorders>
            <w:vAlign w:val="center"/>
          </w:tcPr>
          <w:p w14:paraId="62090FD0">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统一运维管理平台</w:t>
            </w:r>
          </w:p>
        </w:tc>
        <w:tc>
          <w:tcPr>
            <w:tcW w:w="2907" w:type="pct"/>
            <w:tcBorders>
              <w:top w:val="nil"/>
              <w:left w:val="nil"/>
              <w:bottom w:val="single" w:color="auto" w:sz="4" w:space="0"/>
              <w:right w:val="single" w:color="auto" w:sz="4" w:space="0"/>
            </w:tcBorders>
            <w:vAlign w:val="center"/>
          </w:tcPr>
          <w:p w14:paraId="10B076AE">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10套*3年云端统一管理服务</w:t>
            </w:r>
          </w:p>
        </w:tc>
        <w:tc>
          <w:tcPr>
            <w:tcW w:w="461" w:type="pct"/>
            <w:tcBorders>
              <w:top w:val="nil"/>
              <w:left w:val="nil"/>
              <w:bottom w:val="single" w:color="auto" w:sz="4" w:space="0"/>
              <w:right w:val="single" w:color="auto" w:sz="4" w:space="0"/>
            </w:tcBorders>
            <w:vAlign w:val="center"/>
          </w:tcPr>
          <w:p w14:paraId="5CC5BC10">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262" w:type="pct"/>
            <w:tcBorders>
              <w:top w:val="nil"/>
              <w:left w:val="nil"/>
              <w:bottom w:val="single" w:color="auto" w:sz="4" w:space="0"/>
              <w:right w:val="single" w:color="auto" w:sz="4" w:space="0"/>
            </w:tcBorders>
            <w:vAlign w:val="center"/>
          </w:tcPr>
          <w:p w14:paraId="28CC9D43">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394" w:type="pct"/>
            <w:tcBorders>
              <w:top w:val="nil"/>
              <w:left w:val="nil"/>
              <w:bottom w:val="single" w:color="auto" w:sz="4" w:space="0"/>
              <w:right w:val="single" w:color="auto" w:sz="4" w:space="0"/>
            </w:tcBorders>
            <w:vAlign w:val="center"/>
          </w:tcPr>
          <w:p w14:paraId="4CB9D8F3">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　</w:t>
            </w:r>
          </w:p>
        </w:tc>
      </w:tr>
      <w:tr w14:paraId="641E40CF">
        <w:tblPrEx>
          <w:tblCellMar>
            <w:top w:w="0" w:type="dxa"/>
            <w:left w:w="108" w:type="dxa"/>
            <w:bottom w:w="0" w:type="dxa"/>
            <w:right w:w="108" w:type="dxa"/>
          </w:tblCellMar>
        </w:tblPrEx>
        <w:trPr>
          <w:trHeight w:val="4200" w:hRule="atLeast"/>
        </w:trPr>
        <w:tc>
          <w:tcPr>
            <w:tcW w:w="262" w:type="pct"/>
            <w:tcBorders>
              <w:top w:val="nil"/>
              <w:left w:val="single" w:color="auto" w:sz="4" w:space="0"/>
              <w:bottom w:val="single" w:color="auto" w:sz="4" w:space="0"/>
              <w:right w:val="single" w:color="auto" w:sz="4" w:space="0"/>
            </w:tcBorders>
            <w:vAlign w:val="center"/>
          </w:tcPr>
          <w:p w14:paraId="64F90D83">
            <w:pPr>
              <w:spacing w:after="0" w:line="240" w:lineRule="auto"/>
              <w:ind w:firstLine="0" w:firstLineChars="0"/>
              <w:jc w:val="center"/>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10</w:t>
            </w:r>
          </w:p>
        </w:tc>
        <w:tc>
          <w:tcPr>
            <w:tcW w:w="711" w:type="pct"/>
            <w:tcBorders>
              <w:top w:val="nil"/>
              <w:left w:val="nil"/>
              <w:bottom w:val="single" w:color="auto" w:sz="4" w:space="0"/>
              <w:right w:val="single" w:color="auto" w:sz="4" w:space="0"/>
            </w:tcBorders>
            <w:vAlign w:val="center"/>
          </w:tcPr>
          <w:p w14:paraId="418836C0">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数据防泄密</w:t>
            </w:r>
          </w:p>
        </w:tc>
        <w:tc>
          <w:tcPr>
            <w:tcW w:w="2907" w:type="pct"/>
            <w:tcBorders>
              <w:top w:val="nil"/>
              <w:left w:val="nil"/>
              <w:bottom w:val="single" w:color="auto" w:sz="4" w:space="0"/>
              <w:right w:val="single" w:color="auto" w:sz="4" w:space="0"/>
            </w:tcBorders>
            <w:vAlign w:val="center"/>
          </w:tcPr>
          <w:p w14:paraId="176F46AF">
            <w:pPr>
              <w:numPr>
                <w:ilvl w:val="0"/>
                <w:numId w:val="9"/>
              </w:num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提供1套控制中心软件，不少于100套PC端授权，提供质保和软件升级服务应不少于3年；</w:t>
            </w:r>
            <w:r>
              <w:rPr>
                <w:rFonts w:hint="eastAsia" w:ascii="宋体" w:hAnsi="宋体" w:cs="宋体"/>
                <w:kern w:val="0"/>
                <w:sz w:val="22"/>
                <w:szCs w:val="22"/>
              </w:rPr>
              <w:br w:type="textWrapping"/>
            </w:r>
            <w:r>
              <w:rPr>
                <w:rFonts w:hint="eastAsia" w:ascii="宋体" w:hAnsi="宋体" w:cs="宋体"/>
                <w:kern w:val="0"/>
                <w:sz w:val="22"/>
                <w:szCs w:val="22"/>
              </w:rPr>
              <w:t>2.支持存储设备、网络设备、蓝牙设备、摄像头、打印机的使用管控；支持对终端上U盘和移动硬盘接入设置可读写、拒绝、可读、告警；</w:t>
            </w:r>
          </w:p>
          <w:p w14:paraId="21A94DA0">
            <w:pPr>
              <w:numPr>
                <w:ilvl w:val="0"/>
                <w:numId w:val="9"/>
              </w:num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3.数据接收对象定义：支持按照数据接收对象的IP、域名、端口、URL等方式进行定义敏感行为，支持的接收对象分类包括但不限于：内部WEB业务系统、内部共享服务器、内网CS工具、内部代码仓库、邮箱等；</w:t>
            </w:r>
            <w:r>
              <w:rPr>
                <w:rFonts w:hint="eastAsia" w:ascii="宋体" w:hAnsi="宋体" w:cs="宋体"/>
                <w:kern w:val="0"/>
                <w:sz w:val="22"/>
                <w:szCs w:val="22"/>
              </w:rPr>
              <w:br w:type="textWrapping"/>
            </w:r>
            <w:r>
              <w:rPr>
                <w:rFonts w:hint="eastAsia" w:ascii="宋体" w:hAnsi="宋体" w:cs="宋体"/>
                <w:kern w:val="0"/>
                <w:sz w:val="22"/>
                <w:szCs w:val="22"/>
              </w:rPr>
              <w:t>4.支持对常用办公文档自动进行敏感内容识别并判断敏感等级，敏感文档类型支持种类在100种以上；</w:t>
            </w:r>
            <w:r>
              <w:rPr>
                <w:rFonts w:hint="eastAsia" w:ascii="宋体" w:hAnsi="宋体" w:cs="宋体"/>
                <w:kern w:val="0"/>
                <w:sz w:val="22"/>
                <w:szCs w:val="22"/>
              </w:rPr>
              <w:br w:type="textWrapping"/>
            </w:r>
            <w:r>
              <w:rPr>
                <w:rFonts w:hint="eastAsia" w:ascii="宋体" w:hAnsi="宋体" w:cs="宋体"/>
                <w:kern w:val="0"/>
                <w:sz w:val="22"/>
                <w:szCs w:val="22"/>
              </w:rPr>
              <w:t>5.支持基于敏感数据来源追踪数据流转的过程，包括但不限于敏感数据流转过程中的文件下载、文件复制、文件剪切、文件夹重命名、文件重命名、修改后缀、压缩、加密压缩、解压、另存为等异常动作，并支持以流转图或时序图的方式进行可视化展示数据流动轨迹；6.支持扫描配置可基于目录范围、敏感数据、上报文件类型、上报文件大小定义，执行配置支持手动执行、单次执行、周期执行并配置任务执行时间；</w:t>
            </w:r>
            <w:r>
              <w:rPr>
                <w:rFonts w:hint="eastAsia" w:ascii="宋体" w:hAnsi="宋体" w:cs="宋体"/>
                <w:kern w:val="0"/>
                <w:sz w:val="22"/>
                <w:szCs w:val="22"/>
              </w:rPr>
              <w:br w:type="textWrapping"/>
            </w:r>
            <w:r>
              <w:rPr>
                <w:rFonts w:hint="eastAsia" w:ascii="宋体" w:hAnsi="宋体" w:cs="宋体"/>
                <w:kern w:val="0"/>
                <w:sz w:val="22"/>
                <w:szCs w:val="22"/>
              </w:rPr>
              <w:t>7.支持对IM聊天软件、邮件客户端、云笔记、网盘、浏览器、远程协助工具、文件传输工具、会议软件等途径的文件外发行为进行管控；</w:t>
            </w:r>
            <w:r>
              <w:rPr>
                <w:rFonts w:hint="eastAsia" w:ascii="宋体" w:hAnsi="宋体" w:cs="宋体"/>
                <w:kern w:val="0"/>
                <w:sz w:val="22"/>
                <w:szCs w:val="22"/>
              </w:rPr>
              <w:br w:type="textWrapping"/>
            </w:r>
            <w:r>
              <w:rPr>
                <w:rFonts w:hint="eastAsia" w:ascii="宋体" w:hAnsi="宋体" w:cs="宋体"/>
                <w:kern w:val="0"/>
                <w:sz w:val="22"/>
                <w:szCs w:val="22"/>
              </w:rPr>
              <w:t>8.支持查看详细的文件流转跟踪图，包含文件的全流程操作的记录，从文件下载、文件操作、文件外发的记录；</w:t>
            </w:r>
            <w:r>
              <w:rPr>
                <w:rFonts w:hint="eastAsia" w:ascii="宋体" w:hAnsi="宋体" w:cs="宋体"/>
                <w:kern w:val="0"/>
                <w:sz w:val="22"/>
                <w:szCs w:val="22"/>
              </w:rPr>
              <w:br w:type="textWrapping"/>
            </w:r>
            <w:r>
              <w:rPr>
                <w:rFonts w:hint="eastAsia" w:ascii="宋体" w:hAnsi="宋体" w:cs="宋体"/>
                <w:kern w:val="0"/>
                <w:sz w:val="22"/>
                <w:szCs w:val="22"/>
              </w:rPr>
              <w:t>9.支持防数据截取逃逸，通过剪贴板进行外发时可以基于剪贴板的内容进行外发管控；</w:t>
            </w:r>
          </w:p>
        </w:tc>
        <w:tc>
          <w:tcPr>
            <w:tcW w:w="461" w:type="pct"/>
            <w:tcBorders>
              <w:top w:val="nil"/>
              <w:left w:val="nil"/>
              <w:bottom w:val="single" w:color="auto" w:sz="4" w:space="0"/>
              <w:right w:val="single" w:color="auto" w:sz="4" w:space="0"/>
            </w:tcBorders>
            <w:vAlign w:val="center"/>
          </w:tcPr>
          <w:p w14:paraId="7713BFD9">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262" w:type="pct"/>
            <w:tcBorders>
              <w:top w:val="nil"/>
              <w:left w:val="nil"/>
              <w:bottom w:val="single" w:color="auto" w:sz="4" w:space="0"/>
              <w:right w:val="single" w:color="auto" w:sz="4" w:space="0"/>
            </w:tcBorders>
            <w:vAlign w:val="center"/>
          </w:tcPr>
          <w:p w14:paraId="4BB3E809">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套</w:t>
            </w:r>
          </w:p>
        </w:tc>
        <w:tc>
          <w:tcPr>
            <w:tcW w:w="394" w:type="pct"/>
            <w:tcBorders>
              <w:top w:val="nil"/>
              <w:left w:val="nil"/>
              <w:bottom w:val="single" w:color="auto" w:sz="4" w:space="0"/>
              <w:right w:val="single" w:color="auto" w:sz="4" w:space="0"/>
            </w:tcBorders>
            <w:vAlign w:val="center"/>
          </w:tcPr>
          <w:p w14:paraId="4FD97304">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　</w:t>
            </w:r>
          </w:p>
        </w:tc>
      </w:tr>
      <w:tr w14:paraId="0F3BDEDF">
        <w:tblPrEx>
          <w:tblCellMar>
            <w:top w:w="0" w:type="dxa"/>
            <w:left w:w="108" w:type="dxa"/>
            <w:bottom w:w="0" w:type="dxa"/>
            <w:right w:w="108" w:type="dxa"/>
          </w:tblCellMar>
        </w:tblPrEx>
        <w:trPr>
          <w:trHeight w:val="3708" w:hRule="atLeast"/>
        </w:trPr>
        <w:tc>
          <w:tcPr>
            <w:tcW w:w="262" w:type="pct"/>
            <w:tcBorders>
              <w:top w:val="nil"/>
              <w:left w:val="single" w:color="auto" w:sz="4" w:space="0"/>
              <w:bottom w:val="single" w:color="auto" w:sz="4" w:space="0"/>
              <w:right w:val="single" w:color="auto" w:sz="4" w:space="0"/>
            </w:tcBorders>
            <w:vAlign w:val="center"/>
          </w:tcPr>
          <w:p w14:paraId="77A935AA">
            <w:pPr>
              <w:spacing w:after="0" w:line="240" w:lineRule="auto"/>
              <w:ind w:firstLine="0" w:firstLineChars="0"/>
              <w:jc w:val="center"/>
              <w:rPr>
                <w:rFonts w:hint="eastAsia" w:ascii="宋体" w:hAnsi="宋体" w:eastAsia="宋体" w:cs="宋体"/>
                <w:kern w:val="0"/>
                <w:sz w:val="22"/>
                <w:szCs w:val="22"/>
                <w:lang w:eastAsia="zh-CN"/>
              </w:rPr>
            </w:pPr>
            <w:r>
              <w:rPr>
                <w:rFonts w:hint="eastAsia" w:ascii="宋体" w:hAnsi="宋体" w:cs="宋体"/>
                <w:kern w:val="0"/>
                <w:sz w:val="22"/>
                <w:szCs w:val="22"/>
              </w:rPr>
              <w:t>1</w:t>
            </w:r>
            <w:r>
              <w:rPr>
                <w:rFonts w:hint="eastAsia" w:ascii="宋体" w:hAnsi="宋体" w:cs="宋体"/>
                <w:kern w:val="0"/>
                <w:sz w:val="22"/>
                <w:szCs w:val="22"/>
                <w:lang w:val="en-US" w:eastAsia="zh-CN"/>
              </w:rPr>
              <w:t>1</w:t>
            </w:r>
          </w:p>
        </w:tc>
        <w:tc>
          <w:tcPr>
            <w:tcW w:w="711" w:type="pct"/>
            <w:tcBorders>
              <w:top w:val="nil"/>
              <w:left w:val="nil"/>
              <w:bottom w:val="single" w:color="auto" w:sz="4" w:space="0"/>
              <w:right w:val="single" w:color="auto" w:sz="4" w:space="0"/>
            </w:tcBorders>
            <w:vAlign w:val="center"/>
          </w:tcPr>
          <w:p w14:paraId="317CAD40">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安全托管服务</w:t>
            </w:r>
          </w:p>
        </w:tc>
        <w:tc>
          <w:tcPr>
            <w:tcW w:w="2907" w:type="pct"/>
            <w:tcBorders>
              <w:top w:val="nil"/>
              <w:left w:val="nil"/>
              <w:bottom w:val="single" w:color="auto" w:sz="4" w:space="0"/>
              <w:right w:val="single" w:color="auto" w:sz="4" w:space="0"/>
            </w:tcBorders>
            <w:vAlign w:val="center"/>
          </w:tcPr>
          <w:p w14:paraId="16D490FB">
            <w:pPr>
              <w:numPr>
                <w:ilvl w:val="0"/>
                <w:numId w:val="10"/>
              </w:num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云端服务平台应当支持对接本项目的主要安全设备，下一代防火墙、端点安全管理，支持实时接收安全设备检测到的安全事件信息、安全日志数据，提供不少于10个资产的全流量检测分析和7*24小时安全值守服务；</w:t>
            </w:r>
            <w:r>
              <w:rPr>
                <w:rFonts w:hint="eastAsia" w:ascii="宋体" w:hAnsi="宋体" w:cs="宋体"/>
                <w:kern w:val="0"/>
                <w:sz w:val="22"/>
                <w:szCs w:val="22"/>
              </w:rPr>
              <w:br w:type="textWrapping"/>
            </w:r>
            <w:r>
              <w:rPr>
                <w:rFonts w:hint="eastAsia" w:ascii="宋体" w:hAnsi="宋体" w:cs="宋体"/>
                <w:kern w:val="0"/>
                <w:sz w:val="22"/>
                <w:szCs w:val="22"/>
              </w:rPr>
              <w:t>2.首次安全评估，具备互联网暴露面梳理的服务工具，该工具应当支持全资产和精确资产两种模式暴露资产收集模式，收集到的暴露面信息至少包括域名、域名标题、IP地址、开放端口、资产指纹、网站截图、移动端暴露面，并且能采集对应暴露资产的访问截图，及对应暴露资产存在的漏洞。</w:t>
            </w:r>
          </w:p>
          <w:p w14:paraId="170F38B5">
            <w:pPr>
              <w:numPr>
                <w:ilvl w:val="-1"/>
                <w:numId w:val="0"/>
              </w:numPr>
              <w:spacing w:after="0" w:line="240" w:lineRule="auto"/>
              <w:ind w:firstLine="0" w:firstLineChars="0"/>
              <w:jc w:val="left"/>
              <w:rPr>
                <w:rFonts w:hint="default" w:ascii="宋体" w:hAnsi="宋体" w:eastAsia="宋体" w:cs="宋体"/>
                <w:kern w:val="0"/>
                <w:sz w:val="22"/>
                <w:szCs w:val="22"/>
                <w:lang w:val="en-US" w:eastAsia="zh-CN"/>
              </w:rPr>
            </w:pPr>
            <w:r>
              <w:rPr>
                <w:rFonts w:hint="eastAsia" w:ascii="宋体" w:hAnsi="宋体" w:cs="宋体"/>
                <w:kern w:val="0"/>
                <w:sz w:val="22"/>
                <w:szCs w:val="22"/>
              </w:rPr>
              <w:t>3.针对服务范围内资产扫描到的高危可利用漏洞，做好每一个高危可利用漏洞的防护工作，包括但不限于提供漏洞修复方案和安全设备防护策略，配置防护规则，保证不因此出现重大事件和损失；</w:t>
            </w:r>
            <w:r>
              <w:rPr>
                <w:rFonts w:hint="eastAsia" w:ascii="宋体" w:hAnsi="宋体" w:cs="宋体"/>
                <w:kern w:val="0"/>
                <w:sz w:val="22"/>
                <w:szCs w:val="22"/>
              </w:rPr>
              <w:br w:type="textWrapping"/>
            </w:r>
            <w:r>
              <w:rPr>
                <w:rFonts w:hint="eastAsia" w:ascii="宋体" w:hAnsi="宋体" w:cs="宋体"/>
                <w:kern w:val="0"/>
                <w:sz w:val="22"/>
                <w:szCs w:val="22"/>
              </w:rPr>
              <w:t>4.7*24小时威胁鉴定：具备云端检测和分析平台，通过采集安全设备和工具的安全告警和安全日志，结合大数据分析、人工智能等技术手段，提供7*24小时持续不间断的安全威胁分析鉴定，同时在用户界面进行展示；分析研判包括但不限于对脆弱性、异常流量、攻击日志、病毒日志等数据进行采集和实时分析研判，支持将同一资产的多个告警进行聚合分析发现各类安全事件并生成工单，并在告警详情中展示告警的基本信息，涉及的业务信息、攻击趋势、威胁详情、攻击原理、处置建议等内容，并支持根据情况提供备注。</w:t>
            </w:r>
            <w:r>
              <w:rPr>
                <w:rFonts w:hint="eastAsia" w:ascii="宋体" w:hAnsi="宋体" w:cs="宋体"/>
                <w:kern w:val="0"/>
                <w:sz w:val="22"/>
                <w:szCs w:val="22"/>
              </w:rPr>
              <w:br w:type="textWrapping"/>
            </w:r>
            <w:r>
              <w:rPr>
                <w:rFonts w:hint="eastAsia" w:ascii="宋体" w:hAnsi="宋体" w:cs="宋体"/>
                <w:kern w:val="0"/>
                <w:sz w:val="22"/>
                <w:szCs w:val="22"/>
              </w:rPr>
              <w:t>5.配置一名经验丰富的安全专家作为专属服务经理，并且实时响应投标方咨询的网络安全相关问题。</w:t>
            </w:r>
            <w:r>
              <w:rPr>
                <w:rFonts w:hint="eastAsia" w:ascii="宋体" w:hAnsi="宋体" w:cs="宋体"/>
                <w:kern w:val="0"/>
                <w:sz w:val="22"/>
                <w:szCs w:val="22"/>
              </w:rPr>
              <w:br w:type="textWrapping"/>
            </w:r>
            <w:r>
              <w:rPr>
                <w:rFonts w:hint="eastAsia" w:ascii="宋体" w:hAnsi="宋体" w:cs="宋体"/>
                <w:kern w:val="0"/>
                <w:sz w:val="22"/>
                <w:szCs w:val="22"/>
              </w:rPr>
              <w:t>6.提供7*24小时的安全守护，不论是白天、黑夜、节假日投标方都应该能做到7*24H在线服务，并且在节假日期间应当每日为招标方提供节假日值守快报。</w:t>
            </w:r>
            <w:r>
              <w:rPr>
                <w:rFonts w:hint="eastAsia" w:ascii="宋体" w:hAnsi="宋体" w:cs="宋体"/>
                <w:kern w:val="0"/>
                <w:sz w:val="22"/>
                <w:szCs w:val="22"/>
              </w:rPr>
              <w:br w:type="textWrapping"/>
            </w:r>
            <w:r>
              <w:rPr>
                <w:rFonts w:hint="eastAsia" w:ascii="宋体" w:hAnsi="宋体" w:cs="宋体"/>
                <w:kern w:val="0"/>
                <w:sz w:val="22"/>
                <w:szCs w:val="22"/>
                <w:lang w:val="en-US" w:eastAsia="zh-CN"/>
              </w:rPr>
              <w:t>7</w:t>
            </w:r>
            <w:r>
              <w:rPr>
                <w:rFonts w:hint="eastAsia" w:ascii="宋体" w:hAnsi="宋体" w:cs="宋体"/>
                <w:kern w:val="0"/>
                <w:sz w:val="22"/>
                <w:szCs w:val="22"/>
              </w:rPr>
              <w:t>.服务指标：从安全日志上传分析研判到通告给建设方的时间方面，按照国家标准对安全事件的分类分级指南，重大安全事件通告时间小于15分钟，一般事件的通告时间少于30分钟；在配备</w:t>
            </w:r>
            <w:r>
              <w:rPr>
                <w:rFonts w:hint="eastAsia" w:ascii="宋体" w:hAnsi="宋体" w:cs="宋体"/>
                <w:kern w:val="0"/>
                <w:sz w:val="22"/>
                <w:szCs w:val="22"/>
                <w:lang w:val="en-US" w:eastAsia="zh-CN"/>
              </w:rPr>
              <w:t>相关</w:t>
            </w:r>
            <w:r>
              <w:rPr>
                <w:rFonts w:hint="eastAsia" w:ascii="宋体" w:hAnsi="宋体" w:cs="宋体"/>
                <w:kern w:val="0"/>
                <w:sz w:val="22"/>
                <w:szCs w:val="22"/>
              </w:rPr>
              <w:t>边界防护服务组件和端点防护服务组件的情况下，重大威胁与事件的遏制影响完成时间少于15分钟，一般威胁与事件的遏制影响完成时间少于30分钟。</w:t>
            </w:r>
            <w:r>
              <w:rPr>
                <w:rFonts w:hint="eastAsia" w:ascii="宋体" w:hAnsi="宋体" w:cs="宋体"/>
                <w:kern w:val="0"/>
                <w:sz w:val="22"/>
                <w:szCs w:val="22"/>
              </w:rPr>
              <w:br w:type="textWrapping"/>
            </w:r>
            <w:r>
              <w:rPr>
                <w:rFonts w:hint="eastAsia" w:ascii="宋体" w:hAnsi="宋体" w:cs="宋体"/>
                <w:kern w:val="0"/>
                <w:sz w:val="22"/>
                <w:szCs w:val="22"/>
                <w:lang w:val="en-US" w:eastAsia="zh-CN"/>
              </w:rPr>
              <w:t>8</w:t>
            </w:r>
            <w:r>
              <w:rPr>
                <w:rFonts w:hint="eastAsia" w:ascii="宋体" w:hAnsi="宋体" w:cs="宋体"/>
                <w:kern w:val="0"/>
                <w:sz w:val="22"/>
                <w:szCs w:val="22"/>
              </w:rPr>
              <w:t>.</w:t>
            </w:r>
            <w:r>
              <w:rPr>
                <w:rFonts w:hint="eastAsia" w:ascii="宋体" w:hAnsi="宋体" w:cs="宋体"/>
                <w:kern w:val="0"/>
                <w:sz w:val="22"/>
                <w:szCs w:val="22"/>
                <w:lang w:val="en-US" w:eastAsia="zh-CN"/>
              </w:rPr>
              <w:t>提供合同服务期限内不超过3次重大时期网络安全保障服务，总持续时间不超过60天，重保期间不少于1人驻场服务。</w:t>
            </w:r>
          </w:p>
        </w:tc>
        <w:tc>
          <w:tcPr>
            <w:tcW w:w="461" w:type="pct"/>
            <w:tcBorders>
              <w:top w:val="nil"/>
              <w:left w:val="nil"/>
              <w:bottom w:val="single" w:color="auto" w:sz="4" w:space="0"/>
              <w:right w:val="single" w:color="auto" w:sz="4" w:space="0"/>
            </w:tcBorders>
            <w:vAlign w:val="center"/>
          </w:tcPr>
          <w:p w14:paraId="3DFF4408">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262" w:type="pct"/>
            <w:tcBorders>
              <w:top w:val="nil"/>
              <w:left w:val="nil"/>
              <w:bottom w:val="single" w:color="auto" w:sz="4" w:space="0"/>
              <w:right w:val="single" w:color="auto" w:sz="4" w:space="0"/>
            </w:tcBorders>
            <w:vAlign w:val="center"/>
          </w:tcPr>
          <w:p w14:paraId="04E1BD4D">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394" w:type="pct"/>
            <w:tcBorders>
              <w:top w:val="nil"/>
              <w:left w:val="nil"/>
              <w:bottom w:val="single" w:color="auto" w:sz="4" w:space="0"/>
              <w:right w:val="single" w:color="auto" w:sz="4" w:space="0"/>
            </w:tcBorders>
            <w:vAlign w:val="center"/>
          </w:tcPr>
          <w:p w14:paraId="6327F701">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　</w:t>
            </w:r>
          </w:p>
        </w:tc>
      </w:tr>
      <w:tr w14:paraId="07C11C13">
        <w:tblPrEx>
          <w:tblCellMar>
            <w:top w:w="0" w:type="dxa"/>
            <w:left w:w="108" w:type="dxa"/>
            <w:bottom w:w="0" w:type="dxa"/>
            <w:right w:w="108" w:type="dxa"/>
          </w:tblCellMar>
        </w:tblPrEx>
        <w:trPr>
          <w:trHeight w:val="4480" w:hRule="atLeast"/>
        </w:trPr>
        <w:tc>
          <w:tcPr>
            <w:tcW w:w="262" w:type="pct"/>
            <w:tcBorders>
              <w:top w:val="nil"/>
              <w:left w:val="single" w:color="auto" w:sz="4" w:space="0"/>
              <w:bottom w:val="single" w:color="auto" w:sz="4" w:space="0"/>
              <w:right w:val="single" w:color="auto" w:sz="4" w:space="0"/>
            </w:tcBorders>
            <w:vAlign w:val="center"/>
          </w:tcPr>
          <w:p w14:paraId="06E1CE02">
            <w:pPr>
              <w:spacing w:after="0" w:line="240" w:lineRule="auto"/>
              <w:ind w:firstLine="0" w:firstLineChars="0"/>
              <w:jc w:val="center"/>
              <w:rPr>
                <w:rFonts w:hint="eastAsia" w:ascii="宋体" w:hAnsi="宋体" w:eastAsia="宋体" w:cs="宋体"/>
                <w:kern w:val="0"/>
                <w:sz w:val="22"/>
                <w:szCs w:val="22"/>
                <w:lang w:eastAsia="zh-CN"/>
              </w:rPr>
            </w:pPr>
            <w:r>
              <w:rPr>
                <w:rFonts w:hint="eastAsia" w:ascii="宋体" w:hAnsi="宋体" w:cs="宋体"/>
                <w:kern w:val="0"/>
                <w:sz w:val="22"/>
                <w:szCs w:val="22"/>
              </w:rPr>
              <w:t>1</w:t>
            </w:r>
            <w:r>
              <w:rPr>
                <w:rFonts w:hint="eastAsia" w:ascii="宋体" w:hAnsi="宋体" w:cs="宋体"/>
                <w:kern w:val="0"/>
                <w:sz w:val="22"/>
                <w:szCs w:val="22"/>
                <w:lang w:val="en-US" w:eastAsia="zh-CN"/>
              </w:rPr>
              <w:t>2</w:t>
            </w:r>
          </w:p>
        </w:tc>
        <w:tc>
          <w:tcPr>
            <w:tcW w:w="711" w:type="pct"/>
            <w:tcBorders>
              <w:top w:val="nil"/>
              <w:left w:val="nil"/>
              <w:bottom w:val="single" w:color="auto" w:sz="4" w:space="0"/>
              <w:right w:val="single" w:color="auto" w:sz="4" w:space="0"/>
            </w:tcBorders>
            <w:vAlign w:val="center"/>
          </w:tcPr>
          <w:p w14:paraId="1FA8D0A9">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漏洞扫描平台</w:t>
            </w:r>
          </w:p>
        </w:tc>
        <w:tc>
          <w:tcPr>
            <w:tcW w:w="2907" w:type="pct"/>
            <w:tcBorders>
              <w:top w:val="nil"/>
              <w:left w:val="nil"/>
              <w:bottom w:val="single" w:color="auto" w:sz="4" w:space="0"/>
              <w:right w:val="single" w:color="auto" w:sz="4" w:space="0"/>
            </w:tcBorders>
            <w:vAlign w:val="center"/>
          </w:tcPr>
          <w:p w14:paraId="2A59A422">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1.提供系统漏扫授权数≥100，WEB漏扫授权数≥20；主机漏扫并发数≥150，WEB漏扫并发数≥5；产品配置不少于6个千兆电口，2个千兆光口SFP；</w:t>
            </w:r>
            <w:r>
              <w:rPr>
                <w:rFonts w:hint="eastAsia" w:ascii="宋体" w:hAnsi="宋体" w:cs="宋体"/>
                <w:kern w:val="0"/>
                <w:sz w:val="22"/>
                <w:szCs w:val="22"/>
              </w:rPr>
              <w:br w:type="textWrapping"/>
            </w:r>
            <w:r>
              <w:rPr>
                <w:rFonts w:hint="eastAsia" w:ascii="宋体" w:hAnsi="宋体" w:cs="宋体"/>
                <w:kern w:val="0"/>
                <w:sz w:val="22"/>
                <w:szCs w:val="22"/>
              </w:rPr>
              <w:t>2.支持从紧急漏洞的视角展示主机风险，清晰呈现已发生和未发生的紧急漏洞类型，支持以报表形式展示紧急漏洞的风险等级、影响资产数、漏洞数量、最近发现时间，可关联漏洞详情；</w:t>
            </w:r>
            <w:r>
              <w:rPr>
                <w:rFonts w:hint="eastAsia" w:ascii="宋体" w:hAnsi="宋体" w:cs="宋体"/>
                <w:kern w:val="0"/>
                <w:sz w:val="22"/>
                <w:szCs w:val="22"/>
              </w:rPr>
              <w:br w:type="textWrapping"/>
            </w:r>
            <w:r>
              <w:rPr>
                <w:rFonts w:hint="eastAsia" w:ascii="宋体" w:hAnsi="宋体" w:cs="宋体"/>
                <w:kern w:val="0"/>
                <w:sz w:val="22"/>
                <w:szCs w:val="22"/>
              </w:rPr>
              <w:t>3.支持从主机视角呈现当前关键资产的风险等级信息， 可从“高危”“中危”“低危”“安全”四个等级（或类似等级划分）划分漏洞风险等级，支持客户对于重要资产标记为“核心资产”， 便于根据资产价值确定修复优先级；</w:t>
            </w:r>
            <w:r>
              <w:rPr>
                <w:rFonts w:hint="eastAsia" w:ascii="宋体" w:hAnsi="宋体" w:cs="宋体"/>
                <w:kern w:val="0"/>
                <w:sz w:val="22"/>
                <w:szCs w:val="22"/>
              </w:rPr>
              <w:br w:type="textWrapping"/>
            </w:r>
            <w:r>
              <w:rPr>
                <w:rFonts w:hint="eastAsia" w:ascii="宋体" w:hAnsi="宋体" w:cs="宋体"/>
                <w:kern w:val="0"/>
                <w:sz w:val="22"/>
                <w:szCs w:val="22"/>
              </w:rPr>
              <w:t>4.支持操作系统、网络设备、数据库、中间件等漏洞扫描；</w:t>
            </w:r>
            <w:r>
              <w:rPr>
                <w:rFonts w:hint="eastAsia" w:ascii="宋体" w:hAnsi="宋体" w:cs="宋体"/>
                <w:kern w:val="0"/>
                <w:sz w:val="22"/>
                <w:szCs w:val="22"/>
              </w:rPr>
              <w:br w:type="textWrapping"/>
            </w:r>
            <w:r>
              <w:rPr>
                <w:rFonts w:hint="eastAsia" w:ascii="宋体" w:hAnsi="宋体" w:cs="宋体"/>
                <w:kern w:val="0"/>
                <w:sz w:val="22"/>
                <w:szCs w:val="22"/>
              </w:rPr>
              <w:t>5.支持全面扫描、资产发现、系统漏洞扫描、弱口令扫描、WEB漏洞扫描、基线配置核查六种任务类型，其中全面扫描支持系统漏洞扫描、WEB漏洞扫描、弱口令扫描同时执行；</w:t>
            </w:r>
            <w:r>
              <w:rPr>
                <w:rFonts w:hint="eastAsia" w:ascii="宋体" w:hAnsi="宋体" w:cs="宋体"/>
                <w:kern w:val="0"/>
                <w:sz w:val="22"/>
                <w:szCs w:val="22"/>
                <w:lang w:eastAsia="zh-CN"/>
              </w:rPr>
              <w:t xml:space="preserve">  </w:t>
            </w:r>
            <w:r>
              <w:rPr>
                <w:rFonts w:hint="eastAsia" w:ascii="宋体" w:hAnsi="宋体" w:cs="宋体"/>
                <w:kern w:val="0"/>
                <w:sz w:val="22"/>
                <w:szCs w:val="22"/>
              </w:rPr>
              <w:br w:type="textWrapping"/>
            </w:r>
            <w:r>
              <w:rPr>
                <w:rFonts w:hint="eastAsia" w:ascii="宋体" w:hAnsi="宋体" w:cs="宋体"/>
                <w:kern w:val="0"/>
                <w:sz w:val="22"/>
                <w:szCs w:val="22"/>
              </w:rPr>
              <w:t>6.支持多种系统漏洞检测技术，如：原理扫描技术、版本扫描技术；支持通过任务参数、资产视角、漏洞、弱口令等不同展示方式；</w:t>
            </w:r>
            <w:r>
              <w:rPr>
                <w:rFonts w:hint="eastAsia" w:ascii="宋体" w:hAnsi="宋体" w:cs="宋体"/>
                <w:kern w:val="0"/>
                <w:sz w:val="22"/>
                <w:szCs w:val="22"/>
              </w:rPr>
              <w:br w:type="textWrapping"/>
            </w:r>
            <w:r>
              <w:rPr>
                <w:rFonts w:hint="eastAsia" w:ascii="宋体" w:hAnsi="宋体" w:cs="宋体"/>
                <w:kern w:val="0"/>
                <w:sz w:val="22"/>
                <w:szCs w:val="22"/>
              </w:rPr>
              <w:t>7.支持对系统漏洞、WEB漏洞、基线配置、弱口令进行扫描和分析，可同时输出包含系统漏洞扫描、WEB漏洞扫描、基线配置核查、弱口令扫描结果的报表；</w:t>
            </w:r>
            <w:r>
              <w:rPr>
                <w:rFonts w:hint="eastAsia" w:ascii="宋体" w:hAnsi="宋体" w:cs="宋体"/>
                <w:kern w:val="0"/>
                <w:sz w:val="22"/>
                <w:szCs w:val="22"/>
                <w:lang w:eastAsia="zh-CN"/>
              </w:rPr>
              <w:t xml:space="preserve">  </w:t>
            </w:r>
            <w:r>
              <w:rPr>
                <w:rFonts w:hint="eastAsia" w:ascii="宋体" w:hAnsi="宋体" w:cs="宋体"/>
                <w:kern w:val="0"/>
                <w:sz w:val="22"/>
                <w:szCs w:val="22"/>
              </w:rPr>
              <w:br w:type="textWrapping"/>
            </w:r>
            <w:r>
              <w:rPr>
                <w:rFonts w:hint="eastAsia" w:ascii="宋体" w:hAnsi="宋体" w:cs="宋体"/>
                <w:kern w:val="0"/>
                <w:sz w:val="22"/>
                <w:szCs w:val="22"/>
              </w:rPr>
              <w:t>8.支持系统漏洞、web漏洞模板的自定义，可通过漏洞名称、CVE编号、风险等级、漏洞类型、漏洞组件、高可利用、漏洞发现时间、扫描方式等快速筛选漏洞，根据筛选结果选择相应漏洞生成自定义模板；</w:t>
            </w:r>
            <w:r>
              <w:rPr>
                <w:rFonts w:hint="eastAsia" w:ascii="宋体" w:hAnsi="宋体" w:cs="宋体"/>
                <w:kern w:val="0"/>
                <w:sz w:val="22"/>
                <w:szCs w:val="22"/>
                <w:lang w:eastAsia="zh-CN"/>
              </w:rPr>
              <w:t xml:space="preserve">  </w:t>
            </w:r>
          </w:p>
        </w:tc>
        <w:tc>
          <w:tcPr>
            <w:tcW w:w="461" w:type="pct"/>
            <w:tcBorders>
              <w:top w:val="nil"/>
              <w:left w:val="nil"/>
              <w:bottom w:val="single" w:color="auto" w:sz="4" w:space="0"/>
              <w:right w:val="single" w:color="auto" w:sz="4" w:space="0"/>
            </w:tcBorders>
            <w:vAlign w:val="center"/>
          </w:tcPr>
          <w:p w14:paraId="4BFA83CB">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262" w:type="pct"/>
            <w:tcBorders>
              <w:top w:val="nil"/>
              <w:left w:val="nil"/>
              <w:bottom w:val="single" w:color="auto" w:sz="4" w:space="0"/>
              <w:right w:val="single" w:color="auto" w:sz="4" w:space="0"/>
            </w:tcBorders>
            <w:vAlign w:val="center"/>
          </w:tcPr>
          <w:p w14:paraId="649EDB9C">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台</w:t>
            </w:r>
          </w:p>
        </w:tc>
        <w:tc>
          <w:tcPr>
            <w:tcW w:w="394" w:type="pct"/>
            <w:tcBorders>
              <w:top w:val="nil"/>
              <w:left w:val="nil"/>
              <w:bottom w:val="single" w:color="auto" w:sz="4" w:space="0"/>
              <w:right w:val="single" w:color="auto" w:sz="4" w:space="0"/>
            </w:tcBorders>
            <w:vAlign w:val="center"/>
          </w:tcPr>
          <w:p w14:paraId="3D5BD9D9">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　</w:t>
            </w:r>
          </w:p>
        </w:tc>
      </w:tr>
      <w:tr w14:paraId="7470B0E2">
        <w:tblPrEx>
          <w:tblCellMar>
            <w:top w:w="0" w:type="dxa"/>
            <w:left w:w="108" w:type="dxa"/>
            <w:bottom w:w="0" w:type="dxa"/>
            <w:right w:w="108" w:type="dxa"/>
          </w:tblCellMar>
        </w:tblPrEx>
        <w:trPr>
          <w:trHeight w:val="280" w:hRule="atLeast"/>
        </w:trPr>
        <w:tc>
          <w:tcPr>
            <w:tcW w:w="262" w:type="pct"/>
            <w:tcBorders>
              <w:top w:val="nil"/>
              <w:left w:val="single" w:color="auto" w:sz="4" w:space="0"/>
              <w:bottom w:val="single" w:color="auto" w:sz="4" w:space="0"/>
              <w:right w:val="single" w:color="auto" w:sz="4" w:space="0"/>
            </w:tcBorders>
            <w:noWrap/>
            <w:vAlign w:val="center"/>
          </w:tcPr>
          <w:p w14:paraId="165EA7E6">
            <w:pPr>
              <w:spacing w:after="0" w:line="240" w:lineRule="auto"/>
              <w:ind w:firstLine="0" w:firstLineChars="0"/>
              <w:jc w:val="center"/>
              <w:rPr>
                <w:rFonts w:hint="eastAsia" w:ascii="宋体" w:hAnsi="宋体" w:eastAsia="宋体" w:cs="宋体"/>
                <w:b/>
                <w:bCs/>
                <w:kern w:val="0"/>
                <w:sz w:val="22"/>
                <w:szCs w:val="22"/>
                <w:lang w:eastAsia="zh-CN"/>
              </w:rPr>
            </w:pPr>
            <w:r>
              <w:rPr>
                <w:rFonts w:hint="eastAsia" w:ascii="宋体" w:hAnsi="宋体" w:cs="宋体"/>
                <w:b/>
                <w:bCs/>
                <w:kern w:val="0"/>
                <w:sz w:val="22"/>
                <w:szCs w:val="22"/>
                <w:lang w:val="en-US" w:eastAsia="zh-CN"/>
              </w:rPr>
              <w:t>二</w:t>
            </w:r>
          </w:p>
        </w:tc>
        <w:tc>
          <w:tcPr>
            <w:tcW w:w="4342" w:type="pct"/>
            <w:gridSpan w:val="4"/>
            <w:tcBorders>
              <w:top w:val="single" w:color="auto" w:sz="4" w:space="0"/>
              <w:left w:val="nil"/>
              <w:bottom w:val="single" w:color="auto" w:sz="4" w:space="0"/>
              <w:right w:val="single" w:color="auto" w:sz="4" w:space="0"/>
            </w:tcBorders>
            <w:vAlign w:val="center"/>
          </w:tcPr>
          <w:p w14:paraId="485BCF5D">
            <w:pPr>
              <w:spacing w:after="0" w:line="240" w:lineRule="auto"/>
              <w:ind w:firstLine="0" w:firstLineChars="0"/>
              <w:jc w:val="left"/>
              <w:rPr>
                <w:rFonts w:hint="eastAsia" w:ascii="宋体" w:hAnsi="宋体" w:cs="宋体"/>
                <w:b/>
                <w:bCs/>
                <w:kern w:val="0"/>
                <w:sz w:val="22"/>
                <w:szCs w:val="22"/>
              </w:rPr>
            </w:pPr>
            <w:r>
              <w:rPr>
                <w:rFonts w:hint="eastAsia" w:ascii="宋体" w:hAnsi="宋体" w:cs="宋体"/>
                <w:b/>
                <w:bCs/>
                <w:kern w:val="0"/>
                <w:sz w:val="22"/>
                <w:szCs w:val="22"/>
              </w:rPr>
              <w:t>信息化资源统一纳管平台</w:t>
            </w:r>
          </w:p>
        </w:tc>
        <w:tc>
          <w:tcPr>
            <w:tcW w:w="394" w:type="pct"/>
            <w:tcBorders>
              <w:top w:val="nil"/>
              <w:left w:val="nil"/>
              <w:bottom w:val="single" w:color="auto" w:sz="4" w:space="0"/>
              <w:right w:val="single" w:color="auto" w:sz="4" w:space="0"/>
            </w:tcBorders>
            <w:noWrap/>
            <w:vAlign w:val="center"/>
          </w:tcPr>
          <w:p w14:paraId="052EEE18">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　</w:t>
            </w:r>
          </w:p>
        </w:tc>
      </w:tr>
      <w:tr w14:paraId="5B5EC32D">
        <w:tblPrEx>
          <w:tblCellMar>
            <w:top w:w="0" w:type="dxa"/>
            <w:left w:w="108" w:type="dxa"/>
            <w:bottom w:w="0" w:type="dxa"/>
            <w:right w:w="108" w:type="dxa"/>
          </w:tblCellMar>
        </w:tblPrEx>
        <w:trPr>
          <w:trHeight w:val="280" w:hRule="atLeast"/>
        </w:trPr>
        <w:tc>
          <w:tcPr>
            <w:tcW w:w="262" w:type="pct"/>
            <w:tcBorders>
              <w:top w:val="nil"/>
              <w:left w:val="single" w:color="auto" w:sz="4" w:space="0"/>
              <w:bottom w:val="single" w:color="auto" w:sz="4" w:space="0"/>
              <w:right w:val="single" w:color="auto" w:sz="4" w:space="0"/>
            </w:tcBorders>
            <w:noWrap/>
            <w:vAlign w:val="center"/>
          </w:tcPr>
          <w:p w14:paraId="223EC7B6">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711" w:type="pct"/>
            <w:tcBorders>
              <w:top w:val="nil"/>
              <w:left w:val="nil"/>
              <w:bottom w:val="single" w:color="auto" w:sz="4" w:space="0"/>
              <w:right w:val="single" w:color="auto" w:sz="4" w:space="0"/>
            </w:tcBorders>
            <w:vAlign w:val="center"/>
          </w:tcPr>
          <w:p w14:paraId="5D806376">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许可证管理</w:t>
            </w:r>
          </w:p>
        </w:tc>
        <w:tc>
          <w:tcPr>
            <w:tcW w:w="2907" w:type="pct"/>
            <w:tcBorders>
              <w:top w:val="nil"/>
              <w:left w:val="nil"/>
              <w:bottom w:val="single" w:color="auto" w:sz="4" w:space="0"/>
              <w:right w:val="single" w:color="auto" w:sz="4" w:space="0"/>
            </w:tcBorders>
            <w:vAlign w:val="center"/>
          </w:tcPr>
          <w:p w14:paraId="2174979C">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包含基础信息、授权信息、绑定设备、过期提醒等功能模块，</w:t>
            </w:r>
          </w:p>
        </w:tc>
        <w:tc>
          <w:tcPr>
            <w:tcW w:w="461" w:type="pct"/>
            <w:tcBorders>
              <w:top w:val="nil"/>
              <w:left w:val="nil"/>
              <w:bottom w:val="single" w:color="auto" w:sz="4" w:space="0"/>
              <w:right w:val="single" w:color="auto" w:sz="4" w:space="0"/>
            </w:tcBorders>
            <w:vAlign w:val="center"/>
          </w:tcPr>
          <w:p w14:paraId="10E90B2D">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262" w:type="pct"/>
            <w:tcBorders>
              <w:top w:val="nil"/>
              <w:left w:val="nil"/>
              <w:bottom w:val="single" w:color="auto" w:sz="4" w:space="0"/>
              <w:right w:val="single" w:color="auto" w:sz="4" w:space="0"/>
            </w:tcBorders>
            <w:vAlign w:val="center"/>
          </w:tcPr>
          <w:p w14:paraId="575E661C">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394" w:type="pct"/>
            <w:tcBorders>
              <w:top w:val="nil"/>
              <w:left w:val="nil"/>
              <w:bottom w:val="single" w:color="auto" w:sz="4" w:space="0"/>
              <w:right w:val="single" w:color="auto" w:sz="4" w:space="0"/>
            </w:tcBorders>
            <w:vAlign w:val="center"/>
          </w:tcPr>
          <w:p w14:paraId="5B8012D1">
            <w:pPr>
              <w:spacing w:after="0" w:line="240" w:lineRule="auto"/>
              <w:ind w:firstLine="0" w:firstLineChars="0"/>
              <w:jc w:val="left"/>
              <w:rPr>
                <w:rFonts w:hint="eastAsia" w:ascii="宋体" w:hAnsi="宋体" w:cs="宋体"/>
                <w:b/>
                <w:bCs/>
                <w:kern w:val="0"/>
                <w:sz w:val="22"/>
                <w:szCs w:val="22"/>
              </w:rPr>
            </w:pPr>
            <w:r>
              <w:rPr>
                <w:rFonts w:hint="eastAsia" w:ascii="宋体" w:hAnsi="宋体" w:cs="宋体"/>
                <w:b/>
                <w:bCs/>
                <w:kern w:val="0"/>
                <w:sz w:val="22"/>
                <w:szCs w:val="22"/>
              </w:rPr>
              <w:t>　</w:t>
            </w:r>
          </w:p>
        </w:tc>
      </w:tr>
      <w:tr w14:paraId="31522F73">
        <w:tblPrEx>
          <w:tblCellMar>
            <w:top w:w="0" w:type="dxa"/>
            <w:left w:w="108" w:type="dxa"/>
            <w:bottom w:w="0" w:type="dxa"/>
            <w:right w:w="108" w:type="dxa"/>
          </w:tblCellMar>
        </w:tblPrEx>
        <w:trPr>
          <w:trHeight w:val="90" w:hRule="atLeast"/>
        </w:trPr>
        <w:tc>
          <w:tcPr>
            <w:tcW w:w="262" w:type="pct"/>
            <w:tcBorders>
              <w:top w:val="nil"/>
              <w:left w:val="single" w:color="auto" w:sz="4" w:space="0"/>
              <w:bottom w:val="single" w:color="auto" w:sz="4" w:space="0"/>
              <w:right w:val="single" w:color="auto" w:sz="4" w:space="0"/>
            </w:tcBorders>
            <w:noWrap/>
            <w:vAlign w:val="center"/>
          </w:tcPr>
          <w:p w14:paraId="5D727AB9">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2</w:t>
            </w:r>
          </w:p>
        </w:tc>
        <w:tc>
          <w:tcPr>
            <w:tcW w:w="711" w:type="pct"/>
            <w:tcBorders>
              <w:top w:val="nil"/>
              <w:left w:val="nil"/>
              <w:bottom w:val="single" w:color="auto" w:sz="4" w:space="0"/>
              <w:right w:val="single" w:color="auto" w:sz="4" w:space="0"/>
            </w:tcBorders>
            <w:vAlign w:val="center"/>
          </w:tcPr>
          <w:p w14:paraId="0BDB0232">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业务应用系统资</w:t>
            </w:r>
          </w:p>
        </w:tc>
        <w:tc>
          <w:tcPr>
            <w:tcW w:w="2907" w:type="pct"/>
            <w:tcBorders>
              <w:top w:val="nil"/>
              <w:left w:val="nil"/>
              <w:bottom w:val="single" w:color="auto" w:sz="4" w:space="0"/>
              <w:right w:val="single" w:color="auto" w:sz="4" w:space="0"/>
            </w:tcBorders>
            <w:vAlign w:val="center"/>
          </w:tcPr>
          <w:p w14:paraId="6BEFFCB9">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包括系统列表、基本信息、实施进展、部署信息、验收信息等功能模块</w:t>
            </w:r>
          </w:p>
        </w:tc>
        <w:tc>
          <w:tcPr>
            <w:tcW w:w="461" w:type="pct"/>
            <w:tcBorders>
              <w:top w:val="nil"/>
              <w:left w:val="nil"/>
              <w:bottom w:val="single" w:color="auto" w:sz="4" w:space="0"/>
              <w:right w:val="single" w:color="auto" w:sz="4" w:space="0"/>
            </w:tcBorders>
            <w:vAlign w:val="center"/>
          </w:tcPr>
          <w:p w14:paraId="70BF26C3">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262" w:type="pct"/>
            <w:tcBorders>
              <w:top w:val="nil"/>
              <w:left w:val="nil"/>
              <w:bottom w:val="single" w:color="auto" w:sz="4" w:space="0"/>
              <w:right w:val="single" w:color="auto" w:sz="4" w:space="0"/>
            </w:tcBorders>
            <w:vAlign w:val="center"/>
          </w:tcPr>
          <w:p w14:paraId="703EF3DC">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394" w:type="pct"/>
            <w:tcBorders>
              <w:top w:val="nil"/>
              <w:left w:val="nil"/>
              <w:bottom w:val="single" w:color="auto" w:sz="4" w:space="0"/>
              <w:right w:val="single" w:color="auto" w:sz="4" w:space="0"/>
            </w:tcBorders>
            <w:vAlign w:val="center"/>
          </w:tcPr>
          <w:p w14:paraId="3A1E23DA">
            <w:pPr>
              <w:spacing w:after="0" w:line="240" w:lineRule="auto"/>
              <w:ind w:firstLine="0" w:firstLineChars="0"/>
              <w:jc w:val="left"/>
              <w:rPr>
                <w:rFonts w:hint="eastAsia" w:ascii="宋体" w:hAnsi="宋体" w:cs="宋体"/>
                <w:b/>
                <w:bCs/>
                <w:kern w:val="0"/>
                <w:sz w:val="22"/>
                <w:szCs w:val="22"/>
              </w:rPr>
            </w:pPr>
            <w:r>
              <w:rPr>
                <w:rFonts w:hint="eastAsia" w:ascii="宋体" w:hAnsi="宋体" w:cs="宋体"/>
                <w:b/>
                <w:bCs/>
                <w:kern w:val="0"/>
                <w:sz w:val="22"/>
                <w:szCs w:val="22"/>
              </w:rPr>
              <w:t>　</w:t>
            </w:r>
          </w:p>
        </w:tc>
      </w:tr>
      <w:tr w14:paraId="797225E0">
        <w:tblPrEx>
          <w:tblCellMar>
            <w:top w:w="0" w:type="dxa"/>
            <w:left w:w="108" w:type="dxa"/>
            <w:bottom w:w="0" w:type="dxa"/>
            <w:right w:w="108" w:type="dxa"/>
          </w:tblCellMar>
        </w:tblPrEx>
        <w:trPr>
          <w:trHeight w:val="280" w:hRule="atLeast"/>
        </w:trPr>
        <w:tc>
          <w:tcPr>
            <w:tcW w:w="262" w:type="pct"/>
            <w:tcBorders>
              <w:top w:val="nil"/>
              <w:left w:val="single" w:color="auto" w:sz="4" w:space="0"/>
              <w:bottom w:val="single" w:color="auto" w:sz="4" w:space="0"/>
              <w:right w:val="single" w:color="auto" w:sz="4" w:space="0"/>
            </w:tcBorders>
            <w:noWrap/>
            <w:vAlign w:val="center"/>
          </w:tcPr>
          <w:p w14:paraId="38F30CAB">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3</w:t>
            </w:r>
          </w:p>
        </w:tc>
        <w:tc>
          <w:tcPr>
            <w:tcW w:w="711" w:type="pct"/>
            <w:tcBorders>
              <w:top w:val="nil"/>
              <w:left w:val="nil"/>
              <w:bottom w:val="single" w:color="auto" w:sz="4" w:space="0"/>
              <w:right w:val="single" w:color="auto" w:sz="4" w:space="0"/>
            </w:tcBorders>
            <w:vAlign w:val="center"/>
          </w:tcPr>
          <w:p w14:paraId="5F39D74F">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商用软件系统资</w:t>
            </w:r>
          </w:p>
        </w:tc>
        <w:tc>
          <w:tcPr>
            <w:tcW w:w="2907" w:type="pct"/>
            <w:tcBorders>
              <w:top w:val="nil"/>
              <w:left w:val="nil"/>
              <w:bottom w:val="single" w:color="auto" w:sz="4" w:space="0"/>
              <w:right w:val="single" w:color="auto" w:sz="4" w:space="0"/>
            </w:tcBorders>
            <w:vAlign w:val="center"/>
          </w:tcPr>
          <w:p w14:paraId="4905CDB6">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包括软件列表、基本信息、部署信息、业务关系、采购审批、软件升级等功能模块</w:t>
            </w:r>
          </w:p>
        </w:tc>
        <w:tc>
          <w:tcPr>
            <w:tcW w:w="461" w:type="pct"/>
            <w:tcBorders>
              <w:top w:val="nil"/>
              <w:left w:val="nil"/>
              <w:bottom w:val="single" w:color="auto" w:sz="4" w:space="0"/>
              <w:right w:val="single" w:color="auto" w:sz="4" w:space="0"/>
            </w:tcBorders>
            <w:vAlign w:val="center"/>
          </w:tcPr>
          <w:p w14:paraId="7EB19B0D">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262" w:type="pct"/>
            <w:tcBorders>
              <w:top w:val="nil"/>
              <w:left w:val="nil"/>
              <w:bottom w:val="single" w:color="auto" w:sz="4" w:space="0"/>
              <w:right w:val="single" w:color="auto" w:sz="4" w:space="0"/>
            </w:tcBorders>
            <w:vAlign w:val="center"/>
          </w:tcPr>
          <w:p w14:paraId="7E963D0D">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394" w:type="pct"/>
            <w:tcBorders>
              <w:top w:val="nil"/>
              <w:left w:val="nil"/>
              <w:bottom w:val="single" w:color="auto" w:sz="4" w:space="0"/>
              <w:right w:val="single" w:color="auto" w:sz="4" w:space="0"/>
            </w:tcBorders>
            <w:vAlign w:val="center"/>
          </w:tcPr>
          <w:p w14:paraId="64B11B53">
            <w:pPr>
              <w:spacing w:after="0" w:line="240" w:lineRule="auto"/>
              <w:ind w:firstLine="0" w:firstLineChars="0"/>
              <w:jc w:val="left"/>
              <w:rPr>
                <w:rFonts w:hint="eastAsia" w:ascii="宋体" w:hAnsi="宋体" w:cs="宋体"/>
                <w:b/>
                <w:bCs/>
                <w:kern w:val="0"/>
                <w:sz w:val="22"/>
                <w:szCs w:val="22"/>
              </w:rPr>
            </w:pPr>
            <w:r>
              <w:rPr>
                <w:rFonts w:hint="eastAsia" w:ascii="宋体" w:hAnsi="宋体" w:cs="宋体"/>
                <w:b/>
                <w:bCs/>
                <w:kern w:val="0"/>
                <w:sz w:val="22"/>
                <w:szCs w:val="22"/>
              </w:rPr>
              <w:t>　</w:t>
            </w:r>
          </w:p>
        </w:tc>
      </w:tr>
      <w:tr w14:paraId="325750D4">
        <w:tblPrEx>
          <w:tblCellMar>
            <w:top w:w="0" w:type="dxa"/>
            <w:left w:w="108" w:type="dxa"/>
            <w:bottom w:w="0" w:type="dxa"/>
            <w:right w:w="108" w:type="dxa"/>
          </w:tblCellMar>
        </w:tblPrEx>
        <w:trPr>
          <w:trHeight w:val="280" w:hRule="atLeast"/>
        </w:trPr>
        <w:tc>
          <w:tcPr>
            <w:tcW w:w="262" w:type="pct"/>
            <w:tcBorders>
              <w:top w:val="nil"/>
              <w:left w:val="single" w:color="auto" w:sz="4" w:space="0"/>
              <w:bottom w:val="single" w:color="auto" w:sz="4" w:space="0"/>
              <w:right w:val="single" w:color="auto" w:sz="4" w:space="0"/>
            </w:tcBorders>
            <w:noWrap/>
            <w:vAlign w:val="center"/>
          </w:tcPr>
          <w:p w14:paraId="2B2403B4">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4</w:t>
            </w:r>
          </w:p>
        </w:tc>
        <w:tc>
          <w:tcPr>
            <w:tcW w:w="711" w:type="pct"/>
            <w:tcBorders>
              <w:top w:val="nil"/>
              <w:left w:val="nil"/>
              <w:bottom w:val="single" w:color="auto" w:sz="4" w:space="0"/>
              <w:right w:val="single" w:color="auto" w:sz="4" w:space="0"/>
            </w:tcBorders>
            <w:vAlign w:val="center"/>
          </w:tcPr>
          <w:p w14:paraId="1FAED7A6">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机房基础设施资</w:t>
            </w:r>
          </w:p>
        </w:tc>
        <w:tc>
          <w:tcPr>
            <w:tcW w:w="2907" w:type="pct"/>
            <w:tcBorders>
              <w:top w:val="nil"/>
              <w:left w:val="nil"/>
              <w:bottom w:val="single" w:color="auto" w:sz="4" w:space="0"/>
              <w:right w:val="single" w:color="auto" w:sz="4" w:space="0"/>
            </w:tcBorders>
            <w:vAlign w:val="center"/>
          </w:tcPr>
          <w:p w14:paraId="1193CB2E">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包括机房设施管理、机柜设备管理、服务器及KVM设备、网络及通信设备、安全监控设备等功能模块</w:t>
            </w:r>
          </w:p>
        </w:tc>
        <w:tc>
          <w:tcPr>
            <w:tcW w:w="461" w:type="pct"/>
            <w:tcBorders>
              <w:top w:val="nil"/>
              <w:left w:val="nil"/>
              <w:bottom w:val="single" w:color="auto" w:sz="4" w:space="0"/>
              <w:right w:val="single" w:color="auto" w:sz="4" w:space="0"/>
            </w:tcBorders>
            <w:vAlign w:val="center"/>
          </w:tcPr>
          <w:p w14:paraId="6DE66F50">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262" w:type="pct"/>
            <w:tcBorders>
              <w:top w:val="nil"/>
              <w:left w:val="nil"/>
              <w:bottom w:val="single" w:color="auto" w:sz="4" w:space="0"/>
              <w:right w:val="single" w:color="auto" w:sz="4" w:space="0"/>
            </w:tcBorders>
            <w:vAlign w:val="center"/>
          </w:tcPr>
          <w:p w14:paraId="3C493478">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394" w:type="pct"/>
            <w:tcBorders>
              <w:top w:val="nil"/>
              <w:left w:val="nil"/>
              <w:bottom w:val="single" w:color="auto" w:sz="4" w:space="0"/>
              <w:right w:val="single" w:color="auto" w:sz="4" w:space="0"/>
            </w:tcBorders>
            <w:vAlign w:val="center"/>
          </w:tcPr>
          <w:p w14:paraId="5F6EA25A">
            <w:pPr>
              <w:spacing w:after="0" w:line="240" w:lineRule="auto"/>
              <w:ind w:firstLine="0" w:firstLineChars="0"/>
              <w:jc w:val="left"/>
              <w:rPr>
                <w:rFonts w:hint="eastAsia" w:ascii="宋体" w:hAnsi="宋体" w:cs="宋体"/>
                <w:b/>
                <w:bCs/>
                <w:kern w:val="0"/>
                <w:sz w:val="22"/>
                <w:szCs w:val="22"/>
              </w:rPr>
            </w:pPr>
            <w:r>
              <w:rPr>
                <w:rFonts w:hint="eastAsia" w:ascii="宋体" w:hAnsi="宋体" w:cs="宋体"/>
                <w:b/>
                <w:bCs/>
                <w:kern w:val="0"/>
                <w:sz w:val="22"/>
                <w:szCs w:val="22"/>
              </w:rPr>
              <w:t>　</w:t>
            </w:r>
          </w:p>
        </w:tc>
      </w:tr>
      <w:tr w14:paraId="77F59180">
        <w:tblPrEx>
          <w:tblCellMar>
            <w:top w:w="0" w:type="dxa"/>
            <w:left w:w="108" w:type="dxa"/>
            <w:bottom w:w="0" w:type="dxa"/>
            <w:right w:w="108" w:type="dxa"/>
          </w:tblCellMar>
        </w:tblPrEx>
        <w:trPr>
          <w:trHeight w:val="280" w:hRule="atLeast"/>
        </w:trPr>
        <w:tc>
          <w:tcPr>
            <w:tcW w:w="262" w:type="pct"/>
            <w:tcBorders>
              <w:top w:val="nil"/>
              <w:left w:val="single" w:color="auto" w:sz="4" w:space="0"/>
              <w:bottom w:val="single" w:color="auto" w:sz="4" w:space="0"/>
              <w:right w:val="single" w:color="auto" w:sz="4" w:space="0"/>
            </w:tcBorders>
            <w:noWrap/>
            <w:vAlign w:val="center"/>
          </w:tcPr>
          <w:p w14:paraId="5AC4B1B3">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5</w:t>
            </w:r>
          </w:p>
        </w:tc>
        <w:tc>
          <w:tcPr>
            <w:tcW w:w="711" w:type="pct"/>
            <w:tcBorders>
              <w:top w:val="nil"/>
              <w:left w:val="nil"/>
              <w:bottom w:val="single" w:color="auto" w:sz="4" w:space="0"/>
              <w:right w:val="single" w:color="auto" w:sz="4" w:space="0"/>
            </w:tcBorders>
            <w:vAlign w:val="center"/>
          </w:tcPr>
          <w:p w14:paraId="46E21451">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虚拟化资源池</w:t>
            </w:r>
          </w:p>
        </w:tc>
        <w:tc>
          <w:tcPr>
            <w:tcW w:w="2907" w:type="pct"/>
            <w:tcBorders>
              <w:top w:val="nil"/>
              <w:left w:val="nil"/>
              <w:bottom w:val="single" w:color="auto" w:sz="4" w:space="0"/>
              <w:right w:val="single" w:color="auto" w:sz="4" w:space="0"/>
            </w:tcBorders>
            <w:vAlign w:val="center"/>
          </w:tcPr>
          <w:p w14:paraId="6A323DAA">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包括政务云资源管理、虚拟化主节点管理、虚拟网络管理、虚拟主机管理等功能模块</w:t>
            </w:r>
          </w:p>
        </w:tc>
        <w:tc>
          <w:tcPr>
            <w:tcW w:w="461" w:type="pct"/>
            <w:tcBorders>
              <w:top w:val="nil"/>
              <w:left w:val="nil"/>
              <w:bottom w:val="single" w:color="auto" w:sz="4" w:space="0"/>
              <w:right w:val="single" w:color="auto" w:sz="4" w:space="0"/>
            </w:tcBorders>
            <w:vAlign w:val="center"/>
          </w:tcPr>
          <w:p w14:paraId="2474A596">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262" w:type="pct"/>
            <w:tcBorders>
              <w:top w:val="nil"/>
              <w:left w:val="nil"/>
              <w:bottom w:val="single" w:color="auto" w:sz="4" w:space="0"/>
              <w:right w:val="single" w:color="auto" w:sz="4" w:space="0"/>
            </w:tcBorders>
            <w:vAlign w:val="center"/>
          </w:tcPr>
          <w:p w14:paraId="2A012484">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394" w:type="pct"/>
            <w:tcBorders>
              <w:top w:val="nil"/>
              <w:left w:val="nil"/>
              <w:bottom w:val="single" w:color="auto" w:sz="4" w:space="0"/>
              <w:right w:val="single" w:color="auto" w:sz="4" w:space="0"/>
            </w:tcBorders>
            <w:vAlign w:val="center"/>
          </w:tcPr>
          <w:p w14:paraId="08E29833">
            <w:pPr>
              <w:spacing w:after="0" w:line="240" w:lineRule="auto"/>
              <w:ind w:firstLine="0" w:firstLineChars="0"/>
              <w:jc w:val="left"/>
              <w:rPr>
                <w:rFonts w:hint="eastAsia" w:ascii="宋体" w:hAnsi="宋体" w:cs="宋体"/>
                <w:b/>
                <w:bCs/>
                <w:kern w:val="0"/>
                <w:sz w:val="22"/>
                <w:szCs w:val="22"/>
              </w:rPr>
            </w:pPr>
            <w:r>
              <w:rPr>
                <w:rFonts w:hint="eastAsia" w:ascii="宋体" w:hAnsi="宋体" w:cs="宋体"/>
                <w:b/>
                <w:bCs/>
                <w:kern w:val="0"/>
                <w:sz w:val="22"/>
                <w:szCs w:val="22"/>
              </w:rPr>
              <w:t>　</w:t>
            </w:r>
          </w:p>
        </w:tc>
      </w:tr>
      <w:tr w14:paraId="100B54C4">
        <w:tblPrEx>
          <w:tblCellMar>
            <w:top w:w="0" w:type="dxa"/>
            <w:left w:w="108" w:type="dxa"/>
            <w:bottom w:w="0" w:type="dxa"/>
            <w:right w:w="108" w:type="dxa"/>
          </w:tblCellMar>
        </w:tblPrEx>
        <w:trPr>
          <w:trHeight w:val="560" w:hRule="atLeast"/>
        </w:trPr>
        <w:tc>
          <w:tcPr>
            <w:tcW w:w="262" w:type="pct"/>
            <w:tcBorders>
              <w:top w:val="nil"/>
              <w:left w:val="single" w:color="auto" w:sz="4" w:space="0"/>
              <w:bottom w:val="single" w:color="auto" w:sz="4" w:space="0"/>
              <w:right w:val="single" w:color="auto" w:sz="4" w:space="0"/>
            </w:tcBorders>
            <w:noWrap/>
            <w:vAlign w:val="center"/>
          </w:tcPr>
          <w:p w14:paraId="22DBC573">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6</w:t>
            </w:r>
          </w:p>
        </w:tc>
        <w:tc>
          <w:tcPr>
            <w:tcW w:w="711" w:type="pct"/>
            <w:tcBorders>
              <w:top w:val="nil"/>
              <w:left w:val="nil"/>
              <w:bottom w:val="single" w:color="auto" w:sz="4" w:space="0"/>
              <w:right w:val="single" w:color="auto" w:sz="4" w:space="0"/>
            </w:tcBorders>
            <w:vAlign w:val="center"/>
          </w:tcPr>
          <w:p w14:paraId="6432A09F">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日常办公设备</w:t>
            </w:r>
          </w:p>
        </w:tc>
        <w:tc>
          <w:tcPr>
            <w:tcW w:w="2907" w:type="pct"/>
            <w:tcBorders>
              <w:top w:val="nil"/>
              <w:left w:val="nil"/>
              <w:bottom w:val="single" w:color="auto" w:sz="4" w:space="0"/>
              <w:right w:val="single" w:color="auto" w:sz="4" w:space="0"/>
            </w:tcBorders>
            <w:vAlign w:val="center"/>
          </w:tcPr>
          <w:p w14:paraId="0548D76C">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管理集团日常办公中常用的设备，如建立打印机、台式电脑、平板、大屏显示器、会议系统等的台账，记录其型号、使用部门、购置时间、资产名称、资产编号等信息</w:t>
            </w:r>
          </w:p>
        </w:tc>
        <w:tc>
          <w:tcPr>
            <w:tcW w:w="461" w:type="pct"/>
            <w:tcBorders>
              <w:top w:val="nil"/>
              <w:left w:val="nil"/>
              <w:bottom w:val="single" w:color="auto" w:sz="4" w:space="0"/>
              <w:right w:val="single" w:color="auto" w:sz="4" w:space="0"/>
            </w:tcBorders>
            <w:vAlign w:val="center"/>
          </w:tcPr>
          <w:p w14:paraId="567CEDAD">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262" w:type="pct"/>
            <w:tcBorders>
              <w:top w:val="nil"/>
              <w:left w:val="nil"/>
              <w:bottom w:val="single" w:color="auto" w:sz="4" w:space="0"/>
              <w:right w:val="single" w:color="auto" w:sz="4" w:space="0"/>
            </w:tcBorders>
            <w:vAlign w:val="center"/>
          </w:tcPr>
          <w:p w14:paraId="11B6DC78">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394" w:type="pct"/>
            <w:tcBorders>
              <w:top w:val="nil"/>
              <w:left w:val="nil"/>
              <w:bottom w:val="single" w:color="auto" w:sz="4" w:space="0"/>
              <w:right w:val="single" w:color="auto" w:sz="4" w:space="0"/>
            </w:tcBorders>
            <w:vAlign w:val="center"/>
          </w:tcPr>
          <w:p w14:paraId="2F349A2C">
            <w:pPr>
              <w:spacing w:after="0" w:line="240" w:lineRule="auto"/>
              <w:ind w:firstLine="0" w:firstLineChars="0"/>
              <w:jc w:val="left"/>
              <w:rPr>
                <w:rFonts w:hint="eastAsia" w:ascii="宋体" w:hAnsi="宋体" w:cs="宋体"/>
                <w:b/>
                <w:bCs/>
                <w:kern w:val="0"/>
                <w:sz w:val="22"/>
                <w:szCs w:val="22"/>
              </w:rPr>
            </w:pPr>
            <w:r>
              <w:rPr>
                <w:rFonts w:hint="eastAsia" w:ascii="宋体" w:hAnsi="宋体" w:cs="宋体"/>
                <w:b/>
                <w:bCs/>
                <w:kern w:val="0"/>
                <w:sz w:val="22"/>
                <w:szCs w:val="22"/>
              </w:rPr>
              <w:t>　</w:t>
            </w:r>
          </w:p>
        </w:tc>
      </w:tr>
      <w:tr w14:paraId="73DEB52B">
        <w:tblPrEx>
          <w:tblCellMar>
            <w:top w:w="0" w:type="dxa"/>
            <w:left w:w="108" w:type="dxa"/>
            <w:bottom w:w="0" w:type="dxa"/>
            <w:right w:w="108" w:type="dxa"/>
          </w:tblCellMar>
        </w:tblPrEx>
        <w:trPr>
          <w:trHeight w:val="560" w:hRule="atLeast"/>
        </w:trPr>
        <w:tc>
          <w:tcPr>
            <w:tcW w:w="262" w:type="pct"/>
            <w:tcBorders>
              <w:top w:val="nil"/>
              <w:left w:val="single" w:color="auto" w:sz="4" w:space="0"/>
              <w:bottom w:val="single" w:color="auto" w:sz="4" w:space="0"/>
              <w:right w:val="single" w:color="auto" w:sz="4" w:space="0"/>
            </w:tcBorders>
            <w:noWrap/>
            <w:vAlign w:val="center"/>
          </w:tcPr>
          <w:p w14:paraId="1DBFA152">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7</w:t>
            </w:r>
          </w:p>
        </w:tc>
        <w:tc>
          <w:tcPr>
            <w:tcW w:w="711" w:type="pct"/>
            <w:tcBorders>
              <w:top w:val="nil"/>
              <w:left w:val="nil"/>
              <w:bottom w:val="single" w:color="auto" w:sz="4" w:space="0"/>
              <w:right w:val="single" w:color="auto" w:sz="4" w:space="0"/>
            </w:tcBorders>
            <w:vAlign w:val="center"/>
          </w:tcPr>
          <w:p w14:paraId="5B9C9084">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技术服务团队</w:t>
            </w:r>
          </w:p>
        </w:tc>
        <w:tc>
          <w:tcPr>
            <w:tcW w:w="2907" w:type="pct"/>
            <w:tcBorders>
              <w:top w:val="nil"/>
              <w:left w:val="nil"/>
              <w:bottom w:val="single" w:color="auto" w:sz="4" w:space="0"/>
              <w:right w:val="single" w:color="auto" w:sz="4" w:space="0"/>
            </w:tcBorders>
            <w:vAlign w:val="center"/>
          </w:tcPr>
          <w:p w14:paraId="20610DF8">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登记技术团队成员、技术方向、联系方式、值班情况等信息，包括外协技术专家（安全专家、网络专家、虚拟化专家等）、供应商技术人员等信息。</w:t>
            </w:r>
          </w:p>
        </w:tc>
        <w:tc>
          <w:tcPr>
            <w:tcW w:w="461" w:type="pct"/>
            <w:tcBorders>
              <w:top w:val="nil"/>
              <w:left w:val="nil"/>
              <w:bottom w:val="single" w:color="auto" w:sz="4" w:space="0"/>
              <w:right w:val="single" w:color="auto" w:sz="4" w:space="0"/>
            </w:tcBorders>
            <w:vAlign w:val="center"/>
          </w:tcPr>
          <w:p w14:paraId="466199CB">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262" w:type="pct"/>
            <w:tcBorders>
              <w:top w:val="nil"/>
              <w:left w:val="nil"/>
              <w:bottom w:val="single" w:color="auto" w:sz="4" w:space="0"/>
              <w:right w:val="single" w:color="auto" w:sz="4" w:space="0"/>
            </w:tcBorders>
            <w:vAlign w:val="center"/>
          </w:tcPr>
          <w:p w14:paraId="2955CB27">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394" w:type="pct"/>
            <w:tcBorders>
              <w:top w:val="nil"/>
              <w:left w:val="nil"/>
              <w:bottom w:val="single" w:color="auto" w:sz="4" w:space="0"/>
              <w:right w:val="single" w:color="auto" w:sz="4" w:space="0"/>
            </w:tcBorders>
            <w:vAlign w:val="center"/>
          </w:tcPr>
          <w:p w14:paraId="5B5F58CE">
            <w:pPr>
              <w:spacing w:after="0" w:line="240" w:lineRule="auto"/>
              <w:ind w:firstLine="0" w:firstLineChars="0"/>
              <w:jc w:val="left"/>
              <w:rPr>
                <w:rFonts w:hint="eastAsia" w:ascii="宋体" w:hAnsi="宋体" w:cs="宋体"/>
                <w:b/>
                <w:bCs/>
                <w:kern w:val="0"/>
                <w:sz w:val="22"/>
                <w:szCs w:val="22"/>
              </w:rPr>
            </w:pPr>
            <w:r>
              <w:rPr>
                <w:rFonts w:hint="eastAsia" w:ascii="宋体" w:hAnsi="宋体" w:cs="宋体"/>
                <w:b/>
                <w:bCs/>
                <w:kern w:val="0"/>
                <w:sz w:val="22"/>
                <w:szCs w:val="22"/>
              </w:rPr>
              <w:t>　</w:t>
            </w:r>
          </w:p>
        </w:tc>
      </w:tr>
      <w:tr w14:paraId="47B31BCC">
        <w:tblPrEx>
          <w:tblCellMar>
            <w:top w:w="0" w:type="dxa"/>
            <w:left w:w="108" w:type="dxa"/>
            <w:bottom w:w="0" w:type="dxa"/>
            <w:right w:w="108" w:type="dxa"/>
          </w:tblCellMar>
        </w:tblPrEx>
        <w:trPr>
          <w:trHeight w:val="280" w:hRule="atLeast"/>
        </w:trPr>
        <w:tc>
          <w:tcPr>
            <w:tcW w:w="262" w:type="pct"/>
            <w:tcBorders>
              <w:top w:val="nil"/>
              <w:left w:val="single" w:color="auto" w:sz="4" w:space="0"/>
              <w:bottom w:val="single" w:color="auto" w:sz="4" w:space="0"/>
              <w:right w:val="single" w:color="auto" w:sz="4" w:space="0"/>
            </w:tcBorders>
            <w:noWrap/>
            <w:vAlign w:val="center"/>
          </w:tcPr>
          <w:p w14:paraId="41D926C3">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8</w:t>
            </w:r>
          </w:p>
        </w:tc>
        <w:tc>
          <w:tcPr>
            <w:tcW w:w="711" w:type="pct"/>
            <w:tcBorders>
              <w:top w:val="nil"/>
              <w:left w:val="nil"/>
              <w:bottom w:val="single" w:color="auto" w:sz="4" w:space="0"/>
              <w:right w:val="single" w:color="auto" w:sz="4" w:space="0"/>
            </w:tcBorders>
            <w:vAlign w:val="center"/>
          </w:tcPr>
          <w:p w14:paraId="42B0CF4C">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资产运维管理</w:t>
            </w:r>
          </w:p>
        </w:tc>
        <w:tc>
          <w:tcPr>
            <w:tcW w:w="2907" w:type="pct"/>
            <w:tcBorders>
              <w:top w:val="nil"/>
              <w:left w:val="nil"/>
              <w:bottom w:val="single" w:color="auto" w:sz="4" w:space="0"/>
              <w:right w:val="single" w:color="auto" w:sz="4" w:space="0"/>
            </w:tcBorders>
            <w:vAlign w:val="center"/>
          </w:tcPr>
          <w:p w14:paraId="140D62E4">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包括迁移管理、故障管理、维保管理等功能模块</w:t>
            </w:r>
          </w:p>
        </w:tc>
        <w:tc>
          <w:tcPr>
            <w:tcW w:w="461" w:type="pct"/>
            <w:tcBorders>
              <w:top w:val="nil"/>
              <w:left w:val="nil"/>
              <w:bottom w:val="single" w:color="auto" w:sz="4" w:space="0"/>
              <w:right w:val="single" w:color="auto" w:sz="4" w:space="0"/>
            </w:tcBorders>
            <w:vAlign w:val="center"/>
          </w:tcPr>
          <w:p w14:paraId="609774DB">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262" w:type="pct"/>
            <w:tcBorders>
              <w:top w:val="nil"/>
              <w:left w:val="nil"/>
              <w:bottom w:val="single" w:color="auto" w:sz="4" w:space="0"/>
              <w:right w:val="single" w:color="auto" w:sz="4" w:space="0"/>
            </w:tcBorders>
            <w:vAlign w:val="center"/>
          </w:tcPr>
          <w:p w14:paraId="2D6ADFF5">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394" w:type="pct"/>
            <w:tcBorders>
              <w:top w:val="nil"/>
              <w:left w:val="nil"/>
              <w:bottom w:val="single" w:color="auto" w:sz="4" w:space="0"/>
              <w:right w:val="single" w:color="auto" w:sz="4" w:space="0"/>
            </w:tcBorders>
            <w:vAlign w:val="center"/>
          </w:tcPr>
          <w:p w14:paraId="781E9124">
            <w:pPr>
              <w:spacing w:after="0" w:line="240" w:lineRule="auto"/>
              <w:ind w:firstLine="0" w:firstLineChars="0"/>
              <w:jc w:val="left"/>
              <w:rPr>
                <w:rFonts w:hint="eastAsia" w:ascii="宋体" w:hAnsi="宋体" w:cs="宋体"/>
                <w:b/>
                <w:bCs/>
                <w:kern w:val="0"/>
                <w:sz w:val="22"/>
                <w:szCs w:val="22"/>
              </w:rPr>
            </w:pPr>
            <w:r>
              <w:rPr>
                <w:rFonts w:hint="eastAsia" w:ascii="宋体" w:hAnsi="宋体" w:cs="宋体"/>
                <w:b/>
                <w:bCs/>
                <w:kern w:val="0"/>
                <w:sz w:val="22"/>
                <w:szCs w:val="22"/>
              </w:rPr>
              <w:t>　</w:t>
            </w:r>
          </w:p>
        </w:tc>
      </w:tr>
      <w:tr w14:paraId="5D352F01">
        <w:tblPrEx>
          <w:tblCellMar>
            <w:top w:w="0" w:type="dxa"/>
            <w:left w:w="108" w:type="dxa"/>
            <w:bottom w:w="0" w:type="dxa"/>
            <w:right w:w="108" w:type="dxa"/>
          </w:tblCellMar>
        </w:tblPrEx>
        <w:trPr>
          <w:trHeight w:val="280" w:hRule="atLeast"/>
        </w:trPr>
        <w:tc>
          <w:tcPr>
            <w:tcW w:w="262" w:type="pct"/>
            <w:tcBorders>
              <w:top w:val="nil"/>
              <w:left w:val="single" w:color="auto" w:sz="4" w:space="0"/>
              <w:bottom w:val="single" w:color="auto" w:sz="4" w:space="0"/>
              <w:right w:val="single" w:color="auto" w:sz="4" w:space="0"/>
            </w:tcBorders>
            <w:noWrap/>
            <w:vAlign w:val="center"/>
          </w:tcPr>
          <w:p w14:paraId="3D3E358E">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9</w:t>
            </w:r>
          </w:p>
        </w:tc>
        <w:tc>
          <w:tcPr>
            <w:tcW w:w="711" w:type="pct"/>
            <w:tcBorders>
              <w:top w:val="nil"/>
              <w:left w:val="nil"/>
              <w:bottom w:val="single" w:color="auto" w:sz="4" w:space="0"/>
              <w:right w:val="single" w:color="auto" w:sz="4" w:space="0"/>
            </w:tcBorders>
            <w:vAlign w:val="center"/>
          </w:tcPr>
          <w:p w14:paraId="16995743">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资产变更管理</w:t>
            </w:r>
          </w:p>
        </w:tc>
        <w:tc>
          <w:tcPr>
            <w:tcW w:w="2907" w:type="pct"/>
            <w:tcBorders>
              <w:top w:val="nil"/>
              <w:left w:val="nil"/>
              <w:bottom w:val="single" w:color="auto" w:sz="4" w:space="0"/>
              <w:right w:val="single" w:color="auto" w:sz="4" w:space="0"/>
            </w:tcBorders>
            <w:vAlign w:val="center"/>
          </w:tcPr>
          <w:p w14:paraId="13B5748B">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包括资源申请审批、机房出入管理、资产变更管理等功能</w:t>
            </w:r>
          </w:p>
        </w:tc>
        <w:tc>
          <w:tcPr>
            <w:tcW w:w="461" w:type="pct"/>
            <w:tcBorders>
              <w:top w:val="nil"/>
              <w:left w:val="nil"/>
              <w:bottom w:val="single" w:color="auto" w:sz="4" w:space="0"/>
              <w:right w:val="single" w:color="auto" w:sz="4" w:space="0"/>
            </w:tcBorders>
            <w:vAlign w:val="center"/>
          </w:tcPr>
          <w:p w14:paraId="3344ABC0">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262" w:type="pct"/>
            <w:tcBorders>
              <w:top w:val="nil"/>
              <w:left w:val="nil"/>
              <w:bottom w:val="single" w:color="auto" w:sz="4" w:space="0"/>
              <w:right w:val="single" w:color="auto" w:sz="4" w:space="0"/>
            </w:tcBorders>
            <w:vAlign w:val="center"/>
          </w:tcPr>
          <w:p w14:paraId="6C7DA184">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394" w:type="pct"/>
            <w:tcBorders>
              <w:top w:val="nil"/>
              <w:left w:val="nil"/>
              <w:bottom w:val="single" w:color="auto" w:sz="4" w:space="0"/>
              <w:right w:val="single" w:color="auto" w:sz="4" w:space="0"/>
            </w:tcBorders>
            <w:vAlign w:val="center"/>
          </w:tcPr>
          <w:p w14:paraId="2AAA2AB5">
            <w:pPr>
              <w:spacing w:after="0" w:line="240" w:lineRule="auto"/>
              <w:ind w:firstLine="0" w:firstLineChars="0"/>
              <w:jc w:val="left"/>
              <w:rPr>
                <w:rFonts w:hint="eastAsia" w:ascii="宋体" w:hAnsi="宋体" w:cs="宋体"/>
                <w:b/>
                <w:bCs/>
                <w:kern w:val="0"/>
                <w:sz w:val="22"/>
                <w:szCs w:val="22"/>
              </w:rPr>
            </w:pPr>
            <w:r>
              <w:rPr>
                <w:rFonts w:hint="eastAsia" w:ascii="宋体" w:hAnsi="宋体" w:cs="宋体"/>
                <w:b/>
                <w:bCs/>
                <w:kern w:val="0"/>
                <w:sz w:val="22"/>
                <w:szCs w:val="22"/>
              </w:rPr>
              <w:t>　</w:t>
            </w:r>
          </w:p>
        </w:tc>
      </w:tr>
      <w:tr w14:paraId="4E687DCB">
        <w:tblPrEx>
          <w:tblCellMar>
            <w:top w:w="0" w:type="dxa"/>
            <w:left w:w="108" w:type="dxa"/>
            <w:bottom w:w="0" w:type="dxa"/>
            <w:right w:w="108" w:type="dxa"/>
          </w:tblCellMar>
        </w:tblPrEx>
        <w:trPr>
          <w:trHeight w:val="280" w:hRule="atLeast"/>
        </w:trPr>
        <w:tc>
          <w:tcPr>
            <w:tcW w:w="262" w:type="pct"/>
            <w:tcBorders>
              <w:top w:val="nil"/>
              <w:left w:val="single" w:color="auto" w:sz="4" w:space="0"/>
              <w:bottom w:val="single" w:color="auto" w:sz="4" w:space="0"/>
              <w:right w:val="single" w:color="auto" w:sz="4" w:space="0"/>
            </w:tcBorders>
            <w:noWrap/>
            <w:vAlign w:val="center"/>
          </w:tcPr>
          <w:p w14:paraId="5C591D9E">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10</w:t>
            </w:r>
          </w:p>
        </w:tc>
        <w:tc>
          <w:tcPr>
            <w:tcW w:w="711" w:type="pct"/>
            <w:tcBorders>
              <w:top w:val="nil"/>
              <w:left w:val="nil"/>
              <w:bottom w:val="single" w:color="auto" w:sz="4" w:space="0"/>
              <w:right w:val="single" w:color="auto" w:sz="4" w:space="0"/>
            </w:tcBorders>
            <w:vAlign w:val="center"/>
          </w:tcPr>
          <w:p w14:paraId="61D21196">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集团资产盘点</w:t>
            </w:r>
          </w:p>
        </w:tc>
        <w:tc>
          <w:tcPr>
            <w:tcW w:w="2907" w:type="pct"/>
            <w:tcBorders>
              <w:top w:val="nil"/>
              <w:left w:val="nil"/>
              <w:bottom w:val="single" w:color="auto" w:sz="4" w:space="0"/>
              <w:right w:val="single" w:color="auto" w:sz="4" w:space="0"/>
            </w:tcBorders>
            <w:vAlign w:val="center"/>
          </w:tcPr>
          <w:p w14:paraId="52F98381">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定期对集团和各园区的信息化资产进行账实核对，形成集团信息化资产台账，资产差异报告、盘点记录留痕。</w:t>
            </w:r>
          </w:p>
        </w:tc>
        <w:tc>
          <w:tcPr>
            <w:tcW w:w="461" w:type="pct"/>
            <w:tcBorders>
              <w:top w:val="nil"/>
              <w:left w:val="nil"/>
              <w:bottom w:val="single" w:color="auto" w:sz="4" w:space="0"/>
              <w:right w:val="single" w:color="auto" w:sz="4" w:space="0"/>
            </w:tcBorders>
            <w:vAlign w:val="center"/>
          </w:tcPr>
          <w:p w14:paraId="4936C7CD">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262" w:type="pct"/>
            <w:tcBorders>
              <w:top w:val="nil"/>
              <w:left w:val="nil"/>
              <w:bottom w:val="single" w:color="auto" w:sz="4" w:space="0"/>
              <w:right w:val="single" w:color="auto" w:sz="4" w:space="0"/>
            </w:tcBorders>
            <w:vAlign w:val="center"/>
          </w:tcPr>
          <w:p w14:paraId="559BD871">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394" w:type="pct"/>
            <w:tcBorders>
              <w:top w:val="nil"/>
              <w:left w:val="nil"/>
              <w:bottom w:val="single" w:color="auto" w:sz="4" w:space="0"/>
              <w:right w:val="single" w:color="auto" w:sz="4" w:space="0"/>
            </w:tcBorders>
            <w:vAlign w:val="center"/>
          </w:tcPr>
          <w:p w14:paraId="56CB4024">
            <w:pPr>
              <w:spacing w:after="0" w:line="240" w:lineRule="auto"/>
              <w:ind w:firstLine="0" w:firstLineChars="0"/>
              <w:jc w:val="left"/>
              <w:rPr>
                <w:rFonts w:hint="eastAsia" w:ascii="宋体" w:hAnsi="宋体" w:cs="宋体"/>
                <w:b/>
                <w:bCs/>
                <w:kern w:val="0"/>
                <w:sz w:val="22"/>
                <w:szCs w:val="22"/>
              </w:rPr>
            </w:pPr>
            <w:r>
              <w:rPr>
                <w:rFonts w:hint="eastAsia" w:ascii="宋体" w:hAnsi="宋体" w:cs="宋体"/>
                <w:b/>
                <w:bCs/>
                <w:kern w:val="0"/>
                <w:sz w:val="22"/>
                <w:szCs w:val="22"/>
              </w:rPr>
              <w:t>　</w:t>
            </w:r>
          </w:p>
        </w:tc>
      </w:tr>
    </w:tbl>
    <w:p w14:paraId="11AA45A7">
      <w:pPr>
        <w:pStyle w:val="446"/>
        <w:ind w:firstLine="480"/>
        <w:rPr>
          <w:rFonts w:hint="eastAsia"/>
        </w:rPr>
      </w:pPr>
    </w:p>
    <w:p w14:paraId="5916BEC1">
      <w:pPr>
        <w:widowControl w:val="0"/>
        <w:numPr>
          <w:ilvl w:val="0"/>
          <w:numId w:val="7"/>
        </w:numPr>
        <w:autoSpaceDE w:val="0"/>
        <w:autoSpaceDN w:val="0"/>
        <w:adjustRightInd w:val="0"/>
        <w:snapToGrid w:val="0"/>
        <w:spacing w:after="0"/>
        <w:ind w:firstLineChars="0"/>
        <w:jc w:val="left"/>
        <w:outlineLvl w:val="2"/>
        <w:rPr>
          <w:rFonts w:hint="eastAsia" w:ascii="宋体" w:hAnsi="宋体"/>
          <w:b/>
          <w:bCs/>
          <w:szCs w:val="21"/>
        </w:rPr>
      </w:pPr>
      <w:r>
        <w:rPr>
          <w:rFonts w:hint="eastAsia" w:ascii="宋体" w:hAnsi="宋体"/>
          <w:b/>
          <w:bCs/>
          <w:szCs w:val="21"/>
        </w:rPr>
        <w:t>数据要素赋能</w:t>
      </w:r>
    </w:p>
    <w:p w14:paraId="7BA83C9A">
      <w:pPr>
        <w:pStyle w:val="17"/>
        <w:keepNext/>
        <w:ind w:firstLine="400"/>
        <w:jc w:val="center"/>
        <w:rPr>
          <w:rFonts w:hint="eastAsia" w:ascii="宋体" w:hAnsi="宋体" w:eastAsia="宋体"/>
        </w:rPr>
      </w:pPr>
      <w:r>
        <w:rPr>
          <w:rFonts w:hint="eastAsia" w:ascii="宋体" w:hAnsi="宋体" w:eastAsia="宋体"/>
        </w:rPr>
        <w:t xml:space="preserve">表 </w:t>
      </w:r>
      <w:r>
        <w:rPr>
          <w:rFonts w:ascii="宋体" w:hAnsi="宋体" w:eastAsia="宋体"/>
        </w:rPr>
        <w:fldChar w:fldCharType="begin"/>
      </w:r>
      <w:r>
        <w:rPr>
          <w:rFonts w:ascii="宋体" w:hAnsi="宋体" w:eastAsia="宋体"/>
        </w:rPr>
        <w:instrText xml:space="preserve"> </w:instrText>
      </w:r>
      <w:r>
        <w:rPr>
          <w:rFonts w:hint="eastAsia" w:ascii="宋体" w:hAnsi="宋体" w:eastAsia="宋体"/>
        </w:rPr>
        <w:instrText xml:space="preserve">SEQ 表 \* ARABIC</w:instrText>
      </w:r>
      <w:r>
        <w:rPr>
          <w:rFonts w:ascii="宋体" w:hAnsi="宋体" w:eastAsia="宋体"/>
        </w:rPr>
        <w:instrText xml:space="preserve"> </w:instrText>
      </w:r>
      <w:r>
        <w:rPr>
          <w:rFonts w:ascii="宋体" w:hAnsi="宋体" w:eastAsia="宋体"/>
        </w:rPr>
        <w:fldChar w:fldCharType="separate"/>
      </w:r>
      <w:r>
        <w:rPr>
          <w:rFonts w:hint="eastAsia" w:ascii="宋体" w:hAnsi="宋体" w:eastAsia="宋体"/>
        </w:rPr>
        <w:t>2</w:t>
      </w:r>
      <w:r>
        <w:rPr>
          <w:rFonts w:ascii="宋体" w:hAnsi="宋体" w:eastAsia="宋体"/>
        </w:rPr>
        <w:fldChar w:fldCharType="end"/>
      </w:r>
      <w:r>
        <w:rPr>
          <w:rFonts w:hint="eastAsia" w:ascii="宋体" w:hAnsi="宋体" w:eastAsia="宋体"/>
        </w:rPr>
        <w:t>数据要素赋能建设清单</w:t>
      </w:r>
    </w:p>
    <w:tbl>
      <w:tblPr>
        <w:tblStyle w:val="54"/>
        <w:tblW w:w="5000" w:type="pct"/>
        <w:tblInd w:w="0" w:type="dxa"/>
        <w:tblLayout w:type="autofit"/>
        <w:tblCellMar>
          <w:top w:w="0" w:type="dxa"/>
          <w:left w:w="108" w:type="dxa"/>
          <w:bottom w:w="0" w:type="dxa"/>
          <w:right w:w="108" w:type="dxa"/>
        </w:tblCellMar>
      </w:tblPr>
      <w:tblGrid>
        <w:gridCol w:w="462"/>
        <w:gridCol w:w="1882"/>
        <w:gridCol w:w="3145"/>
        <w:gridCol w:w="653"/>
        <w:gridCol w:w="655"/>
        <w:gridCol w:w="1725"/>
      </w:tblGrid>
      <w:tr w14:paraId="7635B920">
        <w:trPr>
          <w:trHeight w:val="280" w:hRule="atLeast"/>
          <w:tblHeader/>
        </w:trPr>
        <w:tc>
          <w:tcPr>
            <w:tcW w:w="271" w:type="pct"/>
            <w:tcBorders>
              <w:top w:val="single" w:color="auto" w:sz="4" w:space="0"/>
              <w:left w:val="single" w:color="auto" w:sz="4" w:space="0"/>
              <w:bottom w:val="single" w:color="auto" w:sz="4" w:space="0"/>
              <w:right w:val="single" w:color="auto" w:sz="4" w:space="0"/>
            </w:tcBorders>
            <w:vAlign w:val="center"/>
          </w:tcPr>
          <w:p w14:paraId="3E97AE59">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序号</w:t>
            </w:r>
          </w:p>
        </w:tc>
        <w:tc>
          <w:tcPr>
            <w:tcW w:w="1104" w:type="pct"/>
            <w:tcBorders>
              <w:top w:val="single" w:color="auto" w:sz="4" w:space="0"/>
              <w:left w:val="nil"/>
              <w:bottom w:val="single" w:color="auto" w:sz="4" w:space="0"/>
              <w:right w:val="single" w:color="auto" w:sz="4" w:space="0"/>
            </w:tcBorders>
            <w:vAlign w:val="center"/>
          </w:tcPr>
          <w:p w14:paraId="5C08566F">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名称</w:t>
            </w:r>
          </w:p>
        </w:tc>
        <w:tc>
          <w:tcPr>
            <w:tcW w:w="1845" w:type="pct"/>
            <w:tcBorders>
              <w:top w:val="single" w:color="auto" w:sz="4" w:space="0"/>
              <w:left w:val="nil"/>
              <w:bottom w:val="single" w:color="auto" w:sz="4" w:space="0"/>
              <w:right w:val="single" w:color="auto" w:sz="4" w:space="0"/>
            </w:tcBorders>
            <w:vAlign w:val="center"/>
          </w:tcPr>
          <w:p w14:paraId="46E8D2D1">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规格</w:t>
            </w:r>
          </w:p>
        </w:tc>
        <w:tc>
          <w:tcPr>
            <w:tcW w:w="383" w:type="pct"/>
            <w:tcBorders>
              <w:top w:val="single" w:color="auto" w:sz="4" w:space="0"/>
              <w:left w:val="nil"/>
              <w:bottom w:val="single" w:color="auto" w:sz="4" w:space="0"/>
              <w:right w:val="single" w:color="auto" w:sz="4" w:space="0"/>
            </w:tcBorders>
            <w:vAlign w:val="center"/>
          </w:tcPr>
          <w:p w14:paraId="6CEC6461">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数量</w:t>
            </w:r>
          </w:p>
        </w:tc>
        <w:tc>
          <w:tcPr>
            <w:tcW w:w="384" w:type="pct"/>
            <w:tcBorders>
              <w:top w:val="single" w:color="auto" w:sz="4" w:space="0"/>
              <w:left w:val="nil"/>
              <w:bottom w:val="single" w:color="auto" w:sz="4" w:space="0"/>
              <w:right w:val="single" w:color="auto" w:sz="4" w:space="0"/>
            </w:tcBorders>
            <w:vAlign w:val="center"/>
          </w:tcPr>
          <w:p w14:paraId="43D3CFE1">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单位</w:t>
            </w:r>
          </w:p>
        </w:tc>
        <w:tc>
          <w:tcPr>
            <w:tcW w:w="1012" w:type="pct"/>
            <w:tcBorders>
              <w:top w:val="single" w:color="auto" w:sz="4" w:space="0"/>
              <w:left w:val="nil"/>
              <w:bottom w:val="single" w:color="auto" w:sz="4" w:space="0"/>
              <w:right w:val="single" w:color="auto" w:sz="4" w:space="0"/>
            </w:tcBorders>
            <w:vAlign w:val="center"/>
          </w:tcPr>
          <w:p w14:paraId="2FDAC148">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备注</w:t>
            </w:r>
          </w:p>
        </w:tc>
      </w:tr>
      <w:tr w14:paraId="008B8C08">
        <w:trPr>
          <w:trHeight w:val="280" w:hRule="atLeast"/>
        </w:trPr>
        <w:tc>
          <w:tcPr>
            <w:tcW w:w="271" w:type="pct"/>
            <w:tcBorders>
              <w:top w:val="nil"/>
              <w:left w:val="single" w:color="auto" w:sz="4" w:space="0"/>
              <w:bottom w:val="single" w:color="auto" w:sz="4" w:space="0"/>
              <w:right w:val="single" w:color="auto" w:sz="4" w:space="0"/>
            </w:tcBorders>
            <w:vAlign w:val="center"/>
          </w:tcPr>
          <w:p w14:paraId="060BF5E4">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一</w:t>
            </w:r>
          </w:p>
        </w:tc>
        <w:tc>
          <w:tcPr>
            <w:tcW w:w="3716" w:type="pct"/>
            <w:gridSpan w:val="4"/>
            <w:tcBorders>
              <w:top w:val="single" w:color="auto" w:sz="4" w:space="0"/>
              <w:left w:val="nil"/>
              <w:bottom w:val="single" w:color="auto" w:sz="4" w:space="0"/>
              <w:right w:val="single" w:color="auto" w:sz="4" w:space="0"/>
            </w:tcBorders>
            <w:vAlign w:val="center"/>
          </w:tcPr>
          <w:p w14:paraId="13E4E9A6">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数据治理体系服务</w:t>
            </w:r>
          </w:p>
        </w:tc>
        <w:tc>
          <w:tcPr>
            <w:tcW w:w="1012" w:type="pct"/>
            <w:tcBorders>
              <w:top w:val="nil"/>
              <w:left w:val="nil"/>
              <w:bottom w:val="single" w:color="auto" w:sz="4" w:space="0"/>
              <w:right w:val="single" w:color="auto" w:sz="4" w:space="0"/>
            </w:tcBorders>
            <w:noWrap/>
            <w:vAlign w:val="center"/>
          </w:tcPr>
          <w:p w14:paraId="4FE43329">
            <w:pPr>
              <w:spacing w:after="0" w:line="240" w:lineRule="auto"/>
              <w:ind w:firstLine="0" w:firstLineChars="0"/>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4F214001">
        <w:trPr>
          <w:trHeight w:val="560" w:hRule="atLeast"/>
        </w:trPr>
        <w:tc>
          <w:tcPr>
            <w:tcW w:w="271" w:type="pct"/>
            <w:tcBorders>
              <w:top w:val="nil"/>
              <w:left w:val="single" w:color="auto" w:sz="4" w:space="0"/>
              <w:bottom w:val="single" w:color="auto" w:sz="4" w:space="0"/>
              <w:right w:val="single" w:color="auto" w:sz="4" w:space="0"/>
            </w:tcBorders>
            <w:noWrap/>
            <w:vAlign w:val="center"/>
          </w:tcPr>
          <w:p w14:paraId="0487C41C">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1104" w:type="pct"/>
            <w:tcBorders>
              <w:top w:val="nil"/>
              <w:left w:val="nil"/>
              <w:bottom w:val="single" w:color="auto" w:sz="4" w:space="0"/>
              <w:right w:val="single" w:color="auto" w:sz="4" w:space="0"/>
            </w:tcBorders>
            <w:vAlign w:val="center"/>
          </w:tcPr>
          <w:p w14:paraId="677B184C">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制度规范建设服务</w:t>
            </w:r>
          </w:p>
        </w:tc>
        <w:tc>
          <w:tcPr>
            <w:tcW w:w="1845" w:type="pct"/>
            <w:tcBorders>
              <w:top w:val="nil"/>
              <w:left w:val="nil"/>
              <w:bottom w:val="single" w:color="auto" w:sz="4" w:space="0"/>
              <w:right w:val="single" w:color="auto" w:sz="4" w:space="0"/>
            </w:tcBorders>
            <w:vAlign w:val="center"/>
          </w:tcPr>
          <w:p w14:paraId="786014CC">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提供数据标准规范、数据管理规范、数据安全规范、数据治理规范、数据质量规范、综合管理规范等服务</w:t>
            </w:r>
          </w:p>
        </w:tc>
        <w:tc>
          <w:tcPr>
            <w:tcW w:w="383" w:type="pct"/>
            <w:tcBorders>
              <w:top w:val="nil"/>
              <w:left w:val="nil"/>
              <w:bottom w:val="single" w:color="auto" w:sz="4" w:space="0"/>
              <w:right w:val="single" w:color="auto" w:sz="4" w:space="0"/>
            </w:tcBorders>
            <w:vAlign w:val="center"/>
          </w:tcPr>
          <w:p w14:paraId="190ADA5C">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　</w:t>
            </w:r>
          </w:p>
        </w:tc>
        <w:tc>
          <w:tcPr>
            <w:tcW w:w="384" w:type="pct"/>
            <w:tcBorders>
              <w:top w:val="nil"/>
              <w:left w:val="nil"/>
              <w:bottom w:val="single" w:color="auto" w:sz="4" w:space="0"/>
              <w:right w:val="single" w:color="auto" w:sz="4" w:space="0"/>
            </w:tcBorders>
            <w:vAlign w:val="center"/>
          </w:tcPr>
          <w:p w14:paraId="5067C5D3">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　</w:t>
            </w:r>
          </w:p>
        </w:tc>
        <w:tc>
          <w:tcPr>
            <w:tcW w:w="1012" w:type="pct"/>
            <w:tcBorders>
              <w:top w:val="nil"/>
              <w:left w:val="nil"/>
              <w:bottom w:val="single" w:color="auto" w:sz="4" w:space="0"/>
              <w:right w:val="single" w:color="auto" w:sz="4" w:space="0"/>
            </w:tcBorders>
            <w:vAlign w:val="center"/>
          </w:tcPr>
          <w:p w14:paraId="381D17A7">
            <w:pPr>
              <w:spacing w:after="0" w:line="240" w:lineRule="auto"/>
              <w:ind w:firstLine="0" w:firstLineChars="0"/>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43B3B488">
        <w:trPr>
          <w:trHeight w:val="560" w:hRule="atLeast"/>
        </w:trPr>
        <w:tc>
          <w:tcPr>
            <w:tcW w:w="271" w:type="pct"/>
            <w:tcBorders>
              <w:top w:val="nil"/>
              <w:left w:val="single" w:color="auto" w:sz="4" w:space="0"/>
              <w:bottom w:val="single" w:color="auto" w:sz="4" w:space="0"/>
              <w:right w:val="single" w:color="auto" w:sz="4" w:space="0"/>
            </w:tcBorders>
            <w:noWrap/>
            <w:vAlign w:val="center"/>
          </w:tcPr>
          <w:p w14:paraId="49A13423">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2</w:t>
            </w:r>
          </w:p>
        </w:tc>
        <w:tc>
          <w:tcPr>
            <w:tcW w:w="1104" w:type="pct"/>
            <w:tcBorders>
              <w:top w:val="nil"/>
              <w:left w:val="nil"/>
              <w:bottom w:val="single" w:color="auto" w:sz="4" w:space="0"/>
              <w:right w:val="single" w:color="auto" w:sz="4" w:space="0"/>
            </w:tcBorders>
            <w:vAlign w:val="center"/>
          </w:tcPr>
          <w:p w14:paraId="485A1162">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数据治理实施服务</w:t>
            </w:r>
          </w:p>
        </w:tc>
        <w:tc>
          <w:tcPr>
            <w:tcW w:w="1845" w:type="pct"/>
            <w:tcBorders>
              <w:top w:val="nil"/>
              <w:left w:val="nil"/>
              <w:bottom w:val="single" w:color="auto" w:sz="4" w:space="0"/>
              <w:right w:val="single" w:color="auto" w:sz="4" w:space="0"/>
            </w:tcBorders>
            <w:vAlign w:val="center"/>
          </w:tcPr>
          <w:p w14:paraId="6E3959AA">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提供数据治理需求调研、标准化治理服务流程、数据治理规划与设计、数据治理实施服务</w:t>
            </w:r>
            <w:r>
              <w:rPr>
                <w:rFonts w:hint="eastAsia" w:ascii="宋体" w:hAnsi="宋体" w:cs="宋体"/>
                <w:kern w:val="0"/>
                <w:sz w:val="22"/>
                <w:szCs w:val="22"/>
                <w:lang w:eastAsia="zh-CN"/>
              </w:rPr>
              <w:t>，</w:t>
            </w:r>
            <w:r>
              <w:rPr>
                <w:rFonts w:hint="eastAsia" w:ascii="宋体" w:hAnsi="宋体" w:cs="宋体"/>
                <w:kern w:val="0"/>
                <w:sz w:val="22"/>
                <w:szCs w:val="22"/>
                <w:lang w:val="en-US" w:eastAsia="zh-CN"/>
              </w:rPr>
              <w:t>基于现有数据中台将原有信息化系统及本次新建系统的有效数据分类归集，以满足可视化展示要求。</w:t>
            </w:r>
          </w:p>
        </w:tc>
        <w:tc>
          <w:tcPr>
            <w:tcW w:w="383" w:type="pct"/>
            <w:tcBorders>
              <w:top w:val="nil"/>
              <w:left w:val="nil"/>
              <w:bottom w:val="single" w:color="auto" w:sz="4" w:space="0"/>
              <w:right w:val="single" w:color="auto" w:sz="4" w:space="0"/>
            </w:tcBorders>
            <w:vAlign w:val="center"/>
          </w:tcPr>
          <w:p w14:paraId="0859ABF9">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　</w:t>
            </w:r>
          </w:p>
        </w:tc>
        <w:tc>
          <w:tcPr>
            <w:tcW w:w="384" w:type="pct"/>
            <w:tcBorders>
              <w:top w:val="nil"/>
              <w:left w:val="nil"/>
              <w:bottom w:val="single" w:color="auto" w:sz="4" w:space="0"/>
              <w:right w:val="single" w:color="auto" w:sz="4" w:space="0"/>
            </w:tcBorders>
            <w:vAlign w:val="center"/>
          </w:tcPr>
          <w:p w14:paraId="732732BD">
            <w:pPr>
              <w:spacing w:after="0" w:line="240" w:lineRule="auto"/>
              <w:ind w:firstLine="0" w:firstLineChars="0"/>
              <w:jc w:val="both"/>
              <w:rPr>
                <w:rFonts w:hint="eastAsia" w:ascii="宋体" w:hAnsi="宋体" w:cs="宋体"/>
                <w:kern w:val="0"/>
                <w:sz w:val="22"/>
                <w:szCs w:val="22"/>
              </w:rPr>
            </w:pPr>
            <w:r>
              <w:rPr>
                <w:rFonts w:hint="eastAsia" w:ascii="宋体" w:hAnsi="宋体" w:cs="宋体"/>
                <w:kern w:val="0"/>
                <w:sz w:val="22"/>
                <w:szCs w:val="22"/>
              </w:rPr>
              <w:t>项</w:t>
            </w:r>
          </w:p>
        </w:tc>
        <w:tc>
          <w:tcPr>
            <w:tcW w:w="1012" w:type="pct"/>
            <w:tcBorders>
              <w:top w:val="nil"/>
              <w:left w:val="nil"/>
              <w:bottom w:val="single" w:color="auto" w:sz="4" w:space="0"/>
              <w:right w:val="single" w:color="auto" w:sz="4" w:space="0"/>
            </w:tcBorders>
            <w:vAlign w:val="center"/>
          </w:tcPr>
          <w:p w14:paraId="41D28135">
            <w:pPr>
              <w:spacing w:after="0" w:line="240" w:lineRule="auto"/>
              <w:ind w:firstLine="0" w:firstLineChars="0"/>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49EDD98B">
        <w:trPr>
          <w:trHeight w:val="280" w:hRule="atLeast"/>
        </w:trPr>
        <w:tc>
          <w:tcPr>
            <w:tcW w:w="271" w:type="pct"/>
            <w:tcBorders>
              <w:top w:val="nil"/>
              <w:left w:val="single" w:color="auto" w:sz="4" w:space="0"/>
              <w:bottom w:val="single" w:color="auto" w:sz="4" w:space="0"/>
              <w:right w:val="single" w:color="auto" w:sz="4" w:space="0"/>
            </w:tcBorders>
            <w:noWrap/>
            <w:vAlign w:val="center"/>
          </w:tcPr>
          <w:p w14:paraId="60219CEC">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二</w:t>
            </w:r>
          </w:p>
        </w:tc>
        <w:tc>
          <w:tcPr>
            <w:tcW w:w="3716" w:type="pct"/>
            <w:gridSpan w:val="4"/>
            <w:tcBorders>
              <w:top w:val="single" w:color="auto" w:sz="4" w:space="0"/>
              <w:left w:val="nil"/>
              <w:bottom w:val="single" w:color="auto" w:sz="4" w:space="0"/>
              <w:right w:val="single" w:color="auto" w:sz="4" w:space="0"/>
            </w:tcBorders>
            <w:vAlign w:val="center"/>
          </w:tcPr>
          <w:p w14:paraId="048DE992">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数据资产应用门户平台</w:t>
            </w:r>
          </w:p>
        </w:tc>
        <w:tc>
          <w:tcPr>
            <w:tcW w:w="1012" w:type="pct"/>
            <w:tcBorders>
              <w:top w:val="nil"/>
              <w:left w:val="nil"/>
              <w:bottom w:val="single" w:color="auto" w:sz="4" w:space="0"/>
              <w:right w:val="single" w:color="auto" w:sz="4" w:space="0"/>
            </w:tcBorders>
            <w:noWrap/>
            <w:vAlign w:val="center"/>
          </w:tcPr>
          <w:p w14:paraId="534645BA">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0BC6A17D">
        <w:trPr>
          <w:trHeight w:val="280" w:hRule="atLeast"/>
        </w:trPr>
        <w:tc>
          <w:tcPr>
            <w:tcW w:w="271" w:type="pct"/>
            <w:tcBorders>
              <w:top w:val="nil"/>
              <w:left w:val="single" w:color="auto" w:sz="4" w:space="0"/>
              <w:bottom w:val="single" w:color="auto" w:sz="4" w:space="0"/>
              <w:right w:val="single" w:color="auto" w:sz="4" w:space="0"/>
            </w:tcBorders>
            <w:noWrap/>
            <w:vAlign w:val="center"/>
          </w:tcPr>
          <w:p w14:paraId="44BF95B1">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1104" w:type="pct"/>
            <w:tcBorders>
              <w:top w:val="nil"/>
              <w:left w:val="nil"/>
              <w:bottom w:val="single" w:color="auto" w:sz="4" w:space="0"/>
              <w:right w:val="single" w:color="auto" w:sz="4" w:space="0"/>
            </w:tcBorders>
            <w:vAlign w:val="center"/>
          </w:tcPr>
          <w:p w14:paraId="04DE8C3C">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企业资料管理</w:t>
            </w:r>
          </w:p>
        </w:tc>
        <w:tc>
          <w:tcPr>
            <w:tcW w:w="1845" w:type="pct"/>
            <w:tcBorders>
              <w:top w:val="nil"/>
              <w:left w:val="nil"/>
              <w:bottom w:val="single" w:color="auto" w:sz="4" w:space="0"/>
              <w:right w:val="single" w:color="auto" w:sz="4" w:space="0"/>
            </w:tcBorders>
            <w:vAlign w:val="center"/>
          </w:tcPr>
          <w:p w14:paraId="68B6809C">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包括基础信息管理、关联主体管理等功能模块</w:t>
            </w:r>
          </w:p>
        </w:tc>
        <w:tc>
          <w:tcPr>
            <w:tcW w:w="383" w:type="pct"/>
            <w:tcBorders>
              <w:top w:val="nil"/>
              <w:left w:val="nil"/>
              <w:bottom w:val="single" w:color="auto" w:sz="4" w:space="0"/>
              <w:right w:val="single" w:color="auto" w:sz="4" w:space="0"/>
            </w:tcBorders>
            <w:vAlign w:val="center"/>
          </w:tcPr>
          <w:p w14:paraId="3C70BDF5">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384" w:type="pct"/>
            <w:tcBorders>
              <w:top w:val="nil"/>
              <w:left w:val="nil"/>
              <w:bottom w:val="single" w:color="auto" w:sz="4" w:space="0"/>
              <w:right w:val="single" w:color="auto" w:sz="4" w:space="0"/>
            </w:tcBorders>
            <w:vAlign w:val="center"/>
          </w:tcPr>
          <w:p w14:paraId="4C343F50">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1012" w:type="pct"/>
            <w:tcBorders>
              <w:top w:val="nil"/>
              <w:left w:val="nil"/>
              <w:bottom w:val="single" w:color="auto" w:sz="4" w:space="0"/>
              <w:right w:val="single" w:color="auto" w:sz="4" w:space="0"/>
            </w:tcBorders>
            <w:vAlign w:val="center"/>
          </w:tcPr>
          <w:p w14:paraId="0B6DBBB4">
            <w:pPr>
              <w:spacing w:after="0" w:line="240" w:lineRule="auto"/>
              <w:ind w:firstLine="0" w:firstLineChars="0"/>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15EC21DA">
        <w:trPr>
          <w:trHeight w:val="1120" w:hRule="atLeast"/>
        </w:trPr>
        <w:tc>
          <w:tcPr>
            <w:tcW w:w="271" w:type="pct"/>
            <w:tcBorders>
              <w:top w:val="nil"/>
              <w:left w:val="single" w:color="auto" w:sz="4" w:space="0"/>
              <w:bottom w:val="single" w:color="auto" w:sz="4" w:space="0"/>
              <w:right w:val="single" w:color="auto" w:sz="4" w:space="0"/>
            </w:tcBorders>
            <w:noWrap/>
            <w:vAlign w:val="center"/>
          </w:tcPr>
          <w:p w14:paraId="5E2DFB9F">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2</w:t>
            </w:r>
          </w:p>
        </w:tc>
        <w:tc>
          <w:tcPr>
            <w:tcW w:w="1104" w:type="pct"/>
            <w:tcBorders>
              <w:top w:val="nil"/>
              <w:left w:val="nil"/>
              <w:bottom w:val="single" w:color="auto" w:sz="4" w:space="0"/>
              <w:right w:val="single" w:color="auto" w:sz="4" w:space="0"/>
            </w:tcBorders>
            <w:vAlign w:val="center"/>
          </w:tcPr>
          <w:p w14:paraId="251AD9FB">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资料归档管理</w:t>
            </w:r>
          </w:p>
        </w:tc>
        <w:tc>
          <w:tcPr>
            <w:tcW w:w="1845" w:type="pct"/>
            <w:tcBorders>
              <w:top w:val="nil"/>
              <w:left w:val="nil"/>
              <w:bottom w:val="single" w:color="auto" w:sz="4" w:space="0"/>
              <w:right w:val="single" w:color="auto" w:sz="4" w:space="0"/>
            </w:tcBorders>
            <w:vAlign w:val="center"/>
          </w:tcPr>
          <w:p w14:paraId="12293626">
            <w:pPr>
              <w:spacing w:after="0" w:line="240" w:lineRule="auto"/>
              <w:ind w:firstLine="0" w:firstLineChars="0"/>
              <w:rPr>
                <w:rFonts w:hint="eastAsia" w:ascii="宋体" w:hAnsi="宋体" w:cs="宋体"/>
                <w:kern w:val="0"/>
                <w:sz w:val="22"/>
                <w:szCs w:val="22"/>
              </w:rPr>
            </w:pPr>
            <w:r>
              <w:rPr>
                <w:rFonts w:hint="eastAsia" w:ascii="宋体" w:hAnsi="宋体" w:cs="宋体"/>
                <w:kern w:val="0"/>
                <w:sz w:val="22"/>
                <w:szCs w:val="22"/>
              </w:rPr>
              <w:t>资料归档管理：按“企业证书、资质文件、合作协议、政策文件、审计报告”分类归档电子资料，支持PDF、Word等格式上传与在线预览，绑定数据资产ID实现“资料-资产”联动查询，留存归档日志满足审计要求</w:t>
            </w:r>
          </w:p>
        </w:tc>
        <w:tc>
          <w:tcPr>
            <w:tcW w:w="383" w:type="pct"/>
            <w:tcBorders>
              <w:top w:val="nil"/>
              <w:left w:val="nil"/>
              <w:bottom w:val="single" w:color="auto" w:sz="4" w:space="0"/>
              <w:right w:val="single" w:color="auto" w:sz="4" w:space="0"/>
            </w:tcBorders>
            <w:vAlign w:val="center"/>
          </w:tcPr>
          <w:p w14:paraId="520EF99D">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384" w:type="pct"/>
            <w:tcBorders>
              <w:top w:val="nil"/>
              <w:left w:val="nil"/>
              <w:bottom w:val="single" w:color="auto" w:sz="4" w:space="0"/>
              <w:right w:val="single" w:color="auto" w:sz="4" w:space="0"/>
            </w:tcBorders>
            <w:vAlign w:val="center"/>
          </w:tcPr>
          <w:p w14:paraId="238AE383">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1012" w:type="pct"/>
            <w:tcBorders>
              <w:top w:val="nil"/>
              <w:left w:val="nil"/>
              <w:bottom w:val="single" w:color="auto" w:sz="4" w:space="0"/>
              <w:right w:val="single" w:color="auto" w:sz="4" w:space="0"/>
            </w:tcBorders>
            <w:vAlign w:val="center"/>
          </w:tcPr>
          <w:p w14:paraId="2246EC83">
            <w:pPr>
              <w:spacing w:after="0" w:line="240" w:lineRule="auto"/>
              <w:ind w:firstLine="0" w:firstLineChars="0"/>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5D0F8B77">
        <w:trPr>
          <w:trHeight w:val="280" w:hRule="atLeast"/>
        </w:trPr>
        <w:tc>
          <w:tcPr>
            <w:tcW w:w="271" w:type="pct"/>
            <w:tcBorders>
              <w:top w:val="nil"/>
              <w:left w:val="single" w:color="auto" w:sz="4" w:space="0"/>
              <w:bottom w:val="single" w:color="auto" w:sz="4" w:space="0"/>
              <w:right w:val="single" w:color="auto" w:sz="4" w:space="0"/>
            </w:tcBorders>
            <w:noWrap/>
            <w:vAlign w:val="center"/>
          </w:tcPr>
          <w:p w14:paraId="1EDB6DE2">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3</w:t>
            </w:r>
          </w:p>
        </w:tc>
        <w:tc>
          <w:tcPr>
            <w:tcW w:w="1104" w:type="pct"/>
            <w:tcBorders>
              <w:top w:val="nil"/>
              <w:left w:val="nil"/>
              <w:bottom w:val="single" w:color="auto" w:sz="4" w:space="0"/>
              <w:right w:val="single" w:color="auto" w:sz="4" w:space="0"/>
            </w:tcBorders>
            <w:vAlign w:val="center"/>
          </w:tcPr>
          <w:p w14:paraId="631327BA">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智能数据治理</w:t>
            </w:r>
          </w:p>
        </w:tc>
        <w:tc>
          <w:tcPr>
            <w:tcW w:w="1845" w:type="pct"/>
            <w:tcBorders>
              <w:top w:val="nil"/>
              <w:left w:val="nil"/>
              <w:bottom w:val="single" w:color="auto" w:sz="4" w:space="0"/>
              <w:right w:val="single" w:color="auto" w:sz="4" w:space="0"/>
            </w:tcBorders>
            <w:vAlign w:val="center"/>
          </w:tcPr>
          <w:p w14:paraId="70E80659">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包括数据盘点录入、敏感信息脱敏、修改编辑删除等功能</w:t>
            </w:r>
          </w:p>
        </w:tc>
        <w:tc>
          <w:tcPr>
            <w:tcW w:w="383" w:type="pct"/>
            <w:tcBorders>
              <w:top w:val="nil"/>
              <w:left w:val="nil"/>
              <w:bottom w:val="single" w:color="auto" w:sz="4" w:space="0"/>
              <w:right w:val="single" w:color="auto" w:sz="4" w:space="0"/>
            </w:tcBorders>
            <w:vAlign w:val="center"/>
          </w:tcPr>
          <w:p w14:paraId="1048873C">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384" w:type="pct"/>
            <w:tcBorders>
              <w:top w:val="nil"/>
              <w:left w:val="nil"/>
              <w:bottom w:val="single" w:color="auto" w:sz="4" w:space="0"/>
              <w:right w:val="single" w:color="auto" w:sz="4" w:space="0"/>
            </w:tcBorders>
            <w:vAlign w:val="center"/>
          </w:tcPr>
          <w:p w14:paraId="4978C8DC">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1012" w:type="pct"/>
            <w:tcBorders>
              <w:top w:val="nil"/>
              <w:left w:val="nil"/>
              <w:bottom w:val="single" w:color="auto" w:sz="4" w:space="0"/>
              <w:right w:val="single" w:color="auto" w:sz="4" w:space="0"/>
            </w:tcBorders>
            <w:vAlign w:val="center"/>
          </w:tcPr>
          <w:p w14:paraId="39BE8560">
            <w:pPr>
              <w:spacing w:after="0" w:line="240" w:lineRule="auto"/>
              <w:ind w:firstLine="0" w:firstLineChars="0"/>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279C02BA">
        <w:trPr>
          <w:trHeight w:val="560" w:hRule="atLeast"/>
        </w:trPr>
        <w:tc>
          <w:tcPr>
            <w:tcW w:w="271" w:type="pct"/>
            <w:tcBorders>
              <w:top w:val="nil"/>
              <w:left w:val="single" w:color="auto" w:sz="4" w:space="0"/>
              <w:bottom w:val="single" w:color="auto" w:sz="4" w:space="0"/>
              <w:right w:val="single" w:color="auto" w:sz="4" w:space="0"/>
            </w:tcBorders>
            <w:noWrap/>
            <w:vAlign w:val="center"/>
          </w:tcPr>
          <w:p w14:paraId="38663B08">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4</w:t>
            </w:r>
          </w:p>
        </w:tc>
        <w:tc>
          <w:tcPr>
            <w:tcW w:w="1104" w:type="pct"/>
            <w:tcBorders>
              <w:top w:val="nil"/>
              <w:left w:val="nil"/>
              <w:bottom w:val="single" w:color="auto" w:sz="4" w:space="0"/>
              <w:right w:val="single" w:color="auto" w:sz="4" w:space="0"/>
            </w:tcBorders>
            <w:vAlign w:val="center"/>
          </w:tcPr>
          <w:p w14:paraId="44F383D6">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数据协同分析</w:t>
            </w:r>
          </w:p>
        </w:tc>
        <w:tc>
          <w:tcPr>
            <w:tcW w:w="1845" w:type="pct"/>
            <w:tcBorders>
              <w:top w:val="nil"/>
              <w:left w:val="nil"/>
              <w:bottom w:val="single" w:color="auto" w:sz="4" w:space="0"/>
              <w:right w:val="single" w:color="auto" w:sz="4" w:space="0"/>
            </w:tcBorders>
            <w:vAlign w:val="center"/>
          </w:tcPr>
          <w:p w14:paraId="4D159217">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包括跨部门看板、元数据管理与分析、数据标签管理、数据分级分类管理等功能</w:t>
            </w:r>
          </w:p>
        </w:tc>
        <w:tc>
          <w:tcPr>
            <w:tcW w:w="383" w:type="pct"/>
            <w:tcBorders>
              <w:top w:val="nil"/>
              <w:left w:val="nil"/>
              <w:bottom w:val="single" w:color="auto" w:sz="4" w:space="0"/>
              <w:right w:val="single" w:color="auto" w:sz="4" w:space="0"/>
            </w:tcBorders>
            <w:vAlign w:val="center"/>
          </w:tcPr>
          <w:p w14:paraId="4F926508">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384" w:type="pct"/>
            <w:tcBorders>
              <w:top w:val="nil"/>
              <w:left w:val="nil"/>
              <w:bottom w:val="single" w:color="auto" w:sz="4" w:space="0"/>
              <w:right w:val="single" w:color="auto" w:sz="4" w:space="0"/>
            </w:tcBorders>
            <w:vAlign w:val="center"/>
          </w:tcPr>
          <w:p w14:paraId="3E3AB43B">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1012" w:type="pct"/>
            <w:tcBorders>
              <w:top w:val="nil"/>
              <w:left w:val="nil"/>
              <w:bottom w:val="single" w:color="auto" w:sz="4" w:space="0"/>
              <w:right w:val="single" w:color="auto" w:sz="4" w:space="0"/>
            </w:tcBorders>
            <w:vAlign w:val="center"/>
          </w:tcPr>
          <w:p w14:paraId="6D210A7B">
            <w:pPr>
              <w:spacing w:after="0" w:line="240" w:lineRule="auto"/>
              <w:ind w:firstLine="0" w:firstLineChars="0"/>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1B0A72DF">
        <w:trPr>
          <w:trHeight w:val="560" w:hRule="atLeast"/>
        </w:trPr>
        <w:tc>
          <w:tcPr>
            <w:tcW w:w="271" w:type="pct"/>
            <w:tcBorders>
              <w:top w:val="nil"/>
              <w:left w:val="single" w:color="auto" w:sz="4" w:space="0"/>
              <w:bottom w:val="single" w:color="auto" w:sz="4" w:space="0"/>
              <w:right w:val="single" w:color="auto" w:sz="4" w:space="0"/>
            </w:tcBorders>
            <w:noWrap/>
            <w:vAlign w:val="center"/>
          </w:tcPr>
          <w:p w14:paraId="27215EBB">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5</w:t>
            </w:r>
          </w:p>
        </w:tc>
        <w:tc>
          <w:tcPr>
            <w:tcW w:w="1104" w:type="pct"/>
            <w:tcBorders>
              <w:top w:val="nil"/>
              <w:left w:val="nil"/>
              <w:bottom w:val="single" w:color="auto" w:sz="4" w:space="0"/>
              <w:right w:val="single" w:color="auto" w:sz="4" w:space="0"/>
            </w:tcBorders>
            <w:vAlign w:val="center"/>
          </w:tcPr>
          <w:p w14:paraId="463BF883">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数据产品管理</w:t>
            </w:r>
          </w:p>
        </w:tc>
        <w:tc>
          <w:tcPr>
            <w:tcW w:w="1845" w:type="pct"/>
            <w:tcBorders>
              <w:top w:val="nil"/>
              <w:left w:val="nil"/>
              <w:bottom w:val="single" w:color="auto" w:sz="4" w:space="0"/>
              <w:right w:val="single" w:color="auto" w:sz="4" w:space="0"/>
            </w:tcBorders>
            <w:vAlign w:val="center"/>
          </w:tcPr>
          <w:p w14:paraId="05B9857F">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包括项目管理、数据集管理、数据工作流管理、数据处理、组件管理、组件市场等功能。</w:t>
            </w:r>
          </w:p>
        </w:tc>
        <w:tc>
          <w:tcPr>
            <w:tcW w:w="383" w:type="pct"/>
            <w:tcBorders>
              <w:top w:val="nil"/>
              <w:left w:val="nil"/>
              <w:bottom w:val="single" w:color="auto" w:sz="4" w:space="0"/>
              <w:right w:val="single" w:color="auto" w:sz="4" w:space="0"/>
            </w:tcBorders>
            <w:vAlign w:val="center"/>
          </w:tcPr>
          <w:p w14:paraId="39430CB0">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384" w:type="pct"/>
            <w:tcBorders>
              <w:top w:val="nil"/>
              <w:left w:val="nil"/>
              <w:bottom w:val="single" w:color="auto" w:sz="4" w:space="0"/>
              <w:right w:val="single" w:color="auto" w:sz="4" w:space="0"/>
            </w:tcBorders>
            <w:vAlign w:val="center"/>
          </w:tcPr>
          <w:p w14:paraId="5C4A9494">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1012" w:type="pct"/>
            <w:tcBorders>
              <w:top w:val="nil"/>
              <w:left w:val="nil"/>
              <w:bottom w:val="single" w:color="auto" w:sz="4" w:space="0"/>
              <w:right w:val="single" w:color="auto" w:sz="4" w:space="0"/>
            </w:tcBorders>
            <w:vAlign w:val="center"/>
          </w:tcPr>
          <w:p w14:paraId="3432C709">
            <w:pPr>
              <w:spacing w:after="0" w:line="240" w:lineRule="auto"/>
              <w:ind w:firstLine="0" w:firstLineChars="0"/>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642B8E8D">
        <w:trPr>
          <w:trHeight w:val="280" w:hRule="atLeast"/>
        </w:trPr>
        <w:tc>
          <w:tcPr>
            <w:tcW w:w="271" w:type="pct"/>
            <w:tcBorders>
              <w:top w:val="nil"/>
              <w:left w:val="single" w:color="auto" w:sz="4" w:space="0"/>
              <w:bottom w:val="single" w:color="auto" w:sz="4" w:space="0"/>
              <w:right w:val="single" w:color="auto" w:sz="4" w:space="0"/>
            </w:tcBorders>
            <w:noWrap/>
            <w:vAlign w:val="center"/>
          </w:tcPr>
          <w:p w14:paraId="7AE59D3D">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6</w:t>
            </w:r>
          </w:p>
        </w:tc>
        <w:tc>
          <w:tcPr>
            <w:tcW w:w="1104" w:type="pct"/>
            <w:tcBorders>
              <w:top w:val="nil"/>
              <w:left w:val="nil"/>
              <w:bottom w:val="single" w:color="auto" w:sz="4" w:space="0"/>
              <w:right w:val="single" w:color="auto" w:sz="4" w:space="0"/>
            </w:tcBorders>
            <w:vAlign w:val="center"/>
          </w:tcPr>
          <w:p w14:paraId="55CE3142">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数据资产评估</w:t>
            </w:r>
          </w:p>
        </w:tc>
        <w:tc>
          <w:tcPr>
            <w:tcW w:w="1845" w:type="pct"/>
            <w:tcBorders>
              <w:top w:val="nil"/>
              <w:left w:val="nil"/>
              <w:bottom w:val="single" w:color="auto" w:sz="4" w:space="0"/>
              <w:right w:val="single" w:color="auto" w:sz="4" w:space="0"/>
            </w:tcBorders>
            <w:vAlign w:val="center"/>
          </w:tcPr>
          <w:p w14:paraId="624493CE">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包括数据资产评估、数据资产评估模型等功能模块。</w:t>
            </w:r>
          </w:p>
        </w:tc>
        <w:tc>
          <w:tcPr>
            <w:tcW w:w="383" w:type="pct"/>
            <w:tcBorders>
              <w:top w:val="nil"/>
              <w:left w:val="nil"/>
              <w:bottom w:val="single" w:color="auto" w:sz="4" w:space="0"/>
              <w:right w:val="single" w:color="auto" w:sz="4" w:space="0"/>
            </w:tcBorders>
            <w:vAlign w:val="center"/>
          </w:tcPr>
          <w:p w14:paraId="7BE73613">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384" w:type="pct"/>
            <w:tcBorders>
              <w:top w:val="nil"/>
              <w:left w:val="nil"/>
              <w:bottom w:val="single" w:color="auto" w:sz="4" w:space="0"/>
              <w:right w:val="single" w:color="auto" w:sz="4" w:space="0"/>
            </w:tcBorders>
            <w:vAlign w:val="center"/>
          </w:tcPr>
          <w:p w14:paraId="70127AD9">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1012" w:type="pct"/>
            <w:tcBorders>
              <w:top w:val="nil"/>
              <w:left w:val="nil"/>
              <w:bottom w:val="single" w:color="auto" w:sz="4" w:space="0"/>
              <w:right w:val="single" w:color="auto" w:sz="4" w:space="0"/>
            </w:tcBorders>
            <w:vAlign w:val="center"/>
          </w:tcPr>
          <w:p w14:paraId="0FFFD218">
            <w:pPr>
              <w:spacing w:after="0" w:line="240" w:lineRule="auto"/>
              <w:ind w:firstLine="0" w:firstLineChars="0"/>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3E3EDEB8">
        <w:trPr>
          <w:trHeight w:val="560" w:hRule="atLeast"/>
        </w:trPr>
        <w:tc>
          <w:tcPr>
            <w:tcW w:w="271" w:type="pct"/>
            <w:tcBorders>
              <w:top w:val="nil"/>
              <w:left w:val="single" w:color="auto" w:sz="4" w:space="0"/>
              <w:bottom w:val="single" w:color="auto" w:sz="4" w:space="0"/>
              <w:right w:val="single" w:color="auto" w:sz="4" w:space="0"/>
            </w:tcBorders>
            <w:noWrap/>
            <w:vAlign w:val="center"/>
          </w:tcPr>
          <w:p w14:paraId="76089B06">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7</w:t>
            </w:r>
          </w:p>
        </w:tc>
        <w:tc>
          <w:tcPr>
            <w:tcW w:w="1104" w:type="pct"/>
            <w:tcBorders>
              <w:top w:val="nil"/>
              <w:left w:val="nil"/>
              <w:bottom w:val="single" w:color="auto" w:sz="4" w:space="0"/>
              <w:right w:val="single" w:color="auto" w:sz="4" w:space="0"/>
            </w:tcBorders>
            <w:vAlign w:val="center"/>
          </w:tcPr>
          <w:p w14:paraId="43303349">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数据资产运营</w:t>
            </w:r>
          </w:p>
        </w:tc>
        <w:tc>
          <w:tcPr>
            <w:tcW w:w="1845" w:type="pct"/>
            <w:tcBorders>
              <w:top w:val="nil"/>
              <w:left w:val="nil"/>
              <w:bottom w:val="single" w:color="auto" w:sz="4" w:space="0"/>
              <w:right w:val="single" w:color="auto" w:sz="4" w:space="0"/>
            </w:tcBorders>
            <w:vAlign w:val="center"/>
          </w:tcPr>
          <w:p w14:paraId="2B2C45F9">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包括运营状态监测、授权管理、各项报告上传、价值优化分析等功能</w:t>
            </w:r>
          </w:p>
        </w:tc>
        <w:tc>
          <w:tcPr>
            <w:tcW w:w="383" w:type="pct"/>
            <w:tcBorders>
              <w:top w:val="nil"/>
              <w:left w:val="nil"/>
              <w:bottom w:val="single" w:color="auto" w:sz="4" w:space="0"/>
              <w:right w:val="single" w:color="auto" w:sz="4" w:space="0"/>
            </w:tcBorders>
            <w:vAlign w:val="center"/>
          </w:tcPr>
          <w:p w14:paraId="5C851BC0">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384" w:type="pct"/>
            <w:tcBorders>
              <w:top w:val="nil"/>
              <w:left w:val="nil"/>
              <w:bottom w:val="single" w:color="auto" w:sz="4" w:space="0"/>
              <w:right w:val="single" w:color="auto" w:sz="4" w:space="0"/>
            </w:tcBorders>
            <w:vAlign w:val="center"/>
          </w:tcPr>
          <w:p w14:paraId="79867AB9">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1012" w:type="pct"/>
            <w:tcBorders>
              <w:top w:val="nil"/>
              <w:left w:val="nil"/>
              <w:bottom w:val="single" w:color="auto" w:sz="4" w:space="0"/>
              <w:right w:val="single" w:color="auto" w:sz="4" w:space="0"/>
            </w:tcBorders>
            <w:vAlign w:val="center"/>
          </w:tcPr>
          <w:p w14:paraId="371F1394">
            <w:pPr>
              <w:spacing w:after="0" w:line="240" w:lineRule="auto"/>
              <w:ind w:firstLine="0" w:firstLineChars="0"/>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5846212A">
        <w:trPr>
          <w:trHeight w:val="840" w:hRule="atLeast"/>
        </w:trPr>
        <w:tc>
          <w:tcPr>
            <w:tcW w:w="271" w:type="pct"/>
            <w:tcBorders>
              <w:top w:val="nil"/>
              <w:left w:val="single" w:color="auto" w:sz="4" w:space="0"/>
              <w:bottom w:val="single" w:color="auto" w:sz="4" w:space="0"/>
              <w:right w:val="single" w:color="auto" w:sz="4" w:space="0"/>
            </w:tcBorders>
            <w:noWrap/>
            <w:vAlign w:val="center"/>
          </w:tcPr>
          <w:p w14:paraId="0CF31D67">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8</w:t>
            </w:r>
          </w:p>
        </w:tc>
        <w:tc>
          <w:tcPr>
            <w:tcW w:w="1104" w:type="pct"/>
            <w:tcBorders>
              <w:top w:val="nil"/>
              <w:left w:val="nil"/>
              <w:bottom w:val="single" w:color="auto" w:sz="4" w:space="0"/>
              <w:right w:val="single" w:color="auto" w:sz="4" w:space="0"/>
            </w:tcBorders>
            <w:vAlign w:val="center"/>
          </w:tcPr>
          <w:p w14:paraId="65BBA2C0">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数据资产应用展示</w:t>
            </w:r>
          </w:p>
        </w:tc>
        <w:tc>
          <w:tcPr>
            <w:tcW w:w="1845" w:type="pct"/>
            <w:tcBorders>
              <w:top w:val="nil"/>
              <w:left w:val="nil"/>
              <w:bottom w:val="single" w:color="auto" w:sz="4" w:space="0"/>
              <w:right w:val="single" w:color="auto" w:sz="4" w:space="0"/>
            </w:tcBorders>
            <w:vAlign w:val="center"/>
          </w:tcPr>
          <w:p w14:paraId="6A5F91A4">
            <w:pPr>
              <w:spacing w:after="0" w:line="240" w:lineRule="auto"/>
              <w:ind w:firstLine="0" w:firstLineChars="0"/>
              <w:rPr>
                <w:rFonts w:hint="eastAsia" w:ascii="宋体" w:hAnsi="宋体" w:cs="宋体"/>
                <w:kern w:val="0"/>
                <w:sz w:val="22"/>
                <w:szCs w:val="22"/>
              </w:rPr>
            </w:pPr>
            <w:r>
              <w:rPr>
                <w:rFonts w:hint="eastAsia" w:ascii="宋体" w:hAnsi="宋体" w:cs="宋体"/>
                <w:kern w:val="0"/>
                <w:sz w:val="22"/>
                <w:szCs w:val="22"/>
              </w:rPr>
              <w:t>优化大屏可视化，同步补齐中屏、小屏的可视化能力建设，展示内容包括但不限于保障房、园区空间资产信息、集团IT资产信息、园区运营信息等。</w:t>
            </w:r>
          </w:p>
        </w:tc>
        <w:tc>
          <w:tcPr>
            <w:tcW w:w="383" w:type="pct"/>
            <w:tcBorders>
              <w:top w:val="nil"/>
              <w:left w:val="nil"/>
              <w:bottom w:val="single" w:color="auto" w:sz="4" w:space="0"/>
              <w:right w:val="single" w:color="auto" w:sz="4" w:space="0"/>
            </w:tcBorders>
            <w:vAlign w:val="center"/>
          </w:tcPr>
          <w:p w14:paraId="6F631E03">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384" w:type="pct"/>
            <w:tcBorders>
              <w:top w:val="nil"/>
              <w:left w:val="nil"/>
              <w:bottom w:val="single" w:color="auto" w:sz="4" w:space="0"/>
              <w:right w:val="single" w:color="auto" w:sz="4" w:space="0"/>
            </w:tcBorders>
            <w:vAlign w:val="center"/>
          </w:tcPr>
          <w:p w14:paraId="48834656">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1012" w:type="pct"/>
            <w:tcBorders>
              <w:top w:val="nil"/>
              <w:left w:val="nil"/>
              <w:bottom w:val="single" w:color="auto" w:sz="4" w:space="0"/>
              <w:right w:val="single" w:color="auto" w:sz="4" w:space="0"/>
            </w:tcBorders>
            <w:vAlign w:val="center"/>
          </w:tcPr>
          <w:p w14:paraId="6F2E24C9">
            <w:pPr>
              <w:spacing w:after="0" w:line="240" w:lineRule="auto"/>
              <w:ind w:firstLine="0" w:firstLineChars="0"/>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4EB4FE20">
        <w:trPr>
          <w:trHeight w:val="280" w:hRule="atLeast"/>
        </w:trPr>
        <w:tc>
          <w:tcPr>
            <w:tcW w:w="271" w:type="pct"/>
            <w:tcBorders>
              <w:top w:val="nil"/>
              <w:left w:val="single" w:color="auto" w:sz="4" w:space="0"/>
              <w:bottom w:val="single" w:color="auto" w:sz="4" w:space="0"/>
              <w:right w:val="single" w:color="auto" w:sz="4" w:space="0"/>
            </w:tcBorders>
            <w:noWrap/>
            <w:vAlign w:val="center"/>
          </w:tcPr>
          <w:p w14:paraId="157322B3">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9</w:t>
            </w:r>
          </w:p>
        </w:tc>
        <w:tc>
          <w:tcPr>
            <w:tcW w:w="1104" w:type="pct"/>
            <w:tcBorders>
              <w:top w:val="nil"/>
              <w:left w:val="nil"/>
              <w:bottom w:val="single" w:color="auto" w:sz="4" w:space="0"/>
              <w:right w:val="single" w:color="auto" w:sz="4" w:space="0"/>
            </w:tcBorders>
            <w:vAlign w:val="center"/>
          </w:tcPr>
          <w:p w14:paraId="7D06E9B7">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数据权限管理</w:t>
            </w:r>
          </w:p>
        </w:tc>
        <w:tc>
          <w:tcPr>
            <w:tcW w:w="1845" w:type="pct"/>
            <w:tcBorders>
              <w:top w:val="nil"/>
              <w:left w:val="nil"/>
              <w:bottom w:val="single" w:color="auto" w:sz="4" w:space="0"/>
              <w:right w:val="single" w:color="auto" w:sz="4" w:space="0"/>
            </w:tcBorders>
            <w:vAlign w:val="center"/>
          </w:tcPr>
          <w:p w14:paraId="0D4116A2">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包括细粒度角色划分、操作权限管控等功能</w:t>
            </w:r>
          </w:p>
        </w:tc>
        <w:tc>
          <w:tcPr>
            <w:tcW w:w="383" w:type="pct"/>
            <w:tcBorders>
              <w:top w:val="nil"/>
              <w:left w:val="nil"/>
              <w:bottom w:val="single" w:color="auto" w:sz="4" w:space="0"/>
              <w:right w:val="single" w:color="auto" w:sz="4" w:space="0"/>
            </w:tcBorders>
            <w:vAlign w:val="center"/>
          </w:tcPr>
          <w:p w14:paraId="150DEFCA">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384" w:type="pct"/>
            <w:tcBorders>
              <w:top w:val="nil"/>
              <w:left w:val="nil"/>
              <w:bottom w:val="single" w:color="auto" w:sz="4" w:space="0"/>
              <w:right w:val="single" w:color="auto" w:sz="4" w:space="0"/>
            </w:tcBorders>
            <w:vAlign w:val="center"/>
          </w:tcPr>
          <w:p w14:paraId="52B4CEEE">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1012" w:type="pct"/>
            <w:tcBorders>
              <w:top w:val="nil"/>
              <w:left w:val="nil"/>
              <w:bottom w:val="single" w:color="auto" w:sz="4" w:space="0"/>
              <w:right w:val="single" w:color="auto" w:sz="4" w:space="0"/>
            </w:tcBorders>
            <w:vAlign w:val="center"/>
          </w:tcPr>
          <w:p w14:paraId="7D73634A">
            <w:pPr>
              <w:spacing w:after="0" w:line="240" w:lineRule="auto"/>
              <w:ind w:firstLine="0" w:firstLineChars="0"/>
              <w:rPr>
                <w:rFonts w:hint="eastAsia" w:ascii="宋体" w:hAnsi="宋体" w:cs="宋体"/>
                <w:color w:val="000000"/>
                <w:kern w:val="0"/>
                <w:sz w:val="22"/>
                <w:szCs w:val="22"/>
              </w:rPr>
            </w:pPr>
            <w:r>
              <w:rPr>
                <w:rFonts w:hint="eastAsia" w:ascii="宋体" w:hAnsi="宋体" w:cs="宋体"/>
                <w:color w:val="000000"/>
                <w:kern w:val="0"/>
                <w:sz w:val="22"/>
                <w:szCs w:val="22"/>
              </w:rPr>
              <w:t>　</w:t>
            </w:r>
          </w:p>
        </w:tc>
      </w:tr>
    </w:tbl>
    <w:p w14:paraId="227F73F3">
      <w:pPr>
        <w:pStyle w:val="446"/>
        <w:ind w:firstLine="480"/>
        <w:rPr>
          <w:rFonts w:hint="eastAsia"/>
        </w:rPr>
      </w:pPr>
    </w:p>
    <w:p w14:paraId="54AE417F">
      <w:pPr>
        <w:widowControl w:val="0"/>
        <w:numPr>
          <w:ilvl w:val="0"/>
          <w:numId w:val="7"/>
        </w:numPr>
        <w:autoSpaceDE w:val="0"/>
        <w:autoSpaceDN w:val="0"/>
        <w:adjustRightInd w:val="0"/>
        <w:snapToGrid w:val="0"/>
        <w:spacing w:after="0"/>
        <w:ind w:firstLineChars="0"/>
        <w:jc w:val="left"/>
        <w:outlineLvl w:val="2"/>
        <w:rPr>
          <w:rFonts w:hint="eastAsia" w:ascii="宋体" w:hAnsi="宋体"/>
          <w:b/>
          <w:bCs/>
          <w:szCs w:val="21"/>
        </w:rPr>
      </w:pPr>
      <w:r>
        <w:rPr>
          <w:rFonts w:hint="eastAsia" w:ascii="宋体" w:hAnsi="宋体"/>
          <w:b/>
          <w:bCs/>
          <w:szCs w:val="21"/>
        </w:rPr>
        <w:t>AI+数字化业务应用</w:t>
      </w:r>
    </w:p>
    <w:p w14:paraId="26DEFA49">
      <w:pPr>
        <w:pStyle w:val="17"/>
        <w:keepNext/>
        <w:ind w:firstLine="400"/>
        <w:jc w:val="center"/>
        <w:rPr>
          <w:rFonts w:hint="eastAsia" w:ascii="宋体" w:hAnsi="宋体" w:eastAsia="宋体"/>
        </w:rPr>
      </w:pPr>
      <w:r>
        <w:rPr>
          <w:rFonts w:hint="eastAsia" w:ascii="宋体" w:hAnsi="宋体" w:eastAsia="宋体"/>
        </w:rPr>
        <w:t xml:space="preserve">表 </w:t>
      </w:r>
      <w:r>
        <w:rPr>
          <w:rFonts w:ascii="宋体" w:hAnsi="宋体" w:eastAsia="宋体"/>
        </w:rPr>
        <w:fldChar w:fldCharType="begin"/>
      </w:r>
      <w:r>
        <w:rPr>
          <w:rFonts w:ascii="宋体" w:hAnsi="宋体" w:eastAsia="宋体"/>
        </w:rPr>
        <w:instrText xml:space="preserve"> </w:instrText>
      </w:r>
      <w:r>
        <w:rPr>
          <w:rFonts w:hint="eastAsia" w:ascii="宋体" w:hAnsi="宋体" w:eastAsia="宋体"/>
        </w:rPr>
        <w:instrText xml:space="preserve">SEQ 表 \* ARABIC</w:instrText>
      </w:r>
      <w:r>
        <w:rPr>
          <w:rFonts w:ascii="宋体" w:hAnsi="宋体" w:eastAsia="宋体"/>
        </w:rPr>
        <w:instrText xml:space="preserve"> </w:instrText>
      </w:r>
      <w:r>
        <w:rPr>
          <w:rFonts w:ascii="宋体" w:hAnsi="宋体" w:eastAsia="宋体"/>
        </w:rPr>
        <w:fldChar w:fldCharType="separate"/>
      </w:r>
      <w:r>
        <w:rPr>
          <w:rFonts w:hint="eastAsia" w:ascii="宋体" w:hAnsi="宋体" w:eastAsia="宋体"/>
        </w:rPr>
        <w:t>3</w:t>
      </w:r>
      <w:r>
        <w:rPr>
          <w:rFonts w:ascii="宋体" w:hAnsi="宋体" w:eastAsia="宋体"/>
        </w:rPr>
        <w:fldChar w:fldCharType="end"/>
      </w:r>
      <w:r>
        <w:rPr>
          <w:rFonts w:hint="eastAsia" w:ascii="宋体" w:hAnsi="宋体" w:eastAsia="宋体"/>
        </w:rPr>
        <w:t xml:space="preserve"> </w:t>
      </w:r>
      <w:r>
        <w:rPr>
          <w:rFonts w:hint="eastAsia" w:ascii="宋体" w:hAnsi="宋体" w:eastAsia="宋体"/>
        </w:rPr>
        <w:tab/>
      </w:r>
      <w:r>
        <w:rPr>
          <w:rFonts w:hint="eastAsia" w:ascii="宋体" w:hAnsi="宋体" w:eastAsia="宋体"/>
        </w:rPr>
        <w:t>AI+数字化业务应用建设清单</w:t>
      </w:r>
    </w:p>
    <w:tbl>
      <w:tblPr>
        <w:tblStyle w:val="54"/>
        <w:tblW w:w="5000" w:type="pct"/>
        <w:tblInd w:w="0" w:type="dxa"/>
        <w:tblLayout w:type="autofit"/>
        <w:tblCellMar>
          <w:top w:w="0" w:type="dxa"/>
          <w:left w:w="108" w:type="dxa"/>
          <w:bottom w:w="0" w:type="dxa"/>
          <w:right w:w="108" w:type="dxa"/>
        </w:tblCellMar>
      </w:tblPr>
      <w:tblGrid>
        <w:gridCol w:w="643"/>
        <w:gridCol w:w="1599"/>
        <w:gridCol w:w="3697"/>
        <w:gridCol w:w="908"/>
        <w:gridCol w:w="908"/>
        <w:gridCol w:w="767"/>
      </w:tblGrid>
      <w:tr w14:paraId="045A81D2">
        <w:tblPrEx>
          <w:tblCellMar>
            <w:top w:w="0" w:type="dxa"/>
            <w:left w:w="108" w:type="dxa"/>
            <w:bottom w:w="0" w:type="dxa"/>
            <w:right w:w="108" w:type="dxa"/>
          </w:tblCellMar>
        </w:tblPrEx>
        <w:trPr>
          <w:trHeight w:val="520" w:hRule="atLeast"/>
          <w:tblHeader/>
        </w:trPr>
        <w:tc>
          <w:tcPr>
            <w:tcW w:w="377" w:type="pct"/>
            <w:tcBorders>
              <w:top w:val="single" w:color="auto" w:sz="4" w:space="0"/>
              <w:left w:val="single" w:color="auto" w:sz="4" w:space="0"/>
              <w:bottom w:val="single" w:color="auto" w:sz="4" w:space="0"/>
              <w:right w:val="single" w:color="auto" w:sz="4" w:space="0"/>
            </w:tcBorders>
            <w:vAlign w:val="center"/>
          </w:tcPr>
          <w:p w14:paraId="5AF839C1">
            <w:pPr>
              <w:spacing w:after="0" w:line="240" w:lineRule="auto"/>
              <w:ind w:firstLine="0" w:firstLineChars="0"/>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序号</w:t>
            </w:r>
          </w:p>
        </w:tc>
        <w:tc>
          <w:tcPr>
            <w:tcW w:w="938" w:type="pct"/>
            <w:tcBorders>
              <w:top w:val="single" w:color="auto" w:sz="4" w:space="0"/>
              <w:left w:val="nil"/>
              <w:bottom w:val="single" w:color="auto" w:sz="4" w:space="0"/>
              <w:right w:val="single" w:color="auto" w:sz="4" w:space="0"/>
            </w:tcBorders>
            <w:vAlign w:val="center"/>
          </w:tcPr>
          <w:p w14:paraId="7FCC80F1">
            <w:pPr>
              <w:spacing w:after="0" w:line="240" w:lineRule="auto"/>
              <w:ind w:firstLine="0" w:firstLineChars="0"/>
              <w:jc w:val="left"/>
              <w:rPr>
                <w:rFonts w:hint="eastAsia" w:ascii="宋体" w:hAnsi="宋体" w:cs="宋体"/>
                <w:b/>
                <w:bCs/>
                <w:color w:val="000000"/>
                <w:kern w:val="0"/>
                <w:sz w:val="20"/>
                <w:szCs w:val="20"/>
              </w:rPr>
            </w:pPr>
            <w:r>
              <w:rPr>
                <w:rFonts w:hint="eastAsia" w:ascii="宋体" w:hAnsi="宋体" w:cs="宋体"/>
                <w:b/>
                <w:bCs/>
                <w:color w:val="000000"/>
                <w:kern w:val="0"/>
                <w:sz w:val="20"/>
                <w:szCs w:val="20"/>
              </w:rPr>
              <w:t>名称</w:t>
            </w:r>
          </w:p>
        </w:tc>
        <w:tc>
          <w:tcPr>
            <w:tcW w:w="2169" w:type="pct"/>
            <w:tcBorders>
              <w:top w:val="single" w:color="auto" w:sz="4" w:space="0"/>
              <w:left w:val="nil"/>
              <w:bottom w:val="single" w:color="auto" w:sz="4" w:space="0"/>
              <w:right w:val="single" w:color="auto" w:sz="4" w:space="0"/>
            </w:tcBorders>
            <w:vAlign w:val="center"/>
          </w:tcPr>
          <w:p w14:paraId="637BA9F7">
            <w:pPr>
              <w:spacing w:after="0" w:line="240" w:lineRule="auto"/>
              <w:ind w:firstLine="0" w:firstLineChars="0"/>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规格</w:t>
            </w:r>
          </w:p>
        </w:tc>
        <w:tc>
          <w:tcPr>
            <w:tcW w:w="533" w:type="pct"/>
            <w:tcBorders>
              <w:top w:val="single" w:color="auto" w:sz="4" w:space="0"/>
              <w:left w:val="nil"/>
              <w:bottom w:val="single" w:color="auto" w:sz="4" w:space="0"/>
              <w:right w:val="single" w:color="auto" w:sz="4" w:space="0"/>
            </w:tcBorders>
            <w:vAlign w:val="center"/>
          </w:tcPr>
          <w:p w14:paraId="1A3451DC">
            <w:pPr>
              <w:spacing w:after="0" w:line="240" w:lineRule="auto"/>
              <w:ind w:firstLine="0" w:firstLineChars="0"/>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数量</w:t>
            </w:r>
          </w:p>
        </w:tc>
        <w:tc>
          <w:tcPr>
            <w:tcW w:w="533" w:type="pct"/>
            <w:tcBorders>
              <w:top w:val="single" w:color="auto" w:sz="4" w:space="0"/>
              <w:left w:val="nil"/>
              <w:bottom w:val="single" w:color="auto" w:sz="4" w:space="0"/>
              <w:right w:val="single" w:color="auto" w:sz="4" w:space="0"/>
            </w:tcBorders>
            <w:vAlign w:val="center"/>
          </w:tcPr>
          <w:p w14:paraId="64351254">
            <w:pPr>
              <w:spacing w:after="0" w:line="240" w:lineRule="auto"/>
              <w:ind w:firstLine="0" w:firstLineChars="0"/>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单位</w:t>
            </w:r>
          </w:p>
        </w:tc>
        <w:tc>
          <w:tcPr>
            <w:tcW w:w="450" w:type="pct"/>
            <w:tcBorders>
              <w:top w:val="single" w:color="auto" w:sz="4" w:space="0"/>
              <w:left w:val="nil"/>
              <w:bottom w:val="single" w:color="auto" w:sz="4" w:space="0"/>
              <w:right w:val="single" w:color="auto" w:sz="4" w:space="0"/>
            </w:tcBorders>
            <w:vAlign w:val="center"/>
          </w:tcPr>
          <w:p w14:paraId="630CFD33">
            <w:pPr>
              <w:spacing w:after="0" w:line="240" w:lineRule="auto"/>
              <w:ind w:firstLine="0" w:firstLineChars="0"/>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备注</w:t>
            </w:r>
          </w:p>
        </w:tc>
      </w:tr>
      <w:tr w14:paraId="1C427DB3">
        <w:trPr>
          <w:trHeight w:val="280" w:hRule="atLeast"/>
        </w:trPr>
        <w:tc>
          <w:tcPr>
            <w:tcW w:w="377" w:type="pct"/>
            <w:tcBorders>
              <w:top w:val="nil"/>
              <w:left w:val="single" w:color="auto" w:sz="4" w:space="0"/>
              <w:bottom w:val="single" w:color="auto" w:sz="4" w:space="0"/>
              <w:right w:val="single" w:color="auto" w:sz="4" w:space="0"/>
            </w:tcBorders>
            <w:noWrap/>
            <w:vAlign w:val="center"/>
          </w:tcPr>
          <w:p w14:paraId="1F33052C">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一</w:t>
            </w:r>
          </w:p>
        </w:tc>
        <w:tc>
          <w:tcPr>
            <w:tcW w:w="4172" w:type="pct"/>
            <w:gridSpan w:val="4"/>
            <w:tcBorders>
              <w:top w:val="single" w:color="auto" w:sz="4" w:space="0"/>
              <w:left w:val="nil"/>
              <w:bottom w:val="single" w:color="auto" w:sz="4" w:space="0"/>
              <w:right w:val="single" w:color="auto" w:sz="4" w:space="0"/>
            </w:tcBorders>
            <w:vAlign w:val="center"/>
          </w:tcPr>
          <w:p w14:paraId="035A1F16">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园区安全管家系统</w:t>
            </w:r>
          </w:p>
        </w:tc>
        <w:tc>
          <w:tcPr>
            <w:tcW w:w="450" w:type="pct"/>
            <w:tcBorders>
              <w:top w:val="nil"/>
              <w:left w:val="nil"/>
              <w:bottom w:val="single" w:color="auto" w:sz="4" w:space="0"/>
              <w:right w:val="single" w:color="auto" w:sz="4" w:space="0"/>
            </w:tcBorders>
            <w:noWrap/>
            <w:vAlign w:val="center"/>
          </w:tcPr>
          <w:p w14:paraId="33674804">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10A33EF0">
        <w:tblPrEx>
          <w:tblCellMar>
            <w:top w:w="0" w:type="dxa"/>
            <w:left w:w="108" w:type="dxa"/>
            <w:bottom w:w="0" w:type="dxa"/>
            <w:right w:w="108" w:type="dxa"/>
          </w:tblCellMar>
        </w:tblPrEx>
        <w:trPr>
          <w:trHeight w:val="840" w:hRule="atLeast"/>
        </w:trPr>
        <w:tc>
          <w:tcPr>
            <w:tcW w:w="377" w:type="pct"/>
            <w:tcBorders>
              <w:top w:val="nil"/>
              <w:left w:val="single" w:color="auto" w:sz="4" w:space="0"/>
              <w:bottom w:val="single" w:color="auto" w:sz="4" w:space="0"/>
              <w:right w:val="single" w:color="auto" w:sz="4" w:space="0"/>
            </w:tcBorders>
            <w:noWrap/>
            <w:vAlign w:val="center"/>
          </w:tcPr>
          <w:p w14:paraId="3DDCF101">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938" w:type="pct"/>
            <w:tcBorders>
              <w:top w:val="nil"/>
              <w:left w:val="nil"/>
              <w:bottom w:val="single" w:color="auto" w:sz="4" w:space="0"/>
              <w:right w:val="single" w:color="auto" w:sz="4" w:space="0"/>
            </w:tcBorders>
            <w:vAlign w:val="center"/>
          </w:tcPr>
          <w:p w14:paraId="601676F2">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园区安全知识库</w:t>
            </w:r>
          </w:p>
        </w:tc>
        <w:tc>
          <w:tcPr>
            <w:tcW w:w="2169" w:type="pct"/>
            <w:tcBorders>
              <w:top w:val="nil"/>
              <w:left w:val="nil"/>
              <w:bottom w:val="single" w:color="auto" w:sz="4" w:space="0"/>
              <w:right w:val="single" w:color="auto" w:sz="4" w:space="0"/>
            </w:tcBorders>
            <w:vAlign w:val="center"/>
          </w:tcPr>
          <w:p w14:paraId="58DE1BF9">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包括安全巡检知识库、安全生产知识库、法律法规知识库、消防安全知识库、安全科普知识库、安全隐患知识库等模块。</w:t>
            </w:r>
          </w:p>
        </w:tc>
        <w:tc>
          <w:tcPr>
            <w:tcW w:w="533" w:type="pct"/>
            <w:tcBorders>
              <w:top w:val="nil"/>
              <w:left w:val="nil"/>
              <w:bottom w:val="single" w:color="auto" w:sz="4" w:space="0"/>
              <w:right w:val="single" w:color="auto" w:sz="4" w:space="0"/>
            </w:tcBorders>
            <w:vAlign w:val="center"/>
          </w:tcPr>
          <w:p w14:paraId="5BE3F52C">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533" w:type="pct"/>
            <w:tcBorders>
              <w:top w:val="nil"/>
              <w:left w:val="nil"/>
              <w:bottom w:val="single" w:color="auto" w:sz="4" w:space="0"/>
              <w:right w:val="single" w:color="auto" w:sz="4" w:space="0"/>
            </w:tcBorders>
            <w:vAlign w:val="center"/>
          </w:tcPr>
          <w:p w14:paraId="53419165">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450" w:type="pct"/>
            <w:tcBorders>
              <w:top w:val="nil"/>
              <w:left w:val="nil"/>
              <w:bottom w:val="single" w:color="auto" w:sz="4" w:space="0"/>
              <w:right w:val="single" w:color="auto" w:sz="4" w:space="0"/>
            </w:tcBorders>
            <w:noWrap/>
            <w:vAlign w:val="center"/>
          </w:tcPr>
          <w:p w14:paraId="1573A590">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6354E7D6">
        <w:tblPrEx>
          <w:tblCellMar>
            <w:top w:w="0" w:type="dxa"/>
            <w:left w:w="108" w:type="dxa"/>
            <w:bottom w:w="0" w:type="dxa"/>
            <w:right w:w="108" w:type="dxa"/>
          </w:tblCellMar>
        </w:tblPrEx>
        <w:trPr>
          <w:trHeight w:val="1400" w:hRule="atLeast"/>
        </w:trPr>
        <w:tc>
          <w:tcPr>
            <w:tcW w:w="377" w:type="pct"/>
            <w:tcBorders>
              <w:top w:val="nil"/>
              <w:left w:val="single" w:color="auto" w:sz="4" w:space="0"/>
              <w:bottom w:val="single" w:color="auto" w:sz="4" w:space="0"/>
              <w:right w:val="single" w:color="auto" w:sz="4" w:space="0"/>
            </w:tcBorders>
            <w:noWrap/>
            <w:vAlign w:val="center"/>
          </w:tcPr>
          <w:p w14:paraId="61B22473">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2</w:t>
            </w:r>
          </w:p>
        </w:tc>
        <w:tc>
          <w:tcPr>
            <w:tcW w:w="938" w:type="pct"/>
            <w:tcBorders>
              <w:top w:val="nil"/>
              <w:left w:val="nil"/>
              <w:bottom w:val="single" w:color="auto" w:sz="4" w:space="0"/>
              <w:right w:val="single" w:color="auto" w:sz="4" w:space="0"/>
            </w:tcBorders>
            <w:vAlign w:val="center"/>
          </w:tcPr>
          <w:p w14:paraId="0A2D3083">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AI智能体</w:t>
            </w:r>
          </w:p>
        </w:tc>
        <w:tc>
          <w:tcPr>
            <w:tcW w:w="2169" w:type="pct"/>
            <w:tcBorders>
              <w:top w:val="nil"/>
              <w:left w:val="nil"/>
              <w:bottom w:val="single" w:color="auto" w:sz="4" w:space="0"/>
              <w:right w:val="single" w:color="auto" w:sz="4" w:space="0"/>
            </w:tcBorders>
            <w:vAlign w:val="center"/>
          </w:tcPr>
          <w:p w14:paraId="02AAD82D">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包括AI 工作流、AI 智能体。支持多种大型语言模型，通过提供强大的数据集管理功能、可视化的Prompt编排以及应用运营工具，具备自主理解、规划与执行能力,自主拆解任务、制定计划并执行。不再局限于被动回答问题</w:t>
            </w:r>
          </w:p>
        </w:tc>
        <w:tc>
          <w:tcPr>
            <w:tcW w:w="533" w:type="pct"/>
            <w:tcBorders>
              <w:top w:val="nil"/>
              <w:left w:val="nil"/>
              <w:bottom w:val="single" w:color="auto" w:sz="4" w:space="0"/>
              <w:right w:val="single" w:color="auto" w:sz="4" w:space="0"/>
            </w:tcBorders>
            <w:vAlign w:val="center"/>
          </w:tcPr>
          <w:p w14:paraId="6F33EDDE">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533" w:type="pct"/>
            <w:tcBorders>
              <w:top w:val="nil"/>
              <w:left w:val="nil"/>
              <w:bottom w:val="single" w:color="auto" w:sz="4" w:space="0"/>
              <w:right w:val="single" w:color="auto" w:sz="4" w:space="0"/>
            </w:tcBorders>
            <w:vAlign w:val="center"/>
          </w:tcPr>
          <w:p w14:paraId="36394E58">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450" w:type="pct"/>
            <w:tcBorders>
              <w:top w:val="nil"/>
              <w:left w:val="nil"/>
              <w:bottom w:val="single" w:color="auto" w:sz="4" w:space="0"/>
              <w:right w:val="single" w:color="auto" w:sz="4" w:space="0"/>
            </w:tcBorders>
            <w:noWrap/>
            <w:vAlign w:val="center"/>
          </w:tcPr>
          <w:p w14:paraId="4F7F57B7">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7EC2BB70">
        <w:tblPrEx>
          <w:tblCellMar>
            <w:top w:w="0" w:type="dxa"/>
            <w:left w:w="108" w:type="dxa"/>
            <w:bottom w:w="0" w:type="dxa"/>
            <w:right w:w="108" w:type="dxa"/>
          </w:tblCellMar>
        </w:tblPrEx>
        <w:trPr>
          <w:trHeight w:val="560" w:hRule="atLeast"/>
        </w:trPr>
        <w:tc>
          <w:tcPr>
            <w:tcW w:w="377" w:type="pct"/>
            <w:tcBorders>
              <w:top w:val="nil"/>
              <w:left w:val="single" w:color="auto" w:sz="4" w:space="0"/>
              <w:bottom w:val="single" w:color="auto" w:sz="4" w:space="0"/>
              <w:right w:val="single" w:color="auto" w:sz="4" w:space="0"/>
            </w:tcBorders>
            <w:noWrap/>
            <w:vAlign w:val="center"/>
          </w:tcPr>
          <w:p w14:paraId="4B4EED36">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3</w:t>
            </w:r>
          </w:p>
        </w:tc>
        <w:tc>
          <w:tcPr>
            <w:tcW w:w="938" w:type="pct"/>
            <w:tcBorders>
              <w:top w:val="nil"/>
              <w:left w:val="nil"/>
              <w:bottom w:val="single" w:color="auto" w:sz="4" w:space="0"/>
              <w:right w:val="single" w:color="auto" w:sz="4" w:space="0"/>
            </w:tcBorders>
            <w:vAlign w:val="center"/>
          </w:tcPr>
          <w:p w14:paraId="2DEEFCBF">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安全隐患管理</w:t>
            </w:r>
          </w:p>
        </w:tc>
        <w:tc>
          <w:tcPr>
            <w:tcW w:w="2169" w:type="pct"/>
            <w:tcBorders>
              <w:top w:val="nil"/>
              <w:left w:val="nil"/>
              <w:bottom w:val="single" w:color="auto" w:sz="4" w:space="0"/>
              <w:right w:val="single" w:color="auto" w:sz="4" w:space="0"/>
            </w:tcBorders>
            <w:vAlign w:val="center"/>
          </w:tcPr>
          <w:p w14:paraId="4462F3D8">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包括安全隐患排查、安全隐患整改、安全隐患台账等模块。</w:t>
            </w:r>
          </w:p>
        </w:tc>
        <w:tc>
          <w:tcPr>
            <w:tcW w:w="533" w:type="pct"/>
            <w:tcBorders>
              <w:top w:val="nil"/>
              <w:left w:val="nil"/>
              <w:bottom w:val="single" w:color="auto" w:sz="4" w:space="0"/>
              <w:right w:val="single" w:color="auto" w:sz="4" w:space="0"/>
            </w:tcBorders>
            <w:vAlign w:val="center"/>
          </w:tcPr>
          <w:p w14:paraId="233171BF">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533" w:type="pct"/>
            <w:tcBorders>
              <w:top w:val="nil"/>
              <w:left w:val="nil"/>
              <w:bottom w:val="single" w:color="auto" w:sz="4" w:space="0"/>
              <w:right w:val="single" w:color="auto" w:sz="4" w:space="0"/>
            </w:tcBorders>
            <w:vAlign w:val="center"/>
          </w:tcPr>
          <w:p w14:paraId="3AE582C8">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450" w:type="pct"/>
            <w:tcBorders>
              <w:top w:val="nil"/>
              <w:left w:val="nil"/>
              <w:bottom w:val="single" w:color="auto" w:sz="4" w:space="0"/>
              <w:right w:val="single" w:color="auto" w:sz="4" w:space="0"/>
            </w:tcBorders>
            <w:noWrap/>
            <w:vAlign w:val="center"/>
          </w:tcPr>
          <w:p w14:paraId="11D6F6B2">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312F1704">
        <w:trPr>
          <w:trHeight w:val="560" w:hRule="atLeast"/>
        </w:trPr>
        <w:tc>
          <w:tcPr>
            <w:tcW w:w="377" w:type="pct"/>
            <w:tcBorders>
              <w:top w:val="nil"/>
              <w:left w:val="single" w:color="auto" w:sz="4" w:space="0"/>
              <w:bottom w:val="single" w:color="auto" w:sz="4" w:space="0"/>
              <w:right w:val="single" w:color="auto" w:sz="4" w:space="0"/>
            </w:tcBorders>
            <w:noWrap/>
            <w:vAlign w:val="center"/>
          </w:tcPr>
          <w:p w14:paraId="0F9DC169">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4</w:t>
            </w:r>
          </w:p>
        </w:tc>
        <w:tc>
          <w:tcPr>
            <w:tcW w:w="938" w:type="pct"/>
            <w:tcBorders>
              <w:top w:val="nil"/>
              <w:left w:val="nil"/>
              <w:bottom w:val="single" w:color="auto" w:sz="4" w:space="0"/>
              <w:right w:val="single" w:color="auto" w:sz="4" w:space="0"/>
            </w:tcBorders>
            <w:vAlign w:val="center"/>
          </w:tcPr>
          <w:p w14:paraId="3211873A">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安全事件管理</w:t>
            </w:r>
          </w:p>
        </w:tc>
        <w:tc>
          <w:tcPr>
            <w:tcW w:w="2169" w:type="pct"/>
            <w:tcBorders>
              <w:top w:val="nil"/>
              <w:left w:val="nil"/>
              <w:bottom w:val="single" w:color="auto" w:sz="4" w:space="0"/>
              <w:right w:val="single" w:color="auto" w:sz="4" w:space="0"/>
            </w:tcBorders>
            <w:vAlign w:val="center"/>
          </w:tcPr>
          <w:p w14:paraId="657D8ABE">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包括区域气象事件、园区安全事件、安全事件台账等模块。</w:t>
            </w:r>
          </w:p>
        </w:tc>
        <w:tc>
          <w:tcPr>
            <w:tcW w:w="533" w:type="pct"/>
            <w:tcBorders>
              <w:top w:val="nil"/>
              <w:left w:val="nil"/>
              <w:bottom w:val="single" w:color="auto" w:sz="4" w:space="0"/>
              <w:right w:val="single" w:color="auto" w:sz="4" w:space="0"/>
            </w:tcBorders>
            <w:vAlign w:val="center"/>
          </w:tcPr>
          <w:p w14:paraId="1C409097">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533" w:type="pct"/>
            <w:tcBorders>
              <w:top w:val="nil"/>
              <w:left w:val="nil"/>
              <w:bottom w:val="single" w:color="auto" w:sz="4" w:space="0"/>
              <w:right w:val="single" w:color="auto" w:sz="4" w:space="0"/>
            </w:tcBorders>
            <w:vAlign w:val="center"/>
          </w:tcPr>
          <w:p w14:paraId="73F7A41B">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450" w:type="pct"/>
            <w:tcBorders>
              <w:top w:val="nil"/>
              <w:left w:val="nil"/>
              <w:bottom w:val="single" w:color="auto" w:sz="4" w:space="0"/>
              <w:right w:val="single" w:color="auto" w:sz="4" w:space="0"/>
            </w:tcBorders>
            <w:noWrap/>
            <w:vAlign w:val="center"/>
          </w:tcPr>
          <w:p w14:paraId="7E5F82EF">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6D687AA9">
        <w:tblPrEx>
          <w:tblCellMar>
            <w:top w:w="0" w:type="dxa"/>
            <w:left w:w="108" w:type="dxa"/>
            <w:bottom w:w="0" w:type="dxa"/>
            <w:right w:w="108" w:type="dxa"/>
          </w:tblCellMar>
        </w:tblPrEx>
        <w:trPr>
          <w:trHeight w:val="560" w:hRule="atLeast"/>
        </w:trPr>
        <w:tc>
          <w:tcPr>
            <w:tcW w:w="377" w:type="pct"/>
            <w:tcBorders>
              <w:top w:val="nil"/>
              <w:left w:val="single" w:color="auto" w:sz="4" w:space="0"/>
              <w:bottom w:val="single" w:color="auto" w:sz="4" w:space="0"/>
              <w:right w:val="single" w:color="auto" w:sz="4" w:space="0"/>
            </w:tcBorders>
            <w:noWrap/>
            <w:vAlign w:val="center"/>
          </w:tcPr>
          <w:p w14:paraId="7692C898">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5</w:t>
            </w:r>
          </w:p>
        </w:tc>
        <w:tc>
          <w:tcPr>
            <w:tcW w:w="938" w:type="pct"/>
            <w:tcBorders>
              <w:top w:val="nil"/>
              <w:left w:val="nil"/>
              <w:bottom w:val="single" w:color="auto" w:sz="4" w:space="0"/>
              <w:right w:val="single" w:color="auto" w:sz="4" w:space="0"/>
            </w:tcBorders>
            <w:vAlign w:val="center"/>
          </w:tcPr>
          <w:p w14:paraId="78266EBE">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安全事故管理</w:t>
            </w:r>
          </w:p>
        </w:tc>
        <w:tc>
          <w:tcPr>
            <w:tcW w:w="2169" w:type="pct"/>
            <w:tcBorders>
              <w:top w:val="nil"/>
              <w:left w:val="nil"/>
              <w:bottom w:val="single" w:color="auto" w:sz="4" w:space="0"/>
              <w:right w:val="single" w:color="auto" w:sz="4" w:space="0"/>
            </w:tcBorders>
            <w:vAlign w:val="center"/>
          </w:tcPr>
          <w:p w14:paraId="75737538">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包括事故清单、事故上报、事故查看、事故处置等功能</w:t>
            </w:r>
          </w:p>
        </w:tc>
        <w:tc>
          <w:tcPr>
            <w:tcW w:w="533" w:type="pct"/>
            <w:tcBorders>
              <w:top w:val="nil"/>
              <w:left w:val="nil"/>
              <w:bottom w:val="single" w:color="auto" w:sz="4" w:space="0"/>
              <w:right w:val="single" w:color="auto" w:sz="4" w:space="0"/>
            </w:tcBorders>
            <w:vAlign w:val="center"/>
          </w:tcPr>
          <w:p w14:paraId="6964CB78">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533" w:type="pct"/>
            <w:tcBorders>
              <w:top w:val="nil"/>
              <w:left w:val="nil"/>
              <w:bottom w:val="single" w:color="auto" w:sz="4" w:space="0"/>
              <w:right w:val="single" w:color="auto" w:sz="4" w:space="0"/>
            </w:tcBorders>
            <w:vAlign w:val="center"/>
          </w:tcPr>
          <w:p w14:paraId="5ADEAA9C">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450" w:type="pct"/>
            <w:tcBorders>
              <w:top w:val="nil"/>
              <w:left w:val="nil"/>
              <w:bottom w:val="single" w:color="auto" w:sz="4" w:space="0"/>
              <w:right w:val="single" w:color="auto" w:sz="4" w:space="0"/>
            </w:tcBorders>
            <w:noWrap/>
            <w:vAlign w:val="center"/>
          </w:tcPr>
          <w:p w14:paraId="2B4411B8">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16182399">
        <w:tblPrEx>
          <w:tblCellMar>
            <w:top w:w="0" w:type="dxa"/>
            <w:left w:w="108" w:type="dxa"/>
            <w:bottom w:w="0" w:type="dxa"/>
            <w:right w:w="108" w:type="dxa"/>
          </w:tblCellMar>
        </w:tblPrEx>
        <w:trPr>
          <w:trHeight w:val="560" w:hRule="atLeast"/>
        </w:trPr>
        <w:tc>
          <w:tcPr>
            <w:tcW w:w="377" w:type="pct"/>
            <w:tcBorders>
              <w:top w:val="nil"/>
              <w:left w:val="single" w:color="auto" w:sz="4" w:space="0"/>
              <w:bottom w:val="single" w:color="auto" w:sz="4" w:space="0"/>
              <w:right w:val="single" w:color="auto" w:sz="4" w:space="0"/>
            </w:tcBorders>
            <w:noWrap/>
            <w:vAlign w:val="center"/>
          </w:tcPr>
          <w:p w14:paraId="5C3695C9">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6</w:t>
            </w:r>
          </w:p>
        </w:tc>
        <w:tc>
          <w:tcPr>
            <w:tcW w:w="938" w:type="pct"/>
            <w:tcBorders>
              <w:top w:val="nil"/>
              <w:left w:val="nil"/>
              <w:bottom w:val="single" w:color="auto" w:sz="4" w:space="0"/>
              <w:right w:val="single" w:color="auto" w:sz="4" w:space="0"/>
            </w:tcBorders>
            <w:vAlign w:val="center"/>
          </w:tcPr>
          <w:p w14:paraId="351D2B8B">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安全培训管理</w:t>
            </w:r>
          </w:p>
        </w:tc>
        <w:tc>
          <w:tcPr>
            <w:tcW w:w="2169" w:type="pct"/>
            <w:tcBorders>
              <w:top w:val="nil"/>
              <w:left w:val="nil"/>
              <w:bottom w:val="single" w:color="auto" w:sz="4" w:space="0"/>
              <w:right w:val="single" w:color="auto" w:sz="4" w:space="0"/>
            </w:tcBorders>
            <w:vAlign w:val="center"/>
          </w:tcPr>
          <w:p w14:paraId="3B1C4013">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包括AI 安全问卷智能体、安全培训视频、安全问卷答题等模块</w:t>
            </w:r>
          </w:p>
        </w:tc>
        <w:tc>
          <w:tcPr>
            <w:tcW w:w="533" w:type="pct"/>
            <w:tcBorders>
              <w:top w:val="nil"/>
              <w:left w:val="nil"/>
              <w:bottom w:val="single" w:color="auto" w:sz="4" w:space="0"/>
              <w:right w:val="single" w:color="auto" w:sz="4" w:space="0"/>
            </w:tcBorders>
            <w:vAlign w:val="center"/>
          </w:tcPr>
          <w:p w14:paraId="45D2E4CE">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533" w:type="pct"/>
            <w:tcBorders>
              <w:top w:val="nil"/>
              <w:left w:val="nil"/>
              <w:bottom w:val="single" w:color="auto" w:sz="4" w:space="0"/>
              <w:right w:val="single" w:color="auto" w:sz="4" w:space="0"/>
            </w:tcBorders>
            <w:vAlign w:val="center"/>
          </w:tcPr>
          <w:p w14:paraId="46A08CC0">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450" w:type="pct"/>
            <w:tcBorders>
              <w:top w:val="nil"/>
              <w:left w:val="nil"/>
              <w:bottom w:val="single" w:color="auto" w:sz="4" w:space="0"/>
              <w:right w:val="single" w:color="auto" w:sz="4" w:space="0"/>
            </w:tcBorders>
            <w:noWrap/>
            <w:vAlign w:val="center"/>
          </w:tcPr>
          <w:p w14:paraId="18447A65">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10A43D47">
        <w:tblPrEx>
          <w:tblCellMar>
            <w:top w:w="0" w:type="dxa"/>
            <w:left w:w="108" w:type="dxa"/>
            <w:bottom w:w="0" w:type="dxa"/>
            <w:right w:w="108" w:type="dxa"/>
          </w:tblCellMar>
        </w:tblPrEx>
        <w:trPr>
          <w:trHeight w:val="840" w:hRule="atLeast"/>
        </w:trPr>
        <w:tc>
          <w:tcPr>
            <w:tcW w:w="377" w:type="pct"/>
            <w:tcBorders>
              <w:top w:val="nil"/>
              <w:left w:val="single" w:color="auto" w:sz="4" w:space="0"/>
              <w:bottom w:val="single" w:color="auto" w:sz="4" w:space="0"/>
              <w:right w:val="single" w:color="auto" w:sz="4" w:space="0"/>
            </w:tcBorders>
            <w:noWrap/>
            <w:vAlign w:val="center"/>
          </w:tcPr>
          <w:p w14:paraId="371A732F">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7</w:t>
            </w:r>
          </w:p>
        </w:tc>
        <w:tc>
          <w:tcPr>
            <w:tcW w:w="938" w:type="pct"/>
            <w:tcBorders>
              <w:top w:val="nil"/>
              <w:left w:val="nil"/>
              <w:bottom w:val="single" w:color="auto" w:sz="4" w:space="0"/>
              <w:right w:val="single" w:color="auto" w:sz="4" w:space="0"/>
            </w:tcBorders>
            <w:vAlign w:val="center"/>
          </w:tcPr>
          <w:p w14:paraId="0CC19A4F">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应急安全数据中台</w:t>
            </w:r>
          </w:p>
        </w:tc>
        <w:tc>
          <w:tcPr>
            <w:tcW w:w="2169" w:type="pct"/>
            <w:tcBorders>
              <w:top w:val="nil"/>
              <w:left w:val="nil"/>
              <w:bottom w:val="single" w:color="auto" w:sz="4" w:space="0"/>
              <w:right w:val="single" w:color="auto" w:sz="4" w:space="0"/>
            </w:tcBorders>
            <w:vAlign w:val="center"/>
          </w:tcPr>
          <w:p w14:paraId="7A498011">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包括监控数据统计、事故数据统计、隐患数据统计、AI安全问数智能体、AI安全报告智能体等模块。</w:t>
            </w:r>
          </w:p>
        </w:tc>
        <w:tc>
          <w:tcPr>
            <w:tcW w:w="533" w:type="pct"/>
            <w:tcBorders>
              <w:top w:val="nil"/>
              <w:left w:val="nil"/>
              <w:bottom w:val="single" w:color="auto" w:sz="4" w:space="0"/>
              <w:right w:val="single" w:color="auto" w:sz="4" w:space="0"/>
            </w:tcBorders>
            <w:vAlign w:val="center"/>
          </w:tcPr>
          <w:p w14:paraId="70C3154B">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533" w:type="pct"/>
            <w:tcBorders>
              <w:top w:val="nil"/>
              <w:left w:val="nil"/>
              <w:bottom w:val="single" w:color="auto" w:sz="4" w:space="0"/>
              <w:right w:val="single" w:color="auto" w:sz="4" w:space="0"/>
            </w:tcBorders>
            <w:vAlign w:val="center"/>
          </w:tcPr>
          <w:p w14:paraId="0714C7AD">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450" w:type="pct"/>
            <w:tcBorders>
              <w:top w:val="nil"/>
              <w:left w:val="nil"/>
              <w:bottom w:val="single" w:color="auto" w:sz="4" w:space="0"/>
              <w:right w:val="single" w:color="auto" w:sz="4" w:space="0"/>
            </w:tcBorders>
            <w:noWrap/>
            <w:vAlign w:val="center"/>
          </w:tcPr>
          <w:p w14:paraId="433CDAD7">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0AEE501B">
        <w:trPr>
          <w:trHeight w:val="280" w:hRule="atLeast"/>
        </w:trPr>
        <w:tc>
          <w:tcPr>
            <w:tcW w:w="377" w:type="pct"/>
            <w:tcBorders>
              <w:top w:val="nil"/>
              <w:left w:val="single" w:color="auto" w:sz="4" w:space="0"/>
              <w:bottom w:val="single" w:color="auto" w:sz="4" w:space="0"/>
              <w:right w:val="single" w:color="auto" w:sz="4" w:space="0"/>
            </w:tcBorders>
            <w:noWrap/>
            <w:vAlign w:val="center"/>
          </w:tcPr>
          <w:p w14:paraId="07CF981A">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8</w:t>
            </w:r>
          </w:p>
        </w:tc>
        <w:tc>
          <w:tcPr>
            <w:tcW w:w="938" w:type="pct"/>
            <w:tcBorders>
              <w:top w:val="nil"/>
              <w:left w:val="nil"/>
              <w:bottom w:val="single" w:color="auto" w:sz="4" w:space="0"/>
              <w:right w:val="single" w:color="auto" w:sz="4" w:space="0"/>
            </w:tcBorders>
            <w:vAlign w:val="center"/>
          </w:tcPr>
          <w:p w14:paraId="420ABF9D">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园区安全预警移动端</w:t>
            </w:r>
          </w:p>
        </w:tc>
        <w:tc>
          <w:tcPr>
            <w:tcW w:w="2169" w:type="pct"/>
            <w:tcBorders>
              <w:top w:val="nil"/>
              <w:left w:val="nil"/>
              <w:bottom w:val="single" w:color="auto" w:sz="4" w:space="0"/>
              <w:right w:val="single" w:color="auto" w:sz="4" w:space="0"/>
            </w:tcBorders>
            <w:vAlign w:val="center"/>
          </w:tcPr>
          <w:p w14:paraId="3165BD48">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包括安全事件管理、安全隐患管理、安全培训管理等功能</w:t>
            </w:r>
          </w:p>
        </w:tc>
        <w:tc>
          <w:tcPr>
            <w:tcW w:w="533" w:type="pct"/>
            <w:tcBorders>
              <w:top w:val="nil"/>
              <w:left w:val="nil"/>
              <w:bottom w:val="single" w:color="auto" w:sz="4" w:space="0"/>
              <w:right w:val="single" w:color="auto" w:sz="4" w:space="0"/>
            </w:tcBorders>
            <w:vAlign w:val="center"/>
          </w:tcPr>
          <w:p w14:paraId="271B456E">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533" w:type="pct"/>
            <w:tcBorders>
              <w:top w:val="nil"/>
              <w:left w:val="nil"/>
              <w:bottom w:val="single" w:color="auto" w:sz="4" w:space="0"/>
              <w:right w:val="single" w:color="auto" w:sz="4" w:space="0"/>
            </w:tcBorders>
            <w:vAlign w:val="center"/>
          </w:tcPr>
          <w:p w14:paraId="5C43515E">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450" w:type="pct"/>
            <w:tcBorders>
              <w:top w:val="nil"/>
              <w:left w:val="nil"/>
              <w:bottom w:val="single" w:color="auto" w:sz="4" w:space="0"/>
              <w:right w:val="single" w:color="auto" w:sz="4" w:space="0"/>
            </w:tcBorders>
            <w:noWrap/>
            <w:vAlign w:val="center"/>
          </w:tcPr>
          <w:p w14:paraId="1D957D22">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3543D5F6">
        <w:tblPrEx>
          <w:tblCellMar>
            <w:top w:w="0" w:type="dxa"/>
            <w:left w:w="108" w:type="dxa"/>
            <w:bottom w:w="0" w:type="dxa"/>
            <w:right w:w="108" w:type="dxa"/>
          </w:tblCellMar>
        </w:tblPrEx>
        <w:trPr>
          <w:trHeight w:val="280" w:hRule="atLeast"/>
        </w:trPr>
        <w:tc>
          <w:tcPr>
            <w:tcW w:w="377" w:type="pct"/>
            <w:tcBorders>
              <w:top w:val="nil"/>
              <w:left w:val="single" w:color="auto" w:sz="4" w:space="0"/>
              <w:bottom w:val="single" w:color="auto" w:sz="4" w:space="0"/>
              <w:right w:val="single" w:color="auto" w:sz="4" w:space="0"/>
            </w:tcBorders>
            <w:noWrap/>
            <w:vAlign w:val="center"/>
          </w:tcPr>
          <w:p w14:paraId="7383CB9C">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二</w:t>
            </w:r>
          </w:p>
        </w:tc>
        <w:tc>
          <w:tcPr>
            <w:tcW w:w="4172" w:type="pct"/>
            <w:gridSpan w:val="4"/>
            <w:tcBorders>
              <w:top w:val="single" w:color="auto" w:sz="4" w:space="0"/>
              <w:left w:val="nil"/>
              <w:bottom w:val="single" w:color="auto" w:sz="4" w:space="0"/>
              <w:right w:val="single" w:color="auto" w:sz="4" w:space="0"/>
            </w:tcBorders>
            <w:vAlign w:val="center"/>
          </w:tcPr>
          <w:p w14:paraId="22271B88">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案件管理系统</w:t>
            </w:r>
          </w:p>
        </w:tc>
        <w:tc>
          <w:tcPr>
            <w:tcW w:w="450" w:type="pct"/>
            <w:tcBorders>
              <w:top w:val="nil"/>
              <w:left w:val="nil"/>
              <w:bottom w:val="single" w:color="auto" w:sz="4" w:space="0"/>
              <w:right w:val="single" w:color="auto" w:sz="4" w:space="0"/>
            </w:tcBorders>
            <w:noWrap/>
            <w:vAlign w:val="center"/>
          </w:tcPr>
          <w:p w14:paraId="5157ED9F">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35567747">
        <w:tblPrEx>
          <w:tblCellMar>
            <w:top w:w="0" w:type="dxa"/>
            <w:left w:w="108" w:type="dxa"/>
            <w:bottom w:w="0" w:type="dxa"/>
            <w:right w:w="108" w:type="dxa"/>
          </w:tblCellMar>
        </w:tblPrEx>
        <w:trPr>
          <w:trHeight w:val="280" w:hRule="atLeast"/>
        </w:trPr>
        <w:tc>
          <w:tcPr>
            <w:tcW w:w="377" w:type="pct"/>
            <w:tcBorders>
              <w:top w:val="nil"/>
              <w:left w:val="single" w:color="auto" w:sz="4" w:space="0"/>
              <w:bottom w:val="single" w:color="auto" w:sz="4" w:space="0"/>
              <w:right w:val="single" w:color="auto" w:sz="4" w:space="0"/>
            </w:tcBorders>
            <w:noWrap/>
            <w:vAlign w:val="center"/>
          </w:tcPr>
          <w:p w14:paraId="0674191C">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938" w:type="pct"/>
            <w:tcBorders>
              <w:top w:val="nil"/>
              <w:left w:val="nil"/>
              <w:bottom w:val="single" w:color="auto" w:sz="4" w:space="0"/>
              <w:right w:val="single" w:color="auto" w:sz="4" w:space="0"/>
            </w:tcBorders>
            <w:vAlign w:val="center"/>
          </w:tcPr>
          <w:p w14:paraId="2EF3F960">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案件全生命周期管理</w:t>
            </w:r>
          </w:p>
        </w:tc>
        <w:tc>
          <w:tcPr>
            <w:tcW w:w="2169" w:type="pct"/>
            <w:tcBorders>
              <w:top w:val="nil"/>
              <w:left w:val="nil"/>
              <w:bottom w:val="single" w:color="auto" w:sz="4" w:space="0"/>
              <w:right w:val="single" w:color="auto" w:sz="4" w:space="0"/>
            </w:tcBorders>
            <w:vAlign w:val="center"/>
          </w:tcPr>
          <w:p w14:paraId="60B2A62C">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案件全生命周期管理、在线办案、文档智能识别、案件基本信息、自动校验、进度跟踪、结案账单、案件归档、风险(案件)预报、电子卷宗、千万案、自动报表、案件信息查询功能案件导入、案件台账导出功能(巡察.审计)、智能提醒等模块</w:t>
            </w:r>
          </w:p>
        </w:tc>
        <w:tc>
          <w:tcPr>
            <w:tcW w:w="533" w:type="pct"/>
            <w:tcBorders>
              <w:top w:val="nil"/>
              <w:left w:val="nil"/>
              <w:bottom w:val="single" w:color="auto" w:sz="4" w:space="0"/>
              <w:right w:val="single" w:color="auto" w:sz="4" w:space="0"/>
            </w:tcBorders>
            <w:vAlign w:val="center"/>
          </w:tcPr>
          <w:p w14:paraId="409DDF12">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533" w:type="pct"/>
            <w:tcBorders>
              <w:top w:val="nil"/>
              <w:left w:val="nil"/>
              <w:bottom w:val="single" w:color="auto" w:sz="4" w:space="0"/>
              <w:right w:val="single" w:color="auto" w:sz="4" w:space="0"/>
            </w:tcBorders>
            <w:vAlign w:val="center"/>
          </w:tcPr>
          <w:p w14:paraId="03837D66">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450" w:type="pct"/>
            <w:tcBorders>
              <w:top w:val="nil"/>
              <w:left w:val="nil"/>
              <w:bottom w:val="single" w:color="auto" w:sz="4" w:space="0"/>
              <w:right w:val="single" w:color="auto" w:sz="4" w:space="0"/>
            </w:tcBorders>
            <w:noWrap/>
            <w:vAlign w:val="center"/>
          </w:tcPr>
          <w:p w14:paraId="666E6CF2">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2437473D">
        <w:tblPrEx>
          <w:tblCellMar>
            <w:top w:w="0" w:type="dxa"/>
            <w:left w:w="108" w:type="dxa"/>
            <w:bottom w:w="0" w:type="dxa"/>
            <w:right w:w="108" w:type="dxa"/>
          </w:tblCellMar>
        </w:tblPrEx>
        <w:trPr>
          <w:trHeight w:val="280" w:hRule="atLeast"/>
        </w:trPr>
        <w:tc>
          <w:tcPr>
            <w:tcW w:w="377" w:type="pct"/>
            <w:tcBorders>
              <w:top w:val="nil"/>
              <w:left w:val="single" w:color="auto" w:sz="4" w:space="0"/>
              <w:bottom w:val="single" w:color="auto" w:sz="4" w:space="0"/>
              <w:right w:val="single" w:color="auto" w:sz="4" w:space="0"/>
            </w:tcBorders>
            <w:noWrap/>
            <w:vAlign w:val="center"/>
          </w:tcPr>
          <w:p w14:paraId="512A9FD4">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2</w:t>
            </w:r>
          </w:p>
        </w:tc>
        <w:tc>
          <w:tcPr>
            <w:tcW w:w="938" w:type="pct"/>
            <w:tcBorders>
              <w:top w:val="nil"/>
              <w:left w:val="nil"/>
              <w:bottom w:val="single" w:color="auto" w:sz="4" w:space="0"/>
              <w:right w:val="single" w:color="auto" w:sz="4" w:space="0"/>
            </w:tcBorders>
            <w:vAlign w:val="center"/>
          </w:tcPr>
          <w:p w14:paraId="6B427B54">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管理驾驶舱</w:t>
            </w:r>
          </w:p>
        </w:tc>
        <w:tc>
          <w:tcPr>
            <w:tcW w:w="2169" w:type="pct"/>
            <w:tcBorders>
              <w:top w:val="nil"/>
              <w:left w:val="nil"/>
              <w:bottom w:val="single" w:color="auto" w:sz="4" w:space="0"/>
              <w:right w:val="single" w:color="auto" w:sz="4" w:space="0"/>
            </w:tcBorders>
            <w:vAlign w:val="center"/>
          </w:tcPr>
          <w:p w14:paraId="70823442">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包括纠纷案件月报、综合报表等模块</w:t>
            </w:r>
          </w:p>
        </w:tc>
        <w:tc>
          <w:tcPr>
            <w:tcW w:w="533" w:type="pct"/>
            <w:tcBorders>
              <w:top w:val="nil"/>
              <w:left w:val="nil"/>
              <w:bottom w:val="single" w:color="auto" w:sz="4" w:space="0"/>
              <w:right w:val="single" w:color="auto" w:sz="4" w:space="0"/>
            </w:tcBorders>
            <w:vAlign w:val="center"/>
          </w:tcPr>
          <w:p w14:paraId="4E1BB3CC">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533" w:type="pct"/>
            <w:tcBorders>
              <w:top w:val="nil"/>
              <w:left w:val="nil"/>
              <w:bottom w:val="single" w:color="auto" w:sz="4" w:space="0"/>
              <w:right w:val="single" w:color="auto" w:sz="4" w:space="0"/>
            </w:tcBorders>
            <w:vAlign w:val="center"/>
          </w:tcPr>
          <w:p w14:paraId="17CD81A3">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450" w:type="pct"/>
            <w:tcBorders>
              <w:top w:val="nil"/>
              <w:left w:val="nil"/>
              <w:bottom w:val="single" w:color="auto" w:sz="4" w:space="0"/>
              <w:right w:val="single" w:color="auto" w:sz="4" w:space="0"/>
            </w:tcBorders>
            <w:noWrap/>
            <w:vAlign w:val="center"/>
          </w:tcPr>
          <w:p w14:paraId="41F30C9A">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09967229">
        <w:tblPrEx>
          <w:tblCellMar>
            <w:top w:w="0" w:type="dxa"/>
            <w:left w:w="108" w:type="dxa"/>
            <w:bottom w:w="0" w:type="dxa"/>
            <w:right w:w="108" w:type="dxa"/>
          </w:tblCellMar>
        </w:tblPrEx>
        <w:trPr>
          <w:trHeight w:val="560" w:hRule="atLeast"/>
        </w:trPr>
        <w:tc>
          <w:tcPr>
            <w:tcW w:w="377" w:type="pct"/>
            <w:tcBorders>
              <w:top w:val="nil"/>
              <w:left w:val="single" w:color="auto" w:sz="4" w:space="0"/>
              <w:bottom w:val="single" w:color="auto" w:sz="4" w:space="0"/>
              <w:right w:val="single" w:color="auto" w:sz="4" w:space="0"/>
            </w:tcBorders>
            <w:noWrap/>
            <w:vAlign w:val="center"/>
          </w:tcPr>
          <w:p w14:paraId="77B4BA16">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3</w:t>
            </w:r>
          </w:p>
        </w:tc>
        <w:tc>
          <w:tcPr>
            <w:tcW w:w="938" w:type="pct"/>
            <w:tcBorders>
              <w:top w:val="nil"/>
              <w:left w:val="nil"/>
              <w:bottom w:val="single" w:color="auto" w:sz="4" w:space="0"/>
              <w:right w:val="single" w:color="auto" w:sz="4" w:space="0"/>
            </w:tcBorders>
            <w:vAlign w:val="center"/>
          </w:tcPr>
          <w:p w14:paraId="6B53D068">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法律计算器</w:t>
            </w:r>
          </w:p>
        </w:tc>
        <w:tc>
          <w:tcPr>
            <w:tcW w:w="2169" w:type="pct"/>
            <w:tcBorders>
              <w:top w:val="nil"/>
              <w:left w:val="nil"/>
              <w:bottom w:val="single" w:color="auto" w:sz="4" w:space="0"/>
              <w:right w:val="single" w:color="auto" w:sz="4" w:space="0"/>
            </w:tcBorders>
            <w:vAlign w:val="center"/>
          </w:tcPr>
          <w:p w14:paraId="096F0DB6">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包括违约金/逾期利息计算器、迟延履行利息计算器等模块</w:t>
            </w:r>
          </w:p>
        </w:tc>
        <w:tc>
          <w:tcPr>
            <w:tcW w:w="533" w:type="pct"/>
            <w:tcBorders>
              <w:top w:val="nil"/>
              <w:left w:val="nil"/>
              <w:bottom w:val="single" w:color="auto" w:sz="4" w:space="0"/>
              <w:right w:val="single" w:color="auto" w:sz="4" w:space="0"/>
            </w:tcBorders>
            <w:vAlign w:val="center"/>
          </w:tcPr>
          <w:p w14:paraId="046DB033">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533" w:type="pct"/>
            <w:tcBorders>
              <w:top w:val="nil"/>
              <w:left w:val="nil"/>
              <w:bottom w:val="single" w:color="auto" w:sz="4" w:space="0"/>
              <w:right w:val="single" w:color="auto" w:sz="4" w:space="0"/>
            </w:tcBorders>
            <w:vAlign w:val="center"/>
          </w:tcPr>
          <w:p w14:paraId="7F0D4707">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450" w:type="pct"/>
            <w:tcBorders>
              <w:top w:val="nil"/>
              <w:left w:val="nil"/>
              <w:bottom w:val="single" w:color="auto" w:sz="4" w:space="0"/>
              <w:right w:val="single" w:color="auto" w:sz="4" w:space="0"/>
            </w:tcBorders>
            <w:noWrap/>
            <w:vAlign w:val="center"/>
          </w:tcPr>
          <w:p w14:paraId="3B6AC1B8">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6BAD3746">
        <w:tblPrEx>
          <w:tblCellMar>
            <w:top w:w="0" w:type="dxa"/>
            <w:left w:w="108" w:type="dxa"/>
            <w:bottom w:w="0" w:type="dxa"/>
            <w:right w:w="108" w:type="dxa"/>
          </w:tblCellMar>
        </w:tblPrEx>
        <w:trPr>
          <w:trHeight w:val="560" w:hRule="atLeast"/>
        </w:trPr>
        <w:tc>
          <w:tcPr>
            <w:tcW w:w="377" w:type="pct"/>
            <w:tcBorders>
              <w:top w:val="nil"/>
              <w:left w:val="single" w:color="auto" w:sz="4" w:space="0"/>
              <w:bottom w:val="single" w:color="auto" w:sz="4" w:space="0"/>
              <w:right w:val="single" w:color="auto" w:sz="4" w:space="0"/>
            </w:tcBorders>
            <w:noWrap/>
            <w:vAlign w:val="center"/>
          </w:tcPr>
          <w:p w14:paraId="6BA638DA">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4</w:t>
            </w:r>
          </w:p>
        </w:tc>
        <w:tc>
          <w:tcPr>
            <w:tcW w:w="938" w:type="pct"/>
            <w:tcBorders>
              <w:top w:val="nil"/>
              <w:left w:val="nil"/>
              <w:bottom w:val="single" w:color="auto" w:sz="4" w:space="0"/>
              <w:right w:val="single" w:color="auto" w:sz="4" w:space="0"/>
            </w:tcBorders>
            <w:vAlign w:val="center"/>
          </w:tcPr>
          <w:p w14:paraId="62DFF89B">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关联系统对接</w:t>
            </w:r>
          </w:p>
        </w:tc>
        <w:tc>
          <w:tcPr>
            <w:tcW w:w="2169" w:type="pct"/>
            <w:tcBorders>
              <w:top w:val="nil"/>
              <w:left w:val="nil"/>
              <w:bottom w:val="single" w:color="auto" w:sz="4" w:space="0"/>
              <w:right w:val="single" w:color="auto" w:sz="4" w:space="0"/>
            </w:tcBorders>
            <w:vAlign w:val="center"/>
          </w:tcPr>
          <w:p w14:paraId="4551446D">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包括短信渠道对接、企业信息查询对接、0A对接等模块</w:t>
            </w:r>
          </w:p>
        </w:tc>
        <w:tc>
          <w:tcPr>
            <w:tcW w:w="533" w:type="pct"/>
            <w:tcBorders>
              <w:top w:val="nil"/>
              <w:left w:val="nil"/>
              <w:bottom w:val="single" w:color="auto" w:sz="4" w:space="0"/>
              <w:right w:val="single" w:color="auto" w:sz="4" w:space="0"/>
            </w:tcBorders>
            <w:vAlign w:val="center"/>
          </w:tcPr>
          <w:p w14:paraId="59BAD593">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533" w:type="pct"/>
            <w:tcBorders>
              <w:top w:val="nil"/>
              <w:left w:val="nil"/>
              <w:bottom w:val="single" w:color="auto" w:sz="4" w:space="0"/>
              <w:right w:val="single" w:color="auto" w:sz="4" w:space="0"/>
            </w:tcBorders>
            <w:vAlign w:val="center"/>
          </w:tcPr>
          <w:p w14:paraId="6FA04948">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450" w:type="pct"/>
            <w:tcBorders>
              <w:top w:val="nil"/>
              <w:left w:val="nil"/>
              <w:bottom w:val="single" w:color="auto" w:sz="4" w:space="0"/>
              <w:right w:val="single" w:color="auto" w:sz="4" w:space="0"/>
            </w:tcBorders>
            <w:noWrap/>
            <w:vAlign w:val="center"/>
          </w:tcPr>
          <w:p w14:paraId="73284A09">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3DB608C9">
        <w:tblPrEx>
          <w:tblCellMar>
            <w:top w:w="0" w:type="dxa"/>
            <w:left w:w="108" w:type="dxa"/>
            <w:bottom w:w="0" w:type="dxa"/>
            <w:right w:w="108" w:type="dxa"/>
          </w:tblCellMar>
        </w:tblPrEx>
        <w:trPr>
          <w:trHeight w:val="280" w:hRule="atLeast"/>
        </w:trPr>
        <w:tc>
          <w:tcPr>
            <w:tcW w:w="377" w:type="pct"/>
            <w:tcBorders>
              <w:top w:val="nil"/>
              <w:left w:val="single" w:color="auto" w:sz="4" w:space="0"/>
              <w:bottom w:val="single" w:color="auto" w:sz="4" w:space="0"/>
              <w:right w:val="single" w:color="auto" w:sz="4" w:space="0"/>
            </w:tcBorders>
            <w:vAlign w:val="center"/>
          </w:tcPr>
          <w:p w14:paraId="6F2E69F2">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三</w:t>
            </w:r>
          </w:p>
        </w:tc>
        <w:tc>
          <w:tcPr>
            <w:tcW w:w="4172" w:type="pct"/>
            <w:gridSpan w:val="4"/>
            <w:tcBorders>
              <w:top w:val="single" w:color="auto" w:sz="4" w:space="0"/>
              <w:left w:val="nil"/>
              <w:bottom w:val="single" w:color="auto" w:sz="4" w:space="0"/>
              <w:right w:val="single" w:color="auto" w:sz="4" w:space="0"/>
            </w:tcBorders>
            <w:vAlign w:val="center"/>
          </w:tcPr>
          <w:p w14:paraId="62A349F2">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智能审计系统</w:t>
            </w:r>
          </w:p>
        </w:tc>
        <w:tc>
          <w:tcPr>
            <w:tcW w:w="450" w:type="pct"/>
            <w:tcBorders>
              <w:top w:val="nil"/>
              <w:left w:val="nil"/>
              <w:bottom w:val="single" w:color="auto" w:sz="4" w:space="0"/>
              <w:right w:val="single" w:color="auto" w:sz="4" w:space="0"/>
            </w:tcBorders>
            <w:noWrap/>
            <w:vAlign w:val="center"/>
          </w:tcPr>
          <w:p w14:paraId="2D58AB72">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3A4D185A">
        <w:tblPrEx>
          <w:tblCellMar>
            <w:top w:w="0" w:type="dxa"/>
            <w:left w:w="108" w:type="dxa"/>
            <w:bottom w:w="0" w:type="dxa"/>
            <w:right w:w="108" w:type="dxa"/>
          </w:tblCellMar>
        </w:tblPrEx>
        <w:trPr>
          <w:trHeight w:val="560" w:hRule="atLeast"/>
        </w:trPr>
        <w:tc>
          <w:tcPr>
            <w:tcW w:w="377" w:type="pct"/>
            <w:tcBorders>
              <w:top w:val="nil"/>
              <w:left w:val="single" w:color="auto" w:sz="4" w:space="0"/>
              <w:bottom w:val="single" w:color="auto" w:sz="4" w:space="0"/>
              <w:right w:val="single" w:color="auto" w:sz="4" w:space="0"/>
            </w:tcBorders>
            <w:noWrap/>
            <w:vAlign w:val="center"/>
          </w:tcPr>
          <w:p w14:paraId="0B7BCEBB">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938" w:type="pct"/>
            <w:tcBorders>
              <w:top w:val="nil"/>
              <w:left w:val="nil"/>
              <w:bottom w:val="single" w:color="auto" w:sz="4" w:space="0"/>
              <w:right w:val="single" w:color="auto" w:sz="4" w:space="0"/>
            </w:tcBorders>
            <w:vAlign w:val="center"/>
          </w:tcPr>
          <w:p w14:paraId="27B688E4">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审计管理</w:t>
            </w:r>
          </w:p>
        </w:tc>
        <w:tc>
          <w:tcPr>
            <w:tcW w:w="2169" w:type="pct"/>
            <w:tcBorders>
              <w:top w:val="nil"/>
              <w:left w:val="nil"/>
              <w:bottom w:val="single" w:color="auto" w:sz="4" w:space="0"/>
              <w:right w:val="single" w:color="auto" w:sz="4" w:space="0"/>
            </w:tcBorders>
            <w:vAlign w:val="center"/>
          </w:tcPr>
          <w:p w14:paraId="20AE6C12">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包括审计项目信息管理、审计底稿管理、审计报告预生成管理、审计报表等模块</w:t>
            </w:r>
          </w:p>
        </w:tc>
        <w:tc>
          <w:tcPr>
            <w:tcW w:w="533" w:type="pct"/>
            <w:tcBorders>
              <w:top w:val="nil"/>
              <w:left w:val="nil"/>
              <w:bottom w:val="single" w:color="auto" w:sz="4" w:space="0"/>
              <w:right w:val="single" w:color="auto" w:sz="4" w:space="0"/>
            </w:tcBorders>
            <w:vAlign w:val="center"/>
          </w:tcPr>
          <w:p w14:paraId="5E74AED3">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533" w:type="pct"/>
            <w:tcBorders>
              <w:top w:val="nil"/>
              <w:left w:val="nil"/>
              <w:bottom w:val="single" w:color="auto" w:sz="4" w:space="0"/>
              <w:right w:val="single" w:color="auto" w:sz="4" w:space="0"/>
            </w:tcBorders>
            <w:vAlign w:val="center"/>
          </w:tcPr>
          <w:p w14:paraId="3D63CF03">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450" w:type="pct"/>
            <w:tcBorders>
              <w:top w:val="nil"/>
              <w:left w:val="nil"/>
              <w:bottom w:val="single" w:color="auto" w:sz="4" w:space="0"/>
              <w:right w:val="single" w:color="auto" w:sz="4" w:space="0"/>
            </w:tcBorders>
            <w:noWrap/>
            <w:vAlign w:val="center"/>
          </w:tcPr>
          <w:p w14:paraId="39097152">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0DEFFE88">
        <w:tblPrEx>
          <w:tblCellMar>
            <w:top w:w="0" w:type="dxa"/>
            <w:left w:w="108" w:type="dxa"/>
            <w:bottom w:w="0" w:type="dxa"/>
            <w:right w:w="108" w:type="dxa"/>
          </w:tblCellMar>
        </w:tblPrEx>
        <w:trPr>
          <w:trHeight w:val="280" w:hRule="atLeast"/>
        </w:trPr>
        <w:tc>
          <w:tcPr>
            <w:tcW w:w="377" w:type="pct"/>
            <w:tcBorders>
              <w:top w:val="nil"/>
              <w:left w:val="single" w:color="auto" w:sz="4" w:space="0"/>
              <w:bottom w:val="single" w:color="auto" w:sz="4" w:space="0"/>
              <w:right w:val="single" w:color="auto" w:sz="4" w:space="0"/>
            </w:tcBorders>
            <w:noWrap/>
            <w:vAlign w:val="center"/>
          </w:tcPr>
          <w:p w14:paraId="3AAC0C10">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2</w:t>
            </w:r>
          </w:p>
        </w:tc>
        <w:tc>
          <w:tcPr>
            <w:tcW w:w="938" w:type="pct"/>
            <w:tcBorders>
              <w:top w:val="nil"/>
              <w:left w:val="nil"/>
              <w:bottom w:val="single" w:color="auto" w:sz="4" w:space="0"/>
              <w:right w:val="single" w:color="auto" w:sz="4" w:space="0"/>
            </w:tcBorders>
            <w:vAlign w:val="center"/>
          </w:tcPr>
          <w:p w14:paraId="755793B5">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智能体管理</w:t>
            </w:r>
          </w:p>
        </w:tc>
        <w:tc>
          <w:tcPr>
            <w:tcW w:w="2169" w:type="pct"/>
            <w:tcBorders>
              <w:top w:val="nil"/>
              <w:left w:val="nil"/>
              <w:bottom w:val="single" w:color="auto" w:sz="4" w:space="0"/>
              <w:right w:val="single" w:color="auto" w:sz="4" w:space="0"/>
            </w:tcBorders>
            <w:vAlign w:val="center"/>
          </w:tcPr>
          <w:p w14:paraId="3BCA750D">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包括问题模板库管理、智能体功能管理模块</w:t>
            </w:r>
          </w:p>
        </w:tc>
        <w:tc>
          <w:tcPr>
            <w:tcW w:w="533" w:type="pct"/>
            <w:tcBorders>
              <w:top w:val="nil"/>
              <w:left w:val="nil"/>
              <w:bottom w:val="single" w:color="auto" w:sz="4" w:space="0"/>
              <w:right w:val="single" w:color="auto" w:sz="4" w:space="0"/>
            </w:tcBorders>
            <w:vAlign w:val="center"/>
          </w:tcPr>
          <w:p w14:paraId="60F93595">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533" w:type="pct"/>
            <w:tcBorders>
              <w:top w:val="nil"/>
              <w:left w:val="nil"/>
              <w:bottom w:val="single" w:color="auto" w:sz="4" w:space="0"/>
              <w:right w:val="single" w:color="auto" w:sz="4" w:space="0"/>
            </w:tcBorders>
            <w:vAlign w:val="center"/>
          </w:tcPr>
          <w:p w14:paraId="5389885E">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450" w:type="pct"/>
            <w:tcBorders>
              <w:top w:val="nil"/>
              <w:left w:val="nil"/>
              <w:bottom w:val="single" w:color="auto" w:sz="4" w:space="0"/>
              <w:right w:val="single" w:color="auto" w:sz="4" w:space="0"/>
            </w:tcBorders>
            <w:noWrap/>
            <w:vAlign w:val="center"/>
          </w:tcPr>
          <w:p w14:paraId="5E4165EC">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2CE9D235">
        <w:tblPrEx>
          <w:tblCellMar>
            <w:top w:w="0" w:type="dxa"/>
            <w:left w:w="108" w:type="dxa"/>
            <w:bottom w:w="0" w:type="dxa"/>
            <w:right w:w="108" w:type="dxa"/>
          </w:tblCellMar>
        </w:tblPrEx>
        <w:trPr>
          <w:trHeight w:val="280" w:hRule="atLeast"/>
        </w:trPr>
        <w:tc>
          <w:tcPr>
            <w:tcW w:w="377" w:type="pct"/>
            <w:tcBorders>
              <w:top w:val="nil"/>
              <w:left w:val="single" w:color="auto" w:sz="4" w:space="0"/>
              <w:bottom w:val="single" w:color="auto" w:sz="4" w:space="0"/>
              <w:right w:val="single" w:color="auto" w:sz="4" w:space="0"/>
            </w:tcBorders>
            <w:noWrap/>
            <w:vAlign w:val="center"/>
          </w:tcPr>
          <w:p w14:paraId="4B045B2E">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3</w:t>
            </w:r>
          </w:p>
        </w:tc>
        <w:tc>
          <w:tcPr>
            <w:tcW w:w="938" w:type="pct"/>
            <w:tcBorders>
              <w:top w:val="nil"/>
              <w:left w:val="nil"/>
              <w:bottom w:val="single" w:color="auto" w:sz="4" w:space="0"/>
              <w:right w:val="single" w:color="auto" w:sz="4" w:space="0"/>
            </w:tcBorders>
            <w:vAlign w:val="center"/>
          </w:tcPr>
          <w:p w14:paraId="012AE143">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预警管理</w:t>
            </w:r>
          </w:p>
        </w:tc>
        <w:tc>
          <w:tcPr>
            <w:tcW w:w="2169" w:type="pct"/>
            <w:tcBorders>
              <w:top w:val="nil"/>
              <w:left w:val="nil"/>
              <w:bottom w:val="single" w:color="auto" w:sz="4" w:space="0"/>
              <w:right w:val="single" w:color="auto" w:sz="4" w:space="0"/>
            </w:tcBorders>
            <w:vAlign w:val="center"/>
          </w:tcPr>
          <w:p w14:paraId="651069E1">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包括预警信息综合看板、预警核实与处置模块</w:t>
            </w:r>
          </w:p>
        </w:tc>
        <w:tc>
          <w:tcPr>
            <w:tcW w:w="533" w:type="pct"/>
            <w:tcBorders>
              <w:top w:val="nil"/>
              <w:left w:val="nil"/>
              <w:bottom w:val="single" w:color="auto" w:sz="4" w:space="0"/>
              <w:right w:val="single" w:color="auto" w:sz="4" w:space="0"/>
            </w:tcBorders>
            <w:vAlign w:val="center"/>
          </w:tcPr>
          <w:p w14:paraId="41BAD2D4">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533" w:type="pct"/>
            <w:tcBorders>
              <w:top w:val="nil"/>
              <w:left w:val="nil"/>
              <w:bottom w:val="single" w:color="auto" w:sz="4" w:space="0"/>
              <w:right w:val="single" w:color="auto" w:sz="4" w:space="0"/>
            </w:tcBorders>
            <w:vAlign w:val="center"/>
          </w:tcPr>
          <w:p w14:paraId="3736D826">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450" w:type="pct"/>
            <w:tcBorders>
              <w:top w:val="nil"/>
              <w:left w:val="nil"/>
              <w:bottom w:val="single" w:color="auto" w:sz="4" w:space="0"/>
              <w:right w:val="single" w:color="auto" w:sz="4" w:space="0"/>
            </w:tcBorders>
            <w:noWrap/>
            <w:vAlign w:val="center"/>
          </w:tcPr>
          <w:p w14:paraId="4E0EE812">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6A64D189">
        <w:tblPrEx>
          <w:tblCellMar>
            <w:top w:w="0" w:type="dxa"/>
            <w:left w:w="108" w:type="dxa"/>
            <w:bottom w:w="0" w:type="dxa"/>
            <w:right w:w="108" w:type="dxa"/>
          </w:tblCellMar>
        </w:tblPrEx>
        <w:trPr>
          <w:trHeight w:val="560" w:hRule="atLeast"/>
        </w:trPr>
        <w:tc>
          <w:tcPr>
            <w:tcW w:w="377" w:type="pct"/>
            <w:tcBorders>
              <w:top w:val="nil"/>
              <w:left w:val="single" w:color="auto" w:sz="4" w:space="0"/>
              <w:bottom w:val="single" w:color="auto" w:sz="4" w:space="0"/>
              <w:right w:val="single" w:color="auto" w:sz="4" w:space="0"/>
            </w:tcBorders>
            <w:noWrap/>
            <w:vAlign w:val="center"/>
          </w:tcPr>
          <w:p w14:paraId="213202AA">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4</w:t>
            </w:r>
          </w:p>
        </w:tc>
        <w:tc>
          <w:tcPr>
            <w:tcW w:w="938" w:type="pct"/>
            <w:tcBorders>
              <w:top w:val="nil"/>
              <w:left w:val="nil"/>
              <w:bottom w:val="single" w:color="auto" w:sz="4" w:space="0"/>
              <w:right w:val="single" w:color="auto" w:sz="4" w:space="0"/>
            </w:tcBorders>
            <w:vAlign w:val="center"/>
          </w:tcPr>
          <w:p w14:paraId="169CEB35">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知识库管理</w:t>
            </w:r>
          </w:p>
        </w:tc>
        <w:tc>
          <w:tcPr>
            <w:tcW w:w="2169" w:type="pct"/>
            <w:tcBorders>
              <w:top w:val="nil"/>
              <w:left w:val="nil"/>
              <w:bottom w:val="single" w:color="auto" w:sz="4" w:space="0"/>
              <w:right w:val="single" w:color="auto" w:sz="4" w:space="0"/>
            </w:tcBorders>
            <w:vAlign w:val="center"/>
          </w:tcPr>
          <w:p w14:paraId="1CF8139E">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包括项目知识库、合同知识库、审计合规知识库等模块</w:t>
            </w:r>
          </w:p>
        </w:tc>
        <w:tc>
          <w:tcPr>
            <w:tcW w:w="533" w:type="pct"/>
            <w:tcBorders>
              <w:top w:val="nil"/>
              <w:left w:val="nil"/>
              <w:bottom w:val="single" w:color="auto" w:sz="4" w:space="0"/>
              <w:right w:val="single" w:color="auto" w:sz="4" w:space="0"/>
            </w:tcBorders>
            <w:vAlign w:val="center"/>
          </w:tcPr>
          <w:p w14:paraId="7415532F">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533" w:type="pct"/>
            <w:tcBorders>
              <w:top w:val="nil"/>
              <w:left w:val="nil"/>
              <w:bottom w:val="single" w:color="auto" w:sz="4" w:space="0"/>
              <w:right w:val="single" w:color="auto" w:sz="4" w:space="0"/>
            </w:tcBorders>
            <w:vAlign w:val="center"/>
          </w:tcPr>
          <w:p w14:paraId="71253A84">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450" w:type="pct"/>
            <w:tcBorders>
              <w:top w:val="nil"/>
              <w:left w:val="nil"/>
              <w:bottom w:val="single" w:color="auto" w:sz="4" w:space="0"/>
              <w:right w:val="single" w:color="auto" w:sz="4" w:space="0"/>
            </w:tcBorders>
            <w:noWrap/>
            <w:vAlign w:val="center"/>
          </w:tcPr>
          <w:p w14:paraId="3C42D150">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7C4D785B">
        <w:tblPrEx>
          <w:tblCellMar>
            <w:top w:w="0" w:type="dxa"/>
            <w:left w:w="108" w:type="dxa"/>
            <w:bottom w:w="0" w:type="dxa"/>
            <w:right w:w="108" w:type="dxa"/>
          </w:tblCellMar>
        </w:tblPrEx>
        <w:trPr>
          <w:trHeight w:val="560" w:hRule="atLeast"/>
        </w:trPr>
        <w:tc>
          <w:tcPr>
            <w:tcW w:w="377" w:type="pct"/>
            <w:tcBorders>
              <w:top w:val="nil"/>
              <w:left w:val="single" w:color="auto" w:sz="4" w:space="0"/>
              <w:bottom w:val="single" w:color="auto" w:sz="4" w:space="0"/>
              <w:right w:val="single" w:color="auto" w:sz="4" w:space="0"/>
            </w:tcBorders>
            <w:noWrap/>
            <w:vAlign w:val="center"/>
          </w:tcPr>
          <w:p w14:paraId="38C76F0E">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5</w:t>
            </w:r>
          </w:p>
        </w:tc>
        <w:tc>
          <w:tcPr>
            <w:tcW w:w="938" w:type="pct"/>
            <w:tcBorders>
              <w:top w:val="nil"/>
              <w:left w:val="nil"/>
              <w:bottom w:val="single" w:color="auto" w:sz="4" w:space="0"/>
              <w:right w:val="single" w:color="auto" w:sz="4" w:space="0"/>
            </w:tcBorders>
            <w:vAlign w:val="center"/>
          </w:tcPr>
          <w:p w14:paraId="55FC3058">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配置管理</w:t>
            </w:r>
          </w:p>
        </w:tc>
        <w:tc>
          <w:tcPr>
            <w:tcW w:w="2169" w:type="pct"/>
            <w:tcBorders>
              <w:top w:val="nil"/>
              <w:left w:val="nil"/>
              <w:bottom w:val="single" w:color="auto" w:sz="4" w:space="0"/>
              <w:right w:val="single" w:color="auto" w:sz="4" w:space="0"/>
            </w:tcBorders>
            <w:vAlign w:val="center"/>
          </w:tcPr>
          <w:p w14:paraId="46D78C04">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包括审计报告模板管理、多源数据集成配置、外部系统接口管理、审计数据仓库运维监控模块</w:t>
            </w:r>
          </w:p>
        </w:tc>
        <w:tc>
          <w:tcPr>
            <w:tcW w:w="533" w:type="pct"/>
            <w:tcBorders>
              <w:top w:val="nil"/>
              <w:left w:val="nil"/>
              <w:bottom w:val="single" w:color="auto" w:sz="4" w:space="0"/>
              <w:right w:val="single" w:color="auto" w:sz="4" w:space="0"/>
            </w:tcBorders>
            <w:vAlign w:val="center"/>
          </w:tcPr>
          <w:p w14:paraId="56234C72">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533" w:type="pct"/>
            <w:tcBorders>
              <w:top w:val="nil"/>
              <w:left w:val="nil"/>
              <w:bottom w:val="single" w:color="auto" w:sz="4" w:space="0"/>
              <w:right w:val="single" w:color="auto" w:sz="4" w:space="0"/>
            </w:tcBorders>
            <w:vAlign w:val="center"/>
          </w:tcPr>
          <w:p w14:paraId="233886D6">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450" w:type="pct"/>
            <w:tcBorders>
              <w:top w:val="nil"/>
              <w:left w:val="nil"/>
              <w:bottom w:val="single" w:color="auto" w:sz="4" w:space="0"/>
              <w:right w:val="single" w:color="auto" w:sz="4" w:space="0"/>
            </w:tcBorders>
            <w:noWrap/>
            <w:vAlign w:val="center"/>
          </w:tcPr>
          <w:p w14:paraId="4A9975EA">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4BF87850">
        <w:tblPrEx>
          <w:tblCellMar>
            <w:top w:w="0" w:type="dxa"/>
            <w:left w:w="108" w:type="dxa"/>
            <w:bottom w:w="0" w:type="dxa"/>
            <w:right w:w="108" w:type="dxa"/>
          </w:tblCellMar>
        </w:tblPrEx>
        <w:trPr>
          <w:trHeight w:val="560" w:hRule="atLeast"/>
        </w:trPr>
        <w:tc>
          <w:tcPr>
            <w:tcW w:w="377" w:type="pct"/>
            <w:tcBorders>
              <w:top w:val="nil"/>
              <w:left w:val="single" w:color="auto" w:sz="4" w:space="0"/>
              <w:bottom w:val="single" w:color="auto" w:sz="4" w:space="0"/>
              <w:right w:val="single" w:color="auto" w:sz="4" w:space="0"/>
            </w:tcBorders>
            <w:noWrap/>
            <w:vAlign w:val="center"/>
          </w:tcPr>
          <w:p w14:paraId="430F3FE8">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6</w:t>
            </w:r>
          </w:p>
        </w:tc>
        <w:tc>
          <w:tcPr>
            <w:tcW w:w="938" w:type="pct"/>
            <w:tcBorders>
              <w:top w:val="nil"/>
              <w:left w:val="nil"/>
              <w:bottom w:val="single" w:color="auto" w:sz="4" w:space="0"/>
              <w:right w:val="single" w:color="auto" w:sz="4" w:space="0"/>
            </w:tcBorders>
            <w:vAlign w:val="center"/>
          </w:tcPr>
          <w:p w14:paraId="3B138312">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审计数据对接系统</w:t>
            </w:r>
          </w:p>
        </w:tc>
        <w:tc>
          <w:tcPr>
            <w:tcW w:w="2169" w:type="pct"/>
            <w:tcBorders>
              <w:top w:val="nil"/>
              <w:left w:val="nil"/>
              <w:bottom w:val="single" w:color="auto" w:sz="4" w:space="0"/>
              <w:right w:val="single" w:color="auto" w:sz="4" w:space="0"/>
            </w:tcBorders>
            <w:vAlign w:val="center"/>
          </w:tcPr>
          <w:p w14:paraId="76981091">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包括短信对接、财务系统对接、0A 系统对接等模块</w:t>
            </w:r>
          </w:p>
        </w:tc>
        <w:tc>
          <w:tcPr>
            <w:tcW w:w="533" w:type="pct"/>
            <w:tcBorders>
              <w:top w:val="nil"/>
              <w:left w:val="nil"/>
              <w:bottom w:val="single" w:color="auto" w:sz="4" w:space="0"/>
              <w:right w:val="single" w:color="auto" w:sz="4" w:space="0"/>
            </w:tcBorders>
            <w:vAlign w:val="center"/>
          </w:tcPr>
          <w:p w14:paraId="42C0925F">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533" w:type="pct"/>
            <w:tcBorders>
              <w:top w:val="nil"/>
              <w:left w:val="nil"/>
              <w:bottom w:val="single" w:color="auto" w:sz="4" w:space="0"/>
              <w:right w:val="single" w:color="auto" w:sz="4" w:space="0"/>
            </w:tcBorders>
            <w:vAlign w:val="center"/>
          </w:tcPr>
          <w:p w14:paraId="70BC1E8D">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450" w:type="pct"/>
            <w:tcBorders>
              <w:top w:val="nil"/>
              <w:left w:val="nil"/>
              <w:bottom w:val="single" w:color="auto" w:sz="4" w:space="0"/>
              <w:right w:val="single" w:color="auto" w:sz="4" w:space="0"/>
            </w:tcBorders>
            <w:noWrap/>
            <w:vAlign w:val="center"/>
          </w:tcPr>
          <w:p w14:paraId="7BECF178">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15D94C45">
        <w:tblPrEx>
          <w:tblCellMar>
            <w:top w:w="0" w:type="dxa"/>
            <w:left w:w="108" w:type="dxa"/>
            <w:bottom w:w="0" w:type="dxa"/>
            <w:right w:w="108" w:type="dxa"/>
          </w:tblCellMar>
        </w:tblPrEx>
        <w:trPr>
          <w:trHeight w:val="280" w:hRule="atLeast"/>
        </w:trPr>
        <w:tc>
          <w:tcPr>
            <w:tcW w:w="377" w:type="pct"/>
            <w:tcBorders>
              <w:top w:val="nil"/>
              <w:left w:val="single" w:color="auto" w:sz="4" w:space="0"/>
              <w:bottom w:val="single" w:color="auto" w:sz="4" w:space="0"/>
              <w:right w:val="single" w:color="auto" w:sz="4" w:space="0"/>
            </w:tcBorders>
            <w:noWrap/>
            <w:vAlign w:val="center"/>
          </w:tcPr>
          <w:p w14:paraId="162C6850">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四</w:t>
            </w:r>
          </w:p>
        </w:tc>
        <w:tc>
          <w:tcPr>
            <w:tcW w:w="4172" w:type="pct"/>
            <w:gridSpan w:val="4"/>
            <w:tcBorders>
              <w:top w:val="single" w:color="auto" w:sz="4" w:space="0"/>
              <w:left w:val="nil"/>
              <w:bottom w:val="single" w:color="auto" w:sz="4" w:space="0"/>
              <w:right w:val="single" w:color="auto" w:sz="4" w:space="0"/>
            </w:tcBorders>
            <w:vAlign w:val="center"/>
          </w:tcPr>
          <w:p w14:paraId="40AA70F9">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合规智能体</w:t>
            </w:r>
          </w:p>
        </w:tc>
        <w:tc>
          <w:tcPr>
            <w:tcW w:w="450" w:type="pct"/>
            <w:tcBorders>
              <w:top w:val="nil"/>
              <w:left w:val="nil"/>
              <w:bottom w:val="single" w:color="auto" w:sz="4" w:space="0"/>
              <w:right w:val="single" w:color="auto" w:sz="4" w:space="0"/>
            </w:tcBorders>
            <w:noWrap/>
            <w:vAlign w:val="center"/>
          </w:tcPr>
          <w:p w14:paraId="65BCC4DD">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22A3740B">
        <w:tblPrEx>
          <w:tblCellMar>
            <w:top w:w="0" w:type="dxa"/>
            <w:left w:w="108" w:type="dxa"/>
            <w:bottom w:w="0" w:type="dxa"/>
            <w:right w:w="108" w:type="dxa"/>
          </w:tblCellMar>
        </w:tblPrEx>
        <w:trPr>
          <w:trHeight w:val="840" w:hRule="atLeast"/>
        </w:trPr>
        <w:tc>
          <w:tcPr>
            <w:tcW w:w="377" w:type="pct"/>
            <w:tcBorders>
              <w:top w:val="nil"/>
              <w:left w:val="single" w:color="auto" w:sz="4" w:space="0"/>
              <w:bottom w:val="single" w:color="auto" w:sz="4" w:space="0"/>
              <w:right w:val="single" w:color="auto" w:sz="4" w:space="0"/>
            </w:tcBorders>
            <w:noWrap/>
            <w:vAlign w:val="center"/>
          </w:tcPr>
          <w:p w14:paraId="4C4FC1D1">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938" w:type="pct"/>
            <w:tcBorders>
              <w:top w:val="nil"/>
              <w:left w:val="nil"/>
              <w:bottom w:val="single" w:color="auto" w:sz="4" w:space="0"/>
              <w:right w:val="single" w:color="auto" w:sz="4" w:space="0"/>
            </w:tcBorders>
            <w:vAlign w:val="center"/>
          </w:tcPr>
          <w:p w14:paraId="2ACB4518">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文件结构解析管理</w:t>
            </w:r>
          </w:p>
        </w:tc>
        <w:tc>
          <w:tcPr>
            <w:tcW w:w="2169" w:type="pct"/>
            <w:tcBorders>
              <w:top w:val="nil"/>
              <w:left w:val="nil"/>
              <w:bottom w:val="single" w:color="auto" w:sz="4" w:space="0"/>
              <w:right w:val="single" w:color="auto" w:sz="4" w:space="0"/>
            </w:tcBorders>
            <w:vAlign w:val="center"/>
          </w:tcPr>
          <w:p w14:paraId="53267F36">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包括文档类型管理、文档结构完全配置文档结构正则配置、文档结构解析、配置检查点基本信息等模块</w:t>
            </w:r>
          </w:p>
        </w:tc>
        <w:tc>
          <w:tcPr>
            <w:tcW w:w="533" w:type="pct"/>
            <w:tcBorders>
              <w:top w:val="nil"/>
              <w:left w:val="nil"/>
              <w:bottom w:val="single" w:color="auto" w:sz="4" w:space="0"/>
              <w:right w:val="single" w:color="auto" w:sz="4" w:space="0"/>
            </w:tcBorders>
            <w:vAlign w:val="center"/>
          </w:tcPr>
          <w:p w14:paraId="06EB1E20">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533" w:type="pct"/>
            <w:tcBorders>
              <w:top w:val="nil"/>
              <w:left w:val="nil"/>
              <w:bottom w:val="single" w:color="auto" w:sz="4" w:space="0"/>
              <w:right w:val="single" w:color="auto" w:sz="4" w:space="0"/>
            </w:tcBorders>
            <w:vAlign w:val="center"/>
          </w:tcPr>
          <w:p w14:paraId="04EF6D7F">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450" w:type="pct"/>
            <w:tcBorders>
              <w:top w:val="nil"/>
              <w:left w:val="nil"/>
              <w:bottom w:val="single" w:color="auto" w:sz="4" w:space="0"/>
              <w:right w:val="single" w:color="auto" w:sz="4" w:space="0"/>
            </w:tcBorders>
            <w:noWrap/>
            <w:vAlign w:val="center"/>
          </w:tcPr>
          <w:p w14:paraId="704859A1">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41F59FDF">
        <w:tblPrEx>
          <w:tblCellMar>
            <w:top w:w="0" w:type="dxa"/>
            <w:left w:w="108" w:type="dxa"/>
            <w:bottom w:w="0" w:type="dxa"/>
            <w:right w:w="108" w:type="dxa"/>
          </w:tblCellMar>
        </w:tblPrEx>
        <w:trPr>
          <w:trHeight w:val="280" w:hRule="atLeast"/>
        </w:trPr>
        <w:tc>
          <w:tcPr>
            <w:tcW w:w="377" w:type="pct"/>
            <w:tcBorders>
              <w:top w:val="nil"/>
              <w:left w:val="single" w:color="auto" w:sz="4" w:space="0"/>
              <w:bottom w:val="single" w:color="auto" w:sz="4" w:space="0"/>
              <w:right w:val="single" w:color="auto" w:sz="4" w:space="0"/>
            </w:tcBorders>
            <w:noWrap/>
            <w:vAlign w:val="center"/>
          </w:tcPr>
          <w:p w14:paraId="73A79BE4">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2</w:t>
            </w:r>
          </w:p>
        </w:tc>
        <w:tc>
          <w:tcPr>
            <w:tcW w:w="938" w:type="pct"/>
            <w:tcBorders>
              <w:top w:val="nil"/>
              <w:left w:val="nil"/>
              <w:bottom w:val="single" w:color="auto" w:sz="4" w:space="0"/>
              <w:right w:val="single" w:color="auto" w:sz="4" w:space="0"/>
            </w:tcBorders>
            <w:vAlign w:val="center"/>
          </w:tcPr>
          <w:p w14:paraId="00146820">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专业知识库管理</w:t>
            </w:r>
          </w:p>
        </w:tc>
        <w:tc>
          <w:tcPr>
            <w:tcW w:w="2169" w:type="pct"/>
            <w:tcBorders>
              <w:top w:val="nil"/>
              <w:left w:val="nil"/>
              <w:bottom w:val="single" w:color="auto" w:sz="4" w:space="0"/>
              <w:right w:val="single" w:color="auto" w:sz="4" w:space="0"/>
            </w:tcBorders>
            <w:vAlign w:val="center"/>
          </w:tcPr>
          <w:p w14:paraId="29EB557D">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包括知识库管理、文件上传上传日志、知识库分段配置、知识库分段预览、知识库手动分段等模块</w:t>
            </w:r>
          </w:p>
        </w:tc>
        <w:tc>
          <w:tcPr>
            <w:tcW w:w="533" w:type="pct"/>
            <w:tcBorders>
              <w:top w:val="nil"/>
              <w:left w:val="nil"/>
              <w:bottom w:val="single" w:color="auto" w:sz="4" w:space="0"/>
              <w:right w:val="single" w:color="auto" w:sz="4" w:space="0"/>
            </w:tcBorders>
            <w:vAlign w:val="center"/>
          </w:tcPr>
          <w:p w14:paraId="443B694A">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533" w:type="pct"/>
            <w:tcBorders>
              <w:top w:val="nil"/>
              <w:left w:val="nil"/>
              <w:bottom w:val="single" w:color="auto" w:sz="4" w:space="0"/>
              <w:right w:val="single" w:color="auto" w:sz="4" w:space="0"/>
            </w:tcBorders>
            <w:vAlign w:val="center"/>
          </w:tcPr>
          <w:p w14:paraId="36430AEF">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450" w:type="pct"/>
            <w:tcBorders>
              <w:top w:val="nil"/>
              <w:left w:val="nil"/>
              <w:bottom w:val="single" w:color="auto" w:sz="4" w:space="0"/>
              <w:right w:val="single" w:color="auto" w:sz="4" w:space="0"/>
            </w:tcBorders>
            <w:noWrap/>
            <w:vAlign w:val="center"/>
          </w:tcPr>
          <w:p w14:paraId="45073E80">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40D5C38D">
        <w:tblPrEx>
          <w:tblCellMar>
            <w:top w:w="0" w:type="dxa"/>
            <w:left w:w="108" w:type="dxa"/>
            <w:bottom w:w="0" w:type="dxa"/>
            <w:right w:w="108" w:type="dxa"/>
          </w:tblCellMar>
        </w:tblPrEx>
        <w:trPr>
          <w:trHeight w:val="280" w:hRule="atLeast"/>
        </w:trPr>
        <w:tc>
          <w:tcPr>
            <w:tcW w:w="377" w:type="pct"/>
            <w:tcBorders>
              <w:top w:val="nil"/>
              <w:left w:val="single" w:color="auto" w:sz="4" w:space="0"/>
              <w:bottom w:val="single" w:color="auto" w:sz="4" w:space="0"/>
              <w:right w:val="single" w:color="auto" w:sz="4" w:space="0"/>
            </w:tcBorders>
            <w:noWrap/>
            <w:vAlign w:val="center"/>
          </w:tcPr>
          <w:p w14:paraId="07031305">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3</w:t>
            </w:r>
          </w:p>
        </w:tc>
        <w:tc>
          <w:tcPr>
            <w:tcW w:w="938" w:type="pct"/>
            <w:tcBorders>
              <w:top w:val="nil"/>
              <w:left w:val="nil"/>
              <w:bottom w:val="single" w:color="auto" w:sz="4" w:space="0"/>
              <w:right w:val="single" w:color="auto" w:sz="4" w:space="0"/>
            </w:tcBorders>
            <w:vAlign w:val="center"/>
          </w:tcPr>
          <w:p w14:paraId="1BFD549A">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审查类型管理</w:t>
            </w:r>
          </w:p>
        </w:tc>
        <w:tc>
          <w:tcPr>
            <w:tcW w:w="2169" w:type="pct"/>
            <w:tcBorders>
              <w:top w:val="nil"/>
              <w:left w:val="nil"/>
              <w:bottom w:val="single" w:color="auto" w:sz="4" w:space="0"/>
              <w:right w:val="single" w:color="auto" w:sz="4" w:space="0"/>
            </w:tcBorders>
            <w:vAlign w:val="center"/>
          </w:tcPr>
          <w:p w14:paraId="60A34ABF">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包括审查类型管理、配置文档类型模块</w:t>
            </w:r>
          </w:p>
        </w:tc>
        <w:tc>
          <w:tcPr>
            <w:tcW w:w="533" w:type="pct"/>
            <w:tcBorders>
              <w:top w:val="nil"/>
              <w:left w:val="nil"/>
              <w:bottom w:val="single" w:color="auto" w:sz="4" w:space="0"/>
              <w:right w:val="single" w:color="auto" w:sz="4" w:space="0"/>
            </w:tcBorders>
            <w:vAlign w:val="center"/>
          </w:tcPr>
          <w:p w14:paraId="73776111">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533" w:type="pct"/>
            <w:tcBorders>
              <w:top w:val="nil"/>
              <w:left w:val="nil"/>
              <w:bottom w:val="single" w:color="auto" w:sz="4" w:space="0"/>
              <w:right w:val="single" w:color="auto" w:sz="4" w:space="0"/>
            </w:tcBorders>
            <w:vAlign w:val="center"/>
          </w:tcPr>
          <w:p w14:paraId="45D3C7A8">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450" w:type="pct"/>
            <w:tcBorders>
              <w:top w:val="nil"/>
              <w:left w:val="nil"/>
              <w:bottom w:val="single" w:color="auto" w:sz="4" w:space="0"/>
              <w:right w:val="single" w:color="auto" w:sz="4" w:space="0"/>
            </w:tcBorders>
            <w:noWrap/>
            <w:vAlign w:val="center"/>
          </w:tcPr>
          <w:p w14:paraId="689F42E2">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1647C1FA">
        <w:tblPrEx>
          <w:tblCellMar>
            <w:top w:w="0" w:type="dxa"/>
            <w:left w:w="108" w:type="dxa"/>
            <w:bottom w:w="0" w:type="dxa"/>
            <w:right w:w="108" w:type="dxa"/>
          </w:tblCellMar>
        </w:tblPrEx>
        <w:trPr>
          <w:trHeight w:val="280" w:hRule="atLeast"/>
        </w:trPr>
        <w:tc>
          <w:tcPr>
            <w:tcW w:w="377" w:type="pct"/>
            <w:tcBorders>
              <w:top w:val="nil"/>
              <w:left w:val="single" w:color="auto" w:sz="4" w:space="0"/>
              <w:bottom w:val="single" w:color="auto" w:sz="4" w:space="0"/>
              <w:right w:val="single" w:color="auto" w:sz="4" w:space="0"/>
            </w:tcBorders>
            <w:noWrap/>
            <w:vAlign w:val="center"/>
          </w:tcPr>
          <w:p w14:paraId="63BBBDD4">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4</w:t>
            </w:r>
          </w:p>
        </w:tc>
        <w:tc>
          <w:tcPr>
            <w:tcW w:w="938" w:type="pct"/>
            <w:tcBorders>
              <w:top w:val="nil"/>
              <w:left w:val="nil"/>
              <w:bottom w:val="single" w:color="auto" w:sz="4" w:space="0"/>
              <w:right w:val="single" w:color="auto" w:sz="4" w:space="0"/>
            </w:tcBorders>
            <w:vAlign w:val="center"/>
          </w:tcPr>
          <w:p w14:paraId="346E6467">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文档审查管理</w:t>
            </w:r>
          </w:p>
        </w:tc>
        <w:tc>
          <w:tcPr>
            <w:tcW w:w="2169" w:type="pct"/>
            <w:tcBorders>
              <w:top w:val="nil"/>
              <w:left w:val="nil"/>
              <w:bottom w:val="single" w:color="auto" w:sz="4" w:space="0"/>
              <w:right w:val="single" w:color="auto" w:sz="4" w:space="0"/>
            </w:tcBorders>
            <w:vAlign w:val="center"/>
          </w:tcPr>
          <w:p w14:paraId="0A0E9CF6">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包括合同文件上传解析、合同在线预览、AI合同概览总结、AI合同类型评估、合同审查清单生成、合同审查结果展示、审查风险数量统计等模块</w:t>
            </w:r>
          </w:p>
        </w:tc>
        <w:tc>
          <w:tcPr>
            <w:tcW w:w="533" w:type="pct"/>
            <w:tcBorders>
              <w:top w:val="nil"/>
              <w:left w:val="nil"/>
              <w:bottom w:val="single" w:color="auto" w:sz="4" w:space="0"/>
              <w:right w:val="single" w:color="auto" w:sz="4" w:space="0"/>
            </w:tcBorders>
            <w:vAlign w:val="center"/>
          </w:tcPr>
          <w:p w14:paraId="6DA83F2A">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533" w:type="pct"/>
            <w:tcBorders>
              <w:top w:val="nil"/>
              <w:left w:val="nil"/>
              <w:bottom w:val="single" w:color="auto" w:sz="4" w:space="0"/>
              <w:right w:val="single" w:color="auto" w:sz="4" w:space="0"/>
            </w:tcBorders>
            <w:vAlign w:val="center"/>
          </w:tcPr>
          <w:p w14:paraId="6A8C1821">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450" w:type="pct"/>
            <w:tcBorders>
              <w:top w:val="nil"/>
              <w:left w:val="nil"/>
              <w:bottom w:val="single" w:color="auto" w:sz="4" w:space="0"/>
              <w:right w:val="single" w:color="auto" w:sz="4" w:space="0"/>
            </w:tcBorders>
            <w:noWrap/>
            <w:vAlign w:val="center"/>
          </w:tcPr>
          <w:p w14:paraId="1B869D28">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6839F46B">
        <w:tblPrEx>
          <w:tblCellMar>
            <w:top w:w="0" w:type="dxa"/>
            <w:left w:w="108" w:type="dxa"/>
            <w:bottom w:w="0" w:type="dxa"/>
            <w:right w:w="108" w:type="dxa"/>
          </w:tblCellMar>
        </w:tblPrEx>
        <w:trPr>
          <w:trHeight w:val="280" w:hRule="atLeast"/>
        </w:trPr>
        <w:tc>
          <w:tcPr>
            <w:tcW w:w="377" w:type="pct"/>
            <w:tcBorders>
              <w:top w:val="nil"/>
              <w:left w:val="single" w:color="auto" w:sz="4" w:space="0"/>
              <w:bottom w:val="single" w:color="auto" w:sz="4" w:space="0"/>
              <w:right w:val="single" w:color="auto" w:sz="4" w:space="0"/>
            </w:tcBorders>
            <w:noWrap/>
            <w:vAlign w:val="center"/>
          </w:tcPr>
          <w:p w14:paraId="59E9615F">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5</w:t>
            </w:r>
          </w:p>
        </w:tc>
        <w:tc>
          <w:tcPr>
            <w:tcW w:w="938" w:type="pct"/>
            <w:tcBorders>
              <w:top w:val="nil"/>
              <w:left w:val="nil"/>
              <w:bottom w:val="single" w:color="auto" w:sz="4" w:space="0"/>
              <w:right w:val="single" w:color="auto" w:sz="4" w:space="0"/>
            </w:tcBorders>
            <w:vAlign w:val="center"/>
          </w:tcPr>
          <w:p w14:paraId="69495346">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可视化规则引擎平台</w:t>
            </w:r>
          </w:p>
        </w:tc>
        <w:tc>
          <w:tcPr>
            <w:tcW w:w="2169" w:type="pct"/>
            <w:tcBorders>
              <w:top w:val="nil"/>
              <w:left w:val="nil"/>
              <w:bottom w:val="single" w:color="auto" w:sz="4" w:space="0"/>
              <w:right w:val="single" w:color="auto" w:sz="4" w:space="0"/>
            </w:tcBorders>
            <w:vAlign w:val="center"/>
          </w:tcPr>
          <w:p w14:paraId="3D0C957F">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包括可视化拖拽节点、工作流变量参数配置、LLM大模型工具配置、提示词配置、工作流引擎、工作流执行监控日志、工作流执行实时调试等模块</w:t>
            </w:r>
          </w:p>
        </w:tc>
        <w:tc>
          <w:tcPr>
            <w:tcW w:w="533" w:type="pct"/>
            <w:tcBorders>
              <w:top w:val="nil"/>
              <w:left w:val="nil"/>
              <w:bottom w:val="single" w:color="auto" w:sz="4" w:space="0"/>
              <w:right w:val="single" w:color="auto" w:sz="4" w:space="0"/>
            </w:tcBorders>
            <w:vAlign w:val="center"/>
          </w:tcPr>
          <w:p w14:paraId="26D006A6">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533" w:type="pct"/>
            <w:tcBorders>
              <w:top w:val="nil"/>
              <w:left w:val="nil"/>
              <w:bottom w:val="single" w:color="auto" w:sz="4" w:space="0"/>
              <w:right w:val="single" w:color="auto" w:sz="4" w:space="0"/>
            </w:tcBorders>
            <w:vAlign w:val="center"/>
          </w:tcPr>
          <w:p w14:paraId="159BDC28">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450" w:type="pct"/>
            <w:tcBorders>
              <w:top w:val="nil"/>
              <w:left w:val="nil"/>
              <w:bottom w:val="single" w:color="auto" w:sz="4" w:space="0"/>
              <w:right w:val="single" w:color="auto" w:sz="4" w:space="0"/>
            </w:tcBorders>
            <w:noWrap/>
            <w:vAlign w:val="center"/>
          </w:tcPr>
          <w:p w14:paraId="1759B9CF">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360BDAAD">
        <w:tblPrEx>
          <w:tblCellMar>
            <w:top w:w="0" w:type="dxa"/>
            <w:left w:w="108" w:type="dxa"/>
            <w:bottom w:w="0" w:type="dxa"/>
            <w:right w:w="108" w:type="dxa"/>
          </w:tblCellMar>
        </w:tblPrEx>
        <w:trPr>
          <w:trHeight w:val="840" w:hRule="atLeast"/>
        </w:trPr>
        <w:tc>
          <w:tcPr>
            <w:tcW w:w="377" w:type="pct"/>
            <w:tcBorders>
              <w:top w:val="nil"/>
              <w:left w:val="single" w:color="auto" w:sz="4" w:space="0"/>
              <w:bottom w:val="single" w:color="auto" w:sz="4" w:space="0"/>
              <w:right w:val="single" w:color="auto" w:sz="4" w:space="0"/>
            </w:tcBorders>
            <w:vAlign w:val="center"/>
          </w:tcPr>
          <w:p w14:paraId="12628BE2">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6</w:t>
            </w:r>
          </w:p>
        </w:tc>
        <w:tc>
          <w:tcPr>
            <w:tcW w:w="938" w:type="pct"/>
            <w:tcBorders>
              <w:top w:val="nil"/>
              <w:left w:val="nil"/>
              <w:bottom w:val="single" w:color="auto" w:sz="4" w:space="0"/>
              <w:right w:val="single" w:color="auto" w:sz="4" w:space="0"/>
            </w:tcBorders>
            <w:vAlign w:val="center"/>
          </w:tcPr>
          <w:p w14:paraId="699D1CDD">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场景实施服务</w:t>
            </w:r>
          </w:p>
        </w:tc>
        <w:tc>
          <w:tcPr>
            <w:tcW w:w="2169" w:type="pct"/>
            <w:tcBorders>
              <w:top w:val="nil"/>
              <w:left w:val="nil"/>
              <w:bottom w:val="single" w:color="auto" w:sz="4" w:space="0"/>
              <w:right w:val="single" w:color="auto" w:sz="4" w:space="0"/>
            </w:tcBorders>
            <w:vAlign w:val="center"/>
          </w:tcPr>
          <w:p w14:paraId="4B693A3A">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场景实施服务围绕合同文件数据，开展需求分析分类、关键要素整理、AI 审查工作流编排、提示语调整及工作流迭代调优</w:t>
            </w:r>
          </w:p>
        </w:tc>
        <w:tc>
          <w:tcPr>
            <w:tcW w:w="533" w:type="pct"/>
            <w:tcBorders>
              <w:top w:val="nil"/>
              <w:left w:val="nil"/>
              <w:bottom w:val="single" w:color="auto" w:sz="4" w:space="0"/>
              <w:right w:val="single" w:color="auto" w:sz="4" w:space="0"/>
            </w:tcBorders>
            <w:vAlign w:val="center"/>
          </w:tcPr>
          <w:p w14:paraId="1EEBAB26">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533" w:type="pct"/>
            <w:tcBorders>
              <w:top w:val="nil"/>
              <w:left w:val="nil"/>
              <w:bottom w:val="single" w:color="auto" w:sz="4" w:space="0"/>
              <w:right w:val="single" w:color="auto" w:sz="4" w:space="0"/>
            </w:tcBorders>
            <w:vAlign w:val="center"/>
          </w:tcPr>
          <w:p w14:paraId="52118FBE">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450" w:type="pct"/>
            <w:tcBorders>
              <w:top w:val="nil"/>
              <w:left w:val="nil"/>
              <w:bottom w:val="single" w:color="auto" w:sz="4" w:space="0"/>
              <w:right w:val="single" w:color="auto" w:sz="4" w:space="0"/>
            </w:tcBorders>
            <w:noWrap/>
            <w:vAlign w:val="center"/>
          </w:tcPr>
          <w:p w14:paraId="06C45C0C">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13D24AE9">
        <w:tblPrEx>
          <w:tblCellMar>
            <w:top w:w="0" w:type="dxa"/>
            <w:left w:w="108" w:type="dxa"/>
            <w:bottom w:w="0" w:type="dxa"/>
            <w:right w:w="108" w:type="dxa"/>
          </w:tblCellMar>
        </w:tblPrEx>
        <w:trPr>
          <w:trHeight w:val="280" w:hRule="atLeast"/>
        </w:trPr>
        <w:tc>
          <w:tcPr>
            <w:tcW w:w="377" w:type="pct"/>
            <w:tcBorders>
              <w:top w:val="nil"/>
              <w:left w:val="single" w:color="auto" w:sz="4" w:space="0"/>
              <w:bottom w:val="single" w:color="auto" w:sz="4" w:space="0"/>
              <w:right w:val="single" w:color="auto" w:sz="4" w:space="0"/>
            </w:tcBorders>
            <w:noWrap/>
            <w:vAlign w:val="center"/>
          </w:tcPr>
          <w:p w14:paraId="7FD10007">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五</w:t>
            </w:r>
          </w:p>
        </w:tc>
        <w:tc>
          <w:tcPr>
            <w:tcW w:w="4172" w:type="pct"/>
            <w:gridSpan w:val="4"/>
            <w:tcBorders>
              <w:top w:val="single" w:color="auto" w:sz="4" w:space="0"/>
              <w:left w:val="nil"/>
              <w:bottom w:val="single" w:color="auto" w:sz="4" w:space="0"/>
              <w:right w:val="single" w:color="auto" w:sz="4" w:space="0"/>
            </w:tcBorders>
            <w:vAlign w:val="center"/>
          </w:tcPr>
          <w:p w14:paraId="0FFAFCF0">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智能档案管理系统</w:t>
            </w:r>
          </w:p>
        </w:tc>
        <w:tc>
          <w:tcPr>
            <w:tcW w:w="450" w:type="pct"/>
            <w:tcBorders>
              <w:top w:val="nil"/>
              <w:left w:val="nil"/>
              <w:bottom w:val="single" w:color="auto" w:sz="4" w:space="0"/>
              <w:right w:val="single" w:color="auto" w:sz="4" w:space="0"/>
            </w:tcBorders>
            <w:noWrap/>
            <w:vAlign w:val="center"/>
          </w:tcPr>
          <w:p w14:paraId="2AC64859">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2302E5ED">
        <w:tblPrEx>
          <w:tblCellMar>
            <w:top w:w="0" w:type="dxa"/>
            <w:left w:w="108" w:type="dxa"/>
            <w:bottom w:w="0" w:type="dxa"/>
            <w:right w:w="108" w:type="dxa"/>
          </w:tblCellMar>
        </w:tblPrEx>
        <w:trPr>
          <w:trHeight w:val="270" w:hRule="atLeast"/>
        </w:trPr>
        <w:tc>
          <w:tcPr>
            <w:tcW w:w="377" w:type="pct"/>
            <w:tcBorders>
              <w:top w:val="nil"/>
              <w:left w:val="single" w:color="auto" w:sz="4" w:space="0"/>
              <w:bottom w:val="single" w:color="auto" w:sz="4" w:space="0"/>
              <w:right w:val="single" w:color="auto" w:sz="4" w:space="0"/>
            </w:tcBorders>
            <w:noWrap/>
            <w:vAlign w:val="center"/>
          </w:tcPr>
          <w:p w14:paraId="0590988D">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lang w:bidi="ar"/>
              </w:rPr>
              <w:t>1</w:t>
            </w:r>
          </w:p>
        </w:tc>
        <w:tc>
          <w:tcPr>
            <w:tcW w:w="938" w:type="pct"/>
            <w:tcBorders>
              <w:top w:val="nil"/>
              <w:left w:val="nil"/>
              <w:bottom w:val="single" w:color="auto" w:sz="4" w:space="0"/>
              <w:right w:val="single" w:color="auto" w:sz="4" w:space="0"/>
            </w:tcBorders>
            <w:vAlign w:val="center"/>
          </w:tcPr>
          <w:p w14:paraId="17390CC7">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lang w:bidi="ar"/>
              </w:rPr>
              <w:t>智能档案管理系统PC端</w:t>
            </w:r>
          </w:p>
        </w:tc>
        <w:tc>
          <w:tcPr>
            <w:tcW w:w="2169" w:type="pct"/>
            <w:tcBorders>
              <w:top w:val="nil"/>
              <w:left w:val="nil"/>
              <w:bottom w:val="single" w:color="auto" w:sz="4" w:space="0"/>
              <w:right w:val="single" w:color="auto" w:sz="4" w:space="0"/>
            </w:tcBorders>
            <w:vAlign w:val="center"/>
          </w:tcPr>
          <w:p w14:paraId="02ABE093">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lang w:bidi="ar"/>
              </w:rPr>
              <w:t>以《广东省企业数字档案室建设评价标准》（粤档发〔2022〕14号）为建设基础，结合集团现有档案管理现状与中长期数字化规划，构建档案收集、整理、保管、利用、鉴定、销毁、统计、移交全流程闭环管理体系，系统全宗、用户的数量不限。</w:t>
            </w:r>
          </w:p>
        </w:tc>
        <w:tc>
          <w:tcPr>
            <w:tcW w:w="533" w:type="pct"/>
            <w:tcBorders>
              <w:top w:val="nil"/>
              <w:left w:val="nil"/>
              <w:bottom w:val="single" w:color="auto" w:sz="4" w:space="0"/>
              <w:right w:val="single" w:color="auto" w:sz="4" w:space="0"/>
            </w:tcBorders>
            <w:vAlign w:val="center"/>
          </w:tcPr>
          <w:p w14:paraId="16D3164F">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lang w:bidi="ar"/>
              </w:rPr>
              <w:t>1</w:t>
            </w:r>
          </w:p>
        </w:tc>
        <w:tc>
          <w:tcPr>
            <w:tcW w:w="533" w:type="pct"/>
            <w:tcBorders>
              <w:top w:val="nil"/>
              <w:left w:val="nil"/>
              <w:bottom w:val="single" w:color="auto" w:sz="4" w:space="0"/>
              <w:right w:val="single" w:color="auto" w:sz="4" w:space="0"/>
            </w:tcBorders>
            <w:vAlign w:val="center"/>
          </w:tcPr>
          <w:p w14:paraId="3B0BA34D">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lang w:bidi="ar"/>
              </w:rPr>
              <w:t>项</w:t>
            </w:r>
          </w:p>
        </w:tc>
        <w:tc>
          <w:tcPr>
            <w:tcW w:w="450" w:type="pct"/>
            <w:tcBorders>
              <w:top w:val="nil"/>
              <w:left w:val="nil"/>
              <w:bottom w:val="single" w:color="auto" w:sz="4" w:space="0"/>
              <w:right w:val="single" w:color="auto" w:sz="4" w:space="0"/>
            </w:tcBorders>
            <w:vAlign w:val="center"/>
          </w:tcPr>
          <w:p w14:paraId="4884A035">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　</w:t>
            </w:r>
          </w:p>
        </w:tc>
      </w:tr>
      <w:tr w14:paraId="488042AE">
        <w:tblPrEx>
          <w:tblCellMar>
            <w:top w:w="0" w:type="dxa"/>
            <w:left w:w="108" w:type="dxa"/>
            <w:bottom w:w="0" w:type="dxa"/>
            <w:right w:w="108" w:type="dxa"/>
          </w:tblCellMar>
        </w:tblPrEx>
        <w:trPr>
          <w:trHeight w:val="560" w:hRule="atLeast"/>
        </w:trPr>
        <w:tc>
          <w:tcPr>
            <w:tcW w:w="377" w:type="pct"/>
            <w:tcBorders>
              <w:top w:val="nil"/>
              <w:left w:val="single" w:color="auto" w:sz="4" w:space="0"/>
              <w:bottom w:val="single" w:color="auto" w:sz="4" w:space="0"/>
              <w:right w:val="single" w:color="auto" w:sz="4" w:space="0"/>
            </w:tcBorders>
            <w:noWrap/>
            <w:vAlign w:val="center"/>
          </w:tcPr>
          <w:p w14:paraId="413B7250">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lang w:bidi="ar"/>
              </w:rPr>
              <w:t>2</w:t>
            </w:r>
          </w:p>
        </w:tc>
        <w:tc>
          <w:tcPr>
            <w:tcW w:w="938" w:type="pct"/>
            <w:tcBorders>
              <w:top w:val="nil"/>
              <w:left w:val="nil"/>
              <w:bottom w:val="single" w:color="auto" w:sz="4" w:space="0"/>
              <w:right w:val="single" w:color="auto" w:sz="4" w:space="0"/>
            </w:tcBorders>
            <w:vAlign w:val="center"/>
          </w:tcPr>
          <w:p w14:paraId="209D5044">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lang w:bidi="ar"/>
              </w:rPr>
              <w:t>智能档案管理系统移动端</w:t>
            </w:r>
          </w:p>
        </w:tc>
        <w:tc>
          <w:tcPr>
            <w:tcW w:w="2169" w:type="pct"/>
            <w:tcBorders>
              <w:top w:val="nil"/>
              <w:left w:val="nil"/>
              <w:bottom w:val="single" w:color="auto" w:sz="4" w:space="0"/>
              <w:right w:val="single" w:color="auto" w:sz="4" w:space="0"/>
            </w:tcBorders>
            <w:vAlign w:val="center"/>
          </w:tcPr>
          <w:p w14:paraId="4E1CF514">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lang w:bidi="ar"/>
              </w:rPr>
              <w:t>具备档案在线借阅审批、档案查阅等功能</w:t>
            </w:r>
          </w:p>
        </w:tc>
        <w:tc>
          <w:tcPr>
            <w:tcW w:w="533" w:type="pct"/>
            <w:tcBorders>
              <w:top w:val="nil"/>
              <w:left w:val="nil"/>
              <w:bottom w:val="single" w:color="auto" w:sz="4" w:space="0"/>
              <w:right w:val="single" w:color="auto" w:sz="4" w:space="0"/>
            </w:tcBorders>
            <w:vAlign w:val="center"/>
          </w:tcPr>
          <w:p w14:paraId="47F2D8D5">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lang w:bidi="ar"/>
              </w:rPr>
              <w:t>1</w:t>
            </w:r>
          </w:p>
        </w:tc>
        <w:tc>
          <w:tcPr>
            <w:tcW w:w="533" w:type="pct"/>
            <w:tcBorders>
              <w:top w:val="nil"/>
              <w:left w:val="nil"/>
              <w:bottom w:val="single" w:color="auto" w:sz="4" w:space="0"/>
              <w:right w:val="single" w:color="auto" w:sz="4" w:space="0"/>
            </w:tcBorders>
            <w:vAlign w:val="center"/>
          </w:tcPr>
          <w:p w14:paraId="4A7531AE">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lang w:bidi="ar"/>
              </w:rPr>
              <w:t>项</w:t>
            </w:r>
          </w:p>
        </w:tc>
        <w:tc>
          <w:tcPr>
            <w:tcW w:w="450" w:type="pct"/>
            <w:tcBorders>
              <w:top w:val="nil"/>
              <w:left w:val="nil"/>
              <w:bottom w:val="single" w:color="auto" w:sz="4" w:space="0"/>
              <w:right w:val="single" w:color="auto" w:sz="4" w:space="0"/>
            </w:tcBorders>
            <w:noWrap/>
            <w:vAlign w:val="center"/>
          </w:tcPr>
          <w:p w14:paraId="0CFFB2EF">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kern w:val="0"/>
                <w:sz w:val="22"/>
                <w:szCs w:val="22"/>
              </w:rPr>
              <w:t>　</w:t>
            </w:r>
          </w:p>
        </w:tc>
      </w:tr>
      <w:tr w14:paraId="1D864F54">
        <w:tblPrEx>
          <w:tblCellMar>
            <w:top w:w="0" w:type="dxa"/>
            <w:left w:w="108" w:type="dxa"/>
            <w:bottom w:w="0" w:type="dxa"/>
            <w:right w:w="108" w:type="dxa"/>
          </w:tblCellMar>
        </w:tblPrEx>
        <w:trPr>
          <w:trHeight w:val="840" w:hRule="atLeast"/>
        </w:trPr>
        <w:tc>
          <w:tcPr>
            <w:tcW w:w="377" w:type="pct"/>
            <w:tcBorders>
              <w:top w:val="nil"/>
              <w:left w:val="single" w:color="auto" w:sz="4" w:space="0"/>
              <w:bottom w:val="single" w:color="auto" w:sz="4" w:space="0"/>
              <w:right w:val="single" w:color="auto" w:sz="4" w:space="0"/>
            </w:tcBorders>
            <w:noWrap/>
            <w:vAlign w:val="center"/>
          </w:tcPr>
          <w:p w14:paraId="7B8AEE77">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lang w:bidi="ar"/>
              </w:rPr>
              <w:t>3</w:t>
            </w:r>
          </w:p>
        </w:tc>
        <w:tc>
          <w:tcPr>
            <w:tcW w:w="938" w:type="pct"/>
            <w:tcBorders>
              <w:top w:val="nil"/>
              <w:left w:val="nil"/>
              <w:bottom w:val="single" w:color="auto" w:sz="4" w:space="0"/>
              <w:right w:val="single" w:color="auto" w:sz="4" w:space="0"/>
            </w:tcBorders>
            <w:vAlign w:val="center"/>
          </w:tcPr>
          <w:p w14:paraId="1BEB4298">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lang w:bidi="ar"/>
              </w:rPr>
              <w:t>AI功能</w:t>
            </w:r>
          </w:p>
        </w:tc>
        <w:tc>
          <w:tcPr>
            <w:tcW w:w="2169" w:type="pct"/>
            <w:tcBorders>
              <w:top w:val="nil"/>
              <w:left w:val="nil"/>
              <w:bottom w:val="single" w:color="auto" w:sz="4" w:space="0"/>
              <w:right w:val="single" w:color="auto" w:sz="4" w:space="0"/>
            </w:tcBorders>
            <w:vAlign w:val="center"/>
          </w:tcPr>
          <w:p w14:paraId="2B668255">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lang w:bidi="ar"/>
              </w:rPr>
              <w:t>基于集团本地部署的大模型，实现AI知识库和AI智能著录智能体等功能</w:t>
            </w:r>
          </w:p>
        </w:tc>
        <w:tc>
          <w:tcPr>
            <w:tcW w:w="533" w:type="pct"/>
            <w:tcBorders>
              <w:top w:val="nil"/>
              <w:left w:val="nil"/>
              <w:bottom w:val="single" w:color="auto" w:sz="4" w:space="0"/>
              <w:right w:val="single" w:color="auto" w:sz="4" w:space="0"/>
            </w:tcBorders>
            <w:vAlign w:val="center"/>
          </w:tcPr>
          <w:p w14:paraId="16A2CACD">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lang w:bidi="ar"/>
              </w:rPr>
              <w:t>1</w:t>
            </w:r>
          </w:p>
        </w:tc>
        <w:tc>
          <w:tcPr>
            <w:tcW w:w="533" w:type="pct"/>
            <w:tcBorders>
              <w:top w:val="nil"/>
              <w:left w:val="nil"/>
              <w:bottom w:val="single" w:color="auto" w:sz="4" w:space="0"/>
              <w:right w:val="single" w:color="auto" w:sz="4" w:space="0"/>
            </w:tcBorders>
            <w:vAlign w:val="center"/>
          </w:tcPr>
          <w:p w14:paraId="7E4ADEBB">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lang w:bidi="ar"/>
              </w:rPr>
              <w:t>项</w:t>
            </w:r>
          </w:p>
        </w:tc>
        <w:tc>
          <w:tcPr>
            <w:tcW w:w="450" w:type="pct"/>
            <w:tcBorders>
              <w:top w:val="nil"/>
              <w:left w:val="nil"/>
              <w:bottom w:val="single" w:color="auto" w:sz="4" w:space="0"/>
              <w:right w:val="single" w:color="auto" w:sz="4" w:space="0"/>
            </w:tcBorders>
            <w:noWrap/>
            <w:vAlign w:val="center"/>
          </w:tcPr>
          <w:p w14:paraId="194F97FC">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kern w:val="0"/>
                <w:sz w:val="22"/>
                <w:szCs w:val="22"/>
              </w:rPr>
              <w:t>　</w:t>
            </w:r>
          </w:p>
        </w:tc>
      </w:tr>
      <w:tr w14:paraId="241070BE">
        <w:tblPrEx>
          <w:tblCellMar>
            <w:top w:w="0" w:type="dxa"/>
            <w:left w:w="108" w:type="dxa"/>
            <w:bottom w:w="0" w:type="dxa"/>
            <w:right w:w="108" w:type="dxa"/>
          </w:tblCellMar>
        </w:tblPrEx>
        <w:trPr>
          <w:trHeight w:val="280" w:hRule="atLeast"/>
        </w:trPr>
        <w:tc>
          <w:tcPr>
            <w:tcW w:w="377" w:type="pct"/>
            <w:tcBorders>
              <w:top w:val="nil"/>
              <w:left w:val="single" w:color="auto" w:sz="4" w:space="0"/>
              <w:bottom w:val="single" w:color="auto" w:sz="4" w:space="0"/>
              <w:right w:val="single" w:color="auto" w:sz="4" w:space="0"/>
            </w:tcBorders>
            <w:noWrap/>
            <w:vAlign w:val="center"/>
          </w:tcPr>
          <w:p w14:paraId="449E0682">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lang w:bidi="ar"/>
              </w:rPr>
              <w:t>4</w:t>
            </w:r>
          </w:p>
        </w:tc>
        <w:tc>
          <w:tcPr>
            <w:tcW w:w="938" w:type="pct"/>
            <w:tcBorders>
              <w:top w:val="nil"/>
              <w:left w:val="nil"/>
              <w:bottom w:val="single" w:color="auto" w:sz="4" w:space="0"/>
              <w:right w:val="single" w:color="auto" w:sz="4" w:space="0"/>
            </w:tcBorders>
            <w:vAlign w:val="center"/>
          </w:tcPr>
          <w:p w14:paraId="7D6C7D84">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lang w:bidi="ar"/>
              </w:rPr>
              <w:t>系统对接</w:t>
            </w:r>
          </w:p>
        </w:tc>
        <w:tc>
          <w:tcPr>
            <w:tcW w:w="2169" w:type="pct"/>
            <w:tcBorders>
              <w:top w:val="nil"/>
              <w:left w:val="nil"/>
              <w:bottom w:val="single" w:color="auto" w:sz="4" w:space="0"/>
              <w:right w:val="single" w:color="auto" w:sz="4" w:space="0"/>
            </w:tcBorders>
            <w:vAlign w:val="center"/>
          </w:tcPr>
          <w:p w14:paraId="46183E6B">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lang w:bidi="ar"/>
              </w:rPr>
              <w:t>实现</w:t>
            </w:r>
            <w:r>
              <w:rPr>
                <w:rFonts w:hint="eastAsia" w:ascii="宋体" w:hAnsi="宋体" w:cs="宋体"/>
                <w:kern w:val="0"/>
                <w:sz w:val="22"/>
                <w:szCs w:val="22"/>
                <w:lang w:val="en-US" w:eastAsia="zh-CN" w:bidi="ar"/>
              </w:rPr>
              <w:t>政务OA系统、集团</w:t>
            </w:r>
            <w:r>
              <w:rPr>
                <w:rFonts w:hint="eastAsia" w:ascii="宋体" w:hAnsi="宋体" w:cs="宋体"/>
                <w:kern w:val="0"/>
                <w:sz w:val="22"/>
                <w:szCs w:val="22"/>
                <w:lang w:bidi="ar"/>
              </w:rPr>
              <w:t>OA系统及业务系统的电子文件归档对接</w:t>
            </w:r>
          </w:p>
        </w:tc>
        <w:tc>
          <w:tcPr>
            <w:tcW w:w="533" w:type="pct"/>
            <w:tcBorders>
              <w:top w:val="nil"/>
              <w:left w:val="nil"/>
              <w:bottom w:val="single" w:color="auto" w:sz="4" w:space="0"/>
              <w:right w:val="single" w:color="auto" w:sz="4" w:space="0"/>
            </w:tcBorders>
            <w:vAlign w:val="center"/>
          </w:tcPr>
          <w:p w14:paraId="2B1F6650">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lang w:bidi="ar"/>
              </w:rPr>
              <w:t>1</w:t>
            </w:r>
          </w:p>
        </w:tc>
        <w:tc>
          <w:tcPr>
            <w:tcW w:w="533" w:type="pct"/>
            <w:tcBorders>
              <w:top w:val="nil"/>
              <w:left w:val="nil"/>
              <w:bottom w:val="single" w:color="auto" w:sz="4" w:space="0"/>
              <w:right w:val="single" w:color="auto" w:sz="4" w:space="0"/>
            </w:tcBorders>
            <w:vAlign w:val="center"/>
          </w:tcPr>
          <w:p w14:paraId="6EA4E3ED">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lang w:bidi="ar"/>
              </w:rPr>
              <w:t>项</w:t>
            </w:r>
          </w:p>
        </w:tc>
        <w:tc>
          <w:tcPr>
            <w:tcW w:w="450" w:type="pct"/>
            <w:tcBorders>
              <w:top w:val="nil"/>
              <w:left w:val="nil"/>
              <w:bottom w:val="single" w:color="auto" w:sz="4" w:space="0"/>
              <w:right w:val="single" w:color="auto" w:sz="4" w:space="0"/>
            </w:tcBorders>
            <w:noWrap/>
            <w:vAlign w:val="center"/>
          </w:tcPr>
          <w:p w14:paraId="46C8E545">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kern w:val="0"/>
                <w:sz w:val="22"/>
                <w:szCs w:val="22"/>
              </w:rPr>
              <w:t>　</w:t>
            </w:r>
          </w:p>
        </w:tc>
      </w:tr>
    </w:tbl>
    <w:p w14:paraId="5CCD4B81">
      <w:pPr>
        <w:pStyle w:val="446"/>
        <w:ind w:firstLine="480"/>
        <w:rPr>
          <w:rFonts w:hint="eastAsia"/>
        </w:rPr>
      </w:pPr>
    </w:p>
    <w:p w14:paraId="13FD5C8A">
      <w:pPr>
        <w:widowControl w:val="0"/>
        <w:numPr>
          <w:ilvl w:val="0"/>
          <w:numId w:val="7"/>
        </w:numPr>
        <w:autoSpaceDE w:val="0"/>
        <w:autoSpaceDN w:val="0"/>
        <w:adjustRightInd w:val="0"/>
        <w:snapToGrid w:val="0"/>
        <w:spacing w:after="0"/>
        <w:ind w:firstLineChars="0"/>
        <w:jc w:val="left"/>
        <w:outlineLvl w:val="2"/>
        <w:rPr>
          <w:rFonts w:hint="eastAsia" w:ascii="宋体" w:hAnsi="宋体"/>
          <w:b/>
          <w:bCs/>
          <w:szCs w:val="21"/>
        </w:rPr>
      </w:pPr>
      <w:r>
        <w:rPr>
          <w:rFonts w:hint="eastAsia" w:ascii="宋体" w:hAnsi="宋体"/>
          <w:b/>
          <w:bCs/>
          <w:szCs w:val="21"/>
        </w:rPr>
        <w:t>数转技术架构提升</w:t>
      </w:r>
    </w:p>
    <w:p w14:paraId="780C4684">
      <w:pPr>
        <w:pStyle w:val="17"/>
        <w:keepNext/>
        <w:ind w:firstLine="400"/>
        <w:jc w:val="center"/>
        <w:rPr>
          <w:rFonts w:hint="eastAsia" w:ascii="宋体" w:hAnsi="宋体" w:eastAsia="宋体"/>
        </w:rPr>
      </w:pPr>
      <w:r>
        <w:rPr>
          <w:rFonts w:hint="eastAsia" w:ascii="宋体" w:hAnsi="宋体" w:eastAsia="宋体"/>
        </w:rPr>
        <w:t xml:space="preserve">表 </w:t>
      </w:r>
      <w:r>
        <w:rPr>
          <w:rFonts w:hint="eastAsia" w:ascii="宋体" w:hAnsi="宋体" w:eastAsia="宋体"/>
          <w:lang w:val="en-US" w:eastAsia="zh-CN"/>
        </w:rPr>
        <w:t>4</w:t>
      </w:r>
      <w:r>
        <w:rPr>
          <w:rFonts w:hint="eastAsia" w:ascii="宋体" w:hAnsi="宋体" w:eastAsia="宋体"/>
        </w:rPr>
        <w:t xml:space="preserve"> 数转技术架构提升建设清单</w:t>
      </w:r>
    </w:p>
    <w:tbl>
      <w:tblPr>
        <w:tblStyle w:val="54"/>
        <w:tblW w:w="5000" w:type="pct"/>
        <w:tblInd w:w="0" w:type="dxa"/>
        <w:tblLayout w:type="autofit"/>
        <w:tblCellMar>
          <w:top w:w="0" w:type="dxa"/>
          <w:left w:w="108" w:type="dxa"/>
          <w:bottom w:w="0" w:type="dxa"/>
          <w:right w:w="108" w:type="dxa"/>
        </w:tblCellMar>
      </w:tblPr>
      <w:tblGrid>
        <w:gridCol w:w="717"/>
        <w:gridCol w:w="717"/>
        <w:gridCol w:w="4936"/>
        <w:gridCol w:w="718"/>
        <w:gridCol w:w="718"/>
        <w:gridCol w:w="716"/>
      </w:tblGrid>
      <w:tr w14:paraId="5B2477AA">
        <w:trPr>
          <w:trHeight w:val="280" w:hRule="atLeast"/>
          <w:tblHeader/>
        </w:trPr>
        <w:tc>
          <w:tcPr>
            <w:tcW w:w="421" w:type="pct"/>
            <w:tcBorders>
              <w:top w:val="single" w:color="auto" w:sz="4" w:space="0"/>
              <w:left w:val="single" w:color="auto" w:sz="4" w:space="0"/>
              <w:bottom w:val="single" w:color="auto" w:sz="4" w:space="0"/>
              <w:right w:val="single" w:color="auto" w:sz="4" w:space="0"/>
            </w:tcBorders>
            <w:vAlign w:val="center"/>
          </w:tcPr>
          <w:p w14:paraId="2E318FB1">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序号</w:t>
            </w:r>
          </w:p>
        </w:tc>
        <w:tc>
          <w:tcPr>
            <w:tcW w:w="421" w:type="pct"/>
            <w:tcBorders>
              <w:top w:val="single" w:color="auto" w:sz="4" w:space="0"/>
              <w:left w:val="nil"/>
              <w:bottom w:val="single" w:color="auto" w:sz="4" w:space="0"/>
              <w:right w:val="single" w:color="auto" w:sz="4" w:space="0"/>
            </w:tcBorders>
            <w:vAlign w:val="center"/>
          </w:tcPr>
          <w:p w14:paraId="3E624EDF">
            <w:pPr>
              <w:spacing w:after="0" w:line="240" w:lineRule="auto"/>
              <w:ind w:firstLine="0" w:firstLineChars="0"/>
              <w:jc w:val="left"/>
              <w:rPr>
                <w:rFonts w:hint="eastAsia" w:ascii="宋体" w:hAnsi="宋体" w:cs="宋体"/>
                <w:b/>
                <w:bCs/>
                <w:kern w:val="0"/>
                <w:sz w:val="22"/>
                <w:szCs w:val="22"/>
              </w:rPr>
            </w:pPr>
            <w:r>
              <w:rPr>
                <w:rFonts w:hint="eastAsia" w:ascii="宋体" w:hAnsi="宋体" w:cs="宋体"/>
                <w:b/>
                <w:bCs/>
                <w:kern w:val="0"/>
                <w:sz w:val="22"/>
                <w:szCs w:val="22"/>
              </w:rPr>
              <w:t>名称</w:t>
            </w:r>
          </w:p>
        </w:tc>
        <w:tc>
          <w:tcPr>
            <w:tcW w:w="2896" w:type="pct"/>
            <w:tcBorders>
              <w:top w:val="single" w:color="auto" w:sz="4" w:space="0"/>
              <w:left w:val="nil"/>
              <w:bottom w:val="single" w:color="auto" w:sz="4" w:space="0"/>
              <w:right w:val="single" w:color="auto" w:sz="4" w:space="0"/>
            </w:tcBorders>
            <w:vAlign w:val="center"/>
          </w:tcPr>
          <w:p w14:paraId="5C78851F">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规格</w:t>
            </w:r>
          </w:p>
        </w:tc>
        <w:tc>
          <w:tcPr>
            <w:tcW w:w="421" w:type="pct"/>
            <w:tcBorders>
              <w:top w:val="single" w:color="auto" w:sz="4" w:space="0"/>
              <w:left w:val="nil"/>
              <w:bottom w:val="single" w:color="auto" w:sz="4" w:space="0"/>
              <w:right w:val="single" w:color="auto" w:sz="4" w:space="0"/>
            </w:tcBorders>
            <w:vAlign w:val="center"/>
          </w:tcPr>
          <w:p w14:paraId="1697D460">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数量</w:t>
            </w:r>
          </w:p>
        </w:tc>
        <w:tc>
          <w:tcPr>
            <w:tcW w:w="421" w:type="pct"/>
            <w:tcBorders>
              <w:top w:val="single" w:color="auto" w:sz="4" w:space="0"/>
              <w:left w:val="nil"/>
              <w:bottom w:val="single" w:color="auto" w:sz="4" w:space="0"/>
              <w:right w:val="single" w:color="auto" w:sz="4" w:space="0"/>
            </w:tcBorders>
            <w:vAlign w:val="center"/>
          </w:tcPr>
          <w:p w14:paraId="59BB1FBF">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单位</w:t>
            </w:r>
          </w:p>
        </w:tc>
        <w:tc>
          <w:tcPr>
            <w:tcW w:w="421" w:type="pct"/>
            <w:tcBorders>
              <w:top w:val="single" w:color="auto" w:sz="4" w:space="0"/>
              <w:left w:val="nil"/>
              <w:bottom w:val="single" w:color="auto" w:sz="4" w:space="0"/>
              <w:right w:val="single" w:color="auto" w:sz="4" w:space="0"/>
            </w:tcBorders>
            <w:vAlign w:val="center"/>
          </w:tcPr>
          <w:p w14:paraId="7ABDB70D">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备注</w:t>
            </w:r>
          </w:p>
        </w:tc>
      </w:tr>
      <w:tr w14:paraId="7E66166E">
        <w:trPr>
          <w:trHeight w:val="280" w:hRule="atLeast"/>
        </w:trPr>
        <w:tc>
          <w:tcPr>
            <w:tcW w:w="421" w:type="pct"/>
            <w:tcBorders>
              <w:top w:val="nil"/>
              <w:left w:val="single" w:color="auto" w:sz="4" w:space="0"/>
              <w:bottom w:val="single" w:color="auto" w:sz="4" w:space="0"/>
              <w:right w:val="single" w:color="auto" w:sz="4" w:space="0"/>
            </w:tcBorders>
            <w:noWrap/>
            <w:vAlign w:val="center"/>
          </w:tcPr>
          <w:p w14:paraId="210F9E09">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一</w:t>
            </w:r>
          </w:p>
        </w:tc>
        <w:tc>
          <w:tcPr>
            <w:tcW w:w="4158" w:type="pct"/>
            <w:gridSpan w:val="4"/>
            <w:tcBorders>
              <w:top w:val="single" w:color="auto" w:sz="4" w:space="0"/>
              <w:left w:val="nil"/>
              <w:bottom w:val="single" w:color="auto" w:sz="4" w:space="0"/>
              <w:right w:val="single" w:color="auto" w:sz="4" w:space="0"/>
            </w:tcBorders>
            <w:vAlign w:val="center"/>
          </w:tcPr>
          <w:p w14:paraId="6F2E7A9C">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集团接口总线平台建设</w:t>
            </w:r>
          </w:p>
        </w:tc>
        <w:tc>
          <w:tcPr>
            <w:tcW w:w="421" w:type="pct"/>
            <w:tcBorders>
              <w:top w:val="nil"/>
              <w:left w:val="nil"/>
              <w:bottom w:val="single" w:color="auto" w:sz="4" w:space="0"/>
              <w:right w:val="single" w:color="auto" w:sz="4" w:space="0"/>
            </w:tcBorders>
            <w:noWrap/>
            <w:vAlign w:val="center"/>
          </w:tcPr>
          <w:p w14:paraId="6522AD7A">
            <w:pPr>
              <w:spacing w:after="0" w:line="240" w:lineRule="auto"/>
              <w:ind w:firstLine="0" w:firstLineChars="0"/>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2165D498">
        <w:trPr>
          <w:trHeight w:val="840" w:hRule="atLeast"/>
        </w:trPr>
        <w:tc>
          <w:tcPr>
            <w:tcW w:w="421" w:type="pct"/>
            <w:tcBorders>
              <w:top w:val="nil"/>
              <w:left w:val="single" w:color="auto" w:sz="4" w:space="0"/>
              <w:bottom w:val="single" w:color="auto" w:sz="4" w:space="0"/>
              <w:right w:val="single" w:color="auto" w:sz="4" w:space="0"/>
            </w:tcBorders>
            <w:noWrap/>
            <w:vAlign w:val="center"/>
          </w:tcPr>
          <w:p w14:paraId="2D77767E">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421" w:type="pct"/>
            <w:tcBorders>
              <w:top w:val="nil"/>
              <w:left w:val="nil"/>
              <w:bottom w:val="single" w:color="auto" w:sz="4" w:space="0"/>
              <w:right w:val="single" w:color="auto" w:sz="4" w:space="0"/>
            </w:tcBorders>
            <w:vAlign w:val="center"/>
          </w:tcPr>
          <w:p w14:paraId="5B09956A">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应用中心</w:t>
            </w:r>
          </w:p>
        </w:tc>
        <w:tc>
          <w:tcPr>
            <w:tcW w:w="2896" w:type="pct"/>
            <w:tcBorders>
              <w:top w:val="nil"/>
              <w:left w:val="nil"/>
              <w:bottom w:val="single" w:color="auto" w:sz="4" w:space="0"/>
              <w:right w:val="single" w:color="auto" w:sz="4" w:space="0"/>
            </w:tcBorders>
            <w:vAlign w:val="center"/>
          </w:tcPr>
          <w:p w14:paraId="19B5F4F4">
            <w:pPr>
              <w:spacing w:after="0" w:line="240" w:lineRule="auto"/>
              <w:ind w:firstLine="0" w:firstLineChars="0"/>
              <w:rPr>
                <w:rFonts w:hint="eastAsia" w:ascii="宋体" w:hAnsi="宋体" w:cs="宋体"/>
                <w:kern w:val="0"/>
                <w:sz w:val="22"/>
                <w:szCs w:val="22"/>
              </w:rPr>
            </w:pPr>
            <w:r>
              <w:rPr>
                <w:rFonts w:hint="eastAsia" w:ascii="宋体" w:hAnsi="宋体" w:cs="宋体"/>
                <w:kern w:val="0"/>
                <w:sz w:val="22"/>
                <w:szCs w:val="22"/>
              </w:rPr>
              <w:t>是访问控制与资源治理的基础单元。用户可在该模块中完成应用程序的创建、信息维护、状态变更（启用/停用）、密钥轮换及最终归档等操作</w:t>
            </w:r>
          </w:p>
        </w:tc>
        <w:tc>
          <w:tcPr>
            <w:tcW w:w="421" w:type="pct"/>
            <w:tcBorders>
              <w:top w:val="nil"/>
              <w:left w:val="nil"/>
              <w:bottom w:val="single" w:color="auto" w:sz="4" w:space="0"/>
              <w:right w:val="single" w:color="auto" w:sz="4" w:space="0"/>
            </w:tcBorders>
            <w:vAlign w:val="center"/>
          </w:tcPr>
          <w:p w14:paraId="7482E843">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421" w:type="pct"/>
            <w:tcBorders>
              <w:top w:val="nil"/>
              <w:left w:val="nil"/>
              <w:bottom w:val="single" w:color="auto" w:sz="4" w:space="0"/>
              <w:right w:val="single" w:color="auto" w:sz="4" w:space="0"/>
            </w:tcBorders>
            <w:vAlign w:val="center"/>
          </w:tcPr>
          <w:p w14:paraId="5D15584F">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421" w:type="pct"/>
            <w:tcBorders>
              <w:top w:val="nil"/>
              <w:left w:val="nil"/>
              <w:bottom w:val="single" w:color="auto" w:sz="4" w:space="0"/>
              <w:right w:val="single" w:color="auto" w:sz="4" w:space="0"/>
            </w:tcBorders>
            <w:noWrap/>
            <w:vAlign w:val="center"/>
          </w:tcPr>
          <w:p w14:paraId="16E9C636">
            <w:pPr>
              <w:spacing w:after="0" w:line="240" w:lineRule="auto"/>
              <w:ind w:firstLine="0" w:firstLineChars="0"/>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7ADFAB26">
        <w:trPr>
          <w:trHeight w:val="280" w:hRule="atLeast"/>
        </w:trPr>
        <w:tc>
          <w:tcPr>
            <w:tcW w:w="421" w:type="pct"/>
            <w:tcBorders>
              <w:top w:val="nil"/>
              <w:left w:val="single" w:color="auto" w:sz="4" w:space="0"/>
              <w:bottom w:val="single" w:color="auto" w:sz="4" w:space="0"/>
              <w:right w:val="single" w:color="auto" w:sz="4" w:space="0"/>
            </w:tcBorders>
            <w:noWrap/>
            <w:vAlign w:val="center"/>
          </w:tcPr>
          <w:p w14:paraId="5A998FED">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2</w:t>
            </w:r>
          </w:p>
        </w:tc>
        <w:tc>
          <w:tcPr>
            <w:tcW w:w="421" w:type="pct"/>
            <w:tcBorders>
              <w:top w:val="nil"/>
              <w:left w:val="nil"/>
              <w:bottom w:val="single" w:color="auto" w:sz="4" w:space="0"/>
              <w:right w:val="single" w:color="auto" w:sz="4" w:space="0"/>
            </w:tcBorders>
            <w:vAlign w:val="center"/>
          </w:tcPr>
          <w:p w14:paraId="50336697">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访问管理中心</w:t>
            </w:r>
          </w:p>
        </w:tc>
        <w:tc>
          <w:tcPr>
            <w:tcW w:w="2896" w:type="pct"/>
            <w:tcBorders>
              <w:top w:val="nil"/>
              <w:left w:val="nil"/>
              <w:bottom w:val="single" w:color="auto" w:sz="4" w:space="0"/>
              <w:right w:val="single" w:color="auto" w:sz="4" w:space="0"/>
            </w:tcBorders>
            <w:vAlign w:val="center"/>
          </w:tcPr>
          <w:p w14:paraId="5EF3937C">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包括协议转换、服务路由、访问控制、日志记录、认证鉴权、限流熔断、黑白名单、流量治理等模块</w:t>
            </w:r>
          </w:p>
        </w:tc>
        <w:tc>
          <w:tcPr>
            <w:tcW w:w="421" w:type="pct"/>
            <w:tcBorders>
              <w:top w:val="nil"/>
              <w:left w:val="nil"/>
              <w:bottom w:val="single" w:color="auto" w:sz="4" w:space="0"/>
              <w:right w:val="single" w:color="auto" w:sz="4" w:space="0"/>
            </w:tcBorders>
            <w:vAlign w:val="center"/>
          </w:tcPr>
          <w:p w14:paraId="416DD3B7">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421" w:type="pct"/>
            <w:tcBorders>
              <w:top w:val="nil"/>
              <w:left w:val="nil"/>
              <w:bottom w:val="single" w:color="auto" w:sz="4" w:space="0"/>
              <w:right w:val="single" w:color="auto" w:sz="4" w:space="0"/>
            </w:tcBorders>
            <w:vAlign w:val="center"/>
          </w:tcPr>
          <w:p w14:paraId="2D5FDAE3">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421" w:type="pct"/>
            <w:tcBorders>
              <w:top w:val="nil"/>
              <w:left w:val="nil"/>
              <w:bottom w:val="single" w:color="auto" w:sz="4" w:space="0"/>
              <w:right w:val="single" w:color="auto" w:sz="4" w:space="0"/>
            </w:tcBorders>
            <w:noWrap/>
            <w:vAlign w:val="center"/>
          </w:tcPr>
          <w:p w14:paraId="515D1446">
            <w:pPr>
              <w:spacing w:after="0" w:line="240" w:lineRule="auto"/>
              <w:ind w:firstLine="0" w:firstLineChars="0"/>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5F1AC5F2">
        <w:trPr>
          <w:trHeight w:val="280" w:hRule="atLeast"/>
        </w:trPr>
        <w:tc>
          <w:tcPr>
            <w:tcW w:w="421" w:type="pct"/>
            <w:tcBorders>
              <w:top w:val="nil"/>
              <w:left w:val="single" w:color="auto" w:sz="4" w:space="0"/>
              <w:bottom w:val="single" w:color="auto" w:sz="4" w:space="0"/>
              <w:right w:val="single" w:color="auto" w:sz="4" w:space="0"/>
            </w:tcBorders>
            <w:noWrap/>
            <w:vAlign w:val="center"/>
          </w:tcPr>
          <w:p w14:paraId="71B5DC52">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3</w:t>
            </w:r>
          </w:p>
        </w:tc>
        <w:tc>
          <w:tcPr>
            <w:tcW w:w="421" w:type="pct"/>
            <w:tcBorders>
              <w:top w:val="nil"/>
              <w:left w:val="nil"/>
              <w:bottom w:val="single" w:color="auto" w:sz="4" w:space="0"/>
              <w:right w:val="single" w:color="auto" w:sz="4" w:space="0"/>
            </w:tcBorders>
            <w:vAlign w:val="center"/>
          </w:tcPr>
          <w:p w14:paraId="68D21805">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服务注册与发现中心</w:t>
            </w:r>
          </w:p>
        </w:tc>
        <w:tc>
          <w:tcPr>
            <w:tcW w:w="2896" w:type="pct"/>
            <w:tcBorders>
              <w:top w:val="nil"/>
              <w:left w:val="nil"/>
              <w:bottom w:val="single" w:color="auto" w:sz="4" w:space="0"/>
              <w:right w:val="single" w:color="auto" w:sz="4" w:space="0"/>
            </w:tcBorders>
            <w:vAlign w:val="center"/>
          </w:tcPr>
          <w:p w14:paraId="5EF056C0">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包括接口注册、接口管理、接口监控、接口安全、接口集成、接口测试版本管理、接口文档等模块</w:t>
            </w:r>
          </w:p>
        </w:tc>
        <w:tc>
          <w:tcPr>
            <w:tcW w:w="421" w:type="pct"/>
            <w:tcBorders>
              <w:top w:val="nil"/>
              <w:left w:val="nil"/>
              <w:bottom w:val="single" w:color="auto" w:sz="4" w:space="0"/>
              <w:right w:val="single" w:color="auto" w:sz="4" w:space="0"/>
            </w:tcBorders>
            <w:vAlign w:val="center"/>
          </w:tcPr>
          <w:p w14:paraId="453CE2E9">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421" w:type="pct"/>
            <w:tcBorders>
              <w:top w:val="nil"/>
              <w:left w:val="nil"/>
              <w:bottom w:val="single" w:color="auto" w:sz="4" w:space="0"/>
              <w:right w:val="single" w:color="auto" w:sz="4" w:space="0"/>
            </w:tcBorders>
            <w:vAlign w:val="center"/>
          </w:tcPr>
          <w:p w14:paraId="4BD9D258">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421" w:type="pct"/>
            <w:tcBorders>
              <w:top w:val="nil"/>
              <w:left w:val="nil"/>
              <w:bottom w:val="single" w:color="auto" w:sz="4" w:space="0"/>
              <w:right w:val="single" w:color="auto" w:sz="4" w:space="0"/>
            </w:tcBorders>
            <w:noWrap/>
            <w:vAlign w:val="center"/>
          </w:tcPr>
          <w:p w14:paraId="7E6761AB">
            <w:pPr>
              <w:spacing w:after="0" w:line="240" w:lineRule="auto"/>
              <w:ind w:firstLine="0" w:firstLineChars="0"/>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65EAF282">
        <w:trPr>
          <w:trHeight w:val="280" w:hRule="atLeast"/>
        </w:trPr>
        <w:tc>
          <w:tcPr>
            <w:tcW w:w="421" w:type="pct"/>
            <w:tcBorders>
              <w:top w:val="nil"/>
              <w:left w:val="single" w:color="auto" w:sz="4" w:space="0"/>
              <w:bottom w:val="single" w:color="auto" w:sz="4" w:space="0"/>
              <w:right w:val="single" w:color="auto" w:sz="4" w:space="0"/>
            </w:tcBorders>
            <w:noWrap/>
            <w:vAlign w:val="center"/>
          </w:tcPr>
          <w:p w14:paraId="2128B340">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4</w:t>
            </w:r>
          </w:p>
        </w:tc>
        <w:tc>
          <w:tcPr>
            <w:tcW w:w="421" w:type="pct"/>
            <w:tcBorders>
              <w:top w:val="nil"/>
              <w:left w:val="nil"/>
              <w:bottom w:val="single" w:color="auto" w:sz="4" w:space="0"/>
              <w:right w:val="single" w:color="auto" w:sz="4" w:space="0"/>
            </w:tcBorders>
            <w:vAlign w:val="center"/>
          </w:tcPr>
          <w:p w14:paraId="31716C07">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配置中心</w:t>
            </w:r>
          </w:p>
        </w:tc>
        <w:tc>
          <w:tcPr>
            <w:tcW w:w="2896" w:type="pct"/>
            <w:tcBorders>
              <w:top w:val="nil"/>
              <w:left w:val="nil"/>
              <w:bottom w:val="single" w:color="auto" w:sz="4" w:space="0"/>
              <w:right w:val="single" w:color="auto" w:sz="4" w:space="0"/>
            </w:tcBorders>
            <w:vAlign w:val="center"/>
          </w:tcPr>
          <w:p w14:paraId="674A10D9">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包括路由规则、限流阈值、拦截器等模块</w:t>
            </w:r>
          </w:p>
        </w:tc>
        <w:tc>
          <w:tcPr>
            <w:tcW w:w="421" w:type="pct"/>
            <w:tcBorders>
              <w:top w:val="nil"/>
              <w:left w:val="nil"/>
              <w:bottom w:val="single" w:color="auto" w:sz="4" w:space="0"/>
              <w:right w:val="single" w:color="auto" w:sz="4" w:space="0"/>
            </w:tcBorders>
            <w:vAlign w:val="center"/>
          </w:tcPr>
          <w:p w14:paraId="1F75398A">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421" w:type="pct"/>
            <w:tcBorders>
              <w:top w:val="nil"/>
              <w:left w:val="nil"/>
              <w:bottom w:val="single" w:color="auto" w:sz="4" w:space="0"/>
              <w:right w:val="single" w:color="auto" w:sz="4" w:space="0"/>
            </w:tcBorders>
            <w:vAlign w:val="center"/>
          </w:tcPr>
          <w:p w14:paraId="6F2D1B67">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421" w:type="pct"/>
            <w:tcBorders>
              <w:top w:val="nil"/>
              <w:left w:val="nil"/>
              <w:bottom w:val="single" w:color="auto" w:sz="4" w:space="0"/>
              <w:right w:val="single" w:color="auto" w:sz="4" w:space="0"/>
            </w:tcBorders>
            <w:noWrap/>
            <w:vAlign w:val="center"/>
          </w:tcPr>
          <w:p w14:paraId="30812811">
            <w:pPr>
              <w:spacing w:after="0" w:line="240" w:lineRule="auto"/>
              <w:ind w:firstLine="0" w:firstLineChars="0"/>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6DAAA24B">
        <w:trPr>
          <w:trHeight w:val="560" w:hRule="atLeast"/>
        </w:trPr>
        <w:tc>
          <w:tcPr>
            <w:tcW w:w="421" w:type="pct"/>
            <w:tcBorders>
              <w:top w:val="nil"/>
              <w:left w:val="single" w:color="auto" w:sz="4" w:space="0"/>
              <w:bottom w:val="single" w:color="auto" w:sz="4" w:space="0"/>
              <w:right w:val="single" w:color="auto" w:sz="4" w:space="0"/>
            </w:tcBorders>
            <w:noWrap/>
            <w:vAlign w:val="center"/>
          </w:tcPr>
          <w:p w14:paraId="0166595F">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5</w:t>
            </w:r>
          </w:p>
        </w:tc>
        <w:tc>
          <w:tcPr>
            <w:tcW w:w="421" w:type="pct"/>
            <w:tcBorders>
              <w:top w:val="nil"/>
              <w:left w:val="nil"/>
              <w:bottom w:val="single" w:color="auto" w:sz="4" w:space="0"/>
              <w:right w:val="single" w:color="auto" w:sz="4" w:space="0"/>
            </w:tcBorders>
            <w:vAlign w:val="center"/>
          </w:tcPr>
          <w:p w14:paraId="4E7F3374">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监测中心</w:t>
            </w:r>
          </w:p>
        </w:tc>
        <w:tc>
          <w:tcPr>
            <w:tcW w:w="2896" w:type="pct"/>
            <w:tcBorders>
              <w:top w:val="nil"/>
              <w:left w:val="nil"/>
              <w:bottom w:val="single" w:color="auto" w:sz="4" w:space="0"/>
              <w:right w:val="single" w:color="auto" w:sz="4" w:space="0"/>
            </w:tcBorders>
            <w:vAlign w:val="center"/>
          </w:tcPr>
          <w:p w14:paraId="00E5CDD9">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包括日志采集、指标监控、告警中心、计划任务调度、报表中心等模块</w:t>
            </w:r>
          </w:p>
        </w:tc>
        <w:tc>
          <w:tcPr>
            <w:tcW w:w="421" w:type="pct"/>
            <w:tcBorders>
              <w:top w:val="nil"/>
              <w:left w:val="nil"/>
              <w:bottom w:val="single" w:color="auto" w:sz="4" w:space="0"/>
              <w:right w:val="single" w:color="auto" w:sz="4" w:space="0"/>
            </w:tcBorders>
            <w:vAlign w:val="center"/>
          </w:tcPr>
          <w:p w14:paraId="0B16C192">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421" w:type="pct"/>
            <w:tcBorders>
              <w:top w:val="nil"/>
              <w:left w:val="nil"/>
              <w:bottom w:val="single" w:color="auto" w:sz="4" w:space="0"/>
              <w:right w:val="single" w:color="auto" w:sz="4" w:space="0"/>
            </w:tcBorders>
            <w:vAlign w:val="center"/>
          </w:tcPr>
          <w:p w14:paraId="030CB950">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421" w:type="pct"/>
            <w:tcBorders>
              <w:top w:val="nil"/>
              <w:left w:val="nil"/>
              <w:bottom w:val="single" w:color="auto" w:sz="4" w:space="0"/>
              <w:right w:val="single" w:color="auto" w:sz="4" w:space="0"/>
            </w:tcBorders>
            <w:noWrap/>
            <w:vAlign w:val="center"/>
          </w:tcPr>
          <w:p w14:paraId="1A2DE4AE">
            <w:pPr>
              <w:spacing w:after="0" w:line="240" w:lineRule="auto"/>
              <w:ind w:firstLine="0" w:firstLineChars="0"/>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1676B1CD">
        <w:trPr>
          <w:trHeight w:val="280" w:hRule="atLeast"/>
        </w:trPr>
        <w:tc>
          <w:tcPr>
            <w:tcW w:w="421" w:type="pct"/>
            <w:tcBorders>
              <w:top w:val="nil"/>
              <w:left w:val="single" w:color="auto" w:sz="4" w:space="0"/>
              <w:bottom w:val="single" w:color="auto" w:sz="4" w:space="0"/>
              <w:right w:val="single" w:color="auto" w:sz="4" w:space="0"/>
            </w:tcBorders>
            <w:noWrap/>
            <w:vAlign w:val="center"/>
          </w:tcPr>
          <w:p w14:paraId="4620FD7C">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6</w:t>
            </w:r>
          </w:p>
        </w:tc>
        <w:tc>
          <w:tcPr>
            <w:tcW w:w="421" w:type="pct"/>
            <w:tcBorders>
              <w:top w:val="nil"/>
              <w:left w:val="nil"/>
              <w:bottom w:val="single" w:color="auto" w:sz="4" w:space="0"/>
              <w:right w:val="single" w:color="auto" w:sz="4" w:space="0"/>
            </w:tcBorders>
            <w:vAlign w:val="center"/>
          </w:tcPr>
          <w:p w14:paraId="7AA9655F">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多租户管理</w:t>
            </w:r>
          </w:p>
        </w:tc>
        <w:tc>
          <w:tcPr>
            <w:tcW w:w="2896" w:type="pct"/>
            <w:tcBorders>
              <w:top w:val="nil"/>
              <w:left w:val="nil"/>
              <w:bottom w:val="single" w:color="auto" w:sz="4" w:space="0"/>
              <w:right w:val="single" w:color="auto" w:sz="4" w:space="0"/>
            </w:tcBorders>
            <w:vAlign w:val="center"/>
          </w:tcPr>
          <w:p w14:paraId="4FA2D9DB">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包括配额管理、权限管理、数据源管理、租户管理等模块</w:t>
            </w:r>
          </w:p>
        </w:tc>
        <w:tc>
          <w:tcPr>
            <w:tcW w:w="421" w:type="pct"/>
            <w:tcBorders>
              <w:top w:val="nil"/>
              <w:left w:val="nil"/>
              <w:bottom w:val="single" w:color="auto" w:sz="4" w:space="0"/>
              <w:right w:val="single" w:color="auto" w:sz="4" w:space="0"/>
            </w:tcBorders>
            <w:vAlign w:val="center"/>
          </w:tcPr>
          <w:p w14:paraId="358C9993">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421" w:type="pct"/>
            <w:tcBorders>
              <w:top w:val="nil"/>
              <w:left w:val="nil"/>
              <w:bottom w:val="single" w:color="auto" w:sz="4" w:space="0"/>
              <w:right w:val="single" w:color="auto" w:sz="4" w:space="0"/>
            </w:tcBorders>
            <w:vAlign w:val="center"/>
          </w:tcPr>
          <w:p w14:paraId="6DEC6F45">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421" w:type="pct"/>
            <w:tcBorders>
              <w:top w:val="nil"/>
              <w:left w:val="nil"/>
              <w:bottom w:val="single" w:color="auto" w:sz="4" w:space="0"/>
              <w:right w:val="single" w:color="auto" w:sz="4" w:space="0"/>
            </w:tcBorders>
            <w:noWrap/>
            <w:vAlign w:val="center"/>
          </w:tcPr>
          <w:p w14:paraId="2275A63A">
            <w:pPr>
              <w:spacing w:after="0" w:line="240" w:lineRule="auto"/>
              <w:ind w:firstLine="0" w:firstLineChars="0"/>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162945A9">
        <w:trPr>
          <w:trHeight w:val="840" w:hRule="atLeast"/>
        </w:trPr>
        <w:tc>
          <w:tcPr>
            <w:tcW w:w="421" w:type="pct"/>
            <w:tcBorders>
              <w:top w:val="nil"/>
              <w:left w:val="single" w:color="auto" w:sz="4" w:space="0"/>
              <w:bottom w:val="single" w:color="auto" w:sz="4" w:space="0"/>
              <w:right w:val="single" w:color="auto" w:sz="4" w:space="0"/>
            </w:tcBorders>
            <w:noWrap/>
            <w:vAlign w:val="center"/>
          </w:tcPr>
          <w:p w14:paraId="628FB7D3">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7</w:t>
            </w:r>
          </w:p>
        </w:tc>
        <w:tc>
          <w:tcPr>
            <w:tcW w:w="421" w:type="pct"/>
            <w:tcBorders>
              <w:top w:val="nil"/>
              <w:left w:val="nil"/>
              <w:bottom w:val="single" w:color="auto" w:sz="4" w:space="0"/>
              <w:right w:val="single" w:color="auto" w:sz="4" w:space="0"/>
            </w:tcBorders>
            <w:vAlign w:val="center"/>
          </w:tcPr>
          <w:p w14:paraId="3E8BF5E4">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系统管理</w:t>
            </w:r>
          </w:p>
        </w:tc>
        <w:tc>
          <w:tcPr>
            <w:tcW w:w="2896" w:type="pct"/>
            <w:tcBorders>
              <w:top w:val="nil"/>
              <w:left w:val="nil"/>
              <w:bottom w:val="single" w:color="auto" w:sz="4" w:space="0"/>
              <w:right w:val="single" w:color="auto" w:sz="4" w:space="0"/>
            </w:tcBorders>
            <w:vAlign w:val="center"/>
          </w:tcPr>
          <w:p w14:paraId="1A64F64F">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包括用户管理、部门管理、岗位管理、菜单管理、角色管理、字典管理参数管理、通知公告、操作日志登录日志、文件管理、文件配置管理等模块</w:t>
            </w:r>
          </w:p>
        </w:tc>
        <w:tc>
          <w:tcPr>
            <w:tcW w:w="421" w:type="pct"/>
            <w:tcBorders>
              <w:top w:val="nil"/>
              <w:left w:val="nil"/>
              <w:bottom w:val="single" w:color="auto" w:sz="4" w:space="0"/>
              <w:right w:val="single" w:color="auto" w:sz="4" w:space="0"/>
            </w:tcBorders>
            <w:vAlign w:val="center"/>
          </w:tcPr>
          <w:p w14:paraId="2E49FD4E">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421" w:type="pct"/>
            <w:tcBorders>
              <w:top w:val="nil"/>
              <w:left w:val="nil"/>
              <w:bottom w:val="single" w:color="auto" w:sz="4" w:space="0"/>
              <w:right w:val="single" w:color="auto" w:sz="4" w:space="0"/>
            </w:tcBorders>
            <w:vAlign w:val="center"/>
          </w:tcPr>
          <w:p w14:paraId="6787738C">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421" w:type="pct"/>
            <w:tcBorders>
              <w:top w:val="nil"/>
              <w:left w:val="nil"/>
              <w:bottom w:val="single" w:color="auto" w:sz="4" w:space="0"/>
              <w:right w:val="single" w:color="auto" w:sz="4" w:space="0"/>
            </w:tcBorders>
            <w:noWrap/>
            <w:vAlign w:val="center"/>
          </w:tcPr>
          <w:p w14:paraId="5268B65F">
            <w:pPr>
              <w:spacing w:after="0" w:line="240" w:lineRule="auto"/>
              <w:ind w:firstLine="0" w:firstLineChars="0"/>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6F6A987C">
        <w:trPr>
          <w:trHeight w:val="280" w:hRule="atLeast"/>
        </w:trPr>
        <w:tc>
          <w:tcPr>
            <w:tcW w:w="421" w:type="pct"/>
            <w:tcBorders>
              <w:top w:val="nil"/>
              <w:left w:val="single" w:color="auto" w:sz="4" w:space="0"/>
              <w:bottom w:val="single" w:color="auto" w:sz="4" w:space="0"/>
              <w:right w:val="single" w:color="auto" w:sz="4" w:space="0"/>
            </w:tcBorders>
            <w:noWrap/>
            <w:vAlign w:val="center"/>
          </w:tcPr>
          <w:p w14:paraId="4862347E">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二</w:t>
            </w:r>
          </w:p>
        </w:tc>
        <w:tc>
          <w:tcPr>
            <w:tcW w:w="4158" w:type="pct"/>
            <w:gridSpan w:val="4"/>
            <w:tcBorders>
              <w:top w:val="single" w:color="auto" w:sz="4" w:space="0"/>
              <w:left w:val="nil"/>
              <w:bottom w:val="single" w:color="auto" w:sz="4" w:space="0"/>
              <w:right w:val="single" w:color="auto" w:sz="4" w:space="0"/>
            </w:tcBorders>
            <w:vAlign w:val="center"/>
          </w:tcPr>
          <w:p w14:paraId="7A84A647">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系统接口总线集成服务</w:t>
            </w:r>
          </w:p>
        </w:tc>
        <w:tc>
          <w:tcPr>
            <w:tcW w:w="421" w:type="pct"/>
            <w:tcBorders>
              <w:top w:val="nil"/>
              <w:left w:val="nil"/>
              <w:bottom w:val="single" w:color="auto" w:sz="4" w:space="0"/>
              <w:right w:val="single" w:color="auto" w:sz="4" w:space="0"/>
            </w:tcBorders>
            <w:noWrap/>
            <w:vAlign w:val="center"/>
          </w:tcPr>
          <w:p w14:paraId="4DEBF032">
            <w:pPr>
              <w:spacing w:after="0" w:line="240" w:lineRule="auto"/>
              <w:ind w:firstLine="0" w:firstLineChars="0"/>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196AC563">
        <w:trPr>
          <w:trHeight w:val="840" w:hRule="atLeast"/>
        </w:trPr>
        <w:tc>
          <w:tcPr>
            <w:tcW w:w="421" w:type="pct"/>
            <w:tcBorders>
              <w:top w:val="nil"/>
              <w:left w:val="single" w:color="auto" w:sz="4" w:space="0"/>
              <w:bottom w:val="single" w:color="auto" w:sz="4" w:space="0"/>
              <w:right w:val="single" w:color="auto" w:sz="4" w:space="0"/>
            </w:tcBorders>
            <w:noWrap/>
            <w:vAlign w:val="center"/>
          </w:tcPr>
          <w:p w14:paraId="6768C395">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421" w:type="pct"/>
            <w:tcBorders>
              <w:top w:val="nil"/>
              <w:left w:val="nil"/>
              <w:bottom w:val="single" w:color="auto" w:sz="4" w:space="0"/>
              <w:right w:val="single" w:color="auto" w:sz="4" w:space="0"/>
            </w:tcBorders>
            <w:vAlign w:val="center"/>
          </w:tcPr>
          <w:p w14:paraId="392412C1">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现状盘点与评估</w:t>
            </w:r>
          </w:p>
        </w:tc>
        <w:tc>
          <w:tcPr>
            <w:tcW w:w="2896" w:type="pct"/>
            <w:tcBorders>
              <w:top w:val="nil"/>
              <w:left w:val="nil"/>
              <w:bottom w:val="single" w:color="auto" w:sz="4" w:space="0"/>
              <w:right w:val="single" w:color="auto" w:sz="4" w:space="0"/>
            </w:tcBorders>
            <w:vAlign w:val="center"/>
          </w:tcPr>
          <w:p w14:paraId="37F057F8">
            <w:pPr>
              <w:spacing w:after="0" w:line="240" w:lineRule="auto"/>
              <w:ind w:firstLine="0" w:firstLineChars="0"/>
              <w:rPr>
                <w:rFonts w:hint="eastAsia" w:ascii="宋体" w:hAnsi="宋体" w:cs="宋体"/>
                <w:kern w:val="0"/>
                <w:sz w:val="22"/>
                <w:szCs w:val="22"/>
              </w:rPr>
            </w:pPr>
            <w:r>
              <w:rPr>
                <w:rFonts w:hint="eastAsia" w:ascii="宋体" w:hAnsi="宋体" w:cs="宋体"/>
                <w:kern w:val="0"/>
                <w:sz w:val="22"/>
                <w:szCs w:val="22"/>
              </w:rPr>
              <w:t>企业级接口总线平台可解决集团系统集成难题，克服点对点集成弊端并实现接口统一管控；但接口注册、配置与监控需同步系统建设推进，且需技术团队保障新旧系统多环境稳定对接</w:t>
            </w:r>
          </w:p>
        </w:tc>
        <w:tc>
          <w:tcPr>
            <w:tcW w:w="421" w:type="pct"/>
            <w:tcBorders>
              <w:top w:val="nil"/>
              <w:left w:val="nil"/>
              <w:bottom w:val="single" w:color="auto" w:sz="4" w:space="0"/>
              <w:right w:val="single" w:color="auto" w:sz="4" w:space="0"/>
            </w:tcBorders>
            <w:vAlign w:val="center"/>
          </w:tcPr>
          <w:p w14:paraId="1A6BA77A">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421" w:type="pct"/>
            <w:tcBorders>
              <w:top w:val="nil"/>
              <w:left w:val="nil"/>
              <w:bottom w:val="single" w:color="auto" w:sz="4" w:space="0"/>
              <w:right w:val="single" w:color="auto" w:sz="4" w:space="0"/>
            </w:tcBorders>
            <w:vAlign w:val="center"/>
          </w:tcPr>
          <w:p w14:paraId="2F04B9C1">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421" w:type="pct"/>
            <w:tcBorders>
              <w:top w:val="nil"/>
              <w:left w:val="nil"/>
              <w:bottom w:val="single" w:color="auto" w:sz="4" w:space="0"/>
              <w:right w:val="single" w:color="auto" w:sz="4" w:space="0"/>
            </w:tcBorders>
            <w:noWrap/>
            <w:vAlign w:val="center"/>
          </w:tcPr>
          <w:p w14:paraId="6356F10F">
            <w:pPr>
              <w:spacing w:after="0" w:line="240" w:lineRule="auto"/>
              <w:ind w:firstLine="0" w:firstLineChars="0"/>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0669FA91">
        <w:trPr>
          <w:trHeight w:val="1120" w:hRule="atLeast"/>
        </w:trPr>
        <w:tc>
          <w:tcPr>
            <w:tcW w:w="421" w:type="pct"/>
            <w:tcBorders>
              <w:top w:val="nil"/>
              <w:left w:val="single" w:color="auto" w:sz="4" w:space="0"/>
              <w:bottom w:val="single" w:color="auto" w:sz="4" w:space="0"/>
              <w:right w:val="single" w:color="auto" w:sz="4" w:space="0"/>
            </w:tcBorders>
            <w:noWrap/>
            <w:vAlign w:val="center"/>
          </w:tcPr>
          <w:p w14:paraId="302320E3">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2</w:t>
            </w:r>
          </w:p>
        </w:tc>
        <w:tc>
          <w:tcPr>
            <w:tcW w:w="421" w:type="pct"/>
            <w:tcBorders>
              <w:top w:val="nil"/>
              <w:left w:val="nil"/>
              <w:bottom w:val="single" w:color="auto" w:sz="4" w:space="0"/>
              <w:right w:val="single" w:color="auto" w:sz="4" w:space="0"/>
            </w:tcBorders>
            <w:vAlign w:val="center"/>
          </w:tcPr>
          <w:p w14:paraId="4EB1679A">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总线集成架构规划</w:t>
            </w:r>
          </w:p>
        </w:tc>
        <w:tc>
          <w:tcPr>
            <w:tcW w:w="2896" w:type="pct"/>
            <w:tcBorders>
              <w:top w:val="nil"/>
              <w:left w:val="nil"/>
              <w:bottom w:val="single" w:color="auto" w:sz="4" w:space="0"/>
              <w:right w:val="single" w:color="auto" w:sz="4" w:space="0"/>
            </w:tcBorders>
            <w:vAlign w:val="center"/>
          </w:tcPr>
          <w:p w14:paraId="06E04F33">
            <w:pPr>
              <w:spacing w:after="0" w:line="240" w:lineRule="auto"/>
              <w:ind w:firstLine="0" w:firstLineChars="0"/>
              <w:rPr>
                <w:rFonts w:hint="eastAsia" w:ascii="宋体" w:hAnsi="宋体" w:cs="宋体"/>
                <w:kern w:val="0"/>
                <w:sz w:val="22"/>
                <w:szCs w:val="22"/>
              </w:rPr>
            </w:pPr>
            <w:r>
              <w:rPr>
                <w:rFonts w:hint="eastAsia" w:ascii="宋体" w:hAnsi="宋体" w:cs="宋体"/>
                <w:kern w:val="0"/>
                <w:sz w:val="22"/>
                <w:szCs w:val="22"/>
              </w:rPr>
              <w:t>采用企业级接口总线</w:t>
            </w:r>
            <w:r>
              <w:rPr>
                <w:rFonts w:hint="eastAsia" w:ascii="宋体" w:hAnsi="宋体" w:cs="宋体"/>
                <w:kern w:val="0"/>
                <w:sz w:val="22"/>
                <w:szCs w:val="22"/>
                <w:lang w:val="en-US" w:eastAsia="zh-CN"/>
              </w:rPr>
              <w:t>平台</w:t>
            </w:r>
            <w:r>
              <w:rPr>
                <w:rFonts w:hint="eastAsia" w:ascii="宋体" w:hAnsi="宋体" w:cs="宋体"/>
                <w:kern w:val="0"/>
                <w:sz w:val="22"/>
                <w:szCs w:val="22"/>
              </w:rPr>
              <w:t>核心的 “总线式” 集成策略，明确业务域与同步/异步交换模式，规划双园区高可用容灾架构，分三阶段推进系统接入与改造，配套风险管控及全流程集成测试体系，构建松耦合、高内聚的集团 IT 生态</w:t>
            </w:r>
          </w:p>
        </w:tc>
        <w:tc>
          <w:tcPr>
            <w:tcW w:w="421" w:type="pct"/>
            <w:tcBorders>
              <w:top w:val="nil"/>
              <w:left w:val="nil"/>
              <w:bottom w:val="single" w:color="auto" w:sz="4" w:space="0"/>
              <w:right w:val="single" w:color="auto" w:sz="4" w:space="0"/>
            </w:tcBorders>
            <w:vAlign w:val="center"/>
          </w:tcPr>
          <w:p w14:paraId="664AF93E">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421" w:type="pct"/>
            <w:tcBorders>
              <w:top w:val="nil"/>
              <w:left w:val="nil"/>
              <w:bottom w:val="single" w:color="auto" w:sz="4" w:space="0"/>
              <w:right w:val="single" w:color="auto" w:sz="4" w:space="0"/>
            </w:tcBorders>
            <w:vAlign w:val="center"/>
          </w:tcPr>
          <w:p w14:paraId="6548B5AF">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421" w:type="pct"/>
            <w:tcBorders>
              <w:top w:val="nil"/>
              <w:left w:val="nil"/>
              <w:bottom w:val="single" w:color="auto" w:sz="4" w:space="0"/>
              <w:right w:val="single" w:color="auto" w:sz="4" w:space="0"/>
            </w:tcBorders>
            <w:noWrap/>
            <w:vAlign w:val="center"/>
          </w:tcPr>
          <w:p w14:paraId="316EE593">
            <w:pPr>
              <w:spacing w:after="0" w:line="240" w:lineRule="auto"/>
              <w:ind w:firstLine="0" w:firstLineChars="0"/>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01EB5ADF">
        <w:trPr>
          <w:trHeight w:val="560" w:hRule="atLeast"/>
        </w:trPr>
        <w:tc>
          <w:tcPr>
            <w:tcW w:w="421" w:type="pct"/>
            <w:tcBorders>
              <w:top w:val="nil"/>
              <w:left w:val="single" w:color="auto" w:sz="4" w:space="0"/>
              <w:bottom w:val="single" w:color="auto" w:sz="4" w:space="0"/>
              <w:right w:val="single" w:color="auto" w:sz="4" w:space="0"/>
            </w:tcBorders>
            <w:noWrap/>
            <w:vAlign w:val="center"/>
          </w:tcPr>
          <w:p w14:paraId="2ABE4F10">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3</w:t>
            </w:r>
          </w:p>
        </w:tc>
        <w:tc>
          <w:tcPr>
            <w:tcW w:w="421" w:type="pct"/>
            <w:tcBorders>
              <w:top w:val="nil"/>
              <w:left w:val="nil"/>
              <w:bottom w:val="single" w:color="auto" w:sz="4" w:space="0"/>
              <w:right w:val="single" w:color="auto" w:sz="4" w:space="0"/>
            </w:tcBorders>
            <w:vAlign w:val="center"/>
          </w:tcPr>
          <w:p w14:paraId="61EBF01A">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核心运维保障服务</w:t>
            </w:r>
          </w:p>
        </w:tc>
        <w:tc>
          <w:tcPr>
            <w:tcW w:w="2896" w:type="pct"/>
            <w:tcBorders>
              <w:top w:val="nil"/>
              <w:left w:val="nil"/>
              <w:bottom w:val="single" w:color="auto" w:sz="4" w:space="0"/>
              <w:right w:val="single" w:color="auto" w:sz="4" w:space="0"/>
            </w:tcBorders>
            <w:vAlign w:val="center"/>
          </w:tcPr>
          <w:p w14:paraId="336706BD">
            <w:pPr>
              <w:spacing w:after="0" w:line="240" w:lineRule="auto"/>
              <w:ind w:firstLine="0" w:firstLineChars="0"/>
              <w:rPr>
                <w:rFonts w:hint="eastAsia" w:ascii="宋体" w:hAnsi="宋体" w:eastAsia="宋体" w:cs="宋体"/>
                <w:kern w:val="0"/>
                <w:sz w:val="22"/>
                <w:szCs w:val="22"/>
                <w:lang w:eastAsia="zh-CN"/>
              </w:rPr>
            </w:pPr>
            <w:r>
              <w:rPr>
                <w:rFonts w:hint="eastAsia" w:ascii="宋体" w:hAnsi="宋体" w:cs="宋体"/>
                <w:kern w:val="0"/>
                <w:sz w:val="22"/>
                <w:szCs w:val="22"/>
              </w:rPr>
              <w:t>确保集团接</w:t>
            </w:r>
            <w:r>
              <w:rPr>
                <w:rFonts w:hint="eastAsia" w:ascii="宋体" w:hAnsi="宋体" w:cs="宋体"/>
                <w:kern w:val="0"/>
                <w:sz w:val="22"/>
                <w:szCs w:val="22"/>
                <w:lang w:val="en-US" w:eastAsia="zh-CN"/>
              </w:rPr>
              <w:t>口</w:t>
            </w:r>
            <w:r>
              <w:rPr>
                <w:rFonts w:hint="eastAsia" w:ascii="宋体" w:hAnsi="宋体" w:cs="宋体"/>
                <w:kern w:val="0"/>
                <w:sz w:val="22"/>
                <w:szCs w:val="22"/>
              </w:rPr>
              <w:t>总线集成平台7x24小时稳定运行，确保接口服务资产长期稳定、高效、安全运行</w:t>
            </w:r>
            <w:r>
              <w:rPr>
                <w:rFonts w:hint="eastAsia" w:ascii="宋体" w:hAnsi="宋体" w:cs="宋体"/>
                <w:kern w:val="0"/>
                <w:sz w:val="22"/>
                <w:szCs w:val="22"/>
                <w:lang w:eastAsia="zh-CN"/>
              </w:rPr>
              <w:t>。</w:t>
            </w:r>
          </w:p>
        </w:tc>
        <w:tc>
          <w:tcPr>
            <w:tcW w:w="421" w:type="pct"/>
            <w:tcBorders>
              <w:top w:val="nil"/>
              <w:left w:val="nil"/>
              <w:bottom w:val="single" w:color="auto" w:sz="4" w:space="0"/>
              <w:right w:val="single" w:color="auto" w:sz="4" w:space="0"/>
            </w:tcBorders>
            <w:vAlign w:val="center"/>
          </w:tcPr>
          <w:p w14:paraId="127A4CB7">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421" w:type="pct"/>
            <w:tcBorders>
              <w:top w:val="nil"/>
              <w:left w:val="nil"/>
              <w:bottom w:val="single" w:color="auto" w:sz="4" w:space="0"/>
              <w:right w:val="single" w:color="auto" w:sz="4" w:space="0"/>
            </w:tcBorders>
            <w:vAlign w:val="center"/>
          </w:tcPr>
          <w:p w14:paraId="78DDC9F7">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421" w:type="pct"/>
            <w:tcBorders>
              <w:top w:val="nil"/>
              <w:left w:val="nil"/>
              <w:bottom w:val="single" w:color="auto" w:sz="4" w:space="0"/>
              <w:right w:val="single" w:color="auto" w:sz="4" w:space="0"/>
            </w:tcBorders>
            <w:noWrap/>
            <w:vAlign w:val="center"/>
          </w:tcPr>
          <w:p w14:paraId="6F99FF7D">
            <w:pPr>
              <w:spacing w:after="0" w:line="240" w:lineRule="auto"/>
              <w:ind w:firstLine="0" w:firstLineChars="0"/>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5CD8A390">
        <w:trPr>
          <w:trHeight w:val="840" w:hRule="atLeast"/>
        </w:trPr>
        <w:tc>
          <w:tcPr>
            <w:tcW w:w="421" w:type="pct"/>
            <w:tcBorders>
              <w:top w:val="nil"/>
              <w:left w:val="single" w:color="auto" w:sz="4" w:space="0"/>
              <w:bottom w:val="single" w:color="auto" w:sz="4" w:space="0"/>
              <w:right w:val="single" w:color="auto" w:sz="4" w:space="0"/>
            </w:tcBorders>
            <w:noWrap/>
            <w:vAlign w:val="center"/>
          </w:tcPr>
          <w:p w14:paraId="3D09C540">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4</w:t>
            </w:r>
          </w:p>
        </w:tc>
        <w:tc>
          <w:tcPr>
            <w:tcW w:w="421" w:type="pct"/>
            <w:tcBorders>
              <w:top w:val="nil"/>
              <w:left w:val="nil"/>
              <w:bottom w:val="single" w:color="auto" w:sz="4" w:space="0"/>
              <w:right w:val="single" w:color="auto" w:sz="4" w:space="0"/>
            </w:tcBorders>
            <w:vAlign w:val="center"/>
          </w:tcPr>
          <w:p w14:paraId="3AE0F07C">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配置与变更管理服务</w:t>
            </w:r>
          </w:p>
        </w:tc>
        <w:tc>
          <w:tcPr>
            <w:tcW w:w="2896" w:type="pct"/>
            <w:tcBorders>
              <w:top w:val="nil"/>
              <w:left w:val="nil"/>
              <w:bottom w:val="single" w:color="auto" w:sz="4" w:space="0"/>
              <w:right w:val="single" w:color="auto" w:sz="4" w:space="0"/>
            </w:tcBorders>
            <w:vAlign w:val="center"/>
          </w:tcPr>
          <w:p w14:paraId="6276936C">
            <w:pPr>
              <w:spacing w:after="0" w:line="240" w:lineRule="auto"/>
              <w:ind w:firstLine="0" w:firstLineChars="0"/>
              <w:rPr>
                <w:rFonts w:hint="eastAsia" w:ascii="宋体" w:hAnsi="宋体" w:cs="宋体"/>
                <w:kern w:val="0"/>
                <w:sz w:val="22"/>
                <w:szCs w:val="22"/>
              </w:rPr>
            </w:pPr>
            <w:r>
              <w:rPr>
                <w:rFonts w:hint="eastAsia" w:ascii="宋体" w:hAnsi="宋体" w:cs="宋体"/>
                <w:kern w:val="0"/>
                <w:sz w:val="22"/>
                <w:szCs w:val="22"/>
              </w:rPr>
              <w:t>标准化变更审批防未授权故障，搭建 CI/CD 管道实现自动化部署与快速回滚，定期核查配置合规性</w:t>
            </w:r>
          </w:p>
        </w:tc>
        <w:tc>
          <w:tcPr>
            <w:tcW w:w="421" w:type="pct"/>
            <w:tcBorders>
              <w:top w:val="nil"/>
              <w:left w:val="nil"/>
              <w:bottom w:val="single" w:color="auto" w:sz="4" w:space="0"/>
              <w:right w:val="single" w:color="auto" w:sz="4" w:space="0"/>
            </w:tcBorders>
            <w:vAlign w:val="center"/>
          </w:tcPr>
          <w:p w14:paraId="7A026FEC">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421" w:type="pct"/>
            <w:tcBorders>
              <w:top w:val="nil"/>
              <w:left w:val="nil"/>
              <w:bottom w:val="single" w:color="auto" w:sz="4" w:space="0"/>
              <w:right w:val="single" w:color="auto" w:sz="4" w:space="0"/>
            </w:tcBorders>
            <w:vAlign w:val="center"/>
          </w:tcPr>
          <w:p w14:paraId="4A8C9AD5">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421" w:type="pct"/>
            <w:tcBorders>
              <w:top w:val="nil"/>
              <w:left w:val="nil"/>
              <w:bottom w:val="single" w:color="auto" w:sz="4" w:space="0"/>
              <w:right w:val="single" w:color="auto" w:sz="4" w:space="0"/>
            </w:tcBorders>
            <w:noWrap/>
            <w:vAlign w:val="center"/>
          </w:tcPr>
          <w:p w14:paraId="0F1CBF04">
            <w:pPr>
              <w:spacing w:after="0" w:line="240" w:lineRule="auto"/>
              <w:ind w:firstLine="0" w:firstLineChars="0"/>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66736D66">
        <w:trPr>
          <w:trHeight w:val="560" w:hRule="atLeast"/>
        </w:trPr>
        <w:tc>
          <w:tcPr>
            <w:tcW w:w="421" w:type="pct"/>
            <w:tcBorders>
              <w:top w:val="nil"/>
              <w:left w:val="single" w:color="auto" w:sz="4" w:space="0"/>
              <w:bottom w:val="single" w:color="auto" w:sz="4" w:space="0"/>
              <w:right w:val="single" w:color="auto" w:sz="4" w:space="0"/>
            </w:tcBorders>
            <w:noWrap/>
            <w:vAlign w:val="center"/>
          </w:tcPr>
          <w:p w14:paraId="7E07C478">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5</w:t>
            </w:r>
          </w:p>
        </w:tc>
        <w:tc>
          <w:tcPr>
            <w:tcW w:w="421" w:type="pct"/>
            <w:tcBorders>
              <w:top w:val="nil"/>
              <w:left w:val="nil"/>
              <w:bottom w:val="single" w:color="auto" w:sz="4" w:space="0"/>
              <w:right w:val="single" w:color="auto" w:sz="4" w:space="0"/>
            </w:tcBorders>
            <w:vAlign w:val="center"/>
          </w:tcPr>
          <w:p w14:paraId="0B0924C9">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接口治理运营服务</w:t>
            </w:r>
          </w:p>
        </w:tc>
        <w:tc>
          <w:tcPr>
            <w:tcW w:w="2896" w:type="pct"/>
            <w:tcBorders>
              <w:top w:val="nil"/>
              <w:left w:val="nil"/>
              <w:bottom w:val="single" w:color="auto" w:sz="4" w:space="0"/>
              <w:right w:val="single" w:color="auto" w:sz="4" w:space="0"/>
            </w:tcBorders>
            <w:vAlign w:val="center"/>
          </w:tcPr>
          <w:p w14:paraId="78D4E9CA">
            <w:pPr>
              <w:spacing w:after="0" w:line="240" w:lineRule="auto"/>
              <w:ind w:firstLine="0" w:firstLineChars="0"/>
              <w:rPr>
                <w:rFonts w:hint="eastAsia" w:ascii="宋体" w:hAnsi="宋体" w:cs="宋体"/>
                <w:kern w:val="0"/>
                <w:sz w:val="22"/>
                <w:szCs w:val="22"/>
              </w:rPr>
            </w:pPr>
            <w:r>
              <w:rPr>
                <w:rFonts w:hint="eastAsia" w:ascii="宋体" w:hAnsi="宋体" w:cs="宋体"/>
                <w:kern w:val="0"/>
                <w:sz w:val="22"/>
                <w:szCs w:val="22"/>
              </w:rPr>
              <w:t>定期评审服务目录清理冗余，按 N-2 策略管控服务版本并推动老旧版本退役升级，按季度发布 SLA 报告并针对偏差制定改进计划</w:t>
            </w:r>
          </w:p>
        </w:tc>
        <w:tc>
          <w:tcPr>
            <w:tcW w:w="421" w:type="pct"/>
            <w:tcBorders>
              <w:top w:val="nil"/>
              <w:left w:val="nil"/>
              <w:bottom w:val="single" w:color="auto" w:sz="4" w:space="0"/>
              <w:right w:val="single" w:color="auto" w:sz="4" w:space="0"/>
            </w:tcBorders>
            <w:vAlign w:val="center"/>
          </w:tcPr>
          <w:p w14:paraId="1B19E21F">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421" w:type="pct"/>
            <w:tcBorders>
              <w:top w:val="nil"/>
              <w:left w:val="nil"/>
              <w:bottom w:val="single" w:color="auto" w:sz="4" w:space="0"/>
              <w:right w:val="single" w:color="auto" w:sz="4" w:space="0"/>
            </w:tcBorders>
            <w:vAlign w:val="center"/>
          </w:tcPr>
          <w:p w14:paraId="4B047CED">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421" w:type="pct"/>
            <w:tcBorders>
              <w:top w:val="nil"/>
              <w:left w:val="nil"/>
              <w:bottom w:val="single" w:color="auto" w:sz="4" w:space="0"/>
              <w:right w:val="single" w:color="auto" w:sz="4" w:space="0"/>
            </w:tcBorders>
            <w:noWrap/>
            <w:vAlign w:val="center"/>
          </w:tcPr>
          <w:p w14:paraId="06397CBF">
            <w:pPr>
              <w:spacing w:after="0" w:line="240" w:lineRule="auto"/>
              <w:ind w:firstLine="0" w:firstLineChars="0"/>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bl>
    <w:p w14:paraId="2E102D05">
      <w:pPr>
        <w:pStyle w:val="446"/>
        <w:ind w:firstLine="480"/>
        <w:rPr>
          <w:rFonts w:hint="eastAsia"/>
        </w:rPr>
      </w:pPr>
    </w:p>
    <w:p w14:paraId="443DA872">
      <w:pPr>
        <w:pStyle w:val="446"/>
        <w:ind w:firstLine="480"/>
        <w:rPr>
          <w:rFonts w:hint="eastAsia"/>
        </w:rPr>
      </w:pPr>
    </w:p>
    <w:p w14:paraId="18911001">
      <w:pPr>
        <w:widowControl w:val="0"/>
        <w:numPr>
          <w:ilvl w:val="0"/>
          <w:numId w:val="7"/>
        </w:numPr>
        <w:autoSpaceDE w:val="0"/>
        <w:autoSpaceDN w:val="0"/>
        <w:adjustRightInd w:val="0"/>
        <w:snapToGrid w:val="0"/>
        <w:spacing w:after="0"/>
        <w:ind w:firstLineChars="0"/>
        <w:jc w:val="left"/>
        <w:outlineLvl w:val="2"/>
        <w:rPr>
          <w:rFonts w:ascii="宋体" w:hAnsi="宋体"/>
          <w:b/>
          <w:bCs/>
          <w:szCs w:val="21"/>
        </w:rPr>
      </w:pPr>
      <w:r>
        <w:rPr>
          <w:rFonts w:hint="eastAsia" w:ascii="宋体" w:hAnsi="宋体"/>
          <w:b/>
          <w:bCs/>
          <w:szCs w:val="21"/>
        </w:rPr>
        <w:t>系统集成服务</w:t>
      </w:r>
    </w:p>
    <w:p w14:paraId="311871C0">
      <w:pPr>
        <w:pStyle w:val="17"/>
        <w:keepNext/>
        <w:ind w:left="360" w:firstLineChars="100"/>
        <w:jc w:val="center"/>
        <w:rPr>
          <w:rFonts w:hint="eastAsia" w:ascii="宋体" w:hAnsi="宋体" w:eastAsia="宋体"/>
        </w:rPr>
      </w:pPr>
      <w:r>
        <w:rPr>
          <w:rFonts w:hint="eastAsia" w:ascii="宋体" w:hAnsi="宋体" w:eastAsia="宋体"/>
        </w:rPr>
        <w:t>表</w:t>
      </w:r>
      <w:r>
        <w:rPr>
          <w:rFonts w:hint="eastAsia" w:ascii="宋体" w:hAnsi="宋体" w:eastAsia="宋体"/>
          <w:lang w:val="en-US" w:eastAsia="zh-CN"/>
        </w:rPr>
        <w:t>5</w:t>
      </w:r>
      <w:r>
        <w:rPr>
          <w:rFonts w:hint="eastAsia" w:ascii="宋体" w:hAnsi="宋体" w:eastAsia="宋体"/>
        </w:rPr>
        <w:t xml:space="preserve"> 系统集成服务清单</w:t>
      </w:r>
    </w:p>
    <w:tbl>
      <w:tblPr>
        <w:tblStyle w:val="54"/>
        <w:tblW w:w="5000" w:type="pct"/>
        <w:tblInd w:w="0" w:type="dxa"/>
        <w:tblLayout w:type="autofit"/>
        <w:tblCellMar>
          <w:top w:w="0" w:type="dxa"/>
          <w:left w:w="108" w:type="dxa"/>
          <w:bottom w:w="0" w:type="dxa"/>
          <w:right w:w="108" w:type="dxa"/>
        </w:tblCellMar>
      </w:tblPr>
      <w:tblGrid>
        <w:gridCol w:w="924"/>
        <w:gridCol w:w="924"/>
        <w:gridCol w:w="3894"/>
        <w:gridCol w:w="926"/>
        <w:gridCol w:w="928"/>
        <w:gridCol w:w="926"/>
      </w:tblGrid>
      <w:tr w14:paraId="7708A774">
        <w:tblPrEx>
          <w:tblCellMar>
            <w:top w:w="0" w:type="dxa"/>
            <w:left w:w="108" w:type="dxa"/>
            <w:bottom w:w="0" w:type="dxa"/>
            <w:right w:w="108" w:type="dxa"/>
          </w:tblCellMar>
        </w:tblPrEx>
        <w:trPr>
          <w:trHeight w:val="340" w:hRule="atLeast"/>
          <w:tblHeader/>
        </w:trPr>
        <w:tc>
          <w:tcPr>
            <w:tcW w:w="542" w:type="pct"/>
            <w:tcBorders>
              <w:top w:val="single" w:color="000000" w:sz="4" w:space="0"/>
              <w:left w:val="single" w:color="000000" w:sz="4" w:space="0"/>
              <w:bottom w:val="single" w:color="000000" w:sz="4" w:space="0"/>
              <w:right w:val="single" w:color="000000" w:sz="4" w:space="0"/>
            </w:tcBorders>
            <w:vAlign w:val="center"/>
          </w:tcPr>
          <w:p w14:paraId="33CC29A6">
            <w:pPr>
              <w:spacing w:line="240" w:lineRule="auto"/>
              <w:ind w:firstLine="0" w:firstLineChars="0"/>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序号</w:t>
            </w:r>
          </w:p>
        </w:tc>
        <w:tc>
          <w:tcPr>
            <w:tcW w:w="542" w:type="pct"/>
            <w:tcBorders>
              <w:top w:val="single" w:color="000000" w:sz="4" w:space="0"/>
              <w:left w:val="single" w:color="000000" w:sz="4" w:space="0"/>
              <w:bottom w:val="single" w:color="000000" w:sz="4" w:space="0"/>
              <w:right w:val="single" w:color="000000" w:sz="4" w:space="0"/>
            </w:tcBorders>
            <w:vAlign w:val="center"/>
          </w:tcPr>
          <w:p w14:paraId="2AE23E22">
            <w:pPr>
              <w:spacing w:line="240" w:lineRule="auto"/>
              <w:ind w:firstLine="0" w:firstLineChars="0"/>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名称</w:t>
            </w:r>
          </w:p>
        </w:tc>
        <w:tc>
          <w:tcPr>
            <w:tcW w:w="2284" w:type="pct"/>
            <w:tcBorders>
              <w:top w:val="single" w:color="000000" w:sz="4" w:space="0"/>
              <w:left w:val="single" w:color="000000" w:sz="4" w:space="0"/>
              <w:bottom w:val="single" w:color="000000" w:sz="4" w:space="0"/>
              <w:right w:val="single" w:color="000000" w:sz="4" w:space="0"/>
            </w:tcBorders>
            <w:vAlign w:val="center"/>
          </w:tcPr>
          <w:p w14:paraId="470AD4A5">
            <w:pPr>
              <w:spacing w:line="240" w:lineRule="auto"/>
              <w:ind w:firstLine="0" w:firstLineChars="0"/>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规格</w:t>
            </w:r>
          </w:p>
        </w:tc>
        <w:tc>
          <w:tcPr>
            <w:tcW w:w="543" w:type="pct"/>
            <w:tcBorders>
              <w:top w:val="single" w:color="000000" w:sz="4" w:space="0"/>
              <w:left w:val="single" w:color="000000" w:sz="4" w:space="0"/>
              <w:bottom w:val="single" w:color="000000" w:sz="4" w:space="0"/>
              <w:right w:val="single" w:color="000000" w:sz="4" w:space="0"/>
            </w:tcBorders>
            <w:vAlign w:val="center"/>
          </w:tcPr>
          <w:p w14:paraId="102BA353">
            <w:pPr>
              <w:spacing w:line="240" w:lineRule="auto"/>
              <w:ind w:firstLine="0" w:firstLineChars="0"/>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数量</w:t>
            </w:r>
          </w:p>
        </w:tc>
        <w:tc>
          <w:tcPr>
            <w:tcW w:w="544" w:type="pct"/>
            <w:tcBorders>
              <w:top w:val="single" w:color="000000" w:sz="4" w:space="0"/>
              <w:left w:val="single" w:color="000000" w:sz="4" w:space="0"/>
              <w:bottom w:val="single" w:color="000000" w:sz="4" w:space="0"/>
              <w:right w:val="single" w:color="000000" w:sz="4" w:space="0"/>
            </w:tcBorders>
            <w:vAlign w:val="center"/>
          </w:tcPr>
          <w:p w14:paraId="4E855BC3">
            <w:pPr>
              <w:spacing w:line="240" w:lineRule="auto"/>
              <w:ind w:firstLine="0" w:firstLineChars="0"/>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单位</w:t>
            </w:r>
          </w:p>
        </w:tc>
        <w:tc>
          <w:tcPr>
            <w:tcW w:w="543" w:type="pct"/>
            <w:tcBorders>
              <w:top w:val="single" w:color="000000" w:sz="4" w:space="0"/>
              <w:left w:val="single" w:color="000000" w:sz="4" w:space="0"/>
              <w:bottom w:val="single" w:color="000000" w:sz="4" w:space="0"/>
              <w:right w:val="single" w:color="000000" w:sz="4" w:space="0"/>
            </w:tcBorders>
            <w:vAlign w:val="center"/>
          </w:tcPr>
          <w:p w14:paraId="67B4A7AF">
            <w:pPr>
              <w:spacing w:line="240" w:lineRule="auto"/>
              <w:ind w:firstLine="0" w:firstLineChars="0"/>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备注</w:t>
            </w:r>
          </w:p>
        </w:tc>
      </w:tr>
      <w:tr w14:paraId="4F4C5FED">
        <w:tblPrEx>
          <w:tblCellMar>
            <w:top w:w="0" w:type="dxa"/>
            <w:left w:w="108" w:type="dxa"/>
            <w:bottom w:w="0" w:type="dxa"/>
            <w:right w:w="108" w:type="dxa"/>
          </w:tblCellMar>
        </w:tblPrEx>
        <w:trPr>
          <w:trHeight w:val="2020" w:hRule="atLeast"/>
        </w:trPr>
        <w:tc>
          <w:tcPr>
            <w:tcW w:w="542" w:type="pct"/>
            <w:tcBorders>
              <w:top w:val="single" w:color="000000" w:sz="4" w:space="0"/>
              <w:left w:val="single" w:color="000000" w:sz="4" w:space="0"/>
              <w:bottom w:val="single" w:color="000000" w:sz="4" w:space="0"/>
              <w:right w:val="single" w:color="000000" w:sz="4" w:space="0"/>
            </w:tcBorders>
            <w:vAlign w:val="center"/>
          </w:tcPr>
          <w:p w14:paraId="06BE5C72">
            <w:pPr>
              <w:spacing w:line="240" w:lineRule="auto"/>
              <w:ind w:firstLine="0" w:firstLineChars="0"/>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542" w:type="pct"/>
            <w:tcBorders>
              <w:top w:val="single" w:color="000000" w:sz="4" w:space="0"/>
              <w:left w:val="single" w:color="000000" w:sz="4" w:space="0"/>
              <w:bottom w:val="single" w:color="000000" w:sz="4" w:space="0"/>
              <w:right w:val="single" w:color="000000" w:sz="4" w:space="0"/>
            </w:tcBorders>
            <w:vAlign w:val="center"/>
          </w:tcPr>
          <w:p w14:paraId="03E5AD32">
            <w:pPr>
              <w:spacing w:after="0" w:line="240" w:lineRule="auto"/>
              <w:ind w:firstLine="0" w:firstLineChars="0"/>
              <w:rPr>
                <w:rFonts w:hint="eastAsia" w:ascii="宋体" w:hAnsi="宋体" w:cs="宋体"/>
                <w:kern w:val="0"/>
                <w:sz w:val="22"/>
                <w:szCs w:val="22"/>
              </w:rPr>
            </w:pPr>
            <w:r>
              <w:rPr>
                <w:rFonts w:hint="eastAsia" w:ascii="宋体" w:hAnsi="宋体" w:cs="宋体"/>
                <w:kern w:val="0"/>
                <w:sz w:val="22"/>
                <w:szCs w:val="22"/>
              </w:rPr>
              <w:t>系统集成服务</w:t>
            </w:r>
          </w:p>
        </w:tc>
        <w:tc>
          <w:tcPr>
            <w:tcW w:w="2284" w:type="pct"/>
            <w:tcBorders>
              <w:top w:val="single" w:color="000000" w:sz="4" w:space="0"/>
              <w:left w:val="single" w:color="000000" w:sz="4" w:space="0"/>
              <w:bottom w:val="single" w:color="000000" w:sz="4" w:space="0"/>
              <w:right w:val="single" w:color="000000" w:sz="4" w:space="0"/>
            </w:tcBorders>
            <w:vAlign w:val="center"/>
          </w:tcPr>
          <w:p w14:paraId="273800B8">
            <w:pPr>
              <w:spacing w:after="0" w:line="240" w:lineRule="auto"/>
              <w:ind w:firstLine="0" w:firstLineChars="0"/>
              <w:rPr>
                <w:rFonts w:hint="eastAsia" w:ascii="宋体" w:hAnsi="宋体" w:cs="宋体"/>
                <w:kern w:val="0"/>
                <w:sz w:val="22"/>
                <w:szCs w:val="22"/>
              </w:rPr>
            </w:pPr>
            <w:r>
              <w:rPr>
                <w:rFonts w:hint="eastAsia" w:ascii="宋体" w:hAnsi="宋体" w:cs="宋体"/>
                <w:kern w:val="0"/>
                <w:sz w:val="22"/>
                <w:szCs w:val="22"/>
              </w:rPr>
              <w:t>以集团接口总线平台为核心支撑，统筹梳理城投集团既有存量业务系统与本项目新增业务系统的核心接口资源，构建标准化、可迭代、易维护的集成服务体系</w:t>
            </w:r>
            <w:r>
              <w:rPr>
                <w:rFonts w:hint="eastAsia" w:ascii="宋体" w:hAnsi="宋体" w:cs="宋体"/>
                <w:kern w:val="0"/>
                <w:sz w:val="22"/>
                <w:szCs w:val="22"/>
                <w:lang w:eastAsia="zh-CN"/>
              </w:rPr>
              <w:t>，</w:t>
            </w:r>
            <w:r>
              <w:rPr>
                <w:rFonts w:hint="eastAsia" w:ascii="宋体" w:hAnsi="宋体" w:cs="宋体"/>
                <w:kern w:val="0"/>
                <w:sz w:val="22"/>
                <w:szCs w:val="22"/>
                <w:lang w:val="en-US" w:eastAsia="zh-CN"/>
              </w:rPr>
              <w:t>将</w:t>
            </w:r>
            <w:r>
              <w:rPr>
                <w:rFonts w:hint="eastAsia" w:ascii="宋体" w:hAnsi="宋体" w:cs="宋体"/>
                <w:kern w:val="0"/>
                <w:sz w:val="22"/>
                <w:szCs w:val="22"/>
                <w:u w:val="none"/>
                <w:lang w:val="en-US" w:eastAsia="zh-CN"/>
              </w:rPr>
              <w:t>本次项目新建信息化系统统一与集团现有的OA系统集成实现单点登录，基于集团接口总线平台将新建设的信息化系统与智慧园区管理系统、数据中台等原信息化系统通过接口形式统一集成并完成调试。</w:t>
            </w:r>
          </w:p>
        </w:tc>
        <w:tc>
          <w:tcPr>
            <w:tcW w:w="543" w:type="pct"/>
            <w:tcBorders>
              <w:top w:val="single" w:color="000000" w:sz="4" w:space="0"/>
              <w:left w:val="single" w:color="000000" w:sz="4" w:space="0"/>
              <w:bottom w:val="single" w:color="000000" w:sz="4" w:space="0"/>
              <w:right w:val="single" w:color="000000" w:sz="4" w:space="0"/>
            </w:tcBorders>
            <w:vAlign w:val="center"/>
          </w:tcPr>
          <w:p w14:paraId="5BA76506">
            <w:pPr>
              <w:spacing w:line="240" w:lineRule="auto"/>
              <w:ind w:firstLine="0" w:firstLineChars="0"/>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544" w:type="pct"/>
            <w:tcBorders>
              <w:top w:val="single" w:color="000000" w:sz="4" w:space="0"/>
              <w:left w:val="single" w:color="000000" w:sz="4" w:space="0"/>
              <w:bottom w:val="single" w:color="000000" w:sz="4" w:space="0"/>
              <w:right w:val="single" w:color="000000" w:sz="4" w:space="0"/>
            </w:tcBorders>
            <w:vAlign w:val="center"/>
          </w:tcPr>
          <w:p w14:paraId="6E2DD6AA">
            <w:pPr>
              <w:spacing w:line="240" w:lineRule="auto"/>
              <w:ind w:firstLine="0" w:firstLineChars="0"/>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项</w:t>
            </w:r>
          </w:p>
        </w:tc>
        <w:tc>
          <w:tcPr>
            <w:tcW w:w="543" w:type="pct"/>
            <w:tcBorders>
              <w:top w:val="single" w:color="000000" w:sz="4" w:space="0"/>
              <w:left w:val="single" w:color="000000" w:sz="4" w:space="0"/>
              <w:bottom w:val="single" w:color="000000" w:sz="4" w:space="0"/>
              <w:right w:val="single" w:color="000000" w:sz="4" w:space="0"/>
            </w:tcBorders>
            <w:vAlign w:val="center"/>
          </w:tcPr>
          <w:p w14:paraId="46A4BDDE">
            <w:pPr>
              <w:spacing w:line="240" w:lineRule="auto"/>
              <w:ind w:firstLine="0" w:firstLineChars="0"/>
              <w:textAlignment w:val="center"/>
              <w:rPr>
                <w:rFonts w:hint="eastAsia" w:ascii="宋体" w:hAnsi="宋体" w:cs="宋体"/>
                <w:color w:val="000000"/>
                <w:sz w:val="22"/>
                <w:szCs w:val="22"/>
              </w:rPr>
            </w:pPr>
          </w:p>
        </w:tc>
      </w:tr>
    </w:tbl>
    <w:p w14:paraId="4C1C749E">
      <w:pPr>
        <w:ind w:firstLine="420"/>
      </w:pPr>
    </w:p>
    <w:p w14:paraId="570C93DB">
      <w:pPr>
        <w:pStyle w:val="446"/>
        <w:ind w:firstLine="480"/>
        <w:rPr>
          <w:rFonts w:hint="eastAsia"/>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文泉驿微米黑"/>
    <w:panose1 w:val="02010600030101010101"/>
    <w:charset w:val="50"/>
    <w:family w:val="auto"/>
    <w:pitch w:val="default"/>
    <w:sig w:usb0="00000000" w:usb1="0000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公文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2"/>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文泉驿微米黑">
    <w:panose1 w:val="020B0606030804020204"/>
    <w:charset w:val="86"/>
    <w:family w:val="auto"/>
    <w:pitch w:val="default"/>
    <w:sig w:usb0="E10002EF" w:usb1="6BDFFCFB" w:usb2="00800036" w:usb3="00000000" w:csb0="603E019F" w:csb1="DFD70000"/>
  </w:font>
  <w:font w:name="方正公文黑体">
    <w:panose1 w:val="02000500000000000000"/>
    <w:charset w:val="86"/>
    <w:family w:val="auto"/>
    <w:pitch w:val="default"/>
    <w:sig w:usb0="A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等线">
    <w:altName w:val="方正公文黑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ourier">
    <w:altName w:val="Liberation Mono"/>
    <w:panose1 w:val="02070409020205020404"/>
    <w:charset w:val="00"/>
    <w:family w:val="modern"/>
    <w:pitch w:val="default"/>
    <w:sig w:usb0="00000000" w:usb1="00000000" w:usb2="00000000" w:usb3="00000000" w:csb0="00000001" w:csb1="00000000"/>
  </w:font>
  <w:font w:name="Liberation Mono">
    <w:panose1 w:val="02070409020205020404"/>
    <w:charset w:val="00"/>
    <w:family w:val="auto"/>
    <w:pitch w:val="default"/>
    <w:sig w:usb0="A00002AF" w:usb1="400078FB" w:usb2="00000000" w:usb3="00000000" w:csb0="6000009F" w:csb1="DFD70000"/>
  </w:font>
  <w:font w:name="PMingLiU">
    <w:altName w:val="文泉驿微米黑"/>
    <w:panose1 w:val="02010601000101010101"/>
    <w:charset w:val="88"/>
    <w:family w:val="roman"/>
    <w:pitch w:val="default"/>
    <w:sig w:usb0="00000000" w:usb1="00000000" w:usb2="00000016" w:usb3="00000000" w:csb0="00100001" w:csb1="00000000"/>
  </w:font>
  <w:font w:name="楷体">
    <w:altName w:val="楷体_GB2312"/>
    <w:panose1 w:val="02010609060101010101"/>
    <w:charset w:val="86"/>
    <w:family w:val="modern"/>
    <w:pitch w:val="default"/>
    <w:sig w:usb0="00000000" w:usb1="00000000" w:usb2="00000016" w:usb3="00000000" w:csb0="00040001"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华文细黑">
    <w:panose1 w:val="02010600040101010101"/>
    <w:charset w:val="86"/>
    <w:family w:val="auto"/>
    <w:pitch w:val="default"/>
    <w:sig w:usb0="00000287" w:usb1="080F0000" w:usb2="00000000" w:usb3="00000000" w:csb0="0004009F" w:csb1="DFD70000"/>
  </w:font>
  <w:font w:name="MS Gothic">
    <w:altName w:val="文泉驿微米黑"/>
    <w:panose1 w:val="020B0609070205080204"/>
    <w:charset w:val="80"/>
    <w:family w:val="modern"/>
    <w:pitch w:val="default"/>
    <w:sig w:usb0="00000000" w:usb1="00000000" w:usb2="08000012" w:usb3="00000000" w:csb0="4002009F" w:csb1="DFD70000"/>
  </w:font>
  <w:font w:name="Microsoft JhengHei">
    <w:altName w:val="文泉驿微米黑"/>
    <w:panose1 w:val="020B0604030504040204"/>
    <w:charset w:val="88"/>
    <w:family w:val="swiss"/>
    <w:pitch w:val="default"/>
    <w:sig w:usb0="00000000" w:usb1="00000000" w:usb2="00000016" w:usb3="00000000" w:csb0="00100009" w:csb1="00000000"/>
  </w:font>
  <w:font w:name="Verdana">
    <w:altName w:val="Ubuntu Light"/>
    <w:panose1 w:val="020B0604030504040204"/>
    <w:charset w:val="00"/>
    <w:family w:val="swiss"/>
    <w:pitch w:val="default"/>
    <w:sig w:usb0="00000000" w:usb1="00000000" w:usb2="00000010" w:usb3="00000000" w:csb0="2000019F" w:csb1="00000000"/>
  </w:font>
  <w:font w:name="Ubuntu Light">
    <w:panose1 w:val="020B0604030602030204"/>
    <w:charset w:val="00"/>
    <w:family w:val="auto"/>
    <w:pitch w:val="default"/>
    <w:sig w:usb0="E00002FF" w:usb1="5000205B" w:usb2="00000000" w:usb3="00000000" w:csb0="2000009F" w:csb1="56010000"/>
  </w:font>
  <w:font w:name="Arial Unicode MS">
    <w:altName w:val="DejaVu Sans"/>
    <w:panose1 w:val="020B0604020202020204"/>
    <w:charset w:val="86"/>
    <w:family w:val="auto"/>
    <w:pitch w:val="default"/>
    <w:sig w:usb0="00000000" w:usb1="00000000" w:usb2="0000007F" w:usb3="00000000" w:csb0="203F01FF" w:csb1="DFFF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全真中明體">
    <w:altName w:val="文泉驿微米黑"/>
    <w:panose1 w:val="00000000000000000000"/>
    <w:charset w:val="88"/>
    <w:family w:val="auto"/>
    <w:pitch w:val="default"/>
    <w:sig w:usb0="00000000" w:usb1="00000000" w:usb2="00000010" w:usb3="00000000" w:csb0="00100000" w:csb1="00000000"/>
  </w:font>
  <w:font w:name="幼圆">
    <w:altName w:val="仿宋_GB2312"/>
    <w:panose1 w:val="02010509060101010101"/>
    <w:charset w:val="86"/>
    <w:family w:val="modern"/>
    <w:pitch w:val="default"/>
    <w:sig w:usb0="00000000" w:usb1="00000000" w:usb2="00000000" w:usb3="00000000" w:csb0="00040000" w:csb1="00000000"/>
  </w:font>
  <w:font w:name="Palatino">
    <w:altName w:val="C059"/>
    <w:panose1 w:val="00000000000000000000"/>
    <w:charset w:val="00"/>
    <w:family w:val="modern"/>
    <w:pitch w:val="default"/>
    <w:sig w:usb0="00000000" w:usb1="00000000" w:usb2="00000000" w:usb3="00000000" w:csb0="00000093" w:csb1="00000000"/>
  </w:font>
  <w:font w:name="C059">
    <w:panose1 w:val="00000500000000000000"/>
    <w:charset w:val="00"/>
    <w:family w:val="auto"/>
    <w:pitch w:val="default"/>
    <w:sig w:usb0="00000287" w:usb1="00000800" w:usb2="00000000" w:usb3="00000000" w:csb0="6000009F" w:csb1="00000000"/>
  </w:font>
  <w:font w:name="隶书">
    <w:altName w:val="文泉驿微米黑"/>
    <w:panose1 w:val="02010509060101010101"/>
    <w:charset w:val="86"/>
    <w:family w:val="modern"/>
    <w:pitch w:val="default"/>
    <w:sig w:usb0="00000000" w:usb1="0000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Wingdings 2">
    <w:panose1 w:val="05020102010507070707"/>
    <w:charset w:val="00"/>
    <w:family w:val="auto"/>
    <w:pitch w:val="default"/>
    <w:sig w:usb0="00000000" w:usb1="00000000" w:usb2="00000000" w:usb3="00000000" w:csb0="80000000" w:csb1="00000000"/>
  </w:font>
  <w:font w:name="长城仿宋">
    <w:altName w:val="文泉驿微米黑"/>
    <w:panose1 w:val="00000000000000000000"/>
    <w:charset w:val="86"/>
    <w:family w:val="modern"/>
    <w:pitch w:val="default"/>
    <w:sig w:usb0="00000000" w:usb1="00000000" w:usb2="00000010" w:usb3="00000000" w:csb0="00040000" w:csb1="00000000"/>
  </w:font>
  <w:font w:name="等线 Light">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Microsoft YaHei UI">
    <w:altName w:val="文泉驿微米黑"/>
    <w:panose1 w:val="020B0503020204020204"/>
    <w:charset w:val="86"/>
    <w:family w:val="swiss"/>
    <w:pitch w:val="default"/>
    <w:sig w:usb0="00000000" w:usb1="00000000" w:usb2="00000016" w:usb3="00000000" w:csb0="0004001F" w:csb1="00000000"/>
  </w:font>
  <w:font w:name="仿宋">
    <w:altName w:val="仿宋_GB2312"/>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EBE26">
    <w:pPr>
      <w:pStyle w:val="3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B2EBF">
    <w:pPr>
      <w:pStyle w:val="3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448C7">
    <w:pPr>
      <w:pStyle w:val="3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20"/>
      </w:pPr>
      <w:r>
        <w:separator/>
      </w:r>
    </w:p>
  </w:footnote>
  <w:footnote w:type="continuationSeparator" w:id="1">
    <w:p>
      <w:pPr>
        <w:spacing w:before="0" w:after="0"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DF019">
    <w:pPr>
      <w:pStyle w:val="3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551B0">
    <w:pPr>
      <w:pStyle w:val="3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21A8D">
    <w:pPr>
      <w:pStyle w:val="3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4E8810"/>
    <w:multiLevelType w:val="singleLevel"/>
    <w:tmpl w:val="CD4E8810"/>
    <w:lvl w:ilvl="0" w:tentative="0">
      <w:start w:val="1"/>
      <w:numFmt w:val="decimal"/>
      <w:lvlText w:val="%1."/>
      <w:lvlJc w:val="left"/>
      <w:pPr>
        <w:tabs>
          <w:tab w:val="left" w:pos="312"/>
        </w:tabs>
      </w:pPr>
    </w:lvl>
  </w:abstractNum>
  <w:abstractNum w:abstractNumId="1">
    <w:nsid w:val="0620354E"/>
    <w:multiLevelType w:val="multilevel"/>
    <w:tmpl w:val="0620354E"/>
    <w:lvl w:ilvl="0" w:tentative="0">
      <w:start w:val="1"/>
      <w:numFmt w:val="chineseCountingThousand"/>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1670B258"/>
    <w:multiLevelType w:val="singleLevel"/>
    <w:tmpl w:val="1670B258"/>
    <w:lvl w:ilvl="0" w:tentative="0">
      <w:start w:val="1"/>
      <w:numFmt w:val="decimal"/>
      <w:lvlText w:val="%1."/>
      <w:lvlJc w:val="left"/>
      <w:pPr>
        <w:tabs>
          <w:tab w:val="left" w:pos="312"/>
        </w:tabs>
      </w:pPr>
    </w:lvl>
  </w:abstractNum>
  <w:abstractNum w:abstractNumId="3">
    <w:nsid w:val="1997BBE0"/>
    <w:multiLevelType w:val="singleLevel"/>
    <w:tmpl w:val="1997BBE0"/>
    <w:lvl w:ilvl="0" w:tentative="0">
      <w:start w:val="1"/>
      <w:numFmt w:val="decimal"/>
      <w:lvlText w:val="%1."/>
      <w:lvlJc w:val="left"/>
      <w:pPr>
        <w:tabs>
          <w:tab w:val="left" w:pos="312"/>
        </w:tabs>
      </w:pPr>
    </w:lvl>
  </w:abstractNum>
  <w:abstractNum w:abstractNumId="4">
    <w:nsid w:val="1BC87FF8"/>
    <w:multiLevelType w:val="multilevel"/>
    <w:tmpl w:val="1BC87FF8"/>
    <w:lvl w:ilvl="0" w:tentative="0">
      <w:start w:val="1"/>
      <w:numFmt w:val="decimal"/>
      <w:lvlText w:val="（%1）"/>
      <w:lvlJc w:val="left"/>
      <w:pPr>
        <w:ind w:left="1140" w:hanging="72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5">
    <w:nsid w:val="356C3CF8"/>
    <w:multiLevelType w:val="multilevel"/>
    <w:tmpl w:val="356C3CF8"/>
    <w:lvl w:ilvl="0" w:tentative="0">
      <w:start w:val="1"/>
      <w:numFmt w:val="chineseCountingThousand"/>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3EBB3C91"/>
    <w:multiLevelType w:val="multilevel"/>
    <w:tmpl w:val="3EBB3C91"/>
    <w:lvl w:ilvl="0" w:tentative="0">
      <w:start w:val="1"/>
      <w:numFmt w:val="decimal"/>
      <w:lvlText w:val="%1"/>
      <w:lvlJc w:val="left"/>
      <w:pPr>
        <w:ind w:left="907" w:hanging="907"/>
      </w:pPr>
      <w:rPr>
        <w:rFonts w:hint="eastAsia"/>
      </w:rPr>
    </w:lvl>
    <w:lvl w:ilvl="1" w:tentative="0">
      <w:start w:val="1"/>
      <w:numFmt w:val="decimal"/>
      <w:isLgl/>
      <w:suff w:val="space"/>
      <w:lvlText w:val="%1.%2 "/>
      <w:lvlJc w:val="left"/>
      <w:pPr>
        <w:ind w:left="794" w:hanging="794"/>
      </w:pPr>
      <w:rPr>
        <w:rFonts w:hint="eastAsia" w:cs="Times New Roman"/>
        <w:bCs w:val="0"/>
        <w:i w:val="0"/>
        <w:iCs w:val="0"/>
        <w:caps w:val="0"/>
        <w:smallCaps w:val="0"/>
        <w:strike w:val="0"/>
        <w:dstrike w:val="0"/>
        <w:vanish w:val="0"/>
        <w:spacing w:val="0"/>
        <w:position w:val="0"/>
        <w:u w:val="none"/>
        <w:vertAlign w:val="baseline"/>
      </w:rPr>
    </w:lvl>
    <w:lvl w:ilvl="2" w:tentative="0">
      <w:start w:val="1"/>
      <w:numFmt w:val="decimal"/>
      <w:isLgl/>
      <w:suff w:val="space"/>
      <w:lvlText w:val="%1.%2.%3 "/>
      <w:lvlJc w:val="left"/>
      <w:pPr>
        <w:ind w:left="907" w:hanging="907"/>
      </w:pPr>
      <w:rPr>
        <w:rFonts w:hint="eastAsia"/>
      </w:rPr>
    </w:lvl>
    <w:lvl w:ilvl="3" w:tentative="0">
      <w:start w:val="1"/>
      <w:numFmt w:val="decimal"/>
      <w:pStyle w:val="472"/>
      <w:isLgl/>
      <w:suff w:val="space"/>
      <w:lvlText w:val="%1.%2.%3.%4 "/>
      <w:lvlJc w:val="left"/>
      <w:pPr>
        <w:ind w:left="1021" w:hanging="1021"/>
      </w:pPr>
      <w:rPr>
        <w:rFonts w:hint="eastAsia"/>
      </w:rPr>
    </w:lvl>
    <w:lvl w:ilvl="4" w:tentative="0">
      <w:start w:val="1"/>
      <w:numFmt w:val="decimal"/>
      <w:isLgl/>
      <w:suff w:val="space"/>
      <w:lvlText w:val="%1.%2.%3.%4.%5 "/>
      <w:lvlJc w:val="left"/>
      <w:pPr>
        <w:ind w:left="1134" w:hanging="1134"/>
      </w:pPr>
      <w:rPr>
        <w:rFonts w:hint="eastAsia"/>
      </w:rPr>
    </w:lvl>
    <w:lvl w:ilvl="5" w:tentative="0">
      <w:start w:val="1"/>
      <w:numFmt w:val="decimal"/>
      <w:isLgl/>
      <w:suff w:val="space"/>
      <w:lvlText w:val="%1.%2.%3.%4.%5.%6 "/>
      <w:lvlJc w:val="left"/>
      <w:pPr>
        <w:ind w:left="1247" w:hanging="1247"/>
      </w:pPr>
      <w:rPr>
        <w:rFonts w:hint="eastAsia"/>
      </w:rPr>
    </w:lvl>
    <w:lvl w:ilvl="6" w:tentative="0">
      <w:start w:val="1"/>
      <w:numFmt w:val="decimal"/>
      <w:lvlRestart w:val="1"/>
      <w:isLgl/>
      <w:suff w:val="space"/>
      <w:lvlText w:val="图 %1.%7 "/>
      <w:lvlJc w:val="left"/>
      <w:pPr>
        <w:ind w:left="0" w:firstLine="0"/>
      </w:pPr>
      <w:rPr>
        <w:rFonts w:hint="default" w:ascii="Times New Roman" w:hAnsi="Times New Roman" w:cs="Times New Roman"/>
      </w:rPr>
    </w:lvl>
    <w:lvl w:ilvl="7" w:tentative="0">
      <w:start w:val="1"/>
      <w:numFmt w:val="decimal"/>
      <w:lvlRestart w:val="1"/>
      <w:isLgl/>
      <w:suff w:val="space"/>
      <w:lvlText w:val="表 %1.%8 "/>
      <w:lvlJc w:val="left"/>
      <w:pPr>
        <w:ind w:left="3260" w:firstLine="0"/>
      </w:pPr>
      <w:rPr>
        <w:rFonts w:hint="default" w:ascii="Times New Roman" w:hAnsi="Times New Roman" w:cs="Times New Roman"/>
      </w:rPr>
    </w:lvl>
    <w:lvl w:ilvl="8" w:tentative="0">
      <w:start w:val="1"/>
      <w:numFmt w:val="none"/>
      <w:suff w:val="nothing"/>
      <w:lvlText w:val=""/>
      <w:lvlJc w:val="left"/>
      <w:pPr>
        <w:ind w:left="0" w:firstLine="0"/>
      </w:pPr>
      <w:rPr>
        <w:rFonts w:hint="eastAsia"/>
      </w:rPr>
    </w:lvl>
  </w:abstractNum>
  <w:abstractNum w:abstractNumId="7">
    <w:nsid w:val="44F11E55"/>
    <w:multiLevelType w:val="multilevel"/>
    <w:tmpl w:val="44F11E55"/>
    <w:lvl w:ilvl="0" w:tentative="0">
      <w:start w:val="1"/>
      <w:numFmt w:val="decimal"/>
      <w:suff w:val="nothing"/>
      <w:lvlText w:val="（%1）"/>
      <w:lvlJc w:val="left"/>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4E341D93"/>
    <w:multiLevelType w:val="multilevel"/>
    <w:tmpl w:val="4E341D93"/>
    <w:lvl w:ilvl="0" w:tentative="0">
      <w:start w:val="1"/>
      <w:numFmt w:val="chineseCountingThousand"/>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
    <w:nsid w:val="769B56F1"/>
    <w:multiLevelType w:val="multilevel"/>
    <w:tmpl w:val="769B56F1"/>
    <w:lvl w:ilvl="0" w:tentative="0">
      <w:start w:val="1"/>
      <w:numFmt w:val="bullet"/>
      <w:pStyle w:val="426"/>
      <w:suff w:val="space"/>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9"/>
  </w:num>
  <w:num w:numId="2">
    <w:abstractNumId w:val="6"/>
  </w:num>
  <w:num w:numId="3">
    <w:abstractNumId w:val="5"/>
  </w:num>
  <w:num w:numId="4">
    <w:abstractNumId w:val="4"/>
  </w:num>
  <w:num w:numId="5">
    <w:abstractNumId w:val="8"/>
  </w:num>
  <w:num w:numId="6">
    <w:abstractNumId w:val="7"/>
  </w:num>
  <w:num w:numId="7">
    <w:abstractNumId w:val="1"/>
  </w:num>
  <w:num w:numId="8">
    <w:abstractNumId w:val="3"/>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documentProtection w:enforcement="0"/>
  <w:defaultTabStop w:val="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F66"/>
    <w:rsid w:val="000064D4"/>
    <w:rsid w:val="00007A91"/>
    <w:rsid w:val="00007D0E"/>
    <w:rsid w:val="00007D81"/>
    <w:rsid w:val="00010CBF"/>
    <w:rsid w:val="0001282E"/>
    <w:rsid w:val="00023232"/>
    <w:rsid w:val="00026E57"/>
    <w:rsid w:val="0002701B"/>
    <w:rsid w:val="00030AA0"/>
    <w:rsid w:val="00031E43"/>
    <w:rsid w:val="00031F79"/>
    <w:rsid w:val="00032B69"/>
    <w:rsid w:val="00033ADF"/>
    <w:rsid w:val="00034B4A"/>
    <w:rsid w:val="000364C5"/>
    <w:rsid w:val="00042B63"/>
    <w:rsid w:val="00042EAB"/>
    <w:rsid w:val="00045224"/>
    <w:rsid w:val="000575E4"/>
    <w:rsid w:val="00061596"/>
    <w:rsid w:val="0007193D"/>
    <w:rsid w:val="000722D3"/>
    <w:rsid w:val="0007361F"/>
    <w:rsid w:val="000742D3"/>
    <w:rsid w:val="00075C87"/>
    <w:rsid w:val="00087B3C"/>
    <w:rsid w:val="00093E58"/>
    <w:rsid w:val="00095F3A"/>
    <w:rsid w:val="0009733A"/>
    <w:rsid w:val="000973AF"/>
    <w:rsid w:val="00097E1B"/>
    <w:rsid w:val="000A2162"/>
    <w:rsid w:val="000A6538"/>
    <w:rsid w:val="000B0208"/>
    <w:rsid w:val="000B0782"/>
    <w:rsid w:val="000B1775"/>
    <w:rsid w:val="000B1C57"/>
    <w:rsid w:val="000B26FE"/>
    <w:rsid w:val="000B7F52"/>
    <w:rsid w:val="000C28E0"/>
    <w:rsid w:val="000C6821"/>
    <w:rsid w:val="000D0ADA"/>
    <w:rsid w:val="000D46BA"/>
    <w:rsid w:val="000D5C39"/>
    <w:rsid w:val="000D6B2A"/>
    <w:rsid w:val="000E27B2"/>
    <w:rsid w:val="000E6D57"/>
    <w:rsid w:val="000F08CF"/>
    <w:rsid w:val="000F159F"/>
    <w:rsid w:val="000F2831"/>
    <w:rsid w:val="000F3BAB"/>
    <w:rsid w:val="000F4471"/>
    <w:rsid w:val="000F5CE6"/>
    <w:rsid w:val="00116943"/>
    <w:rsid w:val="00117A78"/>
    <w:rsid w:val="00120296"/>
    <w:rsid w:val="00123BED"/>
    <w:rsid w:val="00127F9D"/>
    <w:rsid w:val="00132466"/>
    <w:rsid w:val="00135B1E"/>
    <w:rsid w:val="00142763"/>
    <w:rsid w:val="001438D4"/>
    <w:rsid w:val="0014454E"/>
    <w:rsid w:val="0014507B"/>
    <w:rsid w:val="00146DE3"/>
    <w:rsid w:val="001470DD"/>
    <w:rsid w:val="001520AA"/>
    <w:rsid w:val="0015389F"/>
    <w:rsid w:val="001556F5"/>
    <w:rsid w:val="00157741"/>
    <w:rsid w:val="001579A9"/>
    <w:rsid w:val="00157FEF"/>
    <w:rsid w:val="00160500"/>
    <w:rsid w:val="00160BD2"/>
    <w:rsid w:val="00165927"/>
    <w:rsid w:val="00166F20"/>
    <w:rsid w:val="00170051"/>
    <w:rsid w:val="00170254"/>
    <w:rsid w:val="001710AD"/>
    <w:rsid w:val="00175F80"/>
    <w:rsid w:val="001800C2"/>
    <w:rsid w:val="00180C8F"/>
    <w:rsid w:val="0018134B"/>
    <w:rsid w:val="0018660D"/>
    <w:rsid w:val="001903B2"/>
    <w:rsid w:val="00195C6B"/>
    <w:rsid w:val="001A1136"/>
    <w:rsid w:val="001A3272"/>
    <w:rsid w:val="001A557C"/>
    <w:rsid w:val="001A7A67"/>
    <w:rsid w:val="001B0964"/>
    <w:rsid w:val="001B28EE"/>
    <w:rsid w:val="001B3934"/>
    <w:rsid w:val="001B49F4"/>
    <w:rsid w:val="001C1B9D"/>
    <w:rsid w:val="001C22DA"/>
    <w:rsid w:val="001C295E"/>
    <w:rsid w:val="001C4041"/>
    <w:rsid w:val="001D0554"/>
    <w:rsid w:val="001D6A0A"/>
    <w:rsid w:val="001D73DB"/>
    <w:rsid w:val="001D7705"/>
    <w:rsid w:val="001E1B56"/>
    <w:rsid w:val="001E4768"/>
    <w:rsid w:val="001E4A11"/>
    <w:rsid w:val="001E4A43"/>
    <w:rsid w:val="001F5B45"/>
    <w:rsid w:val="001F5FA4"/>
    <w:rsid w:val="0020206D"/>
    <w:rsid w:val="00203AA4"/>
    <w:rsid w:val="00206CA8"/>
    <w:rsid w:val="00213F87"/>
    <w:rsid w:val="00214F1D"/>
    <w:rsid w:val="0021509D"/>
    <w:rsid w:val="00215B5B"/>
    <w:rsid w:val="00223785"/>
    <w:rsid w:val="002244AB"/>
    <w:rsid w:val="00227387"/>
    <w:rsid w:val="00233DC2"/>
    <w:rsid w:val="002347A5"/>
    <w:rsid w:val="00234C27"/>
    <w:rsid w:val="00240A2D"/>
    <w:rsid w:val="0024138C"/>
    <w:rsid w:val="00242D44"/>
    <w:rsid w:val="002468C4"/>
    <w:rsid w:val="00246E34"/>
    <w:rsid w:val="00250AAE"/>
    <w:rsid w:val="0025225F"/>
    <w:rsid w:val="002560FF"/>
    <w:rsid w:val="002608B8"/>
    <w:rsid w:val="002618DF"/>
    <w:rsid w:val="002623C2"/>
    <w:rsid w:val="002675B4"/>
    <w:rsid w:val="00270FEF"/>
    <w:rsid w:val="00275818"/>
    <w:rsid w:val="0027766F"/>
    <w:rsid w:val="002818A1"/>
    <w:rsid w:val="0029208B"/>
    <w:rsid w:val="00292B54"/>
    <w:rsid w:val="002950BA"/>
    <w:rsid w:val="0029732C"/>
    <w:rsid w:val="002977A9"/>
    <w:rsid w:val="002A2882"/>
    <w:rsid w:val="002A4B7F"/>
    <w:rsid w:val="002A5D06"/>
    <w:rsid w:val="002A61EB"/>
    <w:rsid w:val="002B0BE8"/>
    <w:rsid w:val="002B241C"/>
    <w:rsid w:val="002B2E88"/>
    <w:rsid w:val="002B4E72"/>
    <w:rsid w:val="002B65E4"/>
    <w:rsid w:val="002C02CA"/>
    <w:rsid w:val="002C1408"/>
    <w:rsid w:val="002C43E3"/>
    <w:rsid w:val="002C77C9"/>
    <w:rsid w:val="002C7FA9"/>
    <w:rsid w:val="002D026F"/>
    <w:rsid w:val="002D261A"/>
    <w:rsid w:val="002D6081"/>
    <w:rsid w:val="002D7CA7"/>
    <w:rsid w:val="002E19E4"/>
    <w:rsid w:val="002E360D"/>
    <w:rsid w:val="002E368F"/>
    <w:rsid w:val="002E3975"/>
    <w:rsid w:val="002E401E"/>
    <w:rsid w:val="002E4336"/>
    <w:rsid w:val="002E43E4"/>
    <w:rsid w:val="002E45AE"/>
    <w:rsid w:val="002E4679"/>
    <w:rsid w:val="002E6750"/>
    <w:rsid w:val="002E7633"/>
    <w:rsid w:val="002F0242"/>
    <w:rsid w:val="002F1414"/>
    <w:rsid w:val="002F30EE"/>
    <w:rsid w:val="002F31F9"/>
    <w:rsid w:val="002F332D"/>
    <w:rsid w:val="002F3BBF"/>
    <w:rsid w:val="00302003"/>
    <w:rsid w:val="00303D59"/>
    <w:rsid w:val="00304FA0"/>
    <w:rsid w:val="00306C43"/>
    <w:rsid w:val="00310D9C"/>
    <w:rsid w:val="0031315B"/>
    <w:rsid w:val="00315668"/>
    <w:rsid w:val="003217C0"/>
    <w:rsid w:val="00321D5B"/>
    <w:rsid w:val="00324BCA"/>
    <w:rsid w:val="00324D77"/>
    <w:rsid w:val="00326873"/>
    <w:rsid w:val="003304EC"/>
    <w:rsid w:val="00330A96"/>
    <w:rsid w:val="00330E77"/>
    <w:rsid w:val="0033181B"/>
    <w:rsid w:val="003345CB"/>
    <w:rsid w:val="00336801"/>
    <w:rsid w:val="00336FBA"/>
    <w:rsid w:val="00340026"/>
    <w:rsid w:val="00340B86"/>
    <w:rsid w:val="00346F53"/>
    <w:rsid w:val="0034737F"/>
    <w:rsid w:val="003479B7"/>
    <w:rsid w:val="00350A71"/>
    <w:rsid w:val="00351C9A"/>
    <w:rsid w:val="003529A6"/>
    <w:rsid w:val="00357A37"/>
    <w:rsid w:val="003608B0"/>
    <w:rsid w:val="00361380"/>
    <w:rsid w:val="00361442"/>
    <w:rsid w:val="00366A6E"/>
    <w:rsid w:val="00372175"/>
    <w:rsid w:val="00383758"/>
    <w:rsid w:val="00384939"/>
    <w:rsid w:val="00385205"/>
    <w:rsid w:val="003860E1"/>
    <w:rsid w:val="00387744"/>
    <w:rsid w:val="0038793D"/>
    <w:rsid w:val="00390005"/>
    <w:rsid w:val="00390DAF"/>
    <w:rsid w:val="00397546"/>
    <w:rsid w:val="00397555"/>
    <w:rsid w:val="003979D2"/>
    <w:rsid w:val="003A3CA2"/>
    <w:rsid w:val="003A6E7B"/>
    <w:rsid w:val="003B667A"/>
    <w:rsid w:val="003C12EF"/>
    <w:rsid w:val="003C1DFE"/>
    <w:rsid w:val="003C253F"/>
    <w:rsid w:val="003C2AA4"/>
    <w:rsid w:val="003C392F"/>
    <w:rsid w:val="003C3BBE"/>
    <w:rsid w:val="003C4C01"/>
    <w:rsid w:val="003C4CFF"/>
    <w:rsid w:val="003C6560"/>
    <w:rsid w:val="003C74B4"/>
    <w:rsid w:val="003C757B"/>
    <w:rsid w:val="003D31E7"/>
    <w:rsid w:val="003D38C2"/>
    <w:rsid w:val="003D3F6F"/>
    <w:rsid w:val="003D55CB"/>
    <w:rsid w:val="003D7030"/>
    <w:rsid w:val="003D720E"/>
    <w:rsid w:val="003D7752"/>
    <w:rsid w:val="003E4D66"/>
    <w:rsid w:val="003E59B2"/>
    <w:rsid w:val="003E6A16"/>
    <w:rsid w:val="003F4C1F"/>
    <w:rsid w:val="004002F0"/>
    <w:rsid w:val="00401910"/>
    <w:rsid w:val="00403D00"/>
    <w:rsid w:val="00404483"/>
    <w:rsid w:val="0040490E"/>
    <w:rsid w:val="00404A56"/>
    <w:rsid w:val="004109F8"/>
    <w:rsid w:val="004254BE"/>
    <w:rsid w:val="004266C8"/>
    <w:rsid w:val="00431FC9"/>
    <w:rsid w:val="0043764A"/>
    <w:rsid w:val="00437B34"/>
    <w:rsid w:val="00437B42"/>
    <w:rsid w:val="00437B7E"/>
    <w:rsid w:val="00437E19"/>
    <w:rsid w:val="0044200D"/>
    <w:rsid w:val="0044274F"/>
    <w:rsid w:val="00443D47"/>
    <w:rsid w:val="00445E33"/>
    <w:rsid w:val="00447606"/>
    <w:rsid w:val="0045426D"/>
    <w:rsid w:val="00457217"/>
    <w:rsid w:val="00457CF2"/>
    <w:rsid w:val="00461EAC"/>
    <w:rsid w:val="00462E85"/>
    <w:rsid w:val="00463B9C"/>
    <w:rsid w:val="004642D6"/>
    <w:rsid w:val="004669FE"/>
    <w:rsid w:val="00467BAF"/>
    <w:rsid w:val="004812D3"/>
    <w:rsid w:val="00482FDD"/>
    <w:rsid w:val="00485EF5"/>
    <w:rsid w:val="004865DE"/>
    <w:rsid w:val="00486779"/>
    <w:rsid w:val="0049291F"/>
    <w:rsid w:val="004A0DD4"/>
    <w:rsid w:val="004A2E22"/>
    <w:rsid w:val="004B0CD5"/>
    <w:rsid w:val="004B1154"/>
    <w:rsid w:val="004B1221"/>
    <w:rsid w:val="004B24B7"/>
    <w:rsid w:val="004B2C4A"/>
    <w:rsid w:val="004B2CB3"/>
    <w:rsid w:val="004B50E3"/>
    <w:rsid w:val="004B55A5"/>
    <w:rsid w:val="004B7DEC"/>
    <w:rsid w:val="004C0472"/>
    <w:rsid w:val="004C1458"/>
    <w:rsid w:val="004C2AA8"/>
    <w:rsid w:val="004C2D31"/>
    <w:rsid w:val="004C306F"/>
    <w:rsid w:val="004C6726"/>
    <w:rsid w:val="004D0B66"/>
    <w:rsid w:val="004D2EFD"/>
    <w:rsid w:val="004D4848"/>
    <w:rsid w:val="004D5D15"/>
    <w:rsid w:val="004D5F19"/>
    <w:rsid w:val="004E0506"/>
    <w:rsid w:val="004E2177"/>
    <w:rsid w:val="004E46A3"/>
    <w:rsid w:val="004F0E0D"/>
    <w:rsid w:val="004F1EEE"/>
    <w:rsid w:val="004F211C"/>
    <w:rsid w:val="004F21C9"/>
    <w:rsid w:val="004F5610"/>
    <w:rsid w:val="004F5F73"/>
    <w:rsid w:val="004F6108"/>
    <w:rsid w:val="004F66AC"/>
    <w:rsid w:val="004F7C2D"/>
    <w:rsid w:val="00500C7A"/>
    <w:rsid w:val="00502288"/>
    <w:rsid w:val="00502460"/>
    <w:rsid w:val="005050C8"/>
    <w:rsid w:val="005142DF"/>
    <w:rsid w:val="0051583D"/>
    <w:rsid w:val="00516709"/>
    <w:rsid w:val="00524BF4"/>
    <w:rsid w:val="00531443"/>
    <w:rsid w:val="005316D8"/>
    <w:rsid w:val="00532723"/>
    <w:rsid w:val="0053323E"/>
    <w:rsid w:val="00534715"/>
    <w:rsid w:val="00541300"/>
    <w:rsid w:val="00541A4A"/>
    <w:rsid w:val="00541FEB"/>
    <w:rsid w:val="0054414E"/>
    <w:rsid w:val="0054742D"/>
    <w:rsid w:val="005559D7"/>
    <w:rsid w:val="00555CAD"/>
    <w:rsid w:val="00560624"/>
    <w:rsid w:val="00562EF6"/>
    <w:rsid w:val="005639FC"/>
    <w:rsid w:val="0056521D"/>
    <w:rsid w:val="00565EAF"/>
    <w:rsid w:val="00566797"/>
    <w:rsid w:val="00567C76"/>
    <w:rsid w:val="00574161"/>
    <w:rsid w:val="00574EC4"/>
    <w:rsid w:val="00576FC9"/>
    <w:rsid w:val="005773CD"/>
    <w:rsid w:val="00580381"/>
    <w:rsid w:val="0058068C"/>
    <w:rsid w:val="00581263"/>
    <w:rsid w:val="0058130F"/>
    <w:rsid w:val="0058199F"/>
    <w:rsid w:val="00584E28"/>
    <w:rsid w:val="005857EC"/>
    <w:rsid w:val="00585E03"/>
    <w:rsid w:val="00594538"/>
    <w:rsid w:val="005B0220"/>
    <w:rsid w:val="005B1B37"/>
    <w:rsid w:val="005B1C7D"/>
    <w:rsid w:val="005B3574"/>
    <w:rsid w:val="005B3A47"/>
    <w:rsid w:val="005B4F03"/>
    <w:rsid w:val="005B794B"/>
    <w:rsid w:val="005C031F"/>
    <w:rsid w:val="005C32D0"/>
    <w:rsid w:val="005C3D74"/>
    <w:rsid w:val="005C580A"/>
    <w:rsid w:val="005D0082"/>
    <w:rsid w:val="005D2EFE"/>
    <w:rsid w:val="005D5644"/>
    <w:rsid w:val="005D7F89"/>
    <w:rsid w:val="005E592C"/>
    <w:rsid w:val="005E7172"/>
    <w:rsid w:val="005F0392"/>
    <w:rsid w:val="005F0F1F"/>
    <w:rsid w:val="005F2E45"/>
    <w:rsid w:val="005F37BA"/>
    <w:rsid w:val="005F5925"/>
    <w:rsid w:val="005F7207"/>
    <w:rsid w:val="005F7EC4"/>
    <w:rsid w:val="00600DD3"/>
    <w:rsid w:val="0060162F"/>
    <w:rsid w:val="00604586"/>
    <w:rsid w:val="00605B96"/>
    <w:rsid w:val="00606D34"/>
    <w:rsid w:val="00610458"/>
    <w:rsid w:val="00613035"/>
    <w:rsid w:val="006145EB"/>
    <w:rsid w:val="0061747A"/>
    <w:rsid w:val="00617A08"/>
    <w:rsid w:val="00622465"/>
    <w:rsid w:val="00625AB2"/>
    <w:rsid w:val="006417DF"/>
    <w:rsid w:val="006422AB"/>
    <w:rsid w:val="00643A62"/>
    <w:rsid w:val="00643D2A"/>
    <w:rsid w:val="00644808"/>
    <w:rsid w:val="006454EC"/>
    <w:rsid w:val="00646597"/>
    <w:rsid w:val="006477BB"/>
    <w:rsid w:val="00652BCA"/>
    <w:rsid w:val="0065327F"/>
    <w:rsid w:val="00653342"/>
    <w:rsid w:val="00665DEE"/>
    <w:rsid w:val="006671F5"/>
    <w:rsid w:val="00672070"/>
    <w:rsid w:val="00674819"/>
    <w:rsid w:val="00680B78"/>
    <w:rsid w:val="00685E59"/>
    <w:rsid w:val="006914F5"/>
    <w:rsid w:val="00692842"/>
    <w:rsid w:val="00692A38"/>
    <w:rsid w:val="00694A07"/>
    <w:rsid w:val="006A0B17"/>
    <w:rsid w:val="006A16D9"/>
    <w:rsid w:val="006A79FD"/>
    <w:rsid w:val="006A7F66"/>
    <w:rsid w:val="006B2548"/>
    <w:rsid w:val="006B3561"/>
    <w:rsid w:val="006B5850"/>
    <w:rsid w:val="006B6368"/>
    <w:rsid w:val="006C2A23"/>
    <w:rsid w:val="006D403C"/>
    <w:rsid w:val="006E08FA"/>
    <w:rsid w:val="006E0F87"/>
    <w:rsid w:val="006F0A6C"/>
    <w:rsid w:val="006F27FE"/>
    <w:rsid w:val="006F36C0"/>
    <w:rsid w:val="006F3F16"/>
    <w:rsid w:val="006F6830"/>
    <w:rsid w:val="00700916"/>
    <w:rsid w:val="00700FED"/>
    <w:rsid w:val="007011D7"/>
    <w:rsid w:val="007024CE"/>
    <w:rsid w:val="007046A6"/>
    <w:rsid w:val="0070632D"/>
    <w:rsid w:val="00723805"/>
    <w:rsid w:val="00725208"/>
    <w:rsid w:val="0073113C"/>
    <w:rsid w:val="007354BB"/>
    <w:rsid w:val="00742D21"/>
    <w:rsid w:val="00742E3C"/>
    <w:rsid w:val="007448C2"/>
    <w:rsid w:val="0074543C"/>
    <w:rsid w:val="00746DE3"/>
    <w:rsid w:val="00747E27"/>
    <w:rsid w:val="00754484"/>
    <w:rsid w:val="007559FD"/>
    <w:rsid w:val="00756516"/>
    <w:rsid w:val="00760077"/>
    <w:rsid w:val="007650A3"/>
    <w:rsid w:val="007662F8"/>
    <w:rsid w:val="00767AF8"/>
    <w:rsid w:val="007701AF"/>
    <w:rsid w:val="0077397F"/>
    <w:rsid w:val="007754BB"/>
    <w:rsid w:val="007776A9"/>
    <w:rsid w:val="00781716"/>
    <w:rsid w:val="00783129"/>
    <w:rsid w:val="0079004D"/>
    <w:rsid w:val="007912F1"/>
    <w:rsid w:val="007914E7"/>
    <w:rsid w:val="00792F15"/>
    <w:rsid w:val="00793533"/>
    <w:rsid w:val="00793CA2"/>
    <w:rsid w:val="007A33CD"/>
    <w:rsid w:val="007B2B0A"/>
    <w:rsid w:val="007B5DE3"/>
    <w:rsid w:val="007C09CC"/>
    <w:rsid w:val="007C2219"/>
    <w:rsid w:val="007C6BEC"/>
    <w:rsid w:val="007C7E78"/>
    <w:rsid w:val="007D032C"/>
    <w:rsid w:val="007D1A05"/>
    <w:rsid w:val="007D36BD"/>
    <w:rsid w:val="007D373F"/>
    <w:rsid w:val="007D4A27"/>
    <w:rsid w:val="007E29DE"/>
    <w:rsid w:val="007F4A1B"/>
    <w:rsid w:val="007F7D52"/>
    <w:rsid w:val="008017E5"/>
    <w:rsid w:val="00802913"/>
    <w:rsid w:val="008105B2"/>
    <w:rsid w:val="0081233B"/>
    <w:rsid w:val="00814EC8"/>
    <w:rsid w:val="00822AA0"/>
    <w:rsid w:val="00824D4B"/>
    <w:rsid w:val="00824FEF"/>
    <w:rsid w:val="0084158C"/>
    <w:rsid w:val="00841CB4"/>
    <w:rsid w:val="0084340D"/>
    <w:rsid w:val="008437B8"/>
    <w:rsid w:val="00844578"/>
    <w:rsid w:val="008562B7"/>
    <w:rsid w:val="0086101A"/>
    <w:rsid w:val="008649FD"/>
    <w:rsid w:val="00866F74"/>
    <w:rsid w:val="008704CF"/>
    <w:rsid w:val="0088309B"/>
    <w:rsid w:val="00883290"/>
    <w:rsid w:val="00887346"/>
    <w:rsid w:val="0089701D"/>
    <w:rsid w:val="008A46EC"/>
    <w:rsid w:val="008A58F4"/>
    <w:rsid w:val="008A6206"/>
    <w:rsid w:val="008A7802"/>
    <w:rsid w:val="008A7DC4"/>
    <w:rsid w:val="008B3BEA"/>
    <w:rsid w:val="008B5E1C"/>
    <w:rsid w:val="008B6313"/>
    <w:rsid w:val="008C075D"/>
    <w:rsid w:val="008C1C7D"/>
    <w:rsid w:val="008C50C1"/>
    <w:rsid w:val="008C70A2"/>
    <w:rsid w:val="008D3854"/>
    <w:rsid w:val="008D5545"/>
    <w:rsid w:val="008D57E9"/>
    <w:rsid w:val="008E1762"/>
    <w:rsid w:val="008E47E9"/>
    <w:rsid w:val="008E5BC1"/>
    <w:rsid w:val="008E7606"/>
    <w:rsid w:val="008E7E44"/>
    <w:rsid w:val="008F1185"/>
    <w:rsid w:val="008F16C0"/>
    <w:rsid w:val="008F7CD8"/>
    <w:rsid w:val="008F7EB7"/>
    <w:rsid w:val="0090327D"/>
    <w:rsid w:val="009037D1"/>
    <w:rsid w:val="00903CC2"/>
    <w:rsid w:val="00907707"/>
    <w:rsid w:val="009102BC"/>
    <w:rsid w:val="00911010"/>
    <w:rsid w:val="009110AE"/>
    <w:rsid w:val="009110C9"/>
    <w:rsid w:val="0091410A"/>
    <w:rsid w:val="009179C1"/>
    <w:rsid w:val="00920147"/>
    <w:rsid w:val="009201BD"/>
    <w:rsid w:val="00922D0F"/>
    <w:rsid w:val="00923A81"/>
    <w:rsid w:val="00924734"/>
    <w:rsid w:val="00927803"/>
    <w:rsid w:val="00933C6F"/>
    <w:rsid w:val="00937C41"/>
    <w:rsid w:val="0094263D"/>
    <w:rsid w:val="009478AA"/>
    <w:rsid w:val="00960B3C"/>
    <w:rsid w:val="00963A94"/>
    <w:rsid w:val="009661FC"/>
    <w:rsid w:val="009679F3"/>
    <w:rsid w:val="00967D78"/>
    <w:rsid w:val="00967E44"/>
    <w:rsid w:val="00970671"/>
    <w:rsid w:val="00974422"/>
    <w:rsid w:val="00977B48"/>
    <w:rsid w:val="009834FC"/>
    <w:rsid w:val="00983A18"/>
    <w:rsid w:val="00985831"/>
    <w:rsid w:val="00987FD6"/>
    <w:rsid w:val="009900A5"/>
    <w:rsid w:val="00990A5B"/>
    <w:rsid w:val="009916F3"/>
    <w:rsid w:val="00993911"/>
    <w:rsid w:val="00996D31"/>
    <w:rsid w:val="0099714E"/>
    <w:rsid w:val="009A194F"/>
    <w:rsid w:val="009A1D89"/>
    <w:rsid w:val="009A3EF7"/>
    <w:rsid w:val="009A6100"/>
    <w:rsid w:val="009B53B8"/>
    <w:rsid w:val="009B5762"/>
    <w:rsid w:val="009B684C"/>
    <w:rsid w:val="009C0DC8"/>
    <w:rsid w:val="009C180E"/>
    <w:rsid w:val="009C1BA4"/>
    <w:rsid w:val="009C4FC4"/>
    <w:rsid w:val="009C5E07"/>
    <w:rsid w:val="009E2AF2"/>
    <w:rsid w:val="009E3ABF"/>
    <w:rsid w:val="009E720D"/>
    <w:rsid w:val="009F5B85"/>
    <w:rsid w:val="00A032EC"/>
    <w:rsid w:val="00A11B88"/>
    <w:rsid w:val="00A1223B"/>
    <w:rsid w:val="00A12671"/>
    <w:rsid w:val="00A12E45"/>
    <w:rsid w:val="00A13069"/>
    <w:rsid w:val="00A178DC"/>
    <w:rsid w:val="00A26D73"/>
    <w:rsid w:val="00A31CAC"/>
    <w:rsid w:val="00A3533F"/>
    <w:rsid w:val="00A35F39"/>
    <w:rsid w:val="00A369B0"/>
    <w:rsid w:val="00A41125"/>
    <w:rsid w:val="00A42A95"/>
    <w:rsid w:val="00A46960"/>
    <w:rsid w:val="00A568F8"/>
    <w:rsid w:val="00A569D6"/>
    <w:rsid w:val="00A56EA5"/>
    <w:rsid w:val="00A60013"/>
    <w:rsid w:val="00A62A3E"/>
    <w:rsid w:val="00A638B2"/>
    <w:rsid w:val="00A64F66"/>
    <w:rsid w:val="00A711F7"/>
    <w:rsid w:val="00A717C1"/>
    <w:rsid w:val="00A81E1F"/>
    <w:rsid w:val="00A830B5"/>
    <w:rsid w:val="00A85FDB"/>
    <w:rsid w:val="00A86509"/>
    <w:rsid w:val="00A93FF3"/>
    <w:rsid w:val="00A97D79"/>
    <w:rsid w:val="00AA19FE"/>
    <w:rsid w:val="00AB2BFA"/>
    <w:rsid w:val="00AB5578"/>
    <w:rsid w:val="00AB5A5A"/>
    <w:rsid w:val="00AB71E0"/>
    <w:rsid w:val="00AC2B8A"/>
    <w:rsid w:val="00AC4B97"/>
    <w:rsid w:val="00AC54A8"/>
    <w:rsid w:val="00AC6B48"/>
    <w:rsid w:val="00AC6B72"/>
    <w:rsid w:val="00AC79E9"/>
    <w:rsid w:val="00AD0C0F"/>
    <w:rsid w:val="00AD24AC"/>
    <w:rsid w:val="00AD4735"/>
    <w:rsid w:val="00AD6ECB"/>
    <w:rsid w:val="00AE0C46"/>
    <w:rsid w:val="00AE284F"/>
    <w:rsid w:val="00AF360B"/>
    <w:rsid w:val="00AF43A8"/>
    <w:rsid w:val="00AF6258"/>
    <w:rsid w:val="00B037E3"/>
    <w:rsid w:val="00B07873"/>
    <w:rsid w:val="00B126D1"/>
    <w:rsid w:val="00B145AB"/>
    <w:rsid w:val="00B1532C"/>
    <w:rsid w:val="00B159F8"/>
    <w:rsid w:val="00B216CB"/>
    <w:rsid w:val="00B21EDE"/>
    <w:rsid w:val="00B243A3"/>
    <w:rsid w:val="00B26FA5"/>
    <w:rsid w:val="00B33A46"/>
    <w:rsid w:val="00B36F20"/>
    <w:rsid w:val="00B37152"/>
    <w:rsid w:val="00B37BD0"/>
    <w:rsid w:val="00B41EA1"/>
    <w:rsid w:val="00B50A60"/>
    <w:rsid w:val="00B5146E"/>
    <w:rsid w:val="00B52CA5"/>
    <w:rsid w:val="00B53701"/>
    <w:rsid w:val="00B6029F"/>
    <w:rsid w:val="00B61665"/>
    <w:rsid w:val="00B65CCC"/>
    <w:rsid w:val="00B66137"/>
    <w:rsid w:val="00B675A4"/>
    <w:rsid w:val="00B72AF7"/>
    <w:rsid w:val="00B74176"/>
    <w:rsid w:val="00B7483E"/>
    <w:rsid w:val="00B7512C"/>
    <w:rsid w:val="00B766BE"/>
    <w:rsid w:val="00B857C0"/>
    <w:rsid w:val="00B86D30"/>
    <w:rsid w:val="00B878B9"/>
    <w:rsid w:val="00B96047"/>
    <w:rsid w:val="00B96C89"/>
    <w:rsid w:val="00BA6266"/>
    <w:rsid w:val="00BB0917"/>
    <w:rsid w:val="00BB1422"/>
    <w:rsid w:val="00BB2A9A"/>
    <w:rsid w:val="00BB39DD"/>
    <w:rsid w:val="00BB4780"/>
    <w:rsid w:val="00BC06E7"/>
    <w:rsid w:val="00BC3CF5"/>
    <w:rsid w:val="00BC4DC6"/>
    <w:rsid w:val="00BC5EF7"/>
    <w:rsid w:val="00BD25C7"/>
    <w:rsid w:val="00BD5187"/>
    <w:rsid w:val="00BE15BB"/>
    <w:rsid w:val="00BE61B0"/>
    <w:rsid w:val="00BF573D"/>
    <w:rsid w:val="00C00A7C"/>
    <w:rsid w:val="00C02E05"/>
    <w:rsid w:val="00C037CA"/>
    <w:rsid w:val="00C043AC"/>
    <w:rsid w:val="00C132A0"/>
    <w:rsid w:val="00C1342E"/>
    <w:rsid w:val="00C13EE9"/>
    <w:rsid w:val="00C15ED6"/>
    <w:rsid w:val="00C249C0"/>
    <w:rsid w:val="00C27FF3"/>
    <w:rsid w:val="00C30B41"/>
    <w:rsid w:val="00C31C7E"/>
    <w:rsid w:val="00C33611"/>
    <w:rsid w:val="00C33D40"/>
    <w:rsid w:val="00C34786"/>
    <w:rsid w:val="00C35BF3"/>
    <w:rsid w:val="00C442F4"/>
    <w:rsid w:val="00C5096F"/>
    <w:rsid w:val="00C54155"/>
    <w:rsid w:val="00C5573A"/>
    <w:rsid w:val="00C55F9A"/>
    <w:rsid w:val="00C62CA4"/>
    <w:rsid w:val="00C6521B"/>
    <w:rsid w:val="00C66858"/>
    <w:rsid w:val="00C66BAC"/>
    <w:rsid w:val="00C71D0B"/>
    <w:rsid w:val="00C75C0E"/>
    <w:rsid w:val="00C81F57"/>
    <w:rsid w:val="00C850D5"/>
    <w:rsid w:val="00C85E52"/>
    <w:rsid w:val="00C87803"/>
    <w:rsid w:val="00C959EE"/>
    <w:rsid w:val="00C95BA9"/>
    <w:rsid w:val="00CA002B"/>
    <w:rsid w:val="00CA1CEC"/>
    <w:rsid w:val="00CA22A5"/>
    <w:rsid w:val="00CA4214"/>
    <w:rsid w:val="00CA6E78"/>
    <w:rsid w:val="00CB5EA0"/>
    <w:rsid w:val="00CB7B74"/>
    <w:rsid w:val="00CC111A"/>
    <w:rsid w:val="00CC6C73"/>
    <w:rsid w:val="00CD2033"/>
    <w:rsid w:val="00CD232C"/>
    <w:rsid w:val="00CD4A45"/>
    <w:rsid w:val="00CD7422"/>
    <w:rsid w:val="00CE3545"/>
    <w:rsid w:val="00CF5764"/>
    <w:rsid w:val="00D020B6"/>
    <w:rsid w:val="00D03FCF"/>
    <w:rsid w:val="00D07CE2"/>
    <w:rsid w:val="00D12324"/>
    <w:rsid w:val="00D13712"/>
    <w:rsid w:val="00D13D3B"/>
    <w:rsid w:val="00D150D9"/>
    <w:rsid w:val="00D15404"/>
    <w:rsid w:val="00D16B51"/>
    <w:rsid w:val="00D174E1"/>
    <w:rsid w:val="00D1768A"/>
    <w:rsid w:val="00D17782"/>
    <w:rsid w:val="00D17E2F"/>
    <w:rsid w:val="00D2254E"/>
    <w:rsid w:val="00D22F3C"/>
    <w:rsid w:val="00D23C97"/>
    <w:rsid w:val="00D260BB"/>
    <w:rsid w:val="00D267E0"/>
    <w:rsid w:val="00D26938"/>
    <w:rsid w:val="00D275AF"/>
    <w:rsid w:val="00D30661"/>
    <w:rsid w:val="00D3285F"/>
    <w:rsid w:val="00D417E1"/>
    <w:rsid w:val="00D436D8"/>
    <w:rsid w:val="00D46E8E"/>
    <w:rsid w:val="00D470CE"/>
    <w:rsid w:val="00D50598"/>
    <w:rsid w:val="00D50B74"/>
    <w:rsid w:val="00D51D09"/>
    <w:rsid w:val="00D5268B"/>
    <w:rsid w:val="00D550EC"/>
    <w:rsid w:val="00D55264"/>
    <w:rsid w:val="00D56818"/>
    <w:rsid w:val="00D607B6"/>
    <w:rsid w:val="00D63A8B"/>
    <w:rsid w:val="00D66D6A"/>
    <w:rsid w:val="00D679BD"/>
    <w:rsid w:val="00D72313"/>
    <w:rsid w:val="00D72D79"/>
    <w:rsid w:val="00D74A44"/>
    <w:rsid w:val="00D80ABA"/>
    <w:rsid w:val="00D8437C"/>
    <w:rsid w:val="00D93E73"/>
    <w:rsid w:val="00DA074B"/>
    <w:rsid w:val="00DA2EB8"/>
    <w:rsid w:val="00DA7554"/>
    <w:rsid w:val="00DB07A2"/>
    <w:rsid w:val="00DB1195"/>
    <w:rsid w:val="00DB1E2E"/>
    <w:rsid w:val="00DB60B6"/>
    <w:rsid w:val="00DB6D6D"/>
    <w:rsid w:val="00DB7357"/>
    <w:rsid w:val="00DB7BBB"/>
    <w:rsid w:val="00DC0B99"/>
    <w:rsid w:val="00DC11A7"/>
    <w:rsid w:val="00DC1C26"/>
    <w:rsid w:val="00DC23CC"/>
    <w:rsid w:val="00DC4746"/>
    <w:rsid w:val="00DC5956"/>
    <w:rsid w:val="00DC644A"/>
    <w:rsid w:val="00DD1552"/>
    <w:rsid w:val="00DD6BCD"/>
    <w:rsid w:val="00DD7444"/>
    <w:rsid w:val="00DE055A"/>
    <w:rsid w:val="00DE31A3"/>
    <w:rsid w:val="00DE3EAD"/>
    <w:rsid w:val="00DF3A76"/>
    <w:rsid w:val="00DF4E8D"/>
    <w:rsid w:val="00E0216E"/>
    <w:rsid w:val="00E05022"/>
    <w:rsid w:val="00E06AFD"/>
    <w:rsid w:val="00E07283"/>
    <w:rsid w:val="00E11819"/>
    <w:rsid w:val="00E12808"/>
    <w:rsid w:val="00E1345B"/>
    <w:rsid w:val="00E139E4"/>
    <w:rsid w:val="00E147C0"/>
    <w:rsid w:val="00E14C84"/>
    <w:rsid w:val="00E14EAD"/>
    <w:rsid w:val="00E1671D"/>
    <w:rsid w:val="00E17FE5"/>
    <w:rsid w:val="00E276D3"/>
    <w:rsid w:val="00E27BF6"/>
    <w:rsid w:val="00E314C3"/>
    <w:rsid w:val="00E315AA"/>
    <w:rsid w:val="00E35ECB"/>
    <w:rsid w:val="00E43B94"/>
    <w:rsid w:val="00E548C2"/>
    <w:rsid w:val="00E608CC"/>
    <w:rsid w:val="00E6665B"/>
    <w:rsid w:val="00E74FEB"/>
    <w:rsid w:val="00E84E78"/>
    <w:rsid w:val="00E84F19"/>
    <w:rsid w:val="00E916E9"/>
    <w:rsid w:val="00E91721"/>
    <w:rsid w:val="00E925B2"/>
    <w:rsid w:val="00E9270B"/>
    <w:rsid w:val="00E9298B"/>
    <w:rsid w:val="00E936DE"/>
    <w:rsid w:val="00E96E80"/>
    <w:rsid w:val="00E9798B"/>
    <w:rsid w:val="00EA02B6"/>
    <w:rsid w:val="00EA19A3"/>
    <w:rsid w:val="00EA2670"/>
    <w:rsid w:val="00EA393B"/>
    <w:rsid w:val="00EA5319"/>
    <w:rsid w:val="00EA7CE9"/>
    <w:rsid w:val="00EB11AF"/>
    <w:rsid w:val="00EB6DCF"/>
    <w:rsid w:val="00EC0783"/>
    <w:rsid w:val="00EC0786"/>
    <w:rsid w:val="00EC614C"/>
    <w:rsid w:val="00ED336D"/>
    <w:rsid w:val="00ED3DAF"/>
    <w:rsid w:val="00ED49C0"/>
    <w:rsid w:val="00ED5315"/>
    <w:rsid w:val="00EE2261"/>
    <w:rsid w:val="00EE3696"/>
    <w:rsid w:val="00EE3DB0"/>
    <w:rsid w:val="00EE5843"/>
    <w:rsid w:val="00EE5AD5"/>
    <w:rsid w:val="00EE7A33"/>
    <w:rsid w:val="00EF1BE3"/>
    <w:rsid w:val="00EF354D"/>
    <w:rsid w:val="00EF6E69"/>
    <w:rsid w:val="00EF7C57"/>
    <w:rsid w:val="00F043D1"/>
    <w:rsid w:val="00F060AE"/>
    <w:rsid w:val="00F12028"/>
    <w:rsid w:val="00F16558"/>
    <w:rsid w:val="00F165B8"/>
    <w:rsid w:val="00F27A45"/>
    <w:rsid w:val="00F3142C"/>
    <w:rsid w:val="00F3309A"/>
    <w:rsid w:val="00F361DB"/>
    <w:rsid w:val="00F4065A"/>
    <w:rsid w:val="00F419CA"/>
    <w:rsid w:val="00F4413F"/>
    <w:rsid w:val="00F455F9"/>
    <w:rsid w:val="00F4754C"/>
    <w:rsid w:val="00F5126B"/>
    <w:rsid w:val="00F533D9"/>
    <w:rsid w:val="00F541E9"/>
    <w:rsid w:val="00F56B75"/>
    <w:rsid w:val="00F57D03"/>
    <w:rsid w:val="00F66BDA"/>
    <w:rsid w:val="00F700C6"/>
    <w:rsid w:val="00F704B7"/>
    <w:rsid w:val="00F711A7"/>
    <w:rsid w:val="00F758F1"/>
    <w:rsid w:val="00F771FA"/>
    <w:rsid w:val="00F81435"/>
    <w:rsid w:val="00F81B2B"/>
    <w:rsid w:val="00F8403E"/>
    <w:rsid w:val="00F875F5"/>
    <w:rsid w:val="00F9119B"/>
    <w:rsid w:val="00F917DC"/>
    <w:rsid w:val="00F93DE4"/>
    <w:rsid w:val="00F944CF"/>
    <w:rsid w:val="00FA4379"/>
    <w:rsid w:val="00FA4856"/>
    <w:rsid w:val="00FA5E95"/>
    <w:rsid w:val="00FA5F56"/>
    <w:rsid w:val="00FB1F42"/>
    <w:rsid w:val="00FC30A6"/>
    <w:rsid w:val="00FC47C6"/>
    <w:rsid w:val="00FC5075"/>
    <w:rsid w:val="00FC66F1"/>
    <w:rsid w:val="00FC7B3C"/>
    <w:rsid w:val="00FD0ACF"/>
    <w:rsid w:val="00FD3D67"/>
    <w:rsid w:val="00FD3FD5"/>
    <w:rsid w:val="00FD4615"/>
    <w:rsid w:val="00FD597D"/>
    <w:rsid w:val="00FD59F0"/>
    <w:rsid w:val="00FD6CCA"/>
    <w:rsid w:val="00FE29AE"/>
    <w:rsid w:val="00FE45D0"/>
    <w:rsid w:val="00FE574D"/>
    <w:rsid w:val="00FE5E73"/>
    <w:rsid w:val="00FE690D"/>
    <w:rsid w:val="00FF073C"/>
    <w:rsid w:val="00FF2F90"/>
    <w:rsid w:val="00FF3089"/>
    <w:rsid w:val="01281B77"/>
    <w:rsid w:val="01B71653"/>
    <w:rsid w:val="01DA5951"/>
    <w:rsid w:val="01DD30AC"/>
    <w:rsid w:val="01EC72D6"/>
    <w:rsid w:val="01FA0642"/>
    <w:rsid w:val="02930398"/>
    <w:rsid w:val="036F0F48"/>
    <w:rsid w:val="03794412"/>
    <w:rsid w:val="040C414F"/>
    <w:rsid w:val="04281CBF"/>
    <w:rsid w:val="04970AC7"/>
    <w:rsid w:val="04CD56E6"/>
    <w:rsid w:val="04EC14C8"/>
    <w:rsid w:val="051A6110"/>
    <w:rsid w:val="05A36F5B"/>
    <w:rsid w:val="06F8F121"/>
    <w:rsid w:val="07115269"/>
    <w:rsid w:val="07995F18"/>
    <w:rsid w:val="08EE086E"/>
    <w:rsid w:val="0A540506"/>
    <w:rsid w:val="0AAB206E"/>
    <w:rsid w:val="0AD61B81"/>
    <w:rsid w:val="0B5A0EA1"/>
    <w:rsid w:val="0B602DC9"/>
    <w:rsid w:val="0BA56018"/>
    <w:rsid w:val="0BDF4D78"/>
    <w:rsid w:val="0D135946"/>
    <w:rsid w:val="0E071619"/>
    <w:rsid w:val="0E3D67D2"/>
    <w:rsid w:val="0EC27A1A"/>
    <w:rsid w:val="0EFD2A33"/>
    <w:rsid w:val="100F59F3"/>
    <w:rsid w:val="10335CF4"/>
    <w:rsid w:val="106C3669"/>
    <w:rsid w:val="10AE33DE"/>
    <w:rsid w:val="10FB168D"/>
    <w:rsid w:val="113373E5"/>
    <w:rsid w:val="11770398"/>
    <w:rsid w:val="122227CE"/>
    <w:rsid w:val="133833D9"/>
    <w:rsid w:val="14170A0A"/>
    <w:rsid w:val="153C5EBA"/>
    <w:rsid w:val="155A6B32"/>
    <w:rsid w:val="15747FCD"/>
    <w:rsid w:val="15A3216C"/>
    <w:rsid w:val="15FF3D3A"/>
    <w:rsid w:val="16234CA3"/>
    <w:rsid w:val="16526560"/>
    <w:rsid w:val="165A6957"/>
    <w:rsid w:val="16BF9980"/>
    <w:rsid w:val="16C3610A"/>
    <w:rsid w:val="16C8139C"/>
    <w:rsid w:val="170B19CF"/>
    <w:rsid w:val="17494A75"/>
    <w:rsid w:val="17D706BD"/>
    <w:rsid w:val="17F51899"/>
    <w:rsid w:val="18017CDF"/>
    <w:rsid w:val="182A7068"/>
    <w:rsid w:val="184C3483"/>
    <w:rsid w:val="187F2676"/>
    <w:rsid w:val="18B75107"/>
    <w:rsid w:val="18EFE18A"/>
    <w:rsid w:val="19832ED4"/>
    <w:rsid w:val="19CC5C7A"/>
    <w:rsid w:val="19D81D92"/>
    <w:rsid w:val="1A1B2CF1"/>
    <w:rsid w:val="1A862B26"/>
    <w:rsid w:val="1B0818E3"/>
    <w:rsid w:val="1B806590"/>
    <w:rsid w:val="1BFFFDA9"/>
    <w:rsid w:val="1DA50680"/>
    <w:rsid w:val="1DE91915"/>
    <w:rsid w:val="1E03795D"/>
    <w:rsid w:val="1E1E4F79"/>
    <w:rsid w:val="1E5E7FEE"/>
    <w:rsid w:val="1E687437"/>
    <w:rsid w:val="1E8E0A96"/>
    <w:rsid w:val="1ECC00D4"/>
    <w:rsid w:val="1F334A6D"/>
    <w:rsid w:val="1F4347D9"/>
    <w:rsid w:val="1FBD08DB"/>
    <w:rsid w:val="1FD55B0C"/>
    <w:rsid w:val="20851330"/>
    <w:rsid w:val="20A35C0A"/>
    <w:rsid w:val="20FD6B90"/>
    <w:rsid w:val="21690EB8"/>
    <w:rsid w:val="21901708"/>
    <w:rsid w:val="234229D7"/>
    <w:rsid w:val="238B0D56"/>
    <w:rsid w:val="23B75C54"/>
    <w:rsid w:val="23C05B1A"/>
    <w:rsid w:val="23ED4D48"/>
    <w:rsid w:val="241237D2"/>
    <w:rsid w:val="245C4D42"/>
    <w:rsid w:val="24CD4F0D"/>
    <w:rsid w:val="25034EC9"/>
    <w:rsid w:val="2520562A"/>
    <w:rsid w:val="258C3110"/>
    <w:rsid w:val="25C84A4E"/>
    <w:rsid w:val="26C336C6"/>
    <w:rsid w:val="271D0F11"/>
    <w:rsid w:val="274F3F3F"/>
    <w:rsid w:val="276A1368"/>
    <w:rsid w:val="277125BE"/>
    <w:rsid w:val="279549A2"/>
    <w:rsid w:val="27BA3B06"/>
    <w:rsid w:val="28771E56"/>
    <w:rsid w:val="29363ABF"/>
    <w:rsid w:val="29B05F9E"/>
    <w:rsid w:val="29FA0F90"/>
    <w:rsid w:val="2A431E04"/>
    <w:rsid w:val="2ADB619F"/>
    <w:rsid w:val="2B18095F"/>
    <w:rsid w:val="2B6265B5"/>
    <w:rsid w:val="2BA43750"/>
    <w:rsid w:val="2C5540BF"/>
    <w:rsid w:val="2CFE741B"/>
    <w:rsid w:val="2D142369"/>
    <w:rsid w:val="2D5C786C"/>
    <w:rsid w:val="2DD9568E"/>
    <w:rsid w:val="2DFD5C3E"/>
    <w:rsid w:val="2DFF912D"/>
    <w:rsid w:val="2EA8573E"/>
    <w:rsid w:val="2ED022C0"/>
    <w:rsid w:val="2EFF180D"/>
    <w:rsid w:val="2F247232"/>
    <w:rsid w:val="2F462582"/>
    <w:rsid w:val="2FC35FA3"/>
    <w:rsid w:val="310D3357"/>
    <w:rsid w:val="313F54DB"/>
    <w:rsid w:val="31DC0A24"/>
    <w:rsid w:val="328D796F"/>
    <w:rsid w:val="328F405C"/>
    <w:rsid w:val="32EE71B8"/>
    <w:rsid w:val="3367DB15"/>
    <w:rsid w:val="33956C1F"/>
    <w:rsid w:val="33CE41EA"/>
    <w:rsid w:val="33E54A6F"/>
    <w:rsid w:val="340053F5"/>
    <w:rsid w:val="34295A64"/>
    <w:rsid w:val="34624E41"/>
    <w:rsid w:val="34DD7648"/>
    <w:rsid w:val="35B31276"/>
    <w:rsid w:val="35DBEE12"/>
    <w:rsid w:val="35FAAC2C"/>
    <w:rsid w:val="36220010"/>
    <w:rsid w:val="367E2601"/>
    <w:rsid w:val="36FF1DE3"/>
    <w:rsid w:val="372431A9"/>
    <w:rsid w:val="37261AB3"/>
    <w:rsid w:val="378D6D24"/>
    <w:rsid w:val="37900558"/>
    <w:rsid w:val="3866266B"/>
    <w:rsid w:val="38718CEA"/>
    <w:rsid w:val="38FF398F"/>
    <w:rsid w:val="39C66799"/>
    <w:rsid w:val="3A1A29D5"/>
    <w:rsid w:val="3A1C3416"/>
    <w:rsid w:val="3A1F0242"/>
    <w:rsid w:val="3A483F69"/>
    <w:rsid w:val="3A5B5D7E"/>
    <w:rsid w:val="3A5B6047"/>
    <w:rsid w:val="3A5C0EAC"/>
    <w:rsid w:val="3AD56782"/>
    <w:rsid w:val="3ADB3B42"/>
    <w:rsid w:val="3C0E4427"/>
    <w:rsid w:val="3C1C4D96"/>
    <w:rsid w:val="3CDBB53D"/>
    <w:rsid w:val="3D97355F"/>
    <w:rsid w:val="3D996651"/>
    <w:rsid w:val="3D9D5D4A"/>
    <w:rsid w:val="3DEF8275"/>
    <w:rsid w:val="3E5720B6"/>
    <w:rsid w:val="3E695004"/>
    <w:rsid w:val="3E77C398"/>
    <w:rsid w:val="3E7C4D5A"/>
    <w:rsid w:val="3EA32EAC"/>
    <w:rsid w:val="3EA47CB6"/>
    <w:rsid w:val="3EB02FDB"/>
    <w:rsid w:val="3EBF7C5B"/>
    <w:rsid w:val="3F36616F"/>
    <w:rsid w:val="3F670284"/>
    <w:rsid w:val="3F7EA989"/>
    <w:rsid w:val="3FBD48E7"/>
    <w:rsid w:val="3FDE03B8"/>
    <w:rsid w:val="3FFE1A17"/>
    <w:rsid w:val="40CA3013"/>
    <w:rsid w:val="42A02C67"/>
    <w:rsid w:val="42C23421"/>
    <w:rsid w:val="42DB5A94"/>
    <w:rsid w:val="441376B7"/>
    <w:rsid w:val="4448249A"/>
    <w:rsid w:val="44577458"/>
    <w:rsid w:val="44654E01"/>
    <w:rsid w:val="44D3395C"/>
    <w:rsid w:val="454758F0"/>
    <w:rsid w:val="45A51959"/>
    <w:rsid w:val="4609638B"/>
    <w:rsid w:val="46771EC1"/>
    <w:rsid w:val="46AA2F9F"/>
    <w:rsid w:val="46C97460"/>
    <w:rsid w:val="47DFE584"/>
    <w:rsid w:val="48794402"/>
    <w:rsid w:val="48FB5D34"/>
    <w:rsid w:val="493C4382"/>
    <w:rsid w:val="49C167BA"/>
    <w:rsid w:val="4A395E05"/>
    <w:rsid w:val="4AD4032A"/>
    <w:rsid w:val="4B0264A8"/>
    <w:rsid w:val="4BBCAD63"/>
    <w:rsid w:val="4CCA5092"/>
    <w:rsid w:val="4CFF5894"/>
    <w:rsid w:val="4E00265A"/>
    <w:rsid w:val="4E0336C0"/>
    <w:rsid w:val="4ED27537"/>
    <w:rsid w:val="4EDE67D2"/>
    <w:rsid w:val="4F9C201E"/>
    <w:rsid w:val="4FBF5D0D"/>
    <w:rsid w:val="50153B7F"/>
    <w:rsid w:val="50C64E79"/>
    <w:rsid w:val="50D2209F"/>
    <w:rsid w:val="52141DC8"/>
    <w:rsid w:val="52214A5D"/>
    <w:rsid w:val="52CA2764"/>
    <w:rsid w:val="52E02A45"/>
    <w:rsid w:val="5311A2FF"/>
    <w:rsid w:val="531225F7"/>
    <w:rsid w:val="53B536E4"/>
    <w:rsid w:val="53DE67F8"/>
    <w:rsid w:val="54A01FF8"/>
    <w:rsid w:val="56586573"/>
    <w:rsid w:val="567926E9"/>
    <w:rsid w:val="576126CC"/>
    <w:rsid w:val="576D3B51"/>
    <w:rsid w:val="57E427B4"/>
    <w:rsid w:val="57EA769F"/>
    <w:rsid w:val="583D1EC5"/>
    <w:rsid w:val="58474AF1"/>
    <w:rsid w:val="58DF377F"/>
    <w:rsid w:val="5A2E5F82"/>
    <w:rsid w:val="5A3A2B60"/>
    <w:rsid w:val="5A6B679E"/>
    <w:rsid w:val="5ACD2218"/>
    <w:rsid w:val="5B1430EA"/>
    <w:rsid w:val="5BA830B6"/>
    <w:rsid w:val="5BB363A7"/>
    <w:rsid w:val="5BFDA597"/>
    <w:rsid w:val="5C6C0FCA"/>
    <w:rsid w:val="5CA742BF"/>
    <w:rsid w:val="5CB02DC4"/>
    <w:rsid w:val="5D2C1C37"/>
    <w:rsid w:val="5D5B53D2"/>
    <w:rsid w:val="5DA11F69"/>
    <w:rsid w:val="5DFF3BB2"/>
    <w:rsid w:val="5DFFC3E5"/>
    <w:rsid w:val="5E485012"/>
    <w:rsid w:val="5EE66E12"/>
    <w:rsid w:val="5FB94527"/>
    <w:rsid w:val="5FBFCB0D"/>
    <w:rsid w:val="5FED42BD"/>
    <w:rsid w:val="5FFF96E3"/>
    <w:rsid w:val="60002155"/>
    <w:rsid w:val="602B212F"/>
    <w:rsid w:val="605E0C2A"/>
    <w:rsid w:val="60CB2763"/>
    <w:rsid w:val="60F749A6"/>
    <w:rsid w:val="615A41CF"/>
    <w:rsid w:val="61F02B05"/>
    <w:rsid w:val="624502F4"/>
    <w:rsid w:val="62CC4571"/>
    <w:rsid w:val="6393D23C"/>
    <w:rsid w:val="639C3F43"/>
    <w:rsid w:val="63EB0BC2"/>
    <w:rsid w:val="64E731EA"/>
    <w:rsid w:val="662D5327"/>
    <w:rsid w:val="66B42007"/>
    <w:rsid w:val="67E61C31"/>
    <w:rsid w:val="685E6CC2"/>
    <w:rsid w:val="68AA7ABE"/>
    <w:rsid w:val="691317B9"/>
    <w:rsid w:val="6920616B"/>
    <w:rsid w:val="6A0C16F7"/>
    <w:rsid w:val="6A7774B8"/>
    <w:rsid w:val="6A933BC6"/>
    <w:rsid w:val="6B597D3D"/>
    <w:rsid w:val="6B6C7905"/>
    <w:rsid w:val="6B6FFB2B"/>
    <w:rsid w:val="6B8A6D77"/>
    <w:rsid w:val="6BD79E28"/>
    <w:rsid w:val="6C223520"/>
    <w:rsid w:val="6DE71CAA"/>
    <w:rsid w:val="6DF32ECF"/>
    <w:rsid w:val="6E0E1EE1"/>
    <w:rsid w:val="6E7FB83F"/>
    <w:rsid w:val="6EFD0702"/>
    <w:rsid w:val="6F392F8E"/>
    <w:rsid w:val="6F9439CA"/>
    <w:rsid w:val="6F9F86BD"/>
    <w:rsid w:val="6FBA075D"/>
    <w:rsid w:val="70194B6E"/>
    <w:rsid w:val="70294DB1"/>
    <w:rsid w:val="70A97C9F"/>
    <w:rsid w:val="70EF2816"/>
    <w:rsid w:val="712C5766"/>
    <w:rsid w:val="7148395C"/>
    <w:rsid w:val="720D24B0"/>
    <w:rsid w:val="725E5648"/>
    <w:rsid w:val="72A44ABA"/>
    <w:rsid w:val="72BC63B0"/>
    <w:rsid w:val="72F7BE77"/>
    <w:rsid w:val="73392D4B"/>
    <w:rsid w:val="73C81EF2"/>
    <w:rsid w:val="73CA68AB"/>
    <w:rsid w:val="74BE7A92"/>
    <w:rsid w:val="7571445C"/>
    <w:rsid w:val="757A60AE"/>
    <w:rsid w:val="759F5B15"/>
    <w:rsid w:val="75E6EE3E"/>
    <w:rsid w:val="75FE14B3"/>
    <w:rsid w:val="76F3341D"/>
    <w:rsid w:val="77075720"/>
    <w:rsid w:val="775E6842"/>
    <w:rsid w:val="77B639B2"/>
    <w:rsid w:val="77BF280A"/>
    <w:rsid w:val="77DF857D"/>
    <w:rsid w:val="77FC19EA"/>
    <w:rsid w:val="77FF2493"/>
    <w:rsid w:val="788172EA"/>
    <w:rsid w:val="79BD037B"/>
    <w:rsid w:val="79C159B3"/>
    <w:rsid w:val="7A7B0E6A"/>
    <w:rsid w:val="7A810926"/>
    <w:rsid w:val="7A9EF9DF"/>
    <w:rsid w:val="7AA34B21"/>
    <w:rsid w:val="7B0D0A6A"/>
    <w:rsid w:val="7B245876"/>
    <w:rsid w:val="7BBFDDAD"/>
    <w:rsid w:val="7BE5343D"/>
    <w:rsid w:val="7C4E7B53"/>
    <w:rsid w:val="7C57599F"/>
    <w:rsid w:val="7C73113B"/>
    <w:rsid w:val="7CD41461"/>
    <w:rsid w:val="7CE575A8"/>
    <w:rsid w:val="7D3F2001"/>
    <w:rsid w:val="7E2D63B4"/>
    <w:rsid w:val="7E4469A9"/>
    <w:rsid w:val="7E6F587C"/>
    <w:rsid w:val="7E78D5B2"/>
    <w:rsid w:val="7E7A0719"/>
    <w:rsid w:val="7E7D62E1"/>
    <w:rsid w:val="7E7F0FD5"/>
    <w:rsid w:val="7E7F45CC"/>
    <w:rsid w:val="7EF7A5A4"/>
    <w:rsid w:val="7EFD6F02"/>
    <w:rsid w:val="7EFF9F9C"/>
    <w:rsid w:val="7F296CD5"/>
    <w:rsid w:val="7F86BCB2"/>
    <w:rsid w:val="7FB56730"/>
    <w:rsid w:val="7FDEBE8B"/>
    <w:rsid w:val="7FFC25EF"/>
    <w:rsid w:val="7FFD7D27"/>
    <w:rsid w:val="7FFE125F"/>
    <w:rsid w:val="7FFF370A"/>
    <w:rsid w:val="87367C11"/>
    <w:rsid w:val="99BF7335"/>
    <w:rsid w:val="9FFAC29C"/>
    <w:rsid w:val="A8FF29CE"/>
    <w:rsid w:val="A9FEDED0"/>
    <w:rsid w:val="AFDFBFFD"/>
    <w:rsid w:val="AFFD305F"/>
    <w:rsid w:val="B5CA2FAA"/>
    <w:rsid w:val="B5F78F81"/>
    <w:rsid w:val="BD7F3F99"/>
    <w:rsid w:val="BF272253"/>
    <w:rsid w:val="BF3BF0A0"/>
    <w:rsid w:val="BFFE765D"/>
    <w:rsid w:val="CDFF5C57"/>
    <w:rsid w:val="CFBE0682"/>
    <w:rsid w:val="CFFB0D3D"/>
    <w:rsid w:val="CFFEE267"/>
    <w:rsid w:val="D23ECCCA"/>
    <w:rsid w:val="D9FF6763"/>
    <w:rsid w:val="DBE679A1"/>
    <w:rsid w:val="DBED0D8A"/>
    <w:rsid w:val="DBFEA0FD"/>
    <w:rsid w:val="DCFF7FA5"/>
    <w:rsid w:val="DDD92150"/>
    <w:rsid w:val="DEFF6F70"/>
    <w:rsid w:val="DF7A8F6F"/>
    <w:rsid w:val="DF7F2160"/>
    <w:rsid w:val="DF7F532B"/>
    <w:rsid w:val="DFE06E91"/>
    <w:rsid w:val="DFF76272"/>
    <w:rsid w:val="E2FE4B4F"/>
    <w:rsid w:val="E51F46CA"/>
    <w:rsid w:val="E5FFBCB7"/>
    <w:rsid w:val="E79F44D8"/>
    <w:rsid w:val="E7FD810E"/>
    <w:rsid w:val="E99FE2F5"/>
    <w:rsid w:val="E9B7081B"/>
    <w:rsid w:val="EBFD4347"/>
    <w:rsid w:val="ECFDD79D"/>
    <w:rsid w:val="ED7840C9"/>
    <w:rsid w:val="EE26C5EA"/>
    <w:rsid w:val="EFFF0A77"/>
    <w:rsid w:val="F12759D2"/>
    <w:rsid w:val="F31FA005"/>
    <w:rsid w:val="F37F39A5"/>
    <w:rsid w:val="F4C2B25B"/>
    <w:rsid w:val="F6FF72C6"/>
    <w:rsid w:val="F7C0FEF8"/>
    <w:rsid w:val="F9BFF84C"/>
    <w:rsid w:val="F9FB2123"/>
    <w:rsid w:val="FAD955F3"/>
    <w:rsid w:val="FAEFC0DA"/>
    <w:rsid w:val="FB7F2A28"/>
    <w:rsid w:val="FCDE472B"/>
    <w:rsid w:val="FDBC728C"/>
    <w:rsid w:val="FDF5078D"/>
    <w:rsid w:val="FDF78709"/>
    <w:rsid w:val="FDFE29D6"/>
    <w:rsid w:val="FE5735D6"/>
    <w:rsid w:val="FE67790F"/>
    <w:rsid w:val="FE8DAD8A"/>
    <w:rsid w:val="FEBE7C65"/>
    <w:rsid w:val="FEFAB05E"/>
    <w:rsid w:val="FF5FC768"/>
    <w:rsid w:val="FF63EFD8"/>
    <w:rsid w:val="FF7DAB2F"/>
    <w:rsid w:val="FFB6382E"/>
    <w:rsid w:val="FFBC26BF"/>
    <w:rsid w:val="FFCB0FE9"/>
    <w:rsid w:val="FFCF12F6"/>
    <w:rsid w:val="FFD98492"/>
    <w:rsid w:val="FFFD9C64"/>
    <w:rsid w:val="FFFE63E4"/>
    <w:rsid w:val="FFFF09D5"/>
    <w:rsid w:val="FFFF6C6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nhideWhenUsed="0" w:uiPriority="99"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35" w:semiHidden="0" w:name="caption"/>
    <w:lsdException w:qFormat="1" w:uiPriority="99" w:semiHidden="0" w:name="table of figures"/>
    <w:lsdException w:uiPriority="99" w:name="envelope address"/>
    <w:lsdException w:uiPriority="99" w:name="envelope return"/>
    <w:lsdException w:qFormat="1"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qFormat="1" w:unhideWhenUsed="0" w:uiPriority="99"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60"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76"/>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68"/>
    <w:qFormat/>
    <w:uiPriority w:val="0"/>
    <w:pPr>
      <w:keepNext/>
      <w:keepLines/>
      <w:spacing w:before="240" w:after="240"/>
      <w:outlineLvl w:val="1"/>
    </w:pPr>
    <w:rPr>
      <w:rFonts w:ascii="Arial" w:hAnsi="Arial" w:eastAsia="黑体"/>
      <w:b/>
      <w:bCs/>
      <w:sz w:val="32"/>
      <w:szCs w:val="32"/>
    </w:rPr>
  </w:style>
  <w:style w:type="paragraph" w:styleId="6">
    <w:name w:val="heading 3"/>
    <w:basedOn w:val="1"/>
    <w:next w:val="1"/>
    <w:link w:val="77"/>
    <w:qFormat/>
    <w:uiPriority w:val="0"/>
    <w:pPr>
      <w:keepNext/>
      <w:keepLines/>
      <w:spacing w:before="120" w:after="120"/>
      <w:outlineLvl w:val="2"/>
    </w:pPr>
    <w:rPr>
      <w:b/>
      <w:bCs/>
      <w:sz w:val="24"/>
      <w:szCs w:val="32"/>
    </w:rPr>
  </w:style>
  <w:style w:type="paragraph" w:styleId="7">
    <w:name w:val="heading 4"/>
    <w:basedOn w:val="1"/>
    <w:next w:val="1"/>
    <w:link w:val="70"/>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71"/>
    <w:qFormat/>
    <w:uiPriority w:val="0"/>
    <w:pPr>
      <w:keepNext/>
      <w:keepLines/>
      <w:tabs>
        <w:tab w:val="left" w:pos="1008"/>
      </w:tabs>
      <w:spacing w:before="280" w:after="290" w:line="376" w:lineRule="auto"/>
      <w:ind w:left="1008" w:hanging="1008"/>
      <w:jc w:val="left"/>
      <w:outlineLvl w:val="4"/>
    </w:pPr>
    <w:rPr>
      <w:b/>
      <w:bCs/>
      <w:kern w:val="0"/>
      <w:sz w:val="28"/>
      <w:szCs w:val="28"/>
    </w:rPr>
  </w:style>
  <w:style w:type="paragraph" w:styleId="9">
    <w:name w:val="heading 6"/>
    <w:basedOn w:val="1"/>
    <w:next w:val="1"/>
    <w:link w:val="72"/>
    <w:qFormat/>
    <w:uiPriority w:val="0"/>
    <w:pPr>
      <w:keepNext/>
      <w:keepLines/>
      <w:tabs>
        <w:tab w:val="left" w:pos="1440"/>
      </w:tabs>
      <w:spacing w:before="240" w:after="64" w:line="320" w:lineRule="auto"/>
      <w:ind w:left="1152" w:hanging="1152"/>
      <w:jc w:val="left"/>
      <w:outlineLvl w:val="5"/>
    </w:pPr>
    <w:rPr>
      <w:rFonts w:ascii="Arial" w:hAnsi="Arial" w:eastAsia="黑体"/>
      <w:b/>
      <w:bCs/>
      <w:kern w:val="0"/>
      <w:sz w:val="24"/>
    </w:rPr>
  </w:style>
  <w:style w:type="paragraph" w:styleId="10">
    <w:name w:val="heading 7"/>
    <w:basedOn w:val="1"/>
    <w:next w:val="1"/>
    <w:link w:val="73"/>
    <w:qFormat/>
    <w:uiPriority w:val="0"/>
    <w:pPr>
      <w:keepNext/>
      <w:keepLines/>
      <w:tabs>
        <w:tab w:val="left" w:pos="2520"/>
      </w:tabs>
      <w:spacing w:before="240" w:after="64" w:line="320" w:lineRule="auto"/>
      <w:ind w:left="1296" w:hanging="1296"/>
      <w:jc w:val="left"/>
      <w:outlineLvl w:val="6"/>
    </w:pPr>
    <w:rPr>
      <w:b/>
      <w:bCs/>
      <w:kern w:val="0"/>
      <w:sz w:val="24"/>
    </w:rPr>
  </w:style>
  <w:style w:type="paragraph" w:styleId="11">
    <w:name w:val="heading 8"/>
    <w:basedOn w:val="1"/>
    <w:next w:val="1"/>
    <w:link w:val="74"/>
    <w:qFormat/>
    <w:uiPriority w:val="0"/>
    <w:pPr>
      <w:keepNext/>
      <w:keepLines/>
      <w:tabs>
        <w:tab w:val="left" w:pos="1440"/>
      </w:tabs>
      <w:spacing w:before="240" w:after="64" w:line="320" w:lineRule="auto"/>
      <w:ind w:left="1440" w:hanging="1440"/>
      <w:jc w:val="left"/>
      <w:outlineLvl w:val="7"/>
    </w:pPr>
    <w:rPr>
      <w:rFonts w:ascii="Arial" w:hAnsi="Arial" w:eastAsia="黑体"/>
      <w:kern w:val="0"/>
      <w:sz w:val="24"/>
    </w:rPr>
  </w:style>
  <w:style w:type="paragraph" w:styleId="12">
    <w:name w:val="heading 9"/>
    <w:basedOn w:val="1"/>
    <w:next w:val="1"/>
    <w:link w:val="75"/>
    <w:qFormat/>
    <w:uiPriority w:val="0"/>
    <w:pPr>
      <w:keepNext/>
      <w:keepLines/>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56">
    <w:name w:val="Default Paragraph Font"/>
    <w:semiHidden/>
    <w:unhideWhenUsed/>
    <w:qFormat/>
    <w:uiPriority w:val="1"/>
  </w:style>
  <w:style w:type="table" w:default="1" w:styleId="5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66"/>
    <w:qFormat/>
    <w:uiPriority w:val="0"/>
    <w:pPr>
      <w:spacing w:after="120"/>
    </w:pPr>
  </w:style>
  <w:style w:type="paragraph" w:styleId="3">
    <w:name w:val="Body Text 2"/>
    <w:basedOn w:val="1"/>
    <w:link w:val="91"/>
    <w:qFormat/>
    <w:uiPriority w:val="0"/>
    <w:pPr>
      <w:jc w:val="left"/>
    </w:pPr>
    <w:rPr>
      <w:rFonts w:ascii="楷体_GB2312" w:hAnsi="宋体" w:eastAsia="楷体_GB2312"/>
      <w:color w:val="000000"/>
      <w:kern w:val="0"/>
      <w:szCs w:val="21"/>
    </w:rPr>
  </w:style>
  <w:style w:type="paragraph" w:styleId="13">
    <w:name w:val="List 3"/>
    <w:basedOn w:val="1"/>
    <w:qFormat/>
    <w:uiPriority w:val="0"/>
    <w:pPr>
      <w:ind w:left="100" w:leftChars="400" w:hanging="200" w:hangingChars="200"/>
    </w:pPr>
  </w:style>
  <w:style w:type="paragraph" w:styleId="14">
    <w:name w:val="toc 7"/>
    <w:basedOn w:val="1"/>
    <w:next w:val="1"/>
    <w:unhideWhenUsed/>
    <w:qFormat/>
    <w:uiPriority w:val="39"/>
    <w:pPr>
      <w:widowControl w:val="0"/>
      <w:spacing w:line="240" w:lineRule="auto"/>
      <w:ind w:left="2520" w:leftChars="1200" w:firstLine="0" w:firstLineChars="0"/>
    </w:pPr>
    <w:rPr>
      <w:rFonts w:ascii="等线" w:hAnsi="等线" w:eastAsia="等线"/>
      <w:szCs w:val="22"/>
    </w:rPr>
  </w:style>
  <w:style w:type="paragraph" w:styleId="15">
    <w:name w:val="index 8"/>
    <w:basedOn w:val="1"/>
    <w:next w:val="1"/>
    <w:qFormat/>
    <w:uiPriority w:val="0"/>
    <w:pPr>
      <w:widowControl w:val="0"/>
      <w:autoSpaceDE w:val="0"/>
      <w:autoSpaceDN w:val="0"/>
      <w:ind w:left="2940"/>
    </w:pPr>
    <w:rPr>
      <w:rFonts w:ascii="宋体" w:hAnsi="宋体" w:cs="宋体"/>
      <w:sz w:val="22"/>
      <w:szCs w:val="22"/>
      <w:lang w:eastAsia="en-US"/>
    </w:rPr>
  </w:style>
  <w:style w:type="paragraph" w:styleId="16">
    <w:name w:val="Normal Indent"/>
    <w:basedOn w:val="1"/>
    <w:link w:val="78"/>
    <w:qFormat/>
    <w:uiPriority w:val="99"/>
  </w:style>
  <w:style w:type="paragraph" w:styleId="17">
    <w:name w:val="caption"/>
    <w:basedOn w:val="1"/>
    <w:next w:val="1"/>
    <w:link w:val="445"/>
    <w:qFormat/>
    <w:uiPriority w:val="35"/>
    <w:rPr>
      <w:rFonts w:ascii="Arial" w:hAnsi="Arial" w:eastAsia="黑体" w:cs="Arial"/>
      <w:sz w:val="20"/>
      <w:szCs w:val="20"/>
    </w:rPr>
  </w:style>
  <w:style w:type="paragraph" w:styleId="18">
    <w:name w:val="Document Map"/>
    <w:basedOn w:val="1"/>
    <w:link w:val="79"/>
    <w:qFormat/>
    <w:uiPriority w:val="99"/>
    <w:rPr>
      <w:rFonts w:ascii="宋体"/>
      <w:sz w:val="18"/>
      <w:szCs w:val="18"/>
    </w:rPr>
  </w:style>
  <w:style w:type="paragraph" w:styleId="19">
    <w:name w:val="toa heading"/>
    <w:basedOn w:val="1"/>
    <w:next w:val="1"/>
    <w:qFormat/>
    <w:uiPriority w:val="99"/>
    <w:pPr>
      <w:spacing w:before="120"/>
    </w:pPr>
    <w:rPr>
      <w:rFonts w:ascii="Arial" w:hAnsi="Arial"/>
      <w:b/>
      <w:bCs/>
    </w:rPr>
  </w:style>
  <w:style w:type="paragraph" w:styleId="20">
    <w:name w:val="annotation text"/>
    <w:basedOn w:val="1"/>
    <w:link w:val="80"/>
    <w:qFormat/>
    <w:uiPriority w:val="0"/>
    <w:pPr>
      <w:jc w:val="left"/>
    </w:pPr>
  </w:style>
  <w:style w:type="paragraph" w:styleId="21">
    <w:name w:val="Body Text 3"/>
    <w:basedOn w:val="1"/>
    <w:link w:val="81"/>
    <w:qFormat/>
    <w:uiPriority w:val="0"/>
    <w:rPr>
      <w:rFonts w:ascii="宋体"/>
      <w:sz w:val="24"/>
      <w:szCs w:val="20"/>
    </w:rPr>
  </w:style>
  <w:style w:type="paragraph" w:styleId="22">
    <w:name w:val="Body Text Indent"/>
    <w:basedOn w:val="1"/>
    <w:link w:val="82"/>
    <w:qFormat/>
    <w:uiPriority w:val="99"/>
    <w:pPr>
      <w:spacing w:after="120"/>
      <w:ind w:left="420" w:leftChars="200"/>
    </w:pPr>
  </w:style>
  <w:style w:type="paragraph" w:styleId="23">
    <w:name w:val="List 2"/>
    <w:basedOn w:val="1"/>
    <w:qFormat/>
    <w:uiPriority w:val="0"/>
    <w:pPr>
      <w:ind w:left="100" w:leftChars="200" w:hanging="200" w:hangingChars="200"/>
    </w:pPr>
  </w:style>
  <w:style w:type="paragraph" w:styleId="24">
    <w:name w:val="List Bullet 2"/>
    <w:basedOn w:val="1"/>
    <w:qFormat/>
    <w:uiPriority w:val="0"/>
    <w:pPr>
      <w:tabs>
        <w:tab w:val="left" w:pos="780"/>
      </w:tabs>
      <w:ind w:left="840" w:hanging="420"/>
    </w:pPr>
  </w:style>
  <w:style w:type="paragraph" w:styleId="25">
    <w:name w:val="toc 5"/>
    <w:basedOn w:val="1"/>
    <w:next w:val="1"/>
    <w:unhideWhenUsed/>
    <w:qFormat/>
    <w:uiPriority w:val="39"/>
    <w:pPr>
      <w:widowControl w:val="0"/>
      <w:spacing w:line="240" w:lineRule="auto"/>
      <w:ind w:left="1680" w:leftChars="800" w:firstLine="0" w:firstLineChars="0"/>
    </w:pPr>
    <w:rPr>
      <w:rFonts w:ascii="等线" w:hAnsi="等线" w:eastAsia="等线"/>
      <w:szCs w:val="22"/>
    </w:rPr>
  </w:style>
  <w:style w:type="paragraph" w:styleId="26">
    <w:name w:val="toc 3"/>
    <w:basedOn w:val="1"/>
    <w:next w:val="1"/>
    <w:qFormat/>
    <w:uiPriority w:val="39"/>
    <w:pPr>
      <w:ind w:left="940"/>
      <w:jc w:val="left"/>
    </w:pPr>
    <w:rPr>
      <w:rFonts w:ascii="宋体" w:hAnsi="宋体"/>
      <w:kern w:val="0"/>
      <w:szCs w:val="21"/>
      <w:lang w:eastAsia="en-US"/>
    </w:rPr>
  </w:style>
  <w:style w:type="paragraph" w:styleId="27">
    <w:name w:val="Plain Text"/>
    <w:basedOn w:val="1"/>
    <w:next w:val="15"/>
    <w:link w:val="83"/>
    <w:qFormat/>
    <w:uiPriority w:val="0"/>
    <w:rPr>
      <w:rFonts w:ascii="宋体" w:hAnsi="Courier New"/>
      <w:szCs w:val="21"/>
    </w:rPr>
  </w:style>
  <w:style w:type="paragraph" w:styleId="28">
    <w:name w:val="toc 8"/>
    <w:basedOn w:val="1"/>
    <w:next w:val="1"/>
    <w:unhideWhenUsed/>
    <w:qFormat/>
    <w:uiPriority w:val="39"/>
    <w:pPr>
      <w:widowControl w:val="0"/>
      <w:spacing w:line="240" w:lineRule="auto"/>
      <w:ind w:left="2940" w:leftChars="1400" w:firstLine="0" w:firstLineChars="0"/>
    </w:pPr>
    <w:rPr>
      <w:rFonts w:ascii="等线" w:hAnsi="等线" w:eastAsia="等线"/>
      <w:szCs w:val="22"/>
    </w:rPr>
  </w:style>
  <w:style w:type="paragraph" w:styleId="29">
    <w:name w:val="Date"/>
    <w:basedOn w:val="1"/>
    <w:next w:val="1"/>
    <w:link w:val="84"/>
    <w:qFormat/>
    <w:uiPriority w:val="99"/>
    <w:rPr>
      <w:sz w:val="24"/>
      <w:szCs w:val="20"/>
    </w:rPr>
  </w:style>
  <w:style w:type="paragraph" w:styleId="30">
    <w:name w:val="Body Text Indent 2"/>
    <w:basedOn w:val="1"/>
    <w:link w:val="85"/>
    <w:qFormat/>
    <w:uiPriority w:val="0"/>
    <w:pPr>
      <w:ind w:firstLine="640"/>
    </w:pPr>
    <w:rPr>
      <w:rFonts w:eastAsia="仿宋_GB2312"/>
      <w:sz w:val="32"/>
    </w:rPr>
  </w:style>
  <w:style w:type="paragraph" w:styleId="31">
    <w:name w:val="endnote text"/>
    <w:basedOn w:val="1"/>
    <w:link w:val="86"/>
    <w:qFormat/>
    <w:uiPriority w:val="0"/>
    <w:pPr>
      <w:jc w:val="left"/>
    </w:pPr>
    <w:rPr>
      <w:rFonts w:ascii="Courier" w:hAnsi="Courier" w:eastAsia="PMingLiU"/>
      <w:snapToGrid w:val="0"/>
      <w:kern w:val="0"/>
      <w:sz w:val="24"/>
      <w:szCs w:val="20"/>
      <w:lang w:val="en-AU" w:eastAsia="en-US"/>
    </w:rPr>
  </w:style>
  <w:style w:type="paragraph" w:styleId="32">
    <w:name w:val="Balloon Text"/>
    <w:basedOn w:val="1"/>
    <w:link w:val="87"/>
    <w:qFormat/>
    <w:uiPriority w:val="99"/>
    <w:rPr>
      <w:sz w:val="18"/>
      <w:szCs w:val="18"/>
    </w:rPr>
  </w:style>
  <w:style w:type="paragraph" w:styleId="33">
    <w:name w:val="footer"/>
    <w:basedOn w:val="1"/>
    <w:link w:val="65"/>
    <w:unhideWhenUsed/>
    <w:qFormat/>
    <w:uiPriority w:val="99"/>
    <w:pPr>
      <w:tabs>
        <w:tab w:val="center" w:pos="4153"/>
        <w:tab w:val="right" w:pos="8306"/>
      </w:tabs>
      <w:snapToGrid w:val="0"/>
      <w:jc w:val="left"/>
    </w:pPr>
    <w:rPr>
      <w:sz w:val="18"/>
      <w:szCs w:val="18"/>
    </w:rPr>
  </w:style>
  <w:style w:type="paragraph" w:styleId="34">
    <w:name w:val="header"/>
    <w:basedOn w:val="1"/>
    <w:link w:val="64"/>
    <w:unhideWhenUsed/>
    <w:qFormat/>
    <w:uiPriority w:val="99"/>
    <w:pPr>
      <w:tabs>
        <w:tab w:val="center" w:pos="4153"/>
        <w:tab w:val="right" w:pos="8306"/>
      </w:tabs>
      <w:snapToGrid w:val="0"/>
      <w:jc w:val="center"/>
    </w:pPr>
    <w:rPr>
      <w:sz w:val="18"/>
      <w:szCs w:val="18"/>
    </w:rPr>
  </w:style>
  <w:style w:type="paragraph" w:styleId="35">
    <w:name w:val="toc 1"/>
    <w:basedOn w:val="1"/>
    <w:next w:val="1"/>
    <w:qFormat/>
    <w:uiPriority w:val="39"/>
    <w:pPr>
      <w:widowControl w:val="0"/>
      <w:kinsoku w:val="0"/>
      <w:overflowPunct w:val="0"/>
      <w:autoSpaceDE w:val="0"/>
      <w:autoSpaceDN w:val="0"/>
      <w:adjustRightInd w:val="0"/>
      <w:snapToGrid w:val="0"/>
      <w:ind w:firstLine="0" w:firstLineChars="0"/>
      <w:jc w:val="left"/>
    </w:pPr>
    <w:rPr>
      <w:rFonts w:ascii="宋体" w:hAnsi="宋体"/>
      <w:kern w:val="0"/>
      <w:szCs w:val="21"/>
      <w:lang w:eastAsia="en-US"/>
    </w:rPr>
  </w:style>
  <w:style w:type="paragraph" w:styleId="36">
    <w:name w:val="toc 4"/>
    <w:basedOn w:val="1"/>
    <w:next w:val="1"/>
    <w:unhideWhenUsed/>
    <w:qFormat/>
    <w:uiPriority w:val="39"/>
    <w:pPr>
      <w:widowControl w:val="0"/>
      <w:spacing w:line="240" w:lineRule="auto"/>
      <w:ind w:left="1260" w:leftChars="600" w:firstLine="0" w:firstLineChars="0"/>
    </w:pPr>
    <w:rPr>
      <w:rFonts w:ascii="等线" w:hAnsi="等线" w:eastAsia="等线"/>
      <w:szCs w:val="22"/>
    </w:rPr>
  </w:style>
  <w:style w:type="paragraph" w:styleId="37">
    <w:name w:val="index heading"/>
    <w:basedOn w:val="1"/>
    <w:next w:val="38"/>
    <w:qFormat/>
    <w:uiPriority w:val="0"/>
    <w:pPr>
      <w:spacing w:before="120" w:after="120"/>
      <w:jc w:val="left"/>
    </w:pPr>
    <w:rPr>
      <w:b/>
      <w:bCs/>
      <w:i/>
      <w:iCs/>
      <w:sz w:val="20"/>
      <w:szCs w:val="20"/>
    </w:rPr>
  </w:style>
  <w:style w:type="paragraph" w:styleId="38">
    <w:name w:val="index 1"/>
    <w:basedOn w:val="1"/>
    <w:next w:val="1"/>
    <w:unhideWhenUsed/>
    <w:qFormat/>
    <w:uiPriority w:val="0"/>
    <w:pPr>
      <w:ind w:firstLine="0"/>
    </w:pPr>
  </w:style>
  <w:style w:type="paragraph" w:styleId="39">
    <w:name w:val="Subtitle"/>
    <w:next w:val="40"/>
    <w:link w:val="410"/>
    <w:qFormat/>
    <w:uiPriority w:val="0"/>
    <w:pPr>
      <w:spacing w:line="360" w:lineRule="auto"/>
      <w:ind w:left="-142" w:leftChars="-59" w:right="-226" w:rightChars="-94"/>
      <w:jc w:val="center"/>
    </w:pPr>
    <w:rPr>
      <w:rFonts w:ascii="Times New Roman" w:hAnsi="Times New Roman" w:eastAsia="楷体" w:cs="Times New Roman"/>
      <w:b/>
      <w:bCs/>
      <w:kern w:val="28"/>
      <w:sz w:val="52"/>
      <w:szCs w:val="52"/>
      <w:lang w:val="en-US" w:eastAsia="zh-CN" w:bidi="ar-SA"/>
    </w:rPr>
  </w:style>
  <w:style w:type="paragraph" w:customStyle="1" w:styleId="40">
    <w:name w:val="正文-首行缩进-自定义"/>
    <w:basedOn w:val="1"/>
    <w:qFormat/>
    <w:uiPriority w:val="0"/>
    <w:pPr>
      <w:widowControl w:val="0"/>
      <w:overflowPunct w:val="0"/>
      <w:spacing w:after="0"/>
    </w:pPr>
    <w:rPr>
      <w:rFonts w:ascii="宋体" w:hAnsi="宋体" w:cstheme="minorBidi"/>
      <w:sz w:val="24"/>
      <w:szCs w:val="21"/>
    </w:rPr>
  </w:style>
  <w:style w:type="paragraph" w:styleId="41">
    <w:name w:val="List"/>
    <w:basedOn w:val="1"/>
    <w:qFormat/>
    <w:uiPriority w:val="0"/>
    <w:pPr>
      <w:ind w:left="200" w:hanging="200" w:hangingChars="200"/>
    </w:pPr>
  </w:style>
  <w:style w:type="paragraph" w:styleId="42">
    <w:name w:val="footnote text"/>
    <w:basedOn w:val="1"/>
    <w:link w:val="89"/>
    <w:qFormat/>
    <w:uiPriority w:val="99"/>
    <w:pPr>
      <w:jc w:val="left"/>
    </w:pPr>
    <w:rPr>
      <w:rFonts w:ascii="Courier" w:hAnsi="Courier" w:eastAsia="PMingLiU"/>
      <w:snapToGrid w:val="0"/>
      <w:kern w:val="0"/>
      <w:sz w:val="24"/>
      <w:szCs w:val="20"/>
      <w:lang w:val="en-AU" w:eastAsia="en-US"/>
    </w:rPr>
  </w:style>
  <w:style w:type="paragraph" w:styleId="43">
    <w:name w:val="toc 6"/>
    <w:basedOn w:val="1"/>
    <w:next w:val="1"/>
    <w:unhideWhenUsed/>
    <w:qFormat/>
    <w:uiPriority w:val="39"/>
    <w:pPr>
      <w:widowControl w:val="0"/>
      <w:spacing w:line="240" w:lineRule="auto"/>
      <w:ind w:left="2100" w:leftChars="1000" w:firstLine="0" w:firstLineChars="0"/>
    </w:pPr>
    <w:rPr>
      <w:rFonts w:ascii="等线" w:hAnsi="等线" w:eastAsia="等线"/>
      <w:szCs w:val="22"/>
    </w:rPr>
  </w:style>
  <w:style w:type="paragraph" w:styleId="44">
    <w:name w:val="List 5"/>
    <w:basedOn w:val="1"/>
    <w:qFormat/>
    <w:uiPriority w:val="0"/>
    <w:pPr>
      <w:ind w:left="100" w:leftChars="800" w:hanging="200" w:hangingChars="200"/>
    </w:pPr>
  </w:style>
  <w:style w:type="paragraph" w:styleId="45">
    <w:name w:val="Body Text Indent 3"/>
    <w:basedOn w:val="1"/>
    <w:link w:val="90"/>
    <w:qFormat/>
    <w:uiPriority w:val="0"/>
    <w:pPr>
      <w:spacing w:after="120"/>
      <w:ind w:left="420" w:leftChars="200"/>
    </w:pPr>
    <w:rPr>
      <w:sz w:val="16"/>
      <w:szCs w:val="16"/>
    </w:rPr>
  </w:style>
  <w:style w:type="paragraph" w:styleId="46">
    <w:name w:val="table of figures"/>
    <w:basedOn w:val="1"/>
    <w:next w:val="1"/>
    <w:unhideWhenUsed/>
    <w:qFormat/>
    <w:uiPriority w:val="99"/>
    <w:pPr>
      <w:widowControl w:val="0"/>
      <w:overflowPunct w:val="0"/>
      <w:spacing w:after="0"/>
      <w:ind w:left="200" w:hanging="200" w:hangingChars="200"/>
    </w:pPr>
    <w:rPr>
      <w:rFonts w:ascii="宋体" w:hAnsi="宋体" w:cstheme="minorBidi"/>
      <w:sz w:val="24"/>
      <w:szCs w:val="21"/>
    </w:rPr>
  </w:style>
  <w:style w:type="paragraph" w:styleId="47">
    <w:name w:val="toc 2"/>
    <w:basedOn w:val="1"/>
    <w:next w:val="1"/>
    <w:qFormat/>
    <w:uiPriority w:val="39"/>
    <w:pPr>
      <w:widowControl w:val="0"/>
      <w:kinsoku w:val="0"/>
      <w:overflowPunct w:val="0"/>
      <w:autoSpaceDE w:val="0"/>
      <w:autoSpaceDN w:val="0"/>
      <w:adjustRightInd w:val="0"/>
      <w:snapToGrid w:val="0"/>
      <w:jc w:val="left"/>
    </w:pPr>
    <w:rPr>
      <w:rFonts w:ascii="宋体" w:hAnsi="宋体"/>
      <w:kern w:val="0"/>
      <w:szCs w:val="21"/>
      <w:lang w:eastAsia="en-US"/>
    </w:rPr>
  </w:style>
  <w:style w:type="paragraph" w:styleId="48">
    <w:name w:val="toc 9"/>
    <w:basedOn w:val="1"/>
    <w:next w:val="1"/>
    <w:unhideWhenUsed/>
    <w:qFormat/>
    <w:uiPriority w:val="39"/>
    <w:pPr>
      <w:widowControl w:val="0"/>
      <w:spacing w:line="240" w:lineRule="auto"/>
      <w:ind w:left="3360" w:leftChars="1600" w:firstLine="0" w:firstLineChars="0"/>
    </w:pPr>
    <w:rPr>
      <w:rFonts w:ascii="等线" w:hAnsi="等线" w:eastAsia="等线"/>
      <w:szCs w:val="22"/>
    </w:rPr>
  </w:style>
  <w:style w:type="paragraph" w:styleId="49">
    <w:name w:val="List 4"/>
    <w:basedOn w:val="1"/>
    <w:qFormat/>
    <w:uiPriority w:val="0"/>
    <w:pPr>
      <w:ind w:left="100" w:leftChars="600" w:hanging="200" w:hangingChars="200"/>
    </w:pPr>
  </w:style>
  <w:style w:type="paragraph" w:styleId="50">
    <w:name w:val="Normal (Web)"/>
    <w:basedOn w:val="1"/>
    <w:qFormat/>
    <w:uiPriority w:val="0"/>
    <w:pPr>
      <w:spacing w:before="100" w:beforeAutospacing="1" w:after="100" w:afterAutospacing="1" w:line="283" w:lineRule="atLeast"/>
      <w:jc w:val="left"/>
    </w:pPr>
    <w:rPr>
      <w:rFonts w:ascii="宋体" w:hAnsi="宋体"/>
      <w:color w:val="000000"/>
      <w:kern w:val="0"/>
      <w:sz w:val="19"/>
      <w:szCs w:val="19"/>
    </w:rPr>
  </w:style>
  <w:style w:type="paragraph" w:styleId="51">
    <w:name w:val="Title"/>
    <w:basedOn w:val="1"/>
    <w:link w:val="92"/>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52">
    <w:name w:val="annotation subject"/>
    <w:basedOn w:val="20"/>
    <w:next w:val="20"/>
    <w:link w:val="93"/>
    <w:qFormat/>
    <w:uiPriority w:val="99"/>
  </w:style>
  <w:style w:type="paragraph" w:styleId="53">
    <w:name w:val="Body Text First Indent"/>
    <w:basedOn w:val="1"/>
    <w:link w:val="411"/>
    <w:semiHidden/>
    <w:unhideWhenUsed/>
    <w:qFormat/>
    <w:uiPriority w:val="99"/>
    <w:pPr>
      <w:widowControl w:val="0"/>
      <w:overflowPunct w:val="0"/>
      <w:spacing w:after="120"/>
      <w:ind w:firstLine="420" w:firstLineChars="100"/>
    </w:pPr>
    <w:rPr>
      <w:rFonts w:ascii="Arial" w:hAnsi="Arial" w:cstheme="minorBidi"/>
      <w:sz w:val="20"/>
      <w:szCs w:val="21"/>
      <w:lang w:val="en-GB" w:eastAsia="en-US"/>
    </w:rPr>
  </w:style>
  <w:style w:type="table" w:styleId="55">
    <w:name w:val="Table Grid"/>
    <w:basedOn w:val="54"/>
    <w:qFormat/>
    <w:uiPriority w:val="39"/>
    <w:pPr>
      <w:ind w:left="840" w:hanging="420"/>
      <w:jc w:val="both"/>
    </w:pPr>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7">
    <w:name w:val="Strong"/>
    <w:qFormat/>
    <w:uiPriority w:val="22"/>
    <w:rPr>
      <w:b/>
      <w:bCs/>
    </w:rPr>
  </w:style>
  <w:style w:type="character" w:styleId="58">
    <w:name w:val="page number"/>
    <w:qFormat/>
    <w:uiPriority w:val="0"/>
  </w:style>
  <w:style w:type="character" w:styleId="59">
    <w:name w:val="FollowedHyperlink"/>
    <w:basedOn w:val="56"/>
    <w:semiHidden/>
    <w:unhideWhenUsed/>
    <w:qFormat/>
    <w:uiPriority w:val="99"/>
    <w:rPr>
      <w:color w:val="954F72"/>
      <w:u w:val="single"/>
    </w:rPr>
  </w:style>
  <w:style w:type="character" w:styleId="60">
    <w:name w:val="Emphasis"/>
    <w:qFormat/>
    <w:uiPriority w:val="20"/>
    <w:rPr>
      <w:color w:val="CC0000"/>
    </w:rPr>
  </w:style>
  <w:style w:type="character" w:styleId="61">
    <w:name w:val="Hyperlink"/>
    <w:qFormat/>
    <w:uiPriority w:val="99"/>
    <w:rPr>
      <w:color w:val="0000FF"/>
      <w:u w:val="single"/>
    </w:rPr>
  </w:style>
  <w:style w:type="character" w:styleId="62">
    <w:name w:val="annotation reference"/>
    <w:qFormat/>
    <w:uiPriority w:val="0"/>
    <w:rPr>
      <w:sz w:val="21"/>
      <w:szCs w:val="21"/>
    </w:rPr>
  </w:style>
  <w:style w:type="character" w:styleId="63">
    <w:name w:val="footnote reference"/>
    <w:basedOn w:val="56"/>
    <w:semiHidden/>
    <w:unhideWhenUsed/>
    <w:qFormat/>
    <w:uiPriority w:val="99"/>
    <w:rPr>
      <w:vertAlign w:val="superscript"/>
    </w:rPr>
  </w:style>
  <w:style w:type="character" w:customStyle="1" w:styleId="64">
    <w:name w:val="页眉 字符"/>
    <w:basedOn w:val="56"/>
    <w:link w:val="34"/>
    <w:qFormat/>
    <w:uiPriority w:val="99"/>
    <w:rPr>
      <w:sz w:val="18"/>
      <w:szCs w:val="18"/>
    </w:rPr>
  </w:style>
  <w:style w:type="character" w:customStyle="1" w:styleId="65">
    <w:name w:val="页脚 字符"/>
    <w:basedOn w:val="56"/>
    <w:link w:val="33"/>
    <w:qFormat/>
    <w:uiPriority w:val="99"/>
    <w:rPr>
      <w:sz w:val="18"/>
      <w:szCs w:val="18"/>
    </w:rPr>
  </w:style>
  <w:style w:type="character" w:customStyle="1" w:styleId="66">
    <w:name w:val="正文文本 字符"/>
    <w:basedOn w:val="56"/>
    <w:link w:val="2"/>
    <w:qFormat/>
    <w:uiPriority w:val="0"/>
    <w:rPr>
      <w:rFonts w:ascii="Times New Roman" w:hAnsi="Times New Roman" w:eastAsia="宋体" w:cs="Times New Roman"/>
      <w:szCs w:val="24"/>
      <w14:ligatures w14:val="none"/>
    </w:rPr>
  </w:style>
  <w:style w:type="character" w:customStyle="1" w:styleId="67">
    <w:name w:val="标题 1 字符"/>
    <w:basedOn w:val="56"/>
    <w:qFormat/>
    <w:uiPriority w:val="9"/>
    <w:rPr>
      <w:rFonts w:ascii="Times New Roman" w:hAnsi="Times New Roman" w:eastAsia="宋体" w:cs="Times New Roman"/>
      <w:b/>
      <w:bCs/>
      <w:kern w:val="44"/>
      <w:sz w:val="44"/>
      <w:szCs w:val="44"/>
      <w14:ligatures w14:val="none"/>
    </w:rPr>
  </w:style>
  <w:style w:type="character" w:customStyle="1" w:styleId="68">
    <w:name w:val="标题 2 字符"/>
    <w:basedOn w:val="56"/>
    <w:link w:val="5"/>
    <w:qFormat/>
    <w:uiPriority w:val="9"/>
    <w:rPr>
      <w:rFonts w:ascii="Arial" w:hAnsi="Arial" w:eastAsia="黑体" w:cs="Times New Roman"/>
      <w:b/>
      <w:bCs/>
      <w:sz w:val="32"/>
      <w:szCs w:val="32"/>
      <w14:ligatures w14:val="none"/>
    </w:rPr>
  </w:style>
  <w:style w:type="character" w:customStyle="1" w:styleId="69">
    <w:name w:val="标题 3 字符"/>
    <w:basedOn w:val="56"/>
    <w:qFormat/>
    <w:uiPriority w:val="9"/>
    <w:rPr>
      <w:rFonts w:ascii="Times New Roman" w:hAnsi="Times New Roman" w:eastAsia="宋体" w:cs="Times New Roman"/>
      <w:b/>
      <w:bCs/>
      <w:sz w:val="32"/>
      <w:szCs w:val="32"/>
      <w14:ligatures w14:val="none"/>
    </w:rPr>
  </w:style>
  <w:style w:type="character" w:customStyle="1" w:styleId="70">
    <w:name w:val="标题 4 字符"/>
    <w:basedOn w:val="56"/>
    <w:link w:val="7"/>
    <w:qFormat/>
    <w:uiPriority w:val="9"/>
    <w:rPr>
      <w:rFonts w:ascii="Arial" w:hAnsi="Arial" w:eastAsia="黑体" w:cs="Times New Roman"/>
      <w:b/>
      <w:bCs/>
      <w:sz w:val="28"/>
      <w:szCs w:val="28"/>
      <w14:ligatures w14:val="none"/>
    </w:rPr>
  </w:style>
  <w:style w:type="character" w:customStyle="1" w:styleId="71">
    <w:name w:val="标题 5 字符"/>
    <w:basedOn w:val="56"/>
    <w:link w:val="8"/>
    <w:qFormat/>
    <w:uiPriority w:val="0"/>
    <w:rPr>
      <w:rFonts w:ascii="Times New Roman" w:hAnsi="Times New Roman" w:eastAsia="宋体" w:cs="Times New Roman"/>
      <w:b/>
      <w:bCs/>
      <w:kern w:val="0"/>
      <w:sz w:val="28"/>
      <w:szCs w:val="28"/>
      <w14:ligatures w14:val="none"/>
    </w:rPr>
  </w:style>
  <w:style w:type="character" w:customStyle="1" w:styleId="72">
    <w:name w:val="标题 6 字符"/>
    <w:basedOn w:val="56"/>
    <w:link w:val="9"/>
    <w:qFormat/>
    <w:uiPriority w:val="9"/>
    <w:rPr>
      <w:rFonts w:ascii="Arial" w:hAnsi="Arial" w:eastAsia="黑体" w:cs="Times New Roman"/>
      <w:b/>
      <w:bCs/>
      <w:kern w:val="0"/>
      <w:sz w:val="24"/>
      <w:szCs w:val="24"/>
      <w14:ligatures w14:val="none"/>
    </w:rPr>
  </w:style>
  <w:style w:type="character" w:customStyle="1" w:styleId="73">
    <w:name w:val="标题 7 字符"/>
    <w:basedOn w:val="56"/>
    <w:link w:val="10"/>
    <w:qFormat/>
    <w:uiPriority w:val="9"/>
    <w:rPr>
      <w:rFonts w:ascii="Times New Roman" w:hAnsi="Times New Roman" w:eastAsia="宋体" w:cs="Times New Roman"/>
      <w:b/>
      <w:bCs/>
      <w:kern w:val="0"/>
      <w:sz w:val="24"/>
      <w:szCs w:val="24"/>
      <w14:ligatures w14:val="none"/>
    </w:rPr>
  </w:style>
  <w:style w:type="character" w:customStyle="1" w:styleId="74">
    <w:name w:val="标题 8 字符"/>
    <w:basedOn w:val="56"/>
    <w:link w:val="11"/>
    <w:qFormat/>
    <w:uiPriority w:val="9"/>
    <w:rPr>
      <w:rFonts w:ascii="Arial" w:hAnsi="Arial" w:eastAsia="黑体" w:cs="Times New Roman"/>
      <w:kern w:val="0"/>
      <w:sz w:val="24"/>
      <w:szCs w:val="24"/>
      <w14:ligatures w14:val="none"/>
    </w:rPr>
  </w:style>
  <w:style w:type="character" w:customStyle="1" w:styleId="75">
    <w:name w:val="标题 9 字符"/>
    <w:basedOn w:val="56"/>
    <w:link w:val="12"/>
    <w:qFormat/>
    <w:uiPriority w:val="9"/>
    <w:rPr>
      <w:rFonts w:ascii="Arial" w:hAnsi="Arial" w:eastAsia="黑体" w:cs="Times New Roman"/>
      <w:kern w:val="0"/>
      <w:szCs w:val="21"/>
      <w14:ligatures w14:val="none"/>
    </w:rPr>
  </w:style>
  <w:style w:type="character" w:customStyle="1" w:styleId="76">
    <w:name w:val="标题 1 字符1"/>
    <w:link w:val="4"/>
    <w:qFormat/>
    <w:uiPriority w:val="0"/>
    <w:rPr>
      <w:rFonts w:ascii="Times New Roman" w:hAnsi="Times New Roman" w:eastAsia="宋体" w:cs="Times New Roman"/>
      <w:b/>
      <w:bCs/>
      <w:kern w:val="44"/>
      <w:sz w:val="44"/>
      <w:szCs w:val="44"/>
      <w14:ligatures w14:val="none"/>
    </w:rPr>
  </w:style>
  <w:style w:type="character" w:customStyle="1" w:styleId="77">
    <w:name w:val="标题 3 字符1"/>
    <w:link w:val="6"/>
    <w:qFormat/>
    <w:uiPriority w:val="0"/>
    <w:rPr>
      <w:rFonts w:ascii="Times New Roman" w:hAnsi="Times New Roman" w:eastAsia="宋体" w:cs="Times New Roman"/>
      <w:b/>
      <w:bCs/>
      <w:sz w:val="24"/>
      <w:szCs w:val="32"/>
      <w14:ligatures w14:val="none"/>
    </w:rPr>
  </w:style>
  <w:style w:type="character" w:customStyle="1" w:styleId="78">
    <w:name w:val="正文缩进 字符"/>
    <w:link w:val="16"/>
    <w:qFormat/>
    <w:uiPriority w:val="0"/>
    <w:rPr>
      <w:rFonts w:ascii="Times New Roman" w:hAnsi="Times New Roman" w:eastAsia="宋体" w:cs="Times New Roman"/>
      <w:szCs w:val="24"/>
      <w14:ligatures w14:val="none"/>
    </w:rPr>
  </w:style>
  <w:style w:type="character" w:customStyle="1" w:styleId="79">
    <w:name w:val="文档结构图 字符"/>
    <w:basedOn w:val="56"/>
    <w:link w:val="18"/>
    <w:qFormat/>
    <w:uiPriority w:val="99"/>
    <w:rPr>
      <w:rFonts w:ascii="宋体" w:hAnsi="Times New Roman" w:eastAsia="宋体" w:cs="Times New Roman"/>
      <w:sz w:val="18"/>
      <w:szCs w:val="18"/>
      <w14:ligatures w14:val="none"/>
    </w:rPr>
  </w:style>
  <w:style w:type="character" w:customStyle="1" w:styleId="80">
    <w:name w:val="批注文字 字符"/>
    <w:basedOn w:val="56"/>
    <w:link w:val="20"/>
    <w:qFormat/>
    <w:uiPriority w:val="0"/>
    <w:rPr>
      <w:rFonts w:ascii="Times New Roman" w:hAnsi="Times New Roman" w:eastAsia="宋体" w:cs="Times New Roman"/>
      <w:szCs w:val="24"/>
      <w14:ligatures w14:val="none"/>
    </w:rPr>
  </w:style>
  <w:style w:type="character" w:customStyle="1" w:styleId="81">
    <w:name w:val="正文文本 3 字符"/>
    <w:basedOn w:val="56"/>
    <w:link w:val="21"/>
    <w:qFormat/>
    <w:uiPriority w:val="0"/>
    <w:rPr>
      <w:rFonts w:ascii="宋体" w:hAnsi="Times New Roman" w:eastAsia="宋体" w:cs="Times New Roman"/>
      <w:sz w:val="24"/>
      <w:szCs w:val="20"/>
      <w14:ligatures w14:val="none"/>
    </w:rPr>
  </w:style>
  <w:style w:type="character" w:customStyle="1" w:styleId="82">
    <w:name w:val="正文文本缩进 字符"/>
    <w:basedOn w:val="56"/>
    <w:link w:val="22"/>
    <w:qFormat/>
    <w:uiPriority w:val="99"/>
    <w:rPr>
      <w:rFonts w:ascii="Times New Roman" w:hAnsi="Times New Roman" w:eastAsia="宋体" w:cs="Times New Roman"/>
      <w:szCs w:val="24"/>
      <w14:ligatures w14:val="none"/>
    </w:rPr>
  </w:style>
  <w:style w:type="character" w:customStyle="1" w:styleId="83">
    <w:name w:val="纯文本 字符"/>
    <w:basedOn w:val="56"/>
    <w:link w:val="27"/>
    <w:qFormat/>
    <w:uiPriority w:val="0"/>
    <w:rPr>
      <w:rFonts w:ascii="宋体" w:hAnsi="Courier New" w:eastAsia="宋体" w:cs="Times New Roman"/>
      <w:szCs w:val="21"/>
      <w14:ligatures w14:val="none"/>
    </w:rPr>
  </w:style>
  <w:style w:type="character" w:customStyle="1" w:styleId="84">
    <w:name w:val="日期 字符"/>
    <w:basedOn w:val="56"/>
    <w:link w:val="29"/>
    <w:qFormat/>
    <w:uiPriority w:val="99"/>
    <w:rPr>
      <w:rFonts w:ascii="Times New Roman" w:hAnsi="Times New Roman" w:eastAsia="宋体" w:cs="Times New Roman"/>
      <w:sz w:val="24"/>
      <w:szCs w:val="20"/>
      <w14:ligatures w14:val="none"/>
    </w:rPr>
  </w:style>
  <w:style w:type="character" w:customStyle="1" w:styleId="85">
    <w:name w:val="正文文本缩进 2 字符"/>
    <w:basedOn w:val="56"/>
    <w:link w:val="30"/>
    <w:qFormat/>
    <w:uiPriority w:val="0"/>
    <w:rPr>
      <w:rFonts w:ascii="Times New Roman" w:hAnsi="Times New Roman" w:eastAsia="仿宋_GB2312" w:cs="Times New Roman"/>
      <w:sz w:val="32"/>
      <w:szCs w:val="24"/>
      <w14:ligatures w14:val="none"/>
    </w:rPr>
  </w:style>
  <w:style w:type="character" w:customStyle="1" w:styleId="86">
    <w:name w:val="尾注文本 字符"/>
    <w:basedOn w:val="56"/>
    <w:link w:val="31"/>
    <w:qFormat/>
    <w:uiPriority w:val="0"/>
    <w:rPr>
      <w:rFonts w:ascii="Courier" w:hAnsi="Courier" w:eastAsia="PMingLiU" w:cs="Times New Roman"/>
      <w:snapToGrid w:val="0"/>
      <w:kern w:val="0"/>
      <w:sz w:val="24"/>
      <w:szCs w:val="20"/>
      <w:lang w:val="en-AU" w:eastAsia="en-US"/>
      <w14:ligatures w14:val="none"/>
    </w:rPr>
  </w:style>
  <w:style w:type="character" w:customStyle="1" w:styleId="87">
    <w:name w:val="批注框文本 字符"/>
    <w:basedOn w:val="56"/>
    <w:link w:val="32"/>
    <w:qFormat/>
    <w:uiPriority w:val="99"/>
    <w:rPr>
      <w:rFonts w:ascii="Times New Roman" w:hAnsi="Times New Roman" w:eastAsia="宋体" w:cs="Times New Roman"/>
      <w:sz w:val="18"/>
      <w:szCs w:val="18"/>
      <w14:ligatures w14:val="none"/>
    </w:rPr>
  </w:style>
  <w:style w:type="character" w:customStyle="1" w:styleId="88">
    <w:name w:val="页脚 字符1"/>
    <w:qFormat/>
    <w:uiPriority w:val="99"/>
    <w:rPr>
      <w:kern w:val="2"/>
      <w:sz w:val="18"/>
      <w:szCs w:val="18"/>
    </w:rPr>
  </w:style>
  <w:style w:type="character" w:customStyle="1" w:styleId="89">
    <w:name w:val="脚注文本 字符"/>
    <w:basedOn w:val="56"/>
    <w:link w:val="42"/>
    <w:qFormat/>
    <w:uiPriority w:val="99"/>
    <w:rPr>
      <w:rFonts w:ascii="Courier" w:hAnsi="Courier" w:eastAsia="PMingLiU" w:cs="Times New Roman"/>
      <w:snapToGrid w:val="0"/>
      <w:kern w:val="0"/>
      <w:sz w:val="24"/>
      <w:szCs w:val="20"/>
      <w:lang w:val="en-AU" w:eastAsia="en-US"/>
      <w14:ligatures w14:val="none"/>
    </w:rPr>
  </w:style>
  <w:style w:type="character" w:customStyle="1" w:styleId="90">
    <w:name w:val="正文文本缩进 3 字符"/>
    <w:basedOn w:val="56"/>
    <w:link w:val="45"/>
    <w:qFormat/>
    <w:uiPriority w:val="0"/>
    <w:rPr>
      <w:rFonts w:ascii="Times New Roman" w:hAnsi="Times New Roman" w:eastAsia="宋体" w:cs="Times New Roman"/>
      <w:sz w:val="16"/>
      <w:szCs w:val="16"/>
      <w14:ligatures w14:val="none"/>
    </w:rPr>
  </w:style>
  <w:style w:type="character" w:customStyle="1" w:styleId="91">
    <w:name w:val="正文文本 2 字符"/>
    <w:basedOn w:val="56"/>
    <w:link w:val="3"/>
    <w:qFormat/>
    <w:uiPriority w:val="0"/>
    <w:rPr>
      <w:rFonts w:ascii="楷体_GB2312" w:hAnsi="宋体" w:eastAsia="楷体_GB2312" w:cs="Times New Roman"/>
      <w:color w:val="000000"/>
      <w:kern w:val="0"/>
      <w:szCs w:val="21"/>
      <w14:ligatures w14:val="none"/>
    </w:rPr>
  </w:style>
  <w:style w:type="character" w:customStyle="1" w:styleId="92">
    <w:name w:val="标题 字符"/>
    <w:basedOn w:val="56"/>
    <w:link w:val="51"/>
    <w:qFormat/>
    <w:uiPriority w:val="10"/>
    <w:rPr>
      <w:rFonts w:ascii="Arial" w:hAnsi="Arial" w:eastAsia="宋体" w:cs="Times New Roman"/>
      <w:b/>
      <w:kern w:val="0"/>
      <w:sz w:val="32"/>
      <w:szCs w:val="20"/>
      <w14:ligatures w14:val="none"/>
    </w:rPr>
  </w:style>
  <w:style w:type="character" w:customStyle="1" w:styleId="93">
    <w:name w:val="批注主题 字符"/>
    <w:basedOn w:val="80"/>
    <w:link w:val="52"/>
    <w:qFormat/>
    <w:uiPriority w:val="99"/>
    <w:rPr>
      <w:rFonts w:ascii="Times New Roman" w:hAnsi="Times New Roman" w:eastAsia="宋体" w:cs="Times New Roman"/>
      <w:szCs w:val="24"/>
      <w14:ligatures w14:val="none"/>
    </w:rPr>
  </w:style>
  <w:style w:type="character" w:customStyle="1" w:styleId="94">
    <w:name w:val="Char Char17"/>
    <w:qFormat/>
    <w:uiPriority w:val="0"/>
    <w:rPr>
      <w:rFonts w:ascii="Arial" w:hAnsi="Arial" w:eastAsia="黑体"/>
      <w:b/>
      <w:bCs/>
      <w:sz w:val="28"/>
      <w:szCs w:val="28"/>
      <w:lang w:val="en-US" w:eastAsia="zh-CN" w:bidi="ar-SA"/>
    </w:rPr>
  </w:style>
  <w:style w:type="character" w:customStyle="1" w:styleId="95">
    <w:name w:val="正文缩进 Char1"/>
    <w:qFormat/>
    <w:uiPriority w:val="0"/>
    <w:rPr>
      <w:kern w:val="2"/>
      <w:sz w:val="21"/>
    </w:rPr>
  </w:style>
  <w:style w:type="character" w:customStyle="1" w:styleId="96">
    <w:name w:val="正文首行缩进 2 Char1"/>
    <w:semiHidden/>
    <w:qFormat/>
    <w:uiPriority w:val="99"/>
    <w:rPr>
      <w:kern w:val="2"/>
      <w:sz w:val="21"/>
      <w:szCs w:val="24"/>
    </w:rPr>
  </w:style>
  <w:style w:type="character" w:customStyle="1" w:styleId="97">
    <w:name w:val="应答文本 Char Char"/>
    <w:link w:val="98"/>
    <w:qFormat/>
    <w:uiPriority w:val="0"/>
    <w:rPr>
      <w:szCs w:val="21"/>
    </w:rPr>
  </w:style>
  <w:style w:type="paragraph" w:customStyle="1" w:styleId="98">
    <w:name w:val="应答文本"/>
    <w:basedOn w:val="1"/>
    <w:link w:val="97"/>
    <w:qFormat/>
    <w:uiPriority w:val="0"/>
    <w:pPr>
      <w:adjustRightInd w:val="0"/>
      <w:snapToGrid w:val="0"/>
      <w:spacing w:afterLines="50"/>
      <w:ind w:left="200" w:leftChars="200"/>
    </w:pPr>
    <w:rPr>
      <w:rFonts w:asciiTheme="minorHAnsi" w:hAnsiTheme="minorHAnsi" w:eastAsiaTheme="minorEastAsia" w:cstheme="minorBidi"/>
      <w:szCs w:val="21"/>
      <w14:ligatures w14:val="standardContextual"/>
    </w:rPr>
  </w:style>
  <w:style w:type="character" w:customStyle="1" w:styleId="99">
    <w:name w:val="Char Char1"/>
    <w:qFormat/>
    <w:uiPriority w:val="0"/>
    <w:rPr>
      <w:rFonts w:eastAsia="宋体"/>
      <w:szCs w:val="24"/>
      <w:lang w:bidi="ar-SA"/>
    </w:rPr>
  </w:style>
  <w:style w:type="character" w:customStyle="1" w:styleId="100">
    <w:name w:val="批注文字 Char1"/>
    <w:semiHidden/>
    <w:qFormat/>
    <w:locked/>
    <w:uiPriority w:val="0"/>
    <w:rPr>
      <w:kern w:val="2"/>
      <w:sz w:val="21"/>
      <w:szCs w:val="24"/>
    </w:rPr>
  </w:style>
  <w:style w:type="character" w:customStyle="1" w:styleId="101">
    <w:name w:val="未处理的提及1"/>
    <w:unhideWhenUsed/>
    <w:qFormat/>
    <w:uiPriority w:val="99"/>
    <w:rPr>
      <w:color w:val="605E5C"/>
      <w:shd w:val="clear" w:color="auto" w:fill="E1DFDD"/>
    </w:rPr>
  </w:style>
  <w:style w:type="character" w:customStyle="1" w:styleId="102">
    <w:name w:val="明显参考1"/>
    <w:qFormat/>
    <w:uiPriority w:val="32"/>
    <w:rPr>
      <w:b/>
      <w:bCs/>
      <w:smallCaps/>
      <w:color w:val="C0504D"/>
      <w:spacing w:val="5"/>
      <w:u w:val="single"/>
    </w:rPr>
  </w:style>
  <w:style w:type="character" w:customStyle="1" w:styleId="103">
    <w:name w:val="标题 4 + 宋体 小四 Char Char Char Char Char Char Char Char Char Char Char Char Char1 Char Char Char Char"/>
    <w:qFormat/>
    <w:uiPriority w:val="0"/>
    <w:rPr>
      <w:rFonts w:ascii="宋体" w:hAnsi="宋体" w:eastAsia="宋体"/>
      <w:b/>
      <w:bCs/>
      <w:spacing w:val="4"/>
      <w:kern w:val="2"/>
      <w:sz w:val="24"/>
      <w:szCs w:val="32"/>
      <w:lang w:val="en-US" w:eastAsia="zh-CN" w:bidi="ar-SA"/>
    </w:rPr>
  </w:style>
  <w:style w:type="character" w:customStyle="1" w:styleId="104">
    <w:name w:val="标题 Char1"/>
    <w:qFormat/>
    <w:uiPriority w:val="10"/>
    <w:rPr>
      <w:rFonts w:ascii="Cambria" w:hAnsi="Cambria" w:eastAsia="宋体" w:cs="Times New Roman"/>
      <w:b/>
      <w:bCs/>
      <w:kern w:val="0"/>
      <w:sz w:val="32"/>
      <w:szCs w:val="32"/>
    </w:rPr>
  </w:style>
  <w:style w:type="character" w:customStyle="1" w:styleId="105">
    <w:name w:val="正文文字 Char"/>
    <w:qFormat/>
    <w:uiPriority w:val="0"/>
    <w:rPr>
      <w:rFonts w:ascii="宋体" w:eastAsia="宋体"/>
      <w:snapToGrid w:val="0"/>
      <w:color w:val="000000"/>
      <w:sz w:val="28"/>
      <w:lang w:val="en-US" w:eastAsia="zh-CN" w:bidi="ar-SA"/>
    </w:rPr>
  </w:style>
  <w:style w:type="character" w:customStyle="1" w:styleId="106">
    <w:name w:val="表格 Char Char"/>
    <w:link w:val="107"/>
    <w:qFormat/>
    <w:uiPriority w:val="0"/>
    <w:rPr>
      <w:rFonts w:ascii="宋体" w:hAnsi="宋体"/>
      <w:szCs w:val="28"/>
    </w:rPr>
  </w:style>
  <w:style w:type="paragraph" w:customStyle="1" w:styleId="107">
    <w:name w:val="表格 Char"/>
    <w:basedOn w:val="1"/>
    <w:link w:val="106"/>
    <w:qFormat/>
    <w:uiPriority w:val="0"/>
    <w:pPr>
      <w:spacing w:before="100" w:beforeAutospacing="1" w:after="100" w:afterAutospacing="1"/>
      <w:jc w:val="center"/>
    </w:pPr>
    <w:rPr>
      <w:rFonts w:ascii="宋体" w:hAnsi="宋体" w:eastAsiaTheme="minorEastAsia" w:cstheme="minorBidi"/>
      <w:szCs w:val="28"/>
      <w14:ligatures w14:val="standardContextual"/>
    </w:rPr>
  </w:style>
  <w:style w:type="character" w:customStyle="1" w:styleId="108">
    <w:name w:val="正文文本 3 Char1"/>
    <w:semiHidden/>
    <w:qFormat/>
    <w:uiPriority w:val="99"/>
    <w:rPr>
      <w:rFonts w:ascii="Times New Roman" w:hAnsi="Times New Roman" w:eastAsia="宋体" w:cs="Times New Roman"/>
      <w:kern w:val="0"/>
      <w:sz w:val="16"/>
      <w:szCs w:val="16"/>
    </w:rPr>
  </w:style>
  <w:style w:type="character" w:customStyle="1" w:styleId="109">
    <w:name w:val="Report Text Char"/>
    <w:link w:val="110"/>
    <w:qFormat/>
    <w:uiPriority w:val="0"/>
    <w:rPr>
      <w:rFonts w:ascii="Arial" w:hAnsi="Arial"/>
      <w:kern w:val="28"/>
      <w:sz w:val="22"/>
    </w:rPr>
  </w:style>
  <w:style w:type="paragraph" w:customStyle="1" w:styleId="110">
    <w:name w:val="Report Text"/>
    <w:basedOn w:val="1"/>
    <w:link w:val="109"/>
    <w:qFormat/>
    <w:uiPriority w:val="0"/>
    <w:pPr>
      <w:spacing w:before="240" w:after="120"/>
      <w:ind w:left="1080"/>
    </w:pPr>
    <w:rPr>
      <w:rFonts w:ascii="Arial" w:hAnsi="Arial" w:eastAsiaTheme="minorEastAsia" w:cstheme="minorBidi"/>
      <w:kern w:val="28"/>
      <w:sz w:val="22"/>
      <w:szCs w:val="22"/>
      <w14:ligatures w14:val="standardContextual"/>
    </w:rPr>
  </w:style>
  <w:style w:type="character" w:customStyle="1" w:styleId="111">
    <w:name w:val="正文文本 2 Char1"/>
    <w:semiHidden/>
    <w:qFormat/>
    <w:uiPriority w:val="99"/>
    <w:rPr>
      <w:rFonts w:ascii="Times New Roman" w:hAnsi="Times New Roman" w:eastAsia="宋体" w:cs="Times New Roman"/>
      <w:kern w:val="0"/>
      <w:szCs w:val="20"/>
    </w:rPr>
  </w:style>
  <w:style w:type="character" w:customStyle="1" w:styleId="112">
    <w:name w:val="Char Char19"/>
    <w:qFormat/>
    <w:uiPriority w:val="0"/>
    <w:rPr>
      <w:rFonts w:ascii="华文细黑" w:hAnsi="Arial" w:eastAsia="华文细黑"/>
      <w:b/>
      <w:bCs/>
      <w:sz w:val="44"/>
      <w:szCs w:val="32"/>
      <w:lang w:val="en-US" w:eastAsia="zh-CN" w:bidi="ar-SA"/>
    </w:rPr>
  </w:style>
  <w:style w:type="character" w:customStyle="1" w:styleId="113">
    <w:name w:val="列表框2 Char"/>
    <w:link w:val="114"/>
    <w:qFormat/>
    <w:uiPriority w:val="0"/>
    <w:rPr>
      <w:rFonts w:ascii="宋体" w:hAnsi="宋体"/>
      <w:szCs w:val="24"/>
    </w:rPr>
  </w:style>
  <w:style w:type="paragraph" w:customStyle="1" w:styleId="114">
    <w:name w:val="列表框2"/>
    <w:basedOn w:val="115"/>
    <w:link w:val="113"/>
    <w:qFormat/>
    <w:uiPriority w:val="0"/>
    <w:pPr>
      <w:tabs>
        <w:tab w:val="left" w:pos="1682"/>
        <w:tab w:val="left" w:pos="2084"/>
      </w:tabs>
      <w:ind w:left="2118" w:leftChars="808" w:hanging="420"/>
    </w:pPr>
    <w:rPr>
      <w:rFonts w:eastAsiaTheme="minorEastAsia" w:cstheme="minorBidi"/>
      <w:kern w:val="2"/>
      <w:szCs w:val="24"/>
      <w14:ligatures w14:val="standardContextual"/>
    </w:rPr>
  </w:style>
  <w:style w:type="paragraph" w:customStyle="1" w:styleId="115">
    <w:name w:val="列表框1"/>
    <w:basedOn w:val="1"/>
    <w:link w:val="116"/>
    <w:qFormat/>
    <w:uiPriority w:val="0"/>
    <w:pPr>
      <w:tabs>
        <w:tab w:val="left" w:pos="1682"/>
      </w:tabs>
      <w:adjustRightInd w:val="0"/>
      <w:snapToGrid w:val="0"/>
      <w:ind w:left="1748" w:hanging="434"/>
    </w:pPr>
    <w:rPr>
      <w:rFonts w:ascii="宋体" w:hAnsi="宋体"/>
      <w:kern w:val="0"/>
      <w:szCs w:val="21"/>
    </w:rPr>
  </w:style>
  <w:style w:type="character" w:customStyle="1" w:styleId="116">
    <w:name w:val="列表框1 Char Char"/>
    <w:link w:val="115"/>
    <w:qFormat/>
    <w:uiPriority w:val="0"/>
    <w:rPr>
      <w:rFonts w:ascii="宋体" w:hAnsi="宋体" w:eastAsia="宋体" w:cs="Times New Roman"/>
      <w:kern w:val="0"/>
      <w:szCs w:val="21"/>
      <w14:ligatures w14:val="none"/>
    </w:rPr>
  </w:style>
  <w:style w:type="character" w:customStyle="1" w:styleId="117">
    <w:name w:val="Char Char7"/>
    <w:qFormat/>
    <w:uiPriority w:val="0"/>
    <w:rPr>
      <w:rFonts w:eastAsia="宋体"/>
      <w:kern w:val="2"/>
      <w:sz w:val="18"/>
      <w:szCs w:val="18"/>
      <w:lang w:val="en-US" w:eastAsia="zh-CN" w:bidi="ar-SA"/>
    </w:rPr>
  </w:style>
  <w:style w:type="character" w:customStyle="1" w:styleId="118">
    <w:name w:val="样式 标题 3 + 黑色 Char"/>
    <w:link w:val="119"/>
    <w:qFormat/>
    <w:uiPriority w:val="0"/>
    <w:rPr>
      <w:color w:val="FF0000"/>
      <w:sz w:val="24"/>
    </w:rPr>
  </w:style>
  <w:style w:type="paragraph" w:customStyle="1" w:styleId="119">
    <w:name w:val="样式 标题 3 + 黑色"/>
    <w:basedOn w:val="6"/>
    <w:link w:val="118"/>
    <w:qFormat/>
    <w:uiPriority w:val="0"/>
    <w:pPr>
      <w:keepNext w:val="0"/>
      <w:keepLines w:val="0"/>
      <w:tabs>
        <w:tab w:val="left" w:pos="1200"/>
        <w:tab w:val="left" w:pos="1260"/>
      </w:tabs>
      <w:spacing w:before="0" w:after="0"/>
      <w:ind w:left="1200" w:hanging="1200" w:hangingChars="500"/>
    </w:pPr>
    <w:rPr>
      <w:rFonts w:asciiTheme="minorHAnsi" w:hAnsiTheme="minorHAnsi" w:eastAsiaTheme="minorEastAsia" w:cstheme="minorBidi"/>
      <w:b w:val="0"/>
      <w:bCs w:val="0"/>
      <w:color w:val="FF0000"/>
      <w:szCs w:val="22"/>
      <w14:ligatures w14:val="standardContextual"/>
    </w:rPr>
  </w:style>
  <w:style w:type="character" w:customStyle="1" w:styleId="120">
    <w:name w:val="已访问的超链接1"/>
    <w:qFormat/>
    <w:uiPriority w:val="99"/>
    <w:rPr>
      <w:color w:val="800080"/>
      <w:u w:val="single"/>
    </w:rPr>
  </w:style>
  <w:style w:type="character" w:customStyle="1" w:styleId="121">
    <w:name w:val="普通文字 Char Char"/>
    <w:qFormat/>
    <w:uiPriority w:val="0"/>
    <w:rPr>
      <w:rFonts w:ascii="宋体" w:hAnsi="Courier New" w:eastAsia="宋体" w:cs="Courier New"/>
      <w:kern w:val="2"/>
      <w:sz w:val="21"/>
      <w:szCs w:val="21"/>
      <w:lang w:val="en-US" w:eastAsia="zh-CN" w:bidi="ar-SA"/>
    </w:rPr>
  </w:style>
  <w:style w:type="character" w:customStyle="1" w:styleId="122">
    <w:name w:val="樣式 標題 3 + (中文) MS Gothic 10.5 點 Char Char Char Char Char Char Char Char Char Char Char Char"/>
    <w:qFormat/>
    <w:uiPriority w:val="0"/>
    <w:rPr>
      <w:rFonts w:hAnsi="PMingLiU" w:eastAsia="MS Gothic"/>
      <w:bCs/>
      <w:snapToGrid w:val="0"/>
      <w:kern w:val="2"/>
      <w:sz w:val="24"/>
      <w:szCs w:val="24"/>
      <w:lang w:val="en-AU" w:eastAsia="zh-TW" w:bidi="ar-SA"/>
    </w:rPr>
  </w:style>
  <w:style w:type="character" w:customStyle="1" w:styleId="123">
    <w:name w:val="批注框文本 Char1"/>
    <w:semiHidden/>
    <w:qFormat/>
    <w:uiPriority w:val="99"/>
    <w:rPr>
      <w:rFonts w:ascii="Times New Roman" w:hAnsi="Times New Roman" w:eastAsia="宋体" w:cs="Times New Roman"/>
      <w:kern w:val="0"/>
      <w:sz w:val="18"/>
      <w:szCs w:val="18"/>
    </w:rPr>
  </w:style>
  <w:style w:type="character" w:customStyle="1" w:styleId="124">
    <w:name w:val="文档结构图 Char1"/>
    <w:semiHidden/>
    <w:qFormat/>
    <w:uiPriority w:val="99"/>
    <w:rPr>
      <w:rFonts w:ascii="宋体" w:hAnsi="Times New Roman" w:eastAsia="宋体" w:cs="Times New Roman"/>
      <w:kern w:val="0"/>
      <w:sz w:val="18"/>
      <w:szCs w:val="18"/>
    </w:rPr>
  </w:style>
  <w:style w:type="character" w:customStyle="1" w:styleId="125">
    <w:name w:val="未处理的提及111"/>
    <w:unhideWhenUsed/>
    <w:qFormat/>
    <w:uiPriority w:val="99"/>
    <w:rPr>
      <w:color w:val="605E5C"/>
      <w:shd w:val="clear" w:color="auto" w:fill="E1DFDD"/>
    </w:rPr>
  </w:style>
  <w:style w:type="character" w:customStyle="1" w:styleId="126">
    <w:name w:val="无编号正文 Char"/>
    <w:link w:val="127"/>
    <w:qFormat/>
    <w:uiPriority w:val="0"/>
    <w:rPr>
      <w:rFonts w:ascii="宋体" w:hAnsi="宋体"/>
      <w:sz w:val="24"/>
      <w:szCs w:val="24"/>
    </w:rPr>
  </w:style>
  <w:style w:type="paragraph" w:customStyle="1" w:styleId="127">
    <w:name w:val="无编号正文"/>
    <w:basedOn w:val="2"/>
    <w:next w:val="1"/>
    <w:link w:val="126"/>
    <w:qFormat/>
    <w:uiPriority w:val="0"/>
    <w:pPr>
      <w:spacing w:after="0"/>
      <w:ind w:left="200" w:leftChars="200"/>
    </w:pPr>
    <w:rPr>
      <w:rFonts w:ascii="宋体" w:hAnsi="宋体" w:eastAsiaTheme="minorEastAsia" w:cstheme="minorBidi"/>
      <w:sz w:val="24"/>
      <w14:ligatures w14:val="standardContextual"/>
    </w:rPr>
  </w:style>
  <w:style w:type="character" w:customStyle="1" w:styleId="128">
    <w:name w:val="日期 Char1"/>
    <w:semiHidden/>
    <w:qFormat/>
    <w:uiPriority w:val="99"/>
    <w:rPr>
      <w:rFonts w:ascii="Times New Roman" w:hAnsi="Times New Roman" w:eastAsia="宋体" w:cs="Times New Roman"/>
      <w:kern w:val="0"/>
      <w:szCs w:val="20"/>
    </w:rPr>
  </w:style>
  <w:style w:type="character" w:customStyle="1" w:styleId="129">
    <w:name w:val="正文文本缩进 Char2"/>
    <w:semiHidden/>
    <w:qFormat/>
    <w:uiPriority w:val="99"/>
    <w:rPr>
      <w:rFonts w:ascii="Times New Roman" w:hAnsi="Times New Roman" w:eastAsia="宋体" w:cs="Times New Roman"/>
      <w:szCs w:val="24"/>
    </w:rPr>
  </w:style>
  <w:style w:type="character" w:customStyle="1" w:styleId="130">
    <w:name w:val="text"/>
    <w:qFormat/>
    <w:uiPriority w:val="0"/>
    <w:rPr>
      <w:rFonts w:ascii="仿宋_GB2312" w:eastAsia="仿宋_GB2312"/>
      <w:b/>
      <w:kern w:val="2"/>
      <w:sz w:val="32"/>
      <w:szCs w:val="32"/>
      <w:lang w:val="en-US" w:eastAsia="zh-CN" w:bidi="ar-SA"/>
    </w:rPr>
  </w:style>
  <w:style w:type="character" w:customStyle="1" w:styleId="131">
    <w:name w:val="脚注文本 Char1"/>
    <w:semiHidden/>
    <w:qFormat/>
    <w:uiPriority w:val="99"/>
    <w:rPr>
      <w:kern w:val="2"/>
      <w:sz w:val="18"/>
      <w:szCs w:val="18"/>
    </w:rPr>
  </w:style>
  <w:style w:type="character" w:customStyle="1" w:styleId="132">
    <w:name w:val="批注主题 Char1"/>
    <w:semiHidden/>
    <w:qFormat/>
    <w:uiPriority w:val="99"/>
    <w:rPr>
      <w:rFonts w:ascii="Times New Roman" w:hAnsi="Times New Roman" w:eastAsia="宋体" w:cs="Times New Roman"/>
      <w:b/>
      <w:bCs/>
      <w:kern w:val="0"/>
      <w:sz w:val="21"/>
      <w:szCs w:val="20"/>
    </w:rPr>
  </w:style>
  <w:style w:type="character" w:customStyle="1" w:styleId="133">
    <w:name w:val="Char Char15"/>
    <w:qFormat/>
    <w:uiPriority w:val="0"/>
    <w:rPr>
      <w:rFonts w:ascii="Arial" w:hAnsi="Arial" w:eastAsia="黑体"/>
      <w:b/>
      <w:bCs/>
      <w:sz w:val="24"/>
      <w:szCs w:val="24"/>
      <w:lang w:val="en-US" w:eastAsia="zh-CN" w:bidi="ar-SA"/>
    </w:rPr>
  </w:style>
  <w:style w:type="character" w:customStyle="1" w:styleId="134">
    <w:name w:val="三级标题康"/>
    <w:qFormat/>
    <w:uiPriority w:val="0"/>
    <w:rPr>
      <w:rFonts w:ascii="Arial" w:hAnsi="Arial" w:eastAsia="宋体" w:cs="Times New Roman"/>
      <w:b/>
      <w:bCs/>
      <w:sz w:val="21"/>
      <w:szCs w:val="32"/>
    </w:rPr>
  </w:style>
  <w:style w:type="character" w:customStyle="1" w:styleId="135">
    <w:name w:val="样式 表内文字"/>
    <w:qFormat/>
    <w:uiPriority w:val="0"/>
    <w:rPr>
      <w:rFonts w:eastAsia="宋体"/>
      <w:snapToGrid/>
      <w:color w:val="000000"/>
      <w:spacing w:val="0"/>
      <w:kern w:val="0"/>
      <w:position w:val="0"/>
      <w:sz w:val="20"/>
      <w:szCs w:val="20"/>
      <w:u w:val="none"/>
    </w:rPr>
  </w:style>
  <w:style w:type="character" w:customStyle="1" w:styleId="136">
    <w:name w:val="Char Char13"/>
    <w:qFormat/>
    <w:uiPriority w:val="0"/>
    <w:rPr>
      <w:rFonts w:ascii="Arial" w:hAnsi="Arial" w:eastAsia="黑体"/>
      <w:sz w:val="24"/>
      <w:szCs w:val="24"/>
      <w:lang w:val="en-US" w:eastAsia="zh-CN" w:bidi="ar-SA"/>
    </w:rPr>
  </w:style>
  <w:style w:type="character" w:customStyle="1" w:styleId="137">
    <w:name w:val="Char Char11"/>
    <w:qFormat/>
    <w:uiPriority w:val="0"/>
    <w:rPr>
      <w:rFonts w:eastAsia="宋体"/>
      <w:b/>
      <w:bCs/>
      <w:kern w:val="2"/>
      <w:sz w:val="21"/>
      <w:szCs w:val="24"/>
      <w:lang w:val="en-US" w:eastAsia="zh-CN" w:bidi="ar-SA"/>
    </w:rPr>
  </w:style>
  <w:style w:type="character" w:customStyle="1" w:styleId="138">
    <w:name w:val="标题 3 Char1"/>
    <w:qFormat/>
    <w:uiPriority w:val="0"/>
    <w:rPr>
      <w:b/>
      <w:bCs/>
      <w:sz w:val="32"/>
      <w:szCs w:val="32"/>
    </w:rPr>
  </w:style>
  <w:style w:type="character" w:customStyle="1" w:styleId="139">
    <w:name w:val="图形布置 Char"/>
    <w:link w:val="140"/>
    <w:qFormat/>
    <w:uiPriority w:val="0"/>
    <w:rPr>
      <w:rFonts w:ascii="Arial" w:hAnsi="Arial" w:cs="Arial"/>
    </w:rPr>
  </w:style>
  <w:style w:type="paragraph" w:customStyle="1" w:styleId="140">
    <w:name w:val="图形布置"/>
    <w:basedOn w:val="141"/>
    <w:link w:val="139"/>
    <w:qFormat/>
    <w:uiPriority w:val="0"/>
    <w:rPr>
      <w:rFonts w:cs="Arial" w:eastAsiaTheme="minorEastAsia"/>
      <w:kern w:val="2"/>
      <w:szCs w:val="22"/>
      <w14:ligatures w14:val="standardContextual"/>
    </w:rPr>
  </w:style>
  <w:style w:type="paragraph" w:customStyle="1" w:styleId="141">
    <w:name w:val="图形题注"/>
    <w:basedOn w:val="17"/>
    <w:link w:val="142"/>
    <w:qFormat/>
    <w:uiPriority w:val="0"/>
    <w:pPr>
      <w:adjustRightInd w:val="0"/>
      <w:snapToGrid w:val="0"/>
      <w:spacing w:afterLines="50"/>
      <w:jc w:val="center"/>
    </w:pPr>
    <w:rPr>
      <w:rFonts w:eastAsia="宋体" w:cs="Times New Roman"/>
      <w:kern w:val="0"/>
      <w:sz w:val="21"/>
    </w:rPr>
  </w:style>
  <w:style w:type="character" w:customStyle="1" w:styleId="142">
    <w:name w:val="图形题注 Char"/>
    <w:link w:val="141"/>
    <w:qFormat/>
    <w:uiPriority w:val="0"/>
    <w:rPr>
      <w:rFonts w:ascii="Arial" w:hAnsi="Arial" w:eastAsia="宋体" w:cs="Times New Roman"/>
      <w:kern w:val="0"/>
      <w:szCs w:val="20"/>
      <w14:ligatures w14:val="none"/>
    </w:rPr>
  </w:style>
  <w:style w:type="character" w:customStyle="1" w:styleId="143">
    <w:name w:val="Char Char12"/>
    <w:qFormat/>
    <w:uiPriority w:val="0"/>
    <w:rPr>
      <w:rFonts w:ascii="Arial" w:hAnsi="Arial" w:eastAsia="黑体"/>
      <w:sz w:val="21"/>
      <w:szCs w:val="21"/>
      <w:lang w:val="en-US" w:eastAsia="zh-CN" w:bidi="ar-SA"/>
    </w:rPr>
  </w:style>
  <w:style w:type="character" w:customStyle="1" w:styleId="144">
    <w:name w:val="正文文本缩进 2 Char1"/>
    <w:semiHidden/>
    <w:qFormat/>
    <w:uiPriority w:val="99"/>
    <w:rPr>
      <w:rFonts w:ascii="Times New Roman" w:hAnsi="Times New Roman" w:eastAsia="宋体" w:cs="Times New Roman"/>
      <w:kern w:val="0"/>
      <w:szCs w:val="20"/>
    </w:rPr>
  </w:style>
  <w:style w:type="character" w:customStyle="1" w:styleId="145">
    <w:name w:val="正文文本缩进 Char1"/>
    <w:semiHidden/>
    <w:qFormat/>
    <w:uiPriority w:val="99"/>
    <w:rPr>
      <w:rFonts w:ascii="Times New Roman" w:hAnsi="Times New Roman" w:eastAsia="宋体" w:cs="Times New Roman"/>
      <w:kern w:val="0"/>
      <w:szCs w:val="20"/>
    </w:rPr>
  </w:style>
  <w:style w:type="character" w:customStyle="1" w:styleId="146">
    <w:name w:val="正文首行缩进 Char"/>
    <w:link w:val="147"/>
    <w:qFormat/>
    <w:uiPriority w:val="0"/>
    <w:rPr>
      <w:szCs w:val="24"/>
    </w:rPr>
  </w:style>
  <w:style w:type="paragraph" w:customStyle="1" w:styleId="147">
    <w:name w:val="正文首行缩进1"/>
    <w:basedOn w:val="2"/>
    <w:link w:val="146"/>
    <w:qFormat/>
    <w:uiPriority w:val="0"/>
    <w:pPr>
      <w:ind w:firstLine="100" w:firstLineChars="100"/>
    </w:pPr>
    <w:rPr>
      <w:rFonts w:asciiTheme="minorHAnsi" w:hAnsiTheme="minorHAnsi" w:eastAsiaTheme="minorEastAsia" w:cstheme="minorBidi"/>
      <w14:ligatures w14:val="standardContextual"/>
    </w:rPr>
  </w:style>
  <w:style w:type="character" w:customStyle="1" w:styleId="148">
    <w:name w:val="页脚 Char1"/>
    <w:semiHidden/>
    <w:qFormat/>
    <w:uiPriority w:val="99"/>
    <w:rPr>
      <w:rFonts w:ascii="Times New Roman" w:hAnsi="Times New Roman" w:eastAsia="宋体" w:cs="Times New Roman"/>
      <w:kern w:val="0"/>
      <w:sz w:val="18"/>
      <w:szCs w:val="18"/>
    </w:rPr>
  </w:style>
  <w:style w:type="character" w:customStyle="1" w:styleId="149">
    <w:name w:val="Char Char10"/>
    <w:qFormat/>
    <w:uiPriority w:val="0"/>
    <w:rPr>
      <w:rFonts w:eastAsia="仿宋_GB2312"/>
      <w:kern w:val="2"/>
      <w:sz w:val="32"/>
      <w:szCs w:val="24"/>
      <w:lang w:val="en-US" w:eastAsia="zh-CN" w:bidi="ar-SA"/>
    </w:rPr>
  </w:style>
  <w:style w:type="character" w:customStyle="1" w:styleId="150">
    <w:name w:val="纯文本 Char1"/>
    <w:qFormat/>
    <w:uiPriority w:val="99"/>
    <w:rPr>
      <w:rFonts w:ascii="宋体" w:hAnsi="Courier New" w:eastAsia="宋体" w:cs="Times New Roman"/>
      <w:szCs w:val="20"/>
    </w:rPr>
  </w:style>
  <w:style w:type="character" w:customStyle="1" w:styleId="151">
    <w:name w:val="正文文本缩进 3 Char1"/>
    <w:semiHidden/>
    <w:qFormat/>
    <w:uiPriority w:val="99"/>
    <w:rPr>
      <w:rFonts w:ascii="Times New Roman" w:hAnsi="Times New Roman" w:eastAsia="宋体" w:cs="Times New Roman"/>
      <w:kern w:val="0"/>
      <w:sz w:val="16"/>
      <w:szCs w:val="16"/>
    </w:rPr>
  </w:style>
  <w:style w:type="character" w:customStyle="1" w:styleId="152">
    <w:name w:val="正文首行缩进 2 Char"/>
    <w:link w:val="153"/>
    <w:qFormat/>
    <w:uiPriority w:val="0"/>
    <w:rPr>
      <w:szCs w:val="24"/>
    </w:rPr>
  </w:style>
  <w:style w:type="paragraph" w:customStyle="1" w:styleId="153">
    <w:name w:val="正文首行缩进 21"/>
    <w:basedOn w:val="22"/>
    <w:link w:val="152"/>
    <w:qFormat/>
    <w:uiPriority w:val="0"/>
    <w:pPr>
      <w:adjustRightInd w:val="0"/>
      <w:spacing w:line="312" w:lineRule="atLeast"/>
      <w:textAlignment w:val="baseline"/>
    </w:pPr>
    <w:rPr>
      <w:rFonts w:asciiTheme="minorHAnsi" w:hAnsiTheme="minorHAnsi" w:eastAsiaTheme="minorEastAsia" w:cstheme="minorBidi"/>
      <w14:ligatures w14:val="standardContextual"/>
    </w:rPr>
  </w:style>
  <w:style w:type="character" w:customStyle="1" w:styleId="154">
    <w:name w:val="样式4 Char"/>
    <w:link w:val="155"/>
    <w:qFormat/>
    <w:uiPriority w:val="0"/>
    <w:rPr>
      <w:rFonts w:ascii="宋体"/>
      <w:sz w:val="18"/>
      <w:szCs w:val="18"/>
    </w:rPr>
  </w:style>
  <w:style w:type="paragraph" w:customStyle="1" w:styleId="155">
    <w:name w:val="样式4"/>
    <w:basedOn w:val="34"/>
    <w:link w:val="154"/>
    <w:qFormat/>
    <w:uiPriority w:val="0"/>
    <w:pPr>
      <w:autoSpaceDE w:val="0"/>
      <w:autoSpaceDN w:val="0"/>
      <w:adjustRightInd w:val="0"/>
      <w:snapToGrid/>
      <w:textAlignment w:val="baseline"/>
    </w:pPr>
    <w:rPr>
      <w:rFonts w:ascii="宋体" w:hAnsiTheme="minorHAnsi" w:eastAsiaTheme="minorEastAsia" w:cstheme="minorBidi"/>
      <w14:ligatures w14:val="standardContextual"/>
    </w:rPr>
  </w:style>
  <w:style w:type="character" w:customStyle="1" w:styleId="156">
    <w:name w:val="Char Char Char Char1"/>
    <w:link w:val="157"/>
    <w:qFormat/>
    <w:uiPriority w:val="0"/>
    <w:rPr>
      <w:rFonts w:ascii="仿宋_GB2312" w:eastAsia="仿宋_GB2312"/>
      <w:b/>
      <w:sz w:val="32"/>
      <w:szCs w:val="32"/>
    </w:rPr>
  </w:style>
  <w:style w:type="paragraph" w:customStyle="1" w:styleId="157">
    <w:name w:val="Char Char Char1"/>
    <w:basedOn w:val="1"/>
    <w:link w:val="156"/>
    <w:qFormat/>
    <w:uiPriority w:val="0"/>
    <w:rPr>
      <w:rFonts w:ascii="仿宋_GB2312" w:eastAsia="仿宋_GB2312" w:hAnsiTheme="minorHAnsi" w:cstheme="minorBidi"/>
      <w:b/>
      <w:sz w:val="32"/>
      <w:szCs w:val="32"/>
      <w14:ligatures w14:val="standardContextual"/>
    </w:rPr>
  </w:style>
  <w:style w:type="character" w:customStyle="1" w:styleId="158">
    <w:name w:val="Char Char16"/>
    <w:qFormat/>
    <w:uiPriority w:val="0"/>
    <w:rPr>
      <w:rFonts w:eastAsia="宋体"/>
      <w:b/>
      <w:bCs/>
      <w:sz w:val="28"/>
      <w:szCs w:val="28"/>
      <w:lang w:val="en-US" w:eastAsia="zh-CN" w:bidi="ar-SA"/>
    </w:rPr>
  </w:style>
  <w:style w:type="character" w:customStyle="1" w:styleId="159">
    <w:name w:val="页眉 Char1"/>
    <w:semiHidden/>
    <w:qFormat/>
    <w:uiPriority w:val="99"/>
    <w:rPr>
      <w:rFonts w:ascii="Times New Roman" w:hAnsi="Times New Roman" w:eastAsia="宋体" w:cs="Times New Roman"/>
      <w:kern w:val="0"/>
      <w:sz w:val="18"/>
      <w:szCs w:val="18"/>
    </w:rPr>
  </w:style>
  <w:style w:type="character" w:customStyle="1" w:styleId="160">
    <w:name w:val="列出段落 Char"/>
    <w:link w:val="161"/>
    <w:qFormat/>
    <w:uiPriority w:val="0"/>
    <w:rPr>
      <w:rFonts w:ascii="Calibri" w:hAnsi="Calibri"/>
    </w:rPr>
  </w:style>
  <w:style w:type="paragraph" w:customStyle="1" w:styleId="161">
    <w:name w:val="列出段落2"/>
    <w:basedOn w:val="1"/>
    <w:link w:val="160"/>
    <w:qFormat/>
    <w:uiPriority w:val="0"/>
    <w:rPr>
      <w:rFonts w:ascii="Calibri" w:hAnsi="Calibri" w:eastAsiaTheme="minorEastAsia" w:cstheme="minorBidi"/>
      <w:szCs w:val="22"/>
      <w14:ligatures w14:val="standardContextual"/>
    </w:rPr>
  </w:style>
  <w:style w:type="character" w:customStyle="1" w:styleId="162">
    <w:name w:val="纯文本 Char2"/>
    <w:qFormat/>
    <w:uiPriority w:val="0"/>
    <w:rPr>
      <w:rFonts w:ascii="宋体" w:hAnsi="Courier New" w:eastAsia="宋体"/>
      <w:kern w:val="2"/>
      <w:sz w:val="21"/>
      <w:lang w:val="en-US" w:eastAsia="zh-CN"/>
    </w:rPr>
  </w:style>
  <w:style w:type="character" w:customStyle="1" w:styleId="163">
    <w:name w:val="font161"/>
    <w:qFormat/>
    <w:uiPriority w:val="0"/>
    <w:rPr>
      <w:b/>
      <w:bCs/>
      <w:sz w:val="32"/>
      <w:szCs w:val="32"/>
    </w:rPr>
  </w:style>
  <w:style w:type="character" w:customStyle="1" w:styleId="164">
    <w:name w:val="Char Char8"/>
    <w:qFormat/>
    <w:uiPriority w:val="0"/>
    <w:rPr>
      <w:rFonts w:ascii="宋体" w:hAnsi="宋体" w:eastAsia="宋体"/>
      <w:kern w:val="2"/>
      <w:sz w:val="21"/>
      <w:szCs w:val="24"/>
      <w:lang w:val="en-US" w:eastAsia="zh-CN" w:bidi="ar-SA"/>
    </w:rPr>
  </w:style>
  <w:style w:type="character" w:customStyle="1" w:styleId="165">
    <w:name w:val="样式 超链接 + 仿宋_GB2312 小四 加粗"/>
    <w:qFormat/>
    <w:uiPriority w:val="0"/>
    <w:rPr>
      <w:rFonts w:ascii="仿宋_GB2312" w:hAnsi="仿宋_GB2312" w:eastAsia="黑体"/>
      <w:b/>
      <w:bCs/>
      <w:color w:val="auto"/>
      <w:sz w:val="24"/>
      <w:u w:val="none"/>
    </w:rPr>
  </w:style>
  <w:style w:type="character" w:customStyle="1" w:styleId="166">
    <w:name w:val="批注文字 Char2"/>
    <w:qFormat/>
    <w:uiPriority w:val="0"/>
    <w:rPr>
      <w:kern w:val="2"/>
      <w:sz w:val="21"/>
      <w:szCs w:val="24"/>
    </w:rPr>
  </w:style>
  <w:style w:type="character" w:customStyle="1" w:styleId="167">
    <w:name w:val="Char Char18"/>
    <w:qFormat/>
    <w:uiPriority w:val="0"/>
    <w:rPr>
      <w:rFonts w:eastAsia="华文细黑"/>
      <w:bCs/>
      <w:sz w:val="36"/>
      <w:szCs w:val="32"/>
      <w:lang w:val="en-US" w:eastAsia="zh-CN" w:bidi="ar-SA"/>
    </w:rPr>
  </w:style>
  <w:style w:type="character" w:customStyle="1" w:styleId="168">
    <w:name w:val="正文文本 Char1"/>
    <w:semiHidden/>
    <w:qFormat/>
    <w:uiPriority w:val="99"/>
    <w:rPr>
      <w:rFonts w:ascii="Times New Roman" w:hAnsi="Times New Roman" w:eastAsia="宋体" w:cs="Times New Roman"/>
      <w:kern w:val="0"/>
      <w:szCs w:val="20"/>
    </w:rPr>
  </w:style>
  <w:style w:type="character" w:customStyle="1" w:styleId="169">
    <w:name w:val="Char Char14"/>
    <w:qFormat/>
    <w:uiPriority w:val="0"/>
    <w:rPr>
      <w:rFonts w:eastAsia="宋体"/>
      <w:b/>
      <w:bCs/>
      <w:sz w:val="24"/>
      <w:szCs w:val="24"/>
      <w:lang w:val="en-US" w:eastAsia="zh-CN" w:bidi="ar-SA"/>
    </w:rPr>
  </w:style>
  <w:style w:type="character" w:customStyle="1" w:styleId="170">
    <w:name w:val="Char Char6"/>
    <w:qFormat/>
    <w:uiPriority w:val="0"/>
    <w:rPr>
      <w:rFonts w:eastAsia="宋体"/>
      <w:sz w:val="18"/>
      <w:szCs w:val="18"/>
      <w:lang w:bidi="ar-SA"/>
    </w:rPr>
  </w:style>
  <w:style w:type="character" w:customStyle="1" w:styleId="171">
    <w:name w:val="正文首行缩进 Char1"/>
    <w:semiHidden/>
    <w:qFormat/>
    <w:uiPriority w:val="99"/>
    <w:rPr>
      <w:rFonts w:ascii="Times New Roman" w:hAnsi="Times New Roman" w:eastAsia="宋体" w:cs="Times New Roman"/>
      <w:kern w:val="0"/>
      <w:szCs w:val="20"/>
    </w:rPr>
  </w:style>
  <w:style w:type="character" w:customStyle="1" w:styleId="172">
    <w:name w:val="Char Char20"/>
    <w:qFormat/>
    <w:uiPriority w:val="0"/>
    <w:rPr>
      <w:rFonts w:ascii="华文细黑" w:eastAsia="华文细黑"/>
      <w:b/>
      <w:bCs/>
      <w:snapToGrid w:val="0"/>
      <w:sz w:val="52"/>
      <w:szCs w:val="44"/>
      <w:lang w:val="en-US" w:eastAsia="zh-CN" w:bidi="ar-SA"/>
    </w:rPr>
  </w:style>
  <w:style w:type="character" w:customStyle="1" w:styleId="173">
    <w:name w:val="Char Char2"/>
    <w:qFormat/>
    <w:uiPriority w:val="0"/>
    <w:rPr>
      <w:rFonts w:ascii="楷体_GB2312" w:hAnsi="宋体" w:eastAsia="楷体_GB2312"/>
      <w:color w:val="000000"/>
      <w:sz w:val="21"/>
      <w:szCs w:val="21"/>
      <w:lang w:val="en-US" w:eastAsia="zh-CN" w:bidi="ar-SA"/>
    </w:rPr>
  </w:style>
  <w:style w:type="character" w:customStyle="1" w:styleId="174">
    <w:name w:val="Char Char9"/>
    <w:qFormat/>
    <w:uiPriority w:val="0"/>
    <w:rPr>
      <w:rFonts w:ascii="宋体" w:hAnsi="宋体" w:eastAsia="宋体"/>
      <w:kern w:val="2"/>
      <w:sz w:val="24"/>
      <w:lang w:val="en-US" w:eastAsia="zh-CN" w:bidi="ar-SA"/>
    </w:rPr>
  </w:style>
  <w:style w:type="character" w:customStyle="1" w:styleId="175">
    <w:name w:val="尾注文本 Char1"/>
    <w:semiHidden/>
    <w:qFormat/>
    <w:uiPriority w:val="99"/>
    <w:rPr>
      <w:kern w:val="2"/>
      <w:sz w:val="21"/>
      <w:szCs w:val="24"/>
    </w:rPr>
  </w:style>
  <w:style w:type="paragraph" w:customStyle="1" w:styleId="176">
    <w:name w:val="xl90"/>
    <w:basedOn w:val="1"/>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styleId="177">
    <w:name w:val="No Spacing"/>
    <w:qFormat/>
    <w:uiPriority w:val="1"/>
    <w:pPr>
      <w:widowControl w:val="0"/>
      <w:spacing w:after="160" w:line="360" w:lineRule="auto"/>
      <w:ind w:firstLine="420"/>
      <w:jc w:val="both"/>
    </w:pPr>
    <w:rPr>
      <w:rFonts w:ascii="Calibri" w:hAnsi="Calibri" w:eastAsia="宋体" w:cs="Times New Roman"/>
      <w:kern w:val="2"/>
      <w:sz w:val="21"/>
      <w:szCs w:val="22"/>
      <w:lang w:val="en-US" w:eastAsia="zh-CN" w:bidi="ar-SA"/>
    </w:rPr>
  </w:style>
  <w:style w:type="paragraph" w:customStyle="1" w:styleId="178">
    <w:name w:val="USE 5"/>
    <w:basedOn w:val="1"/>
    <w:qFormat/>
    <w:uiPriority w:val="0"/>
    <w:pPr>
      <w:ind w:left="217" w:hanging="340"/>
      <w:jc w:val="left"/>
    </w:pPr>
    <w:rPr>
      <w:rFonts w:ascii="宋体" w:hAnsi="宋体"/>
      <w:sz w:val="24"/>
    </w:rPr>
  </w:style>
  <w:style w:type="paragraph" w:customStyle="1" w:styleId="179">
    <w:name w:val="xl80"/>
    <w:basedOn w:val="1"/>
    <w:qFormat/>
    <w:uiPriority w:val="0"/>
    <w:pPr>
      <w:pBdr>
        <w:top w:val="single" w:color="auto" w:sz="4" w:space="0"/>
        <w:left w:val="single" w:color="auto" w:sz="4" w:space="0"/>
        <w:bottom w:val="single" w:color="auto" w:sz="4" w:space="0"/>
        <w:right w:val="double" w:color="auto" w:sz="6" w:space="0"/>
      </w:pBdr>
      <w:spacing w:before="100" w:beforeAutospacing="1" w:after="100" w:afterAutospacing="1"/>
      <w:textAlignment w:val="center"/>
    </w:pPr>
    <w:rPr>
      <w:rFonts w:ascii="宋体" w:hAnsi="宋体" w:cs="宋体"/>
      <w:kern w:val="0"/>
      <w:szCs w:val="21"/>
    </w:rPr>
  </w:style>
  <w:style w:type="paragraph" w:customStyle="1" w:styleId="180">
    <w:name w:val="xl22"/>
    <w:basedOn w:val="1"/>
    <w:qFormat/>
    <w:uiPriority w:val="0"/>
    <w:pPr>
      <w:spacing w:before="100" w:beforeAutospacing="1" w:after="100" w:afterAutospacing="1"/>
      <w:jc w:val="right"/>
      <w:textAlignment w:val="center"/>
    </w:pPr>
    <w:rPr>
      <w:rFonts w:ascii="宋体" w:hAnsi="宋体" w:cs="宋体"/>
      <w:color w:val="000000"/>
      <w:kern w:val="0"/>
      <w:sz w:val="24"/>
    </w:rPr>
  </w:style>
  <w:style w:type="paragraph" w:customStyle="1" w:styleId="181">
    <w:name w:val="cucd-4"/>
    <w:next w:val="1"/>
    <w:qFormat/>
    <w:uiPriority w:val="0"/>
    <w:pPr>
      <w:spacing w:after="160" w:line="360" w:lineRule="auto"/>
      <w:ind w:firstLine="482" w:firstLineChars="200"/>
      <w:jc w:val="both"/>
      <w:outlineLvl w:val="3"/>
    </w:pPr>
    <w:rPr>
      <w:rFonts w:ascii="Times New Roman" w:hAnsi="Times New Roman" w:eastAsia="宋体" w:cs="Times New Roman"/>
      <w:b/>
      <w:color w:val="000000"/>
      <w:kern w:val="2"/>
      <w:sz w:val="24"/>
      <w:szCs w:val="24"/>
      <w:u w:val="single"/>
      <w:lang w:val="en-US" w:eastAsia="zh-CN" w:bidi="ar-SA"/>
    </w:rPr>
  </w:style>
  <w:style w:type="paragraph" w:customStyle="1" w:styleId="182">
    <w:name w:val="p0"/>
    <w:basedOn w:val="1"/>
    <w:qFormat/>
    <w:uiPriority w:val="0"/>
    <w:rPr>
      <w:kern w:val="0"/>
      <w:szCs w:val="21"/>
    </w:rPr>
  </w:style>
  <w:style w:type="paragraph" w:customStyle="1" w:styleId="183">
    <w:name w:val="xl86"/>
    <w:basedOn w:val="1"/>
    <w:qFormat/>
    <w:uiPriority w:val="0"/>
    <w:pPr>
      <w:spacing w:before="100" w:beforeAutospacing="1" w:after="100" w:afterAutospacing="1"/>
      <w:jc w:val="center"/>
    </w:pPr>
    <w:rPr>
      <w:rFonts w:ascii="宋体" w:hAnsi="宋体" w:cs="宋体"/>
      <w:kern w:val="0"/>
      <w:sz w:val="24"/>
    </w:rPr>
  </w:style>
  <w:style w:type="paragraph" w:customStyle="1" w:styleId="184">
    <w:name w:val="标题 21"/>
    <w:basedOn w:val="1"/>
    <w:qFormat/>
    <w:uiPriority w:val="1"/>
    <w:pPr>
      <w:ind w:left="100"/>
      <w:jc w:val="left"/>
      <w:outlineLvl w:val="2"/>
    </w:pPr>
    <w:rPr>
      <w:rFonts w:ascii="Microsoft JhengHei" w:hAnsi="Microsoft JhengHei" w:eastAsia="Microsoft JhengHei"/>
      <w:b/>
      <w:bCs/>
      <w:kern w:val="0"/>
      <w:sz w:val="32"/>
      <w:szCs w:val="32"/>
      <w:lang w:eastAsia="en-US"/>
    </w:rPr>
  </w:style>
  <w:style w:type="paragraph" w:customStyle="1" w:styleId="185">
    <w:name w:val="xl43"/>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86">
    <w:name w:val="附件"/>
    <w:basedOn w:val="1"/>
    <w:qFormat/>
    <w:uiPriority w:val="0"/>
    <w:pPr>
      <w:spacing w:line="480" w:lineRule="auto"/>
    </w:pPr>
    <w:rPr>
      <w:rFonts w:ascii="黑体" w:eastAsia="黑体"/>
      <w:b/>
      <w:sz w:val="36"/>
      <w:szCs w:val="20"/>
    </w:rPr>
  </w:style>
  <w:style w:type="paragraph" w:customStyle="1" w:styleId="187">
    <w:name w:val="xl7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188">
    <w:name w:val="xl67"/>
    <w:basedOn w:val="1"/>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89">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90">
    <w:name w:val="Char Char Char Char Char Char Char Char Char Char Char Char Char Char Char Char Char Char Char Char Char Char Char Char2 Char"/>
    <w:basedOn w:val="1"/>
    <w:qFormat/>
    <w:uiPriority w:val="0"/>
    <w:pPr>
      <w:spacing w:line="240" w:lineRule="exact"/>
      <w:jc w:val="center"/>
    </w:pPr>
    <w:rPr>
      <w:rFonts w:ascii="黑体" w:hAnsi="Verdana" w:eastAsia="黑体"/>
      <w:kern w:val="0"/>
      <w:sz w:val="32"/>
      <w:szCs w:val="32"/>
      <w:lang w:eastAsia="en-US"/>
    </w:rPr>
  </w:style>
  <w:style w:type="paragraph" w:customStyle="1" w:styleId="191">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92">
    <w:name w:val="纯文本2"/>
    <w:basedOn w:val="1"/>
    <w:qFormat/>
    <w:uiPriority w:val="0"/>
    <w:rPr>
      <w:rFonts w:ascii="宋体" w:hAnsi="Courier New" w:cs="Courier New"/>
      <w:szCs w:val="21"/>
    </w:rPr>
  </w:style>
  <w:style w:type="paragraph" w:customStyle="1" w:styleId="193">
    <w:name w:val="1.1.1.1"/>
    <w:basedOn w:val="1"/>
    <w:qFormat/>
    <w:uiPriority w:val="0"/>
    <w:pPr>
      <w:tabs>
        <w:tab w:val="left" w:pos="900"/>
        <w:tab w:val="left" w:pos="1134"/>
      </w:tabs>
      <w:adjustRightInd w:val="0"/>
      <w:snapToGrid w:val="0"/>
      <w:spacing w:beforeLines="50" w:afterLines="50" w:line="400" w:lineRule="atLeast"/>
      <w:ind w:left="869" w:leftChars="50" w:right="200" w:rightChars="200"/>
      <w:textAlignment w:val="baseline"/>
    </w:pPr>
    <w:rPr>
      <w:rFonts w:ascii="Arial" w:hAnsi="Arial"/>
      <w:kern w:val="0"/>
      <w:sz w:val="24"/>
      <w:szCs w:val="20"/>
    </w:rPr>
  </w:style>
  <w:style w:type="paragraph" w:customStyle="1" w:styleId="194">
    <w:name w:val="样式 标题 1 + 黑体 三号 非加粗 居中 段前: 6 磅 段后: 6 磅 行距: 固定值 20 磅"/>
    <w:basedOn w:val="4"/>
    <w:qFormat/>
    <w:uiPriority w:val="0"/>
    <w:pPr>
      <w:spacing w:before="120" w:after="120" w:line="400" w:lineRule="exact"/>
      <w:jc w:val="center"/>
    </w:pPr>
    <w:rPr>
      <w:rFonts w:ascii="黑体" w:hAnsi="黑体" w:eastAsia="黑体" w:cs="宋体"/>
      <w:b w:val="0"/>
      <w:bCs w:val="0"/>
      <w:sz w:val="32"/>
      <w:szCs w:val="20"/>
    </w:rPr>
  </w:style>
  <w:style w:type="paragraph" w:customStyle="1" w:styleId="195">
    <w:name w:val="zhengwen"/>
    <w:basedOn w:val="1"/>
    <w:qFormat/>
    <w:uiPriority w:val="0"/>
    <w:pPr>
      <w:tabs>
        <w:tab w:val="left" w:pos="1145"/>
      </w:tabs>
      <w:adjustRightInd w:val="0"/>
      <w:snapToGrid w:val="0"/>
      <w:spacing w:line="520" w:lineRule="exact"/>
      <w:ind w:left="1145" w:hanging="720"/>
    </w:pPr>
    <w:rPr>
      <w:bCs/>
      <w:sz w:val="28"/>
    </w:rPr>
  </w:style>
  <w:style w:type="paragraph" w:customStyle="1" w:styleId="196">
    <w:name w:val="Char Char Char Char Char Char Char"/>
    <w:basedOn w:val="1"/>
    <w:qFormat/>
    <w:uiPriority w:val="0"/>
    <w:rPr>
      <w:rFonts w:ascii="仿宋_GB2312" w:eastAsia="仿宋_GB2312"/>
      <w:b/>
      <w:sz w:val="32"/>
      <w:szCs w:val="32"/>
    </w:rPr>
  </w:style>
  <w:style w:type="paragraph" w:customStyle="1" w:styleId="197">
    <w:name w:val="p8"/>
    <w:basedOn w:val="1"/>
    <w:qFormat/>
    <w:uiPriority w:val="0"/>
    <w:pPr>
      <w:spacing w:line="30" w:lineRule="atLeast"/>
      <w:jc w:val="left"/>
    </w:pPr>
    <w:rPr>
      <w:rFonts w:hint="eastAsia" w:ascii="宋体" w:hAnsi="宋体" w:cs="宋体"/>
      <w:kern w:val="0"/>
      <w:szCs w:val="21"/>
    </w:rPr>
  </w:style>
  <w:style w:type="paragraph" w:customStyle="1" w:styleId="198">
    <w:name w:val="我的目录"/>
    <w:basedOn w:val="199"/>
    <w:qFormat/>
    <w:uiPriority w:val="0"/>
    <w:pPr>
      <w:tabs>
        <w:tab w:val="right" w:leader="dot" w:pos="8296"/>
        <w:tab w:val="right" w:leader="dot" w:pos="8820"/>
      </w:tabs>
      <w:spacing w:before="120" w:after="120" w:line="240" w:lineRule="auto"/>
      <w:ind w:left="0" w:leftChars="0" w:firstLine="0" w:firstLineChars="0"/>
      <w:jc w:val="left"/>
    </w:pPr>
    <w:rPr>
      <w:b/>
      <w:caps/>
      <w:sz w:val="20"/>
      <w:szCs w:val="20"/>
    </w:rPr>
  </w:style>
  <w:style w:type="paragraph" w:customStyle="1" w:styleId="199">
    <w:name w:val="目录 11"/>
    <w:basedOn w:val="1"/>
    <w:next w:val="1"/>
    <w:qFormat/>
    <w:uiPriority w:val="39"/>
    <w:pPr>
      <w:tabs>
        <w:tab w:val="right" w:leader="dot" w:pos="8296"/>
      </w:tabs>
      <w:ind w:left="850" w:leftChars="1" w:hanging="848" w:hangingChars="404"/>
      <w:jc w:val="center"/>
    </w:pPr>
  </w:style>
  <w:style w:type="paragraph" w:customStyle="1" w:styleId="200">
    <w:name w:val="目录 51"/>
    <w:basedOn w:val="1"/>
    <w:next w:val="1"/>
    <w:qFormat/>
    <w:uiPriority w:val="39"/>
    <w:pPr>
      <w:ind w:left="1680" w:leftChars="800"/>
    </w:pPr>
    <w:rPr>
      <w:rFonts w:ascii="Calibri" w:hAnsi="Calibri"/>
      <w:szCs w:val="22"/>
    </w:rPr>
  </w:style>
  <w:style w:type="paragraph" w:customStyle="1" w:styleId="201">
    <w:name w:val="CM255"/>
    <w:basedOn w:val="202"/>
    <w:next w:val="202"/>
    <w:qFormat/>
    <w:uiPriority w:val="0"/>
    <w:pPr>
      <w:spacing w:after="1728"/>
    </w:pPr>
    <w:rPr>
      <w:rFonts w:ascii="宋体" w:cs="宋体"/>
      <w:color w:val="auto"/>
    </w:rPr>
  </w:style>
  <w:style w:type="paragraph" w:customStyle="1" w:styleId="202">
    <w:name w:val="Default"/>
    <w:qFormat/>
    <w:uiPriority w:val="0"/>
    <w:pPr>
      <w:widowControl w:val="0"/>
      <w:autoSpaceDE w:val="0"/>
      <w:autoSpaceDN w:val="0"/>
      <w:adjustRightInd w:val="0"/>
      <w:spacing w:after="160" w:line="360" w:lineRule="auto"/>
      <w:ind w:firstLine="420"/>
      <w:jc w:val="both"/>
    </w:pPr>
    <w:rPr>
      <w:rFonts w:ascii="Times New Roman" w:hAnsi="Times New Roman" w:eastAsia="宋体" w:cs="Times New Roman"/>
      <w:color w:val="000000"/>
      <w:sz w:val="24"/>
      <w:szCs w:val="24"/>
      <w:lang w:val="en-US" w:eastAsia="zh-CN" w:bidi="ar-SA"/>
    </w:rPr>
  </w:style>
  <w:style w:type="paragraph" w:customStyle="1" w:styleId="203">
    <w:name w:val="font10"/>
    <w:basedOn w:val="1"/>
    <w:qFormat/>
    <w:uiPriority w:val="0"/>
    <w:pPr>
      <w:spacing w:before="100" w:beforeAutospacing="1" w:after="100" w:afterAutospacing="1"/>
      <w:jc w:val="left"/>
    </w:pPr>
    <w:rPr>
      <w:rFonts w:eastAsia="Arial Unicode MS"/>
      <w:color w:val="FF0000"/>
      <w:kern w:val="0"/>
      <w:sz w:val="20"/>
      <w:szCs w:val="20"/>
    </w:rPr>
  </w:style>
  <w:style w:type="paragraph" w:customStyle="1" w:styleId="204">
    <w:name w:val="标题 31"/>
    <w:basedOn w:val="1"/>
    <w:qFormat/>
    <w:uiPriority w:val="1"/>
    <w:pPr>
      <w:ind w:left="237"/>
      <w:jc w:val="left"/>
      <w:outlineLvl w:val="3"/>
    </w:pPr>
    <w:rPr>
      <w:rFonts w:ascii="宋体" w:hAnsi="宋体"/>
      <w:kern w:val="0"/>
      <w:sz w:val="28"/>
      <w:szCs w:val="28"/>
      <w:lang w:eastAsia="en-US"/>
    </w:rPr>
  </w:style>
  <w:style w:type="paragraph" w:customStyle="1" w:styleId="205">
    <w:name w:val="font0"/>
    <w:basedOn w:val="1"/>
    <w:qFormat/>
    <w:uiPriority w:val="0"/>
    <w:pPr>
      <w:spacing w:before="100" w:beforeAutospacing="1" w:after="100" w:afterAutospacing="1"/>
      <w:jc w:val="left"/>
    </w:pPr>
    <w:rPr>
      <w:rFonts w:hint="eastAsia" w:ascii="宋体" w:hAnsi="宋体"/>
      <w:kern w:val="0"/>
      <w:sz w:val="24"/>
    </w:rPr>
  </w:style>
  <w:style w:type="paragraph" w:customStyle="1" w:styleId="206">
    <w:name w:val="Char Char Char Char11"/>
    <w:basedOn w:val="1"/>
    <w:qFormat/>
    <w:uiPriority w:val="0"/>
    <w:pPr>
      <w:shd w:val="clear" w:color="auto" w:fill="000080"/>
      <w:adjustRightInd w:val="0"/>
      <w:spacing w:line="436" w:lineRule="exact"/>
      <w:ind w:left="357"/>
      <w:jc w:val="left"/>
      <w:outlineLvl w:val="3"/>
    </w:pPr>
    <w:rPr>
      <w:rFonts w:ascii="Tahoma" w:hAnsi="Tahoma"/>
      <w:b/>
      <w:sz w:val="24"/>
      <w:szCs w:val="28"/>
      <w:shd w:val="clear" w:color="auto" w:fill="000080"/>
    </w:rPr>
  </w:style>
  <w:style w:type="paragraph" w:customStyle="1" w:styleId="207">
    <w:name w:val="xl2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08">
    <w:name w:val="小标题"/>
    <w:basedOn w:val="1"/>
    <w:qFormat/>
    <w:uiPriority w:val="0"/>
    <w:pPr>
      <w:spacing w:line="440" w:lineRule="exact"/>
      <w:ind w:left="420" w:hanging="420"/>
    </w:pPr>
    <w:rPr>
      <w:sz w:val="24"/>
    </w:rPr>
  </w:style>
  <w:style w:type="paragraph" w:customStyle="1" w:styleId="209">
    <w:name w:val="样式 宋体 小四 段前: 5 磅 段后: 5 磅"/>
    <w:basedOn w:val="1"/>
    <w:qFormat/>
    <w:uiPriority w:val="0"/>
    <w:pPr>
      <w:spacing w:before="100" w:after="100"/>
      <w:ind w:left="2266" w:leftChars="200"/>
    </w:pPr>
    <w:rPr>
      <w:rFonts w:ascii="宋体" w:cs="宋体"/>
      <w:sz w:val="24"/>
      <w:szCs w:val="20"/>
    </w:rPr>
  </w:style>
  <w:style w:type="paragraph" w:customStyle="1" w:styleId="210">
    <w:name w:val="样式 样式 首行缩进:  2 字符 段前: 4.65 磅 + 首行缩进:  2 字符"/>
    <w:basedOn w:val="1"/>
    <w:qFormat/>
    <w:uiPriority w:val="0"/>
    <w:pPr>
      <w:topLinePunct/>
      <w:spacing w:before="93"/>
      <w:ind w:firstLine="480"/>
    </w:pPr>
    <w:rPr>
      <w:rFonts w:cs="宋体"/>
      <w:sz w:val="24"/>
      <w:szCs w:val="20"/>
    </w:rPr>
  </w:style>
  <w:style w:type="paragraph" w:customStyle="1" w:styleId="211">
    <w:name w:val="USE 1"/>
    <w:basedOn w:val="1"/>
    <w:qFormat/>
    <w:uiPriority w:val="0"/>
    <w:pPr>
      <w:spacing w:line="200" w:lineRule="atLeast"/>
      <w:jc w:val="left"/>
    </w:pPr>
    <w:rPr>
      <w:rFonts w:ascii="宋体" w:hAnsi="宋体"/>
      <w:b/>
      <w:sz w:val="24"/>
      <w:szCs w:val="28"/>
    </w:rPr>
  </w:style>
  <w:style w:type="paragraph" w:customStyle="1" w:styleId="212">
    <w:name w:val="备注"/>
    <w:basedOn w:val="1"/>
    <w:qFormat/>
    <w:uiPriority w:val="0"/>
    <w:pPr>
      <w:tabs>
        <w:tab w:val="left" w:pos="547"/>
        <w:tab w:val="left" w:pos="990"/>
        <w:tab w:val="left" w:pos="1350"/>
      </w:tabs>
      <w:spacing w:line="400" w:lineRule="atLeast"/>
    </w:pPr>
    <w:rPr>
      <w:szCs w:val="21"/>
    </w:rPr>
  </w:style>
  <w:style w:type="paragraph" w:customStyle="1" w:styleId="213">
    <w:name w:val="xl49"/>
    <w:basedOn w:val="1"/>
    <w:qFormat/>
    <w:uiPriority w:val="0"/>
    <w:pPr>
      <w:pBdr>
        <w:top w:val="single" w:color="auto" w:sz="4" w:space="0"/>
        <w:left w:val="single" w:color="auto" w:sz="8"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214">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215">
    <w:name w:val="xl41"/>
    <w:basedOn w:val="1"/>
    <w:qFormat/>
    <w:uiPriority w:val="0"/>
    <w:pPr>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16">
    <w:name w:val="USE 3"/>
    <w:basedOn w:val="1"/>
    <w:qFormat/>
    <w:uiPriority w:val="0"/>
    <w:pPr>
      <w:ind w:left="710" w:hanging="170"/>
      <w:jc w:val="left"/>
    </w:pPr>
    <w:rPr>
      <w:rFonts w:ascii="宋体" w:hAnsi="宋体"/>
      <w:sz w:val="24"/>
      <w:szCs w:val="20"/>
    </w:rPr>
  </w:style>
  <w:style w:type="paragraph" w:customStyle="1" w:styleId="217">
    <w:name w:val="批注框文本 Char Char"/>
    <w:basedOn w:val="1"/>
    <w:qFormat/>
    <w:uiPriority w:val="0"/>
    <w:rPr>
      <w:sz w:val="18"/>
      <w:szCs w:val="20"/>
    </w:rPr>
  </w:style>
  <w:style w:type="paragraph" w:customStyle="1" w:styleId="218">
    <w:name w:val="font5"/>
    <w:basedOn w:val="1"/>
    <w:qFormat/>
    <w:uiPriority w:val="0"/>
    <w:pPr>
      <w:spacing w:before="100" w:beforeAutospacing="1" w:after="100" w:afterAutospacing="1"/>
      <w:jc w:val="left"/>
    </w:pPr>
    <w:rPr>
      <w:rFonts w:ascii="宋体" w:hAnsi="宋体" w:cs="宋体"/>
      <w:kern w:val="0"/>
      <w:sz w:val="18"/>
      <w:szCs w:val="18"/>
    </w:rPr>
  </w:style>
  <w:style w:type="paragraph" w:customStyle="1" w:styleId="219">
    <w:name w:val="表格"/>
    <w:basedOn w:val="1"/>
    <w:qFormat/>
    <w:uiPriority w:val="0"/>
    <w:pPr>
      <w:jc w:val="center"/>
      <w:textAlignment w:val="center"/>
    </w:pPr>
    <w:rPr>
      <w:rFonts w:ascii="华文细黑" w:hAnsi="华文细黑"/>
      <w:kern w:val="0"/>
      <w:szCs w:val="20"/>
    </w:rPr>
  </w:style>
  <w:style w:type="paragraph" w:customStyle="1" w:styleId="220">
    <w:name w:val="列出段落1"/>
    <w:basedOn w:val="1"/>
    <w:qFormat/>
    <w:uiPriority w:val="0"/>
    <w:pPr>
      <w:spacing w:beforeLines="50" w:after="156" w:line="240" w:lineRule="atLeast"/>
      <w:ind w:left="425"/>
    </w:pPr>
    <w:rPr>
      <w:rFonts w:eastAsia="仿宋_GB2312"/>
      <w:sz w:val="24"/>
    </w:rPr>
  </w:style>
  <w:style w:type="paragraph" w:customStyle="1" w:styleId="221">
    <w:name w:val="xl52"/>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222">
    <w:name w:val="xl71"/>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23">
    <w:name w:val="retrait3"/>
    <w:basedOn w:val="1"/>
    <w:qFormat/>
    <w:uiPriority w:val="0"/>
    <w:pPr>
      <w:spacing w:before="20" w:after="20"/>
      <w:ind w:left="851"/>
      <w:jc w:val="left"/>
    </w:pPr>
    <w:rPr>
      <w:rFonts w:ascii="Arial" w:hAnsi="Arial"/>
      <w:kern w:val="0"/>
      <w:sz w:val="24"/>
      <w:szCs w:val="20"/>
      <w:lang w:val="en-GB"/>
    </w:rPr>
  </w:style>
  <w:style w:type="paragraph" w:customStyle="1" w:styleId="224">
    <w:name w:val="xl40"/>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kern w:val="0"/>
      <w:sz w:val="20"/>
      <w:szCs w:val="20"/>
    </w:rPr>
  </w:style>
  <w:style w:type="paragraph" w:customStyle="1" w:styleId="225">
    <w:name w:val="xl51"/>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26">
    <w:name w:val="xl9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27">
    <w:name w:val="Table Paragraph"/>
    <w:basedOn w:val="1"/>
    <w:qFormat/>
    <w:uiPriority w:val="1"/>
    <w:pPr>
      <w:jc w:val="left"/>
    </w:pPr>
    <w:rPr>
      <w:rFonts w:ascii="Calibri" w:hAnsi="Calibri"/>
      <w:kern w:val="0"/>
      <w:sz w:val="22"/>
      <w:szCs w:val="22"/>
      <w:lang w:eastAsia="en-US"/>
    </w:rPr>
  </w:style>
  <w:style w:type="paragraph" w:customStyle="1" w:styleId="228">
    <w:name w:val="标题333"/>
    <w:basedOn w:val="1"/>
    <w:qFormat/>
    <w:uiPriority w:val="0"/>
    <w:rPr>
      <w:rFonts w:ascii="宋体" w:hAnsi="宋体" w:cs="宋体"/>
      <w:b/>
      <w:bCs/>
      <w:sz w:val="24"/>
      <w:szCs w:val="20"/>
    </w:rPr>
  </w:style>
  <w:style w:type="paragraph" w:customStyle="1" w:styleId="229">
    <w:name w:val="表格文字图表文字"/>
    <w:basedOn w:val="1"/>
    <w:qFormat/>
    <w:uiPriority w:val="0"/>
    <w:pPr>
      <w:snapToGrid w:val="0"/>
      <w:jc w:val="center"/>
    </w:pPr>
    <w:rPr>
      <w:rFonts w:cs="宋体"/>
      <w:szCs w:val="20"/>
    </w:rPr>
  </w:style>
  <w:style w:type="paragraph" w:customStyle="1" w:styleId="230">
    <w:name w:val="xl58"/>
    <w:basedOn w:val="1"/>
    <w:qFormat/>
    <w:uiPriority w:val="0"/>
    <w:pPr>
      <w:pBdr>
        <w:left w:val="single" w:color="auto" w:sz="4" w:space="0"/>
        <w:bottom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231">
    <w:name w:val="font6"/>
    <w:basedOn w:val="1"/>
    <w:qFormat/>
    <w:uiPriority w:val="0"/>
    <w:pPr>
      <w:spacing w:before="100" w:beforeAutospacing="1" w:after="100" w:afterAutospacing="1"/>
      <w:jc w:val="left"/>
    </w:pPr>
    <w:rPr>
      <w:rFonts w:ascii="宋体" w:hAnsi="宋体" w:cs="宋体"/>
      <w:kern w:val="0"/>
      <w:sz w:val="18"/>
      <w:szCs w:val="18"/>
    </w:rPr>
  </w:style>
  <w:style w:type="paragraph" w:customStyle="1" w:styleId="232">
    <w:name w:val="样式 宋体 小四 黑色 左 行距: 1.5 倍行距1"/>
    <w:basedOn w:val="1"/>
    <w:qFormat/>
    <w:uiPriority w:val="0"/>
    <w:pPr>
      <w:jc w:val="left"/>
    </w:pPr>
    <w:rPr>
      <w:rFonts w:ascii="宋体" w:hAnsi="宋体" w:cs="宋体"/>
      <w:color w:val="000000"/>
      <w:sz w:val="24"/>
      <w:szCs w:val="20"/>
    </w:rPr>
  </w:style>
  <w:style w:type="paragraph" w:customStyle="1" w:styleId="233">
    <w:name w:val="xl7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34">
    <w:name w:val="USE 4"/>
    <w:basedOn w:val="1"/>
    <w:qFormat/>
    <w:uiPriority w:val="0"/>
    <w:pPr>
      <w:ind w:left="104" w:hanging="227"/>
      <w:jc w:val="left"/>
    </w:pPr>
    <w:rPr>
      <w:rFonts w:ascii="宋体" w:hAnsi="宋体"/>
      <w:sz w:val="24"/>
      <w:szCs w:val="20"/>
    </w:rPr>
  </w:style>
  <w:style w:type="paragraph" w:customStyle="1" w:styleId="235">
    <w:name w:val="Char Char Char Char Char Char Char Char Char Char Char Char1 Char"/>
    <w:basedOn w:val="18"/>
    <w:qFormat/>
    <w:uiPriority w:val="0"/>
    <w:pPr>
      <w:shd w:val="clear" w:color="auto" w:fill="000080"/>
    </w:pPr>
    <w:rPr>
      <w:rFonts w:ascii="Times New Roman"/>
      <w:sz w:val="21"/>
      <w:szCs w:val="20"/>
    </w:rPr>
  </w:style>
  <w:style w:type="paragraph" w:customStyle="1" w:styleId="236">
    <w:name w:val="xl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237">
    <w:name w:val="目录 91"/>
    <w:basedOn w:val="1"/>
    <w:next w:val="1"/>
    <w:qFormat/>
    <w:uiPriority w:val="39"/>
    <w:pPr>
      <w:ind w:left="3360" w:leftChars="1600"/>
    </w:pPr>
    <w:rPr>
      <w:rFonts w:ascii="Calibri" w:hAnsi="Calibri"/>
      <w:szCs w:val="22"/>
    </w:rPr>
  </w:style>
  <w:style w:type="paragraph" w:customStyle="1" w:styleId="238">
    <w:name w:val="retrait1"/>
    <w:basedOn w:val="1"/>
    <w:qFormat/>
    <w:uiPriority w:val="0"/>
    <w:pPr>
      <w:spacing w:before="20" w:after="20"/>
      <w:ind w:left="284"/>
      <w:jc w:val="left"/>
    </w:pPr>
    <w:rPr>
      <w:rFonts w:ascii="Arial" w:hAnsi="Arial"/>
      <w:kern w:val="0"/>
      <w:sz w:val="24"/>
      <w:szCs w:val="20"/>
      <w:lang w:val="en-GB"/>
    </w:rPr>
  </w:style>
  <w:style w:type="paragraph" w:customStyle="1" w:styleId="239">
    <w:name w:val="样式2"/>
    <w:basedOn w:val="34"/>
    <w:qFormat/>
    <w:uiPriority w:val="0"/>
    <w:pPr>
      <w:autoSpaceDE w:val="0"/>
      <w:autoSpaceDN w:val="0"/>
      <w:adjustRightInd w:val="0"/>
      <w:snapToGrid/>
      <w:textAlignment w:val="baseline"/>
    </w:pPr>
    <w:rPr>
      <w:rFonts w:ascii="宋体"/>
      <w:kern w:val="0"/>
      <w:szCs w:val="20"/>
    </w:rPr>
  </w:style>
  <w:style w:type="paragraph" w:customStyle="1" w:styleId="240">
    <w:name w:val="条文 4"/>
    <w:next w:val="1"/>
    <w:qFormat/>
    <w:uiPriority w:val="0"/>
    <w:pPr>
      <w:spacing w:after="160" w:line="310" w:lineRule="exact"/>
      <w:ind w:left="2520" w:hanging="420"/>
      <w:jc w:val="both"/>
    </w:pPr>
    <w:rPr>
      <w:rFonts w:ascii="Times New Roman" w:hAnsi="Times New Roman" w:eastAsia="黑体" w:cs="Times New Roman"/>
      <w:sz w:val="21"/>
      <w:lang w:val="en-US" w:eastAsia="zh-CN" w:bidi="ar-SA"/>
    </w:rPr>
  </w:style>
  <w:style w:type="paragraph" w:customStyle="1" w:styleId="241">
    <w:name w:val="Char2 Char Char Char"/>
    <w:basedOn w:val="1"/>
    <w:qFormat/>
    <w:uiPriority w:val="0"/>
    <w:pPr>
      <w:spacing w:line="240" w:lineRule="exact"/>
      <w:jc w:val="left"/>
    </w:pPr>
    <w:rPr>
      <w:rFonts w:ascii="Verdana" w:hAnsi="Verdana" w:eastAsia="仿宋_GB2312"/>
      <w:kern w:val="0"/>
      <w:sz w:val="24"/>
      <w:szCs w:val="20"/>
      <w:lang w:eastAsia="en-US"/>
    </w:rPr>
  </w:style>
  <w:style w:type="paragraph" w:customStyle="1" w:styleId="242">
    <w:name w:val="xl70"/>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243">
    <w:name w:val="font14"/>
    <w:basedOn w:val="1"/>
    <w:qFormat/>
    <w:uiPriority w:val="0"/>
    <w:pPr>
      <w:spacing w:before="100" w:beforeAutospacing="1" w:after="100" w:afterAutospacing="1"/>
      <w:jc w:val="left"/>
    </w:pPr>
    <w:rPr>
      <w:rFonts w:hint="eastAsia" w:ascii="宋体" w:hAnsi="宋体" w:cs="Arial Unicode MS"/>
      <w:b/>
      <w:bCs/>
      <w:color w:val="000000"/>
      <w:kern w:val="0"/>
      <w:sz w:val="18"/>
      <w:szCs w:val="18"/>
    </w:rPr>
  </w:style>
  <w:style w:type="paragraph" w:customStyle="1" w:styleId="244">
    <w:name w:val="Report Level 1"/>
    <w:basedOn w:val="1"/>
    <w:next w:val="110"/>
    <w:qFormat/>
    <w:uiPriority w:val="0"/>
    <w:pPr>
      <w:keepNext/>
      <w:tabs>
        <w:tab w:val="left" w:pos="1080"/>
      </w:tabs>
      <w:spacing w:beforeLines="50"/>
      <w:ind w:left="1077" w:hanging="1077"/>
      <w:jc w:val="left"/>
      <w:outlineLvl w:val="0"/>
    </w:pPr>
    <w:rPr>
      <w:rFonts w:ascii="宋体" w:hAnsi="宋体"/>
      <w:b/>
      <w:caps/>
      <w:kern w:val="0"/>
      <w:szCs w:val="21"/>
      <w:lang w:val="en-GB"/>
    </w:rPr>
  </w:style>
  <w:style w:type="paragraph" w:customStyle="1" w:styleId="245">
    <w:name w:val="xl8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246">
    <w:name w:val="_Style 67"/>
    <w:basedOn w:val="1"/>
    <w:qFormat/>
    <w:uiPriority w:val="0"/>
    <w:pPr>
      <w:spacing w:line="240" w:lineRule="exact"/>
      <w:jc w:val="left"/>
    </w:pPr>
    <w:rPr>
      <w:rFonts w:ascii="楷体_GB2312" w:hAnsi="楷体_GB2312" w:eastAsia="仿宋_GB2312" w:cs="楷体_GB2312"/>
      <w:szCs w:val="20"/>
    </w:rPr>
  </w:style>
  <w:style w:type="paragraph" w:customStyle="1" w:styleId="247">
    <w:name w:val="font11"/>
    <w:basedOn w:val="1"/>
    <w:qFormat/>
    <w:uiPriority w:val="0"/>
    <w:pPr>
      <w:spacing w:before="100" w:beforeAutospacing="1" w:after="100" w:afterAutospacing="1"/>
      <w:jc w:val="left"/>
    </w:pPr>
    <w:rPr>
      <w:rFonts w:hint="eastAsia" w:ascii="宋体" w:hAnsi="宋体" w:cs="Arial Unicode MS"/>
      <w:color w:val="000000"/>
      <w:kern w:val="0"/>
      <w:sz w:val="16"/>
      <w:szCs w:val="16"/>
    </w:rPr>
  </w:style>
  <w:style w:type="paragraph" w:customStyle="1" w:styleId="248">
    <w:name w:val="列表段落1"/>
    <w:basedOn w:val="1"/>
    <w:qFormat/>
    <w:uiPriority w:val="0"/>
  </w:style>
  <w:style w:type="paragraph" w:customStyle="1" w:styleId="249">
    <w:name w:val="xl48"/>
    <w:basedOn w:val="1"/>
    <w:qFormat/>
    <w:uiPriority w:val="0"/>
    <w:pPr>
      <w:pBdr>
        <w:top w:val="single" w:color="auto" w:sz="4" w:space="0"/>
        <w:left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50">
    <w:name w:val="xl3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0"/>
      <w:szCs w:val="20"/>
    </w:rPr>
  </w:style>
  <w:style w:type="paragraph" w:customStyle="1" w:styleId="251">
    <w:name w:val="xl101"/>
    <w:basedOn w:val="1"/>
    <w:qFormat/>
    <w:uiPriority w:val="0"/>
    <w:pPr>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52">
    <w:name w:val="font7"/>
    <w:basedOn w:val="1"/>
    <w:qFormat/>
    <w:uiPriority w:val="0"/>
    <w:pPr>
      <w:spacing w:before="100" w:beforeAutospacing="1" w:after="100" w:afterAutospacing="1"/>
      <w:jc w:val="left"/>
    </w:pPr>
    <w:rPr>
      <w:kern w:val="0"/>
      <w:sz w:val="20"/>
      <w:szCs w:val="20"/>
    </w:rPr>
  </w:style>
  <w:style w:type="paragraph" w:customStyle="1" w:styleId="253">
    <w:name w:val="二级标题"/>
    <w:basedOn w:val="1"/>
    <w:qFormat/>
    <w:uiPriority w:val="0"/>
    <w:pPr>
      <w:tabs>
        <w:tab w:val="left" w:pos="-1341"/>
      </w:tabs>
      <w:ind w:left="2686" w:hanging="420"/>
      <w:outlineLvl w:val="1"/>
    </w:pPr>
    <w:rPr>
      <w:rFonts w:ascii="宋体" w:hAnsi="宋体"/>
      <w:sz w:val="24"/>
      <w:szCs w:val="20"/>
    </w:rPr>
  </w:style>
  <w:style w:type="paragraph" w:customStyle="1" w:styleId="254">
    <w:name w:val="xl59"/>
    <w:basedOn w:val="1"/>
    <w:qFormat/>
    <w:uiPriority w:val="0"/>
    <w:pPr>
      <w:pBdr>
        <w:bottom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255">
    <w:name w:val="xl39"/>
    <w:basedOn w:val="1"/>
    <w:qFormat/>
    <w:uiPriority w:val="0"/>
    <w:pPr>
      <w:pBdr>
        <w:left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56">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257">
    <w:name w:val="xl36"/>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58">
    <w:name w:val="xl8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59">
    <w:name w:val="xl3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60">
    <w:name w:val="标题 11"/>
    <w:basedOn w:val="1"/>
    <w:qFormat/>
    <w:uiPriority w:val="1"/>
    <w:pPr>
      <w:ind w:left="3"/>
      <w:jc w:val="left"/>
      <w:outlineLvl w:val="1"/>
    </w:pPr>
    <w:rPr>
      <w:rFonts w:ascii="Microsoft JhengHei" w:hAnsi="Microsoft JhengHei" w:eastAsia="Microsoft JhengHei"/>
      <w:b/>
      <w:bCs/>
      <w:kern w:val="0"/>
      <w:sz w:val="44"/>
      <w:szCs w:val="44"/>
      <w:lang w:eastAsia="en-US"/>
    </w:rPr>
  </w:style>
  <w:style w:type="paragraph" w:customStyle="1" w:styleId="261">
    <w:name w:val="标题2"/>
    <w:basedOn w:val="4"/>
    <w:qFormat/>
    <w:uiPriority w:val="0"/>
    <w:pPr>
      <w:spacing w:before="0" w:after="0" w:line="312" w:lineRule="auto"/>
      <w:jc w:val="center"/>
    </w:pPr>
    <w:rPr>
      <w:rFonts w:ascii="宋体"/>
      <w:bCs w:val="0"/>
      <w:sz w:val="30"/>
      <w:szCs w:val="20"/>
    </w:rPr>
  </w:style>
  <w:style w:type="paragraph" w:customStyle="1" w:styleId="262">
    <w:name w:val="P1"/>
    <w:qFormat/>
    <w:uiPriority w:val="0"/>
    <w:pPr>
      <w:widowControl w:val="0"/>
      <w:adjustRightInd w:val="0"/>
      <w:spacing w:after="240" w:line="0" w:lineRule="atLeast"/>
      <w:ind w:left="2304" w:hanging="576"/>
      <w:jc w:val="both"/>
      <w:textAlignment w:val="baseline"/>
    </w:pPr>
    <w:rPr>
      <w:rFonts w:ascii="Calibri" w:hAnsi="Calibri" w:eastAsia="全真中明體" w:cs="Times New Roman"/>
      <w:spacing w:val="20"/>
      <w:sz w:val="24"/>
      <w:szCs w:val="22"/>
      <w:lang w:val="en-GB" w:eastAsia="zh-TW" w:bidi="ar-SA"/>
    </w:rPr>
  </w:style>
  <w:style w:type="paragraph" w:customStyle="1" w:styleId="263">
    <w:name w:val="招标文件1.1.1.1"/>
    <w:basedOn w:val="1"/>
    <w:qFormat/>
    <w:uiPriority w:val="0"/>
    <w:pPr>
      <w:spacing w:before="120" w:after="120" w:line="480" w:lineRule="exact"/>
      <w:ind w:left="284"/>
      <w:jc w:val="left"/>
      <w:outlineLvl w:val="4"/>
    </w:pPr>
    <w:rPr>
      <w:rFonts w:ascii="宋体"/>
      <w:b/>
      <w:spacing w:val="10"/>
      <w:w w:val="95"/>
      <w:sz w:val="24"/>
      <w:szCs w:val="21"/>
    </w:rPr>
  </w:style>
  <w:style w:type="paragraph" w:customStyle="1" w:styleId="264">
    <w:name w:val="条文 5"/>
    <w:next w:val="1"/>
    <w:qFormat/>
    <w:uiPriority w:val="0"/>
    <w:pPr>
      <w:spacing w:after="160" w:line="310" w:lineRule="exact"/>
      <w:ind w:left="2940" w:hanging="420"/>
      <w:jc w:val="both"/>
    </w:pPr>
    <w:rPr>
      <w:rFonts w:ascii="Times New Roman" w:hAnsi="Times New Roman" w:eastAsia="黑体" w:cs="Times New Roman"/>
      <w:sz w:val="21"/>
      <w:lang w:val="en-US" w:eastAsia="zh-CN" w:bidi="ar-SA"/>
    </w:rPr>
  </w:style>
  <w:style w:type="paragraph" w:customStyle="1" w:styleId="265">
    <w:name w:val="xl95"/>
    <w:basedOn w:val="1"/>
    <w:qFormat/>
    <w:uiPriority w:val="0"/>
    <w:pPr>
      <w:spacing w:before="100" w:beforeAutospacing="1" w:after="100" w:afterAutospacing="1"/>
      <w:jc w:val="left"/>
      <w:textAlignment w:val="center"/>
    </w:pPr>
    <w:rPr>
      <w:rFonts w:ascii="宋体" w:hAnsi="宋体" w:cs="宋体"/>
      <w:kern w:val="0"/>
      <w:sz w:val="24"/>
    </w:rPr>
  </w:style>
  <w:style w:type="paragraph" w:customStyle="1" w:styleId="266">
    <w:name w:val="条文 1"/>
    <w:next w:val="1"/>
    <w:qFormat/>
    <w:uiPriority w:val="0"/>
    <w:pPr>
      <w:spacing w:after="160" w:line="310" w:lineRule="exact"/>
      <w:ind w:left="840" w:hanging="420"/>
      <w:jc w:val="both"/>
    </w:pPr>
    <w:rPr>
      <w:rFonts w:ascii="Times New Roman" w:hAnsi="Times New Roman" w:eastAsia="黑体" w:cs="Times New Roman"/>
      <w:sz w:val="21"/>
      <w:lang w:val="en-US" w:eastAsia="zh-CN" w:bidi="ar-SA"/>
    </w:rPr>
  </w:style>
  <w:style w:type="paragraph" w:customStyle="1" w:styleId="267">
    <w:name w:val="需求书2"/>
    <w:basedOn w:val="1"/>
    <w:qFormat/>
    <w:uiPriority w:val="0"/>
    <w:pPr>
      <w:spacing w:line="500" w:lineRule="exact"/>
      <w:ind w:left="735" w:hanging="735"/>
    </w:pPr>
    <w:rPr>
      <w:rFonts w:ascii="黑体" w:eastAsia="黑体"/>
      <w:szCs w:val="20"/>
    </w:rPr>
  </w:style>
  <w:style w:type="paragraph" w:customStyle="1" w:styleId="268">
    <w:name w:val="wuff32"/>
    <w:basedOn w:val="27"/>
    <w:qFormat/>
    <w:uiPriority w:val="0"/>
    <w:pPr>
      <w:jc w:val="center"/>
    </w:pPr>
    <w:rPr>
      <w:rFonts w:ascii="黑体" w:eastAsia="黑体"/>
      <w:sz w:val="24"/>
      <w:szCs w:val="20"/>
    </w:rPr>
  </w:style>
  <w:style w:type="paragraph" w:customStyle="1" w:styleId="269">
    <w:name w:val="font9"/>
    <w:basedOn w:val="1"/>
    <w:qFormat/>
    <w:uiPriority w:val="0"/>
    <w:pPr>
      <w:spacing w:before="100" w:beforeAutospacing="1" w:after="100" w:afterAutospacing="1"/>
      <w:jc w:val="left"/>
    </w:pPr>
    <w:rPr>
      <w:rFonts w:hint="eastAsia" w:ascii="宋体" w:hAnsi="宋体" w:cs="Arial Unicode MS"/>
      <w:color w:val="FF0000"/>
      <w:kern w:val="0"/>
      <w:sz w:val="20"/>
      <w:szCs w:val="20"/>
    </w:rPr>
  </w:style>
  <w:style w:type="paragraph" w:customStyle="1" w:styleId="270">
    <w:name w:val="Char Char Char"/>
    <w:basedOn w:val="1"/>
    <w:qFormat/>
    <w:uiPriority w:val="0"/>
    <w:rPr>
      <w:rFonts w:ascii="仿宋_GB2312" w:eastAsia="仿宋_GB2312"/>
      <w:b/>
      <w:sz w:val="32"/>
      <w:szCs w:val="32"/>
    </w:rPr>
  </w:style>
  <w:style w:type="paragraph" w:customStyle="1" w:styleId="271">
    <w:name w:val="目录 31"/>
    <w:basedOn w:val="1"/>
    <w:next w:val="1"/>
    <w:qFormat/>
    <w:uiPriority w:val="39"/>
    <w:pPr>
      <w:ind w:left="840" w:leftChars="400"/>
    </w:pPr>
  </w:style>
  <w:style w:type="paragraph" w:customStyle="1" w:styleId="272">
    <w:name w:val="xl78"/>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73">
    <w:name w:val="样式 标题 2 + (西文) Times New Roman (中文) 仿宋_GB2312 居中 段前: 6 磅 段后:..."/>
    <w:basedOn w:val="5"/>
    <w:qFormat/>
    <w:uiPriority w:val="0"/>
    <w:pPr>
      <w:spacing w:before="120" w:after="120"/>
      <w:jc w:val="left"/>
    </w:pPr>
    <w:rPr>
      <w:rFonts w:ascii="Times New Roman" w:hAnsi="Times New Roman" w:eastAsia="仿宋_GB2312" w:cs="宋体"/>
      <w:szCs w:val="20"/>
    </w:rPr>
  </w:style>
  <w:style w:type="paragraph" w:customStyle="1" w:styleId="274">
    <w:name w:val="标题222"/>
    <w:basedOn w:val="1"/>
    <w:qFormat/>
    <w:uiPriority w:val="0"/>
    <w:rPr>
      <w:rFonts w:cs="宋体"/>
      <w:b/>
      <w:bCs/>
      <w:sz w:val="30"/>
      <w:szCs w:val="20"/>
    </w:rPr>
  </w:style>
  <w:style w:type="paragraph" w:customStyle="1" w:styleId="275">
    <w:name w:val="Char"/>
    <w:basedOn w:val="1"/>
    <w:qFormat/>
    <w:uiPriority w:val="0"/>
    <w:pPr>
      <w:tabs>
        <w:tab w:val="left" w:pos="360"/>
      </w:tabs>
    </w:pPr>
    <w:rPr>
      <w:sz w:val="24"/>
    </w:rPr>
  </w:style>
  <w:style w:type="paragraph" w:customStyle="1" w:styleId="276">
    <w:name w:val="一、"/>
    <w:next w:val="147"/>
    <w:qFormat/>
    <w:uiPriority w:val="0"/>
    <w:pPr>
      <w:tabs>
        <w:tab w:val="left" w:pos="360"/>
      </w:tabs>
      <w:spacing w:before="240" w:after="240" w:line="360" w:lineRule="auto"/>
      <w:ind w:firstLine="420"/>
      <w:jc w:val="both"/>
    </w:pPr>
    <w:rPr>
      <w:rFonts w:ascii="Times New Roman" w:hAnsi="Times New Roman" w:eastAsia="黑体" w:cs="Times New Roman"/>
      <w:sz w:val="28"/>
      <w:lang w:val="en-US" w:eastAsia="zh-CN" w:bidi="ar-SA"/>
    </w:rPr>
  </w:style>
  <w:style w:type="paragraph" w:customStyle="1" w:styleId="277">
    <w:name w:val="xl88"/>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78">
    <w:name w:val="xl81"/>
    <w:basedOn w:val="1"/>
    <w:qFormat/>
    <w:uiPriority w:val="0"/>
    <w:pPr>
      <w:pBdr>
        <w:top w:val="single" w:color="auto" w:sz="4" w:space="0"/>
        <w:left w:val="single" w:color="auto" w:sz="4" w:space="0"/>
        <w:bottom w:val="single" w:color="auto" w:sz="4" w:space="0"/>
        <w:right w:val="double" w:color="auto" w:sz="6" w:space="0"/>
      </w:pBdr>
      <w:spacing w:before="100" w:beforeAutospacing="1" w:after="100" w:afterAutospacing="1"/>
      <w:jc w:val="left"/>
      <w:textAlignment w:val="center"/>
    </w:pPr>
    <w:rPr>
      <w:rFonts w:ascii="宋体" w:hAnsi="宋体" w:cs="宋体"/>
      <w:kern w:val="0"/>
      <w:szCs w:val="21"/>
    </w:rPr>
  </w:style>
  <w:style w:type="paragraph" w:customStyle="1" w:styleId="279">
    <w:name w:val="xl53"/>
    <w:basedOn w:val="1"/>
    <w:qFormat/>
    <w:uiPriority w:val="0"/>
    <w:pPr>
      <w:spacing w:before="100" w:beforeAutospacing="1" w:after="100" w:afterAutospacing="1"/>
      <w:jc w:val="left"/>
    </w:pPr>
    <w:rPr>
      <w:rFonts w:hint="eastAsia" w:ascii="黑体" w:hAnsi="宋体" w:eastAsia="黑体"/>
      <w:kern w:val="0"/>
      <w:sz w:val="24"/>
    </w:rPr>
  </w:style>
  <w:style w:type="paragraph" w:customStyle="1" w:styleId="280">
    <w:name w:val="USE 2"/>
    <w:basedOn w:val="1"/>
    <w:qFormat/>
    <w:uiPriority w:val="0"/>
    <w:pPr>
      <w:ind w:left="4556" w:hanging="3836"/>
      <w:jc w:val="left"/>
    </w:pPr>
    <w:rPr>
      <w:rFonts w:ascii="宋体" w:hAnsi="宋体"/>
      <w:sz w:val="24"/>
      <w:szCs w:val="20"/>
    </w:rPr>
  </w:style>
  <w:style w:type="paragraph" w:customStyle="1" w:styleId="281">
    <w:name w:val="表格文字"/>
    <w:basedOn w:val="1"/>
    <w:qFormat/>
    <w:uiPriority w:val="0"/>
    <w:pPr>
      <w:adjustRightInd w:val="0"/>
      <w:spacing w:line="420" w:lineRule="atLeast"/>
      <w:jc w:val="left"/>
      <w:textAlignment w:val="baseline"/>
    </w:pPr>
    <w:rPr>
      <w:kern w:val="0"/>
      <w:szCs w:val="20"/>
    </w:rPr>
  </w:style>
  <w:style w:type="paragraph" w:customStyle="1" w:styleId="282">
    <w:name w:val="1."/>
    <w:basedOn w:val="1"/>
    <w:qFormat/>
    <w:uiPriority w:val="0"/>
    <w:pPr>
      <w:tabs>
        <w:tab w:val="left" w:pos="425"/>
      </w:tabs>
      <w:ind w:firstLine="482"/>
    </w:pPr>
    <w:rPr>
      <w:sz w:val="28"/>
      <w:szCs w:val="20"/>
    </w:rPr>
  </w:style>
  <w:style w:type="paragraph" w:customStyle="1" w:styleId="283">
    <w:name w:val="font8"/>
    <w:basedOn w:val="1"/>
    <w:qFormat/>
    <w:uiPriority w:val="0"/>
    <w:pPr>
      <w:spacing w:before="100" w:beforeAutospacing="1" w:after="100" w:afterAutospacing="1"/>
      <w:jc w:val="left"/>
    </w:pPr>
    <w:rPr>
      <w:rFonts w:hint="eastAsia" w:ascii="楷体_GB2312" w:hAnsi="宋体" w:eastAsia="楷体_GB2312"/>
      <w:kern w:val="0"/>
      <w:sz w:val="20"/>
      <w:szCs w:val="20"/>
    </w:rPr>
  </w:style>
  <w:style w:type="paragraph" w:customStyle="1" w:styleId="284">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285">
    <w:name w:val="Body text 1"/>
    <w:basedOn w:val="286"/>
    <w:qFormat/>
    <w:uiPriority w:val="0"/>
    <w:pPr>
      <w:tabs>
        <w:tab w:val="left" w:pos="1134"/>
      </w:tabs>
      <w:ind w:hanging="1134"/>
    </w:pPr>
  </w:style>
  <w:style w:type="paragraph" w:customStyle="1" w:styleId="286">
    <w:name w:val="正文文本1"/>
    <w:qFormat/>
    <w:uiPriority w:val="0"/>
    <w:pPr>
      <w:widowControl w:val="0"/>
      <w:autoSpaceDE w:val="0"/>
      <w:autoSpaceDN w:val="0"/>
      <w:adjustRightInd w:val="0"/>
      <w:spacing w:before="170" w:after="160" w:line="300" w:lineRule="atLeast"/>
      <w:ind w:left="1134" w:firstLine="420"/>
      <w:jc w:val="both"/>
    </w:pPr>
    <w:rPr>
      <w:rFonts w:ascii="Times New Roman" w:hAnsi="Times New Roman" w:eastAsia="宋体" w:cs="Times New Roman"/>
      <w:color w:val="000000"/>
      <w:sz w:val="24"/>
      <w:lang w:val="en-US" w:eastAsia="zh-CN" w:bidi="ar-SA"/>
    </w:rPr>
  </w:style>
  <w:style w:type="paragraph" w:customStyle="1" w:styleId="287">
    <w:name w:val="_Style 10"/>
    <w:basedOn w:val="1"/>
    <w:next w:val="1"/>
    <w:qFormat/>
    <w:uiPriority w:val="0"/>
  </w:style>
  <w:style w:type="paragraph" w:customStyle="1" w:styleId="288">
    <w:name w:val="xl79"/>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89">
    <w:name w:val="Char Char Char Char Char Char Char1"/>
    <w:basedOn w:val="1"/>
    <w:qFormat/>
    <w:uiPriority w:val="0"/>
    <w:pPr>
      <w:spacing w:line="240" w:lineRule="exact"/>
      <w:jc w:val="left"/>
    </w:pPr>
    <w:rPr>
      <w:rFonts w:ascii="Arial" w:hAnsi="Arial" w:eastAsia="Times New Roman" w:cs="Verdana"/>
      <w:b/>
      <w:kern w:val="0"/>
      <w:sz w:val="24"/>
      <w:lang w:eastAsia="en-US"/>
    </w:rPr>
  </w:style>
  <w:style w:type="paragraph" w:customStyle="1" w:styleId="290">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paragraph" w:customStyle="1" w:styleId="291">
    <w:name w:val="Char Char Char Char"/>
    <w:basedOn w:val="1"/>
    <w:qFormat/>
    <w:uiPriority w:val="0"/>
    <w:pPr>
      <w:tabs>
        <w:tab w:val="left" w:pos="360"/>
      </w:tabs>
    </w:pPr>
    <w:rPr>
      <w:sz w:val="24"/>
    </w:rPr>
  </w:style>
  <w:style w:type="paragraph" w:customStyle="1" w:styleId="292">
    <w:name w:val="标题3"/>
    <w:basedOn w:val="4"/>
    <w:qFormat/>
    <w:uiPriority w:val="0"/>
    <w:pPr>
      <w:spacing w:beforeLines="50" w:after="0" w:line="312" w:lineRule="auto"/>
      <w:jc w:val="center"/>
    </w:pPr>
    <w:rPr>
      <w:rFonts w:ascii="宋体"/>
      <w:bCs w:val="0"/>
      <w:sz w:val="24"/>
      <w:szCs w:val="20"/>
    </w:rPr>
  </w:style>
  <w:style w:type="paragraph" w:customStyle="1" w:styleId="293">
    <w:name w:val="cucd-TB"/>
    <w:qFormat/>
    <w:uiPriority w:val="0"/>
    <w:pPr>
      <w:spacing w:after="160" w:line="360" w:lineRule="auto"/>
      <w:ind w:firstLine="420"/>
      <w:jc w:val="center"/>
    </w:pPr>
    <w:rPr>
      <w:rFonts w:ascii="Times New Roman" w:hAnsi="Times New Roman" w:eastAsia="宋体" w:cs="Times New Roman"/>
      <w:kern w:val="2"/>
      <w:sz w:val="21"/>
      <w:szCs w:val="24"/>
      <w:lang w:val="en-US" w:eastAsia="zh-CN" w:bidi="ar-SA"/>
    </w:rPr>
  </w:style>
  <w:style w:type="paragraph" w:customStyle="1" w:styleId="294">
    <w:name w:val="xl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95">
    <w:name w:val="Char1"/>
    <w:basedOn w:val="1"/>
    <w:qFormat/>
    <w:uiPriority w:val="0"/>
    <w:rPr>
      <w:rFonts w:ascii="仿宋_GB2312" w:eastAsia="仿宋_GB2312"/>
      <w:b/>
      <w:sz w:val="32"/>
      <w:szCs w:val="32"/>
    </w:rPr>
  </w:style>
  <w:style w:type="paragraph" w:customStyle="1" w:styleId="296">
    <w:name w:val="xl87"/>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97">
    <w:name w:val="样式 纯文本 + 居中 行距: 最小值 9 磅"/>
    <w:basedOn w:val="27"/>
    <w:qFormat/>
    <w:uiPriority w:val="0"/>
    <w:pPr>
      <w:spacing w:line="180" w:lineRule="atLeast"/>
      <w:jc w:val="left"/>
    </w:pPr>
    <w:rPr>
      <w:rFonts w:cs="宋体"/>
      <w:sz w:val="24"/>
      <w:szCs w:val="20"/>
    </w:rPr>
  </w:style>
  <w:style w:type="paragraph" w:customStyle="1" w:styleId="298">
    <w:name w:val="Char Char Char Char Char Char Char Char Char Char Char Char Char"/>
    <w:basedOn w:val="1"/>
    <w:qFormat/>
    <w:uiPriority w:val="0"/>
    <w:rPr>
      <w:rFonts w:ascii="仿宋_GB2312" w:eastAsia="仿宋_GB2312"/>
      <w:b/>
      <w:sz w:val="32"/>
      <w:szCs w:val="32"/>
    </w:rPr>
  </w:style>
  <w:style w:type="paragraph" w:customStyle="1" w:styleId="299">
    <w:name w:val="xl98"/>
    <w:basedOn w:val="1"/>
    <w:qFormat/>
    <w:uiPriority w:val="0"/>
    <w:pPr>
      <w:pBdr>
        <w:top w:val="single" w:color="auto" w:sz="4" w:space="0"/>
        <w:left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00">
    <w:name w:val="xl2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301">
    <w:name w:val="Style 樣式 標題 3 + (中文) MS Gothic 10.5 點 + (Latin) Times New Roman (A..."/>
    <w:basedOn w:val="1"/>
    <w:qFormat/>
    <w:uiPriority w:val="0"/>
    <w:pPr>
      <w:keepNext/>
      <w:tabs>
        <w:tab w:val="left" w:pos="2098"/>
      </w:tabs>
      <w:ind w:left="1503" w:hanging="142"/>
      <w:outlineLvl w:val="2"/>
    </w:pPr>
    <w:rPr>
      <w:rFonts w:eastAsia="PMingLiU"/>
      <w:snapToGrid w:val="0"/>
      <w:sz w:val="24"/>
      <w:lang w:val="en-AU" w:eastAsia="zh-TW"/>
    </w:rPr>
  </w:style>
  <w:style w:type="paragraph" w:customStyle="1" w:styleId="302">
    <w:name w:val="tableau"/>
    <w:basedOn w:val="1"/>
    <w:qFormat/>
    <w:uiPriority w:val="0"/>
    <w:pPr>
      <w:spacing w:before="20" w:after="20"/>
      <w:jc w:val="center"/>
    </w:pPr>
    <w:rPr>
      <w:rFonts w:ascii="Arial" w:hAnsi="Arial"/>
      <w:kern w:val="0"/>
      <w:sz w:val="16"/>
      <w:szCs w:val="20"/>
      <w:lang w:val="en-GB"/>
    </w:rPr>
  </w:style>
  <w:style w:type="paragraph" w:customStyle="1" w:styleId="303">
    <w:name w:val="xl35"/>
    <w:basedOn w:val="1"/>
    <w:qFormat/>
    <w:uiPriority w:val="0"/>
    <w:pPr>
      <w:pBdr>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304">
    <w:name w:val="Char Char Char Char2"/>
    <w:basedOn w:val="1"/>
    <w:qFormat/>
    <w:uiPriority w:val="0"/>
    <w:pPr>
      <w:tabs>
        <w:tab w:val="left" w:pos="1080"/>
      </w:tabs>
      <w:ind w:left="1078" w:leftChars="343" w:right="210" w:rightChars="100" w:hanging="358" w:hangingChars="149"/>
    </w:pPr>
    <w:rPr>
      <w:sz w:val="24"/>
      <w:szCs w:val="20"/>
    </w:rPr>
  </w:style>
  <w:style w:type="paragraph" w:customStyle="1" w:styleId="305">
    <w:name w:val="xl54"/>
    <w:basedOn w:val="1"/>
    <w:qFormat/>
    <w:uiPriority w:val="0"/>
    <w:pPr>
      <w:pBdr>
        <w:top w:val="single" w:color="auto" w:sz="8" w:space="0"/>
        <w:left w:val="single" w:color="auto" w:sz="8"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306">
    <w:name w:val="xl33"/>
    <w:basedOn w:val="1"/>
    <w:qFormat/>
    <w:uiPriority w:val="0"/>
    <w:pPr>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307">
    <w:name w:val="样式 宋体 小四 黑色 左 行距: 1.5 倍行距"/>
    <w:basedOn w:val="1"/>
    <w:qFormat/>
    <w:uiPriority w:val="0"/>
    <w:pPr>
      <w:jc w:val="left"/>
    </w:pPr>
    <w:rPr>
      <w:rFonts w:ascii="宋体" w:hAnsi="宋体" w:cs="宋体"/>
      <w:color w:val="000000"/>
      <w:sz w:val="24"/>
      <w:szCs w:val="20"/>
    </w:rPr>
  </w:style>
  <w:style w:type="paragraph" w:customStyle="1" w:styleId="308">
    <w:name w:val="xl84"/>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09">
    <w:name w:val="xl64"/>
    <w:basedOn w:val="1"/>
    <w:qFormat/>
    <w:uiPriority w:val="0"/>
    <w:pPr>
      <w:spacing w:before="100" w:beforeAutospacing="1" w:after="100" w:afterAutospacing="1"/>
      <w:jc w:val="center"/>
      <w:textAlignment w:val="center"/>
    </w:pPr>
    <w:rPr>
      <w:rFonts w:ascii="宋体" w:hAnsi="宋体" w:cs="宋体"/>
      <w:kern w:val="0"/>
      <w:sz w:val="24"/>
    </w:rPr>
  </w:style>
  <w:style w:type="paragraph" w:customStyle="1" w:styleId="310">
    <w:name w:val="Tétière"/>
    <w:basedOn w:val="1"/>
    <w:qFormat/>
    <w:uiPriority w:val="0"/>
    <w:pPr>
      <w:spacing w:before="60" w:after="60"/>
      <w:jc w:val="center"/>
    </w:pPr>
    <w:rPr>
      <w:rFonts w:ascii="Arial" w:hAnsi="Arial"/>
      <w:b/>
      <w:kern w:val="0"/>
      <w:sz w:val="16"/>
      <w:szCs w:val="20"/>
      <w:lang w:val="en-GB"/>
    </w:rPr>
  </w:style>
  <w:style w:type="paragraph" w:customStyle="1" w:styleId="311">
    <w:name w:val="目录 81"/>
    <w:basedOn w:val="1"/>
    <w:next w:val="1"/>
    <w:qFormat/>
    <w:uiPriority w:val="39"/>
    <w:pPr>
      <w:ind w:left="2940" w:leftChars="1400"/>
    </w:pPr>
    <w:rPr>
      <w:rFonts w:ascii="Calibri" w:hAnsi="Calibri"/>
      <w:szCs w:val="22"/>
    </w:rPr>
  </w:style>
  <w:style w:type="paragraph" w:customStyle="1" w:styleId="312">
    <w:name w:val="样式1"/>
    <w:basedOn w:val="34"/>
    <w:qFormat/>
    <w:uiPriority w:val="0"/>
    <w:pPr>
      <w:autoSpaceDE w:val="0"/>
      <w:autoSpaceDN w:val="0"/>
      <w:adjustRightInd w:val="0"/>
      <w:snapToGrid/>
      <w:textAlignment w:val="baseline"/>
    </w:pPr>
    <w:rPr>
      <w:rFonts w:ascii="宋体"/>
      <w:kern w:val="0"/>
      <w:szCs w:val="20"/>
    </w:rPr>
  </w:style>
  <w:style w:type="paragraph" w:customStyle="1" w:styleId="313">
    <w:name w:val="Char Char Char Char Char Char Char Char Char Char"/>
    <w:basedOn w:val="1"/>
    <w:qFormat/>
    <w:uiPriority w:val="0"/>
    <w:rPr>
      <w:rFonts w:ascii="Tahoma" w:hAnsi="Tahoma" w:cs="仿宋_GB2312"/>
      <w:sz w:val="24"/>
      <w:szCs w:val="20"/>
    </w:rPr>
  </w:style>
  <w:style w:type="paragraph" w:customStyle="1" w:styleId="314">
    <w:name w:val="孙（1）"/>
    <w:qFormat/>
    <w:uiPriority w:val="0"/>
    <w:pPr>
      <w:spacing w:before="100" w:after="100" w:line="360" w:lineRule="auto"/>
      <w:ind w:firstLine="420"/>
      <w:jc w:val="both"/>
      <w:outlineLvl w:val="1"/>
    </w:pPr>
    <w:rPr>
      <w:rFonts w:ascii="Times New Roman" w:hAnsi="Times New Roman" w:eastAsia="宋体" w:cs="Times New Roman"/>
      <w:b/>
      <w:sz w:val="24"/>
      <w:szCs w:val="24"/>
      <w:lang w:val="en-US" w:eastAsia="zh-CN" w:bidi="ar-SA"/>
    </w:rPr>
  </w:style>
  <w:style w:type="paragraph" w:customStyle="1" w:styleId="315">
    <w:name w:val="Char4"/>
    <w:basedOn w:val="1"/>
    <w:qFormat/>
    <w:uiPriority w:val="0"/>
  </w:style>
  <w:style w:type="paragraph" w:customStyle="1" w:styleId="316">
    <w:name w:val="目录 41"/>
    <w:basedOn w:val="1"/>
    <w:next w:val="1"/>
    <w:qFormat/>
    <w:uiPriority w:val="39"/>
    <w:pPr>
      <w:ind w:left="1260" w:leftChars="600"/>
    </w:pPr>
    <w:rPr>
      <w:rFonts w:ascii="Calibri" w:hAnsi="Calibri"/>
      <w:szCs w:val="22"/>
    </w:rPr>
  </w:style>
  <w:style w:type="paragraph" w:customStyle="1" w:styleId="317">
    <w:name w:val="cucd-0"/>
    <w:qFormat/>
    <w:uiPriority w:val="0"/>
    <w:pPr>
      <w:spacing w:after="160" w:line="360" w:lineRule="auto"/>
      <w:ind w:firstLine="480" w:firstLineChars="200"/>
      <w:jc w:val="both"/>
    </w:pPr>
    <w:rPr>
      <w:rFonts w:ascii="Times New Roman" w:hAnsi="Times New Roman" w:eastAsia="宋体" w:cs="Times New Roman"/>
      <w:kern w:val="2"/>
      <w:sz w:val="24"/>
      <w:szCs w:val="24"/>
      <w:lang w:val="en-US" w:eastAsia="zh-CN" w:bidi="ar-SA"/>
    </w:rPr>
  </w:style>
  <w:style w:type="paragraph" w:customStyle="1" w:styleId="318">
    <w:name w:val="xl61"/>
    <w:basedOn w:val="1"/>
    <w:qFormat/>
    <w:uiPriority w:val="0"/>
    <w:pPr>
      <w:pBdr>
        <w:left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319">
    <w:name w:val="1.1"/>
    <w:basedOn w:val="5"/>
    <w:qFormat/>
    <w:uiPriority w:val="0"/>
    <w:pPr>
      <w:keepNext w:val="0"/>
      <w:keepLines w:val="0"/>
      <w:autoSpaceDE w:val="0"/>
      <w:autoSpaceDN w:val="0"/>
      <w:adjustRightInd w:val="0"/>
      <w:spacing w:before="0" w:after="0"/>
      <w:jc w:val="left"/>
      <w:outlineLvl w:val="2"/>
    </w:pPr>
    <w:rPr>
      <w:rFonts w:ascii="宋体" w:hAnsi="宋体" w:eastAsia="宋体"/>
      <w:b w:val="0"/>
      <w:bCs w:val="0"/>
      <w:kern w:val="0"/>
      <w:sz w:val="21"/>
      <w:szCs w:val="20"/>
    </w:rPr>
  </w:style>
  <w:style w:type="paragraph" w:customStyle="1" w:styleId="320">
    <w:name w:val="xl31"/>
    <w:basedOn w:val="1"/>
    <w:qFormat/>
    <w:uiPriority w:val="0"/>
    <w:pPr>
      <w:spacing w:before="100" w:beforeAutospacing="1" w:after="100" w:afterAutospacing="1"/>
      <w:jc w:val="center"/>
      <w:textAlignment w:val="center"/>
    </w:pPr>
    <w:rPr>
      <w:rFonts w:ascii="宋体" w:hAnsi="宋体" w:cs="宋体"/>
      <w:b/>
      <w:bCs/>
      <w:color w:val="000000"/>
      <w:kern w:val="0"/>
      <w:sz w:val="32"/>
      <w:szCs w:val="32"/>
    </w:rPr>
  </w:style>
  <w:style w:type="paragraph" w:customStyle="1" w:styleId="321">
    <w:name w:val="文件正文"/>
    <w:basedOn w:val="1"/>
    <w:qFormat/>
    <w:uiPriority w:val="0"/>
    <w:pPr>
      <w:ind w:firstLine="480"/>
    </w:pPr>
    <w:rPr>
      <w:rFonts w:eastAsia="仿宋_GB2312"/>
      <w:sz w:val="24"/>
      <w:szCs w:val="20"/>
    </w:rPr>
  </w:style>
  <w:style w:type="paragraph" w:customStyle="1" w:styleId="322">
    <w:name w:val="333"/>
    <w:basedOn w:val="1"/>
    <w:qFormat/>
    <w:uiPriority w:val="0"/>
    <w:pPr>
      <w:tabs>
        <w:tab w:val="left" w:pos="9083"/>
      </w:tabs>
      <w:wordWrap w:val="0"/>
      <w:spacing w:beforeLines="50" w:afterLines="50"/>
      <w:ind w:right="1106"/>
    </w:pPr>
    <w:rPr>
      <w:rFonts w:ascii="宋体" w:hAnsi="宋体" w:cs="宋体"/>
      <w:sz w:val="24"/>
    </w:rPr>
  </w:style>
  <w:style w:type="paragraph" w:customStyle="1" w:styleId="323">
    <w:name w:val="xl32"/>
    <w:basedOn w:val="1"/>
    <w:qFormat/>
    <w:uiPriority w:val="0"/>
    <w:pPr>
      <w:spacing w:before="100" w:beforeAutospacing="1" w:after="100" w:afterAutospacing="1"/>
      <w:jc w:val="left"/>
      <w:textAlignment w:val="center"/>
    </w:pPr>
    <w:rPr>
      <w:rFonts w:ascii="宋体" w:hAnsi="宋体" w:cs="宋体"/>
      <w:color w:val="000000"/>
      <w:kern w:val="0"/>
      <w:sz w:val="24"/>
    </w:rPr>
  </w:style>
  <w:style w:type="paragraph" w:customStyle="1" w:styleId="324">
    <w:name w:val="xl56"/>
    <w:basedOn w:val="1"/>
    <w:qFormat/>
    <w:uiPriority w:val="0"/>
    <w:pPr>
      <w:pBdr>
        <w:top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325">
    <w:name w:val="xl50"/>
    <w:basedOn w:val="1"/>
    <w:qFormat/>
    <w:uiPriority w:val="0"/>
    <w:pPr>
      <w:pBdr>
        <w:top w:val="single" w:color="auto" w:sz="4" w:space="0"/>
        <w:left w:val="single" w:color="auto" w:sz="4"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326">
    <w:name w:val="xl91"/>
    <w:basedOn w:val="1"/>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27">
    <w:name w:val="通用专用"/>
    <w:basedOn w:val="1"/>
    <w:qFormat/>
    <w:uiPriority w:val="0"/>
    <w:pPr>
      <w:jc w:val="center"/>
    </w:pPr>
    <w:rPr>
      <w:rFonts w:ascii="宋体"/>
      <w:b/>
      <w:sz w:val="36"/>
      <w:szCs w:val="20"/>
    </w:rPr>
  </w:style>
  <w:style w:type="paragraph" w:customStyle="1" w:styleId="328">
    <w:name w:val="Char Char Char Char Char Char Char Char Char Char Char Char Char1"/>
    <w:basedOn w:val="1"/>
    <w:qFormat/>
    <w:uiPriority w:val="0"/>
    <w:rPr>
      <w:rFonts w:ascii="仿宋_GB2312" w:eastAsia="仿宋_GB2312"/>
      <w:b/>
      <w:sz w:val="32"/>
      <w:szCs w:val="32"/>
    </w:rPr>
  </w:style>
  <w:style w:type="paragraph" w:customStyle="1" w:styleId="329">
    <w:name w:val="xl34"/>
    <w:basedOn w:val="1"/>
    <w:qFormat/>
    <w:uiPriority w:val="0"/>
    <w:pPr>
      <w:pBdr>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330">
    <w:name w:val="TOC 标题1"/>
    <w:basedOn w:val="4"/>
    <w:next w:val="1"/>
    <w:qFormat/>
    <w:uiPriority w:val="39"/>
    <w:pPr>
      <w:spacing w:before="480" w:after="0" w:line="276" w:lineRule="auto"/>
      <w:jc w:val="left"/>
      <w:outlineLvl w:val="9"/>
    </w:pPr>
    <w:rPr>
      <w:rFonts w:ascii="Cambria" w:hAnsi="Cambria"/>
      <w:color w:val="365F91"/>
      <w:kern w:val="0"/>
      <w:sz w:val="28"/>
      <w:szCs w:val="28"/>
    </w:rPr>
  </w:style>
  <w:style w:type="paragraph" w:customStyle="1" w:styleId="331">
    <w:name w:val="需求书用目录1"/>
    <w:basedOn w:val="1"/>
    <w:qFormat/>
    <w:uiPriority w:val="0"/>
    <w:pPr>
      <w:spacing w:before="360" w:after="40" w:line="500" w:lineRule="exact"/>
      <w:ind w:left="538" w:leftChars="256" w:firstLine="2803" w:firstLineChars="1000"/>
    </w:pPr>
    <w:rPr>
      <w:rFonts w:ascii="宋体"/>
      <w:b/>
      <w:sz w:val="28"/>
      <w:szCs w:val="20"/>
    </w:rPr>
  </w:style>
  <w:style w:type="paragraph" w:customStyle="1" w:styleId="332">
    <w:name w:val="xl62"/>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333">
    <w:name w:val="重点"/>
    <w:basedOn w:val="1"/>
    <w:qFormat/>
    <w:uiPriority w:val="0"/>
    <w:pPr>
      <w:tabs>
        <w:tab w:val="left" w:pos="0"/>
        <w:tab w:val="left" w:pos="420"/>
      </w:tabs>
      <w:adjustRightInd w:val="0"/>
      <w:snapToGrid w:val="0"/>
      <w:spacing w:line="560" w:lineRule="atLeast"/>
      <w:ind w:left="420" w:hanging="420"/>
    </w:pPr>
    <w:rPr>
      <w:kern w:val="24"/>
      <w:sz w:val="30"/>
      <w:szCs w:val="20"/>
    </w:rPr>
  </w:style>
  <w:style w:type="paragraph" w:customStyle="1" w:styleId="334">
    <w:name w:val="目录 61"/>
    <w:basedOn w:val="1"/>
    <w:next w:val="1"/>
    <w:qFormat/>
    <w:uiPriority w:val="39"/>
    <w:pPr>
      <w:ind w:left="2100" w:leftChars="1000"/>
    </w:pPr>
    <w:rPr>
      <w:rFonts w:ascii="Calibri" w:hAnsi="Calibri"/>
      <w:szCs w:val="22"/>
    </w:rPr>
  </w:style>
  <w:style w:type="paragraph" w:customStyle="1" w:styleId="335">
    <w:name w:val="xl6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36">
    <w:name w:val="xl93"/>
    <w:basedOn w:val="1"/>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37">
    <w:name w:val="样式 样式 标题 3 + 仿宋_GB2312 小四 段前: 0 磅 段后: 0 磅 + 段前: 0.5 行"/>
    <w:basedOn w:val="338"/>
    <w:qFormat/>
    <w:uiPriority w:val="0"/>
    <w:pPr>
      <w:spacing w:afterLines="50"/>
      <w:jc w:val="both"/>
    </w:pPr>
    <w:rPr>
      <w:rFonts w:ascii="宋体" w:eastAsia="宋体"/>
      <w:b w:val="0"/>
    </w:rPr>
  </w:style>
  <w:style w:type="paragraph" w:customStyle="1" w:styleId="338">
    <w:name w:val="样式 标题 3 + 仿宋_GB2312 小四 段前: 0 磅 段后: 0 磅"/>
    <w:basedOn w:val="6"/>
    <w:qFormat/>
    <w:uiPriority w:val="0"/>
    <w:pPr>
      <w:spacing w:beforeLines="50" w:after="0" w:line="413" w:lineRule="auto"/>
      <w:jc w:val="center"/>
    </w:pPr>
    <w:rPr>
      <w:rFonts w:ascii="仿宋_GB2312" w:eastAsia="仿宋_GB2312" w:cs="宋体"/>
      <w:kern w:val="0"/>
      <w:szCs w:val="20"/>
    </w:rPr>
  </w:style>
  <w:style w:type="paragraph" w:customStyle="1" w:styleId="339">
    <w:name w:val="xl57"/>
    <w:basedOn w:val="1"/>
    <w:qFormat/>
    <w:uiPriority w:val="0"/>
    <w:pPr>
      <w:pBdr>
        <w:top w:val="single" w:color="auto" w:sz="4" w:space="0"/>
        <w:right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340">
    <w:name w:val="青岛正文"/>
    <w:basedOn w:val="1"/>
    <w:qFormat/>
    <w:uiPriority w:val="0"/>
    <w:rPr>
      <w:sz w:val="28"/>
    </w:rPr>
  </w:style>
  <w:style w:type="paragraph" w:customStyle="1" w:styleId="341">
    <w:name w:val="xl76"/>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342">
    <w:name w:val="样式 标题 3 + (中文) 黑体 小四 非加粗 段前: 7.8 磅 段后: 0 磅 行距: 固定值 20 磅"/>
    <w:basedOn w:val="6"/>
    <w:qFormat/>
    <w:uiPriority w:val="0"/>
    <w:pPr>
      <w:spacing w:before="0" w:after="0" w:line="400" w:lineRule="exact"/>
    </w:pPr>
    <w:rPr>
      <w:rFonts w:eastAsia="黑体" w:cs="宋体"/>
      <w:b w:val="0"/>
      <w:bCs w:val="0"/>
      <w:szCs w:val="20"/>
    </w:rPr>
  </w:style>
  <w:style w:type="paragraph" w:customStyle="1" w:styleId="343">
    <w:name w:val="xl4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4"/>
    </w:rPr>
  </w:style>
  <w:style w:type="paragraph" w:customStyle="1" w:styleId="344">
    <w:name w:val="font12"/>
    <w:basedOn w:val="1"/>
    <w:qFormat/>
    <w:uiPriority w:val="0"/>
    <w:pPr>
      <w:spacing w:before="100" w:beforeAutospacing="1" w:after="100" w:afterAutospacing="1"/>
      <w:jc w:val="left"/>
    </w:pPr>
    <w:rPr>
      <w:rFonts w:hint="eastAsia" w:ascii="宋体" w:hAnsi="宋体" w:cs="Arial Unicode MS"/>
      <w:b/>
      <w:bCs/>
      <w:color w:val="000000"/>
      <w:kern w:val="0"/>
      <w:sz w:val="16"/>
      <w:szCs w:val="16"/>
    </w:rPr>
  </w:style>
  <w:style w:type="paragraph" w:customStyle="1" w:styleId="345">
    <w:name w:val="xl89"/>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46">
    <w:name w:val="xl100"/>
    <w:basedOn w:val="1"/>
    <w:qFormat/>
    <w:uiPriority w:val="0"/>
    <w:pPr>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47">
    <w:name w:val="Report Level 2"/>
    <w:basedOn w:val="244"/>
    <w:next w:val="110"/>
    <w:qFormat/>
    <w:uiPriority w:val="0"/>
    <w:pPr>
      <w:ind w:left="0" w:firstLine="0"/>
      <w:outlineLvl w:val="1"/>
    </w:pPr>
    <w:rPr>
      <w:caps w:val="0"/>
    </w:rPr>
  </w:style>
  <w:style w:type="paragraph" w:styleId="348">
    <w:name w:val="List Paragraph"/>
    <w:basedOn w:val="1"/>
    <w:link w:val="479"/>
    <w:qFormat/>
    <w:uiPriority w:val="34"/>
    <w:pPr>
      <w:ind w:firstLine="420"/>
    </w:pPr>
  </w:style>
  <w:style w:type="paragraph" w:customStyle="1" w:styleId="349">
    <w:name w:val="xl45"/>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350">
    <w:name w:val="xl44"/>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黑体" w:hAnsi="宋体" w:eastAsia="黑体"/>
      <w:kern w:val="0"/>
      <w:sz w:val="24"/>
    </w:rPr>
  </w:style>
  <w:style w:type="paragraph" w:customStyle="1" w:styleId="351">
    <w:name w:val="xl4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4"/>
    </w:rPr>
  </w:style>
  <w:style w:type="paragraph" w:customStyle="1" w:styleId="352">
    <w:name w:val="样式 宋体 小四 首行缩进:  0.93 厘米 段前: 11.15 磅 段后: 11.15 磅1"/>
    <w:basedOn w:val="202"/>
    <w:next w:val="202"/>
    <w:qFormat/>
    <w:uiPriority w:val="99"/>
    <w:rPr>
      <w:rFonts w:ascii="宋体"/>
      <w:color w:val="auto"/>
    </w:rPr>
  </w:style>
  <w:style w:type="paragraph" w:customStyle="1" w:styleId="353">
    <w:name w:val="纯文本1"/>
    <w:basedOn w:val="1"/>
    <w:qFormat/>
    <w:uiPriority w:val="0"/>
    <w:rPr>
      <w:rFonts w:ascii="宋体" w:hAnsi="Courier New" w:cs="Courier New"/>
      <w:szCs w:val="21"/>
    </w:rPr>
  </w:style>
  <w:style w:type="paragraph" w:customStyle="1" w:styleId="354">
    <w:name w:val="xl97"/>
    <w:basedOn w:val="1"/>
    <w:qFormat/>
    <w:uiPriority w:val="0"/>
    <w:pPr>
      <w:pBdr>
        <w:top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55">
    <w:name w:val="目录 21"/>
    <w:basedOn w:val="1"/>
    <w:next w:val="1"/>
    <w:qFormat/>
    <w:uiPriority w:val="39"/>
    <w:pPr>
      <w:tabs>
        <w:tab w:val="right" w:leader="dot" w:pos="8295"/>
      </w:tabs>
      <w:ind w:left="205" w:leftChars="205"/>
    </w:pPr>
  </w:style>
  <w:style w:type="paragraph" w:customStyle="1" w:styleId="356">
    <w:name w:val="1册标题1"/>
    <w:basedOn w:val="1"/>
    <w:next w:val="1"/>
    <w:qFormat/>
    <w:uiPriority w:val="0"/>
    <w:pPr>
      <w:spacing w:beforeLines="50" w:afterLines="50" w:line="300" w:lineRule="auto"/>
      <w:jc w:val="center"/>
      <w:outlineLvl w:val="0"/>
    </w:pPr>
    <w:rPr>
      <w:rFonts w:ascii="Arial" w:hAnsi="Arial" w:eastAsia="黑体"/>
      <w:b/>
      <w:bCs/>
      <w:sz w:val="48"/>
      <w:szCs w:val="20"/>
    </w:rPr>
  </w:style>
  <w:style w:type="paragraph" w:customStyle="1" w:styleId="357">
    <w:name w:val="xl94"/>
    <w:basedOn w:val="1"/>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58">
    <w:name w:val="青岛标题4"/>
    <w:basedOn w:val="7"/>
    <w:qFormat/>
    <w:uiPriority w:val="0"/>
    <w:pPr>
      <w:spacing w:line="500" w:lineRule="atLeast"/>
      <w:jc w:val="left"/>
      <w:outlineLvl w:val="2"/>
    </w:pPr>
    <w:rPr>
      <w:rFonts w:eastAsia="宋体"/>
      <w:sz w:val="30"/>
    </w:rPr>
  </w:style>
  <w:style w:type="paragraph" w:customStyle="1" w:styleId="359">
    <w:name w:val="样式3"/>
    <w:basedOn w:val="34"/>
    <w:qFormat/>
    <w:uiPriority w:val="0"/>
    <w:pPr>
      <w:autoSpaceDE w:val="0"/>
      <w:autoSpaceDN w:val="0"/>
      <w:adjustRightInd w:val="0"/>
      <w:snapToGrid/>
      <w:textAlignment w:val="baseline"/>
    </w:pPr>
    <w:rPr>
      <w:rFonts w:ascii="宋体"/>
      <w:kern w:val="0"/>
      <w:szCs w:val="20"/>
    </w:rPr>
  </w:style>
  <w:style w:type="paragraph" w:customStyle="1" w:styleId="360">
    <w:name w:val="xl60"/>
    <w:basedOn w:val="1"/>
    <w:qFormat/>
    <w:uiPriority w:val="0"/>
    <w:pPr>
      <w:pBdr>
        <w:top w:val="single" w:color="auto" w:sz="4" w:space="0"/>
        <w:left w:val="single" w:color="auto" w:sz="4" w:space="0"/>
        <w:bottom w:val="single" w:color="auto" w:sz="4" w:space="0"/>
      </w:pBdr>
      <w:spacing w:before="100" w:after="100"/>
      <w:jc w:val="center"/>
      <w:textAlignment w:val="center"/>
    </w:pPr>
    <w:rPr>
      <w:rFonts w:eastAsia="Arial Unicode MS"/>
      <w:kern w:val="0"/>
      <w:szCs w:val="20"/>
    </w:rPr>
  </w:style>
  <w:style w:type="paragraph" w:customStyle="1" w:styleId="361">
    <w:name w:val="xl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62">
    <w:name w:val="xl66"/>
    <w:basedOn w:val="1"/>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63">
    <w:name w:val="xl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364">
    <w:name w:val="font13"/>
    <w:basedOn w:val="1"/>
    <w:qFormat/>
    <w:uiPriority w:val="0"/>
    <w:pPr>
      <w:spacing w:before="100" w:beforeAutospacing="1" w:after="100" w:afterAutospacing="1"/>
      <w:jc w:val="left"/>
    </w:pPr>
    <w:rPr>
      <w:rFonts w:hint="eastAsia" w:ascii="宋体" w:hAnsi="宋体" w:cs="Arial Unicode MS"/>
      <w:color w:val="000000"/>
      <w:kern w:val="0"/>
      <w:sz w:val="18"/>
      <w:szCs w:val="18"/>
    </w:rPr>
  </w:style>
  <w:style w:type="paragraph" w:customStyle="1" w:styleId="365">
    <w:name w:val="样式 (西文) 宋体 行距: 1.5 倍行距"/>
    <w:basedOn w:val="1"/>
    <w:qFormat/>
    <w:uiPriority w:val="0"/>
    <w:rPr>
      <w:rFonts w:ascii="宋体" w:hAnsi="宋体" w:cs="宋体"/>
      <w:szCs w:val="20"/>
    </w:rPr>
  </w:style>
  <w:style w:type="paragraph" w:customStyle="1" w:styleId="366">
    <w:name w:val="Retrait 1"/>
    <w:basedOn w:val="16"/>
    <w:qFormat/>
    <w:uiPriority w:val="0"/>
    <w:pPr>
      <w:spacing w:after="240"/>
      <w:ind w:left="1134" w:firstLine="0" w:firstLineChars="0"/>
      <w:jc w:val="left"/>
    </w:pPr>
    <w:rPr>
      <w:rFonts w:ascii="Palatino" w:hAnsi="Palatino"/>
      <w:kern w:val="0"/>
      <w:sz w:val="24"/>
      <w:szCs w:val="20"/>
      <w:lang w:val="en-GB"/>
    </w:rPr>
  </w:style>
  <w:style w:type="paragraph" w:customStyle="1" w:styleId="367">
    <w:name w:val="Report Level 3"/>
    <w:basedOn w:val="244"/>
    <w:next w:val="110"/>
    <w:qFormat/>
    <w:uiPriority w:val="0"/>
    <w:pPr>
      <w:tabs>
        <w:tab w:val="clear" w:pos="1080"/>
      </w:tabs>
      <w:ind w:left="0" w:firstLine="0"/>
      <w:jc w:val="both"/>
      <w:outlineLvl w:val="2"/>
    </w:pPr>
    <w:rPr>
      <w:b w:val="0"/>
      <w:caps w:val="0"/>
      <w:sz w:val="22"/>
    </w:rPr>
  </w:style>
  <w:style w:type="paragraph" w:customStyle="1" w:styleId="368">
    <w:name w:val="xl96"/>
    <w:basedOn w:val="1"/>
    <w:qFormat/>
    <w:uiPriority w:val="0"/>
    <w:pPr>
      <w:spacing w:before="100" w:beforeAutospacing="1" w:after="100" w:afterAutospacing="1"/>
      <w:jc w:val="left"/>
      <w:textAlignment w:val="center"/>
    </w:pPr>
    <w:rPr>
      <w:rFonts w:ascii="宋体" w:hAnsi="宋体" w:cs="宋体"/>
      <w:kern w:val="0"/>
      <w:sz w:val="24"/>
    </w:rPr>
  </w:style>
  <w:style w:type="paragraph" w:customStyle="1" w:styleId="369">
    <w:name w:val="xl7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70">
    <w:name w:val="xl47"/>
    <w:basedOn w:val="1"/>
    <w:qFormat/>
    <w:uiPriority w:val="0"/>
    <w:pPr>
      <w:pBdr>
        <w:bottom w:val="single" w:color="auto" w:sz="8" w:space="0"/>
      </w:pBdr>
      <w:spacing w:before="100" w:beforeAutospacing="1" w:after="100" w:afterAutospacing="1"/>
      <w:jc w:val="center"/>
      <w:textAlignment w:val="center"/>
    </w:pPr>
    <w:rPr>
      <w:rFonts w:hint="eastAsia" w:ascii="隶书" w:hAnsi="宋体" w:eastAsia="隶书"/>
      <w:kern w:val="0"/>
      <w:sz w:val="44"/>
      <w:szCs w:val="44"/>
    </w:rPr>
  </w:style>
  <w:style w:type="paragraph" w:customStyle="1" w:styleId="371">
    <w:name w:val="xl83"/>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72">
    <w:name w:val="Char Char Char Char Char Char Char Char Char Char Char Char"/>
    <w:basedOn w:val="1"/>
    <w:qFormat/>
    <w:uiPriority w:val="0"/>
    <w:rPr>
      <w:rFonts w:ascii="Tahoma" w:hAnsi="Tahoma"/>
      <w:sz w:val="24"/>
      <w:szCs w:val="20"/>
    </w:rPr>
  </w:style>
  <w:style w:type="paragraph" w:customStyle="1" w:styleId="373">
    <w:name w:val="标题 41"/>
    <w:basedOn w:val="1"/>
    <w:qFormat/>
    <w:uiPriority w:val="1"/>
    <w:pPr>
      <w:ind w:left="522"/>
      <w:jc w:val="left"/>
      <w:outlineLvl w:val="4"/>
    </w:pPr>
    <w:rPr>
      <w:rFonts w:eastAsia="Times New Roman"/>
      <w:b/>
      <w:bCs/>
      <w:kern w:val="0"/>
      <w:szCs w:val="21"/>
      <w:lang w:eastAsia="en-US"/>
    </w:rPr>
  </w:style>
  <w:style w:type="paragraph" w:customStyle="1" w:styleId="374">
    <w:name w:val="CM226"/>
    <w:basedOn w:val="1"/>
    <w:next w:val="1"/>
    <w:qFormat/>
    <w:uiPriority w:val="0"/>
    <w:pPr>
      <w:autoSpaceDE w:val="0"/>
      <w:autoSpaceDN w:val="0"/>
      <w:adjustRightInd w:val="0"/>
      <w:spacing w:after="2445"/>
      <w:jc w:val="left"/>
    </w:pPr>
    <w:rPr>
      <w:rFonts w:ascii="宋体"/>
      <w:kern w:val="0"/>
      <w:sz w:val="24"/>
    </w:rPr>
  </w:style>
  <w:style w:type="paragraph" w:customStyle="1" w:styleId="375">
    <w:name w:val="xl2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76">
    <w:name w:val="样式 USE 1 + 行距: 单倍行距"/>
    <w:basedOn w:val="1"/>
    <w:qFormat/>
    <w:uiPriority w:val="0"/>
    <w:pPr>
      <w:spacing w:line="180" w:lineRule="atLeast"/>
      <w:jc w:val="left"/>
    </w:pPr>
    <w:rPr>
      <w:rFonts w:ascii="宋体" w:hAnsi="宋体" w:cs="宋体"/>
      <w:b/>
      <w:bCs/>
      <w:sz w:val="24"/>
      <w:szCs w:val="20"/>
    </w:rPr>
  </w:style>
  <w:style w:type="paragraph" w:customStyle="1" w:styleId="377">
    <w:name w:val="xl99"/>
    <w:basedOn w:val="1"/>
    <w:qFormat/>
    <w:uiPriority w:val="0"/>
    <w:pPr>
      <w:pBdr>
        <w:left w:val="single" w:color="auto"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78">
    <w:name w:val="合同书"/>
    <w:basedOn w:val="1"/>
    <w:qFormat/>
    <w:uiPriority w:val="0"/>
    <w:pPr>
      <w:jc w:val="center"/>
    </w:pPr>
    <w:rPr>
      <w:b/>
      <w:sz w:val="36"/>
      <w:szCs w:val="20"/>
    </w:rPr>
  </w:style>
  <w:style w:type="paragraph" w:customStyle="1" w:styleId="379">
    <w:name w:val="修订1"/>
    <w:qFormat/>
    <w:uiPriority w:val="99"/>
    <w:pPr>
      <w:spacing w:after="160" w:line="360" w:lineRule="auto"/>
      <w:ind w:firstLine="420"/>
      <w:jc w:val="both"/>
    </w:pPr>
    <w:rPr>
      <w:rFonts w:ascii="Times New Roman" w:hAnsi="Times New Roman" w:eastAsia="宋体" w:cs="Times New Roman"/>
      <w:kern w:val="2"/>
      <w:sz w:val="21"/>
      <w:szCs w:val="24"/>
      <w:lang w:val="en-US" w:eastAsia="zh-CN" w:bidi="ar-SA"/>
    </w:rPr>
  </w:style>
  <w:style w:type="paragraph" w:customStyle="1" w:styleId="380">
    <w:name w:val="条文 0"/>
    <w:next w:val="1"/>
    <w:qFormat/>
    <w:uiPriority w:val="0"/>
    <w:pPr>
      <w:spacing w:before="240" w:after="240" w:line="360" w:lineRule="auto"/>
      <w:ind w:left="420" w:hanging="420"/>
      <w:jc w:val="both"/>
    </w:pPr>
    <w:rPr>
      <w:rFonts w:ascii="Times New Roman" w:hAnsi="Times New Roman" w:eastAsia="黑体" w:cs="Times New Roman"/>
      <w:sz w:val="21"/>
      <w:lang w:val="en-US" w:eastAsia="zh-CN" w:bidi="ar-SA"/>
    </w:rPr>
  </w:style>
  <w:style w:type="paragraph" w:customStyle="1" w:styleId="381">
    <w:name w:val="条文 3"/>
    <w:next w:val="1"/>
    <w:qFormat/>
    <w:uiPriority w:val="0"/>
    <w:pPr>
      <w:spacing w:after="160" w:line="310" w:lineRule="exact"/>
      <w:ind w:left="1680" w:hanging="420"/>
      <w:jc w:val="both"/>
    </w:pPr>
    <w:rPr>
      <w:rFonts w:ascii="Times New Roman" w:hAnsi="Times New Roman" w:eastAsia="黑体" w:cs="Times New Roman"/>
      <w:sz w:val="21"/>
      <w:lang w:val="en-US" w:eastAsia="zh-CN" w:bidi="ar-SA"/>
    </w:rPr>
  </w:style>
  <w:style w:type="paragraph" w:customStyle="1" w:styleId="382">
    <w:name w:val="Char Char Char Char Char1 Char"/>
    <w:basedOn w:val="1"/>
    <w:qFormat/>
    <w:uiPriority w:val="0"/>
    <w:pPr>
      <w:adjustRightInd w:val="0"/>
    </w:pPr>
    <w:rPr>
      <w:rFonts w:eastAsia="黑体"/>
      <w:spacing w:val="20"/>
      <w:sz w:val="32"/>
      <w:szCs w:val="32"/>
    </w:rPr>
  </w:style>
  <w:style w:type="paragraph" w:customStyle="1" w:styleId="383">
    <w:name w:val="批注主题 Char Char"/>
    <w:basedOn w:val="20"/>
    <w:next w:val="20"/>
    <w:qFormat/>
    <w:uiPriority w:val="0"/>
    <w:rPr>
      <w:b/>
      <w:szCs w:val="20"/>
    </w:rPr>
  </w:style>
  <w:style w:type="paragraph" w:customStyle="1" w:styleId="384">
    <w:name w:val="正文段"/>
    <w:basedOn w:val="1"/>
    <w:qFormat/>
    <w:uiPriority w:val="0"/>
    <w:pPr>
      <w:snapToGrid w:val="0"/>
      <w:spacing w:afterLines="50"/>
    </w:pPr>
    <w:rPr>
      <w:kern w:val="0"/>
      <w:sz w:val="24"/>
      <w:szCs w:val="20"/>
    </w:rPr>
  </w:style>
  <w:style w:type="paragraph" w:customStyle="1" w:styleId="385">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386">
    <w:name w:val="条文 表"/>
    <w:next w:val="1"/>
    <w:qFormat/>
    <w:uiPriority w:val="0"/>
    <w:pPr>
      <w:spacing w:after="160" w:line="360" w:lineRule="auto"/>
      <w:ind w:left="3360" w:hanging="420"/>
      <w:jc w:val="center"/>
    </w:pPr>
    <w:rPr>
      <w:rFonts w:ascii="Times New Roman" w:hAnsi="Times New Roman" w:eastAsia="黑体" w:cs="Times New Roman"/>
      <w:sz w:val="21"/>
      <w:lang w:val="en-US" w:eastAsia="zh-CN" w:bidi="ar-SA"/>
    </w:rPr>
  </w:style>
  <w:style w:type="paragraph" w:customStyle="1" w:styleId="387">
    <w:name w:val="xl69"/>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88">
    <w:name w:val="目录 71"/>
    <w:basedOn w:val="1"/>
    <w:next w:val="1"/>
    <w:qFormat/>
    <w:uiPriority w:val="39"/>
    <w:pPr>
      <w:ind w:left="2520" w:leftChars="1200"/>
    </w:pPr>
    <w:rPr>
      <w:rFonts w:ascii="Calibri" w:hAnsi="Calibri"/>
      <w:szCs w:val="22"/>
    </w:rPr>
  </w:style>
  <w:style w:type="paragraph" w:customStyle="1" w:styleId="389">
    <w:name w:val="TOC 标题2"/>
    <w:basedOn w:val="4"/>
    <w:next w:val="1"/>
    <w:qFormat/>
    <w:uiPriority w:val="39"/>
    <w:pPr>
      <w:spacing w:before="240" w:after="0" w:line="259" w:lineRule="auto"/>
      <w:ind w:firstLine="0" w:firstLineChars="0"/>
      <w:jc w:val="left"/>
      <w:outlineLvl w:val="9"/>
    </w:pPr>
    <w:rPr>
      <w:rFonts w:ascii="Calibri Light" w:hAnsi="Calibri Light"/>
      <w:b w:val="0"/>
      <w:bCs w:val="0"/>
      <w:color w:val="2E74B5"/>
      <w:kern w:val="0"/>
      <w:sz w:val="32"/>
      <w:szCs w:val="32"/>
    </w:rPr>
  </w:style>
  <w:style w:type="paragraph" w:customStyle="1" w:styleId="390">
    <w:name w:val="青岛标题3"/>
    <w:basedOn w:val="6"/>
    <w:qFormat/>
    <w:uiPriority w:val="0"/>
    <w:pPr>
      <w:spacing w:line="500" w:lineRule="exact"/>
      <w:jc w:val="left"/>
      <w:outlineLvl w:val="1"/>
    </w:pPr>
  </w:style>
  <w:style w:type="paragraph" w:customStyle="1" w:styleId="391">
    <w:name w:val="xl63"/>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color w:val="000000"/>
      <w:kern w:val="0"/>
      <w:sz w:val="20"/>
      <w:szCs w:val="20"/>
    </w:rPr>
  </w:style>
  <w:style w:type="paragraph" w:customStyle="1" w:styleId="392">
    <w:name w:val="样式5"/>
    <w:basedOn w:val="1"/>
    <w:qFormat/>
    <w:uiPriority w:val="0"/>
    <w:pPr>
      <w:tabs>
        <w:tab w:val="left" w:pos="547"/>
        <w:tab w:val="left" w:pos="1080"/>
      </w:tabs>
      <w:spacing w:line="480" w:lineRule="atLeast"/>
      <w:jc w:val="center"/>
    </w:pPr>
    <w:rPr>
      <w:b/>
      <w:sz w:val="24"/>
    </w:rPr>
  </w:style>
  <w:style w:type="paragraph" w:customStyle="1" w:styleId="393">
    <w:name w:val="字元 字元 Char Char Char Char Char Char Char"/>
    <w:basedOn w:val="1"/>
    <w:qFormat/>
    <w:uiPriority w:val="0"/>
    <w:rPr>
      <w:rFonts w:ascii="Tahoma" w:hAnsi="Tahoma" w:cs="仿宋_GB2312"/>
      <w:sz w:val="24"/>
      <w:szCs w:val="20"/>
    </w:rPr>
  </w:style>
  <w:style w:type="paragraph" w:customStyle="1" w:styleId="394">
    <w:name w:val="样式 表格 + 加粗"/>
    <w:basedOn w:val="107"/>
    <w:qFormat/>
    <w:uiPriority w:val="0"/>
    <w:rPr>
      <w:b/>
      <w:bCs/>
    </w:rPr>
  </w:style>
  <w:style w:type="paragraph" w:customStyle="1" w:styleId="395">
    <w:name w:val="xl55"/>
    <w:basedOn w:val="1"/>
    <w:qFormat/>
    <w:uiPriority w:val="0"/>
    <w:pPr>
      <w:pBdr>
        <w:top w:val="single" w:color="auto" w:sz="8" w:space="0"/>
        <w:left w:val="single" w:color="auto" w:sz="4"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table" w:customStyle="1" w:styleId="396">
    <w:name w:val="Table Normal"/>
    <w:unhideWhenUsed/>
    <w:qFormat/>
    <w:uiPriority w:val="2"/>
    <w:pPr>
      <w:widowControl w:val="0"/>
      <w:spacing w:line="360" w:lineRule="auto"/>
      <w:ind w:firstLine="420"/>
      <w:jc w:val="both"/>
    </w:pPr>
    <w:rPr>
      <w:rFonts w:ascii="Calibri" w:hAnsi="Calibri"/>
      <w:sz w:val="22"/>
      <w:lang w:eastAsia="en-US"/>
    </w:rPr>
    <w:tblPr>
      <w:tblCellMar>
        <w:top w:w="0" w:type="dxa"/>
        <w:left w:w="0" w:type="dxa"/>
        <w:bottom w:w="0" w:type="dxa"/>
        <w:right w:w="0" w:type="dxa"/>
      </w:tblCellMar>
    </w:tblPr>
  </w:style>
  <w:style w:type="paragraph" w:customStyle="1" w:styleId="397">
    <w:name w:val="WPSOffice手动目录 1"/>
    <w:qFormat/>
    <w:uiPriority w:val="0"/>
    <w:pPr>
      <w:spacing w:after="160" w:line="278" w:lineRule="auto"/>
    </w:pPr>
    <w:rPr>
      <w:rFonts w:ascii="Times New Roman" w:hAnsi="Times New Roman" w:eastAsia="宋体" w:cs="Times New Roman"/>
      <w:lang w:val="en-US" w:eastAsia="zh-CN" w:bidi="ar-SA"/>
    </w:rPr>
  </w:style>
  <w:style w:type="paragraph" w:customStyle="1" w:styleId="398">
    <w:name w:val="WPSOffice手动目录 2"/>
    <w:qFormat/>
    <w:uiPriority w:val="0"/>
    <w:pPr>
      <w:spacing w:after="160" w:line="278" w:lineRule="auto"/>
      <w:ind w:left="200" w:leftChars="200"/>
    </w:pPr>
    <w:rPr>
      <w:rFonts w:ascii="Times New Roman" w:hAnsi="Times New Roman" w:eastAsia="宋体" w:cs="Times New Roman"/>
      <w:lang w:val="en-US" w:eastAsia="zh-CN" w:bidi="ar-SA"/>
    </w:rPr>
  </w:style>
  <w:style w:type="character" w:customStyle="1" w:styleId="399">
    <w:name w:val="font51"/>
    <w:qFormat/>
    <w:uiPriority w:val="0"/>
    <w:rPr>
      <w:rFonts w:hint="default" w:ascii="Calibri" w:hAnsi="Calibri" w:cs="Calibri"/>
      <w:color w:val="000000"/>
      <w:sz w:val="21"/>
      <w:szCs w:val="21"/>
      <w:u w:val="none"/>
    </w:rPr>
  </w:style>
  <w:style w:type="character" w:customStyle="1" w:styleId="400">
    <w:name w:val="font21"/>
    <w:basedOn w:val="56"/>
    <w:qFormat/>
    <w:uiPriority w:val="0"/>
    <w:rPr>
      <w:rFonts w:hint="eastAsia" w:ascii="宋体" w:hAnsi="宋体" w:eastAsia="宋体"/>
      <w:color w:val="000000"/>
      <w:sz w:val="22"/>
      <w:szCs w:val="22"/>
      <w:u w:val="none"/>
    </w:rPr>
  </w:style>
  <w:style w:type="character" w:customStyle="1" w:styleId="401">
    <w:name w:val="font41"/>
    <w:basedOn w:val="56"/>
    <w:qFormat/>
    <w:uiPriority w:val="0"/>
    <w:rPr>
      <w:rFonts w:hint="eastAsia" w:ascii="等线" w:hAnsi="等线" w:eastAsia="等线"/>
      <w:color w:val="FF0000"/>
      <w:sz w:val="20"/>
      <w:szCs w:val="20"/>
      <w:u w:val="none"/>
    </w:rPr>
  </w:style>
  <w:style w:type="paragraph" w:customStyle="1" w:styleId="402">
    <w:name w:val="修订2"/>
    <w:hidden/>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403">
    <w:name w:val="未处理的提及11"/>
    <w:unhideWhenUsed/>
    <w:qFormat/>
    <w:uiPriority w:val="99"/>
    <w:rPr>
      <w:color w:val="605E5C"/>
      <w:shd w:val="clear" w:color="auto" w:fill="E1DFDD"/>
    </w:rPr>
  </w:style>
  <w:style w:type="paragraph" w:customStyle="1" w:styleId="404">
    <w:name w:val="TOC 标题21"/>
    <w:basedOn w:val="4"/>
    <w:next w:val="1"/>
    <w:qFormat/>
    <w:uiPriority w:val="39"/>
    <w:pPr>
      <w:spacing w:before="240" w:after="0" w:line="259" w:lineRule="auto"/>
      <w:ind w:firstLine="0" w:firstLineChars="0"/>
      <w:jc w:val="left"/>
      <w:outlineLvl w:val="9"/>
    </w:pPr>
    <w:rPr>
      <w:rFonts w:ascii="Calibri Light" w:hAnsi="Calibri Light"/>
      <w:b w:val="0"/>
      <w:bCs w:val="0"/>
      <w:color w:val="2E74B5"/>
      <w:kern w:val="0"/>
      <w:sz w:val="32"/>
      <w:szCs w:val="32"/>
    </w:rPr>
  </w:style>
  <w:style w:type="paragraph" w:customStyle="1" w:styleId="405">
    <w:name w:val="修订21"/>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406">
    <w:name w:val="font31"/>
    <w:basedOn w:val="56"/>
    <w:qFormat/>
    <w:uiPriority w:val="0"/>
    <w:rPr>
      <w:rFonts w:hint="eastAsia" w:ascii="宋体" w:hAnsi="宋体" w:eastAsia="宋体" w:cs="宋体"/>
      <w:color w:val="000000"/>
      <w:sz w:val="20"/>
      <w:szCs w:val="20"/>
      <w:u w:val="none"/>
    </w:rPr>
  </w:style>
  <w:style w:type="paragraph" w:customStyle="1" w:styleId="407">
    <w:name w:val="修订3"/>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408">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409">
    <w:name w:val="修订5"/>
    <w:hidden/>
    <w:unhideWhenUsed/>
    <w:qFormat/>
    <w:uiPriority w:val="99"/>
    <w:rPr>
      <w:rFonts w:ascii="Times New Roman" w:hAnsi="Times New Roman" w:eastAsia="宋体" w:cs="Times New Roman"/>
      <w:kern w:val="2"/>
      <w:sz w:val="21"/>
      <w:szCs w:val="24"/>
      <w:lang w:val="en-US" w:eastAsia="zh-CN" w:bidi="ar-SA"/>
    </w:rPr>
  </w:style>
  <w:style w:type="character" w:customStyle="1" w:styleId="410">
    <w:name w:val="副标题 字符"/>
    <w:basedOn w:val="56"/>
    <w:link w:val="39"/>
    <w:qFormat/>
    <w:uiPriority w:val="11"/>
    <w:rPr>
      <w:rFonts w:eastAsia="楷体"/>
      <w:b/>
      <w:bCs/>
      <w:kern w:val="28"/>
      <w:sz w:val="52"/>
      <w:szCs w:val="52"/>
    </w:rPr>
  </w:style>
  <w:style w:type="character" w:customStyle="1" w:styleId="411">
    <w:name w:val="正文文本首行缩进 字符"/>
    <w:basedOn w:val="66"/>
    <w:link w:val="53"/>
    <w:semiHidden/>
    <w:qFormat/>
    <w:uiPriority w:val="99"/>
    <w:rPr>
      <w:rFonts w:ascii="Arial" w:hAnsi="Arial" w:eastAsia="宋体" w:cstheme="minorBidi"/>
      <w:kern w:val="2"/>
      <w:szCs w:val="21"/>
      <w:lang w:val="en-GB" w:eastAsia="en-US"/>
      <w14:ligatures w14:val="none"/>
    </w:rPr>
  </w:style>
  <w:style w:type="paragraph" w:customStyle="1" w:styleId="412">
    <w:name w:val="正文-首行缩进-宋体-B-分散-自定义"/>
    <w:basedOn w:val="40"/>
    <w:next w:val="40"/>
    <w:qFormat/>
    <w:uiPriority w:val="0"/>
    <w:pPr>
      <w:ind w:firstLine="482"/>
    </w:pPr>
    <w:rPr>
      <w:b/>
    </w:rPr>
  </w:style>
  <w:style w:type="paragraph" w:customStyle="1" w:styleId="413">
    <w:name w:val="表格-宋体-小四-居中-自定义"/>
    <w:qFormat/>
    <w:uiPriority w:val="0"/>
    <w:pPr>
      <w:wordWrap w:val="0"/>
      <w:overflowPunct w:val="0"/>
      <w:autoSpaceDE w:val="0"/>
      <w:autoSpaceDN w:val="0"/>
      <w:spacing w:line="360" w:lineRule="auto"/>
      <w:jc w:val="center"/>
    </w:pPr>
    <w:rPr>
      <w:rFonts w:ascii="宋体" w:hAnsi="宋体" w:eastAsia="宋体" w:cstheme="minorBidi"/>
      <w:kern w:val="2"/>
      <w:sz w:val="24"/>
      <w:szCs w:val="21"/>
      <w:lang w:val="en-US" w:eastAsia="zh-CN" w:bidi="ar-SA"/>
    </w:rPr>
  </w:style>
  <w:style w:type="paragraph" w:customStyle="1" w:styleId="414">
    <w:name w:val="正文-横线-自定义"/>
    <w:basedOn w:val="1"/>
    <w:next w:val="40"/>
    <w:qFormat/>
    <w:uiPriority w:val="0"/>
    <w:pPr>
      <w:widowControl w:val="0"/>
      <w:pBdr>
        <w:bottom w:val="thinThickMediumGap" w:color="auto" w:sz="24" w:space="1"/>
      </w:pBdr>
      <w:overflowPunct w:val="0"/>
      <w:spacing w:after="150" w:afterLines="150"/>
    </w:pPr>
    <w:rPr>
      <w:rFonts w:ascii="宋体" w:hAnsi="宋体" w:cstheme="minorBidi"/>
      <w:b/>
      <w:sz w:val="10"/>
      <w:szCs w:val="21"/>
    </w:rPr>
  </w:style>
  <w:style w:type="paragraph" w:customStyle="1" w:styleId="415">
    <w:name w:val="正文-嵌入式图片-自定义"/>
    <w:basedOn w:val="414"/>
    <w:next w:val="40"/>
    <w:qFormat/>
    <w:uiPriority w:val="0"/>
    <w:pPr>
      <w:pBdr>
        <w:bottom w:val="none" w:color="auto" w:sz="0" w:space="0"/>
      </w:pBdr>
      <w:spacing w:after="0" w:afterLines="0"/>
      <w:jc w:val="center"/>
    </w:pPr>
    <w:rPr>
      <w:b w:val="0"/>
      <w:sz w:val="24"/>
    </w:rPr>
  </w:style>
  <w:style w:type="paragraph" w:customStyle="1" w:styleId="416">
    <w:name w:val="表格-等线-五号-分散-自定义"/>
    <w:qFormat/>
    <w:uiPriority w:val="0"/>
    <w:pPr>
      <w:wordWrap w:val="0"/>
      <w:overflowPunct w:val="0"/>
      <w:autoSpaceDE w:val="0"/>
      <w:autoSpaceDN w:val="0"/>
      <w:adjustRightInd w:val="0"/>
      <w:jc w:val="both"/>
    </w:pPr>
    <w:rPr>
      <w:rFonts w:ascii="等线" w:eastAsia="等线" w:cs="等线" w:hAnsiTheme="minorHAnsi"/>
      <w:bCs/>
      <w:color w:val="000000"/>
      <w:sz w:val="21"/>
      <w:lang w:val="en-US" w:eastAsia="zh-CN" w:bidi="ar-SA"/>
    </w:rPr>
  </w:style>
  <w:style w:type="paragraph" w:customStyle="1" w:styleId="417">
    <w:name w:val="表格-等线-五号-B-居中-自定义"/>
    <w:qFormat/>
    <w:uiPriority w:val="0"/>
    <w:pPr>
      <w:wordWrap w:val="0"/>
      <w:overflowPunct w:val="0"/>
      <w:autoSpaceDE w:val="0"/>
      <w:autoSpaceDN w:val="0"/>
      <w:jc w:val="center"/>
    </w:pPr>
    <w:rPr>
      <w:rFonts w:ascii="等线" w:eastAsia="等线" w:cs="等线" w:hAnsiTheme="minorHAnsi"/>
      <w:b/>
      <w:bCs/>
      <w:color w:val="000000"/>
      <w:sz w:val="21"/>
      <w:lang w:val="en-US" w:eastAsia="zh-CN" w:bidi="ar-SA"/>
    </w:rPr>
  </w:style>
  <w:style w:type="table" w:customStyle="1" w:styleId="418">
    <w:name w:val="等线-标题灰-等线-五号-自定义"/>
    <w:basedOn w:val="54"/>
    <w:qFormat/>
    <w:uiPriority w:val="39"/>
    <w:pPr>
      <w:jc w:val="center"/>
    </w:pPr>
    <w:rPr>
      <w:rFonts w:eastAsia="等线"/>
      <w:sz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shd w:val="clear" w:color="auto" w:fill="auto"/>
      <w:vAlign w:val="center"/>
    </w:tcPr>
    <w:tblStylePr w:type="firstRow">
      <w:pPr>
        <w:jc w:val="both"/>
      </w:pPr>
      <w:rPr>
        <w:rFonts w:eastAsia="等线"/>
        <w:b w:val="0"/>
        <w:i w:val="0"/>
        <w:sz w:val="21"/>
      </w:rPr>
      <w:tblPr/>
      <w:trPr>
        <w:tblHeader/>
      </w:trPr>
      <w:tcPr>
        <w:shd w:val="clear" w:color="auto" w:fill="D8D8D8" w:themeFill="background1" w:themeFillShade="D9"/>
      </w:tcPr>
    </w:tblStylePr>
  </w:style>
  <w:style w:type="paragraph" w:customStyle="1" w:styleId="419">
    <w:name w:val="副标题-黑体-三号-居中-自定义"/>
    <w:basedOn w:val="39"/>
    <w:next w:val="40"/>
    <w:qFormat/>
    <w:uiPriority w:val="0"/>
    <w:rPr>
      <w:sz w:val="32"/>
    </w:rPr>
  </w:style>
  <w:style w:type="paragraph" w:customStyle="1" w:styleId="420">
    <w:name w:val="正文-封面-落款-中文-自定义"/>
    <w:basedOn w:val="1"/>
    <w:next w:val="40"/>
    <w:qFormat/>
    <w:uiPriority w:val="0"/>
    <w:pPr>
      <w:widowControl w:val="0"/>
      <w:overflowPunct w:val="0"/>
      <w:spacing w:after="0"/>
      <w:jc w:val="center"/>
    </w:pPr>
    <w:rPr>
      <w:rFonts w:ascii="宋体" w:hAnsi="宋体" w:eastAsia="黑体" w:cstheme="minorBidi"/>
      <w:b/>
      <w:spacing w:val="40"/>
      <w:sz w:val="30"/>
      <w:szCs w:val="21"/>
    </w:rPr>
  </w:style>
  <w:style w:type="paragraph" w:customStyle="1" w:styleId="421">
    <w:name w:val="正文-封面-内容-自定义"/>
    <w:basedOn w:val="1"/>
    <w:qFormat/>
    <w:uiPriority w:val="0"/>
    <w:pPr>
      <w:widowControl w:val="0"/>
      <w:overflowPunct w:val="0"/>
      <w:spacing w:after="0"/>
    </w:pPr>
    <w:rPr>
      <w:rFonts w:ascii="宋体" w:hAnsi="宋体" w:cstheme="minorBidi"/>
      <w:spacing w:val="20"/>
      <w:sz w:val="28"/>
      <w:szCs w:val="21"/>
    </w:rPr>
  </w:style>
  <w:style w:type="paragraph" w:customStyle="1" w:styleId="422">
    <w:name w:val="正文-封面-落款-英文-自定义"/>
    <w:basedOn w:val="40"/>
    <w:next w:val="40"/>
    <w:qFormat/>
    <w:uiPriority w:val="0"/>
    <w:pPr>
      <w:ind w:firstLine="480"/>
      <w:jc w:val="center"/>
    </w:pPr>
    <w:rPr>
      <w:rFonts w:ascii="Times New Roman" w:hAnsi="Times New Roman"/>
      <w:b/>
      <w:sz w:val="18"/>
    </w:rPr>
  </w:style>
  <w:style w:type="paragraph" w:customStyle="1" w:styleId="423">
    <w:name w:val="正文-封面-内容-强调-自定义"/>
    <w:basedOn w:val="421"/>
    <w:next w:val="40"/>
    <w:qFormat/>
    <w:uiPriority w:val="0"/>
    <w:rPr>
      <w:b/>
    </w:rPr>
  </w:style>
  <w:style w:type="paragraph" w:customStyle="1" w:styleId="424">
    <w:name w:val="表格-等线-五号-B-分散-自定义"/>
    <w:qFormat/>
    <w:uiPriority w:val="0"/>
    <w:pPr>
      <w:wordWrap w:val="0"/>
      <w:overflowPunct w:val="0"/>
      <w:autoSpaceDE w:val="0"/>
      <w:autoSpaceDN w:val="0"/>
      <w:jc w:val="both"/>
    </w:pPr>
    <w:rPr>
      <w:rFonts w:ascii="等线" w:eastAsia="等线" w:cs="等线" w:hAnsiTheme="minorHAnsi"/>
      <w:b/>
      <w:bCs/>
      <w:color w:val="000000"/>
      <w:sz w:val="21"/>
      <w:lang w:val="en-US" w:eastAsia="zh-CN" w:bidi="ar-SA"/>
    </w:rPr>
  </w:style>
  <w:style w:type="paragraph" w:customStyle="1" w:styleId="425">
    <w:name w:val="表格-等线-五号-居中-自定义"/>
    <w:qFormat/>
    <w:uiPriority w:val="0"/>
    <w:pPr>
      <w:wordWrap w:val="0"/>
      <w:overflowPunct w:val="0"/>
      <w:autoSpaceDE w:val="0"/>
      <w:autoSpaceDN w:val="0"/>
      <w:jc w:val="center"/>
    </w:pPr>
    <w:rPr>
      <w:rFonts w:ascii="等线" w:eastAsia="等线" w:cs="等线" w:hAnsiTheme="minorHAnsi"/>
      <w:bCs/>
      <w:color w:val="000000"/>
      <w:sz w:val="21"/>
      <w:lang w:val="en-US" w:eastAsia="zh-CN" w:bidi="ar-SA"/>
    </w:rPr>
  </w:style>
  <w:style w:type="paragraph" w:customStyle="1" w:styleId="426">
    <w:name w:val="项目列表-√-首行缩进-自定义"/>
    <w:basedOn w:val="427"/>
    <w:next w:val="40"/>
    <w:qFormat/>
    <w:uiPriority w:val="0"/>
    <w:pPr>
      <w:numPr>
        <w:ilvl w:val="0"/>
        <w:numId w:val="1"/>
      </w:numPr>
      <w:ind w:left="0" w:firstLine="420"/>
    </w:pPr>
  </w:style>
  <w:style w:type="paragraph" w:customStyle="1" w:styleId="427">
    <w:name w:val="项目列表-基准样式"/>
    <w:qFormat/>
    <w:uiPriority w:val="0"/>
    <w:pPr>
      <w:spacing w:line="360" w:lineRule="auto"/>
      <w:jc w:val="both"/>
    </w:pPr>
    <w:rPr>
      <w:rFonts w:ascii="宋体" w:hAnsi="宋体" w:eastAsia="宋体" w:cstheme="minorBidi"/>
      <w:kern w:val="2"/>
      <w:sz w:val="24"/>
      <w:szCs w:val="21"/>
      <w:lang w:val="en-US" w:eastAsia="zh-CN" w:bidi="ar-SA"/>
    </w:rPr>
  </w:style>
  <w:style w:type="character" w:customStyle="1" w:styleId="428">
    <w:name w:val="书籍标题1"/>
    <w:basedOn w:val="56"/>
    <w:semiHidden/>
    <w:qFormat/>
    <w:uiPriority w:val="33"/>
    <w:rPr>
      <w:b/>
      <w:bCs/>
      <w:i/>
      <w:iCs/>
      <w:spacing w:val="5"/>
    </w:rPr>
  </w:style>
  <w:style w:type="character" w:customStyle="1" w:styleId="429">
    <w:name w:val="明显强调1"/>
    <w:basedOn w:val="56"/>
    <w:semiHidden/>
    <w:qFormat/>
    <w:uiPriority w:val="21"/>
    <w:rPr>
      <w:i/>
      <w:iCs/>
      <w:color w:val="4472C4" w:themeColor="accent1"/>
      <w14:textFill>
        <w14:solidFill>
          <w14:schemeClr w14:val="accent1"/>
        </w14:solidFill>
      </w14:textFill>
    </w:rPr>
  </w:style>
  <w:style w:type="character" w:customStyle="1" w:styleId="430">
    <w:name w:val="不明显参考1"/>
    <w:basedOn w:val="56"/>
    <w:semiHidden/>
    <w:qFormat/>
    <w:uiPriority w:val="31"/>
    <w:rPr>
      <w:smallCaps/>
      <w:color w:val="595959" w:themeColor="text1" w:themeTint="A6"/>
      <w14:textFill>
        <w14:solidFill>
          <w14:schemeClr w14:val="tx1">
            <w14:lumMod w14:val="65000"/>
            <w14:lumOff w14:val="35000"/>
          </w14:schemeClr>
        </w14:solidFill>
      </w14:textFill>
    </w:rPr>
  </w:style>
  <w:style w:type="paragraph" w:customStyle="1" w:styleId="431">
    <w:name w:val="正文-首行缩进-黑体-B-分散-自定义"/>
    <w:basedOn w:val="40"/>
    <w:next w:val="40"/>
    <w:qFormat/>
    <w:uiPriority w:val="0"/>
    <w:pPr>
      <w:ind w:firstLine="480"/>
    </w:pPr>
    <w:rPr>
      <w:rFonts w:ascii="Times New Roman" w:hAnsi="Times New Roman" w:eastAsia="黑体"/>
      <w:b/>
    </w:rPr>
  </w:style>
  <w:style w:type="paragraph" w:customStyle="1" w:styleId="432">
    <w:name w:val="文档正文"/>
    <w:basedOn w:val="1"/>
    <w:qFormat/>
    <w:uiPriority w:val="99"/>
    <w:pPr>
      <w:widowControl w:val="0"/>
      <w:overflowPunct w:val="0"/>
      <w:adjustRightInd w:val="0"/>
      <w:spacing w:after="0" w:line="480" w:lineRule="atLeast"/>
      <w:ind w:firstLine="567"/>
      <w:textAlignment w:val="baseline"/>
    </w:pPr>
    <w:rPr>
      <w:rFonts w:ascii="长城仿宋" w:hAnsi="宋体" w:cstheme="minorBidi"/>
      <w:sz w:val="24"/>
      <w:szCs w:val="20"/>
    </w:rPr>
  </w:style>
  <w:style w:type="character" w:customStyle="1" w:styleId="433">
    <w:name w:val="未处理的提及2"/>
    <w:basedOn w:val="56"/>
    <w:semiHidden/>
    <w:unhideWhenUsed/>
    <w:qFormat/>
    <w:uiPriority w:val="99"/>
    <w:rPr>
      <w:color w:val="605E5C"/>
      <w:shd w:val="clear" w:color="auto" w:fill="E1DFDD"/>
    </w:rPr>
  </w:style>
  <w:style w:type="character" w:customStyle="1" w:styleId="434">
    <w:name w:val="未处理的提及3"/>
    <w:basedOn w:val="56"/>
    <w:semiHidden/>
    <w:unhideWhenUsed/>
    <w:qFormat/>
    <w:uiPriority w:val="99"/>
    <w:rPr>
      <w:color w:val="605E5C"/>
      <w:shd w:val="clear" w:color="auto" w:fill="E1DFDD"/>
    </w:rPr>
  </w:style>
  <w:style w:type="character" w:customStyle="1" w:styleId="435">
    <w:name w:val="书籍标题2"/>
    <w:basedOn w:val="56"/>
    <w:semiHidden/>
    <w:qFormat/>
    <w:uiPriority w:val="33"/>
    <w:rPr>
      <w:b/>
      <w:bCs/>
      <w:i/>
      <w:iCs/>
      <w:spacing w:val="5"/>
    </w:rPr>
  </w:style>
  <w:style w:type="character" w:customStyle="1" w:styleId="436">
    <w:name w:val="明显强调2"/>
    <w:basedOn w:val="56"/>
    <w:semiHidden/>
    <w:qFormat/>
    <w:uiPriority w:val="21"/>
    <w:rPr>
      <w:i/>
      <w:iCs/>
      <w:color w:val="4472C4" w:themeColor="accent1"/>
      <w14:textFill>
        <w14:solidFill>
          <w14:schemeClr w14:val="accent1"/>
        </w14:solidFill>
      </w14:textFill>
    </w:rPr>
  </w:style>
  <w:style w:type="character" w:customStyle="1" w:styleId="437">
    <w:name w:val="明显参考2"/>
    <w:basedOn w:val="56"/>
    <w:semiHidden/>
    <w:qFormat/>
    <w:uiPriority w:val="32"/>
    <w:rPr>
      <w:b/>
      <w:bCs/>
      <w:smallCaps/>
      <w:color w:val="4472C4" w:themeColor="accent1"/>
      <w:spacing w:val="5"/>
      <w14:textFill>
        <w14:solidFill>
          <w14:schemeClr w14:val="accent1"/>
        </w14:solidFill>
      </w14:textFill>
    </w:rPr>
  </w:style>
  <w:style w:type="character" w:customStyle="1" w:styleId="438">
    <w:name w:val="不明显参考2"/>
    <w:basedOn w:val="56"/>
    <w:semiHidden/>
    <w:qFormat/>
    <w:uiPriority w:val="31"/>
    <w:rPr>
      <w:smallCaps/>
      <w:color w:val="595959" w:themeColor="text1" w:themeTint="A6"/>
      <w14:textFill>
        <w14:solidFill>
          <w14:schemeClr w14:val="tx1">
            <w14:lumMod w14:val="65000"/>
            <w14:lumOff w14:val="35000"/>
          </w14:schemeClr>
        </w14:solidFill>
      </w14:textFill>
    </w:rPr>
  </w:style>
  <w:style w:type="paragraph" w:customStyle="1" w:styleId="439">
    <w:name w:val="表格-宋体-小四-分散-自定义"/>
    <w:qFormat/>
    <w:uiPriority w:val="0"/>
    <w:pPr>
      <w:wordWrap w:val="0"/>
      <w:overflowPunct w:val="0"/>
      <w:autoSpaceDE w:val="0"/>
      <w:autoSpaceDN w:val="0"/>
      <w:jc w:val="both"/>
    </w:pPr>
    <w:rPr>
      <w:rFonts w:ascii="宋体" w:hAnsi="宋体" w:eastAsia="宋体" w:cstheme="minorBidi"/>
      <w:kern w:val="2"/>
      <w:sz w:val="24"/>
      <w:szCs w:val="21"/>
      <w:lang w:val="en-US" w:eastAsia="zh-CN" w:bidi="ar-SA"/>
    </w:rPr>
  </w:style>
  <w:style w:type="table" w:customStyle="1" w:styleId="440">
    <w:name w:val="表格-标题灰-宋体-小四-自定义"/>
    <w:basedOn w:val="54"/>
    <w:qFormat/>
    <w:uiPriority w:val="0"/>
    <w:pPr>
      <w:jc w:val="both"/>
    </w:pPr>
    <w:rPr>
      <w:sz w:val="24"/>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vAlign w:val="center"/>
    </w:tcPr>
    <w:tblStylePr w:type="firstRow">
      <w:pPr>
        <w:jc w:val="both"/>
      </w:pPr>
      <w:rPr>
        <w:b w:val="0"/>
      </w:rPr>
      <w:tblPr/>
      <w:trPr>
        <w:tblHeader/>
      </w:trPr>
      <w:tcPr>
        <w:shd w:val="clear" w:color="auto" w:fill="D8D8D8" w:themeFill="background1" w:themeFillShade="D9"/>
      </w:tcPr>
    </w:tblStylePr>
  </w:style>
  <w:style w:type="paragraph" w:customStyle="1" w:styleId="441">
    <w:name w:val="表格-宋体-小四-B-分散-自定义"/>
    <w:qFormat/>
    <w:uiPriority w:val="0"/>
    <w:pPr>
      <w:wordWrap w:val="0"/>
      <w:overflowPunct w:val="0"/>
      <w:autoSpaceDE w:val="0"/>
      <w:autoSpaceDN w:val="0"/>
      <w:jc w:val="both"/>
    </w:pPr>
    <w:rPr>
      <w:rFonts w:ascii="宋体" w:hAnsi="宋体" w:eastAsia="宋体" w:cstheme="minorBidi"/>
      <w:b/>
      <w:kern w:val="2"/>
      <w:sz w:val="24"/>
      <w:szCs w:val="21"/>
      <w:lang w:val="en-US" w:eastAsia="zh-CN" w:bidi="ar-SA"/>
    </w:rPr>
  </w:style>
  <w:style w:type="paragraph" w:customStyle="1" w:styleId="442">
    <w:name w:val="表格-宋体-小四-B-居中-自定义"/>
    <w:qFormat/>
    <w:uiPriority w:val="0"/>
    <w:pPr>
      <w:wordWrap w:val="0"/>
      <w:overflowPunct w:val="0"/>
      <w:autoSpaceDE w:val="0"/>
      <w:autoSpaceDN w:val="0"/>
      <w:jc w:val="center"/>
    </w:pPr>
    <w:rPr>
      <w:rFonts w:ascii="宋体" w:hAnsi="宋体" w:eastAsia="宋体" w:cstheme="minorBidi"/>
      <w:b/>
      <w:kern w:val="2"/>
      <w:sz w:val="24"/>
      <w:szCs w:val="21"/>
      <w:lang w:val="en-US" w:eastAsia="zh-CN" w:bidi="ar-SA"/>
    </w:rPr>
  </w:style>
  <w:style w:type="character" w:customStyle="1" w:styleId="443">
    <w:name w:val="未处理的提及4"/>
    <w:basedOn w:val="56"/>
    <w:semiHidden/>
    <w:unhideWhenUsed/>
    <w:qFormat/>
    <w:uiPriority w:val="99"/>
    <w:rPr>
      <w:color w:val="605E5C"/>
      <w:shd w:val="clear" w:color="auto" w:fill="E1DFDD"/>
    </w:rPr>
  </w:style>
  <w:style w:type="paragraph" w:customStyle="1" w:styleId="444">
    <w:name w:val="TOC 标题3"/>
    <w:basedOn w:val="4"/>
    <w:next w:val="1"/>
    <w:unhideWhenUsed/>
    <w:qFormat/>
    <w:uiPriority w:val="39"/>
    <w:pPr>
      <w:spacing w:before="240" w:after="0" w:line="259" w:lineRule="auto"/>
      <w:ind w:firstLine="0" w:firstLineChars="0"/>
      <w:jc w:val="center"/>
      <w:outlineLvl w:val="9"/>
    </w:pPr>
    <w:rPr>
      <w:rFonts w:eastAsia="黑体" w:asciiTheme="majorHAnsi" w:hAnsiTheme="majorHAnsi" w:cstheme="majorBidi"/>
      <w:b w:val="0"/>
      <w:bCs w:val="0"/>
      <w:kern w:val="0"/>
      <w:sz w:val="36"/>
      <w:szCs w:val="32"/>
    </w:rPr>
  </w:style>
  <w:style w:type="character" w:customStyle="1" w:styleId="445">
    <w:name w:val="题注 字符"/>
    <w:link w:val="17"/>
    <w:qFormat/>
    <w:uiPriority w:val="35"/>
    <w:rPr>
      <w:rFonts w:ascii="Arial" w:hAnsi="Arial" w:eastAsia="黑体" w:cs="Arial"/>
      <w:kern w:val="2"/>
    </w:rPr>
  </w:style>
  <w:style w:type="paragraph" w:customStyle="1" w:styleId="446">
    <w:name w:val="*正文"/>
    <w:basedOn w:val="1"/>
    <w:qFormat/>
    <w:uiPriority w:val="0"/>
    <w:pPr>
      <w:widowControl w:val="0"/>
      <w:overflowPunct w:val="0"/>
      <w:spacing w:after="0"/>
      <w:ind w:firstLine="482"/>
    </w:pPr>
    <w:rPr>
      <w:rFonts w:ascii="宋体" w:hAnsi="宋体"/>
      <w:sz w:val="24"/>
      <w:szCs w:val="20"/>
    </w:rPr>
  </w:style>
  <w:style w:type="character" w:customStyle="1" w:styleId="447">
    <w:name w:val="!BECC正文 Char"/>
    <w:link w:val="448"/>
    <w:qFormat/>
    <w:locked/>
    <w:uiPriority w:val="0"/>
    <w:rPr>
      <w:sz w:val="24"/>
      <w:szCs w:val="24"/>
    </w:rPr>
  </w:style>
  <w:style w:type="paragraph" w:customStyle="1" w:styleId="448">
    <w:name w:val="!BECC正文"/>
    <w:basedOn w:val="1"/>
    <w:link w:val="447"/>
    <w:qFormat/>
    <w:uiPriority w:val="0"/>
    <w:pPr>
      <w:widowControl w:val="0"/>
      <w:tabs>
        <w:tab w:val="left" w:pos="0"/>
      </w:tabs>
      <w:overflowPunct w:val="0"/>
      <w:spacing w:beforeLines="50" w:after="0"/>
      <w:contextualSpacing/>
    </w:pPr>
    <w:rPr>
      <w:kern w:val="0"/>
      <w:sz w:val="24"/>
    </w:rPr>
  </w:style>
  <w:style w:type="character" w:customStyle="1" w:styleId="449">
    <w:name w:val="未处理的提及5"/>
    <w:basedOn w:val="56"/>
    <w:semiHidden/>
    <w:unhideWhenUsed/>
    <w:qFormat/>
    <w:uiPriority w:val="99"/>
    <w:rPr>
      <w:color w:val="605E5C"/>
      <w:shd w:val="clear" w:color="auto" w:fill="E1DFDD"/>
    </w:rPr>
  </w:style>
  <w:style w:type="character" w:customStyle="1" w:styleId="450">
    <w:name w:val="未处理的提及6"/>
    <w:basedOn w:val="56"/>
    <w:semiHidden/>
    <w:unhideWhenUsed/>
    <w:qFormat/>
    <w:uiPriority w:val="99"/>
    <w:rPr>
      <w:color w:val="605E5C"/>
      <w:shd w:val="clear" w:color="auto" w:fill="E1DFDD"/>
    </w:rPr>
  </w:style>
  <w:style w:type="character" w:customStyle="1" w:styleId="451">
    <w:name w:val="未处理的提及7"/>
    <w:basedOn w:val="56"/>
    <w:semiHidden/>
    <w:unhideWhenUsed/>
    <w:qFormat/>
    <w:uiPriority w:val="99"/>
    <w:rPr>
      <w:color w:val="605E5C"/>
      <w:shd w:val="clear" w:color="auto" w:fill="E1DFDD"/>
    </w:rPr>
  </w:style>
  <w:style w:type="character" w:customStyle="1" w:styleId="452">
    <w:name w:val="未处理的提及8"/>
    <w:basedOn w:val="56"/>
    <w:semiHidden/>
    <w:unhideWhenUsed/>
    <w:qFormat/>
    <w:uiPriority w:val="99"/>
    <w:rPr>
      <w:color w:val="605E5C"/>
      <w:shd w:val="clear" w:color="auto" w:fill="E1DFDD"/>
    </w:rPr>
  </w:style>
  <w:style w:type="character" w:customStyle="1" w:styleId="453">
    <w:name w:val="未处理的提及9"/>
    <w:basedOn w:val="56"/>
    <w:semiHidden/>
    <w:unhideWhenUsed/>
    <w:qFormat/>
    <w:uiPriority w:val="99"/>
    <w:rPr>
      <w:color w:val="605E5C"/>
      <w:shd w:val="clear" w:color="auto" w:fill="E1DFDD"/>
    </w:rPr>
  </w:style>
  <w:style w:type="paragraph" w:customStyle="1" w:styleId="454">
    <w:name w:val="修订6"/>
    <w:hidden/>
    <w:unhideWhenUsed/>
    <w:qFormat/>
    <w:uiPriority w:val="99"/>
    <w:rPr>
      <w:rFonts w:ascii="宋体" w:hAnsi="宋体" w:eastAsia="宋体" w:cstheme="minorBidi"/>
      <w:kern w:val="2"/>
      <w:sz w:val="24"/>
      <w:szCs w:val="21"/>
      <w:lang w:val="en-US" w:eastAsia="zh-CN" w:bidi="ar-SA"/>
    </w:rPr>
  </w:style>
  <w:style w:type="character" w:customStyle="1" w:styleId="455">
    <w:name w:val="未处理的提及10"/>
    <w:basedOn w:val="56"/>
    <w:semiHidden/>
    <w:unhideWhenUsed/>
    <w:qFormat/>
    <w:uiPriority w:val="99"/>
    <w:rPr>
      <w:color w:val="605E5C"/>
      <w:shd w:val="clear" w:color="auto" w:fill="E1DFDD"/>
    </w:rPr>
  </w:style>
  <w:style w:type="character" w:customStyle="1" w:styleId="456">
    <w:name w:val="未处理的提及12"/>
    <w:basedOn w:val="56"/>
    <w:semiHidden/>
    <w:unhideWhenUsed/>
    <w:qFormat/>
    <w:uiPriority w:val="99"/>
    <w:rPr>
      <w:color w:val="605E5C"/>
      <w:shd w:val="clear" w:color="auto" w:fill="E1DFDD"/>
    </w:rPr>
  </w:style>
  <w:style w:type="character" w:customStyle="1" w:styleId="457">
    <w:name w:val="未处理的提及13"/>
    <w:basedOn w:val="56"/>
    <w:semiHidden/>
    <w:unhideWhenUsed/>
    <w:qFormat/>
    <w:uiPriority w:val="99"/>
    <w:rPr>
      <w:color w:val="605E5C"/>
      <w:shd w:val="clear" w:color="auto" w:fill="E1DFDD"/>
    </w:rPr>
  </w:style>
  <w:style w:type="paragraph" w:customStyle="1" w:styleId="458">
    <w:name w:val="pf0"/>
    <w:basedOn w:val="1"/>
    <w:qFormat/>
    <w:uiPriority w:val="0"/>
    <w:pPr>
      <w:widowControl w:val="0"/>
      <w:overflowPunct w:val="0"/>
      <w:spacing w:before="100" w:beforeAutospacing="1" w:after="100" w:afterAutospacing="1"/>
    </w:pPr>
    <w:rPr>
      <w:rFonts w:ascii="宋体" w:hAnsi="宋体" w:cstheme="minorBidi"/>
      <w:sz w:val="24"/>
      <w:szCs w:val="21"/>
    </w:rPr>
  </w:style>
  <w:style w:type="character" w:customStyle="1" w:styleId="459">
    <w:name w:val="cf01"/>
    <w:basedOn w:val="56"/>
    <w:qFormat/>
    <w:uiPriority w:val="0"/>
    <w:rPr>
      <w:rFonts w:hint="eastAsia" w:ascii="Microsoft YaHei UI" w:hAnsi="Microsoft YaHei UI" w:eastAsia="Microsoft YaHei UI"/>
      <w:b/>
      <w:bCs/>
      <w:color w:val="0F1115"/>
      <w:sz w:val="18"/>
      <w:szCs w:val="18"/>
    </w:rPr>
  </w:style>
  <w:style w:type="character" w:customStyle="1" w:styleId="460">
    <w:name w:val="cf11"/>
    <w:basedOn w:val="56"/>
    <w:qFormat/>
    <w:uiPriority w:val="0"/>
    <w:rPr>
      <w:rFonts w:hint="eastAsia" w:ascii="Microsoft YaHei UI" w:hAnsi="Microsoft YaHei UI" w:eastAsia="Microsoft YaHei UI"/>
      <w:b/>
      <w:bCs/>
      <w:color w:val="0F1115"/>
      <w:sz w:val="18"/>
      <w:szCs w:val="18"/>
    </w:rPr>
  </w:style>
  <w:style w:type="paragraph" w:customStyle="1" w:styleId="461">
    <w:name w:val="修订7"/>
    <w:hidden/>
    <w:unhideWhenUsed/>
    <w:qFormat/>
    <w:uiPriority w:val="99"/>
    <w:rPr>
      <w:rFonts w:ascii="宋体" w:hAnsi="宋体" w:eastAsia="宋体" w:cstheme="minorBidi"/>
      <w:kern w:val="2"/>
      <w:sz w:val="24"/>
      <w:szCs w:val="21"/>
      <w:lang w:val="en-US" w:eastAsia="zh-CN" w:bidi="ar-SA"/>
    </w:rPr>
  </w:style>
  <w:style w:type="paragraph" w:customStyle="1" w:styleId="462">
    <w:name w:val="修订8"/>
    <w:hidden/>
    <w:unhideWhenUsed/>
    <w:qFormat/>
    <w:uiPriority w:val="99"/>
    <w:rPr>
      <w:rFonts w:ascii="宋体" w:hAnsi="宋体" w:eastAsia="宋体" w:cstheme="minorBidi"/>
      <w:kern w:val="2"/>
      <w:sz w:val="24"/>
      <w:szCs w:val="21"/>
      <w:lang w:val="en-US" w:eastAsia="zh-CN" w:bidi="ar-SA"/>
    </w:rPr>
  </w:style>
  <w:style w:type="character" w:customStyle="1" w:styleId="463">
    <w:name w:val="未处理的提及14"/>
    <w:basedOn w:val="56"/>
    <w:semiHidden/>
    <w:unhideWhenUsed/>
    <w:qFormat/>
    <w:uiPriority w:val="99"/>
    <w:rPr>
      <w:color w:val="605E5C"/>
      <w:shd w:val="clear" w:color="auto" w:fill="E1DFDD"/>
    </w:rPr>
  </w:style>
  <w:style w:type="character" w:customStyle="1" w:styleId="464">
    <w:name w:val="未处理的提及15"/>
    <w:basedOn w:val="56"/>
    <w:semiHidden/>
    <w:unhideWhenUsed/>
    <w:qFormat/>
    <w:uiPriority w:val="99"/>
    <w:rPr>
      <w:color w:val="605E5C"/>
      <w:shd w:val="clear" w:color="auto" w:fill="E1DFDD"/>
    </w:rPr>
  </w:style>
  <w:style w:type="paragraph" w:customStyle="1" w:styleId="465">
    <w:name w:val="封面项目名称"/>
    <w:basedOn w:val="1"/>
    <w:autoRedefine/>
    <w:qFormat/>
    <w:uiPriority w:val="0"/>
    <w:pPr>
      <w:widowControl w:val="0"/>
      <w:shd w:val="clear" w:color="auto" w:fill="FFFFFF"/>
      <w:overflowPunct w:val="0"/>
      <w:adjustRightInd w:val="0"/>
      <w:snapToGrid w:val="0"/>
      <w:spacing w:after="0"/>
      <w:jc w:val="center"/>
    </w:pPr>
    <w:rPr>
      <w:rFonts w:ascii="等线" w:hAnsi="等线" w:cstheme="minorBidi"/>
      <w:b/>
      <w:sz w:val="48"/>
      <w:szCs w:val="21"/>
    </w:rPr>
  </w:style>
  <w:style w:type="paragraph" w:customStyle="1" w:styleId="466">
    <w:name w:val="表格正文"/>
    <w:basedOn w:val="1"/>
    <w:qFormat/>
    <w:uiPriority w:val="0"/>
    <w:pPr>
      <w:widowControl w:val="0"/>
      <w:shd w:val="clear" w:color="auto" w:fill="FFFFFF"/>
      <w:overflowPunct w:val="0"/>
      <w:adjustRightInd w:val="0"/>
      <w:snapToGrid w:val="0"/>
      <w:spacing w:before="60" w:after="60" w:line="300" w:lineRule="auto"/>
      <w:jc w:val="center"/>
    </w:pPr>
    <w:rPr>
      <w:rFonts w:ascii="Verdana" w:hAnsi="Verdana" w:cstheme="minorBidi"/>
      <w:sz w:val="24"/>
      <w:szCs w:val="21"/>
    </w:rPr>
  </w:style>
  <w:style w:type="paragraph" w:customStyle="1" w:styleId="467">
    <w:name w:val="正文啊"/>
    <w:basedOn w:val="1"/>
    <w:qFormat/>
    <w:uiPriority w:val="0"/>
    <w:pPr>
      <w:widowControl w:val="0"/>
      <w:shd w:val="clear" w:color="auto" w:fill="FFFFFF"/>
      <w:overflowPunct w:val="0"/>
      <w:adjustRightInd w:val="0"/>
      <w:snapToGrid w:val="0"/>
      <w:spacing w:after="0"/>
      <w:ind w:firstLine="643"/>
    </w:pPr>
    <w:rPr>
      <w:rFonts w:ascii="仿宋" w:hAnsi="仿宋" w:eastAsia="仿宋" w:cs="仿宋"/>
      <w:sz w:val="32"/>
      <w:szCs w:val="32"/>
    </w:rPr>
  </w:style>
  <w:style w:type="character" w:customStyle="1" w:styleId="468">
    <w:name w:val="未处理的提及16"/>
    <w:basedOn w:val="56"/>
    <w:semiHidden/>
    <w:unhideWhenUsed/>
    <w:qFormat/>
    <w:uiPriority w:val="99"/>
    <w:rPr>
      <w:color w:val="605E5C"/>
      <w:shd w:val="clear" w:color="auto" w:fill="E1DFDD"/>
    </w:rPr>
  </w:style>
  <w:style w:type="paragraph" w:customStyle="1" w:styleId="469">
    <w:name w:val="技术正文（深信服）"/>
    <w:basedOn w:val="1"/>
    <w:link w:val="470"/>
    <w:qFormat/>
    <w:uiPriority w:val="0"/>
    <w:pPr>
      <w:widowControl w:val="0"/>
      <w:overflowPunct w:val="0"/>
      <w:spacing w:after="0"/>
      <w:ind w:firstLine="480"/>
    </w:pPr>
    <w:rPr>
      <w:rFonts w:cstheme="minorBidi"/>
      <w:sz w:val="24"/>
      <w:szCs w:val="22"/>
    </w:rPr>
  </w:style>
  <w:style w:type="character" w:customStyle="1" w:styleId="470">
    <w:name w:val="技术正文（深信服） 字符"/>
    <w:basedOn w:val="56"/>
    <w:link w:val="469"/>
    <w:qFormat/>
    <w:uiPriority w:val="0"/>
    <w:rPr>
      <w:rFonts w:cstheme="minorBidi"/>
      <w:kern w:val="2"/>
      <w:sz w:val="24"/>
      <w:szCs w:val="22"/>
    </w:rPr>
  </w:style>
  <w:style w:type="paragraph" w:customStyle="1" w:styleId="471">
    <w:name w:val="正文（深信服）"/>
    <w:qFormat/>
    <w:uiPriority w:val="0"/>
    <w:pPr>
      <w:adjustRightInd w:val="0"/>
      <w:snapToGrid w:val="0"/>
      <w:spacing w:line="360" w:lineRule="auto"/>
      <w:ind w:firstLine="480" w:firstLineChars="200"/>
      <w:jc w:val="both"/>
    </w:pPr>
    <w:rPr>
      <w:rFonts w:ascii="Times New Roman" w:hAnsi="Times New Roman" w:eastAsia="宋体" w:cs="Times New Roman"/>
      <w:sz w:val="24"/>
      <w:szCs w:val="21"/>
      <w:lang w:val="en-US" w:eastAsia="zh-CN" w:bidi="ar-SA"/>
    </w:rPr>
  </w:style>
  <w:style w:type="paragraph" w:customStyle="1" w:styleId="472">
    <w:name w:val="标题 4（深信服）"/>
    <w:basedOn w:val="7"/>
    <w:next w:val="471"/>
    <w:qFormat/>
    <w:uiPriority w:val="0"/>
    <w:pPr>
      <w:widowControl w:val="0"/>
      <w:numPr>
        <w:ilvl w:val="3"/>
        <w:numId w:val="2"/>
      </w:numPr>
      <w:tabs>
        <w:tab w:val="left" w:pos="420"/>
      </w:tabs>
      <w:adjustRightInd w:val="0"/>
      <w:snapToGrid w:val="0"/>
      <w:spacing w:before="50" w:beforeLines="50" w:after="50" w:afterLines="50" w:line="240" w:lineRule="auto"/>
      <w:ind w:left="360" w:hanging="360" w:hangingChars="360"/>
      <w:jc w:val="left"/>
    </w:pPr>
    <w:rPr>
      <w:rFonts w:ascii="Times New Roman" w:hAnsi="Times New Roman" w:cs="宋体"/>
      <w:bCs w:val="0"/>
      <w:sz w:val="24"/>
    </w:rPr>
  </w:style>
  <w:style w:type="paragraph" w:customStyle="1" w:styleId="473">
    <w:name w:val="msonormal"/>
    <w:basedOn w:val="1"/>
    <w:qFormat/>
    <w:uiPriority w:val="0"/>
    <w:pPr>
      <w:widowControl w:val="0"/>
      <w:overflowPunct w:val="0"/>
      <w:spacing w:before="100" w:beforeAutospacing="1" w:after="100" w:afterAutospacing="1"/>
      <w:ind w:firstLine="480"/>
    </w:pPr>
    <w:rPr>
      <w:rFonts w:ascii="宋体" w:hAnsi="宋体" w:cstheme="minorBidi"/>
      <w:sz w:val="24"/>
      <w:szCs w:val="21"/>
    </w:rPr>
  </w:style>
  <w:style w:type="paragraph" w:customStyle="1" w:styleId="474">
    <w:name w:val="修订9"/>
    <w:hidden/>
    <w:unhideWhenUsed/>
    <w:qFormat/>
    <w:uiPriority w:val="99"/>
    <w:rPr>
      <w:rFonts w:ascii="宋体" w:hAnsi="宋体" w:eastAsia="宋体" w:cstheme="minorBidi"/>
      <w:kern w:val="2"/>
      <w:sz w:val="24"/>
      <w:szCs w:val="21"/>
      <w:lang w:val="en-US" w:eastAsia="zh-CN" w:bidi="ar-SA"/>
    </w:rPr>
  </w:style>
  <w:style w:type="character" w:customStyle="1" w:styleId="475">
    <w:name w:val="未处理的提及17"/>
    <w:basedOn w:val="56"/>
    <w:semiHidden/>
    <w:unhideWhenUsed/>
    <w:qFormat/>
    <w:uiPriority w:val="99"/>
    <w:rPr>
      <w:color w:val="605E5C"/>
      <w:shd w:val="clear" w:color="auto" w:fill="E1DFDD"/>
    </w:rPr>
  </w:style>
  <w:style w:type="character" w:customStyle="1" w:styleId="476">
    <w:name w:val="font61"/>
    <w:basedOn w:val="56"/>
    <w:qFormat/>
    <w:uiPriority w:val="0"/>
    <w:rPr>
      <w:rFonts w:hint="eastAsia" w:ascii="宋体" w:hAnsi="宋体" w:eastAsia="宋体" w:cs="宋体"/>
      <w:color w:val="000000"/>
      <w:sz w:val="24"/>
      <w:szCs w:val="24"/>
      <w:u w:val="none"/>
    </w:rPr>
  </w:style>
  <w:style w:type="paragraph" w:customStyle="1" w:styleId="477">
    <w:name w:val="修订10"/>
    <w:hidden/>
    <w:unhideWhenUsed/>
    <w:qFormat/>
    <w:uiPriority w:val="99"/>
    <w:rPr>
      <w:rFonts w:ascii="宋体" w:hAnsi="宋体" w:eastAsia="宋体" w:cstheme="minorBidi"/>
      <w:kern w:val="2"/>
      <w:sz w:val="24"/>
      <w:szCs w:val="21"/>
      <w:lang w:val="en-US" w:eastAsia="zh-CN" w:bidi="ar-SA"/>
    </w:rPr>
  </w:style>
  <w:style w:type="character" w:customStyle="1" w:styleId="478">
    <w:name w:val="未处理的提及18"/>
    <w:basedOn w:val="56"/>
    <w:semiHidden/>
    <w:unhideWhenUsed/>
    <w:qFormat/>
    <w:uiPriority w:val="99"/>
    <w:rPr>
      <w:color w:val="605E5C"/>
      <w:shd w:val="clear" w:color="auto" w:fill="E1DFDD"/>
    </w:rPr>
  </w:style>
  <w:style w:type="character" w:customStyle="1" w:styleId="479">
    <w:name w:val="列表段落 字符"/>
    <w:link w:val="348"/>
    <w:qFormat/>
    <w:uiPriority w:val="34"/>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SixthEditionOfficeOnline.xsl" Version="6"/>
</file>

<file path=customXml/itemProps1.xml><?xml version="1.0" encoding="utf-8"?>
<ds:datastoreItem xmlns:ds="http://schemas.openxmlformats.org/officeDocument/2006/customXml" ds:itemID="{BE9614F3-7EF0-4E46-9D5E-FECE9D175739}">
  <ds:schemaRefs/>
</ds:datastoreItem>
</file>

<file path=docProps/app.xml><?xml version="1.0" encoding="utf-8"?>
<Properties xmlns="http://schemas.openxmlformats.org/officeDocument/2006/extended-properties" xmlns:vt="http://schemas.openxmlformats.org/officeDocument/2006/docPropsVTypes">
  <Template>Normal</Template>
  <Pages>19</Pages>
  <Words>8019</Words>
  <Characters>8706</Characters>
  <Lines>126</Lines>
  <Paragraphs>35</Paragraphs>
  <TotalTime>2</TotalTime>
  <ScaleCrop>false</ScaleCrop>
  <LinksUpToDate>false</LinksUpToDate>
  <CharactersWithSpaces>8788</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2026-04-07T08:38:00Z</dcterms:created>
  <dc:creator>刘博</dc:creator>
  <cp:lastModifiedBy>實誠</cp:lastModifiedBy>
  <dcterms:modified xsi:type="dcterms:W3CDTF">2026-06-05T10:02:40Z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eyJoZGlkIjoiZjYxZTUyYjc1MzQwNWRmNjlmMWQyYmQ2NmM1M2U4MmMiLCJ1c2VySWQiOiI2OTk3NTA5NDAifQ==</vt:lpwstr>
  </property>
  <property fmtid="{D5CDD505-2E9C-101B-9397-08002B2CF9AE}" pid="3" name="KSOProductBuildVer">
    <vt:lpwstr>2052-12.1.2.25882</vt:lpwstr>
  </property>
  <property fmtid="{D5CDD505-2E9C-101B-9397-08002B2CF9AE}" pid="4" name="ICV">
    <vt:lpwstr>4044D64A22234ABCBED12F89E9F3AFA3_13</vt:lpwstr>
  </property>
</Properties>
</file>