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bookmarkStart w:id="2" w:name="_GoBack"/>
      <w:bookmarkEnd w:id="2"/>
      <w:r>
        <w:rPr>
          <w:rFonts w:hint="eastAsia" w:ascii="宋体" w:hAnsi="宋体" w:eastAsia="宋体" w:cs="宋体"/>
          <w:b w:val="0"/>
          <w:bCs/>
          <w:sz w:val="44"/>
          <w:szCs w:val="44"/>
          <w:lang w:val="en-US" w:eastAsia="zh-CN"/>
        </w:rPr>
        <w:t>商务车辆维修保养服务项目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1.支付上限：9万元。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二、项目基本概况</w:t>
      </w:r>
    </w:p>
    <w:p w14:paraId="145A4095">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为确保医院车辆行车安全，特采购本项目。</w:t>
      </w:r>
    </w:p>
    <w:p w14:paraId="7F94086B">
      <w:pPr>
        <w:ind w:firstLine="643" w:firstLineChars="200"/>
        <w:rPr>
          <w:rFonts w:hint="default"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三、采购需求</w:t>
      </w:r>
    </w:p>
    <w:p w14:paraId="309ADD4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1.投标人应保证按深圳物价局汽车维修工时定额收费标准、维修，文明生产、诚实守信、合法经营。</w:t>
      </w:r>
    </w:p>
    <w:p w14:paraId="52185864">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2.投标人应设立应急电话，实行24小时专人值班。</w:t>
      </w:r>
    </w:p>
    <w:p w14:paraId="7C5CBBA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投标人应保证外出救援服务项目在采购人规定的时间内到达现场：即龙岗中心城内30分钟内到达，龙岗中心城外60分钟内到达，深圳市区90分钟内到达，并免收外出救援费，协助办理车辆事故处理，结案及保险索赔。</w:t>
      </w:r>
    </w:p>
    <w:p w14:paraId="6FBA40C2">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4.投标人免费提供深圳区域违章停车的违章处理，或最大程度减少以上情况所造成的损失或费用，避免一些不必要的经济损失。</w:t>
      </w:r>
    </w:p>
    <w:p w14:paraId="6ECFA0E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5.投标人应提供24小时免费拖车、修车服务（深圳区域、全天候），提供免费上门接送车服务，提供免费车辆洗车、吸尘服务。</w:t>
      </w:r>
    </w:p>
    <w:p w14:paraId="62175B0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6.投标人应建立车辆详细维修档案，并做到一车一档，为提供日常免费保养技术咨询和驾驶人员技术培训服务。</w:t>
      </w:r>
    </w:p>
    <w:p w14:paraId="7FA3528D">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7.投标人必须保证维修质量，质量保修期不低于国家标准。发动机大修：保修20000公里或6个月；发动机中修：保修10000公里或3个月；二级维修：保修5000公里或1个月；一级维修：保修2000公里或10天；小修：保修1500公里或5天。</w:t>
      </w:r>
    </w:p>
    <w:p w14:paraId="543B72B8">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8.投标人必须保证采购人送修车辆优先维修，普通性维修项目12小时内完成，紧急维修项目在6小时内完成维修。</w:t>
      </w:r>
    </w:p>
    <w:p w14:paraId="1C24374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9.投标人必须规范进货渠道，增加配件储存。寻求价格与质量比最好的配件供应商提供配件，确保配件质量。</w:t>
      </w:r>
    </w:p>
    <w:p w14:paraId="06C7DF8C">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四、深圳市龙岗区妇幼保健院在用商务车辆明细表</w:t>
      </w:r>
    </w:p>
    <w:tbl>
      <w:tblPr>
        <w:tblStyle w:val="14"/>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500"/>
        <w:gridCol w:w="1440"/>
        <w:gridCol w:w="2305"/>
        <w:gridCol w:w="1710"/>
        <w:gridCol w:w="1320"/>
      </w:tblGrid>
      <w:tr w14:paraId="469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889D">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328">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327">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车辆用途</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75C4">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品牌型号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288C">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0A29">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座位数</w:t>
            </w:r>
          </w:p>
        </w:tc>
      </w:tr>
      <w:tr w14:paraId="723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BD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95D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粤BJ637K</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1A8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本田HG6481BAA</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F4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E63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7B0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09F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E7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粤B20K09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96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26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DE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23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1CF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56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A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粤BF316B</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2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3F25">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丰田GTM7200GB-NAV1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538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8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54BE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B0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E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粤BDX919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A8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E5B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别克SGM6527AT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B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74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bl>
    <w:p w14:paraId="4D95A25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五、日常维保及常用配件报价表 </w:t>
      </w:r>
    </w:p>
    <w:p w14:paraId="11FD9162">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要求零配件必须有商品合格证，详见附件2-1 深圳市龙岗区妇幼保健院特种车辆维保服务项目报价表。</w:t>
      </w:r>
    </w:p>
    <w:p w14:paraId="1D3155B5">
      <w:pPr>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sz w:val="32"/>
          <w:szCs w:val="32"/>
          <w:lang w:val="en-US" w:eastAsia="zh-CN"/>
        </w:rPr>
        <w:t>六、项目商务要求</w:t>
      </w:r>
    </w:p>
    <w:bookmarkEnd w:id="0"/>
    <w:p w14:paraId="0EDB88A1">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sz w:val="32"/>
          <w:szCs w:val="32"/>
          <w:lang w:val="en-US" w:eastAsia="zh-CN"/>
        </w:rPr>
        <w:t>本项目服务期一年。一年合同期满后，经履约考核良好及以上的可按原合同条款下一年度合同，每次续签期限为一年，最多可续签两次。</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（二）报价要求</w:t>
      </w:r>
    </w:p>
    <w:p w14:paraId="2AD4F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方式：人民币报价，本次招标采用总承包方式，因此投标人的报价应包括所投项目的维修、保养、年审等服务项目所有费用、所有服务人员的工勤费用（包括工资、福利、交通、食宿、保险、工伤、通讯、常驻现场的费用等）、相关税费直至合同期结束的所有费用。</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p w14:paraId="440E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3.价格分计算依据：以附件2-1</w:t>
      </w:r>
      <w:r>
        <w:rPr>
          <w:rFonts w:hint="eastAsia" w:ascii="仿宋_GB2312" w:hAnsi="仿宋_GB2312" w:eastAsia="仿宋_GB2312" w:cs="仿宋_GB2312"/>
          <w:b w:val="0"/>
          <w:bCs/>
          <w:sz w:val="32"/>
          <w:szCs w:val="32"/>
          <w:lang w:val="en-US" w:eastAsia="zh-CN"/>
        </w:rPr>
        <w:t>深圳市龙岗区妇幼保健院特种车辆维保服务项目报价表</w:t>
      </w:r>
      <w:r>
        <w:rPr>
          <w:rFonts w:hint="eastAsia" w:ascii="仿宋_GB2312" w:hAnsi="仿宋_GB2312" w:eastAsia="仿宋_GB2312" w:cs="仿宋_GB2312"/>
          <w:sz w:val="32"/>
          <w:szCs w:val="32"/>
          <w:highlight w:val="none"/>
          <w:lang w:val="en-US" w:eastAsia="zh-CN"/>
        </w:rPr>
        <w:t>中全部表格的单项报价汇总作为价格分计算依据，开标一览表处，填写该汇总价。</w:t>
      </w:r>
      <w:r>
        <w:rPr>
          <w:rFonts w:hint="eastAsia" w:ascii="仿宋_GB2312" w:hAnsi="仿宋_GB2312" w:eastAsia="仿宋_GB2312" w:cs="仿宋_GB2312"/>
          <w:b/>
          <w:bCs/>
          <w:sz w:val="32"/>
          <w:szCs w:val="32"/>
          <w:highlight w:val="none"/>
          <w:lang w:val="en-US" w:eastAsia="zh-CN"/>
        </w:rPr>
        <w:t>投标时，需同步提供一份电子版Excel，否则做无效投标处理</w:t>
      </w:r>
      <w:r>
        <w:rPr>
          <w:rFonts w:hint="eastAsia" w:ascii="仿宋_GB2312" w:hAnsi="仿宋_GB2312" w:eastAsia="仿宋_GB2312" w:cs="仿宋_GB2312"/>
          <w:sz w:val="32"/>
          <w:szCs w:val="32"/>
          <w:highlight w:val="none"/>
          <w:lang w:val="en-US" w:eastAsia="zh-CN"/>
        </w:rPr>
        <w:t>。</w:t>
      </w:r>
    </w:p>
    <w:p w14:paraId="7EFA5F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（三）付款及结算方式</w:t>
      </w:r>
      <w:r>
        <w:rPr>
          <w:rFonts w:hint="eastAsia" w:ascii="仿宋_GB2312" w:hAnsi="仿宋_GB2312" w:eastAsia="仿宋_GB2312" w:cs="仿宋_GB2312"/>
          <w:sz w:val="32"/>
          <w:szCs w:val="32"/>
          <w:highlight w:val="none"/>
          <w:lang w:val="en-US" w:eastAsia="zh-CN"/>
        </w:rPr>
        <w:t>：采用先服务后付款方式，根据每月实际发生的车辆维保服务费用，中标人开具合法发票，采购人在15日历日内付款。</w:t>
      </w:r>
    </w:p>
    <w:p w14:paraId="6941C1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（四）验收：</w:t>
      </w:r>
      <w:r>
        <w:rPr>
          <w:rFonts w:hint="eastAsia" w:ascii="仿宋_GB2312" w:hAnsi="仿宋_GB2312" w:eastAsia="仿宋_GB2312" w:cs="仿宋_GB2312"/>
          <w:sz w:val="32"/>
          <w:szCs w:val="32"/>
          <w:highlight w:val="none"/>
          <w:lang w:val="en-US" w:eastAsia="zh-CN"/>
        </w:rPr>
        <w:t>由车队验收小组成员共同签收合同履约情况表。同一车辆同一部位在两周内出现相同故障重复维修的，应免费提供维修，如在三个月内出现三次相同情况，按照当季度的维修费用处以5%的罚款。</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七、其他要求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92"/>
        <w:gridCol w:w="10"/>
        <w:gridCol w:w="2"/>
        <w:gridCol w:w="1671"/>
        <w:gridCol w:w="1089"/>
        <w:gridCol w:w="4928"/>
      </w:tblGrid>
      <w:tr w14:paraId="439D1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AD4D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序号</w:t>
            </w:r>
          </w:p>
        </w:tc>
        <w:tc>
          <w:tcPr>
            <w:tcW w:w="346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1F473F5A">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评分项</w:t>
            </w:r>
          </w:p>
        </w:tc>
        <w:tc>
          <w:tcPr>
            <w:tcW w:w="492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F32EA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r>
      <w:tr w14:paraId="0FFEF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top"/>
          </w:tcPr>
          <w:p w14:paraId="1A38BC86">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1</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28FF2DB4">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价格</w:t>
            </w:r>
          </w:p>
        </w:tc>
        <w:tc>
          <w:tcPr>
            <w:tcW w:w="4928" w:type="dxa"/>
            <w:tcBorders>
              <w:top w:val="single" w:color="000000" w:sz="8" w:space="0"/>
              <w:left w:val="single" w:color="000000" w:sz="8" w:space="0"/>
              <w:bottom w:val="single" w:color="000000" w:sz="8" w:space="0"/>
              <w:right w:val="single" w:color="000000" w:sz="8" w:space="0"/>
            </w:tcBorders>
            <w:vAlign w:val="top"/>
          </w:tcPr>
          <w:p w14:paraId="173B800D">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20</w:t>
            </w:r>
          </w:p>
        </w:tc>
      </w:tr>
      <w:tr w14:paraId="5F2BE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E52D6C2">
            <w:pPr>
              <w:keepNext w:val="0"/>
              <w:keepLines w:val="0"/>
              <w:pageBreakBefore w:val="0"/>
              <w:kinsoku/>
              <w:overflowPunct/>
              <w:topLinePunct w:val="0"/>
              <w:bidi w:val="0"/>
              <w:spacing w:line="400" w:lineRule="atLeast"/>
              <w:rPr>
                <w:rFonts w:hint="eastAsia" w:ascii="宋体" w:cs="宋体"/>
                <w:snapToGrid w:val="0"/>
                <w:kern w:val="0"/>
              </w:rPr>
            </w:pPr>
          </w:p>
        </w:tc>
        <w:tc>
          <w:tcPr>
            <w:tcW w:w="8392" w:type="dxa"/>
            <w:gridSpan w:val="6"/>
            <w:tcBorders>
              <w:top w:val="single" w:color="000000" w:sz="8" w:space="0"/>
              <w:left w:val="single" w:color="000000" w:sz="8" w:space="0"/>
              <w:bottom w:val="single" w:color="000000" w:sz="8" w:space="0"/>
              <w:right w:val="single" w:color="000000" w:sz="8" w:space="0"/>
            </w:tcBorders>
            <w:vAlign w:val="top"/>
          </w:tcPr>
          <w:p w14:paraId="15730A86">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0FFE08A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投标报价得分=(评标基准价／投标报价)×100×权重</w:t>
            </w:r>
          </w:p>
          <w:p w14:paraId="109D4D5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150B2C38">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1、投标报价得分四舍五入后，小数点后保留两位有效数。</w:t>
            </w:r>
          </w:p>
          <w:p w14:paraId="4F15C223">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bCs/>
                <w:color w:val="auto"/>
                <w:sz w:val="21"/>
                <w:szCs w:val="21"/>
                <w:highlight w:val="none"/>
              </w:rPr>
              <w:t>2、因落实政府采购政策进行价格调整的，以调整后的价格计算评标基准价</w:t>
            </w:r>
            <w:r>
              <w:rPr>
                <w:rStyle w:val="16"/>
                <w:rFonts w:hint="eastAsia" w:ascii="宋体" w:hAnsi="宋体" w:eastAsia="宋体" w:cs="宋体"/>
                <w:color w:val="auto"/>
                <w:sz w:val="21"/>
                <w:szCs w:val="21"/>
                <w:highlight w:val="none"/>
              </w:rPr>
              <w:t>和投标报价,详见《价格扣除》。</w:t>
            </w:r>
          </w:p>
        </w:tc>
      </w:tr>
      <w:tr w14:paraId="0360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6F8F4CCB">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2</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3D84D41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技术部分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0EC408E5">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65</w:t>
            </w:r>
          </w:p>
        </w:tc>
      </w:tr>
      <w:tr w14:paraId="057DC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jc w:val="center"/>
        </w:trPr>
        <w:tc>
          <w:tcPr>
            <w:tcW w:w="680" w:type="dxa"/>
            <w:vMerge w:val="continue"/>
            <w:tcBorders>
              <w:left w:val="single" w:color="000000" w:sz="8" w:space="0"/>
              <w:right w:val="single" w:color="000000" w:sz="8" w:space="0"/>
            </w:tcBorders>
            <w:vAlign w:val="top"/>
          </w:tcPr>
          <w:p w14:paraId="105616FE">
            <w:pPr>
              <w:keepNext w:val="0"/>
              <w:keepLines w:val="0"/>
              <w:pageBreakBefore w:val="0"/>
              <w:kinsoku/>
              <w:overflowPunct/>
              <w:topLinePunct w:val="0"/>
              <w:bidi w:val="0"/>
              <w:spacing w:line="400" w:lineRule="atLeast"/>
              <w:rPr>
                <w:rFonts w:hint="eastAsia" w:ascii="宋体" w:cs="宋体"/>
                <w:snapToGrid w:val="0"/>
                <w:kern w:val="0"/>
                <w:lang w:val="en-US" w:eastAsia="zh-CN"/>
              </w:rPr>
            </w:pPr>
          </w:p>
        </w:tc>
        <w:tc>
          <w:tcPr>
            <w:tcW w:w="692" w:type="dxa"/>
            <w:tcBorders>
              <w:top w:val="single" w:color="000000" w:sz="8" w:space="0"/>
              <w:left w:val="single" w:color="000000" w:sz="8" w:space="0"/>
              <w:bottom w:val="single" w:color="000000" w:sz="8" w:space="0"/>
              <w:right w:val="single" w:color="000000" w:sz="8" w:space="0"/>
            </w:tcBorders>
            <w:vAlign w:val="center"/>
          </w:tcPr>
          <w:p w14:paraId="653A09E9">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序号</w:t>
            </w:r>
          </w:p>
        </w:tc>
        <w:tc>
          <w:tcPr>
            <w:tcW w:w="1683" w:type="dxa"/>
            <w:gridSpan w:val="3"/>
            <w:tcBorders>
              <w:top w:val="single" w:color="000000" w:sz="8" w:space="0"/>
              <w:left w:val="single" w:color="000000" w:sz="8" w:space="0"/>
              <w:bottom w:val="single" w:color="000000" w:sz="8" w:space="0"/>
              <w:right w:val="single" w:color="000000" w:sz="8" w:space="0"/>
            </w:tcBorders>
            <w:vAlign w:val="center"/>
          </w:tcPr>
          <w:p w14:paraId="3DB62A0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评分因素</w:t>
            </w:r>
          </w:p>
        </w:tc>
        <w:tc>
          <w:tcPr>
            <w:tcW w:w="1089" w:type="dxa"/>
            <w:tcBorders>
              <w:top w:val="single" w:color="000000" w:sz="8" w:space="0"/>
              <w:left w:val="single" w:color="000000" w:sz="8" w:space="0"/>
              <w:bottom w:val="single" w:color="000000" w:sz="8" w:space="0"/>
              <w:right w:val="single" w:color="000000" w:sz="8" w:space="0"/>
            </w:tcBorders>
            <w:vAlign w:val="center"/>
          </w:tcPr>
          <w:p w14:paraId="31CB28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c>
          <w:tcPr>
            <w:tcW w:w="4928" w:type="dxa"/>
            <w:tcBorders>
              <w:top w:val="single" w:color="000000" w:sz="8" w:space="0"/>
              <w:left w:val="single" w:color="000000" w:sz="8" w:space="0"/>
              <w:bottom w:val="single" w:color="000000" w:sz="8" w:space="0"/>
              <w:right w:val="single" w:color="000000" w:sz="8" w:space="0"/>
            </w:tcBorders>
            <w:vAlign w:val="center"/>
          </w:tcPr>
          <w:p w14:paraId="1A25BF3E">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评分准则</w:t>
            </w:r>
          </w:p>
        </w:tc>
      </w:tr>
      <w:tr w14:paraId="49285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3E45A703">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3CC4F30">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2.1</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75577F2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rPr>
              <w:t>车辆维保方案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2D63D220">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15</w:t>
            </w:r>
          </w:p>
        </w:tc>
        <w:tc>
          <w:tcPr>
            <w:tcW w:w="4928" w:type="dxa"/>
            <w:tcBorders>
              <w:top w:val="single" w:color="000000" w:sz="8" w:space="0"/>
              <w:left w:val="single" w:color="000000" w:sz="8" w:space="0"/>
              <w:bottom w:val="single" w:color="000000" w:sz="8" w:space="0"/>
              <w:right w:val="single" w:color="000000" w:sz="8" w:space="0"/>
            </w:tcBorders>
            <w:vAlign w:val="center"/>
          </w:tcPr>
          <w:p w14:paraId="6D44427E">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（一）评分</w:t>
            </w:r>
            <w:r>
              <w:rPr>
                <w:rFonts w:hint="eastAsia" w:ascii="仿宋" w:hAnsi="仿宋" w:eastAsia="仿宋" w:cs="仿宋"/>
                <w:color w:val="auto"/>
                <w:sz w:val="24"/>
              </w:rPr>
              <w:t>内容：</w:t>
            </w:r>
          </w:p>
          <w:p w14:paraId="3EE035DF">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rPr>
              <w:t>投标人说明对车辆的保养方案</w:t>
            </w:r>
            <w:r>
              <w:rPr>
                <w:rFonts w:hint="eastAsia" w:ascii="仿宋" w:hAnsi="仿宋" w:eastAsia="仿宋" w:cs="仿宋"/>
                <w:color w:val="auto"/>
                <w:sz w:val="24"/>
                <w:lang w:eastAsia="zh-CN"/>
              </w:rPr>
              <w:t>，包括但不限于以下几点：</w:t>
            </w:r>
          </w:p>
          <w:p w14:paraId="5941017A">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1、明确的配件维修流程；</w:t>
            </w:r>
          </w:p>
          <w:p w14:paraId="47D39A8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2、明确的车辆保养流程；</w:t>
            </w:r>
          </w:p>
          <w:p w14:paraId="0DBFDBB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3、对于突发的应急维修的响应方案（包含响应时间、维修流程等）</w:t>
            </w:r>
          </w:p>
          <w:p w14:paraId="67991074">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4、对于供应商原因造成医院损失的补救方案；</w:t>
            </w:r>
          </w:p>
          <w:p w14:paraId="2B9FBD47">
            <w:pPr>
              <w:widowControl/>
              <w:numPr>
                <w:ilvl w:val="-1"/>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1380CFA1">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1、上述内容每提供一项得2分，其他情况不得分，最高得8分。</w:t>
            </w:r>
          </w:p>
          <w:p w14:paraId="4A50D133">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在此基础上</w:t>
            </w:r>
            <w:r>
              <w:rPr>
                <w:rFonts w:hint="eastAsia" w:ascii="仿宋" w:hAnsi="仿宋" w:eastAsia="仿宋" w:cs="仿宋"/>
                <w:color w:val="auto"/>
                <w:sz w:val="24"/>
                <w:lang w:val="en-US" w:eastAsia="zh-CN"/>
              </w:rPr>
              <w:t>，专家根据各投标人的具体措施内容进一步评审：</w:t>
            </w:r>
          </w:p>
          <w:p w14:paraId="59FA21FB">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投标人对本项目的保养方案合理性强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应急措施可操作性强，得</w:t>
            </w:r>
            <w:r>
              <w:rPr>
                <w:rFonts w:hint="eastAsia" w:ascii="仿宋" w:hAnsi="仿宋" w:eastAsia="仿宋" w:cs="仿宋"/>
                <w:color w:val="auto"/>
                <w:sz w:val="24"/>
                <w:lang w:val="en-US" w:eastAsia="zh-CN"/>
              </w:rPr>
              <w:t>7</w:t>
            </w:r>
            <w:r>
              <w:rPr>
                <w:rFonts w:hint="eastAsia" w:ascii="仿宋" w:hAnsi="仿宋" w:eastAsia="仿宋" w:cs="仿宋"/>
                <w:color w:val="auto"/>
                <w:sz w:val="24"/>
              </w:rPr>
              <w:t>分；</w:t>
            </w:r>
          </w:p>
          <w:p w14:paraId="0213957F">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投标人对本项目的保养方案合理性较强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应急措施可操作性较强，得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470D999C">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投标人对本项目的保养方案合理性一般</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应急措施可操作性一般，得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6EE86772">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投标人对本项目的保养方案合理性较差</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应急措施可操作性较差，得</w:t>
            </w:r>
            <w:r>
              <w:rPr>
                <w:rFonts w:hint="eastAsia" w:ascii="仿宋" w:hAnsi="仿宋" w:eastAsia="仿宋" w:cs="仿宋"/>
                <w:color w:val="auto"/>
                <w:sz w:val="24"/>
                <w:lang w:val="en-US" w:eastAsia="zh-CN"/>
              </w:rPr>
              <w:t>0</w:t>
            </w:r>
            <w:r>
              <w:rPr>
                <w:rFonts w:hint="eastAsia" w:ascii="仿宋" w:hAnsi="仿宋" w:eastAsia="仿宋" w:cs="仿宋"/>
                <w:color w:val="auto"/>
                <w:sz w:val="24"/>
              </w:rPr>
              <w:t>分</w:t>
            </w:r>
            <w:r>
              <w:rPr>
                <w:rFonts w:hint="eastAsia" w:ascii="仿宋" w:hAnsi="仿宋" w:eastAsia="仿宋" w:cs="仿宋"/>
                <w:color w:val="auto"/>
                <w:sz w:val="24"/>
                <w:lang w:val="en-US" w:eastAsia="zh-CN"/>
              </w:rPr>
              <w:t>。</w:t>
            </w:r>
          </w:p>
        </w:tc>
      </w:tr>
      <w:tr w14:paraId="5100B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FBA4B6F">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79AA170B">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2.2</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0A64ACBF">
            <w:pPr>
              <w:keepNext w:val="0"/>
              <w:keepLines w:val="0"/>
              <w:pageBreakBefore w:val="0"/>
              <w:kinsoku/>
              <w:overflowPunct/>
              <w:topLinePunct w:val="0"/>
              <w:bidi w:val="0"/>
              <w:spacing w:line="400" w:lineRule="atLeast"/>
              <w:rPr>
                <w:rFonts w:hint="eastAsia" w:ascii="仿宋" w:hAnsi="仿宋" w:eastAsia="仿宋" w:cs="仿宋"/>
                <w:color w:val="auto"/>
                <w:sz w:val="24"/>
                <w:szCs w:val="24"/>
                <w:highlight w:val="none"/>
              </w:rPr>
            </w:pPr>
            <w:r>
              <w:rPr>
                <w:rFonts w:hint="eastAsia" w:ascii="宋体" w:hAnsi="宋体" w:eastAsia="宋体" w:cs="宋体"/>
                <w:color w:val="auto"/>
                <w:sz w:val="21"/>
                <w:szCs w:val="21"/>
                <w:highlight w:val="none"/>
                <w:lang w:val="en-US" w:eastAsia="zh-CN"/>
              </w:rPr>
              <w:t>突发情况应急方案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64F15107">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67EC4E97">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（一）评分内容：</w:t>
            </w:r>
          </w:p>
          <w:p w14:paraId="47A1B058">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对于本次项目，投标人应提供包含如下内容的突发情况应急方案：</w:t>
            </w:r>
          </w:p>
          <w:p w14:paraId="42A04B2A">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w:t>
            </w:r>
          </w:p>
          <w:p w14:paraId="72EE39B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（2）汽车紧急维修救援方案。</w:t>
            </w:r>
          </w:p>
          <w:p w14:paraId="1E65DF2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（二）评分依据：</w:t>
            </w:r>
          </w:p>
          <w:p w14:paraId="709485FD">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同时满足以上两项要求得5分，满足一项要求得3分，其他情况不得分。在此基础上，专家根据各供应商的具体响应内容进一步评审：</w:t>
            </w:r>
          </w:p>
          <w:p w14:paraId="3B10432F">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（1）在使用过程中遇到问题的解决方案针对性强；建立的汽车紧急维修救援方案可实施性强的评审为优，加5分；</w:t>
            </w:r>
          </w:p>
          <w:p w14:paraId="084477F1">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（2）在使用过程中遇到问题的解决方案针对性较强；建立的汽车紧急维修救援方案可实施性较强的评审为良，加3分；</w:t>
            </w:r>
          </w:p>
          <w:p w14:paraId="745AFB5E">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（3）在使用过程中遇到问题的解决方案针对性一般；建立的汽车紧急维修救援方案可实施性一般的评审为中，加1分；</w:t>
            </w:r>
          </w:p>
          <w:p w14:paraId="1D420401">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宋体" w:hAnsi="宋体" w:eastAsia="宋体" w:cs="宋体"/>
                <w:b w:val="0"/>
                <w:bCs w:val="0"/>
                <w:color w:val="auto"/>
                <w:sz w:val="21"/>
                <w:szCs w:val="21"/>
                <w:highlight w:val="none"/>
                <w:lang w:val="en-US" w:eastAsia="zh-CN"/>
              </w:rPr>
              <w:t>（4）其他情况评审为差，不得分。</w:t>
            </w:r>
          </w:p>
        </w:tc>
      </w:tr>
      <w:tr w14:paraId="55066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292C12A5">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4C61142">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2.3</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2755E67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lang w:eastAsia="zh-CN"/>
              </w:rPr>
              <w:t>车辆维保便捷情况</w:t>
            </w:r>
          </w:p>
        </w:tc>
        <w:tc>
          <w:tcPr>
            <w:tcW w:w="1089" w:type="dxa"/>
            <w:tcBorders>
              <w:top w:val="single" w:color="000000" w:sz="8" w:space="0"/>
              <w:left w:val="single" w:color="000000" w:sz="8" w:space="0"/>
              <w:bottom w:val="single" w:color="000000" w:sz="8" w:space="0"/>
              <w:right w:val="single" w:color="000000" w:sz="8" w:space="0"/>
            </w:tcBorders>
            <w:vAlign w:val="center"/>
          </w:tcPr>
          <w:p w14:paraId="768D6E9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5F9005B1">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投标人对其服务维修网点至采购人所在地“深圳市龙岗区妇幼保健院”服务响应时间进行承诺：</w:t>
            </w:r>
          </w:p>
          <w:p w14:paraId="2D43B41B">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1.承诺可在</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分；</w:t>
            </w:r>
          </w:p>
          <w:p w14:paraId="53D4B0D0">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2.承诺可在</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eastAsia="zh-CN" w:bidi="ar-SA"/>
              </w:rPr>
              <w:t>分；</w:t>
            </w:r>
          </w:p>
          <w:p w14:paraId="048C3A5A">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3.承诺可在</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分；</w:t>
            </w:r>
          </w:p>
          <w:p w14:paraId="337718B9">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eastAsia="zh-CN" w:bidi="ar-SA"/>
              </w:rPr>
              <w:t>.其他不得分。</w:t>
            </w:r>
          </w:p>
          <w:p w14:paraId="34B5F2D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color w:val="auto"/>
                <w:sz w:val="22"/>
                <w:szCs w:val="22"/>
                <w:highlight w:val="none"/>
                <w:lang w:eastAsia="zh-CN" w:bidi="ar-SA"/>
              </w:rPr>
              <w:t>投标人提供承诺函，中标后签订合同签订，采购人将对承诺的内容进行现场考察，如不满足承诺的情况，将做虚假响应，上报上级主管部门</w:t>
            </w:r>
            <w:r>
              <w:rPr>
                <w:rFonts w:hint="eastAsia" w:ascii="仿宋" w:hAnsi="仿宋" w:eastAsia="仿宋" w:cs="仿宋"/>
                <w:color w:val="auto"/>
                <w:sz w:val="24"/>
                <w:lang w:val="en-US" w:eastAsia="zh-CN"/>
              </w:rPr>
              <w:t>。</w:t>
            </w:r>
          </w:p>
        </w:tc>
      </w:tr>
      <w:tr w14:paraId="4B3FF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4DC62E72">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09F0011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2.4</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19EFC783">
            <w:pPr>
              <w:keepNext w:val="0"/>
              <w:keepLines w:val="0"/>
              <w:pageBreakBefore w:val="0"/>
              <w:kinsoku/>
              <w:overflowPunct/>
              <w:topLinePunct w:val="0"/>
              <w:bidi w:val="0"/>
              <w:spacing w:line="400" w:lineRule="atLeast"/>
              <w:rPr>
                <w:rFonts w:hint="eastAsia" w:ascii="宋体" w:eastAsia="宋体" w:cs="宋体"/>
                <w:snapToGrid w:val="0"/>
                <w:kern w:val="0"/>
                <w:lang w:eastAsia="zh-CN"/>
              </w:rPr>
            </w:pPr>
            <w:r>
              <w:rPr>
                <w:rFonts w:hint="eastAsia" w:ascii="宋体" w:cs="宋体"/>
                <w:snapToGrid w:val="0"/>
                <w:kern w:val="0"/>
                <w:lang w:eastAsia="zh-CN"/>
              </w:rPr>
              <w:t>技术保障</w:t>
            </w:r>
          </w:p>
        </w:tc>
        <w:tc>
          <w:tcPr>
            <w:tcW w:w="1089" w:type="dxa"/>
            <w:tcBorders>
              <w:top w:val="single" w:color="000000" w:sz="8" w:space="0"/>
              <w:left w:val="single" w:color="000000" w:sz="8" w:space="0"/>
              <w:bottom w:val="single" w:color="000000" w:sz="8" w:space="0"/>
              <w:right w:val="single" w:color="000000" w:sz="8" w:space="0"/>
            </w:tcBorders>
            <w:vAlign w:val="center"/>
          </w:tcPr>
          <w:p w14:paraId="0F1AEC4A">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20</w:t>
            </w:r>
          </w:p>
        </w:tc>
        <w:tc>
          <w:tcPr>
            <w:tcW w:w="4928" w:type="dxa"/>
            <w:tcBorders>
              <w:top w:val="single" w:color="000000" w:sz="8" w:space="0"/>
              <w:left w:val="single" w:color="000000" w:sz="8" w:space="0"/>
              <w:bottom w:val="single" w:color="000000" w:sz="8" w:space="0"/>
              <w:right w:val="single" w:color="000000" w:sz="8" w:space="0"/>
            </w:tcBorders>
            <w:vAlign w:val="center"/>
          </w:tcPr>
          <w:p w14:paraId="6D99AFAC">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（一）评分内容：投标人需具备车辆维保技术</w:t>
            </w:r>
            <w:r>
              <w:rPr>
                <w:rFonts w:hint="eastAsia" w:ascii="仿宋" w:hAnsi="仿宋" w:eastAsia="仿宋" w:cs="仿宋"/>
                <w:b/>
                <w:bCs/>
                <w:color w:val="auto"/>
                <w:sz w:val="24"/>
                <w:szCs w:val="24"/>
                <w:highlight w:val="yellow"/>
                <w:lang w:eastAsia="zh-CN"/>
              </w:rPr>
              <w:t>保障能力</w:t>
            </w:r>
            <w:r>
              <w:rPr>
                <w:rFonts w:hint="eastAsia" w:ascii="仿宋" w:hAnsi="仿宋" w:eastAsia="仿宋" w:cs="仿宋"/>
                <w:color w:val="auto"/>
                <w:sz w:val="24"/>
                <w:szCs w:val="24"/>
                <w:lang w:eastAsia="zh-CN"/>
              </w:rPr>
              <w:t>。</w:t>
            </w:r>
          </w:p>
          <w:p w14:paraId="19FF81AD">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（二）评分标准：</w:t>
            </w:r>
          </w:p>
          <w:p w14:paraId="63816C1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投标人必须</w:t>
            </w:r>
            <w:r>
              <w:rPr>
                <w:rFonts w:hint="eastAsia" w:ascii="仿宋" w:hAnsi="仿宋" w:eastAsia="仿宋" w:cs="仿宋"/>
                <w:color w:val="auto"/>
                <w:sz w:val="24"/>
                <w:szCs w:val="24"/>
                <w:lang w:val="en-US" w:eastAsia="zh-CN"/>
              </w:rPr>
              <w:t>具有专业车辆维修师傅（相关技术工种证明或该技术人员从事汽修行业工作2年及以上的书面说明&lt;须加盖公章&gt;）的每有1位（有相关技术工种证明的师傅无工作年限限制）得5分，最高得10分。</w:t>
            </w:r>
          </w:p>
          <w:p w14:paraId="697C064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提供本院所有</w:t>
            </w: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lang w:eastAsia="zh-CN"/>
              </w:rPr>
              <w:t>车辆技术支持承诺的得</w:t>
            </w:r>
            <w:r>
              <w:rPr>
                <w:rFonts w:hint="eastAsia" w:ascii="仿宋" w:hAnsi="仿宋" w:eastAsia="仿宋" w:cs="仿宋"/>
                <w:color w:val="auto"/>
                <w:sz w:val="24"/>
                <w:szCs w:val="24"/>
                <w:lang w:val="en-US" w:eastAsia="zh-CN"/>
              </w:rPr>
              <w:t>10分。</w:t>
            </w:r>
          </w:p>
          <w:p w14:paraId="1EB5758D">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lang w:eastAsia="zh-CN"/>
              </w:rPr>
              <w:t>注意：投标人须提供相关资质证书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或该技术人员从事汽修行业工作2年及以上的书面说明</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eastAsia="zh-CN"/>
              </w:rPr>
              <w:t>、技术支持承诺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val="en-US" w:eastAsia="zh-CN"/>
              </w:rPr>
              <w:t>加盖投标人公章，</w:t>
            </w:r>
            <w:r>
              <w:rPr>
                <w:rFonts w:hint="eastAsia" w:ascii="仿宋" w:hAnsi="仿宋" w:eastAsia="仿宋" w:cs="仿宋"/>
                <w:color w:val="auto"/>
                <w:sz w:val="24"/>
                <w:szCs w:val="24"/>
                <w:lang w:eastAsia="zh-CN"/>
              </w:rPr>
              <w:t>作为证明材料；评分中出现无证明资料或专家无法凭所提供资料判断是否得分的情况，一律作不得分处理。</w:t>
            </w:r>
          </w:p>
        </w:tc>
      </w:tr>
      <w:tr w14:paraId="19A71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vAlign w:val="top"/>
          </w:tcPr>
          <w:p w14:paraId="19AB31FB">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373675CF">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2.5</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749E4D5D">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lang w:eastAsia="zh-CN"/>
              </w:rPr>
              <w:t>配件供应</w:t>
            </w:r>
          </w:p>
        </w:tc>
        <w:tc>
          <w:tcPr>
            <w:tcW w:w="1089" w:type="dxa"/>
            <w:tcBorders>
              <w:top w:val="single" w:color="000000" w:sz="8" w:space="0"/>
              <w:left w:val="single" w:color="000000" w:sz="8" w:space="0"/>
              <w:bottom w:val="single" w:color="000000" w:sz="8" w:space="0"/>
              <w:right w:val="single" w:color="000000" w:sz="8" w:space="0"/>
            </w:tcBorders>
            <w:vAlign w:val="center"/>
          </w:tcPr>
          <w:p w14:paraId="5A3027E6">
            <w:pPr>
              <w:keepNext w:val="0"/>
              <w:keepLines w:val="0"/>
              <w:pageBreakBefore w:val="0"/>
              <w:kinsoku/>
              <w:overflowPunct/>
              <w:topLinePunct w:val="0"/>
              <w:bidi w:val="0"/>
              <w:spacing w:line="400" w:lineRule="atLeast"/>
              <w:rPr>
                <w:rFonts w:hint="default" w:ascii="宋体" w:eastAsia="宋体" w:cs="宋体"/>
                <w:snapToGrid w:val="0"/>
                <w:kern w:val="0"/>
                <w:lang w:val="en-US" w:eastAsia="zh-CN"/>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1325DE0A">
            <w:pPr>
              <w:numPr>
                <w:ilvl w:val="0"/>
                <w:numId w:val="2"/>
              </w:num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评分内容：</w:t>
            </w:r>
          </w:p>
          <w:p w14:paraId="353A81C5">
            <w:pPr>
              <w:numPr>
                <w:ilvl w:val="0"/>
                <w:numId w:val="0"/>
              </w:numPr>
              <w:spacing w:line="240" w:lineRule="auto"/>
              <w:ind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投标人需对</w:t>
            </w:r>
            <w:r>
              <w:rPr>
                <w:rFonts w:hint="eastAsia" w:ascii="仿宋" w:hAnsi="仿宋" w:eastAsia="仿宋" w:cs="仿宋"/>
                <w:color w:val="auto"/>
                <w:sz w:val="24"/>
                <w:szCs w:val="24"/>
              </w:rPr>
              <w:t>所有类型车辆的零配件</w:t>
            </w:r>
            <w:r>
              <w:rPr>
                <w:rFonts w:hint="eastAsia" w:ascii="仿宋" w:hAnsi="仿宋" w:eastAsia="仿宋" w:cs="仿宋"/>
                <w:color w:val="auto"/>
                <w:sz w:val="24"/>
                <w:szCs w:val="24"/>
                <w:lang w:eastAsia="zh-CN"/>
              </w:rPr>
              <w:t>保证畅通供应，并保证所换零配件应为全新配件。</w:t>
            </w:r>
          </w:p>
          <w:p w14:paraId="7095ECCA">
            <w:pPr>
              <w:numPr>
                <w:ilvl w:val="0"/>
                <w:numId w:val="2"/>
              </w:numPr>
              <w:spacing w:line="24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评分标准：</w:t>
            </w:r>
          </w:p>
          <w:p w14:paraId="77F0D4E9">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仿宋" w:hAnsi="仿宋" w:eastAsia="仿宋" w:cs="仿宋"/>
                <w:color w:val="auto"/>
                <w:kern w:val="2"/>
                <w:sz w:val="24"/>
                <w:szCs w:val="24"/>
                <w:highlight w:val="none"/>
                <w:lang w:eastAsia="zh-CN"/>
              </w:rPr>
              <w:t>提供</w:t>
            </w:r>
            <w:r>
              <w:rPr>
                <w:rFonts w:hint="eastAsia" w:ascii="仿宋" w:hAnsi="仿宋" w:eastAsia="仿宋" w:cs="仿宋"/>
                <w:color w:val="auto"/>
                <w:kern w:val="2"/>
                <w:sz w:val="24"/>
                <w:szCs w:val="24"/>
                <w:highlight w:val="none"/>
                <w:lang w:val="en-US" w:eastAsia="zh-CN"/>
              </w:rPr>
              <w:t>符合要求的</w:t>
            </w:r>
            <w:r>
              <w:rPr>
                <w:rFonts w:hint="eastAsia" w:ascii="仿宋" w:hAnsi="仿宋" w:eastAsia="仿宋" w:cs="仿宋"/>
                <w:color w:val="auto"/>
                <w:kern w:val="2"/>
                <w:sz w:val="24"/>
                <w:szCs w:val="24"/>
                <w:highlight w:val="none"/>
                <w:lang w:eastAsia="zh-CN"/>
              </w:rPr>
              <w:t>承诺</w:t>
            </w:r>
            <w:r>
              <w:rPr>
                <w:rFonts w:hint="eastAsia" w:ascii="仿宋" w:hAnsi="仿宋" w:eastAsia="仿宋" w:cs="仿宋"/>
                <w:color w:val="auto"/>
                <w:kern w:val="2"/>
                <w:sz w:val="24"/>
                <w:szCs w:val="24"/>
                <w:highlight w:val="none"/>
                <w:lang w:val="en-US" w:eastAsia="zh-CN"/>
              </w:rPr>
              <w:t>函</w:t>
            </w:r>
            <w:r>
              <w:rPr>
                <w:rFonts w:hint="eastAsia" w:ascii="仿宋" w:hAnsi="仿宋" w:eastAsia="仿宋" w:cs="仿宋"/>
                <w:color w:val="auto"/>
                <w:kern w:val="2"/>
                <w:sz w:val="24"/>
                <w:szCs w:val="24"/>
                <w:highlight w:val="none"/>
                <w:lang w:eastAsia="zh-CN"/>
              </w:rPr>
              <w:t>得</w:t>
            </w:r>
            <w:r>
              <w:rPr>
                <w:rFonts w:hint="eastAsia" w:ascii="仿宋" w:hAnsi="仿宋" w:eastAsia="仿宋" w:cs="仿宋"/>
                <w:color w:val="auto"/>
                <w:kern w:val="2"/>
                <w:sz w:val="24"/>
                <w:szCs w:val="24"/>
                <w:highlight w:val="none"/>
                <w:lang w:val="en-US" w:eastAsia="zh-CN"/>
              </w:rPr>
              <w:t>10分，不提供则不得分</w:t>
            </w:r>
            <w:r>
              <w:rPr>
                <w:rFonts w:hint="eastAsia" w:ascii="宋体" w:cs="宋体"/>
                <w:snapToGrid w:val="0"/>
                <w:kern w:val="0"/>
                <w:lang w:val="en-US" w:eastAsia="zh-CN"/>
              </w:rPr>
              <w:t>。</w:t>
            </w:r>
          </w:p>
        </w:tc>
      </w:tr>
      <w:tr w14:paraId="6581E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7FF19CBA">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3</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108FCA5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eastAsia="zh-CN"/>
              </w:rPr>
              <w:t>商务</w:t>
            </w:r>
            <w:r>
              <w:rPr>
                <w:rFonts w:hint="eastAsia" w:ascii="宋体" w:cs="宋体"/>
                <w:snapToGrid w:val="0"/>
                <w:kern w:val="0"/>
              </w:rPr>
              <w:t>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46BE85FE">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15</w:t>
            </w:r>
          </w:p>
        </w:tc>
      </w:tr>
      <w:tr w14:paraId="3B8AC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top"/>
          </w:tcPr>
          <w:p w14:paraId="5FF7A9CA">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62F3DC1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3.1</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AC2F8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同类业绩</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FF2456">
            <w:pPr>
              <w:keepNext w:val="0"/>
              <w:keepLines w:val="0"/>
              <w:pageBreakBefore w:val="0"/>
              <w:kinsoku/>
              <w:overflowPunct/>
              <w:topLinePunct w:val="0"/>
              <w:bidi w:val="0"/>
              <w:spacing w:line="400" w:lineRule="atLeast"/>
              <w:rPr>
                <w:rFonts w:hint="default" w:ascii="宋体" w:eastAsia="宋体" w:cs="宋体"/>
                <w:snapToGrid w:val="0"/>
                <w:kern w:val="0"/>
                <w:lang w:val="en-US" w:eastAsia="zh-CN"/>
              </w:rPr>
            </w:pPr>
            <w:r>
              <w:rPr>
                <w:rFonts w:hint="eastAsia" w:ascii="宋体" w:cs="宋体"/>
                <w:snapToGrid w:val="0"/>
                <w:kern w:val="0"/>
                <w:lang w:val="en-US" w:eastAsia="zh-CN"/>
              </w:rPr>
              <w:t>10</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8018C4B">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（一）评分内容：提供投标人自20</w:t>
            </w:r>
            <w:r>
              <w:rPr>
                <w:rFonts w:hint="eastAsia" w:ascii="仿宋" w:hAnsi="仿宋" w:eastAsia="仿宋" w:cs="仿宋"/>
                <w:color w:val="auto"/>
                <w:sz w:val="24"/>
                <w:lang w:val="en-US" w:eastAsia="zh-CN"/>
              </w:rPr>
              <w:t>23</w:t>
            </w:r>
            <w:r>
              <w:rPr>
                <w:rFonts w:hint="eastAsia" w:ascii="仿宋" w:hAnsi="仿宋" w:eastAsia="仿宋" w:cs="仿宋"/>
                <w:color w:val="auto"/>
                <w:sz w:val="24"/>
                <w:lang w:eastAsia="zh-CN"/>
              </w:rPr>
              <w:t>年1月1日至本项目截标之日完成的</w:t>
            </w:r>
            <w:r>
              <w:rPr>
                <w:rFonts w:hint="eastAsia" w:ascii="仿宋" w:hAnsi="仿宋" w:eastAsia="仿宋" w:cs="仿宋"/>
                <w:color w:val="auto"/>
                <w:sz w:val="24"/>
                <w:lang w:val="en-US" w:eastAsia="zh-CN"/>
              </w:rPr>
              <w:t>同类项目</w:t>
            </w:r>
            <w:r>
              <w:rPr>
                <w:rFonts w:hint="eastAsia" w:ascii="仿宋" w:hAnsi="仿宋" w:eastAsia="仿宋" w:cs="仿宋"/>
                <w:color w:val="auto"/>
                <w:sz w:val="24"/>
                <w:lang w:eastAsia="zh-CN"/>
              </w:rPr>
              <w:t>案例情况。</w:t>
            </w:r>
          </w:p>
          <w:p w14:paraId="0316AFA6">
            <w:pPr>
              <w:widowControl/>
              <w:numPr>
                <w:ilvl w:val="0"/>
                <w:numId w:val="0"/>
              </w:numPr>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2AFE5768">
            <w:pPr>
              <w:widowControl/>
              <w:numPr>
                <w:ilvl w:val="0"/>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每提供一项</w:t>
            </w:r>
            <w:r>
              <w:rPr>
                <w:rFonts w:hint="eastAsia" w:ascii="仿宋" w:hAnsi="仿宋" w:eastAsia="仿宋" w:cs="仿宋"/>
                <w:color w:val="auto"/>
                <w:sz w:val="24"/>
                <w:lang w:val="en-US" w:eastAsia="zh-CN"/>
              </w:rPr>
              <w:t>同类</w:t>
            </w:r>
            <w:r>
              <w:rPr>
                <w:rFonts w:hint="eastAsia" w:ascii="仿宋" w:hAnsi="仿宋" w:eastAsia="仿宋" w:cs="仿宋"/>
                <w:color w:val="auto"/>
                <w:sz w:val="24"/>
                <w:lang w:eastAsia="zh-CN"/>
              </w:rPr>
              <w:t>有效业绩的，得</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分，最高得</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分。</w:t>
            </w:r>
          </w:p>
          <w:p w14:paraId="66AB259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注意：</w:t>
            </w:r>
          </w:p>
          <w:p w14:paraId="6AB5B5E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1、投标人须提供相应业绩案例合同关键页的复印件并加盖投标人公章（原件备查）作为证明材料；</w:t>
            </w:r>
          </w:p>
          <w:p w14:paraId="35E7FFD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lang w:eastAsia="zh-CN"/>
              </w:rPr>
              <w:t>2、评分中出现无证明资料或专家无法凭所提供资料判断是否得分的情况，一律作不得分处理</w:t>
            </w:r>
            <w:r>
              <w:rPr>
                <w:rFonts w:hint="eastAsia" w:ascii="宋体" w:cs="宋体"/>
                <w:snapToGrid w:val="0"/>
                <w:kern w:val="0"/>
              </w:rPr>
              <w:t>。</w:t>
            </w:r>
          </w:p>
        </w:tc>
      </w:tr>
      <w:tr w14:paraId="5BBD8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shd w:val="clear" w:color="auto" w:fill="E6EFFA"/>
            <w:vAlign w:val="top"/>
          </w:tcPr>
          <w:p w14:paraId="2CD16C20">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48864C7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3.2</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0ACB5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诚信</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AAD90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5</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top"/>
          </w:tcPr>
          <w:p w14:paraId="17B16EF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（一）评分内容： 投标人在参与政府采购活动中存在诚信相关问题且在主管部门相关处理措施实施期限内的，本项不得分，否则得满分。</w:t>
            </w:r>
          </w:p>
          <w:p w14:paraId="55E18BFE">
            <w:pPr>
              <w:keepNext w:val="0"/>
              <w:keepLines w:val="0"/>
              <w:pageBreakBefore w:val="0"/>
              <w:kinsoku/>
              <w:overflowPunct/>
              <w:topLinePunct w:val="0"/>
              <w:bidi w:val="0"/>
              <w:spacing w:line="400" w:lineRule="atLeast"/>
              <w:rPr>
                <w:rFonts w:hint="eastAsia" w:ascii="仿宋" w:hAnsi="仿宋" w:eastAsia="仿宋" w:cs="仿宋"/>
                <w:color w:val="auto"/>
                <w:sz w:val="24"/>
                <w:lang w:eastAsia="zh-CN"/>
              </w:rPr>
            </w:pPr>
            <w:r>
              <w:rPr>
                <w:rFonts w:hint="eastAsia" w:ascii="宋体" w:cs="宋体"/>
                <w:snapToGrid w:val="0"/>
                <w:kern w:val="0"/>
              </w:rPr>
              <w:t>（二）评分依据：投标人无需提供任何证明材料，由工作人员向评审委员会提供相关信息。</w:t>
            </w:r>
          </w:p>
        </w:tc>
      </w:tr>
    </w:tbl>
    <w:p w14:paraId="507503B9">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90C60"/>
    <w:multiLevelType w:val="singleLevel"/>
    <w:tmpl w:val="E5690C60"/>
    <w:lvl w:ilvl="0" w:tentative="0">
      <w:start w:val="1"/>
      <w:numFmt w:val="chineseCounting"/>
      <w:suff w:val="nothing"/>
      <w:lvlText w:val="（%1）"/>
      <w:lvlJc w:val="left"/>
      <w:rPr>
        <w:rFonts w:hint="eastAsia"/>
      </w:rPr>
    </w:lvl>
  </w:abstractNum>
  <w:abstractNum w:abstractNumId="1">
    <w:nsid w:val="225B2C79"/>
    <w:multiLevelType w:val="multilevel"/>
    <w:tmpl w:val="225B2C79"/>
    <w:lvl w:ilvl="0" w:tentative="0">
      <w:start w:val="1"/>
      <w:numFmt w:val="chineseCountingThousand"/>
      <w:pStyle w:val="3"/>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F2F09E0"/>
    <w:rsid w:val="0F552755"/>
    <w:rsid w:val="11064AA9"/>
    <w:rsid w:val="1384217A"/>
    <w:rsid w:val="13A5576F"/>
    <w:rsid w:val="14F13869"/>
    <w:rsid w:val="152E64B4"/>
    <w:rsid w:val="1589094D"/>
    <w:rsid w:val="16782C09"/>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85F529A"/>
    <w:rsid w:val="28653295"/>
    <w:rsid w:val="28EC6B33"/>
    <w:rsid w:val="29A540FB"/>
    <w:rsid w:val="2A043BBD"/>
    <w:rsid w:val="2C522880"/>
    <w:rsid w:val="2EC851B9"/>
    <w:rsid w:val="3073530A"/>
    <w:rsid w:val="310E0445"/>
    <w:rsid w:val="3163566D"/>
    <w:rsid w:val="31E85F01"/>
    <w:rsid w:val="3335020D"/>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00152"/>
    <w:rsid w:val="45114D25"/>
    <w:rsid w:val="47C43ABD"/>
    <w:rsid w:val="486378A9"/>
    <w:rsid w:val="48E01BEC"/>
    <w:rsid w:val="4A5F1FFB"/>
    <w:rsid w:val="4ABE4B31"/>
    <w:rsid w:val="4B2966FB"/>
    <w:rsid w:val="4BB70F0E"/>
    <w:rsid w:val="4C165FF3"/>
    <w:rsid w:val="4CE36076"/>
    <w:rsid w:val="4D574E92"/>
    <w:rsid w:val="50F33EC0"/>
    <w:rsid w:val="510A5F50"/>
    <w:rsid w:val="56D87F08"/>
    <w:rsid w:val="57B64ACD"/>
    <w:rsid w:val="57F549C2"/>
    <w:rsid w:val="58913036"/>
    <w:rsid w:val="5B0373F5"/>
    <w:rsid w:val="5B205CD1"/>
    <w:rsid w:val="5B3C2907"/>
    <w:rsid w:val="5ECA51A5"/>
    <w:rsid w:val="5F7C32D2"/>
    <w:rsid w:val="602B6AA7"/>
    <w:rsid w:val="6062129A"/>
    <w:rsid w:val="61B20F72"/>
    <w:rsid w:val="62074BE1"/>
    <w:rsid w:val="6270256A"/>
    <w:rsid w:val="62B91956"/>
    <w:rsid w:val="6393607E"/>
    <w:rsid w:val="63A17009"/>
    <w:rsid w:val="63A36518"/>
    <w:rsid w:val="63C313DC"/>
    <w:rsid w:val="662462C6"/>
    <w:rsid w:val="66C32DAD"/>
    <w:rsid w:val="68336713"/>
    <w:rsid w:val="689D68CD"/>
    <w:rsid w:val="690C3805"/>
    <w:rsid w:val="69427100"/>
    <w:rsid w:val="6B6A4927"/>
    <w:rsid w:val="6BD04C6F"/>
    <w:rsid w:val="6CDE023B"/>
    <w:rsid w:val="6CDE3881"/>
    <w:rsid w:val="6D0A4613"/>
    <w:rsid w:val="6DB52395"/>
    <w:rsid w:val="6E2C59D5"/>
    <w:rsid w:val="6EB72302"/>
    <w:rsid w:val="6F2F7038"/>
    <w:rsid w:val="6FEC03B0"/>
    <w:rsid w:val="700375BC"/>
    <w:rsid w:val="70720809"/>
    <w:rsid w:val="70EB475C"/>
    <w:rsid w:val="725B321B"/>
    <w:rsid w:val="735A4238"/>
    <w:rsid w:val="73CE09B0"/>
    <w:rsid w:val="7411782E"/>
    <w:rsid w:val="74530EF4"/>
    <w:rsid w:val="7459215D"/>
    <w:rsid w:val="75866347"/>
    <w:rsid w:val="77E3280A"/>
    <w:rsid w:val="780F0D30"/>
    <w:rsid w:val="783B0B38"/>
    <w:rsid w:val="78615304"/>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annotation text"/>
    <w:basedOn w:val="1"/>
    <w:link w:val="26"/>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6">
    <w:name w:val="Body Text"/>
    <w:basedOn w:val="1"/>
    <w:next w:val="1"/>
    <w:qFormat/>
    <w:uiPriority w:val="0"/>
    <w:pPr>
      <w:spacing w:line="360" w:lineRule="auto"/>
    </w:pPr>
    <w:rPr>
      <w:b/>
      <w:bCs/>
      <w:sz w:val="24"/>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eastAsiaTheme="minorEastAsia"/>
      <w:szCs w:val="21"/>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tabs>
        <w:tab w:val="left" w:pos="0"/>
      </w:tabs>
      <w:spacing w:line="400" w:lineRule="atLeast"/>
    </w:pPr>
    <w:rPr>
      <w:rFonts w:ascii="Arial" w:hAnsi="Arial"/>
      <w:color w:val="00000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qFormat/>
    <w:uiPriority w:val="0"/>
    <w:pPr>
      <w:ind w:firstLine="420" w:firstLineChars="200"/>
    </w:pPr>
  </w:style>
  <w:style w:type="character" w:styleId="16">
    <w:name w:val="annotation reference"/>
    <w:qFormat/>
    <w:uiPriority w:val="0"/>
    <w:rPr>
      <w:sz w:val="21"/>
      <w:szCs w:val="21"/>
    </w:rPr>
  </w:style>
  <w:style w:type="paragraph" w:customStyle="1" w:styleId="17">
    <w:name w:val="纯文本1"/>
    <w:basedOn w:val="1"/>
    <w:qFormat/>
    <w:uiPriority w:val="0"/>
    <w:rPr>
      <w:rFonts w:ascii="宋体" w:hAnsi="Courier New"/>
      <w:szCs w:val="20"/>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qFormat/>
    <w:uiPriority w:val="9"/>
    <w:rPr>
      <w:rFonts w:asciiTheme="minorHAnsi" w:hAnsiTheme="minorHAnsi" w:eastAsiaTheme="minorEastAsia" w:cstheme="minorBidi"/>
      <w:b/>
      <w:bCs/>
      <w:kern w:val="44"/>
      <w:sz w:val="44"/>
      <w:szCs w:val="44"/>
    </w:rPr>
  </w:style>
  <w:style w:type="character" w:customStyle="1" w:styleId="22">
    <w:name w:val="批注文字 字符"/>
    <w:basedOn w:val="15"/>
    <w:semiHidden/>
    <w:qFormat/>
    <w:uiPriority w:val="99"/>
    <w:rPr>
      <w:rFonts w:asciiTheme="minorHAnsi" w:hAnsiTheme="minorHAnsi" w:eastAsiaTheme="minorEastAsia" w:cstheme="minorBidi"/>
      <w:kern w:val="2"/>
      <w:sz w:val="21"/>
      <w:szCs w:val="22"/>
    </w:rPr>
  </w:style>
  <w:style w:type="paragraph" w:customStyle="1" w:styleId="23">
    <w:name w:val="表格文字"/>
    <w:basedOn w:val="24"/>
    <w:qFormat/>
    <w:uiPriority w:val="0"/>
    <w:pPr>
      <w:spacing w:before="25" w:after="25"/>
      <w:ind w:firstLine="200" w:firstLineChars="200"/>
      <w:jc w:val="left"/>
    </w:pPr>
    <w:rPr>
      <w:rFonts w:ascii="Times New Roman" w:hAnsi="Times New Roman" w:eastAsia="宋体" w:cs="Times New Roman"/>
      <w:bCs/>
      <w:spacing w:val="10"/>
      <w:kern w:val="0"/>
      <w:sz w:val="24"/>
    </w:rPr>
  </w:style>
  <w:style w:type="paragraph" w:customStyle="1" w:styleId="24">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标题 1 字符1"/>
    <w:link w:val="3"/>
    <w:qFormat/>
    <w:locked/>
    <w:uiPriority w:val="0"/>
    <w:rPr>
      <w:rFonts w:eastAsia="黑体" w:cs="Times New Roman"/>
      <w:b/>
      <w:bCs/>
      <w:kern w:val="44"/>
      <w:sz w:val="36"/>
      <w:szCs w:val="44"/>
      <w:lang w:val="zh-CN" w:eastAsia="zh-CN"/>
    </w:rPr>
  </w:style>
  <w:style w:type="character" w:customStyle="1" w:styleId="26">
    <w:name w:val="批注文字 字符1"/>
    <w:link w:val="5"/>
    <w:semiHidden/>
    <w:qFormat/>
    <w:locked/>
    <w:uiPriority w:val="0"/>
    <w:rPr>
      <w:rFonts w:ascii="Times New Roman" w:hAnsi="Times New Roman" w:cs="Times New Roman"/>
      <w:kern w:val="2"/>
      <w:sz w:val="24"/>
      <w:szCs w:val="22"/>
      <w:lang w:val="zh-CN" w:eastAsia="zh-CN"/>
    </w:rPr>
  </w:style>
  <w:style w:type="paragraph" w:customStyle="1" w:styleId="27">
    <w:name w:val="列出段落1"/>
    <w:basedOn w:val="1"/>
    <w:qFormat/>
    <w:uiPriority w:val="34"/>
    <w:pPr>
      <w:ind w:firstLine="420" w:firstLineChars="200"/>
    </w:pPr>
  </w:style>
  <w:style w:type="paragraph" w:customStyle="1" w:styleId="28">
    <w:name w:val="正文格式"/>
    <w:basedOn w:val="6"/>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
    <w:name w:val="font31"/>
    <w:basedOn w:val="15"/>
    <w:qFormat/>
    <w:uiPriority w:val="0"/>
    <w:rPr>
      <w:rFonts w:hint="eastAsia" w:ascii="仿宋" w:hAnsi="仿宋" w:eastAsia="仿宋" w:cs="仿宋"/>
      <w:b/>
      <w:bCs/>
      <w:color w:val="000000"/>
      <w:sz w:val="24"/>
      <w:szCs w:val="24"/>
      <w:u w:val="none"/>
    </w:rPr>
  </w:style>
  <w:style w:type="character" w:customStyle="1" w:styleId="31">
    <w:name w:val="font4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3128</Words>
  <Characters>3278</Characters>
  <Lines>41</Lines>
  <Paragraphs>11</Paragraphs>
  <TotalTime>3</TotalTime>
  <ScaleCrop>false</ScaleCrop>
  <LinksUpToDate>false</LinksUpToDate>
  <CharactersWithSpaces>3281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2026-06-03T08:24:16Z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9D06491D6D794D5486830B3E0E17355B</vt:lpwstr>
  </property>
  <property fmtid="{D5CDD505-2E9C-101B-9397-08002B2CF9AE}" pid="4" name="KSOTemplateDocerSaveRecord">
    <vt:lpwstr>eyJoZGlkIjoiODg4YmUyZjVkMTRhYjZhNTA5MTQ0YjE5NThhODEwNjUiLCJ1c2VySWQiOiIxMDE4NjkxMTQ2In0=</vt:lpwstr>
  </property>
</Properties>
</file>